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70969">
      <w:pPr>
        <w:spacing w:line="251" w:lineRule="auto"/>
        <w:rPr>
          <w:rFonts w:ascii="Arial"/>
          <w:color w:val="auto"/>
          <w:sz w:val="21"/>
          <w:highlight w:val="none"/>
        </w:rPr>
      </w:pPr>
    </w:p>
    <w:p w14:paraId="51D0C379">
      <w:pPr>
        <w:spacing w:before="223" w:line="183" w:lineRule="auto"/>
        <w:jc w:val="center"/>
        <w:rPr>
          <w:rFonts w:ascii="Arial"/>
          <w:color w:val="auto"/>
          <w:sz w:val="21"/>
          <w:highlight w:val="none"/>
        </w:rPr>
      </w:pPr>
      <w:r>
        <w:rPr>
          <w:rFonts w:hint="eastAsia" w:ascii="宋体" w:hAnsi="宋体" w:eastAsia="宋体" w:cs="宋体"/>
          <w:color w:val="auto"/>
          <w:spacing w:val="-1"/>
          <w:sz w:val="60"/>
          <w:szCs w:val="60"/>
          <w:highlight w:val="none"/>
          <w:lang w:eastAsia="zh-CN"/>
        </w:rPr>
        <w:t>中禹鑫工程项目管理有限公司</w:t>
      </w:r>
    </w:p>
    <w:p w14:paraId="27E8375C">
      <w:pPr>
        <w:spacing w:line="32" w:lineRule="exact"/>
        <w:jc w:val="center"/>
        <w:rPr>
          <w:color w:val="auto"/>
          <w:highlight w:val="none"/>
        </w:rPr>
      </w:pPr>
      <w:r>
        <w:rPr>
          <w:color w:val="auto"/>
          <w:highlight w:val="none"/>
        </w:rPr>
        <w:drawing>
          <wp:inline distT="0" distB="0" distL="0" distR="0">
            <wp:extent cx="5426710" cy="203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
                    <a:stretch>
                      <a:fillRect/>
                    </a:stretch>
                  </pic:blipFill>
                  <pic:spPr>
                    <a:xfrm>
                      <a:off x="0" y="0"/>
                      <a:ext cx="5426735" cy="20320"/>
                    </a:xfrm>
                    <a:prstGeom prst="rect">
                      <a:avLst/>
                    </a:prstGeom>
                  </pic:spPr>
                </pic:pic>
              </a:graphicData>
            </a:graphic>
          </wp:inline>
        </w:drawing>
      </w:r>
    </w:p>
    <w:p w14:paraId="062DB26B">
      <w:pPr>
        <w:spacing w:line="248" w:lineRule="auto"/>
        <w:rPr>
          <w:rFonts w:ascii="Arial"/>
          <w:color w:val="auto"/>
          <w:sz w:val="21"/>
          <w:highlight w:val="none"/>
        </w:rPr>
      </w:pPr>
    </w:p>
    <w:p w14:paraId="4085EA04">
      <w:pPr>
        <w:spacing w:line="248" w:lineRule="auto"/>
        <w:rPr>
          <w:rFonts w:ascii="Arial"/>
          <w:color w:val="auto"/>
          <w:sz w:val="21"/>
          <w:highlight w:val="none"/>
        </w:rPr>
      </w:pPr>
    </w:p>
    <w:p w14:paraId="6965EE30">
      <w:pPr>
        <w:spacing w:line="248" w:lineRule="auto"/>
        <w:rPr>
          <w:rFonts w:ascii="Arial"/>
          <w:color w:val="auto"/>
          <w:sz w:val="21"/>
          <w:highlight w:val="none"/>
        </w:rPr>
      </w:pPr>
    </w:p>
    <w:p w14:paraId="03B4AE4A">
      <w:pPr>
        <w:pStyle w:val="4"/>
        <w:spacing w:before="309" w:line="221" w:lineRule="auto"/>
        <w:ind w:left="2052"/>
        <w:outlineLvl w:val="0"/>
        <w:rPr>
          <w:color w:val="auto"/>
          <w:sz w:val="95"/>
          <w:szCs w:val="95"/>
          <w:highlight w:val="none"/>
        </w:rPr>
      </w:pPr>
      <w:bookmarkStart w:id="0" w:name="_Toc7739"/>
      <w:r>
        <w:rPr>
          <w:color w:val="auto"/>
          <w:spacing w:val="-2"/>
          <w:sz w:val="95"/>
          <w:szCs w:val="95"/>
          <w:highlight w:val="none"/>
        </w:rPr>
        <w:t>公开招标文件</w:t>
      </w:r>
      <w:bookmarkEnd w:id="0"/>
    </w:p>
    <w:p w14:paraId="06D10B5A">
      <w:pPr>
        <w:spacing w:line="254" w:lineRule="auto"/>
        <w:rPr>
          <w:rFonts w:ascii="Arial"/>
          <w:color w:val="auto"/>
          <w:sz w:val="21"/>
          <w:highlight w:val="none"/>
        </w:rPr>
      </w:pPr>
    </w:p>
    <w:p w14:paraId="471CAA89">
      <w:pPr>
        <w:spacing w:line="254" w:lineRule="auto"/>
        <w:rPr>
          <w:rFonts w:ascii="Arial"/>
          <w:color w:val="auto"/>
          <w:sz w:val="21"/>
          <w:highlight w:val="none"/>
        </w:rPr>
      </w:pPr>
    </w:p>
    <w:p w14:paraId="6516B86E">
      <w:pPr>
        <w:spacing w:line="254" w:lineRule="auto"/>
        <w:rPr>
          <w:rFonts w:ascii="Arial"/>
          <w:color w:val="auto"/>
          <w:sz w:val="21"/>
          <w:highlight w:val="none"/>
        </w:rPr>
      </w:pPr>
    </w:p>
    <w:p w14:paraId="26866440">
      <w:pPr>
        <w:spacing w:line="254" w:lineRule="auto"/>
        <w:rPr>
          <w:rFonts w:ascii="Arial"/>
          <w:color w:val="auto"/>
          <w:sz w:val="21"/>
          <w:highlight w:val="none"/>
        </w:rPr>
      </w:pPr>
    </w:p>
    <w:p w14:paraId="4D904D2C">
      <w:pPr>
        <w:spacing w:line="254" w:lineRule="auto"/>
        <w:rPr>
          <w:rFonts w:ascii="Arial"/>
          <w:color w:val="auto"/>
          <w:sz w:val="21"/>
          <w:highlight w:val="none"/>
        </w:rPr>
      </w:pPr>
    </w:p>
    <w:p w14:paraId="1667A0DC">
      <w:pPr>
        <w:spacing w:line="254" w:lineRule="auto"/>
        <w:rPr>
          <w:rFonts w:ascii="Arial"/>
          <w:color w:val="auto"/>
          <w:sz w:val="21"/>
          <w:highlight w:val="none"/>
        </w:rPr>
      </w:pPr>
    </w:p>
    <w:p w14:paraId="6DF96BB7">
      <w:pPr>
        <w:spacing w:line="254" w:lineRule="auto"/>
        <w:rPr>
          <w:rFonts w:ascii="Arial"/>
          <w:color w:val="auto"/>
          <w:sz w:val="21"/>
          <w:highlight w:val="none"/>
        </w:rPr>
      </w:pPr>
    </w:p>
    <w:p w14:paraId="4636482E">
      <w:pPr>
        <w:spacing w:line="255" w:lineRule="auto"/>
        <w:rPr>
          <w:rFonts w:ascii="Arial"/>
          <w:color w:val="auto"/>
          <w:sz w:val="21"/>
          <w:highlight w:val="none"/>
        </w:rPr>
      </w:pPr>
    </w:p>
    <w:p w14:paraId="5074F814">
      <w:pPr>
        <w:spacing w:line="255" w:lineRule="auto"/>
        <w:rPr>
          <w:rFonts w:ascii="Arial"/>
          <w:color w:val="auto"/>
          <w:sz w:val="21"/>
          <w:highlight w:val="none"/>
        </w:rPr>
      </w:pPr>
    </w:p>
    <w:p w14:paraId="12A778F0">
      <w:pPr>
        <w:spacing w:line="255" w:lineRule="auto"/>
        <w:rPr>
          <w:rFonts w:ascii="Arial"/>
          <w:color w:val="auto"/>
          <w:sz w:val="21"/>
          <w:highlight w:val="none"/>
        </w:rPr>
      </w:pPr>
    </w:p>
    <w:p w14:paraId="7EF6B906">
      <w:pPr>
        <w:pStyle w:val="4"/>
        <w:spacing w:before="91" w:line="346" w:lineRule="auto"/>
        <w:ind w:firstLine="1100" w:firstLineChars="400"/>
        <w:rPr>
          <w:rFonts w:hint="eastAsia" w:eastAsia="宋体"/>
          <w:color w:val="auto"/>
          <w:highlight w:val="none"/>
          <w:lang w:eastAsia="zh-CN"/>
        </w:rPr>
      </w:pPr>
      <w:r>
        <w:rPr>
          <w:b/>
          <w:bCs/>
          <w:color w:val="auto"/>
          <w:spacing w:val="-3"/>
          <w:highlight w:val="none"/>
        </w:rPr>
        <w:t>项目名称：</w:t>
      </w:r>
      <w:r>
        <w:rPr>
          <w:rFonts w:hint="eastAsia"/>
          <w:b/>
          <w:bCs/>
          <w:color w:val="auto"/>
          <w:spacing w:val="-3"/>
          <w:highlight w:val="none"/>
          <w:lang w:eastAsia="zh-CN"/>
        </w:rPr>
        <w:t>平南县上渡街道大成第二初级中学学生食堂食材采购</w:t>
      </w:r>
    </w:p>
    <w:p w14:paraId="18E720B2">
      <w:pPr>
        <w:pStyle w:val="4"/>
        <w:spacing w:before="40" w:line="219" w:lineRule="auto"/>
        <w:ind w:firstLine="1108" w:firstLineChars="400"/>
        <w:rPr>
          <w:rFonts w:hint="eastAsia" w:eastAsia="宋体"/>
          <w:color w:val="auto"/>
          <w:highlight w:val="none"/>
          <w:lang w:eastAsia="zh-CN"/>
        </w:rPr>
      </w:pPr>
      <w:r>
        <w:rPr>
          <w:b/>
          <w:bCs/>
          <w:color w:val="auto"/>
          <w:spacing w:val="-2"/>
          <w:highlight w:val="none"/>
        </w:rPr>
        <w:t>项目编号：</w:t>
      </w:r>
      <w:r>
        <w:rPr>
          <w:rFonts w:hint="eastAsia"/>
          <w:b/>
          <w:bCs/>
          <w:color w:val="auto"/>
          <w:spacing w:val="-2"/>
          <w:highlight w:val="none"/>
          <w:lang w:eastAsia="zh-CN"/>
        </w:rPr>
        <w:t>GGZC2026-G3-210202-ZYXG</w:t>
      </w:r>
    </w:p>
    <w:p w14:paraId="6E7EFB62">
      <w:pPr>
        <w:spacing w:line="248" w:lineRule="auto"/>
        <w:rPr>
          <w:rFonts w:ascii="Arial"/>
          <w:color w:val="auto"/>
          <w:sz w:val="21"/>
          <w:highlight w:val="none"/>
        </w:rPr>
      </w:pPr>
    </w:p>
    <w:p w14:paraId="7A587D7C">
      <w:pPr>
        <w:spacing w:line="248" w:lineRule="auto"/>
        <w:rPr>
          <w:rFonts w:ascii="Arial"/>
          <w:color w:val="auto"/>
          <w:sz w:val="21"/>
          <w:highlight w:val="none"/>
        </w:rPr>
      </w:pPr>
    </w:p>
    <w:p w14:paraId="375E2529">
      <w:pPr>
        <w:spacing w:line="248" w:lineRule="auto"/>
        <w:rPr>
          <w:rFonts w:ascii="Arial"/>
          <w:color w:val="auto"/>
          <w:sz w:val="21"/>
          <w:highlight w:val="none"/>
        </w:rPr>
      </w:pPr>
    </w:p>
    <w:p w14:paraId="5125109D">
      <w:pPr>
        <w:spacing w:line="248" w:lineRule="auto"/>
        <w:rPr>
          <w:rFonts w:ascii="Arial"/>
          <w:color w:val="auto"/>
          <w:sz w:val="21"/>
          <w:highlight w:val="none"/>
        </w:rPr>
      </w:pPr>
    </w:p>
    <w:p w14:paraId="4A15D90D">
      <w:pPr>
        <w:spacing w:line="248" w:lineRule="auto"/>
        <w:rPr>
          <w:rFonts w:ascii="Arial"/>
          <w:color w:val="auto"/>
          <w:sz w:val="21"/>
          <w:highlight w:val="none"/>
        </w:rPr>
      </w:pPr>
    </w:p>
    <w:p w14:paraId="4DCBB62D">
      <w:pPr>
        <w:spacing w:line="248" w:lineRule="auto"/>
        <w:rPr>
          <w:rFonts w:ascii="Arial"/>
          <w:color w:val="auto"/>
          <w:sz w:val="21"/>
          <w:highlight w:val="none"/>
        </w:rPr>
      </w:pPr>
    </w:p>
    <w:p w14:paraId="3BDF1471">
      <w:pPr>
        <w:spacing w:line="248" w:lineRule="auto"/>
        <w:rPr>
          <w:rFonts w:ascii="Arial"/>
          <w:color w:val="auto"/>
          <w:sz w:val="21"/>
          <w:highlight w:val="none"/>
        </w:rPr>
      </w:pPr>
    </w:p>
    <w:p w14:paraId="6C9B605C">
      <w:pPr>
        <w:spacing w:line="248" w:lineRule="auto"/>
        <w:rPr>
          <w:rFonts w:ascii="Arial"/>
          <w:color w:val="auto"/>
          <w:sz w:val="21"/>
          <w:highlight w:val="none"/>
        </w:rPr>
      </w:pPr>
    </w:p>
    <w:p w14:paraId="67768F86">
      <w:pPr>
        <w:spacing w:line="248" w:lineRule="auto"/>
        <w:rPr>
          <w:rFonts w:ascii="Arial"/>
          <w:color w:val="auto"/>
          <w:sz w:val="21"/>
          <w:highlight w:val="none"/>
        </w:rPr>
      </w:pPr>
    </w:p>
    <w:p w14:paraId="551849F1">
      <w:pPr>
        <w:spacing w:line="248" w:lineRule="auto"/>
        <w:rPr>
          <w:rFonts w:ascii="Arial"/>
          <w:color w:val="auto"/>
          <w:sz w:val="21"/>
          <w:highlight w:val="none"/>
        </w:rPr>
      </w:pPr>
    </w:p>
    <w:p w14:paraId="083D0906">
      <w:pPr>
        <w:spacing w:line="248" w:lineRule="auto"/>
        <w:rPr>
          <w:rFonts w:ascii="Arial"/>
          <w:color w:val="auto"/>
          <w:sz w:val="21"/>
          <w:highlight w:val="none"/>
        </w:rPr>
      </w:pPr>
    </w:p>
    <w:p w14:paraId="77A06CFA">
      <w:pPr>
        <w:spacing w:line="248" w:lineRule="auto"/>
        <w:rPr>
          <w:rFonts w:ascii="Arial"/>
          <w:color w:val="auto"/>
          <w:sz w:val="21"/>
          <w:highlight w:val="none"/>
        </w:rPr>
      </w:pPr>
    </w:p>
    <w:p w14:paraId="10A93CA6">
      <w:pPr>
        <w:spacing w:line="248" w:lineRule="auto"/>
        <w:rPr>
          <w:rFonts w:ascii="Arial"/>
          <w:color w:val="auto"/>
          <w:sz w:val="21"/>
          <w:highlight w:val="none"/>
        </w:rPr>
      </w:pPr>
    </w:p>
    <w:p w14:paraId="16772C44">
      <w:pPr>
        <w:spacing w:line="248" w:lineRule="auto"/>
        <w:rPr>
          <w:rFonts w:ascii="Arial"/>
          <w:color w:val="auto"/>
          <w:sz w:val="21"/>
          <w:highlight w:val="none"/>
        </w:rPr>
      </w:pPr>
    </w:p>
    <w:p w14:paraId="1F999F3C">
      <w:pPr>
        <w:spacing w:line="248" w:lineRule="auto"/>
        <w:rPr>
          <w:rFonts w:ascii="Arial"/>
          <w:color w:val="auto"/>
          <w:sz w:val="21"/>
          <w:highlight w:val="none"/>
        </w:rPr>
      </w:pPr>
    </w:p>
    <w:p w14:paraId="048C285A">
      <w:pPr>
        <w:spacing w:line="249" w:lineRule="auto"/>
        <w:rPr>
          <w:rFonts w:ascii="Arial"/>
          <w:color w:val="auto"/>
          <w:sz w:val="21"/>
          <w:highlight w:val="none"/>
        </w:rPr>
      </w:pPr>
      <w:r>
        <w:rPr>
          <w:color w:val="auto"/>
          <w:highlight w:val="none"/>
        </w:rPr>
        <w:drawing>
          <wp:anchor distT="0" distB="0" distL="0" distR="0" simplePos="0" relativeHeight="251659264" behindDoc="0" locked="0" layoutInCell="1" allowOverlap="1">
            <wp:simplePos x="0" y="0"/>
            <wp:positionH relativeFrom="column">
              <wp:posOffset>484505</wp:posOffset>
            </wp:positionH>
            <wp:positionV relativeFrom="paragraph">
              <wp:posOffset>27305</wp:posOffset>
            </wp:positionV>
            <wp:extent cx="4744720" cy="952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
                    <a:stretch>
                      <a:fillRect/>
                    </a:stretch>
                  </pic:blipFill>
                  <pic:spPr>
                    <a:xfrm>
                      <a:off x="0" y="0"/>
                      <a:ext cx="4744720" cy="9525"/>
                    </a:xfrm>
                    <a:prstGeom prst="rect">
                      <a:avLst/>
                    </a:prstGeom>
                  </pic:spPr>
                </pic:pic>
              </a:graphicData>
            </a:graphic>
          </wp:anchor>
        </w:drawing>
      </w:r>
    </w:p>
    <w:p w14:paraId="33BA8896">
      <w:pPr>
        <w:spacing w:line="249" w:lineRule="auto"/>
        <w:rPr>
          <w:rFonts w:ascii="Arial"/>
          <w:color w:val="auto"/>
          <w:sz w:val="21"/>
          <w:highlight w:val="none"/>
        </w:rPr>
      </w:pPr>
    </w:p>
    <w:p w14:paraId="4DE5543E">
      <w:pPr>
        <w:spacing w:line="249" w:lineRule="auto"/>
        <w:rPr>
          <w:rFonts w:ascii="Arial"/>
          <w:color w:val="auto"/>
          <w:sz w:val="21"/>
          <w:highlight w:val="none"/>
        </w:rPr>
      </w:pPr>
    </w:p>
    <w:p w14:paraId="51869B09">
      <w:pPr>
        <w:spacing w:line="249" w:lineRule="auto"/>
        <w:rPr>
          <w:rFonts w:ascii="Arial"/>
          <w:color w:val="auto"/>
          <w:sz w:val="21"/>
          <w:highlight w:val="none"/>
        </w:rPr>
      </w:pPr>
    </w:p>
    <w:p w14:paraId="59DF83A6">
      <w:pPr>
        <w:spacing w:line="249" w:lineRule="auto"/>
        <w:rPr>
          <w:rFonts w:ascii="Arial"/>
          <w:color w:val="auto"/>
          <w:sz w:val="21"/>
          <w:highlight w:val="none"/>
        </w:rPr>
      </w:pPr>
    </w:p>
    <w:p w14:paraId="7B1B0B69">
      <w:pPr>
        <w:spacing w:line="249" w:lineRule="auto"/>
        <w:rPr>
          <w:rFonts w:ascii="Arial"/>
          <w:color w:val="auto"/>
          <w:sz w:val="21"/>
          <w:highlight w:val="none"/>
        </w:rPr>
      </w:pPr>
    </w:p>
    <w:p w14:paraId="0B79CE43">
      <w:pPr>
        <w:spacing w:line="249" w:lineRule="auto"/>
        <w:rPr>
          <w:rFonts w:ascii="Arial"/>
          <w:color w:val="auto"/>
          <w:sz w:val="21"/>
          <w:highlight w:val="none"/>
        </w:rPr>
      </w:pPr>
    </w:p>
    <w:p w14:paraId="4B86BF85">
      <w:pPr>
        <w:spacing w:line="249" w:lineRule="auto"/>
        <w:rPr>
          <w:rFonts w:ascii="Arial"/>
          <w:color w:val="auto"/>
          <w:sz w:val="21"/>
          <w:highlight w:val="none"/>
        </w:rPr>
      </w:pPr>
    </w:p>
    <w:p w14:paraId="7E669D91">
      <w:pPr>
        <w:spacing w:line="249" w:lineRule="auto"/>
        <w:rPr>
          <w:rFonts w:ascii="Arial"/>
          <w:color w:val="auto"/>
          <w:sz w:val="21"/>
          <w:highlight w:val="none"/>
        </w:rPr>
      </w:pPr>
    </w:p>
    <w:p w14:paraId="3F73BD58">
      <w:pPr>
        <w:spacing w:line="249" w:lineRule="auto"/>
        <w:rPr>
          <w:rFonts w:ascii="Arial"/>
          <w:color w:val="auto"/>
          <w:sz w:val="21"/>
          <w:highlight w:val="none"/>
        </w:rPr>
      </w:pPr>
    </w:p>
    <w:p w14:paraId="4C6561E3">
      <w:pPr>
        <w:pStyle w:val="6"/>
        <w:widowControl w:val="0"/>
        <w:kinsoku/>
        <w:autoSpaceDE/>
        <w:autoSpaceDN/>
        <w:adjustRightInd/>
        <w:snapToGrid/>
        <w:spacing w:line="100" w:lineRule="atLeast"/>
        <w:jc w:val="center"/>
        <w:textAlignment w:val="auto"/>
        <w:rPr>
          <w:rFonts w:hint="eastAsia" w:hAnsi="宋体" w:eastAsia="宋体" w:cs="宋体"/>
          <w:snapToGrid/>
          <w:color w:val="auto"/>
          <w:sz w:val="28"/>
          <w:highlight w:val="none"/>
          <w:lang w:eastAsia="zh-CN"/>
        </w:rPr>
      </w:pPr>
      <w:r>
        <w:rPr>
          <w:rFonts w:hint="eastAsia" w:hAnsi="宋体" w:eastAsia="宋体" w:cs="宋体"/>
          <w:snapToGrid/>
          <w:color w:val="auto"/>
          <w:sz w:val="28"/>
          <w:highlight w:val="none"/>
          <w:lang w:eastAsia="zh-CN"/>
        </w:rPr>
        <w:t>采购单位：平南县上渡街道大成第二初级中学</w:t>
      </w:r>
    </w:p>
    <w:p w14:paraId="0CC61C90">
      <w:pPr>
        <w:pStyle w:val="6"/>
        <w:widowControl w:val="0"/>
        <w:kinsoku/>
        <w:autoSpaceDE/>
        <w:autoSpaceDN/>
        <w:adjustRightInd/>
        <w:snapToGrid/>
        <w:spacing w:line="100" w:lineRule="atLeast"/>
        <w:jc w:val="center"/>
        <w:textAlignment w:val="auto"/>
        <w:rPr>
          <w:rFonts w:hint="eastAsia" w:hAnsi="宋体" w:eastAsia="宋体" w:cs="宋体"/>
          <w:snapToGrid/>
          <w:color w:val="auto"/>
          <w:sz w:val="28"/>
          <w:highlight w:val="none"/>
          <w:lang w:eastAsia="zh-CN"/>
        </w:rPr>
      </w:pPr>
      <w:r>
        <w:rPr>
          <w:rFonts w:hint="eastAsia" w:hAnsi="宋体" w:eastAsia="宋体" w:cs="宋体"/>
          <w:snapToGrid/>
          <w:color w:val="auto"/>
          <w:sz w:val="28"/>
          <w:highlight w:val="none"/>
          <w:lang w:eastAsia="zh-CN"/>
        </w:rPr>
        <w:t>招标代理机构：中禹鑫工程项目管理有限公司</w:t>
      </w:r>
    </w:p>
    <w:p w14:paraId="69B3EFF7">
      <w:pPr>
        <w:pStyle w:val="6"/>
        <w:widowControl w:val="0"/>
        <w:kinsoku/>
        <w:autoSpaceDE/>
        <w:autoSpaceDN/>
        <w:adjustRightInd/>
        <w:snapToGrid/>
        <w:spacing w:line="100" w:lineRule="atLeast"/>
        <w:jc w:val="center"/>
        <w:textAlignment w:val="auto"/>
        <w:rPr>
          <w:color w:val="auto"/>
          <w:highlight w:val="none"/>
        </w:rPr>
      </w:pPr>
      <w:r>
        <w:rPr>
          <w:rFonts w:hint="eastAsia" w:hAnsi="宋体" w:eastAsia="宋体" w:cs="宋体"/>
          <w:snapToGrid/>
          <w:color w:val="auto"/>
          <w:sz w:val="28"/>
          <w:highlight w:val="none"/>
          <w:lang w:eastAsia="zh-CN"/>
        </w:rPr>
        <w:t>202</w:t>
      </w:r>
      <w:r>
        <w:rPr>
          <w:rFonts w:hint="eastAsia" w:hAnsi="宋体" w:eastAsia="宋体" w:cs="宋体"/>
          <w:snapToGrid/>
          <w:color w:val="auto"/>
          <w:sz w:val="28"/>
          <w:highlight w:val="none"/>
          <w:lang w:val="en-US" w:eastAsia="zh-CN"/>
        </w:rPr>
        <w:t>6</w:t>
      </w:r>
      <w:r>
        <w:rPr>
          <w:rFonts w:hint="eastAsia" w:hAnsi="宋体" w:eastAsia="宋体" w:cs="宋体"/>
          <w:snapToGrid/>
          <w:color w:val="auto"/>
          <w:sz w:val="28"/>
          <w:highlight w:val="none"/>
          <w:lang w:eastAsia="zh-CN"/>
        </w:rPr>
        <w:t>年</w:t>
      </w:r>
      <w:r>
        <w:rPr>
          <w:rFonts w:hint="eastAsia" w:hAnsi="宋体" w:eastAsia="宋体" w:cs="宋体"/>
          <w:snapToGrid/>
          <w:color w:val="auto"/>
          <w:sz w:val="28"/>
          <w:highlight w:val="none"/>
          <w:lang w:val="en-US" w:eastAsia="zh-CN"/>
        </w:rPr>
        <w:t>8</w:t>
      </w:r>
      <w:r>
        <w:rPr>
          <w:rFonts w:hint="eastAsia" w:hAnsi="宋体" w:eastAsia="宋体" w:cs="宋体"/>
          <w:snapToGrid/>
          <w:color w:val="auto"/>
          <w:sz w:val="28"/>
          <w:highlight w:val="none"/>
          <w:lang w:eastAsia="zh-CN"/>
        </w:rPr>
        <w:t>月</w:t>
      </w:r>
    </w:p>
    <w:p w14:paraId="0B428E7F">
      <w:pPr>
        <w:pStyle w:val="4"/>
        <w:spacing w:before="88" w:line="225" w:lineRule="auto"/>
        <w:ind w:left="4028"/>
        <w:outlineLvl w:val="0"/>
        <w:rPr>
          <w:color w:val="auto"/>
          <w:sz w:val="43"/>
          <w:szCs w:val="43"/>
          <w:highlight w:val="none"/>
        </w:rPr>
      </w:pPr>
      <w:r>
        <w:rPr>
          <w:color w:val="auto"/>
          <w:spacing w:val="-46"/>
          <w:sz w:val="43"/>
          <w:szCs w:val="43"/>
          <w:highlight w:val="none"/>
        </w:rPr>
        <w:br w:type="page"/>
      </w:r>
      <w:bookmarkStart w:id="1" w:name="_Toc20437"/>
      <w:r>
        <w:rPr>
          <w:b/>
          <w:bCs/>
          <w:color w:val="auto"/>
          <w:spacing w:val="-46"/>
          <w:sz w:val="43"/>
          <w:szCs w:val="43"/>
          <w:highlight w:val="none"/>
        </w:rPr>
        <w:t>目</w:t>
      </w:r>
      <w:r>
        <w:rPr>
          <w:b/>
          <w:bCs/>
          <w:color w:val="auto"/>
          <w:spacing w:val="9"/>
          <w:sz w:val="43"/>
          <w:szCs w:val="43"/>
          <w:highlight w:val="none"/>
        </w:rPr>
        <w:t xml:space="preserve">    </w:t>
      </w:r>
      <w:r>
        <w:rPr>
          <w:b/>
          <w:bCs/>
          <w:color w:val="auto"/>
          <w:spacing w:val="-46"/>
          <w:sz w:val="43"/>
          <w:szCs w:val="43"/>
          <w:highlight w:val="none"/>
        </w:rPr>
        <w:t>录</w:t>
      </w:r>
      <w:bookmarkEnd w:id="1"/>
    </w:p>
    <w:p w14:paraId="2D257A44">
      <w:pPr>
        <w:spacing w:line="283" w:lineRule="auto"/>
        <w:rPr>
          <w:rFonts w:ascii="Arial"/>
          <w:color w:val="auto"/>
          <w:sz w:val="21"/>
          <w:highlight w:val="none"/>
        </w:rPr>
      </w:pPr>
    </w:p>
    <w:sdt>
      <w:sdtPr>
        <w:rPr>
          <w:rFonts w:ascii="宋体" w:hAnsi="宋体" w:eastAsia="宋体" w:cs="Arial"/>
          <w:snapToGrid w:val="0"/>
          <w:color w:val="auto"/>
          <w:kern w:val="0"/>
          <w:sz w:val="21"/>
          <w:szCs w:val="21"/>
          <w:highlight w:val="none"/>
          <w:lang w:val="en-US" w:eastAsia="en-US" w:bidi="ar-SA"/>
        </w:rPr>
        <w:id w:val="147453187"/>
        <w15:color w:val="DBDBDB"/>
        <w:docPartObj>
          <w:docPartGallery w:val="Table of Contents"/>
          <w:docPartUnique/>
        </w:docPartObj>
      </w:sdtPr>
      <w:sdtEndPr>
        <w:rPr>
          <w:rFonts w:ascii="宋体" w:hAnsi="宋体" w:eastAsia="宋体" w:cs="Arial"/>
          <w:snapToGrid w:val="0"/>
          <w:color w:val="auto"/>
          <w:kern w:val="0"/>
          <w:sz w:val="21"/>
          <w:szCs w:val="21"/>
          <w:highlight w:val="none"/>
          <w:lang w:val="en-US" w:eastAsia="en-US" w:bidi="ar-SA"/>
        </w:rPr>
      </w:sdtEndPr>
      <w:sdtContent>
        <w:p w14:paraId="1DB79758">
          <w:pPr>
            <w:pStyle w:val="9"/>
            <w:tabs>
              <w:tab w:val="right" w:leader="dot" w:pos="9754"/>
            </w:tabs>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p>
        <w:p w14:paraId="1F089096">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_Toc31016 </w:instrText>
          </w:r>
          <w:r>
            <w:rPr>
              <w:color w:val="auto"/>
              <w:sz w:val="24"/>
              <w:szCs w:val="24"/>
              <w:highlight w:val="none"/>
            </w:rPr>
            <w:fldChar w:fldCharType="separate"/>
          </w:r>
          <w:r>
            <w:rPr>
              <w:bCs/>
              <w:color w:val="auto"/>
              <w:spacing w:val="6"/>
              <w:sz w:val="24"/>
              <w:szCs w:val="24"/>
              <w:highlight w:val="none"/>
            </w:rPr>
            <w:t>第一章</w:t>
          </w:r>
          <w:r>
            <w:rPr>
              <w:color w:val="auto"/>
              <w:spacing w:val="6"/>
              <w:sz w:val="24"/>
              <w:szCs w:val="24"/>
              <w:highlight w:val="none"/>
            </w:rPr>
            <w:t xml:space="preserve">  </w:t>
          </w:r>
          <w:r>
            <w:rPr>
              <w:bCs/>
              <w:color w:val="auto"/>
              <w:spacing w:val="6"/>
              <w:sz w:val="24"/>
              <w:szCs w:val="24"/>
              <w:highlight w:val="none"/>
            </w:rPr>
            <w:t>公开招标公告</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_Toc31016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color w:val="auto"/>
              <w:sz w:val="24"/>
              <w:szCs w:val="24"/>
              <w:highlight w:val="none"/>
            </w:rPr>
            <w:fldChar w:fldCharType="end"/>
          </w:r>
        </w:p>
        <w:p w14:paraId="49423B2F">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_Toc18488 </w:instrText>
          </w:r>
          <w:r>
            <w:rPr>
              <w:color w:val="auto"/>
              <w:sz w:val="24"/>
              <w:szCs w:val="24"/>
              <w:highlight w:val="none"/>
            </w:rPr>
            <w:fldChar w:fldCharType="separate"/>
          </w:r>
          <w:r>
            <w:rPr>
              <w:bCs/>
              <w:color w:val="auto"/>
              <w:spacing w:val="5"/>
              <w:sz w:val="24"/>
              <w:szCs w:val="24"/>
              <w:highlight w:val="none"/>
            </w:rPr>
            <w:t>第二章</w:t>
          </w:r>
          <w:r>
            <w:rPr>
              <w:color w:val="auto"/>
              <w:spacing w:val="5"/>
              <w:sz w:val="24"/>
              <w:szCs w:val="24"/>
              <w:highlight w:val="none"/>
            </w:rPr>
            <w:t xml:space="preserve">  </w:t>
          </w:r>
          <w:r>
            <w:rPr>
              <w:bCs/>
              <w:color w:val="auto"/>
              <w:spacing w:val="5"/>
              <w:sz w:val="24"/>
              <w:szCs w:val="24"/>
              <w:highlight w:val="none"/>
            </w:rPr>
            <w:t>招标项目采购需求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_Toc18488 \h </w:instrText>
          </w:r>
          <w:r>
            <w:rPr>
              <w:color w:val="auto"/>
              <w:sz w:val="24"/>
              <w:szCs w:val="24"/>
              <w:highlight w:val="none"/>
            </w:rPr>
            <w:fldChar w:fldCharType="separate"/>
          </w:r>
          <w:r>
            <w:rPr>
              <w:color w:val="auto"/>
              <w:sz w:val="24"/>
              <w:szCs w:val="24"/>
              <w:highlight w:val="none"/>
            </w:rPr>
            <w:t>6</w:t>
          </w:r>
          <w:r>
            <w:rPr>
              <w:color w:val="auto"/>
              <w:sz w:val="24"/>
              <w:szCs w:val="24"/>
              <w:highlight w:val="none"/>
            </w:rPr>
            <w:fldChar w:fldCharType="end"/>
          </w:r>
          <w:r>
            <w:rPr>
              <w:color w:val="auto"/>
              <w:sz w:val="24"/>
              <w:szCs w:val="24"/>
              <w:highlight w:val="none"/>
            </w:rPr>
            <w:fldChar w:fldCharType="end"/>
          </w:r>
        </w:p>
        <w:p w14:paraId="057F1233">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_Toc23082 </w:instrText>
          </w:r>
          <w:r>
            <w:rPr>
              <w:color w:val="auto"/>
              <w:sz w:val="24"/>
              <w:szCs w:val="24"/>
              <w:highlight w:val="none"/>
            </w:rPr>
            <w:fldChar w:fldCharType="separate"/>
          </w:r>
          <w:r>
            <w:rPr>
              <w:bCs/>
              <w:color w:val="auto"/>
              <w:spacing w:val="6"/>
              <w:sz w:val="24"/>
              <w:szCs w:val="24"/>
              <w:highlight w:val="none"/>
            </w:rPr>
            <w:t>第三章</w:t>
          </w:r>
          <w:r>
            <w:rPr>
              <w:color w:val="auto"/>
              <w:spacing w:val="6"/>
              <w:sz w:val="24"/>
              <w:szCs w:val="24"/>
              <w:highlight w:val="none"/>
            </w:rPr>
            <w:t xml:space="preserve">  </w:t>
          </w:r>
          <w:r>
            <w:rPr>
              <w:bCs/>
              <w:color w:val="auto"/>
              <w:spacing w:val="6"/>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_Toc23082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color w:val="auto"/>
              <w:sz w:val="24"/>
              <w:szCs w:val="24"/>
              <w:highlight w:val="none"/>
            </w:rPr>
            <w:fldChar w:fldCharType="end"/>
          </w:r>
        </w:p>
        <w:p w14:paraId="584C8C95">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_Toc5346 </w:instrText>
          </w:r>
          <w:r>
            <w:rPr>
              <w:color w:val="auto"/>
              <w:sz w:val="24"/>
              <w:szCs w:val="24"/>
              <w:highlight w:val="none"/>
            </w:rPr>
            <w:fldChar w:fldCharType="separate"/>
          </w:r>
          <w:r>
            <w:rPr>
              <w:bCs/>
              <w:color w:val="auto"/>
              <w:spacing w:val="-3"/>
              <w:sz w:val="24"/>
              <w:szCs w:val="24"/>
              <w:highlight w:val="none"/>
            </w:rPr>
            <w:t>第四章</w:t>
          </w:r>
          <w:r>
            <w:rPr>
              <w:color w:val="auto"/>
              <w:spacing w:val="-3"/>
              <w:sz w:val="24"/>
              <w:szCs w:val="24"/>
              <w:highlight w:val="none"/>
            </w:rPr>
            <w:t xml:space="preserve">  </w:t>
          </w:r>
          <w:r>
            <w:rPr>
              <w:bCs/>
              <w:color w:val="auto"/>
              <w:spacing w:val="-3"/>
              <w:sz w:val="24"/>
              <w:szCs w:val="24"/>
              <w:highlight w:val="none"/>
            </w:rPr>
            <w:t>评标办法及评标标准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_Toc5346 \h </w:instrText>
          </w:r>
          <w:r>
            <w:rPr>
              <w:color w:val="auto"/>
              <w:sz w:val="24"/>
              <w:szCs w:val="24"/>
              <w:highlight w:val="none"/>
            </w:rPr>
            <w:fldChar w:fldCharType="separate"/>
          </w:r>
          <w:r>
            <w:rPr>
              <w:color w:val="auto"/>
              <w:sz w:val="24"/>
              <w:szCs w:val="24"/>
              <w:highlight w:val="none"/>
            </w:rPr>
            <w:t>36</w:t>
          </w:r>
          <w:r>
            <w:rPr>
              <w:color w:val="auto"/>
              <w:sz w:val="24"/>
              <w:szCs w:val="24"/>
              <w:highlight w:val="none"/>
            </w:rPr>
            <w:fldChar w:fldCharType="end"/>
          </w:r>
          <w:r>
            <w:rPr>
              <w:color w:val="auto"/>
              <w:sz w:val="24"/>
              <w:szCs w:val="24"/>
              <w:highlight w:val="none"/>
            </w:rPr>
            <w:fldChar w:fldCharType="end"/>
          </w:r>
        </w:p>
        <w:p w14:paraId="4E9B12AB">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_Toc7913 </w:instrText>
          </w:r>
          <w:r>
            <w:rPr>
              <w:color w:val="auto"/>
              <w:sz w:val="24"/>
              <w:szCs w:val="24"/>
              <w:highlight w:val="none"/>
            </w:rPr>
            <w:fldChar w:fldCharType="separate"/>
          </w:r>
          <w:r>
            <w:rPr>
              <w:bCs/>
              <w:color w:val="auto"/>
              <w:spacing w:val="-3"/>
              <w:sz w:val="24"/>
              <w:szCs w:val="24"/>
              <w:highlight w:val="none"/>
            </w:rPr>
            <w:t>第五章</w:t>
          </w:r>
          <w:r>
            <w:rPr>
              <w:color w:val="auto"/>
              <w:spacing w:val="-3"/>
              <w:sz w:val="24"/>
              <w:szCs w:val="24"/>
              <w:highlight w:val="none"/>
            </w:rPr>
            <w:t xml:space="preserve">   </w:t>
          </w:r>
          <w:r>
            <w:rPr>
              <w:bCs/>
              <w:color w:val="auto"/>
              <w:spacing w:val="-3"/>
              <w:sz w:val="24"/>
              <w:szCs w:val="24"/>
              <w:highlight w:val="none"/>
            </w:rPr>
            <w:t>合同主要条款格式（参考）</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_Toc7913 \h </w:instrText>
          </w:r>
          <w:r>
            <w:rPr>
              <w:color w:val="auto"/>
              <w:sz w:val="24"/>
              <w:szCs w:val="24"/>
              <w:highlight w:val="none"/>
            </w:rPr>
            <w:fldChar w:fldCharType="separate"/>
          </w:r>
          <w:r>
            <w:rPr>
              <w:color w:val="auto"/>
              <w:sz w:val="24"/>
              <w:szCs w:val="24"/>
              <w:highlight w:val="none"/>
            </w:rPr>
            <w:t>44</w:t>
          </w:r>
          <w:r>
            <w:rPr>
              <w:color w:val="auto"/>
              <w:sz w:val="24"/>
              <w:szCs w:val="24"/>
              <w:highlight w:val="none"/>
            </w:rPr>
            <w:fldChar w:fldCharType="end"/>
          </w:r>
          <w:r>
            <w:rPr>
              <w:color w:val="auto"/>
              <w:sz w:val="24"/>
              <w:szCs w:val="24"/>
              <w:highlight w:val="none"/>
            </w:rPr>
            <w:fldChar w:fldCharType="end"/>
          </w:r>
        </w:p>
        <w:p w14:paraId="7790315D">
          <w:pPr>
            <w:pStyle w:val="9"/>
            <w:tabs>
              <w:tab w:val="right" w:leader="dot" w:pos="9754"/>
            </w:tabs>
            <w:spacing w:line="480" w:lineRule="auto"/>
            <w:rPr>
              <w:color w:val="auto"/>
              <w:sz w:val="24"/>
              <w:szCs w:val="24"/>
              <w:highlight w:val="none"/>
            </w:rPr>
          </w:pPr>
          <w:r>
            <w:rPr>
              <w:color w:val="auto"/>
              <w:sz w:val="24"/>
              <w:szCs w:val="24"/>
              <w:highlight w:val="none"/>
            </w:rPr>
            <w:fldChar w:fldCharType="begin"/>
          </w:r>
          <w:r>
            <w:rPr>
              <w:color w:val="auto"/>
              <w:sz w:val="24"/>
              <w:szCs w:val="24"/>
              <w:highlight w:val="none"/>
            </w:rPr>
            <w:instrText xml:space="preserve"> HYPERLINK \l _Toc12990 </w:instrText>
          </w:r>
          <w:r>
            <w:rPr>
              <w:color w:val="auto"/>
              <w:sz w:val="24"/>
              <w:szCs w:val="24"/>
              <w:highlight w:val="none"/>
            </w:rPr>
            <w:fldChar w:fldCharType="separate"/>
          </w:r>
          <w:r>
            <w:rPr>
              <w:bCs/>
              <w:color w:val="auto"/>
              <w:spacing w:val="-3"/>
              <w:sz w:val="24"/>
              <w:szCs w:val="24"/>
              <w:highlight w:val="none"/>
            </w:rPr>
            <w:t>第六章</w:t>
          </w:r>
          <w:r>
            <w:rPr>
              <w:color w:val="auto"/>
              <w:spacing w:val="-3"/>
              <w:sz w:val="24"/>
              <w:szCs w:val="24"/>
              <w:highlight w:val="none"/>
            </w:rPr>
            <w:t xml:space="preserve">  </w:t>
          </w:r>
          <w:r>
            <w:rPr>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_Toc12990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color w:val="auto"/>
              <w:sz w:val="24"/>
              <w:szCs w:val="24"/>
              <w:highlight w:val="none"/>
            </w:rPr>
            <w:fldChar w:fldCharType="end"/>
          </w:r>
        </w:p>
        <w:p w14:paraId="72D373B4">
          <w:pPr>
            <w:rPr>
              <w:color w:val="auto"/>
              <w:highlight w:val="none"/>
            </w:rPr>
          </w:pPr>
          <w:r>
            <w:rPr>
              <w:color w:val="auto"/>
              <w:highlight w:val="none"/>
            </w:rPr>
            <w:fldChar w:fldCharType="end"/>
          </w:r>
        </w:p>
      </w:sdtContent>
    </w:sdt>
    <w:p w14:paraId="0D0FFDA4">
      <w:pPr>
        <w:rPr>
          <w:color w:val="auto"/>
          <w:highlight w:val="none"/>
        </w:rPr>
      </w:pPr>
    </w:p>
    <w:p w14:paraId="69350882">
      <w:pPr>
        <w:pStyle w:val="4"/>
        <w:spacing w:before="64" w:line="223" w:lineRule="auto"/>
        <w:ind w:left="3337"/>
        <w:outlineLvl w:val="0"/>
        <w:rPr>
          <w:color w:val="auto"/>
          <w:sz w:val="31"/>
          <w:szCs w:val="31"/>
          <w:highlight w:val="none"/>
        </w:rPr>
      </w:pPr>
      <w:r>
        <w:rPr>
          <w:b/>
          <w:bCs/>
          <w:color w:val="auto"/>
          <w:spacing w:val="6"/>
          <w:sz w:val="31"/>
          <w:szCs w:val="31"/>
          <w:highlight w:val="none"/>
        </w:rPr>
        <w:br w:type="page"/>
      </w:r>
      <w:bookmarkStart w:id="2" w:name="_Toc31016"/>
      <w:r>
        <w:rPr>
          <w:b/>
          <w:bCs/>
          <w:color w:val="auto"/>
          <w:spacing w:val="6"/>
          <w:sz w:val="31"/>
          <w:szCs w:val="31"/>
          <w:highlight w:val="none"/>
        </w:rPr>
        <w:t>第一章</w:t>
      </w:r>
      <w:r>
        <w:rPr>
          <w:color w:val="auto"/>
          <w:spacing w:val="6"/>
          <w:sz w:val="31"/>
          <w:szCs w:val="31"/>
          <w:highlight w:val="none"/>
        </w:rPr>
        <w:t xml:space="preserve">  </w:t>
      </w:r>
      <w:r>
        <w:rPr>
          <w:b/>
          <w:bCs/>
          <w:color w:val="auto"/>
          <w:spacing w:val="6"/>
          <w:sz w:val="31"/>
          <w:szCs w:val="31"/>
          <w:highlight w:val="none"/>
        </w:rPr>
        <w:t>公开招标公告</w:t>
      </w:r>
      <w:bookmarkEnd w:id="2"/>
    </w:p>
    <w:p w14:paraId="2295CA2A">
      <w:pPr>
        <w:spacing w:line="280" w:lineRule="auto"/>
        <w:rPr>
          <w:rFonts w:ascii="Arial"/>
          <w:color w:val="auto"/>
          <w:sz w:val="21"/>
          <w:highlight w:val="none"/>
        </w:rPr>
      </w:pPr>
    </w:p>
    <w:p w14:paraId="21FB8CF9">
      <w:pPr>
        <w:widowControl w:val="0"/>
        <w:kinsoku/>
        <w:autoSpaceDE/>
        <w:autoSpaceDN/>
        <w:adjustRightInd/>
        <w:snapToGrid/>
        <w:spacing w:line="500" w:lineRule="exact"/>
        <w:jc w:val="center"/>
        <w:textAlignment w:val="auto"/>
        <w:rPr>
          <w:rFonts w:hint="eastAsia" w:ascii="宋体" w:hAnsi="宋体" w:eastAsia="宋体" w:cs="宋体"/>
          <w:b/>
          <w:snapToGrid/>
          <w:color w:val="auto"/>
          <w:kern w:val="2"/>
          <w:sz w:val="28"/>
          <w:szCs w:val="28"/>
          <w:highlight w:val="none"/>
          <w:lang w:eastAsia="zh-CN"/>
        </w:rPr>
      </w:pPr>
      <w:r>
        <w:rPr>
          <w:rFonts w:hint="eastAsia" w:ascii="宋体" w:hAnsi="宋体" w:eastAsia="宋体" w:cs="宋体"/>
          <w:b/>
          <w:snapToGrid/>
          <w:color w:val="auto"/>
          <w:kern w:val="2"/>
          <w:sz w:val="28"/>
          <w:szCs w:val="28"/>
          <w:highlight w:val="none"/>
          <w:lang w:eastAsia="zh-CN"/>
        </w:rPr>
        <w:t>中禹鑫工程项目管理有限公司关于平南县上渡街道大成第二初级中学学生食堂食材采购（项目编号：GGZC2026-G3-210202-ZYXG）招标公告</w:t>
      </w:r>
    </w:p>
    <w:p w14:paraId="3B3664FB">
      <w:pPr>
        <w:pBdr>
          <w:top w:val="single" w:color="auto" w:sz="4" w:space="1"/>
          <w:left w:val="single" w:color="auto" w:sz="4" w:space="4"/>
          <w:bottom w:val="single" w:color="auto" w:sz="4" w:space="1"/>
          <w:right w:val="single" w:color="auto" w:sz="4" w:space="4"/>
        </w:pBdr>
        <w:rPr>
          <w:rFonts w:ascii="宋体" w:hAnsi="宋体" w:cs="宋体"/>
          <w:color w:val="auto"/>
          <w:highlight w:val="none"/>
        </w:rPr>
      </w:pPr>
      <w:r>
        <w:rPr>
          <w:rFonts w:hint="eastAsia" w:ascii="宋体" w:hAnsi="宋体" w:cs="宋体"/>
          <w:color w:val="auto"/>
          <w:highlight w:val="none"/>
        </w:rPr>
        <w:t>项目概况</w:t>
      </w:r>
    </w:p>
    <w:p w14:paraId="39AE1ECB">
      <w:pPr>
        <w:pBdr>
          <w:top w:val="single" w:color="auto" w:sz="4" w:space="1"/>
          <w:left w:val="single" w:color="auto" w:sz="4" w:space="4"/>
          <w:bottom w:val="single" w:color="auto" w:sz="4" w:space="1"/>
          <w:right w:val="single" w:color="auto" w:sz="4" w:space="4"/>
        </w:pBdr>
        <w:ind w:firstLine="420" w:firstLineChars="200"/>
        <w:rPr>
          <w:rFonts w:ascii="宋体" w:hAnsi="宋体" w:cs="宋体"/>
          <w:color w:val="auto"/>
          <w:highlight w:val="none"/>
        </w:rPr>
      </w:pPr>
      <w:r>
        <w:rPr>
          <w:rFonts w:hint="eastAsia" w:ascii="宋体" w:hAnsi="宋体" w:eastAsia="宋体" w:cs="宋体"/>
          <w:color w:val="auto"/>
          <w:highlight w:val="none"/>
          <w:lang w:eastAsia="zh-CN"/>
        </w:rPr>
        <w:t>平南县上渡街道大成第二初级中学学生食堂食材采购</w:t>
      </w:r>
      <w:r>
        <w:rPr>
          <w:rFonts w:hint="eastAsia" w:ascii="宋体" w:hAnsi="宋体" w:cs="宋体"/>
          <w:color w:val="auto"/>
          <w:highlight w:val="none"/>
        </w:rPr>
        <w:t>的潜在供应商应在广西政府采购云平台（https://www.gcy.zfcg.gxzf.gov.cn/）获取招标文件，并于</w:t>
      </w:r>
      <w:r>
        <w:rPr>
          <w:rFonts w:hint="eastAsia" w:ascii="宋体" w:hAnsi="宋体" w:cs="宋体"/>
          <w:b/>
          <w:bCs/>
          <w:color w:val="auto"/>
          <w:highlight w:val="none"/>
          <w:u w:val="single"/>
        </w:rPr>
        <w:t>2026年</w:t>
      </w:r>
      <w:r>
        <w:rPr>
          <w:rFonts w:hint="eastAsia" w:ascii="宋体" w:hAnsi="宋体" w:eastAsia="宋体" w:cs="宋体"/>
          <w:b/>
          <w:bCs/>
          <w:color w:val="auto"/>
          <w:highlight w:val="none"/>
          <w:u w:val="single"/>
          <w:lang w:val="en-US" w:eastAsia="zh-CN"/>
        </w:rPr>
        <w:t>8</w:t>
      </w:r>
      <w:r>
        <w:rPr>
          <w:rFonts w:hint="eastAsia" w:ascii="宋体" w:hAnsi="宋体" w:cs="宋体"/>
          <w:b/>
          <w:bCs/>
          <w:color w:val="auto"/>
          <w:highlight w:val="none"/>
          <w:u w:val="single"/>
        </w:rPr>
        <w:t>月</w:t>
      </w:r>
      <w:r>
        <w:rPr>
          <w:rFonts w:hint="eastAsia" w:ascii="宋体" w:hAnsi="宋体" w:eastAsia="宋体" w:cs="宋体"/>
          <w:b/>
          <w:bCs/>
          <w:color w:val="auto"/>
          <w:highlight w:val="none"/>
          <w:u w:val="single"/>
          <w:lang w:val="en-US" w:eastAsia="zh-CN"/>
        </w:rPr>
        <w:t>27</w:t>
      </w:r>
      <w:r>
        <w:rPr>
          <w:rFonts w:hint="eastAsia" w:ascii="宋体" w:hAnsi="宋体" w:cs="宋体"/>
          <w:b/>
          <w:bCs/>
          <w:color w:val="auto"/>
          <w:highlight w:val="none"/>
          <w:u w:val="single"/>
        </w:rPr>
        <w:t>日</w:t>
      </w:r>
      <w:r>
        <w:rPr>
          <w:rFonts w:hint="eastAsia" w:ascii="宋体" w:hAnsi="宋体" w:eastAsia="宋体" w:cs="宋体"/>
          <w:b/>
          <w:bCs/>
          <w:color w:val="auto"/>
          <w:highlight w:val="none"/>
          <w:u w:val="single"/>
          <w:lang w:val="en-US" w:eastAsia="zh-CN"/>
        </w:rPr>
        <w:t>15</w:t>
      </w:r>
      <w:r>
        <w:rPr>
          <w:rFonts w:hint="eastAsia" w:ascii="宋体" w:hAnsi="宋体" w:cs="宋体"/>
          <w:b/>
          <w:bCs/>
          <w:color w:val="auto"/>
          <w:highlight w:val="none"/>
          <w:u w:val="single"/>
        </w:rPr>
        <w:t xml:space="preserve"> 时 </w:t>
      </w:r>
      <w:r>
        <w:rPr>
          <w:rFonts w:hint="eastAsia" w:ascii="宋体" w:hAnsi="宋体" w:eastAsia="宋体" w:cs="宋体"/>
          <w:b/>
          <w:bCs/>
          <w:color w:val="auto"/>
          <w:highlight w:val="none"/>
          <w:u w:val="single"/>
          <w:lang w:val="en-US" w:eastAsia="zh-CN"/>
        </w:rPr>
        <w:t>30</w:t>
      </w:r>
      <w:r>
        <w:rPr>
          <w:rFonts w:hint="eastAsia" w:ascii="宋体" w:hAnsi="宋体" w:cs="宋体"/>
          <w:b/>
          <w:bCs/>
          <w:color w:val="auto"/>
          <w:highlight w:val="none"/>
          <w:u w:val="single"/>
        </w:rPr>
        <w:t>分</w:t>
      </w:r>
      <w:r>
        <w:rPr>
          <w:rFonts w:hint="eastAsia" w:ascii="宋体" w:hAnsi="宋体" w:cs="宋体"/>
          <w:color w:val="auto"/>
          <w:highlight w:val="none"/>
        </w:rPr>
        <w:t>（北京时间）前提交投标文件。</w:t>
      </w:r>
    </w:p>
    <w:p w14:paraId="32D64518">
      <w:pPr>
        <w:pStyle w:val="4"/>
        <w:spacing w:before="260" w:line="227" w:lineRule="auto"/>
        <w:ind w:left="545"/>
        <w:rPr>
          <w:color w:val="auto"/>
          <w:sz w:val="20"/>
          <w:szCs w:val="20"/>
          <w:highlight w:val="none"/>
        </w:rPr>
      </w:pPr>
      <w:r>
        <w:rPr>
          <w:rFonts w:hint="eastAsia" w:ascii="宋体" w:hAnsi="宋体" w:eastAsia="宋体" w:cs="宋体"/>
          <w:b/>
          <w:snapToGrid/>
          <w:color w:val="auto"/>
          <w:kern w:val="2"/>
          <w:sz w:val="21"/>
          <w:szCs w:val="21"/>
          <w:highlight w:val="none"/>
          <w:lang w:val="en-US" w:eastAsia="zh-CN" w:bidi="ar-SA"/>
        </w:rPr>
        <w:t>一、项目基本情况</w:t>
      </w:r>
    </w:p>
    <w:p w14:paraId="391B00A9">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项目编号：GGZC2026-G3-210202-ZYXG</w:t>
      </w:r>
    </w:p>
    <w:p w14:paraId="239CD23C">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项目名称：平南县上渡街道大成第二初级中学学生食堂食材采购</w:t>
      </w:r>
    </w:p>
    <w:p w14:paraId="12856B6B">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预算总金额（元）：</w:t>
      </w:r>
      <w:r>
        <w:rPr>
          <w:rFonts w:hint="eastAsia" w:ascii="宋体" w:hAnsi="宋体" w:eastAsia="宋体" w:cs="宋体"/>
          <w:snapToGrid/>
          <w:color w:val="auto"/>
          <w:kern w:val="2"/>
          <w:highlight w:val="none"/>
          <w:lang w:val="en-US" w:eastAsia="zh-CN"/>
        </w:rPr>
        <w:t>459</w:t>
      </w:r>
      <w:r>
        <w:rPr>
          <w:rFonts w:hint="eastAsia" w:ascii="宋体" w:hAnsi="宋体" w:eastAsia="宋体" w:cs="宋体"/>
          <w:snapToGrid/>
          <w:color w:val="auto"/>
          <w:kern w:val="2"/>
          <w:highlight w:val="none"/>
          <w:lang w:eastAsia="zh-CN"/>
        </w:rPr>
        <w:t>0000.00</w:t>
      </w:r>
    </w:p>
    <w:p w14:paraId="61584C6B">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采购需求：</w:t>
      </w:r>
    </w:p>
    <w:p w14:paraId="2DE75B71">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 xml:space="preserve">标项名称:平南县上渡街道大成第二初级中学学生食堂食材采购 </w:t>
      </w:r>
    </w:p>
    <w:p w14:paraId="48852E4D">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数量:1</w:t>
      </w:r>
    </w:p>
    <w:p w14:paraId="64937ECE">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预算金额（元）：</w:t>
      </w:r>
      <w:r>
        <w:rPr>
          <w:rFonts w:hint="eastAsia" w:ascii="宋体" w:hAnsi="宋体" w:eastAsia="宋体" w:cs="宋体"/>
          <w:snapToGrid/>
          <w:color w:val="auto"/>
          <w:kern w:val="2"/>
          <w:highlight w:val="none"/>
          <w:lang w:val="en-US" w:eastAsia="zh-CN"/>
        </w:rPr>
        <w:t>459</w:t>
      </w:r>
      <w:r>
        <w:rPr>
          <w:rFonts w:hint="eastAsia" w:ascii="宋体" w:hAnsi="宋体" w:eastAsia="宋体" w:cs="宋体"/>
          <w:snapToGrid/>
          <w:color w:val="auto"/>
          <w:kern w:val="2"/>
          <w:highlight w:val="none"/>
          <w:lang w:eastAsia="zh-CN"/>
        </w:rPr>
        <w:t>0000.00</w:t>
      </w:r>
    </w:p>
    <w:p w14:paraId="3A83473B">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简要规格描述或项目基本概况介绍、用途：平南县上渡街道大成第二初级中学学生食堂食材采购，统一配送的食品原材料为学校食堂所需的食材，包括但不限于：大米、花生油、猪肉、牛肉、调味品、干杂货食品、鸡鸭肉、活鱼、豆制品、奶制品、蔬菜类、糕点类、粉类等。如需进一步了解详细内容，详见招标文件《第二章 采购需求》。</w:t>
      </w:r>
    </w:p>
    <w:p w14:paraId="37FB8919">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最高限价（如有）：/</w:t>
      </w:r>
    </w:p>
    <w:p w14:paraId="7EE0EFDB">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合同履约期限：自签订合同日期起至到2027年7月31日为止。</w:t>
      </w:r>
    </w:p>
    <w:p w14:paraId="2A3269C3">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 xml:space="preserve">本标项（否）接受联合体投标 </w:t>
      </w:r>
    </w:p>
    <w:p w14:paraId="5270F18B">
      <w:pPr>
        <w:widowControl w:val="0"/>
        <w:kinsoku/>
        <w:autoSpaceDE/>
        <w:autoSpaceDN/>
        <w:adjustRightInd/>
        <w:snapToGrid w:val="0"/>
        <w:spacing w:line="360" w:lineRule="exact"/>
        <w:ind w:firstLine="420" w:firstLineChars="200"/>
        <w:jc w:val="both"/>
        <w:textAlignment w:val="auto"/>
        <w:rPr>
          <w:rFonts w:hint="default"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备注：无</w:t>
      </w:r>
    </w:p>
    <w:p w14:paraId="42C896F6">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二、申请人的资格要求：</w:t>
      </w:r>
    </w:p>
    <w:p w14:paraId="462B330C">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1.满足《中华人民共和国政府采购法》第二十二条规定；</w:t>
      </w:r>
    </w:p>
    <w:p w14:paraId="61778951">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2.落实政府采购政策需满足的资格要求：无</w:t>
      </w:r>
    </w:p>
    <w:p w14:paraId="7382C336">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snapToGrid/>
          <w:color w:val="auto"/>
          <w:kern w:val="2"/>
          <w:highlight w:val="none"/>
          <w:lang w:val="en-US" w:eastAsia="zh-CN"/>
        </w:rPr>
        <w:t>3.本项目的特定资格要求：</w:t>
      </w:r>
      <w:r>
        <w:rPr>
          <w:rFonts w:hint="eastAsia" w:ascii="宋体" w:hAnsi="宋体" w:eastAsia="宋体" w:cs="宋体"/>
          <w:b/>
          <w:bCs/>
          <w:snapToGrid/>
          <w:color w:val="auto"/>
          <w:kern w:val="2"/>
          <w:highlight w:val="none"/>
          <w:lang w:val="en-US" w:eastAsia="zh-CN"/>
        </w:rPr>
        <w:t>具备有效的《食品经营许可证》或《食品生产许可证》（提供有效期内的证书复印件）。</w:t>
      </w:r>
    </w:p>
    <w:p w14:paraId="69D96578">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4.对在“信用中国”网站（WWW.credichina.gov.co）、中国政府采购网（WWW.ccgp.gov.co）等渠道列入失信被执行人、重大税收违法案件当事人名单、政府采购严重违法失信行为记录名单、在行业经营期间（近三年）有过食品安全事故及其他不符合《中华人民共和国政府采购法》第二十二条规定条件的供应商，不接受参与采购活动。</w:t>
      </w:r>
    </w:p>
    <w:p w14:paraId="04A7A6C8">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val="en-US" w:eastAsia="zh-CN"/>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EC83513">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三、获取招标文件</w:t>
      </w:r>
    </w:p>
    <w:p w14:paraId="08B0AB09">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时间：</w:t>
      </w:r>
      <w:r>
        <w:rPr>
          <w:rFonts w:hint="eastAsia" w:ascii="宋体" w:hAnsi="宋体" w:eastAsia="宋体" w:cs="宋体"/>
          <w:b/>
          <w:bCs/>
          <w:snapToGrid/>
          <w:color w:val="auto"/>
          <w:kern w:val="2"/>
          <w:highlight w:val="none"/>
          <w:lang w:eastAsia="zh-CN"/>
        </w:rPr>
        <w:t>202</w:t>
      </w:r>
      <w:r>
        <w:rPr>
          <w:rFonts w:hint="eastAsia" w:ascii="宋体" w:hAnsi="宋体" w:eastAsia="宋体" w:cs="宋体"/>
          <w:b/>
          <w:bCs/>
          <w:snapToGrid/>
          <w:color w:val="auto"/>
          <w:kern w:val="2"/>
          <w:highlight w:val="none"/>
          <w:lang w:val="en-US" w:eastAsia="zh-CN"/>
        </w:rPr>
        <w:t>6</w:t>
      </w:r>
      <w:r>
        <w:rPr>
          <w:rFonts w:hint="eastAsia" w:ascii="宋体" w:hAnsi="宋体" w:eastAsia="宋体" w:cs="宋体"/>
          <w:b/>
          <w:bCs/>
          <w:snapToGrid/>
          <w:color w:val="auto"/>
          <w:kern w:val="2"/>
          <w:highlight w:val="none"/>
          <w:lang w:eastAsia="zh-CN"/>
        </w:rPr>
        <w:t>年</w:t>
      </w:r>
      <w:r>
        <w:rPr>
          <w:rFonts w:hint="eastAsia" w:ascii="宋体" w:hAnsi="宋体" w:eastAsia="宋体" w:cs="宋体"/>
          <w:b/>
          <w:bCs/>
          <w:snapToGrid/>
          <w:color w:val="auto"/>
          <w:kern w:val="2"/>
          <w:highlight w:val="none"/>
          <w:lang w:val="en-US" w:eastAsia="zh-CN"/>
        </w:rPr>
        <w:t>8</w:t>
      </w:r>
      <w:r>
        <w:rPr>
          <w:rFonts w:hint="eastAsia" w:ascii="宋体" w:hAnsi="宋体" w:eastAsia="宋体" w:cs="宋体"/>
          <w:b/>
          <w:bCs/>
          <w:snapToGrid/>
          <w:color w:val="auto"/>
          <w:kern w:val="2"/>
          <w:highlight w:val="none"/>
          <w:lang w:eastAsia="zh-CN"/>
        </w:rPr>
        <w:t>月</w:t>
      </w:r>
      <w:r>
        <w:rPr>
          <w:rFonts w:hint="eastAsia" w:ascii="宋体" w:hAnsi="宋体" w:eastAsia="宋体" w:cs="宋体"/>
          <w:b/>
          <w:bCs/>
          <w:snapToGrid/>
          <w:color w:val="auto"/>
          <w:kern w:val="2"/>
          <w:highlight w:val="none"/>
          <w:lang w:val="en-US" w:eastAsia="zh-CN"/>
        </w:rPr>
        <w:t>4</w:t>
      </w:r>
      <w:r>
        <w:rPr>
          <w:rFonts w:hint="eastAsia" w:ascii="宋体" w:hAnsi="宋体" w:eastAsia="宋体" w:cs="宋体"/>
          <w:b/>
          <w:bCs/>
          <w:snapToGrid/>
          <w:color w:val="auto"/>
          <w:kern w:val="2"/>
          <w:highlight w:val="none"/>
          <w:lang w:eastAsia="zh-CN"/>
        </w:rPr>
        <w:t>日至202</w:t>
      </w:r>
      <w:r>
        <w:rPr>
          <w:rFonts w:hint="eastAsia" w:ascii="宋体" w:hAnsi="宋体" w:eastAsia="宋体" w:cs="宋体"/>
          <w:b/>
          <w:bCs/>
          <w:snapToGrid/>
          <w:color w:val="auto"/>
          <w:kern w:val="2"/>
          <w:highlight w:val="none"/>
          <w:lang w:val="en-US" w:eastAsia="zh-CN"/>
        </w:rPr>
        <w:t>6</w:t>
      </w:r>
      <w:r>
        <w:rPr>
          <w:rFonts w:hint="eastAsia" w:ascii="宋体" w:hAnsi="宋体" w:eastAsia="宋体" w:cs="宋体"/>
          <w:b/>
          <w:bCs/>
          <w:snapToGrid/>
          <w:color w:val="auto"/>
          <w:kern w:val="2"/>
          <w:highlight w:val="none"/>
          <w:lang w:eastAsia="zh-CN"/>
        </w:rPr>
        <w:t xml:space="preserve">年 </w:t>
      </w:r>
      <w:r>
        <w:rPr>
          <w:rFonts w:hint="eastAsia" w:ascii="宋体" w:hAnsi="宋体" w:eastAsia="宋体" w:cs="宋体"/>
          <w:b/>
          <w:bCs/>
          <w:snapToGrid/>
          <w:color w:val="auto"/>
          <w:kern w:val="2"/>
          <w:highlight w:val="none"/>
          <w:lang w:val="en-US" w:eastAsia="zh-CN"/>
        </w:rPr>
        <w:t>8</w:t>
      </w:r>
      <w:r>
        <w:rPr>
          <w:rFonts w:hint="eastAsia" w:ascii="宋体" w:hAnsi="宋体" w:eastAsia="宋体" w:cs="宋体"/>
          <w:b/>
          <w:bCs/>
          <w:snapToGrid/>
          <w:color w:val="auto"/>
          <w:kern w:val="2"/>
          <w:highlight w:val="none"/>
          <w:lang w:eastAsia="zh-CN"/>
        </w:rPr>
        <w:t>月</w:t>
      </w:r>
      <w:r>
        <w:rPr>
          <w:rFonts w:hint="eastAsia" w:ascii="宋体" w:hAnsi="宋体" w:eastAsia="宋体" w:cs="宋体"/>
          <w:b/>
          <w:bCs/>
          <w:snapToGrid/>
          <w:color w:val="auto"/>
          <w:kern w:val="2"/>
          <w:highlight w:val="none"/>
          <w:lang w:val="en-US" w:eastAsia="zh-CN"/>
        </w:rPr>
        <w:t>27</w:t>
      </w:r>
      <w:r>
        <w:rPr>
          <w:rFonts w:hint="eastAsia" w:ascii="宋体" w:hAnsi="宋体" w:eastAsia="宋体" w:cs="宋体"/>
          <w:b/>
          <w:bCs/>
          <w:snapToGrid/>
          <w:color w:val="auto"/>
          <w:kern w:val="2"/>
          <w:highlight w:val="none"/>
          <w:lang w:eastAsia="zh-CN"/>
        </w:rPr>
        <w:t>日</w:t>
      </w:r>
      <w:r>
        <w:rPr>
          <w:rFonts w:hint="eastAsia" w:ascii="宋体" w:hAnsi="宋体" w:eastAsia="宋体" w:cs="宋体"/>
          <w:snapToGrid/>
          <w:color w:val="auto"/>
          <w:kern w:val="2"/>
          <w:highlight w:val="none"/>
          <w:lang w:eastAsia="zh-CN"/>
        </w:rPr>
        <w:t xml:space="preserve"> ，每天上午00:00至12:00，下午12:00至23:59（北京时间，法定节假日除外）；</w:t>
      </w:r>
    </w:p>
    <w:p w14:paraId="6E781CCD">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地点：广西政府采购云平台（https://www.gcy.zfcg.gxzf.gov.cn/）</w:t>
      </w:r>
    </w:p>
    <w:p w14:paraId="699A6D17">
      <w:pPr>
        <w:widowControl w:val="0"/>
        <w:kinsoku/>
        <w:autoSpaceDE/>
        <w:autoSpaceDN/>
        <w:adjustRightInd/>
        <w:snapToGrid w:val="0"/>
        <w:spacing w:line="36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方式：网上下载。潜在投标人可自行在广西政府采购云平台（</w:t>
      </w:r>
      <w:r>
        <w:rPr>
          <w:rFonts w:hint="eastAsia" w:ascii="宋体" w:hAnsi="宋体" w:eastAsia="宋体" w:cs="宋体"/>
          <w:snapToGrid/>
          <w:color w:val="auto"/>
          <w:kern w:val="2"/>
          <w:highlight w:val="none"/>
          <w:lang w:eastAsia="zh-CN"/>
        </w:rPr>
        <w:fldChar w:fldCharType="begin"/>
      </w:r>
      <w:r>
        <w:rPr>
          <w:rFonts w:hint="eastAsia" w:ascii="宋体" w:hAnsi="宋体" w:eastAsia="宋体" w:cs="宋体"/>
          <w:snapToGrid/>
          <w:color w:val="auto"/>
          <w:kern w:val="2"/>
          <w:highlight w:val="none"/>
          <w:lang w:eastAsia="zh-CN"/>
        </w:rPr>
        <w:instrText xml:space="preserve"> HYPERLINK "https://www.gcy.zfcg.gxzf.gov.cn/" </w:instrText>
      </w:r>
      <w:r>
        <w:rPr>
          <w:rFonts w:hint="eastAsia" w:ascii="宋体" w:hAnsi="宋体" w:eastAsia="宋体" w:cs="宋体"/>
          <w:snapToGrid/>
          <w:color w:val="auto"/>
          <w:kern w:val="2"/>
          <w:highlight w:val="none"/>
          <w:lang w:eastAsia="zh-CN"/>
        </w:rPr>
        <w:fldChar w:fldCharType="separate"/>
      </w:r>
      <w:r>
        <w:rPr>
          <w:rFonts w:hint="eastAsia" w:ascii="宋体" w:hAnsi="宋体" w:eastAsia="宋体" w:cs="宋体"/>
          <w:snapToGrid/>
          <w:color w:val="auto"/>
          <w:kern w:val="2"/>
          <w:highlight w:val="none"/>
          <w:lang w:eastAsia="zh-CN"/>
        </w:rPr>
        <w:t>https://www.gcy.zfcg.gxzf.gov.cn/</w:t>
      </w:r>
      <w:r>
        <w:rPr>
          <w:rFonts w:hint="eastAsia" w:ascii="宋体" w:hAnsi="宋体" w:eastAsia="宋体" w:cs="宋体"/>
          <w:snapToGrid/>
          <w:color w:val="auto"/>
          <w:kern w:val="2"/>
          <w:highlight w:val="none"/>
          <w:lang w:eastAsia="zh-CN"/>
        </w:rPr>
        <w:fldChar w:fldCharType="end"/>
      </w:r>
      <w:r>
        <w:rPr>
          <w:rFonts w:hint="eastAsia" w:ascii="宋体" w:hAnsi="宋体" w:eastAsia="宋体" w:cs="宋体"/>
          <w:snapToGrid/>
          <w:color w:val="auto"/>
          <w:kern w:val="2"/>
          <w:highlight w:val="none"/>
          <w:lang w:eastAsia="zh-CN"/>
        </w:rPr>
        <w:t>）下载招标文件（操作路径：登录广西政府采购云平台-项目采购-获取采购文件-找到本项目-点击“ 申请获取采购文件 ”）， 电子投标文件制作需要基于广西政府采购云平台获取的招标文件编制，未在广西政府采购云平台注册的投标人可在获取公开招标文件前登录广西政府采购云平台（https://www.gcy.zfcg.gxzf.gov.cn/）进行注册。如在操作过程中遇到问题或需技术支持，请致电广西政府采购云平台客服热线：95763。</w:t>
      </w:r>
    </w:p>
    <w:p w14:paraId="3099B7C7">
      <w:pPr>
        <w:widowControl w:val="0"/>
        <w:kinsoku/>
        <w:autoSpaceDE/>
        <w:autoSpaceDN/>
        <w:adjustRightInd/>
        <w:snapToGrid w:val="0"/>
        <w:spacing w:line="360" w:lineRule="exact"/>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四、提交投标文件截止时间、开标时间和地点</w:t>
      </w:r>
    </w:p>
    <w:p w14:paraId="2E498EB9">
      <w:pPr>
        <w:widowControl w:val="0"/>
        <w:kinsoku/>
        <w:autoSpaceDE/>
        <w:autoSpaceDN/>
        <w:adjustRightInd/>
        <w:snapToGrid/>
        <w:spacing w:line="400" w:lineRule="exact"/>
        <w:ind w:firstLine="422"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b/>
          <w:bCs/>
          <w:snapToGrid/>
          <w:color w:val="auto"/>
          <w:kern w:val="2"/>
          <w:highlight w:val="none"/>
          <w:lang w:eastAsia="zh-CN"/>
        </w:rPr>
        <w:t>提交投标文件截止时间：202</w:t>
      </w:r>
      <w:r>
        <w:rPr>
          <w:rFonts w:hint="eastAsia" w:ascii="宋体" w:hAnsi="宋体" w:eastAsia="宋体" w:cs="宋体"/>
          <w:b/>
          <w:bCs/>
          <w:snapToGrid/>
          <w:color w:val="auto"/>
          <w:kern w:val="2"/>
          <w:highlight w:val="none"/>
          <w:lang w:val="en-US" w:eastAsia="zh-CN"/>
        </w:rPr>
        <w:t>6</w:t>
      </w:r>
      <w:r>
        <w:rPr>
          <w:rFonts w:hint="eastAsia" w:ascii="宋体" w:hAnsi="宋体" w:eastAsia="宋体" w:cs="宋体"/>
          <w:b/>
          <w:bCs/>
          <w:snapToGrid/>
          <w:color w:val="auto"/>
          <w:kern w:val="2"/>
          <w:highlight w:val="none"/>
          <w:lang w:eastAsia="zh-CN"/>
        </w:rPr>
        <w:t>年</w:t>
      </w:r>
      <w:r>
        <w:rPr>
          <w:rFonts w:hint="eastAsia" w:ascii="宋体" w:hAnsi="宋体" w:eastAsia="宋体" w:cs="宋体"/>
          <w:b/>
          <w:bCs/>
          <w:snapToGrid/>
          <w:color w:val="auto"/>
          <w:kern w:val="2"/>
          <w:highlight w:val="none"/>
          <w:lang w:val="en-US" w:eastAsia="zh-CN"/>
        </w:rPr>
        <w:t>8</w:t>
      </w:r>
      <w:r>
        <w:rPr>
          <w:rFonts w:hint="eastAsia" w:ascii="宋体" w:hAnsi="宋体" w:eastAsia="宋体" w:cs="宋体"/>
          <w:b/>
          <w:bCs/>
          <w:snapToGrid/>
          <w:color w:val="auto"/>
          <w:kern w:val="2"/>
          <w:highlight w:val="none"/>
          <w:lang w:eastAsia="zh-CN"/>
        </w:rPr>
        <w:t>月</w:t>
      </w:r>
      <w:r>
        <w:rPr>
          <w:rFonts w:hint="eastAsia" w:ascii="宋体" w:hAnsi="宋体" w:eastAsia="宋体" w:cs="宋体"/>
          <w:b/>
          <w:bCs/>
          <w:snapToGrid/>
          <w:color w:val="auto"/>
          <w:kern w:val="2"/>
          <w:highlight w:val="none"/>
          <w:lang w:val="en-US" w:eastAsia="zh-CN"/>
        </w:rPr>
        <w:t>27</w:t>
      </w:r>
      <w:r>
        <w:rPr>
          <w:rFonts w:hint="eastAsia" w:ascii="宋体" w:hAnsi="宋体" w:eastAsia="宋体" w:cs="宋体"/>
          <w:b/>
          <w:bCs/>
          <w:snapToGrid/>
          <w:color w:val="auto"/>
          <w:kern w:val="2"/>
          <w:highlight w:val="none"/>
          <w:lang w:eastAsia="zh-CN"/>
        </w:rPr>
        <w:t>日</w:t>
      </w:r>
      <w:r>
        <w:rPr>
          <w:rFonts w:hint="eastAsia" w:ascii="宋体" w:hAnsi="宋体" w:eastAsia="宋体" w:cs="宋体"/>
          <w:b/>
          <w:bCs/>
          <w:snapToGrid/>
          <w:color w:val="auto"/>
          <w:kern w:val="2"/>
          <w:highlight w:val="none"/>
          <w:lang w:val="en-US" w:eastAsia="zh-CN"/>
        </w:rPr>
        <w:t>15</w:t>
      </w:r>
      <w:r>
        <w:rPr>
          <w:rFonts w:hint="eastAsia" w:ascii="宋体" w:hAnsi="宋体" w:eastAsia="宋体" w:cs="宋体"/>
          <w:b/>
          <w:bCs/>
          <w:snapToGrid/>
          <w:color w:val="auto"/>
          <w:kern w:val="2"/>
          <w:highlight w:val="none"/>
          <w:lang w:eastAsia="zh-CN"/>
        </w:rPr>
        <w:t>点</w:t>
      </w:r>
      <w:r>
        <w:rPr>
          <w:rFonts w:hint="eastAsia" w:ascii="宋体" w:hAnsi="宋体" w:eastAsia="宋体" w:cs="宋体"/>
          <w:b/>
          <w:bCs/>
          <w:snapToGrid/>
          <w:color w:val="auto"/>
          <w:kern w:val="2"/>
          <w:highlight w:val="none"/>
          <w:lang w:val="en-US" w:eastAsia="zh-CN"/>
        </w:rPr>
        <w:t>30</w:t>
      </w:r>
      <w:r>
        <w:rPr>
          <w:rFonts w:hint="eastAsia" w:ascii="宋体" w:hAnsi="宋体" w:eastAsia="宋体" w:cs="宋体"/>
          <w:b/>
          <w:bCs/>
          <w:snapToGrid/>
          <w:color w:val="auto"/>
          <w:kern w:val="2"/>
          <w:highlight w:val="none"/>
          <w:lang w:eastAsia="zh-CN"/>
        </w:rPr>
        <w:t>分（北京时间）</w:t>
      </w:r>
    </w:p>
    <w:p w14:paraId="5CE8CEDC">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投标地点（网址）：广西政府采购云平台（https://www.gcy.zfcg.gxzf.gov.cn/）</w:t>
      </w:r>
    </w:p>
    <w:p w14:paraId="1A5784A0">
      <w:pPr>
        <w:widowControl w:val="0"/>
        <w:kinsoku/>
        <w:autoSpaceDE/>
        <w:autoSpaceDN/>
        <w:adjustRightInd/>
        <w:snapToGrid/>
        <w:spacing w:line="400" w:lineRule="exact"/>
        <w:ind w:firstLine="422"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b/>
          <w:bCs/>
          <w:snapToGrid/>
          <w:color w:val="auto"/>
          <w:kern w:val="2"/>
          <w:highlight w:val="none"/>
          <w:lang w:eastAsia="zh-CN"/>
        </w:rPr>
        <w:t>开标时间：202</w:t>
      </w:r>
      <w:r>
        <w:rPr>
          <w:rFonts w:hint="eastAsia" w:ascii="宋体" w:hAnsi="宋体" w:eastAsia="宋体" w:cs="宋体"/>
          <w:b/>
          <w:bCs/>
          <w:snapToGrid/>
          <w:color w:val="auto"/>
          <w:kern w:val="2"/>
          <w:highlight w:val="none"/>
          <w:lang w:val="en-US" w:eastAsia="zh-CN"/>
        </w:rPr>
        <w:t>6</w:t>
      </w:r>
      <w:r>
        <w:rPr>
          <w:rFonts w:hint="eastAsia" w:ascii="宋体" w:hAnsi="宋体" w:eastAsia="宋体" w:cs="宋体"/>
          <w:b/>
          <w:bCs/>
          <w:snapToGrid/>
          <w:color w:val="auto"/>
          <w:kern w:val="2"/>
          <w:highlight w:val="none"/>
          <w:lang w:eastAsia="zh-CN"/>
        </w:rPr>
        <w:t xml:space="preserve">年 </w:t>
      </w:r>
      <w:r>
        <w:rPr>
          <w:rFonts w:hint="eastAsia" w:ascii="宋体" w:hAnsi="宋体" w:eastAsia="宋体" w:cs="宋体"/>
          <w:b/>
          <w:bCs/>
          <w:snapToGrid/>
          <w:color w:val="auto"/>
          <w:kern w:val="2"/>
          <w:highlight w:val="none"/>
          <w:lang w:val="en-US" w:eastAsia="zh-CN"/>
        </w:rPr>
        <w:t>8</w:t>
      </w:r>
      <w:r>
        <w:rPr>
          <w:rFonts w:hint="eastAsia" w:ascii="宋体" w:hAnsi="宋体" w:eastAsia="宋体" w:cs="宋体"/>
          <w:b/>
          <w:bCs/>
          <w:snapToGrid/>
          <w:color w:val="auto"/>
          <w:kern w:val="2"/>
          <w:highlight w:val="none"/>
          <w:lang w:eastAsia="zh-CN"/>
        </w:rPr>
        <w:t>月</w:t>
      </w:r>
      <w:r>
        <w:rPr>
          <w:rFonts w:hint="eastAsia" w:ascii="宋体" w:hAnsi="宋体" w:eastAsia="宋体" w:cs="宋体"/>
          <w:b/>
          <w:bCs/>
          <w:snapToGrid/>
          <w:color w:val="auto"/>
          <w:kern w:val="2"/>
          <w:highlight w:val="none"/>
          <w:lang w:val="en-US" w:eastAsia="zh-CN"/>
        </w:rPr>
        <w:t>27</w:t>
      </w:r>
      <w:r>
        <w:rPr>
          <w:rFonts w:hint="eastAsia" w:ascii="宋体" w:hAnsi="宋体" w:eastAsia="宋体" w:cs="宋体"/>
          <w:b/>
          <w:bCs/>
          <w:snapToGrid/>
          <w:color w:val="auto"/>
          <w:kern w:val="2"/>
          <w:highlight w:val="none"/>
          <w:lang w:eastAsia="zh-CN"/>
        </w:rPr>
        <w:t>日</w:t>
      </w:r>
      <w:r>
        <w:rPr>
          <w:rFonts w:hint="eastAsia" w:ascii="宋体" w:hAnsi="宋体" w:eastAsia="宋体" w:cs="宋体"/>
          <w:b/>
          <w:bCs/>
          <w:snapToGrid/>
          <w:color w:val="auto"/>
          <w:kern w:val="2"/>
          <w:highlight w:val="none"/>
          <w:lang w:val="en-US" w:eastAsia="zh-CN"/>
        </w:rPr>
        <w:t>15</w:t>
      </w:r>
      <w:r>
        <w:rPr>
          <w:rFonts w:hint="eastAsia" w:ascii="宋体" w:hAnsi="宋体" w:eastAsia="宋体" w:cs="宋体"/>
          <w:b/>
          <w:bCs/>
          <w:snapToGrid/>
          <w:color w:val="auto"/>
          <w:kern w:val="2"/>
          <w:highlight w:val="none"/>
          <w:lang w:eastAsia="zh-CN"/>
        </w:rPr>
        <w:t>点</w:t>
      </w:r>
      <w:r>
        <w:rPr>
          <w:rFonts w:hint="eastAsia" w:ascii="宋体" w:hAnsi="宋体" w:eastAsia="宋体" w:cs="宋体"/>
          <w:b/>
          <w:bCs/>
          <w:snapToGrid/>
          <w:color w:val="auto"/>
          <w:kern w:val="2"/>
          <w:highlight w:val="none"/>
          <w:lang w:val="en-US" w:eastAsia="zh-CN"/>
        </w:rPr>
        <w:t>30</w:t>
      </w:r>
      <w:r>
        <w:rPr>
          <w:rFonts w:hint="eastAsia" w:ascii="宋体" w:hAnsi="宋体" w:eastAsia="宋体" w:cs="宋体"/>
          <w:b/>
          <w:bCs/>
          <w:snapToGrid/>
          <w:color w:val="auto"/>
          <w:kern w:val="2"/>
          <w:highlight w:val="none"/>
          <w:lang w:eastAsia="zh-CN"/>
        </w:rPr>
        <w:t>分</w:t>
      </w:r>
    </w:p>
    <w:p w14:paraId="51F33BFE">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开标地点：请登录广西政府采购云平台投标客户端投标。</w:t>
      </w:r>
    </w:p>
    <w:p w14:paraId="6FFC17EE">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五、公告期限</w:t>
      </w:r>
    </w:p>
    <w:p w14:paraId="1B3A9DD6">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自本公告发布之日起5个工作日。</w:t>
      </w:r>
    </w:p>
    <w:p w14:paraId="0A2EC532">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六、其他补充事宜</w:t>
      </w:r>
    </w:p>
    <w:p w14:paraId="09DC221F">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1.本项目需要落实的政府采购政策：</w:t>
      </w:r>
    </w:p>
    <w:p w14:paraId="1702157B">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（1）政府采购促进中小企业发展。</w:t>
      </w:r>
    </w:p>
    <w:p w14:paraId="348B6A21">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（2）政府采购支持采用本国产品的政策。</w:t>
      </w:r>
    </w:p>
    <w:p w14:paraId="478A47B8">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（3）强制采购节能产品、优先采购环境标志产品、节能产品。</w:t>
      </w:r>
    </w:p>
    <w:p w14:paraId="24EE6D68">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（4）政府采购促进残疾人就业政策。</w:t>
      </w:r>
    </w:p>
    <w:p w14:paraId="0C017DA9">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（5）政府采购支持监狱企业发展。</w:t>
      </w:r>
    </w:p>
    <w:p w14:paraId="0F2C2441">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（6）扶持不发达地区和少数民族地区政策等政府采购相关政策。</w:t>
      </w:r>
    </w:p>
    <w:p w14:paraId="35D686EC">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2、投标保证金：本项目不需要缴纳投标保证金。</w:t>
      </w:r>
    </w:p>
    <w:p w14:paraId="07ABB7C3">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3、网上查询地址：http：//www.ccgp.gov.cn（中国政府采购网）、http：//www.gxzfcg.gov.cn（广 西壮族自治区政府采购网）、http：//ggzy.jg swj.gxzf.gov.cn/ggggzy/[全国公共资源交易平台（广西 ·贵 港）]。</w:t>
      </w:r>
    </w:p>
    <w:p w14:paraId="0BA855F1">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4、在线投标响应（电子投标）说明</w:t>
      </w:r>
    </w:p>
    <w:p w14:paraId="01BDA474">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（1）投标文件提交方式：本项目为全流程电子化项目，通过广西政府采购云平台（</w:t>
      </w:r>
      <w:r>
        <w:rPr>
          <w:rFonts w:hint="eastAsia" w:ascii="宋体" w:hAnsi="宋体" w:eastAsia="宋体" w:cs="宋体"/>
          <w:snapToGrid/>
          <w:color w:val="auto"/>
          <w:kern w:val="2"/>
          <w:highlight w:val="none"/>
          <w:lang w:eastAsia="zh-CN"/>
        </w:rPr>
        <w:fldChar w:fldCharType="begin"/>
      </w:r>
      <w:r>
        <w:rPr>
          <w:rFonts w:hint="eastAsia" w:ascii="宋体" w:hAnsi="宋体" w:eastAsia="宋体" w:cs="宋体"/>
          <w:snapToGrid/>
          <w:color w:val="auto"/>
          <w:kern w:val="2"/>
          <w:highlight w:val="none"/>
          <w:lang w:eastAsia="zh-CN"/>
        </w:rPr>
        <w:instrText xml:space="preserve"> HYPERLINK "https://www.gcy.zfcg.gxzf.gov.cn/" </w:instrText>
      </w:r>
      <w:r>
        <w:rPr>
          <w:rFonts w:hint="eastAsia" w:ascii="宋体" w:hAnsi="宋体" w:eastAsia="宋体" w:cs="宋体"/>
          <w:snapToGrid/>
          <w:color w:val="auto"/>
          <w:kern w:val="2"/>
          <w:highlight w:val="none"/>
          <w:lang w:eastAsia="zh-CN"/>
        </w:rPr>
        <w:fldChar w:fldCharType="separate"/>
      </w:r>
      <w:r>
        <w:rPr>
          <w:rFonts w:hint="eastAsia" w:ascii="宋体" w:hAnsi="宋体" w:eastAsia="宋体" w:cs="宋体"/>
          <w:snapToGrid/>
          <w:color w:val="auto"/>
          <w:kern w:val="2"/>
          <w:highlight w:val="none"/>
          <w:lang w:eastAsia="zh-CN"/>
        </w:rPr>
        <w:t>https://www.gcy.zfcg.gxzf.gov.cn/</w:t>
      </w:r>
      <w:r>
        <w:rPr>
          <w:rFonts w:hint="eastAsia" w:ascii="宋体" w:hAnsi="宋体" w:eastAsia="宋体" w:cs="宋体"/>
          <w:snapToGrid/>
          <w:color w:val="auto"/>
          <w:kern w:val="2"/>
          <w:highlight w:val="none"/>
          <w:lang w:eastAsia="zh-CN"/>
        </w:rPr>
        <w:fldChar w:fldCharType="end"/>
      </w:r>
      <w:r>
        <w:rPr>
          <w:rFonts w:hint="eastAsia" w:ascii="宋体" w:hAnsi="宋体" w:eastAsia="宋体" w:cs="宋体"/>
          <w:snapToGrid/>
          <w:color w:val="auto"/>
          <w:kern w:val="2"/>
          <w:highlight w:val="none"/>
          <w:lang w:eastAsia="zh-CN"/>
        </w:rPr>
        <w:t>）实行在线电子投标，供应商应先安装“广西政府采购云平台电子交易客户端”（客户端下载路径：广西政府采购网（访问地址http://zfcg.gxzf.gov.cn/）—办事服务—下载专区），并按照本项目招标文件和广西政府采购云平台的要求编制、加密后在投标截止时间前通过网络上传至广西政府采购云平台，投标人在广西政府采购云平台提交电子版投标文件时，请填写参加远程开标活动经办人联系方式。</w:t>
      </w:r>
    </w:p>
    <w:p w14:paraId="744B8DE7">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（2）未进行网上注册并办理数字证书（CA认证）的供应商将无法参与本项目政府采购活动，潜在投标 人应当在投标截止时间前，完成电子交易平台上的CA数字证书办理及投标文件的提交。</w:t>
      </w:r>
    </w:p>
    <w:p w14:paraId="510447DE">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（3）为确保网上操作合法、有效和安全，请投标人确保在电子投标过程中能够对相关数据电文进行加 密和使用电子签章，妥善保管CA数字证书并使用有效的CA数字证书参与整个招标活动。</w:t>
      </w:r>
    </w:p>
    <w:p w14:paraId="50C07150">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 采购云平台将予以拒收。</w:t>
      </w:r>
    </w:p>
    <w:p w14:paraId="77D28612">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（4）CA证书在线解密：投标人投标时，需携带制作投标文件时用来加密的有效数字证书（CA认证）登录广西政府采购云平台电子开标大厅现场按规定时间对加密的投标文件进行解密。</w:t>
      </w:r>
    </w:p>
    <w:p w14:paraId="37216EBE">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（5）若对项目采购电子交易系统操作有疑问，可登录广西政府采购云平台（</w:t>
      </w:r>
      <w:r>
        <w:rPr>
          <w:rFonts w:hint="eastAsia" w:ascii="宋体" w:hAnsi="宋体" w:eastAsia="宋体" w:cs="宋体"/>
          <w:snapToGrid/>
          <w:color w:val="auto"/>
          <w:kern w:val="2"/>
          <w:highlight w:val="none"/>
          <w:lang w:eastAsia="zh-CN"/>
        </w:rPr>
        <w:fldChar w:fldCharType="begin"/>
      </w:r>
      <w:r>
        <w:rPr>
          <w:rFonts w:hint="eastAsia" w:ascii="宋体" w:hAnsi="宋体" w:eastAsia="宋体" w:cs="宋体"/>
          <w:snapToGrid/>
          <w:color w:val="auto"/>
          <w:kern w:val="2"/>
          <w:highlight w:val="none"/>
          <w:lang w:eastAsia="zh-CN"/>
        </w:rPr>
        <w:instrText xml:space="preserve"> HYPERLINK "https://www.gcy.zfcg.gxzf.gov.cn/" </w:instrText>
      </w:r>
      <w:r>
        <w:rPr>
          <w:rFonts w:hint="eastAsia" w:ascii="宋体" w:hAnsi="宋体" w:eastAsia="宋体" w:cs="宋体"/>
          <w:snapToGrid/>
          <w:color w:val="auto"/>
          <w:kern w:val="2"/>
          <w:highlight w:val="none"/>
          <w:lang w:eastAsia="zh-CN"/>
        </w:rPr>
        <w:fldChar w:fldCharType="separate"/>
      </w:r>
      <w:r>
        <w:rPr>
          <w:rFonts w:hint="eastAsia" w:ascii="宋体" w:hAnsi="宋体" w:eastAsia="宋体" w:cs="宋体"/>
          <w:snapToGrid/>
          <w:color w:val="auto"/>
          <w:kern w:val="2"/>
          <w:highlight w:val="none"/>
          <w:lang w:eastAsia="zh-CN"/>
        </w:rPr>
        <w:t>https://www.gcy.zfcg.gxzf.gov.cn/</w:t>
      </w:r>
      <w:r>
        <w:rPr>
          <w:rFonts w:hint="eastAsia" w:ascii="宋体" w:hAnsi="宋体" w:eastAsia="宋体" w:cs="宋体"/>
          <w:snapToGrid/>
          <w:color w:val="auto"/>
          <w:kern w:val="2"/>
          <w:highlight w:val="none"/>
          <w:lang w:eastAsia="zh-CN"/>
        </w:rPr>
        <w:fldChar w:fldCharType="end"/>
      </w:r>
      <w:r>
        <w:rPr>
          <w:rFonts w:hint="eastAsia" w:ascii="宋体" w:hAnsi="宋体" w:eastAsia="宋体" w:cs="宋体"/>
          <w:snapToGrid/>
          <w:color w:val="auto"/>
          <w:kern w:val="2"/>
          <w:highlight w:val="none"/>
          <w:lang w:eastAsia="zh-CN"/>
        </w:rPr>
        <w:t>），点击右侧咨询小采，获取采小蜜智能服务管家帮助，或拨打</w:t>
      </w:r>
    </w:p>
    <w:p w14:paraId="76EECD55">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广西政府采购云平台服务热线95763获取热线服务帮助。</w:t>
      </w:r>
    </w:p>
    <w:p w14:paraId="0071B978">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5、本项目</w:t>
      </w:r>
      <w:r>
        <w:rPr>
          <w:rFonts w:hint="eastAsia" w:ascii="宋体" w:hAnsi="宋体" w:eastAsia="宋体" w:cs="宋体"/>
          <w:snapToGrid/>
          <w:color w:val="auto"/>
          <w:kern w:val="2"/>
          <w:highlight w:val="none"/>
          <w:lang w:val="en-US" w:eastAsia="zh-CN"/>
        </w:rPr>
        <w:t>不</w:t>
      </w:r>
      <w:r>
        <w:rPr>
          <w:rFonts w:hint="eastAsia" w:ascii="宋体" w:hAnsi="宋体" w:eastAsia="宋体" w:cs="宋体"/>
          <w:snapToGrid/>
          <w:color w:val="auto"/>
          <w:kern w:val="2"/>
          <w:highlight w:val="none"/>
          <w:lang w:eastAsia="zh-CN"/>
        </w:rPr>
        <w:t>采用远程异地评审方式。</w:t>
      </w:r>
    </w:p>
    <w:p w14:paraId="163FF461">
      <w:pPr>
        <w:widowControl w:val="0"/>
        <w:kinsoku/>
        <w:autoSpaceDE/>
        <w:autoSpaceDN/>
        <w:adjustRightInd/>
        <w:snapToGrid/>
        <w:spacing w:line="40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6、监督部门：平南县财政局政府采购监督管理股 0775-7820666</w:t>
      </w:r>
    </w:p>
    <w:p w14:paraId="3AE7855F">
      <w:pPr>
        <w:widowControl w:val="0"/>
        <w:kinsoku/>
        <w:autoSpaceDE/>
        <w:autoSpaceDN/>
        <w:adjustRightInd/>
        <w:snapToGrid/>
        <w:spacing w:line="400" w:lineRule="exact"/>
        <w:ind w:firstLine="1890" w:firstLineChars="9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平南县教育局         联系电话：0775-7865289</w:t>
      </w:r>
    </w:p>
    <w:p w14:paraId="5AE65870">
      <w:pPr>
        <w:pStyle w:val="4"/>
        <w:spacing w:before="260" w:line="227" w:lineRule="auto"/>
        <w:ind w:left="545"/>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七、对本次招标提出询问，请按以下方式联系：</w:t>
      </w:r>
    </w:p>
    <w:p w14:paraId="224C1121">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1.采购单位信息</w:t>
      </w:r>
    </w:p>
    <w:p w14:paraId="77B454F6">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名    称：平南县上渡街道大成第二初级中学</w:t>
      </w:r>
    </w:p>
    <w:p w14:paraId="7956EB20">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地    址：平南县上渡街道大成工业园</w:t>
      </w:r>
    </w:p>
    <w:p w14:paraId="7B51009A">
      <w:pPr>
        <w:pStyle w:val="6"/>
        <w:widowControl w:val="0"/>
        <w:tabs>
          <w:tab w:val="left" w:pos="455"/>
        </w:tabs>
        <w:kinsoku/>
        <w:autoSpaceDE/>
        <w:autoSpaceDN/>
        <w:adjustRightInd/>
        <w:snapToGrid/>
        <w:spacing w:line="340" w:lineRule="exact"/>
        <w:ind w:firstLine="630" w:firstLineChars="300"/>
        <w:jc w:val="both"/>
        <w:textAlignment w:val="auto"/>
        <w:rPr>
          <w:rFonts w:hint="default" w:hAnsi="宋体" w:eastAsia="宋体" w:cs="宋体"/>
          <w:snapToGrid/>
          <w:color w:val="auto"/>
          <w:szCs w:val="21"/>
          <w:highlight w:val="none"/>
          <w:lang w:val="en-US" w:eastAsia="zh-CN"/>
        </w:rPr>
      </w:pPr>
      <w:r>
        <w:rPr>
          <w:rFonts w:hint="eastAsia" w:hAnsi="宋体" w:eastAsia="宋体" w:cs="宋体"/>
          <w:snapToGrid/>
          <w:color w:val="auto"/>
          <w:szCs w:val="21"/>
          <w:highlight w:val="none"/>
          <w:lang w:val="zh-CN" w:eastAsia="zh-CN"/>
        </w:rPr>
        <w:t>联系方式：</w:t>
      </w:r>
      <w:r>
        <w:rPr>
          <w:rFonts w:hint="eastAsia" w:hAnsi="宋体" w:eastAsia="宋体" w:cs="宋体"/>
          <w:snapToGrid/>
          <w:color w:val="auto"/>
          <w:szCs w:val="21"/>
          <w:highlight w:val="none"/>
          <w:lang w:val="en-US" w:eastAsia="zh-CN"/>
        </w:rPr>
        <w:t>甘老师</w:t>
      </w:r>
      <w:r>
        <w:rPr>
          <w:rFonts w:hint="eastAsia" w:hAnsi="宋体" w:eastAsia="宋体" w:cs="宋体"/>
          <w:snapToGrid/>
          <w:color w:val="auto"/>
          <w:szCs w:val="21"/>
          <w:highlight w:val="none"/>
          <w:lang w:val="zh-CN" w:eastAsia="zh-CN"/>
        </w:rPr>
        <w:t>，0775-7628958</w:t>
      </w:r>
    </w:p>
    <w:p w14:paraId="72323491">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采购代理机构信息</w:t>
      </w:r>
    </w:p>
    <w:p w14:paraId="7B37F60A">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名    称：中禹鑫工程项目管理有限公司</w:t>
      </w:r>
    </w:p>
    <w:p w14:paraId="735DA89A">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地    址：贵港市覃塘区覃塘镇中山大道9号向南居·汉唐世家二组团8幢1层8803号</w:t>
      </w:r>
    </w:p>
    <w:p w14:paraId="58668230">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联 系 人：杨工</w:t>
      </w:r>
    </w:p>
    <w:p w14:paraId="17FB3274">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联系方式：13417575057</w:t>
      </w:r>
    </w:p>
    <w:p w14:paraId="7E1AE2A7">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3.项目联系方式</w:t>
      </w:r>
    </w:p>
    <w:p w14:paraId="7A5DFDD1">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项目联系人：杨工</w:t>
      </w:r>
    </w:p>
    <w:p w14:paraId="73ECA062">
      <w:pPr>
        <w:pStyle w:val="6"/>
        <w:widowControl w:val="0"/>
        <w:tabs>
          <w:tab w:val="left" w:pos="455"/>
        </w:tabs>
        <w:kinsoku/>
        <w:autoSpaceDE/>
        <w:autoSpaceDN/>
        <w:adjustRightInd/>
        <w:snapToGrid/>
        <w:spacing w:line="340" w:lineRule="exact"/>
        <w:ind w:firstLine="630" w:firstLineChars="300"/>
        <w:jc w:val="both"/>
        <w:textAlignment w:val="auto"/>
        <w:rPr>
          <w:rFonts w:hint="eastAsia" w:hAnsi="宋体" w:eastAsia="宋体" w:cs="宋体"/>
          <w:snapToGrid/>
          <w:color w:val="auto"/>
          <w:szCs w:val="21"/>
          <w:highlight w:val="none"/>
          <w:lang w:val="zh-CN" w:eastAsia="zh-CN"/>
        </w:rPr>
      </w:pPr>
      <w:r>
        <w:rPr>
          <w:rFonts w:hint="eastAsia" w:hAnsi="宋体" w:eastAsia="宋体" w:cs="宋体"/>
          <w:snapToGrid/>
          <w:color w:val="auto"/>
          <w:szCs w:val="21"/>
          <w:highlight w:val="none"/>
          <w:lang w:val="zh-CN" w:eastAsia="zh-CN"/>
        </w:rPr>
        <w:t>电     话：13417575057</w:t>
      </w:r>
    </w:p>
    <w:p w14:paraId="5BD346A2">
      <w:pPr>
        <w:rPr>
          <w:rFonts w:hint="eastAsia"/>
          <w:lang w:eastAsia="zh-CN"/>
        </w:rPr>
      </w:pPr>
    </w:p>
    <w:p w14:paraId="4DB94477">
      <w:pPr>
        <w:pStyle w:val="4"/>
        <w:spacing w:before="151" w:line="362" w:lineRule="auto"/>
        <w:ind w:right="115" w:firstLine="4294" w:firstLineChars="1900"/>
        <w:rPr>
          <w:rFonts w:hint="eastAsia" w:ascii="宋体" w:hAnsi="宋体" w:eastAsia="宋体" w:cs="宋体"/>
          <w:color w:val="auto"/>
          <w:spacing w:val="8"/>
          <w:sz w:val="21"/>
          <w:szCs w:val="21"/>
          <w:highlight w:val="none"/>
          <w:lang w:eastAsia="zh-CN"/>
        </w:rPr>
      </w:pPr>
      <w:r>
        <w:rPr>
          <w:rFonts w:hint="eastAsia" w:cs="宋体"/>
          <w:color w:val="auto"/>
          <w:spacing w:val="8"/>
          <w:sz w:val="21"/>
          <w:szCs w:val="21"/>
          <w:highlight w:val="none"/>
          <w:lang w:eastAsia="zh-CN"/>
        </w:rPr>
        <w:t>中禹鑫工程项目管理有限公司</w:t>
      </w:r>
    </w:p>
    <w:p w14:paraId="0449A4C5">
      <w:pPr>
        <w:pStyle w:val="4"/>
        <w:spacing w:before="151" w:line="362" w:lineRule="auto"/>
        <w:ind w:right="115" w:firstLine="4972" w:firstLineChars="2200"/>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202</w:t>
      </w:r>
      <w:r>
        <w:rPr>
          <w:rFonts w:hint="eastAsia" w:ascii="宋体" w:hAnsi="宋体" w:eastAsia="宋体" w:cs="宋体"/>
          <w:color w:val="auto"/>
          <w:spacing w:val="8"/>
          <w:sz w:val="21"/>
          <w:szCs w:val="21"/>
          <w:highlight w:val="none"/>
          <w:lang w:val="en-US" w:eastAsia="zh-CN"/>
        </w:rPr>
        <w:t>6</w:t>
      </w:r>
      <w:r>
        <w:rPr>
          <w:rFonts w:hint="eastAsia" w:ascii="宋体" w:hAnsi="宋体" w:eastAsia="宋体" w:cs="宋体"/>
          <w:color w:val="auto"/>
          <w:spacing w:val="8"/>
          <w:sz w:val="21"/>
          <w:szCs w:val="21"/>
          <w:highlight w:val="none"/>
          <w:lang w:eastAsia="zh-CN"/>
        </w:rPr>
        <w:t>年</w:t>
      </w:r>
      <w:r>
        <w:rPr>
          <w:rFonts w:hint="eastAsia" w:cs="宋体"/>
          <w:color w:val="auto"/>
          <w:spacing w:val="8"/>
          <w:sz w:val="21"/>
          <w:szCs w:val="21"/>
          <w:highlight w:val="none"/>
          <w:lang w:val="en-US" w:eastAsia="zh-CN"/>
        </w:rPr>
        <w:t>8</w:t>
      </w:r>
      <w:r>
        <w:rPr>
          <w:rFonts w:hint="eastAsia" w:ascii="宋体" w:hAnsi="宋体" w:eastAsia="宋体" w:cs="宋体"/>
          <w:color w:val="auto"/>
          <w:spacing w:val="8"/>
          <w:sz w:val="21"/>
          <w:szCs w:val="21"/>
          <w:highlight w:val="none"/>
          <w:lang w:eastAsia="zh-CN"/>
        </w:rPr>
        <w:t>月</w:t>
      </w:r>
      <w:r>
        <w:rPr>
          <w:rFonts w:hint="eastAsia" w:cs="宋体"/>
          <w:color w:val="auto"/>
          <w:spacing w:val="8"/>
          <w:sz w:val="21"/>
          <w:szCs w:val="21"/>
          <w:highlight w:val="none"/>
          <w:lang w:val="en-US" w:eastAsia="zh-CN"/>
        </w:rPr>
        <w:t>4</w:t>
      </w:r>
      <w:r>
        <w:rPr>
          <w:rFonts w:hint="eastAsia" w:ascii="宋体" w:hAnsi="宋体" w:eastAsia="宋体" w:cs="宋体"/>
          <w:color w:val="auto"/>
          <w:spacing w:val="8"/>
          <w:sz w:val="21"/>
          <w:szCs w:val="21"/>
          <w:highlight w:val="none"/>
          <w:lang w:eastAsia="zh-CN"/>
        </w:rPr>
        <w:t>日</w:t>
      </w:r>
    </w:p>
    <w:p w14:paraId="2F6F8F7B">
      <w:pPr>
        <w:pStyle w:val="4"/>
        <w:spacing w:before="88" w:line="222" w:lineRule="auto"/>
        <w:ind w:left="2298"/>
        <w:outlineLvl w:val="0"/>
        <w:rPr>
          <w:color w:val="auto"/>
          <w:sz w:val="43"/>
          <w:szCs w:val="43"/>
          <w:highlight w:val="none"/>
        </w:rPr>
      </w:pPr>
      <w:bookmarkStart w:id="3" w:name="bookmark3"/>
      <w:bookmarkEnd w:id="3"/>
      <w:r>
        <w:rPr>
          <w:b/>
          <w:bCs/>
          <w:color w:val="auto"/>
          <w:spacing w:val="5"/>
          <w:sz w:val="43"/>
          <w:szCs w:val="43"/>
          <w:highlight w:val="none"/>
        </w:rPr>
        <w:br w:type="page"/>
      </w:r>
      <w:bookmarkStart w:id="4" w:name="_Toc18488"/>
      <w:r>
        <w:rPr>
          <w:b/>
          <w:bCs/>
          <w:color w:val="auto"/>
          <w:spacing w:val="5"/>
          <w:sz w:val="43"/>
          <w:szCs w:val="43"/>
          <w:highlight w:val="none"/>
        </w:rPr>
        <w:t>第二章</w:t>
      </w:r>
      <w:r>
        <w:rPr>
          <w:color w:val="auto"/>
          <w:spacing w:val="5"/>
          <w:sz w:val="43"/>
          <w:szCs w:val="43"/>
          <w:highlight w:val="none"/>
        </w:rPr>
        <w:t xml:space="preserve">  </w:t>
      </w:r>
      <w:r>
        <w:rPr>
          <w:b/>
          <w:bCs/>
          <w:color w:val="auto"/>
          <w:spacing w:val="5"/>
          <w:sz w:val="43"/>
          <w:szCs w:val="43"/>
          <w:highlight w:val="none"/>
        </w:rPr>
        <w:t>招标项目采购需求</w:t>
      </w:r>
      <w:bookmarkEnd w:id="4"/>
    </w:p>
    <w:p w14:paraId="2D3C609F">
      <w:pPr>
        <w:spacing w:line="429" w:lineRule="auto"/>
        <w:rPr>
          <w:rFonts w:ascii="Arial"/>
          <w:color w:val="auto"/>
          <w:sz w:val="21"/>
          <w:highlight w:val="none"/>
        </w:rPr>
      </w:pPr>
    </w:p>
    <w:p w14:paraId="3AA807F7">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说明：</w:t>
      </w:r>
    </w:p>
    <w:p w14:paraId="09BAA8F0">
      <w:pPr>
        <w:pStyle w:val="4"/>
        <w:spacing w:before="31" w:line="364" w:lineRule="auto"/>
        <w:ind w:left="118" w:right="310" w:firstLine="436"/>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1.“实质性要求”是指招标文件中已经指明不满足则投标无效的条款，或者不能负偏离的条款，或者采购需求中带“▲”的条款。</w:t>
      </w:r>
    </w:p>
    <w:p w14:paraId="1B2318CB">
      <w:pPr>
        <w:pStyle w:val="4"/>
        <w:spacing w:before="29" w:line="362" w:lineRule="auto"/>
        <w:ind w:left="138" w:right="310" w:firstLine="408"/>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2.投标人必须对投标文件中提供的证明材料和资质文件真实性负责，如出现虚假应标情况，投标人除了应接受有关部门的处罚外，还应依据《中华人民共和国民法典》的相关条款来进行赔偿。</w:t>
      </w:r>
    </w:p>
    <w:p w14:paraId="3FF849E2">
      <w:pPr>
        <w:pStyle w:val="4"/>
        <w:spacing w:before="32" w:line="362" w:lineRule="auto"/>
        <w:ind w:left="145" w:right="310" w:firstLine="403"/>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3.投标人应对投标内容所涉及的专利承担法律责任，并负责保护采购单位的利益不受任何损害。一切由于文字、商标、技术和软件专利授权引起的法律裁决、诉讼和赔偿费用均由中标人负责。</w:t>
      </w:r>
    </w:p>
    <w:p w14:paraId="2875E600">
      <w:pPr>
        <w:pStyle w:val="4"/>
        <w:spacing w:before="157" w:line="227" w:lineRule="auto"/>
        <w:ind w:left="538"/>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4.采购内容所属行业：</w:t>
      </w:r>
      <w:r>
        <w:rPr>
          <w:rFonts w:hint="eastAsia" w:ascii="宋体" w:hAnsi="宋体" w:eastAsia="宋体" w:cs="宋体"/>
          <w:snapToGrid/>
          <w:color w:val="auto"/>
          <w:kern w:val="2"/>
          <w:sz w:val="21"/>
          <w:szCs w:val="21"/>
          <w:highlight w:val="none"/>
          <w:u w:val="single"/>
          <w:lang w:val="en-US" w:eastAsia="zh-CN" w:bidi="ar-SA"/>
        </w:rPr>
        <w:t xml:space="preserve">    批发业     </w:t>
      </w:r>
      <w:r>
        <w:rPr>
          <w:rFonts w:hint="eastAsia" w:ascii="宋体" w:hAnsi="宋体" w:eastAsia="宋体" w:cs="宋体"/>
          <w:snapToGrid/>
          <w:color w:val="auto"/>
          <w:kern w:val="2"/>
          <w:sz w:val="21"/>
          <w:szCs w:val="21"/>
          <w:highlight w:val="none"/>
          <w:lang w:val="en-US" w:eastAsia="zh-CN" w:bidi="ar-SA"/>
        </w:rPr>
        <w:t>。</w:t>
      </w:r>
    </w:p>
    <w:p w14:paraId="63E97A70">
      <w:pPr>
        <w:spacing w:line="270" w:lineRule="auto"/>
        <w:rPr>
          <w:rFonts w:hint="eastAsia" w:ascii="宋体" w:hAnsi="宋体" w:eastAsia="宋体" w:cs="宋体"/>
          <w:snapToGrid/>
          <w:color w:val="auto"/>
          <w:kern w:val="2"/>
          <w:sz w:val="21"/>
          <w:szCs w:val="21"/>
          <w:highlight w:val="none"/>
          <w:lang w:val="en-US" w:eastAsia="zh-CN" w:bidi="ar-SA"/>
        </w:rPr>
      </w:pPr>
    </w:p>
    <w:p w14:paraId="2E37E036">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一、项目概述</w:t>
      </w:r>
    </w:p>
    <w:p w14:paraId="7CEB6573">
      <w:pPr>
        <w:pStyle w:val="4"/>
        <w:spacing w:before="292" w:line="226" w:lineRule="auto"/>
        <w:ind w:left="543"/>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项目编号：</w:t>
      </w:r>
      <w:r>
        <w:rPr>
          <w:rFonts w:hint="eastAsia" w:cs="Times New Roman"/>
          <w:snapToGrid/>
          <w:color w:val="auto"/>
          <w:kern w:val="2"/>
          <w:sz w:val="21"/>
          <w:szCs w:val="21"/>
          <w:highlight w:val="none"/>
          <w:lang w:val="en-US" w:eastAsia="zh-CN" w:bidi="ar-SA"/>
        </w:rPr>
        <w:t>GGZC2026-G3-210202-ZYXG</w:t>
      </w:r>
    </w:p>
    <w:p w14:paraId="79823DDC">
      <w:pPr>
        <w:pStyle w:val="4"/>
        <w:spacing w:before="163" w:line="227" w:lineRule="auto"/>
        <w:ind w:left="543"/>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项目名称：</w:t>
      </w:r>
      <w:r>
        <w:rPr>
          <w:rFonts w:hint="eastAsia" w:cs="Times New Roman"/>
          <w:snapToGrid/>
          <w:color w:val="auto"/>
          <w:kern w:val="2"/>
          <w:sz w:val="21"/>
          <w:szCs w:val="21"/>
          <w:highlight w:val="none"/>
          <w:lang w:val="en-US" w:eastAsia="zh-CN" w:bidi="ar-SA"/>
        </w:rPr>
        <w:t>平南县上渡街道大成第二初级中学学生食堂食材采购</w:t>
      </w:r>
    </w:p>
    <w:p w14:paraId="15F24984">
      <w:pPr>
        <w:pStyle w:val="4"/>
        <w:spacing w:before="164" w:line="227" w:lineRule="auto"/>
        <w:ind w:left="541"/>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b/>
          <w:bCs/>
          <w:snapToGrid/>
          <w:color w:val="auto"/>
          <w:kern w:val="2"/>
          <w:sz w:val="21"/>
          <w:szCs w:val="21"/>
          <w:highlight w:val="none"/>
          <w:lang w:val="en-US" w:eastAsia="zh-CN" w:bidi="ar-SA"/>
        </w:rPr>
        <w:t>预算金额：人民币</w:t>
      </w:r>
      <w:r>
        <w:rPr>
          <w:rFonts w:hint="eastAsia" w:cs="Times New Roman"/>
          <w:b/>
          <w:bCs/>
          <w:snapToGrid/>
          <w:color w:val="auto"/>
          <w:kern w:val="2"/>
          <w:sz w:val="21"/>
          <w:szCs w:val="21"/>
          <w:highlight w:val="none"/>
          <w:lang w:val="en-US" w:eastAsia="zh-CN" w:bidi="ar-SA"/>
        </w:rPr>
        <w:t>肆佰伍拾玖万</w:t>
      </w:r>
      <w:r>
        <w:rPr>
          <w:rFonts w:hint="eastAsia" w:ascii="宋体" w:hAnsi="宋体" w:eastAsia="宋体" w:cs="Times New Roman"/>
          <w:b/>
          <w:bCs/>
          <w:snapToGrid/>
          <w:color w:val="auto"/>
          <w:kern w:val="2"/>
          <w:sz w:val="21"/>
          <w:szCs w:val="21"/>
          <w:highlight w:val="none"/>
          <w:lang w:val="en-US" w:eastAsia="zh-CN" w:bidi="ar-SA"/>
        </w:rPr>
        <w:t>元整(¥</w:t>
      </w:r>
      <w:r>
        <w:rPr>
          <w:rFonts w:hint="eastAsia" w:cs="Times New Roman"/>
          <w:b/>
          <w:bCs/>
          <w:snapToGrid/>
          <w:color w:val="auto"/>
          <w:kern w:val="2"/>
          <w:sz w:val="21"/>
          <w:szCs w:val="21"/>
          <w:highlight w:val="none"/>
          <w:lang w:val="en-US" w:eastAsia="zh-CN" w:bidi="ar-SA"/>
        </w:rPr>
        <w:t>459</w:t>
      </w:r>
      <w:r>
        <w:rPr>
          <w:rFonts w:hint="eastAsia" w:ascii="宋体" w:hAnsi="宋体" w:eastAsia="宋体" w:cs="Times New Roman"/>
          <w:b/>
          <w:bCs/>
          <w:snapToGrid/>
          <w:color w:val="auto"/>
          <w:kern w:val="2"/>
          <w:sz w:val="21"/>
          <w:szCs w:val="21"/>
          <w:highlight w:val="none"/>
          <w:lang w:val="en-US" w:eastAsia="zh-CN" w:bidi="ar-SA"/>
        </w:rPr>
        <w:t>0000.00），本项目预算金额仅供参考，以实际结算额为准。</w:t>
      </w:r>
    </w:p>
    <w:p w14:paraId="1AA3333D">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二、服务要求</w:t>
      </w:r>
    </w:p>
    <w:p w14:paraId="60E986AA">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（一）采购内容（包括但不限于以下品种）：</w:t>
      </w:r>
    </w:p>
    <w:p w14:paraId="43397E8A">
      <w:pPr>
        <w:pStyle w:val="4"/>
        <w:spacing w:before="31" w:line="364" w:lineRule="auto"/>
        <w:ind w:left="118" w:right="310" w:firstLine="436"/>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大米，花生油，兽肉类，禽肉类，水产类，调味品类，干杂货类，豆制品，奶制品，瓜果蔬菜水果类，糕点面点类，湿（河）粉类面条等。</w:t>
      </w:r>
    </w:p>
    <w:p w14:paraId="79DD2C37">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（二）执行标准：</w:t>
      </w:r>
    </w:p>
    <w:p w14:paraId="625852FF">
      <w:pPr>
        <w:pStyle w:val="4"/>
        <w:spacing w:before="31" w:line="364" w:lineRule="auto"/>
        <w:ind w:left="118" w:right="310" w:firstLine="436"/>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食品中污染物限量应符合GB2762-2022标准，食品中农药残留量符合GB2763-2021标准；不得采购转基因食品或利用转基因食品原料加工的成品；食品原料新鲜、清洁卫生，同时对每批次食品原料进行检测，具有质量技术监督部门颁发的质量检验报告（同批次），供货时进行提供。</w:t>
      </w:r>
    </w:p>
    <w:p w14:paraId="501E6656">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（三）大宗食材主要技术指标</w:t>
      </w:r>
    </w:p>
    <w:p w14:paraId="7E42A618">
      <w:pPr>
        <w:spacing w:line="130" w:lineRule="exact"/>
        <w:rPr>
          <w:color w:val="auto"/>
          <w:highlight w:val="none"/>
        </w:rPr>
      </w:pPr>
    </w:p>
    <w:tbl>
      <w:tblPr>
        <w:tblStyle w:val="12"/>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384"/>
        <w:gridCol w:w="716"/>
        <w:gridCol w:w="6799"/>
      </w:tblGrid>
      <w:tr w14:paraId="2F8499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3582954">
            <w:pPr>
              <w:jc w:val="center"/>
              <w:rPr>
                <w:b/>
                <w:bCs/>
                <w:color w:val="auto"/>
                <w:spacing w:val="-3"/>
                <w:szCs w:val="21"/>
                <w:highlight w:val="none"/>
              </w:rPr>
            </w:pPr>
            <w:r>
              <w:rPr>
                <w:rFonts w:hint="eastAsia"/>
                <w:b/>
                <w:bCs/>
                <w:color w:val="auto"/>
                <w:spacing w:val="-3"/>
                <w:szCs w:val="21"/>
                <w:highlight w:val="none"/>
              </w:rPr>
              <w:t>序号</w:t>
            </w:r>
          </w:p>
        </w:tc>
        <w:tc>
          <w:tcPr>
            <w:tcW w:w="1384" w:type="dxa"/>
            <w:noWrap w:val="0"/>
            <w:vAlign w:val="center"/>
          </w:tcPr>
          <w:p w14:paraId="1C9B1EFF">
            <w:pPr>
              <w:jc w:val="center"/>
              <w:rPr>
                <w:rFonts w:hint="eastAsia"/>
                <w:b/>
                <w:bCs/>
                <w:color w:val="auto"/>
                <w:spacing w:val="-3"/>
                <w:szCs w:val="21"/>
                <w:highlight w:val="none"/>
              </w:rPr>
            </w:pPr>
            <w:r>
              <w:rPr>
                <w:rFonts w:hint="eastAsia"/>
                <w:b/>
                <w:bCs/>
                <w:color w:val="auto"/>
                <w:spacing w:val="-3"/>
                <w:szCs w:val="21"/>
                <w:highlight w:val="none"/>
              </w:rPr>
              <w:t>标的名称</w:t>
            </w:r>
          </w:p>
        </w:tc>
        <w:tc>
          <w:tcPr>
            <w:tcW w:w="716" w:type="dxa"/>
            <w:noWrap w:val="0"/>
            <w:vAlign w:val="center"/>
          </w:tcPr>
          <w:p w14:paraId="62809553">
            <w:pPr>
              <w:autoSpaceDE w:val="0"/>
              <w:autoSpaceDN w:val="0"/>
              <w:jc w:val="center"/>
              <w:rPr>
                <w:rFonts w:hint="eastAsia"/>
                <w:b/>
                <w:bCs/>
                <w:color w:val="auto"/>
                <w:spacing w:val="-3"/>
                <w:szCs w:val="21"/>
                <w:highlight w:val="none"/>
              </w:rPr>
            </w:pPr>
            <w:r>
              <w:rPr>
                <w:rFonts w:hint="eastAsia" w:ascii="宋体" w:hAnsi="宋体" w:cs="宋体"/>
                <w:color w:val="auto"/>
                <w:szCs w:val="21"/>
                <w:highlight w:val="none"/>
              </w:rPr>
              <w:t>数量及单位</w:t>
            </w:r>
          </w:p>
        </w:tc>
        <w:tc>
          <w:tcPr>
            <w:tcW w:w="6799" w:type="dxa"/>
            <w:noWrap w:val="0"/>
            <w:vAlign w:val="center"/>
          </w:tcPr>
          <w:p w14:paraId="4C2270D0">
            <w:pPr>
              <w:jc w:val="center"/>
              <w:rPr>
                <w:b/>
                <w:bCs/>
                <w:color w:val="auto"/>
                <w:spacing w:val="-3"/>
                <w:szCs w:val="21"/>
                <w:highlight w:val="none"/>
              </w:rPr>
            </w:pPr>
            <w:r>
              <w:rPr>
                <w:rFonts w:hint="eastAsia"/>
                <w:b/>
                <w:color w:val="auto"/>
                <w:szCs w:val="21"/>
                <w:highlight w:val="none"/>
              </w:rPr>
              <w:t>服务内容</w:t>
            </w:r>
          </w:p>
        </w:tc>
      </w:tr>
      <w:tr w14:paraId="2BA829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4C0E946E">
            <w:pPr>
              <w:widowControl w:val="0"/>
              <w:kinsoku/>
              <w:autoSpaceDE/>
              <w:autoSpaceDN/>
              <w:adjustRightInd/>
              <w:snapToGrid/>
              <w:spacing w:line="360" w:lineRule="auto"/>
              <w:ind w:firstLine="420" w:firstLineChars="200"/>
              <w:jc w:val="both"/>
              <w:textAlignment w:val="auto"/>
              <w:rPr>
                <w:b w:val="0"/>
                <w:bCs w:val="0"/>
                <w:color w:val="auto"/>
                <w:spacing w:val="-3"/>
                <w:szCs w:val="21"/>
                <w:highlight w:val="none"/>
              </w:rPr>
            </w:pPr>
            <w:r>
              <w:rPr>
                <w:rFonts w:hint="eastAsia" w:ascii="宋体" w:hAnsi="宋体" w:eastAsia="宋体" w:cs="Times New Roman"/>
                <w:snapToGrid/>
                <w:color w:val="auto"/>
                <w:kern w:val="2"/>
                <w:highlight w:val="none"/>
                <w:lang w:eastAsia="zh-CN"/>
              </w:rPr>
              <w:t>1</w:t>
            </w:r>
          </w:p>
        </w:tc>
        <w:tc>
          <w:tcPr>
            <w:tcW w:w="1384" w:type="dxa"/>
            <w:noWrap w:val="0"/>
            <w:vAlign w:val="center"/>
          </w:tcPr>
          <w:p w14:paraId="60B0B72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蔬菜</w:t>
            </w:r>
          </w:p>
        </w:tc>
        <w:tc>
          <w:tcPr>
            <w:tcW w:w="716" w:type="dxa"/>
            <w:noWrap w:val="0"/>
            <w:vAlign w:val="center"/>
          </w:tcPr>
          <w:p w14:paraId="53FA25E3">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5E89DA20">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蔬菜保证新鲜并通过快速检测农药残留含量不超过食品安全标准限量，且符合现行《食用农产品市场销售质量安全监督管理办法》的要求。</w:t>
            </w:r>
          </w:p>
          <w:p w14:paraId="10F0849B">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35D9C6BD">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bookmarkStart w:id="5" w:name="_Toc7073"/>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510733F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1A6FC2F3">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bookmarkEnd w:id="5"/>
          </w:p>
          <w:p w14:paraId="6F53005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⑴必须符合国家食品安全卫生标准。符合《食品安全法》要求，尽量采用当地时令新鲜蔬菜。蔬菜可食用率必须达95%以上。</w:t>
            </w:r>
          </w:p>
          <w:p w14:paraId="16F3C38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瓜、果、蔬菜必须保证新鲜，绿色环保。无公害、无污染、无农药残留；蔬菜残留农药检测合格，必须提供残留农药检测合格证明。质量符合国家相关规定的要求，每批次有专人负责每天检测并记录。招标人对每批次蔬菜进行农药残留进行抽检，如含量超标将要求中标人无条件退货或换货。</w:t>
            </w:r>
          </w:p>
          <w:p w14:paraId="189D1B16">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⑶有相对固定的供货渠道，有完善的货物来源记录。</w:t>
            </w:r>
          </w:p>
          <w:p w14:paraId="7FCF28E1">
            <w:pPr>
              <w:widowControl w:val="0"/>
              <w:kinsoku/>
              <w:autoSpaceDE/>
              <w:autoSpaceDN/>
              <w:adjustRightInd/>
              <w:snapToGrid/>
              <w:spacing w:line="360" w:lineRule="auto"/>
              <w:ind w:firstLine="420" w:firstLineChars="200"/>
              <w:jc w:val="both"/>
              <w:textAlignment w:val="auto"/>
              <w:rPr>
                <w:rFonts w:hint="eastAsia"/>
                <w:color w:val="auto"/>
                <w:highlight w:val="none"/>
                <w:lang w:val="en-US" w:eastAsia="zh-CN"/>
              </w:rPr>
            </w:pPr>
            <w:r>
              <w:rPr>
                <w:rFonts w:hint="eastAsia" w:ascii="宋体" w:hAnsi="宋体" w:eastAsia="宋体" w:cs="Times New Roman"/>
                <w:snapToGrid/>
                <w:color w:val="auto"/>
                <w:kern w:val="2"/>
                <w:highlight w:val="none"/>
                <w:lang w:eastAsia="zh-CN"/>
              </w:rPr>
              <w:t>⑷</w:t>
            </w:r>
            <w:r>
              <w:rPr>
                <w:rFonts w:hint="eastAsia" w:ascii="宋体" w:hAnsi="宋体" w:eastAsia="宋体" w:cs="Times New Roman"/>
                <w:snapToGrid/>
                <w:color w:val="auto"/>
                <w:kern w:val="2"/>
                <w:highlight w:val="none"/>
                <w:lang w:val="en-US" w:eastAsia="zh-CN"/>
              </w:rPr>
              <w:t>要求提供时令新鲜蔬菜。</w:t>
            </w:r>
          </w:p>
        </w:tc>
      </w:tr>
      <w:tr w14:paraId="10F2F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91BFF8D">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2</w:t>
            </w:r>
          </w:p>
        </w:tc>
        <w:tc>
          <w:tcPr>
            <w:tcW w:w="1384" w:type="dxa"/>
            <w:noWrap w:val="0"/>
            <w:vAlign w:val="center"/>
          </w:tcPr>
          <w:p w14:paraId="13DE711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禽蛋类</w:t>
            </w:r>
          </w:p>
        </w:tc>
        <w:tc>
          <w:tcPr>
            <w:tcW w:w="716" w:type="dxa"/>
            <w:noWrap w:val="0"/>
            <w:vAlign w:val="center"/>
          </w:tcPr>
          <w:p w14:paraId="05802C8A">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2D6B3E9D">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新鲜、无变质、无臭蛋，不得来自疫区。</w:t>
            </w:r>
          </w:p>
          <w:p w14:paraId="2E067E3A">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12963F8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0247A67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193ADFF2">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3EC07BA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⑴必须符合食品安全的相关要求。</w:t>
            </w:r>
          </w:p>
          <w:p w14:paraId="4C4AEB7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03F1417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val="en-US" w:eastAsia="zh-CN"/>
              </w:rPr>
            </w:pPr>
            <w:r>
              <w:rPr>
                <w:rFonts w:hint="eastAsia" w:ascii="宋体" w:hAnsi="宋体" w:eastAsia="宋体" w:cs="Times New Roman"/>
                <w:snapToGrid/>
                <w:color w:val="auto"/>
                <w:kern w:val="2"/>
                <w:highlight w:val="none"/>
                <w:lang w:eastAsia="zh-CN"/>
              </w:rPr>
              <w:t>⑶必须符合《食品安全法》要求，供货时提供食品生产许可证、批次检验合格证，是</w:t>
            </w:r>
            <w:r>
              <w:rPr>
                <w:rFonts w:hint="eastAsia" w:ascii="宋体" w:hAnsi="宋体" w:eastAsia="宋体" w:cs="Times New Roman"/>
                <w:snapToGrid/>
                <w:color w:val="auto"/>
                <w:kern w:val="2"/>
                <w:highlight w:val="none"/>
                <w:lang w:val="en-US" w:eastAsia="zh-CN"/>
              </w:rPr>
              <w:t>当地</w:t>
            </w:r>
            <w:r>
              <w:rPr>
                <w:rFonts w:hint="eastAsia" w:ascii="宋体" w:hAnsi="宋体" w:eastAsia="宋体" w:cs="Times New Roman"/>
                <w:snapToGrid/>
                <w:color w:val="auto"/>
                <w:kern w:val="2"/>
                <w:highlight w:val="none"/>
                <w:lang w:eastAsia="zh-CN"/>
              </w:rPr>
              <w:t>市场上正在流通的产品。</w:t>
            </w:r>
          </w:p>
        </w:tc>
      </w:tr>
      <w:tr w14:paraId="69C32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65F8A4E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3</w:t>
            </w:r>
          </w:p>
        </w:tc>
        <w:tc>
          <w:tcPr>
            <w:tcW w:w="1384" w:type="dxa"/>
            <w:noWrap w:val="0"/>
            <w:vAlign w:val="center"/>
          </w:tcPr>
          <w:p w14:paraId="212FE8A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肉类</w:t>
            </w:r>
          </w:p>
        </w:tc>
        <w:tc>
          <w:tcPr>
            <w:tcW w:w="716" w:type="dxa"/>
            <w:noWrap w:val="0"/>
            <w:vAlign w:val="center"/>
          </w:tcPr>
          <w:p w14:paraId="2430E375">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54B2BA37">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78FC8BC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6061AAA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2FA049E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w:t>
            </w:r>
            <w:r>
              <w:rPr>
                <w:rFonts w:hint="eastAsia" w:ascii="宋体" w:hAnsi="宋体" w:eastAsia="宋体" w:cs="Times New Roman"/>
                <w:snapToGrid/>
                <w:color w:val="auto"/>
                <w:kern w:val="2"/>
                <w:highlight w:val="none"/>
                <w:lang w:val="en-US" w:eastAsia="zh-CN"/>
              </w:rPr>
              <w:t>肉类优先采购屠宰场热鲜肉。</w:t>
            </w:r>
          </w:p>
          <w:p w14:paraId="19945C59">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7BCE73D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猪肉、牛肉：</w:t>
            </w:r>
          </w:p>
          <w:p w14:paraId="15F6F39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0E818F2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产品必须符合食品卫生生产标准和食品卫生安全要求，必须符合《中华人民共和国食品安全法》相关的要求。肉类必须经防疫部门检验合格。每次供货必须提供《动物检疫合格证明》、《肉品品质检验合格证》、《非洲猪瘟检测证明》等检验检疫证明。</w:t>
            </w:r>
          </w:p>
          <w:p w14:paraId="0CFC55B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⑶产品必须经过固定合法牲畜屠宰场所屠宰，符合食品卫生生产标准，符合食品卫生安全要求。</w:t>
            </w:r>
          </w:p>
          <w:p w14:paraId="23E9E72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鸡鸭：</w:t>
            </w:r>
          </w:p>
          <w:p w14:paraId="1914C35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⑴保证新鲜且符合食品安全国家标准和食品安全法要求。</w:t>
            </w:r>
          </w:p>
          <w:p w14:paraId="10FF1CA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⑵新鲜鸡鸭类：</w:t>
            </w:r>
          </w:p>
          <w:p w14:paraId="6B17F8F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6A85B4D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val="en-US" w:eastAsia="zh-CN"/>
              </w:rPr>
            </w:pPr>
            <w:r>
              <w:rPr>
                <w:rFonts w:hint="eastAsia" w:ascii="宋体" w:hAnsi="宋体" w:eastAsia="宋体" w:cs="Times New Roman"/>
                <w:snapToGrid/>
                <w:color w:val="auto"/>
                <w:kern w:val="2"/>
                <w:highlight w:val="none"/>
                <w:lang w:eastAsia="zh-CN"/>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7F84F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8952433">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4</w:t>
            </w:r>
          </w:p>
        </w:tc>
        <w:tc>
          <w:tcPr>
            <w:tcW w:w="1384" w:type="dxa"/>
            <w:noWrap w:val="0"/>
            <w:vAlign w:val="center"/>
          </w:tcPr>
          <w:p w14:paraId="28544736">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鲜活水产类</w:t>
            </w:r>
          </w:p>
        </w:tc>
        <w:tc>
          <w:tcPr>
            <w:tcW w:w="716" w:type="dxa"/>
            <w:noWrap w:val="0"/>
            <w:vAlign w:val="center"/>
          </w:tcPr>
          <w:p w14:paraId="0559EA83">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310D9448">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val="en-US" w:eastAsia="zh-CN"/>
              </w:rPr>
            </w:pPr>
            <w:r>
              <w:rPr>
                <w:rFonts w:hint="eastAsia" w:ascii="宋体" w:hAnsi="宋体" w:eastAsia="宋体" w:cs="Times New Roman"/>
                <w:b/>
                <w:bCs/>
                <w:snapToGrid/>
                <w:color w:val="auto"/>
                <w:kern w:val="2"/>
                <w:highlight w:val="none"/>
                <w:lang w:val="en-US" w:eastAsia="zh-CN"/>
              </w:rPr>
              <w:t>新鲜、无病毒、不含有害物质；如需剖杀的鱼，要做到鱼鳞刮除干净，去内脏、鱼鳃、腹内黑膜。</w:t>
            </w:r>
          </w:p>
          <w:p w14:paraId="05A7C11F">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54A42FCA">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14D15EE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20EEEF31">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17D4E7C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⑴保证新鲜且符合食品安全国家标准和食品安全法要求。</w:t>
            </w:r>
          </w:p>
          <w:p w14:paraId="3A4A748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⑵鲜活鱼：</w:t>
            </w:r>
          </w:p>
          <w:p w14:paraId="1570B34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鱼的形态正常，无畸形，体态匀称，无伤痕；体表具有正常的体色和光泽，鳞片完整紧密，不易脱落，无病灶；眼球明亮饱满，角膜清晰；鳃丝清晰，呈鲜红或紫红色，无异味，无粘液或有少量透明黏液；鱼的肌肉紧密，有弹性，整体有鲜鱼固有的腥气味，无异味。</w:t>
            </w:r>
          </w:p>
          <w:p w14:paraId="1BDADBB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如需剖杀的鱼，要做到鱼鳞刮除干净，去内脏、鱼腮、腹内黑膜，鱼肉无变质情况。</w:t>
            </w:r>
          </w:p>
          <w:p w14:paraId="116050D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0561C5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654E007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5</w:t>
            </w:r>
          </w:p>
        </w:tc>
        <w:tc>
          <w:tcPr>
            <w:tcW w:w="1384" w:type="dxa"/>
            <w:noWrap w:val="0"/>
            <w:vAlign w:val="center"/>
          </w:tcPr>
          <w:p w14:paraId="135EC4C6">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大米、豆制品、食用油等类</w:t>
            </w:r>
          </w:p>
        </w:tc>
        <w:tc>
          <w:tcPr>
            <w:tcW w:w="716" w:type="dxa"/>
            <w:noWrap w:val="0"/>
            <w:vAlign w:val="center"/>
          </w:tcPr>
          <w:p w14:paraId="25581AEB">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6E03BBE0">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生产厂家具有食品生产许可证；保证新鲜且符合食品安全法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刷供货企业名称、地址、联系电话及生产日期等信息。</w:t>
            </w:r>
          </w:p>
          <w:p w14:paraId="3636BEC5">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41F280B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⑴实行每批次采购，供应商应按招标人的货物请购清单提供相应数量的货物。</w:t>
            </w:r>
          </w:p>
          <w:p w14:paraId="5FB4C98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27067AAA">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34EA06B9">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大米：</w:t>
            </w:r>
          </w:p>
          <w:p w14:paraId="23F0449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⑴每批次产品必须提供正规的检验机构检验报告。</w:t>
            </w:r>
          </w:p>
          <w:p w14:paraId="2C8F604A">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⑵质量指标：有“SC”食品生产许可证</w:t>
            </w:r>
            <w:r>
              <w:rPr>
                <w:rFonts w:hint="eastAsia" w:ascii="宋体" w:hAnsi="宋体" w:eastAsia="宋体" w:cs="Times New Roman"/>
                <w:snapToGrid/>
                <w:color w:val="auto"/>
                <w:kern w:val="2"/>
                <w:highlight w:val="none"/>
                <w:lang w:val="en-US" w:eastAsia="zh-CN"/>
              </w:rPr>
              <w:t>编号</w:t>
            </w:r>
            <w:r>
              <w:rPr>
                <w:rFonts w:hint="eastAsia" w:ascii="宋体" w:hAnsi="宋体" w:eastAsia="宋体" w:cs="Times New Roman"/>
                <w:snapToGrid/>
                <w:color w:val="auto"/>
                <w:kern w:val="2"/>
                <w:highlight w:val="none"/>
                <w:lang w:eastAsia="zh-CN"/>
              </w:rPr>
              <w:t>，必须符合GB/T1354-2018标准，呈清白色或精白色，具有光泽呈半透明状，大小均匀，颗粒饱满，表面光滑、完整，无虫，不含杂物（如沙石、色素等异物）。</w:t>
            </w:r>
          </w:p>
          <w:p w14:paraId="538414F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⑶包装：产品包装要求机械封装，印上产品名称、生产厂家、生产日期、保质期，外包装必须符合《食品安全法》的相关规定。</w:t>
            </w:r>
          </w:p>
          <w:p w14:paraId="7D08E83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⑷保质期：达到国家规定要求，剩余保存期时间不得少于保质期的四分之三。保证生产日期新鲜且符合食品安全国家标准和食品安全法要求。</w:t>
            </w:r>
          </w:p>
          <w:p w14:paraId="43ED30BB">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豆制品：</w:t>
            </w:r>
          </w:p>
          <w:p w14:paraId="032DED0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⑴豆制品必须符合《食品安全法》要求，必须是当前市场上正在流通的产品。</w:t>
            </w:r>
          </w:p>
          <w:p w14:paraId="7D5C5716">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⑵豆腐呈均匀的乳白色或淡黄色，稍有光泽，块形完整，软硬适度，富有一定的弹性，质地细嫩，结构均匀，无杂质，具有豆腐特有的香味，取样品品尝时口感细腻鲜嫩，味道纯正清香。</w:t>
            </w:r>
          </w:p>
          <w:p w14:paraId="6BBD7301">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val="en-US" w:eastAsia="zh-CN"/>
              </w:rPr>
            </w:pPr>
            <w:r>
              <w:rPr>
                <w:rFonts w:hint="eastAsia" w:ascii="宋体" w:hAnsi="宋体" w:eastAsia="宋体" w:cs="Times New Roman"/>
                <w:b/>
                <w:bCs/>
                <w:snapToGrid/>
                <w:color w:val="auto"/>
                <w:kern w:val="2"/>
                <w:highlight w:val="none"/>
                <w:lang w:val="en-US" w:eastAsia="zh-CN"/>
              </w:rPr>
              <w:t>食用油：</w:t>
            </w:r>
          </w:p>
          <w:p w14:paraId="79FDDE76">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⑴每批次产品必须提供地正规的检验机构</w:t>
            </w:r>
            <w:r>
              <w:rPr>
                <w:rFonts w:hint="eastAsia" w:ascii="宋体" w:hAnsi="宋体" w:eastAsia="宋体" w:cs="Times New Roman"/>
                <w:snapToGrid/>
                <w:color w:val="auto"/>
                <w:kern w:val="2"/>
                <w:highlight w:val="none"/>
                <w:lang w:val="en-US" w:eastAsia="zh-CN"/>
              </w:rPr>
              <w:t>出具</w:t>
            </w:r>
            <w:r>
              <w:rPr>
                <w:rFonts w:hint="eastAsia" w:ascii="宋体" w:hAnsi="宋体" w:eastAsia="宋体" w:cs="Times New Roman"/>
                <w:snapToGrid/>
                <w:color w:val="auto"/>
                <w:kern w:val="2"/>
                <w:highlight w:val="none"/>
                <w:lang w:eastAsia="zh-CN"/>
              </w:rPr>
              <w:t>检验报告。</w:t>
            </w:r>
          </w:p>
          <w:p w14:paraId="46E3057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⑵食用油必须取得食品生产许可证和产品合格证、外包装标明保质期及生产日期。产品原料必须为非转基因原料。</w:t>
            </w:r>
          </w:p>
          <w:p w14:paraId="14A3171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⑶符合（GB/T1354-2018）标准要求。</w:t>
            </w:r>
          </w:p>
          <w:p w14:paraId="6825BB9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⑷食用油必须符合GB/T1534-2017标准，为花生油或调和油，产品包装要求机械封装，外包装必须符合《食品安全法》的相关规定。</w:t>
            </w:r>
          </w:p>
          <w:p w14:paraId="339B353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⑸保质期：达到国家规定要求，剩余保存期时间不得少于保质期的四分之三。保证生产日期新鲜且符合食品安全国家标准和食品安全法要求。</w:t>
            </w:r>
          </w:p>
        </w:tc>
      </w:tr>
      <w:tr w14:paraId="353C3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302B905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6</w:t>
            </w:r>
          </w:p>
        </w:tc>
        <w:tc>
          <w:tcPr>
            <w:tcW w:w="1384" w:type="dxa"/>
            <w:noWrap w:val="0"/>
            <w:vAlign w:val="center"/>
          </w:tcPr>
          <w:p w14:paraId="43FC5695">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调味品、</w:t>
            </w:r>
            <w:r>
              <w:rPr>
                <w:rFonts w:hint="eastAsia" w:ascii="宋体" w:hAnsi="宋体" w:eastAsia="宋体" w:cs="Times New Roman"/>
                <w:snapToGrid/>
                <w:color w:val="auto"/>
                <w:kern w:val="2"/>
                <w:highlight w:val="none"/>
                <w:lang w:val="en-US" w:eastAsia="zh-CN"/>
              </w:rPr>
              <w:t>干杂货品类</w:t>
            </w:r>
          </w:p>
        </w:tc>
        <w:tc>
          <w:tcPr>
            <w:tcW w:w="716" w:type="dxa"/>
            <w:noWrap w:val="0"/>
            <w:vAlign w:val="center"/>
          </w:tcPr>
          <w:p w14:paraId="54FF1A39">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2CB08304">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生产厂家具有食品生产许可证；正规厂商生产，品质良好，食品包装上有标签，标签符合《中华人民共和国食品安全法》第六十七条规定标明内容；包装用密封性能好、无毒无害的食品级材料（直接接触食品的包装必须为食品级），包装的正面需印刷有供货企业名称、地址、联系电话及生产日期等信息；产品在保质期内，且生产日期较近。</w:t>
            </w:r>
          </w:p>
          <w:p w14:paraId="45873401">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61EF783A">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⑴实行每批次采购，供应商应按招标人的货物请购清单提供相应数量的货物。</w:t>
            </w:r>
          </w:p>
          <w:p w14:paraId="2A20EB6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66748603">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69C845F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⑴必须是在市场上流通的，产品符合国家及行业相关标准，有“SC”食品生产许可证</w:t>
            </w:r>
            <w:r>
              <w:rPr>
                <w:rFonts w:hint="eastAsia" w:ascii="宋体" w:hAnsi="宋体" w:eastAsia="宋体" w:cs="Times New Roman"/>
                <w:snapToGrid/>
                <w:color w:val="auto"/>
                <w:kern w:val="2"/>
                <w:highlight w:val="none"/>
                <w:lang w:val="en-US" w:eastAsia="zh-CN"/>
              </w:rPr>
              <w:t>编号</w:t>
            </w:r>
            <w:r>
              <w:rPr>
                <w:rFonts w:hint="eastAsia" w:ascii="宋体" w:hAnsi="宋体" w:eastAsia="宋体" w:cs="Times New Roman"/>
                <w:snapToGrid/>
                <w:color w:val="auto"/>
                <w:kern w:val="2"/>
                <w:highlight w:val="none"/>
                <w:lang w:eastAsia="zh-CN"/>
              </w:rPr>
              <w:t>。</w:t>
            </w:r>
          </w:p>
          <w:p w14:paraId="23E571E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⑵必须定型包装、有明显的标签、生产日期、生产厂家、保质期、产品合格证、贮存条件、执行产品标准号等。</w:t>
            </w:r>
          </w:p>
          <w:p w14:paraId="0F64401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⑶保质期：达到国家规定要求，剩余保存期时间不得少于保质期的四分之三。保证生产日期新鲜且符合食品安全国家标准和食品安全法要求。</w:t>
            </w:r>
          </w:p>
        </w:tc>
      </w:tr>
      <w:tr w14:paraId="445AD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0E5041A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7</w:t>
            </w:r>
          </w:p>
        </w:tc>
        <w:tc>
          <w:tcPr>
            <w:tcW w:w="1384" w:type="dxa"/>
            <w:noWrap w:val="0"/>
            <w:vAlign w:val="center"/>
          </w:tcPr>
          <w:p w14:paraId="4BE73957">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牛奶、面包、糕点、湿（河）粉等类</w:t>
            </w:r>
          </w:p>
        </w:tc>
        <w:tc>
          <w:tcPr>
            <w:tcW w:w="716" w:type="dxa"/>
            <w:noWrap w:val="0"/>
            <w:vAlign w:val="center"/>
          </w:tcPr>
          <w:p w14:paraId="18EA1E4C">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205286FF">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生产厂家具有食品生产许可证；符合相应食品类别的执行标准或企业标准；保证新鲜且符合《中华人民共和国食品安全法》要求；食品包装上有标签，标签符合《中华人民共和国食品安全法》第六十七条规定标明内容；包装用密封性能好、无毒无害食品级材料（直接接触食品的包装必须为食品级），包装的正面需印刷有供货企业名称、地址、联系电话及生产日期等信息。</w:t>
            </w:r>
          </w:p>
          <w:p w14:paraId="230270D7">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1、采购需求</w:t>
            </w:r>
          </w:p>
          <w:p w14:paraId="4264D899">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⑴实行每日采购，供应商每日应按招标人的货物请购清单提供相应数量的货物。</w:t>
            </w:r>
          </w:p>
          <w:p w14:paraId="2DB074F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4B0AE17E">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2、质量要求</w:t>
            </w:r>
          </w:p>
          <w:p w14:paraId="7A16A33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牛奶：</w:t>
            </w:r>
          </w:p>
          <w:p w14:paraId="2623DBB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⑴必须定型包装、有明显的标签、生产日期、生产厂家、保质期、产品合格证、贮存条件、执行产品标准号等，且必须符合《食品安全法》的相关规定。</w:t>
            </w:r>
          </w:p>
          <w:p w14:paraId="1F042AE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⑵保质期：达到国家规定要求，剩余保存期时间不得少于保质期的四分之三。</w:t>
            </w:r>
          </w:p>
          <w:p w14:paraId="0CCF191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⑶必须符合《食品安全法》要求，供货时提供食品生产许可证、批次检验合格证，是当前市场上正在流通的产品。</w:t>
            </w:r>
          </w:p>
          <w:p w14:paraId="25B5E1FC">
            <w:pPr>
              <w:widowControl w:val="0"/>
              <w:kinsoku/>
              <w:autoSpaceDE/>
              <w:autoSpaceDN/>
              <w:adjustRightInd/>
              <w:snapToGrid/>
              <w:spacing w:line="360" w:lineRule="auto"/>
              <w:ind w:firstLine="420" w:firstLineChars="200"/>
              <w:jc w:val="both"/>
              <w:textAlignment w:val="auto"/>
              <w:rPr>
                <w:rFonts w:hint="default" w:ascii="宋体" w:hAnsi="宋体" w:eastAsia="宋体" w:cs="Times New Roman"/>
                <w:snapToGrid/>
                <w:color w:val="auto"/>
                <w:kern w:val="2"/>
                <w:highlight w:val="none"/>
                <w:lang w:val="en-US" w:eastAsia="zh-CN"/>
              </w:rPr>
            </w:pPr>
            <w:r>
              <w:rPr>
                <w:rFonts w:hint="eastAsia" w:ascii="宋体" w:hAnsi="宋体" w:eastAsia="宋体" w:cs="Times New Roman"/>
                <w:snapToGrid/>
                <w:color w:val="auto"/>
                <w:kern w:val="2"/>
                <w:highlight w:val="none"/>
                <w:lang w:eastAsia="zh-CN"/>
              </w:rPr>
              <w:t>（</w:t>
            </w:r>
            <w:r>
              <w:rPr>
                <w:rFonts w:hint="eastAsia" w:ascii="宋体" w:hAnsi="宋体" w:eastAsia="宋体" w:cs="Times New Roman"/>
                <w:snapToGrid/>
                <w:color w:val="auto"/>
                <w:kern w:val="2"/>
                <w:highlight w:val="none"/>
                <w:lang w:val="en-US" w:eastAsia="zh-CN"/>
              </w:rPr>
              <w:t>4</w:t>
            </w:r>
            <w:r>
              <w:rPr>
                <w:rFonts w:hint="eastAsia" w:ascii="宋体" w:hAnsi="宋体" w:eastAsia="宋体" w:cs="Times New Roman"/>
                <w:snapToGrid/>
                <w:color w:val="auto"/>
                <w:kern w:val="2"/>
                <w:highlight w:val="none"/>
                <w:lang w:eastAsia="zh-CN"/>
              </w:rPr>
              <w:t>）要求供应的牛奶每</w:t>
            </w:r>
            <w:r>
              <w:rPr>
                <w:rFonts w:hint="eastAsia" w:ascii="宋体" w:hAnsi="宋体" w:eastAsia="宋体" w:cs="Times New Roman"/>
                <w:snapToGrid/>
                <w:color w:val="auto"/>
                <w:kern w:val="2"/>
                <w:highlight w:val="none"/>
                <w:lang w:val="en-US" w:eastAsia="zh-CN"/>
              </w:rPr>
              <w:t>100ml中含蛋白质不低于2.9g。</w:t>
            </w:r>
          </w:p>
          <w:p w14:paraId="162C6D3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面包：</w:t>
            </w:r>
          </w:p>
          <w:p w14:paraId="29BF09A7">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⑴必须具有生产许可证和产品合格证、外包装标明保质期及生产日期。面包（蒸包烤包）应具备生产资质，且每批次必须附带出厂合格报告。包装应符合GB7718-2011预包装食品标签通则要求。</w:t>
            </w:r>
          </w:p>
          <w:p w14:paraId="4FB03A6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⑵保证生产日期新鲜且符合食品安全国家标准和食品安全法要求。</w:t>
            </w:r>
          </w:p>
          <w:p w14:paraId="6B17198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⑶符合GB/T20981-2021标准要求。保质期：达到国家规定要求，供货时的剩余保存期时间不得少于保质期的四分之三。</w:t>
            </w:r>
          </w:p>
          <w:p w14:paraId="0E1C1715">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⑷包装用密封性能好、无毒、无害塑料袋（直接接触食品的包装必须为食品级），包装的正面需印有供货企业名称、地址、联系电话及生产日期等字样。</w:t>
            </w:r>
          </w:p>
          <w:p w14:paraId="17CA5AB3">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糕点：</w:t>
            </w:r>
          </w:p>
          <w:p w14:paraId="100178E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（1）保证生产日期新鲜且符合食品安全国家标准和《食品安全法》要求，具有生产许可证编号</w:t>
            </w:r>
            <w:r>
              <w:rPr>
                <w:rFonts w:hint="eastAsia" w:ascii="宋体" w:hAnsi="宋体" w:eastAsia="宋体" w:cs="Times New Roman"/>
                <w:snapToGrid/>
                <w:color w:val="auto"/>
                <w:kern w:val="2"/>
                <w:highlight w:val="none"/>
                <w:lang w:val="en-US" w:eastAsia="zh-CN"/>
              </w:rPr>
              <w:t>及</w:t>
            </w:r>
            <w:r>
              <w:rPr>
                <w:rFonts w:hint="eastAsia" w:ascii="宋体" w:hAnsi="宋体" w:eastAsia="宋体" w:cs="Times New Roman"/>
                <w:snapToGrid/>
                <w:color w:val="auto"/>
                <w:kern w:val="2"/>
                <w:highlight w:val="none"/>
                <w:lang w:eastAsia="zh-CN"/>
              </w:rPr>
              <w:t>有“SC”食品生产许可证</w:t>
            </w:r>
            <w:r>
              <w:rPr>
                <w:rFonts w:hint="eastAsia" w:ascii="宋体" w:hAnsi="宋体" w:eastAsia="宋体" w:cs="Times New Roman"/>
                <w:snapToGrid/>
                <w:color w:val="auto"/>
                <w:kern w:val="2"/>
                <w:highlight w:val="none"/>
                <w:lang w:val="en-US" w:eastAsia="zh-CN"/>
              </w:rPr>
              <w:t>编号</w:t>
            </w:r>
            <w:r>
              <w:rPr>
                <w:rFonts w:hint="eastAsia" w:ascii="宋体" w:hAnsi="宋体" w:eastAsia="宋体" w:cs="Times New Roman"/>
                <w:snapToGrid/>
                <w:color w:val="auto"/>
                <w:kern w:val="2"/>
                <w:highlight w:val="none"/>
                <w:lang w:eastAsia="zh-CN"/>
              </w:rPr>
              <w:t>。</w:t>
            </w:r>
          </w:p>
          <w:p w14:paraId="213BA931">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包装用机械封装、无毒、无害塑料袋（直接接触食品的包装必须为食品级），包装的正面需印有产品名称及生产日期和保质期，外包装必须符合《食品安全法》的相关规定，产品要求为即产即销。</w:t>
            </w:r>
          </w:p>
          <w:p w14:paraId="2FC4F083">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（2）保质期：达到国家规定要求，供货时的剩余保存期时间不得少于保质期的四分之三。</w:t>
            </w:r>
          </w:p>
          <w:p w14:paraId="257C28D4">
            <w:pPr>
              <w:widowControl w:val="0"/>
              <w:kinsoku/>
              <w:autoSpaceDE/>
              <w:autoSpaceDN/>
              <w:adjustRightInd/>
              <w:snapToGrid/>
              <w:spacing w:line="360" w:lineRule="auto"/>
              <w:ind w:firstLine="420" w:firstLineChars="200"/>
              <w:jc w:val="both"/>
              <w:textAlignment w:val="auto"/>
              <w:rPr>
                <w:rFonts w:hint="eastAsia"/>
                <w:color w:val="auto"/>
                <w:highlight w:val="none"/>
              </w:rPr>
            </w:pPr>
            <w:r>
              <w:rPr>
                <w:rFonts w:hint="eastAsia" w:ascii="宋体" w:hAnsi="宋体" w:eastAsia="宋体" w:cs="Times New Roman"/>
                <w:snapToGrid/>
                <w:color w:val="auto"/>
                <w:kern w:val="2"/>
                <w:highlight w:val="none"/>
                <w:lang w:eastAsia="zh-CN"/>
              </w:rPr>
              <w:t>湿（河）粉：</w:t>
            </w:r>
          </w:p>
          <w:p w14:paraId="7A770EC8">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w:t>
            </w:r>
            <w:r>
              <w:rPr>
                <w:rFonts w:hint="eastAsia" w:ascii="宋体" w:hAnsi="宋体" w:eastAsia="宋体" w:cs="Times New Roman"/>
                <w:snapToGrid/>
                <w:color w:val="auto"/>
                <w:kern w:val="2"/>
                <w:highlight w:val="none"/>
                <w:lang w:val="en-US" w:eastAsia="zh-CN"/>
              </w:rPr>
              <w:t>1</w:t>
            </w:r>
            <w:r>
              <w:rPr>
                <w:rFonts w:hint="eastAsia" w:ascii="宋体" w:hAnsi="宋体" w:eastAsia="宋体" w:cs="Times New Roman"/>
                <w:snapToGrid/>
                <w:color w:val="auto"/>
                <w:kern w:val="2"/>
                <w:highlight w:val="none"/>
                <w:lang w:eastAsia="zh-CN"/>
              </w:rPr>
              <w:t>）符合《广西鲜湿米粉生产许可审查细则（2022版）》和《食品安全地方标准鲜湿米粉》文件要求。</w:t>
            </w:r>
          </w:p>
          <w:p w14:paraId="5FD4134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w:t>
            </w:r>
            <w:r>
              <w:rPr>
                <w:rFonts w:hint="eastAsia" w:ascii="宋体" w:hAnsi="宋体" w:eastAsia="宋体" w:cs="Times New Roman"/>
                <w:snapToGrid/>
                <w:color w:val="auto"/>
                <w:kern w:val="2"/>
                <w:highlight w:val="none"/>
                <w:lang w:val="en-US" w:eastAsia="zh-CN"/>
              </w:rPr>
              <w:t>2</w:t>
            </w:r>
            <w:r>
              <w:rPr>
                <w:rFonts w:hint="eastAsia" w:ascii="宋体" w:hAnsi="宋体" w:eastAsia="宋体" w:cs="Times New Roman"/>
                <w:snapToGrid/>
                <w:color w:val="auto"/>
                <w:kern w:val="2"/>
                <w:highlight w:val="none"/>
                <w:lang w:eastAsia="zh-CN"/>
              </w:rPr>
              <w:t>）包装完整，标明产品名称、净含量、生产者名称和地址、生产日期、保质期、产品标准号、质量等级、生产许可证号、产品批号等内容。</w:t>
            </w:r>
          </w:p>
        </w:tc>
      </w:tr>
      <w:tr w14:paraId="50593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jc w:val="center"/>
        </w:trPr>
        <w:tc>
          <w:tcPr>
            <w:tcW w:w="848" w:type="dxa"/>
            <w:noWrap w:val="0"/>
            <w:vAlign w:val="center"/>
          </w:tcPr>
          <w:p w14:paraId="43B29A6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8</w:t>
            </w:r>
          </w:p>
        </w:tc>
        <w:tc>
          <w:tcPr>
            <w:tcW w:w="1384" w:type="dxa"/>
            <w:noWrap w:val="0"/>
            <w:vAlign w:val="center"/>
          </w:tcPr>
          <w:p w14:paraId="0436573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水果类</w:t>
            </w:r>
          </w:p>
        </w:tc>
        <w:tc>
          <w:tcPr>
            <w:tcW w:w="716" w:type="dxa"/>
            <w:noWrap w:val="0"/>
            <w:vAlign w:val="center"/>
          </w:tcPr>
          <w:p w14:paraId="09ABC971">
            <w:pPr>
              <w:widowControl w:val="0"/>
              <w:kinsoku/>
              <w:autoSpaceDE/>
              <w:autoSpaceDN/>
              <w:adjustRightInd/>
              <w:snapToGrid/>
              <w:spacing w:line="360" w:lineRule="auto"/>
              <w:jc w:val="center"/>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1项</w:t>
            </w:r>
          </w:p>
        </w:tc>
        <w:tc>
          <w:tcPr>
            <w:tcW w:w="6799" w:type="dxa"/>
            <w:noWrap w:val="0"/>
            <w:vAlign w:val="center"/>
          </w:tcPr>
          <w:p w14:paraId="2A3D3C32">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包装上要注明商品名称，生产企业名称、产地，生产日期、保质期、联系电话、重量等内容。水果外表光亮无斑点，新鲜清洁，形状正常，大小均匀，成熟度适中，无软皮，无腐烂，无异味，无病虫损害，经快速检测，农药残留含量不超过食品安全标准限量，且符合现行《食用农产品市场销售质量安全监督管理办法》的要求。</w:t>
            </w:r>
          </w:p>
          <w:p w14:paraId="6890EDD1">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b/>
                <w:bCs/>
                <w:snapToGrid/>
                <w:color w:val="auto"/>
                <w:kern w:val="2"/>
                <w:highlight w:val="none"/>
                <w:lang w:eastAsia="zh-CN"/>
              </w:rPr>
              <w:t xml:space="preserve">1、采购需求 </w:t>
            </w:r>
          </w:p>
          <w:p w14:paraId="5A4E91EA">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 xml:space="preserve">⑴实行每批次采购，供应商应按招标人的货物请购清单提供相应数量的货物。 </w:t>
            </w:r>
          </w:p>
          <w:p w14:paraId="414283A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⑵结算时按实际采购数量结算。</w:t>
            </w:r>
          </w:p>
          <w:p w14:paraId="7DBF4314">
            <w:pPr>
              <w:widowControl w:val="0"/>
              <w:kinsoku/>
              <w:autoSpaceDE/>
              <w:autoSpaceDN/>
              <w:adjustRightInd/>
              <w:snapToGrid/>
              <w:spacing w:line="360" w:lineRule="auto"/>
              <w:ind w:firstLine="422" w:firstLineChars="200"/>
              <w:jc w:val="both"/>
              <w:textAlignment w:val="auto"/>
              <w:rPr>
                <w:rFonts w:hint="eastAsia" w:ascii="宋体" w:hAnsi="宋体" w:eastAsia="宋体" w:cs="Times New Roman"/>
                <w:b/>
                <w:bCs/>
                <w:snapToGrid/>
                <w:color w:val="auto"/>
                <w:kern w:val="2"/>
                <w:highlight w:val="none"/>
                <w:lang w:eastAsia="zh-CN"/>
              </w:rPr>
            </w:pPr>
            <w:r>
              <w:rPr>
                <w:rFonts w:hint="eastAsia" w:ascii="宋体" w:hAnsi="宋体" w:eastAsia="宋体" w:cs="Times New Roman"/>
                <w:b/>
                <w:bCs/>
                <w:snapToGrid/>
                <w:color w:val="auto"/>
                <w:kern w:val="2"/>
                <w:highlight w:val="none"/>
                <w:lang w:eastAsia="zh-CN"/>
              </w:rPr>
              <w:t xml:space="preserve">▲2、质量要求 </w:t>
            </w:r>
          </w:p>
          <w:p w14:paraId="44551CE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必须符合国家食品安全卫生标准。符合《食品安全法》要求，尽量采用当地时令新鲜水果。水果可食用率必须达95%以上。</w:t>
            </w:r>
          </w:p>
          <w:p w14:paraId="2099BDB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水果必须保证新鲜，绿色环保。无公害、无污染、无农药残留；水果残留农药检测合格，必须提供残留农药检测合格证明。质量符合国家相关规定的要求，每批次有专人负责每天检测并记录。招标人每天对每批次水果进行农药残留进行抽检，如含量超标将要求中标人无条件退货或换货。</w:t>
            </w:r>
          </w:p>
          <w:p w14:paraId="4A1B059C">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（3）有相对固定的供货渠道，有完善的货物来源记录。</w:t>
            </w:r>
          </w:p>
          <w:p w14:paraId="166C5F52">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val="en-US" w:eastAsia="zh-CN"/>
              </w:rPr>
            </w:pPr>
          </w:p>
        </w:tc>
      </w:tr>
    </w:tbl>
    <w:p w14:paraId="28F9FBE1">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三、商务条款</w:t>
      </w:r>
    </w:p>
    <w:p w14:paraId="05806234">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color w:val="auto"/>
          <w:spacing w:val="-4"/>
          <w:highlight w:val="none"/>
        </w:rPr>
      </w:pPr>
      <w:r>
        <w:rPr>
          <w:rFonts w:hint="eastAsia" w:ascii="宋体" w:hAnsi="宋体" w:eastAsia="宋体" w:cs="宋体"/>
          <w:b/>
          <w:snapToGrid/>
          <w:color w:val="auto"/>
          <w:kern w:val="2"/>
          <w:sz w:val="21"/>
          <w:szCs w:val="21"/>
          <w:highlight w:val="none"/>
          <w:lang w:val="en-US" w:eastAsia="zh-CN" w:bidi="ar-SA"/>
        </w:rPr>
        <w:t>（一）采购期限</w:t>
      </w:r>
    </w:p>
    <w:p w14:paraId="322D666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采购期限：自签订合同日期起至到2027年7月31日为止。</w:t>
      </w:r>
    </w:p>
    <w:p w14:paraId="47DB2A6B">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（二）服务总体要求</w:t>
      </w:r>
    </w:p>
    <w:p w14:paraId="36C08F3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1、供货服务对象：平南县上渡街道大成第二初级中学。</w:t>
      </w:r>
    </w:p>
    <w:p w14:paraId="5BAAF021">
      <w:pPr>
        <w:widowControl w:val="0"/>
        <w:kinsoku/>
        <w:autoSpaceDE/>
        <w:autoSpaceDN/>
        <w:adjustRightInd/>
        <w:snapToGrid/>
        <w:spacing w:line="360" w:lineRule="auto"/>
        <w:ind w:firstLine="422"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b/>
          <w:bCs/>
          <w:snapToGrid/>
          <w:color w:val="auto"/>
          <w:kern w:val="2"/>
          <w:highlight w:val="none"/>
          <w:lang w:eastAsia="zh-CN"/>
        </w:rPr>
        <w:t>严禁配送预制菜，中标企业中标后配置统一配送中心和全链条可溯源信息化监管系统。</w:t>
      </w:r>
    </w:p>
    <w:p w14:paraId="29BC75E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采购量：实际数量以招标人根据实际需要为准，结算时按实际采购数量结算。中标人不得因实际供应量与中标数量不一致提出异议。</w:t>
      </w:r>
    </w:p>
    <w:p w14:paraId="52594D2D">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3、中标人不得将中标货物转包或分包给第三方，招标人发现的有权单方终止合同。由此产生的一切经济损失由中标人自行承担。</w:t>
      </w:r>
    </w:p>
    <w:p w14:paraId="68413D8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中标人在合同履行期间保证对采购人的货物供应，中标后不得拒绝采购人分配的任务。中标人在服务期内没能达到投标文件承诺的服务要求的，中标人未按要求履行协议义务的或中标人的资质在服务期内发生变化不再符合要求的，采购人均有权单方依法终止合同，由此产生的一切经济损失由中标人自行承。</w:t>
      </w:r>
    </w:p>
    <w:p w14:paraId="2BFE62A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对于外观无异常，但采购人在食材加工制作过程中发现质量问题的，中标人也需在采购人提出退换时间起30分钟内完成退换，若供应商不能及时退换，导致采购人在校学生不能按时进餐，每学期达到2次(含2次)，采购人可提出终止合同。</w:t>
      </w:r>
    </w:p>
    <w:p w14:paraId="65D2C67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6.中标人必须遵守国家的法律法规及采购人的规章制度。中标人必须服从采购人的监督、管理。进入校园出现与学生私自接触、捎带物品和利益交易等违规行为的，直接依法终止合同，并追究中标人相关责任。</w:t>
      </w:r>
    </w:p>
    <w:p w14:paraId="472B96B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7.中标人应保证所提供的产品必须是合格安全的产品，供应的货物因产品质量问题造成食品安全事故的，直接取消中标人的供货资格，由中标人承担全部经济赔偿责任及其他法律责任。</w:t>
      </w:r>
    </w:p>
    <w:p w14:paraId="78364C9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8.中标人提供符合工商食卫等部门的有效证明材料。如有效的营业执照、产品合格证、食品原材料采购供应渠道等。建立完备的冷藏、分割、包装、检测、留样、监控系统。</w:t>
      </w:r>
    </w:p>
    <w:p w14:paraId="1EC54E7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9.为保障食材供应安全、及时，供应商必须承诺中标后在平南县县域范围内建立仓库进行配送，配送点在平南县域范围内，投标文件中提供承诺函，格式自拟。</w:t>
      </w:r>
    </w:p>
    <w:p w14:paraId="20880B8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承诺函大体内容是:</w:t>
      </w:r>
    </w:p>
    <w:p w14:paraId="6309A7BF">
      <w:pPr>
        <w:widowControl w:val="0"/>
        <w:numPr>
          <w:ilvl w:val="0"/>
          <w:numId w:val="0"/>
        </w:numPr>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w:t>
      </w:r>
      <w:r>
        <w:rPr>
          <w:rFonts w:hint="eastAsia" w:ascii="宋体" w:hAnsi="宋体" w:eastAsia="宋体" w:cs="宋体"/>
          <w:snapToGrid/>
          <w:color w:val="auto"/>
          <w:kern w:val="2"/>
          <w:highlight w:val="none"/>
          <w:lang w:val="en-US" w:eastAsia="zh-CN"/>
        </w:rPr>
        <w:t>1</w:t>
      </w:r>
      <w:r>
        <w:rPr>
          <w:rFonts w:hint="eastAsia" w:ascii="宋体" w:hAnsi="宋体" w:eastAsia="宋体" w:cs="宋体"/>
          <w:snapToGrid/>
          <w:color w:val="auto"/>
          <w:kern w:val="2"/>
          <w:highlight w:val="none"/>
          <w:lang w:eastAsia="zh-CN"/>
        </w:rPr>
        <w:t>)为保障食材供应安全及时，中标人中标后必须在项目所在地投入一定的经营场所(包括仓库、冷藏室、快检室)，车辆和人员，承诺中标通知书发放后合同实施前，在平南县内建成能满足本项目服务所需的统一配送的经营场所，经营场所配备的条件须与评标标准得分一致(厢式配送冷藏专用车、足够的正式员工、大型仓储、分拣中心、冷链仓库及其它履行合同能力的设备设施)。</w:t>
      </w:r>
    </w:p>
    <w:p w14:paraId="06081F00">
      <w:pPr>
        <w:widowControl w:val="0"/>
        <w:numPr>
          <w:ilvl w:val="0"/>
          <w:numId w:val="0"/>
        </w:numPr>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(2)接受平南县教育局、市场监督管理等相关部门监督，执行贵港市教育局贵港市市场监督管理局关于《印发贵港市中小学食材中标人准入和退出条件》的通知(贵教通[2024122号)的规定。</w:t>
      </w:r>
    </w:p>
    <w:p w14:paraId="041FA8C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(3)若供应商未在签订合同后建成经营场所的或设备达不到要求的，导致采购人无法现场核验或现场核验不达标的，采购单位有权上报监督部门取消其供货资格。</w:t>
      </w:r>
    </w:p>
    <w:p w14:paraId="2B42B9FD">
      <w:pPr>
        <w:widowControl w:val="0"/>
        <w:kinsoku/>
        <w:autoSpaceDE/>
        <w:autoSpaceDN/>
        <w:adjustRightInd/>
        <w:snapToGrid/>
        <w:spacing w:line="360" w:lineRule="auto"/>
        <w:ind w:firstLine="422" w:firstLineChars="200"/>
        <w:jc w:val="both"/>
        <w:textAlignment w:val="auto"/>
        <w:rPr>
          <w:color w:val="auto"/>
          <w:highlight w:val="none"/>
        </w:rPr>
      </w:pPr>
      <w:r>
        <w:rPr>
          <w:rFonts w:hint="eastAsia" w:ascii="宋体" w:hAnsi="宋体" w:eastAsia="宋体" w:cs="宋体"/>
          <w:b/>
          <w:snapToGrid/>
          <w:color w:val="auto"/>
          <w:kern w:val="2"/>
          <w:sz w:val="21"/>
          <w:szCs w:val="21"/>
          <w:highlight w:val="none"/>
          <w:lang w:val="en-US" w:eastAsia="zh-CN" w:bidi="ar-SA"/>
        </w:rPr>
        <w:t>（三）供应价格要求</w:t>
      </w:r>
    </w:p>
    <w:p w14:paraId="12FA428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1.供货价格须包含提供食品原材料的成本、生产、加工、检验检测、包装、运输、仓储、配送、服务、利润、税金、政策性规费、保险、劳保等一切相关费用。所产生的费用由中标人负责。</w:t>
      </w:r>
    </w:p>
    <w:p w14:paraId="3B8C26C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2.供货结算价格要随着市场的价格变化而变化，食品原料市场价格调查时间安排按照以下流程:</w:t>
      </w:r>
    </w:p>
    <w:p w14:paraId="595D809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平南县物价部门每月发布的监测价格表上有对应品种价格的，学校与配送企业当月对应品种采购价格的结算按照县物价部门上一个月发布的监测价格表执行，结算时配送企业附上县物价部门上一个月发布的监测价格表给学校存档。</w:t>
      </w:r>
    </w:p>
    <w:p w14:paraId="053C740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平南县物价部门每月发布的监测价格表没有公布的食品和食材实行多方询价小组询价。教育局组织由教育局、市监局、配送企业代表、学校代表(每次至少有三所学校派出的代表)、学校膳食安全委员会代表(每次不少于3人)组成的多方询价小组，可不定期邀请人大代表和政协委员代表监督到城区内大型超市对重要商品的价格进行采价，特价及促销价除外，如大型超市没有配送的商品，则到城区的大型农贸市场采价。每月询价二次，上下半月不定期各询一次取二次询价的平均值作为学校和配送企业确定下一个月食材结算价格且实行全县统一价格。</w:t>
      </w:r>
    </w:p>
    <w:p w14:paraId="61C9CC9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配送企业以平南县物价部门每月发布的监测价格和平南县城大型超市、农贸市场同品质价格为参照依据，并根据规定在参考价格的基础上进行'价格93%以下折扣”(按实际中标折扣率为准)，在每月30日前形成下一个月学校学生食堂食品及食材结算价格表。基准价不能高于市场上的最高价，如果价格不能协商确定的，供应商暂停供应该食材，对不按时、不按质、不按量、不按单配送到位的，采购人可不支付相应货款，且采购人有启动应急预案的权利(遇不可抗力除外)，从其他中标人或具有保证食品安全的供应商采购，相应责任及损失由中标人自行承担。</w:t>
      </w:r>
    </w:p>
    <w:p w14:paraId="57C3099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3.基准价设定为X，签订的合同折扣率设定为Y%，则该原料供货单价为XxY%(例如:市场零售价X=100元,合同折扣率Y%=90%,该原料供货单价=100</w:t>
      </w:r>
      <w:r>
        <w:rPr>
          <w:rFonts w:hint="eastAsia" w:ascii="宋体" w:hAnsi="宋体" w:eastAsia="宋体" w:cs="宋体"/>
          <w:snapToGrid/>
          <w:color w:val="auto"/>
          <w:kern w:val="2"/>
          <w:highlight w:val="none"/>
          <w:lang w:val="en-US" w:eastAsia="zh-CN"/>
        </w:rPr>
        <w:t>*</w:t>
      </w:r>
      <w:r>
        <w:rPr>
          <w:rFonts w:hint="eastAsia" w:ascii="宋体" w:hAnsi="宋体" w:eastAsia="宋体" w:cs="宋体"/>
          <w:snapToGrid/>
          <w:color w:val="auto"/>
          <w:kern w:val="2"/>
          <w:highlight w:val="none"/>
          <w:lang w:eastAsia="zh-CN"/>
        </w:rPr>
        <w:t>0.90=90元)，第一中标候选人不认可该供货价的视为自动放弃中标权利，由下一中标候选人递补。</w:t>
      </w:r>
    </w:p>
    <w:p w14:paraId="39F8AB46">
      <w:pPr>
        <w:widowControl w:val="0"/>
        <w:kinsoku/>
        <w:autoSpaceDE/>
        <w:autoSpaceDN/>
        <w:adjustRightInd/>
        <w:snapToGrid/>
        <w:spacing w:line="360" w:lineRule="auto"/>
        <w:ind w:firstLine="422" w:firstLineChars="200"/>
        <w:jc w:val="both"/>
        <w:textAlignment w:val="auto"/>
        <w:rPr>
          <w:color w:val="auto"/>
          <w:highlight w:val="none"/>
        </w:rPr>
      </w:pPr>
      <w:r>
        <w:rPr>
          <w:rFonts w:hint="eastAsia" w:ascii="宋体" w:hAnsi="宋体" w:eastAsia="宋体" w:cs="宋体"/>
          <w:b/>
          <w:snapToGrid/>
          <w:color w:val="auto"/>
          <w:kern w:val="2"/>
          <w:sz w:val="21"/>
          <w:szCs w:val="21"/>
          <w:highlight w:val="none"/>
          <w:lang w:val="en-US" w:eastAsia="zh-CN" w:bidi="ar-SA"/>
        </w:rPr>
        <w:t>（四）货款结算及付款方式</w:t>
      </w:r>
    </w:p>
    <w:p w14:paraId="28439A6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一般情况下采购单位按月进行结算，采购资金由采购单位财务账户转入中标供应商账户。每月25日前，中标供应商应向采购单位开具上一月度供货相应数额的正式发票。特殊情况，需临时改变结算方式，双方可通过协商解决。</w:t>
      </w:r>
    </w:p>
    <w:p w14:paraId="77BC8CD0">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（五）交货地点：平南县上渡街道大成第二初级中学</w:t>
      </w:r>
    </w:p>
    <w:p w14:paraId="01E0E8D3">
      <w:pPr>
        <w:widowControl w:val="0"/>
        <w:kinsoku/>
        <w:autoSpaceDE/>
        <w:autoSpaceDN/>
        <w:adjustRightInd/>
        <w:snapToGrid/>
        <w:spacing w:line="360" w:lineRule="auto"/>
        <w:ind w:firstLine="422" w:firstLineChars="200"/>
        <w:jc w:val="both"/>
        <w:textAlignment w:val="auto"/>
        <w:rPr>
          <w:rFonts w:hint="eastAsia" w:ascii="宋体" w:hAnsi="宋体" w:eastAsia="宋体" w:cs="宋体"/>
          <w:b/>
          <w:snapToGrid/>
          <w:color w:val="auto"/>
          <w:kern w:val="2"/>
          <w:sz w:val="21"/>
          <w:szCs w:val="21"/>
          <w:highlight w:val="none"/>
          <w:lang w:val="en-US" w:eastAsia="zh-CN" w:bidi="ar-SA"/>
        </w:rPr>
      </w:pPr>
      <w:r>
        <w:rPr>
          <w:rFonts w:hint="eastAsia" w:ascii="宋体" w:hAnsi="宋体" w:eastAsia="宋体" w:cs="宋体"/>
          <w:b/>
          <w:snapToGrid/>
          <w:color w:val="auto"/>
          <w:kern w:val="2"/>
          <w:sz w:val="21"/>
          <w:szCs w:val="21"/>
          <w:highlight w:val="none"/>
          <w:lang w:val="en-US" w:eastAsia="zh-CN" w:bidi="ar-SA"/>
        </w:rPr>
        <w:t>（六）配送服务要求</w:t>
      </w:r>
    </w:p>
    <w:p w14:paraId="29C4A3A9">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1.中标人应当根据采购人实际情况，按照与采购人的约定，在规定的时间内将预定的货物保质保量送到指定地点。</w:t>
      </w:r>
    </w:p>
    <w:p w14:paraId="2751D7C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一般供货要求:学校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中标人每天早上7:00前提供当日使用鲜肉类、糕点、面包、粉类、蔬果类等食材。紧急供货要求:在收到采购人发出紧急供货通知后，中标人最迟30分钟内完成当次现场供货。</w:t>
      </w:r>
    </w:p>
    <w:p w14:paraId="5011E51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中标人中标后要配置可全程电子监控的"配送厢式冷藏专用车"，凭专用通行证进出学校。蔬菜水果、鲜肉类、面包、糕点、粉类等鲜活食品必须当日配送，其余食品原材料可视学校实际需求配送，确保学校食品新鲜、优质、安全可靠。为确保食品安全，配送的牛奶、糕点、水果等无法进行二次加工烹煮的食物与鲜肉类食材分开配送，不得混装在同一箱体内，否则采购人有权拒收该批次食材，造成一切损失由中标人承担。中标人要全程监控配送车辆送货情况，严禁途中调货换货现象发生。中标人必须按照采购人通知的时间、数量、品种、品质要求及协定的价格准时送货，经验收合格后签字确认，不能以任何理由推脱，一旦影响到采购人食堂的正常运转，中标人应承担相应的经济赔偿。</w:t>
      </w:r>
    </w:p>
    <w:p w14:paraId="4384185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4.中标人不能满足供货要求时，应提前1个月通知采购人，采购人同意后方可依法终止合同。</w:t>
      </w:r>
    </w:p>
    <w:p w14:paraId="199D2B1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5.送货地点:平南县上渡街道大成第二初级中学。(交货地点如有变动，采购人不另行支付配送交通费用)</w:t>
      </w:r>
    </w:p>
    <w:p w14:paraId="6D92085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6.在采购人签收之前，货物的所有权和风险属于中标人，货物的数量、质量、遗失、损坏由中标人负责。</w:t>
      </w:r>
    </w:p>
    <w:p w14:paraId="59413BA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7.中标人必须严格按照采购人的指令配送货物的数量，不得随意增减，否则，采购人有权拒收。</w:t>
      </w:r>
    </w:p>
    <w:p w14:paraId="523A42B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8.除客观不可抗力外，中标人不得更改送货内容。如因市场流通问题确实需要变更供货内容的，中标人应书面告知采购人，并经采购人同意后方可改变。经发现中标人私自更改菜单中货品时以违约论处，由此产生的一切损失和费用由中标人承担。</w:t>
      </w:r>
    </w:p>
    <w:p w14:paraId="000D607D">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9.采购人发现采购货物不能正常食用的，中标人必须无条件退货。中标人未能履行招标文件和合同所定事项，或供应不合格的、假冒虚伪、以次充好的货物采购人退货后记录在案，并对中标人予以处罚，每次没收履约保证金1万元，且除要承担因此产生的一切损失和费用，情节严重的可取消供应资格。</w:t>
      </w:r>
    </w:p>
    <w:p w14:paraId="7F18EFC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10.中标人不能按核定的供货价交付某些货物、不能提供与其承诺相符的服务或中标人存在违反招标文件和合同的行为，并且不予纠正的，将取消其中标资格。</w:t>
      </w:r>
    </w:p>
    <w:p w14:paraId="792A766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此项违约责任包括但不限于下列各项:</w:t>
      </w:r>
    </w:p>
    <w:p w14:paraId="4295C9C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(1)中标人在收到采购人订货要求后，在承诺的供货时间内不能供货的。</w:t>
      </w:r>
    </w:p>
    <w:p w14:paraId="0C491FD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(2)中标人未能提供承诺的服务的。</w:t>
      </w:r>
    </w:p>
    <w:p w14:paraId="6764757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(3)中标货物在保质期出现损坏的，中标人应承诺替换服务，因替换货物产生的费用由中标人负责。</w:t>
      </w:r>
    </w:p>
    <w:p w14:paraId="5115774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(4)中标人的送货单必须详细注明货物的名称、品种、单价、数量，不得涂改。标记不清的，采购人将拒绝签字。期末结算中标人还应提供送货单供采购人结算。</w:t>
      </w:r>
    </w:p>
    <w:p w14:paraId="40CA1A4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(5)中标人必须指定专人送货，并经健康体检合格。送货专员在采购人学校场所活动时必须穿着便于辨认的工衣和佩戴出入证。并严格遵守采购人的各项规章制度，否则采购人有权依法终止合同。</w:t>
      </w:r>
    </w:p>
    <w:p w14:paraId="104A09F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(6)中标人不得泄露采购人的秘密。泄密造成采购人损失的，中标人将承担由此产生的一切损失和法律责任。</w:t>
      </w:r>
    </w:p>
    <w:p w14:paraId="77D16E7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在合同有效期内，因自然灾害或不可抗力事件无法履行合同的行为不作为违约情形，双方均无责任。</w:t>
      </w:r>
    </w:p>
    <w:p w14:paraId="6133AE9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11.中标人食品价格严格执行中标时约定的折扣，对于质量有问题的食品要保证退货，并及时更换符合质量标准的食品。要努力提高有关工作人员的服务水平，不得强制向学校配送不符合质量标准的食品，对出现有关质量问题的按合同相关事宜处理。</w:t>
      </w:r>
    </w:p>
    <w:p w14:paraId="0FA15BFF">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6" w:name="_Toc21556"/>
      <w:bookmarkStart w:id="7" w:name="_Toc10657"/>
      <w:r>
        <w:rPr>
          <w:rFonts w:hint="eastAsia" w:ascii="宋体" w:hAnsi="宋体" w:eastAsia="宋体" w:cs="宋体"/>
          <w:b/>
          <w:snapToGrid/>
          <w:color w:val="auto"/>
          <w:kern w:val="2"/>
          <w:sz w:val="21"/>
          <w:szCs w:val="21"/>
          <w:highlight w:val="none"/>
          <w:lang w:val="en-US" w:eastAsia="zh-CN" w:bidi="ar-SA"/>
        </w:rPr>
        <w:t>（七）安全质量要求</w:t>
      </w:r>
      <w:bookmarkEnd w:id="6"/>
      <w:bookmarkEnd w:id="7"/>
    </w:p>
    <w:p w14:paraId="02D588A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1.中标人应充分理解并认真遵循本招标文件的要求。所提供的货物必须满足招标文件要求，并可追溯，检验合格、无毒、无害、无辐射、无侵权，符合国家有关卫生、质量、包装和保质标准。</w:t>
      </w:r>
    </w:p>
    <w:p w14:paraId="7B27860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中标人提供的蔬菜必须保证每日新鲜，且取得无公害认证优先选择，并符合食品卫生安全法要求。采购人每天对每批次蔬菜进行农药残留进行抽检，如含量超标将要求中标人无条件退货或换货。出现1次含量超标情况的，处以中标人人民币1000元罚款，罚款由当月供货结算款中扣除。合同期内出现3次以上含量超标情况的，采购人有权依法终止合同。</w:t>
      </w:r>
    </w:p>
    <w:p w14:paraId="51275A7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依据产品质量监督检验所提供的质量标准，供应商提供的产品必须是经过市场监督管理部门检验并取得合格证明的产品，每批次货物提供时应交存货物质量合格证明、产品质量检测合格报告或检疫报告复印件。鲜猪肉、鲜鸡鸭等禽畜产品必须具有动物检验检疫证明。</w:t>
      </w:r>
    </w:p>
    <w:p w14:paraId="7F8924C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中标人应严格遵守《中华人民共和国食品安全法》和《中华人民共和国动物防疫法》等相关规定，所提供的产品是合格安全的产品，一经发现供应以下食品，采购人除全部退货外，将取消中标人的供货资格，中标人并承担由此造成的经济责任和法律责任。</w:t>
      </w:r>
    </w:p>
    <w:p w14:paraId="75B92DA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(1)腐败变质、油脂酸败、霉变、生虫、污秽不洁、混有异物或者其他感官性状异常，对人体健康有害的；</w:t>
      </w:r>
    </w:p>
    <w:p w14:paraId="1C4B514D">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(2)含有毒、有害物质或者被有害物质污染，对人体健康有害的；</w:t>
      </w:r>
    </w:p>
    <w:p w14:paraId="325A48D9">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(3)含有致病性寄生虫、微生物或者微生物含量超过国家限定标准的；</w:t>
      </w:r>
    </w:p>
    <w:p w14:paraId="6279123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(4)未经动物检疫部门检疫、检验或者检疫、检验不合格的肉类及其制品；</w:t>
      </w:r>
    </w:p>
    <w:p w14:paraId="3BCA80A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(5)病死、毒死或者死因不明的禽、畜、兽、水产动物等及其制品；</w:t>
      </w:r>
    </w:p>
    <w:p w14:paraId="0F2BB8D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(6)掺假、掺杂、伪造，影响营养、卫生的；</w:t>
      </w:r>
    </w:p>
    <w:p w14:paraId="6C953BE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(7)用非食品原料加工的，加入非食品用化学物质或者将非食品当作食品的；</w:t>
      </w:r>
    </w:p>
    <w:p w14:paraId="766B575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(8)超过保质期限的。</w:t>
      </w:r>
    </w:p>
    <w:p w14:paraId="33CD8A7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5.中标人在中标前未购买食品安全责任保险的，中标人在签订合同后一个月内必须到相关的保险公司进行投保，投保险种为食品安全责任保险，保额不少于500万元，否则采购人有权依法终止合同。</w:t>
      </w:r>
    </w:p>
    <w:p w14:paraId="2EA253C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6.安全监管要求:(1)建立健全并严格执行各项食品卫生安全管理制度。严格执行原材料进货查验制度、购销登记制度、素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采购人可以单方解除合同，供应商要赔偿因此造成的全部损失并依法承担有关责任。</w:t>
      </w:r>
    </w:p>
    <w:p w14:paraId="6333008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7.学校将组织相关单位和人员对中标人进行实地考察，实地考察无误后中标人方可进行配送，若供应商经营场所或设备达不到要求的，采购人有权上报监督部门，取消其中标资格。同时中标人须向采购人缴纳履约保证金人民币</w:t>
      </w:r>
      <w:r>
        <w:rPr>
          <w:rFonts w:hint="eastAsia" w:ascii="宋体" w:hAnsi="宋体" w:eastAsia="宋体" w:cs="宋体"/>
          <w:snapToGrid/>
          <w:color w:val="auto"/>
          <w:kern w:val="2"/>
          <w:highlight w:val="none"/>
          <w:u w:val="single"/>
          <w:lang w:eastAsia="zh-CN"/>
        </w:rPr>
        <w:t>中标金额</w:t>
      </w:r>
      <w:r>
        <w:rPr>
          <w:rFonts w:hint="eastAsia" w:ascii="宋体" w:hAnsi="宋体" w:eastAsia="宋体" w:cs="宋体"/>
          <w:snapToGrid/>
          <w:color w:val="auto"/>
          <w:kern w:val="2"/>
          <w:highlight w:val="none"/>
          <w:u w:val="single"/>
          <w:lang w:val="en-US" w:eastAsia="zh-CN"/>
        </w:rPr>
        <w:t>2%</w:t>
      </w:r>
      <w:r>
        <w:rPr>
          <w:rFonts w:hint="eastAsia" w:ascii="宋体" w:hAnsi="宋体" w:eastAsia="宋体" w:cs="宋体"/>
          <w:snapToGrid/>
          <w:color w:val="auto"/>
          <w:kern w:val="2"/>
          <w:highlight w:val="none"/>
          <w:lang w:eastAsia="zh-CN"/>
        </w:rPr>
        <w:t>，期间发生食品卫生安全事故，采购人可将此笔履约保证金用于应急处置工作，合同期满后按实际结余额退还中标人(不计利息)；如果中标人合同期间单方面依法终止合同，采购人按实际结余额退还履约保证金(不计利息)。</w:t>
      </w:r>
    </w:p>
    <w:p w14:paraId="242BBFBD">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8" w:name="_Toc21589"/>
      <w:bookmarkStart w:id="9" w:name="_Toc19087"/>
      <w:r>
        <w:rPr>
          <w:rFonts w:hint="eastAsia" w:ascii="宋体" w:hAnsi="宋体" w:eastAsia="宋体" w:cs="宋体"/>
          <w:b/>
          <w:snapToGrid/>
          <w:color w:val="auto"/>
          <w:kern w:val="2"/>
          <w:sz w:val="21"/>
          <w:szCs w:val="21"/>
          <w:highlight w:val="none"/>
          <w:lang w:val="en-US" w:eastAsia="zh-CN" w:bidi="ar-SA"/>
        </w:rPr>
        <w:t>（八）物料的验收</w:t>
      </w:r>
      <w:bookmarkEnd w:id="8"/>
      <w:bookmarkEnd w:id="9"/>
    </w:p>
    <w:p w14:paraId="5E02407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1、凡是《食品安全法》禁止经营的食品一律不得采购和使用，严禁配送“三无"食品、有毒、有害、过 期、变质、假冒伪劣等不合格食品。禁止提供冷荤熟食制品，禁止提供野生蘑菇、发芽马铃薯、四季豆、蚕豆等高风险食材给单位加工食用。</w:t>
      </w:r>
    </w:p>
    <w:p w14:paraId="4676E16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物料的验收工作由采购方和供应商共同进行。供应商提供的产品须经过食堂验收人员的感官检验、外观检验和试用检验，若产品外观、包装、形式不符合要求、感官检验不能达到食品卫生要求，当即拒收；供应商不能满足食品的质、量及售后服务要求时，采购方有权进行处罚或终止合同。</w:t>
      </w:r>
    </w:p>
    <w:p w14:paraId="53D24CCE">
      <w:pPr>
        <w:widowControl w:val="0"/>
        <w:kinsoku/>
        <w:autoSpaceDE/>
        <w:autoSpaceDN/>
        <w:adjustRightInd/>
        <w:snapToGrid/>
        <w:spacing w:line="360" w:lineRule="auto"/>
        <w:ind w:firstLine="420" w:firstLineChars="200"/>
        <w:jc w:val="both"/>
        <w:textAlignment w:val="auto"/>
        <w:rPr>
          <w:rFonts w:hint="eastAsia" w:ascii="Times New Roman" w:hAnsi="Times New Roman" w:eastAsia="宋体" w:cs="Times New Roman"/>
          <w:snapToGrid/>
          <w:color w:val="auto"/>
          <w:kern w:val="2"/>
          <w:sz w:val="21"/>
          <w:szCs w:val="24"/>
          <w:highlight w:val="none"/>
          <w:lang w:val="en-US" w:eastAsia="zh-CN" w:bidi="ar-SA"/>
        </w:rPr>
      </w:pPr>
      <w:r>
        <w:rPr>
          <w:rFonts w:hint="eastAsia" w:ascii="宋体" w:hAnsi="宋体" w:eastAsia="宋体" w:cs="宋体"/>
          <w:snapToGrid/>
          <w:color w:val="auto"/>
          <w:kern w:val="2"/>
          <w:highlight w:val="none"/>
          <w:lang w:val="en-US" w:eastAsia="zh-CN"/>
        </w:rPr>
        <w:t>3、验收工作的一般程序为：根据食品请购清单的具体要求，对所购物料进行清点、外观检查以及对物料的各项指标和性能进行实测，并逐项记录。检测结束后，验收人员在验收单上签字。对未能通过验收的，一律退货、更换直至验收合格。</w:t>
      </w:r>
    </w:p>
    <w:p w14:paraId="6E1E8D72">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0" w:name="_Toc17785"/>
      <w:bookmarkStart w:id="11" w:name="_Toc24348"/>
      <w:r>
        <w:rPr>
          <w:rFonts w:hint="eastAsia" w:ascii="宋体" w:hAnsi="宋体" w:eastAsia="宋体" w:cs="宋体"/>
          <w:b/>
          <w:snapToGrid/>
          <w:color w:val="auto"/>
          <w:kern w:val="2"/>
          <w:sz w:val="21"/>
          <w:szCs w:val="21"/>
          <w:highlight w:val="none"/>
          <w:lang w:val="en-US" w:eastAsia="zh-CN" w:bidi="ar-SA"/>
        </w:rPr>
        <w:t>（九）采购要求</w:t>
      </w:r>
      <w:bookmarkEnd w:id="10"/>
      <w:bookmarkEnd w:id="11"/>
    </w:p>
    <w:p w14:paraId="31E61C8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一）学校应提前一周向配送企业预订货物的品种和数量，配送企业接受配送任务后，须按要求向学校提供优质、新鲜的食品原材料，并确保食材根据学校食堂的需要提前到位。配送的食品原材料应取得食品生产许可证、有效的质量检验报告，未列入生产许可目录的产品，须符合国家有关标准要求。</w:t>
      </w:r>
    </w:p>
    <w:p w14:paraId="35E102C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二）配送企业须配置具备全程电子监控的功能的厢式冷藏专用配送车辆，凭专用通行证进出学校。蔬菜、肉类、面包、糕点、湿粉等鲜活食品须当日配送，其余食品原材料可结合学校实际按规定时限配送，确保学校食品新鲜、优质、安全、可靠。中标企业须对配送车辆的运输过程进行全程监控，严禁运输途中发生调货、换货行为。</w:t>
      </w:r>
    </w:p>
    <w:p w14:paraId="44C8726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三）中标企业食品价格须严格执行中标时约定的折扣，对于质量有问题的食须保证退货，并及时更换符合质量标准的食品。提高服务水平，严禁强制向学校配送不符合质量标准的食品，出现质量问题的须按合同约定处理。</w:t>
      </w:r>
    </w:p>
    <w:p w14:paraId="71A4DED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（四）对不按时、不按质、不按量、不按单配送到位的（遇不可抗力除外），学校有权启动应急预案。</w:t>
      </w:r>
    </w:p>
    <w:p w14:paraId="3DC370BC">
      <w:pPr>
        <w:widowControl w:val="0"/>
        <w:kinsoku/>
        <w:autoSpaceDE/>
        <w:autoSpaceDN/>
        <w:adjustRightInd/>
        <w:snapToGrid/>
        <w:spacing w:line="360" w:lineRule="auto"/>
        <w:ind w:firstLine="420" w:firstLineChars="200"/>
        <w:jc w:val="both"/>
        <w:textAlignment w:val="auto"/>
        <w:rPr>
          <w:color w:val="auto"/>
          <w:sz w:val="20"/>
          <w:szCs w:val="20"/>
          <w:highlight w:val="none"/>
        </w:rPr>
      </w:pPr>
      <w:r>
        <w:rPr>
          <w:rFonts w:hint="eastAsia" w:ascii="宋体" w:hAnsi="宋体" w:eastAsia="宋体" w:cs="宋体"/>
          <w:snapToGrid/>
          <w:color w:val="auto"/>
          <w:kern w:val="2"/>
          <w:highlight w:val="none"/>
          <w:lang w:val="en-US" w:eastAsia="zh-CN"/>
        </w:rPr>
        <w:t>（五）学生食堂食品原材料采购，中标公司在同等条件下，须优先采购县内专业合作社、乡村振兴基地、种养大户生产的合格农产品。</w:t>
      </w:r>
    </w:p>
    <w:p w14:paraId="79916A71">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2" w:name="_Toc18420"/>
      <w:bookmarkStart w:id="13" w:name="_Toc29712"/>
      <w:r>
        <w:rPr>
          <w:rFonts w:hint="eastAsia" w:ascii="宋体" w:hAnsi="宋体" w:eastAsia="宋体" w:cs="宋体"/>
          <w:b/>
          <w:snapToGrid/>
          <w:color w:val="auto"/>
          <w:kern w:val="2"/>
          <w:sz w:val="21"/>
          <w:szCs w:val="21"/>
          <w:highlight w:val="none"/>
          <w:lang w:val="en-US" w:eastAsia="zh-CN" w:bidi="ar-SA"/>
        </w:rPr>
        <w:t>（十）明确职责，严格管理</w:t>
      </w:r>
      <w:bookmarkEnd w:id="12"/>
      <w:bookmarkEnd w:id="13"/>
    </w:p>
    <w:p w14:paraId="74A28EC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一）建立并完善食材采购进货、出货台账；建立健全食材采购财务管理制度，实行收、支两条线，设立收、支台账；凡学校食材采购票据，必须是有配送企业送货人、学生食堂收货人及校长三人共同签字的正规发票，学校财务才能予以报销。</w:t>
      </w:r>
    </w:p>
    <w:p w14:paraId="2C05291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（二）加强校园管理，严禁无专用通行证和非“学校食品配送专用车辆”的车辆送食品原材料进入校园，要教育师生注意校园内配送车辆的交通安全。</w:t>
      </w:r>
    </w:p>
    <w:p w14:paraId="645A94C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（三）加强食材采购的质量审核，对于不符合质量要求的食品原材料要拒绝签收；对配送工作中出现的产品质量问题要及时向配送企业反映，第一时间沟通解决，无法解决的，要及时向县教育局汇报。</w:t>
      </w:r>
    </w:p>
    <w:p w14:paraId="0C0DB05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（四）学校每天要向配送企业索证索票，且妥善保管配送企业提交的产品合格证和检验检疫报告等材料，建立好台账。</w:t>
      </w:r>
    </w:p>
    <w:p w14:paraId="5998EEF6">
      <w:pPr>
        <w:widowControl w:val="0"/>
        <w:kinsoku/>
        <w:autoSpaceDE/>
        <w:autoSpaceDN/>
        <w:adjustRightInd/>
        <w:snapToGrid/>
        <w:spacing w:line="360" w:lineRule="auto"/>
        <w:ind w:firstLine="420" w:firstLineChars="200"/>
        <w:jc w:val="both"/>
        <w:textAlignment w:val="auto"/>
        <w:rPr>
          <w:rFonts w:hint="eastAsia" w:ascii="Times New Roman" w:hAnsi="Times New Roman" w:eastAsia="宋体" w:cs="Times New Roman"/>
          <w:snapToGrid/>
          <w:color w:val="auto"/>
          <w:kern w:val="2"/>
          <w:sz w:val="21"/>
          <w:szCs w:val="24"/>
          <w:highlight w:val="none"/>
          <w:lang w:val="en-US" w:eastAsia="zh-CN" w:bidi="ar-SA"/>
        </w:rPr>
      </w:pPr>
      <w:r>
        <w:rPr>
          <w:rFonts w:hint="eastAsia" w:ascii="宋体" w:hAnsi="宋体" w:eastAsia="宋体" w:cs="宋体"/>
          <w:snapToGrid/>
          <w:color w:val="auto"/>
          <w:kern w:val="2"/>
          <w:highlight w:val="none"/>
          <w:lang w:val="en-US" w:eastAsia="zh-CN"/>
        </w:rPr>
        <w:t>（五）制定应急事件处置预案，出现突发情况时启动预案。</w:t>
      </w:r>
    </w:p>
    <w:p w14:paraId="0EDD66C1">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4" w:name="_Toc12750"/>
      <w:bookmarkStart w:id="15" w:name="_Toc8440"/>
      <w:r>
        <w:rPr>
          <w:rFonts w:hint="eastAsia" w:ascii="宋体" w:hAnsi="宋体" w:eastAsia="宋体" w:cs="宋体"/>
          <w:b/>
          <w:snapToGrid/>
          <w:color w:val="auto"/>
          <w:kern w:val="2"/>
          <w:sz w:val="21"/>
          <w:szCs w:val="21"/>
          <w:highlight w:val="none"/>
          <w:lang w:val="en-US" w:eastAsia="zh-CN" w:bidi="ar-SA"/>
        </w:rPr>
        <w:t>（十一）健全制度，加大管理</w:t>
      </w:r>
      <w:bookmarkEnd w:id="14"/>
      <w:bookmarkEnd w:id="15"/>
    </w:p>
    <w:p w14:paraId="2E01297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（一）落实配送服务质量评议制度。每月学校对采购食品的质量、价格、服务、合同执行情况、承诺兑现等方面进行综合评议，并把评议结果报县教育局。</w:t>
      </w:r>
    </w:p>
    <w:p w14:paraId="10752AE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（二）加强监管。加强食材采购监督，加强资金监管，提高资金使用效益，建立健全食品安全追溯制度，做好食品安全监管。</w:t>
      </w:r>
    </w:p>
    <w:p w14:paraId="75332DC1">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6" w:name="_Toc27686"/>
      <w:bookmarkStart w:id="17" w:name="_Toc1866"/>
      <w:r>
        <w:rPr>
          <w:rFonts w:hint="eastAsia" w:ascii="宋体" w:hAnsi="宋体" w:eastAsia="宋体" w:cs="宋体"/>
          <w:b/>
          <w:snapToGrid/>
          <w:color w:val="auto"/>
          <w:kern w:val="2"/>
          <w:sz w:val="21"/>
          <w:szCs w:val="21"/>
          <w:highlight w:val="none"/>
          <w:lang w:val="en-US" w:eastAsia="zh-CN" w:bidi="ar-SA"/>
        </w:rPr>
        <w:t>（十二）合同签订期、合同履行期限</w:t>
      </w:r>
      <w:bookmarkEnd w:id="16"/>
      <w:bookmarkEnd w:id="17"/>
    </w:p>
    <w:p w14:paraId="6E1C2DA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合同签订期：自中标通知书发出之日起 20 日内。</w:t>
      </w:r>
    </w:p>
    <w:p w14:paraId="3C5EFEA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合同履行期限：自签订合同日期起至到2027年7月31日为止。</w:t>
      </w:r>
    </w:p>
    <w:p w14:paraId="395699AE">
      <w:pPr>
        <w:widowControl w:val="0"/>
        <w:kinsoku/>
        <w:autoSpaceDE/>
        <w:autoSpaceDN/>
        <w:adjustRightInd/>
        <w:snapToGrid/>
        <w:spacing w:line="360" w:lineRule="auto"/>
        <w:ind w:firstLine="420" w:firstLineChars="200"/>
        <w:jc w:val="both"/>
        <w:textAlignment w:val="auto"/>
        <w:rPr>
          <w:rFonts w:hint="eastAsia" w:ascii="Times New Roman" w:hAnsi="Times New Roman" w:eastAsia="宋体" w:cs="Times New Roman"/>
          <w:snapToGrid/>
          <w:color w:val="auto"/>
          <w:kern w:val="2"/>
          <w:sz w:val="21"/>
          <w:szCs w:val="24"/>
          <w:highlight w:val="none"/>
          <w:lang w:val="en-US" w:eastAsia="zh-CN" w:bidi="ar-SA"/>
        </w:rPr>
      </w:pPr>
      <w:r>
        <w:rPr>
          <w:rFonts w:hint="eastAsia" w:ascii="宋体" w:hAnsi="宋体" w:eastAsia="宋体" w:cs="宋体"/>
          <w:snapToGrid/>
          <w:color w:val="auto"/>
          <w:kern w:val="2"/>
          <w:highlight w:val="none"/>
          <w:lang w:val="en-US" w:eastAsia="zh-CN"/>
        </w:rPr>
        <w:t>合同履行要求：收到中标通知书后，学校组织相关单位和人员对中标企业进行实地考察，实地考察无 误后再与中标配送企业签订配送协议以及安全承诺书。</w:t>
      </w:r>
    </w:p>
    <w:p w14:paraId="428DD106">
      <w:pPr>
        <w:pStyle w:val="4"/>
        <w:spacing w:before="126" w:line="219" w:lineRule="auto"/>
        <w:ind w:left="19"/>
        <w:outlineLvl w:val="2"/>
        <w:rPr>
          <w:rFonts w:hint="eastAsia" w:ascii="宋体" w:hAnsi="宋体" w:eastAsia="宋体" w:cs="宋体"/>
          <w:b/>
          <w:snapToGrid/>
          <w:color w:val="auto"/>
          <w:kern w:val="2"/>
          <w:sz w:val="21"/>
          <w:szCs w:val="21"/>
          <w:highlight w:val="none"/>
          <w:lang w:val="en-US" w:eastAsia="zh-CN" w:bidi="ar-SA"/>
        </w:rPr>
      </w:pPr>
      <w:bookmarkStart w:id="18" w:name="_Toc3370"/>
      <w:bookmarkStart w:id="19" w:name="_Toc24860"/>
      <w:r>
        <w:rPr>
          <w:rFonts w:hint="eastAsia" w:ascii="宋体" w:hAnsi="宋体" w:eastAsia="宋体" w:cs="宋体"/>
          <w:b/>
          <w:snapToGrid/>
          <w:color w:val="auto"/>
          <w:kern w:val="2"/>
          <w:sz w:val="21"/>
          <w:szCs w:val="21"/>
          <w:highlight w:val="none"/>
          <w:lang w:val="en-US" w:eastAsia="zh-CN" w:bidi="ar-SA"/>
        </w:rPr>
        <w:t>（十三）监督办法与退出机制</w:t>
      </w:r>
      <w:bookmarkEnd w:id="18"/>
      <w:bookmarkEnd w:id="19"/>
    </w:p>
    <w:p w14:paraId="43874EF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中标人有下列第(1)、(2)、(3)、(12)、(13)、(14)情况之一的，学校停止中标人供应资格，有除上述序号以外其他下列情况之一的，经核查属实，学校约谈中标人，责令整改，整改不到位或一个学期同一问题发生达二次(含二次)以上的，学校有权单方面解除与中标人签订的采购协议并由中标人承担由此造成的一切损失，学校启动应急预案。</w:t>
      </w:r>
    </w:p>
    <w:p w14:paraId="51CF05D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(1)违反食品安全法律法规，被市场监管部门吊销或注销食品生产或食品经营许可证的停止供应资格；违反相关法律法规，被登记机构吊销营业执照的。</w:t>
      </w:r>
    </w:p>
    <w:p w14:paraId="39DB34C9">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(2)供货期内因食品安全质量问题引发食品安全事故的。</w:t>
      </w:r>
    </w:p>
    <w:p w14:paraId="5A58C47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(3)给学校配送《中华人民共和国食品安全法》规定禁止生产经营食品的。</w:t>
      </w:r>
    </w:p>
    <w:p w14:paraId="43A087D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(4)生产、经营者的生产经营条件发生变化，不符合生产经营要求，有发生食品安全事故潜在风险，所配送产品不符合食品安全标准的。</w:t>
      </w:r>
    </w:p>
    <w:p w14:paraId="17DF4B0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(5)出现降低供货质量标准，擅自更换履约人等其他违反法律法规或合同的行为的。</w:t>
      </w:r>
    </w:p>
    <w:p w14:paraId="1CB6486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7DD1F5A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(7)供货期间存在克扣、减量、延时、拒绝供货或服务态度恶劣等行为，情节较为严重的。</w:t>
      </w:r>
    </w:p>
    <w:p w14:paraId="5522265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(8)未按照供货合同规定按时向学校提供相关证件、食材抽检报告、分批次自检报告、检疫证明、销售凭证等资料的。</w:t>
      </w:r>
    </w:p>
    <w:p w14:paraId="22660FA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(9)在供货期间除不可抗力因素外不能按时交货，且给学校造成损失的。</w:t>
      </w:r>
    </w:p>
    <w:p w14:paraId="715AA80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(10)未按供货合同规定按时缴纳履约保证金，未按时提供发票、未履行服务承诺和食品安全保证书的。</w:t>
      </w:r>
    </w:p>
    <w:p w14:paraId="47718ED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(11)拒绝接受政府相关职能部门监督检查要求的；向学校虚开销售凭证、发票的。</w:t>
      </w:r>
    </w:p>
    <w:p w14:paraId="54686D5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(12)因供货商自身原因不能继续履行合同的或在每一个合同期内二次评议不合格的。</w:t>
      </w:r>
    </w:p>
    <w:p w14:paraId="18D097A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(13)中标人食品价格不执行中标时约定的折扣。</w:t>
      </w:r>
    </w:p>
    <w:p w14:paraId="49A5FAE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(14)中标人配送的食材不经平南县教育局同意就向学校供应，或不服从平南县教育局、平南县市场监督管理局等相关部门常规管理，影响学校食材采购工作的。</w:t>
      </w:r>
    </w:p>
    <w:p w14:paraId="72650BE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(15)中标人配送超过保质期、腐败变质、不经检验检疫的食品。</w:t>
      </w:r>
    </w:p>
    <w:p w14:paraId="37A8FBC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(16)中标人存在严重食品安全隐患，被相关管理部门责令整改。</w:t>
      </w:r>
    </w:p>
    <w:p w14:paraId="4E9CAD1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(17)中标人不按时按质按量配送或拒绝配送，以次充好，短斤缺两，服务态度恶劣。</w:t>
      </w:r>
    </w:p>
    <w:p w14:paraId="4003F6C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(18)中标人不经学校同意，擅自改变学校采购清单的种类、品牌、质量和数量。</w:t>
      </w:r>
    </w:p>
    <w:p w14:paraId="2E2C040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2.条件运用(条件运用适用于日常管理，已满足退出条件的，不适用条件运用</w:t>
      </w:r>
    </w:p>
    <w:p w14:paraId="7FC5AE9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定期测评。每学期学校根据后期《供应商测评体系》对供应商的食材质量、服务水平及价格等因素进行综合测评，对测评分数低于95分的供应商进行约谈整改，测评分数低于90分的供应商暂停供货一个月，测评分数低于85分的供应商依法终止其供货合同。违反食品安全法律法规、发生食品安全事故的供应商要列入“黑名单”，学校有权单方面解除与中标人签订的采购协议。</w:t>
      </w:r>
    </w:p>
    <w:p w14:paraId="4A0F917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投诉运用。中标人经营过程中，在国务院互联网+督查平台被投诉举报(核查属实)1次的停止其供货一个月2次的依法终止其供货合同；中标人在12345政务服务便民热线平台被投诉举报(核查属实)1次的进行约谈整改，2次的停止其供货一个月,3次的依法终止其供货合同；中标人被学校师生投诉举报(核查属实)1次的进行提醒教育，2次的进行约谈，3次的停止其供货一个月，4次的依法终止其供货合同。</w:t>
      </w:r>
    </w:p>
    <w:p w14:paraId="733485E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3.中标人利用不正当手段拉拢学校管理人员、采购人员或验收人员的，发现一次，当月学校货款按50%结算，发现两次的，扣除当月学校货款并依法终止合。</w:t>
      </w:r>
    </w:p>
    <w:p w14:paraId="074EF6D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4.中标人在履约期间，中标人及其法人，被相关部门列入失信被执行人、列为重大税收违法失信主体和政府采购严重违法失信行为记录名单，或者被有关部门列为黑名单，学校有权单方面解除与中标人签订的采购协议。</w:t>
      </w:r>
    </w:p>
    <w:p w14:paraId="228A77DC">
      <w:pPr>
        <w:pStyle w:val="4"/>
        <w:spacing w:before="63" w:line="224" w:lineRule="auto"/>
        <w:ind w:left="160"/>
        <w:rPr>
          <w:rFonts w:hint="eastAsia" w:cs="宋体"/>
          <w:b/>
          <w:bCs/>
          <w:snapToGrid/>
          <w:color w:val="auto"/>
          <w:kern w:val="2"/>
          <w:sz w:val="21"/>
          <w:szCs w:val="21"/>
          <w:highlight w:val="none"/>
          <w:lang w:val="en-US" w:eastAsia="zh-CN"/>
        </w:rPr>
      </w:pPr>
      <w:r>
        <w:rPr>
          <w:rFonts w:hint="eastAsia" w:cs="宋体"/>
          <w:b/>
          <w:bCs/>
          <w:snapToGrid/>
          <w:color w:val="auto"/>
          <w:kern w:val="2"/>
          <w:sz w:val="21"/>
          <w:szCs w:val="21"/>
          <w:highlight w:val="none"/>
          <w:lang w:val="en-US" w:eastAsia="zh-CN"/>
        </w:rPr>
        <w:t>四、其他要求</w:t>
      </w:r>
    </w:p>
    <w:p w14:paraId="3241EA0E">
      <w:pPr>
        <w:pStyle w:val="4"/>
        <w:spacing w:before="63" w:line="360" w:lineRule="auto"/>
        <w:ind w:left="160"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1.投标人根据本项目招标文件要求，于投标文件中提供相应的技术方案【可包括但不限于项目实施方案、食品安全与质量保障、服务承诺与售后服务方案、应急方案、管理制度等内容】。</w:t>
      </w:r>
    </w:p>
    <w:p w14:paraId="08898E79">
      <w:pPr>
        <w:pStyle w:val="4"/>
        <w:spacing w:before="63" w:line="360" w:lineRule="auto"/>
        <w:ind w:left="160"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2.投标人根据自身情况在投标文件中提供配送能力、拟投入人员、经营场所、业绩等相关材料。</w:t>
      </w:r>
    </w:p>
    <w:p w14:paraId="1FD37BD8">
      <w:pPr>
        <w:pStyle w:val="4"/>
        <w:spacing w:before="63" w:line="224" w:lineRule="auto"/>
        <w:ind w:left="160"/>
        <w:rPr>
          <w:color w:val="auto"/>
          <w:sz w:val="31"/>
          <w:szCs w:val="31"/>
          <w:highlight w:val="none"/>
        </w:rPr>
      </w:pPr>
      <w:r>
        <w:rPr>
          <w:color w:val="auto"/>
          <w:spacing w:val="-13"/>
          <w:sz w:val="31"/>
          <w:szCs w:val="31"/>
          <w:highlight w:val="none"/>
        </w:rPr>
        <w:br w:type="page"/>
      </w:r>
      <w:r>
        <w:rPr>
          <w:color w:val="auto"/>
          <w:spacing w:val="-13"/>
          <w:sz w:val="31"/>
          <w:szCs w:val="31"/>
          <w:highlight w:val="none"/>
        </w:rPr>
        <w:t>附件</w:t>
      </w:r>
      <w:r>
        <w:rPr>
          <w:color w:val="auto"/>
          <w:spacing w:val="-37"/>
          <w:sz w:val="31"/>
          <w:szCs w:val="31"/>
          <w:highlight w:val="none"/>
        </w:rPr>
        <w:t xml:space="preserve"> </w:t>
      </w:r>
      <w:r>
        <w:rPr>
          <w:color w:val="auto"/>
          <w:spacing w:val="-13"/>
          <w:sz w:val="31"/>
          <w:szCs w:val="31"/>
          <w:highlight w:val="none"/>
        </w:rPr>
        <w:t>1：</w:t>
      </w:r>
    </w:p>
    <w:p w14:paraId="45173D9B">
      <w:pPr>
        <w:spacing w:line="306" w:lineRule="auto"/>
        <w:rPr>
          <w:rFonts w:ascii="Arial"/>
          <w:color w:val="auto"/>
          <w:sz w:val="21"/>
          <w:highlight w:val="none"/>
        </w:rPr>
      </w:pPr>
    </w:p>
    <w:p w14:paraId="07DBB7A9">
      <w:pPr>
        <w:spacing w:line="306" w:lineRule="auto"/>
        <w:rPr>
          <w:rFonts w:ascii="Arial"/>
          <w:color w:val="auto"/>
          <w:sz w:val="21"/>
          <w:highlight w:val="none"/>
        </w:rPr>
      </w:pPr>
    </w:p>
    <w:p w14:paraId="41DD1F46">
      <w:pPr>
        <w:pStyle w:val="4"/>
        <w:spacing w:before="97" w:line="219" w:lineRule="auto"/>
        <w:ind w:left="2633"/>
        <w:rPr>
          <w:color w:val="auto"/>
          <w:sz w:val="30"/>
          <w:szCs w:val="30"/>
          <w:highlight w:val="none"/>
        </w:rPr>
      </w:pPr>
      <w:r>
        <w:rPr>
          <w:b/>
          <w:bCs/>
          <w:color w:val="auto"/>
          <w:spacing w:val="-4"/>
          <w:sz w:val="30"/>
          <w:szCs w:val="30"/>
          <w:highlight w:val="none"/>
        </w:rPr>
        <w:t>统计上大中小微型企业划分标准</w:t>
      </w:r>
    </w:p>
    <w:p w14:paraId="5CA175FB">
      <w:pPr>
        <w:spacing w:line="75" w:lineRule="exact"/>
        <w:rPr>
          <w:color w:val="auto"/>
          <w:highlight w:val="none"/>
        </w:rPr>
      </w:pPr>
    </w:p>
    <w:tbl>
      <w:tblPr>
        <w:tblStyle w:val="18"/>
        <w:tblW w:w="94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17"/>
        <w:gridCol w:w="1368"/>
        <w:gridCol w:w="709"/>
        <w:gridCol w:w="1124"/>
        <w:gridCol w:w="1700"/>
        <w:gridCol w:w="1425"/>
        <w:gridCol w:w="996"/>
      </w:tblGrid>
      <w:tr w14:paraId="309B4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117" w:type="dxa"/>
            <w:shd w:val="clear" w:color="auto" w:fill="8DB3E2"/>
            <w:vAlign w:val="top"/>
          </w:tcPr>
          <w:p w14:paraId="30120E3A">
            <w:pPr>
              <w:pStyle w:val="19"/>
              <w:spacing w:before="242" w:line="220" w:lineRule="auto"/>
              <w:ind w:left="704"/>
              <w:rPr>
                <w:color w:val="auto"/>
                <w:sz w:val="18"/>
                <w:szCs w:val="18"/>
                <w:highlight w:val="none"/>
              </w:rPr>
            </w:pPr>
            <w:r>
              <w:rPr>
                <w:b/>
                <w:bCs/>
                <w:color w:val="auto"/>
                <w:spacing w:val="-4"/>
                <w:sz w:val="18"/>
                <w:szCs w:val="18"/>
                <w:highlight w:val="none"/>
              </w:rPr>
              <w:t>行业名称</w:t>
            </w:r>
          </w:p>
        </w:tc>
        <w:tc>
          <w:tcPr>
            <w:tcW w:w="1368" w:type="dxa"/>
            <w:shd w:val="clear" w:color="auto" w:fill="8DB3E2"/>
            <w:vAlign w:val="top"/>
          </w:tcPr>
          <w:p w14:paraId="27D1F68E">
            <w:pPr>
              <w:pStyle w:val="19"/>
              <w:spacing w:before="242" w:line="220" w:lineRule="auto"/>
              <w:ind w:left="328"/>
              <w:rPr>
                <w:color w:val="auto"/>
                <w:sz w:val="18"/>
                <w:szCs w:val="18"/>
                <w:highlight w:val="none"/>
              </w:rPr>
            </w:pPr>
            <w:r>
              <w:rPr>
                <w:b/>
                <w:bCs/>
                <w:color w:val="auto"/>
                <w:spacing w:val="-4"/>
                <w:sz w:val="18"/>
                <w:szCs w:val="18"/>
                <w:highlight w:val="none"/>
              </w:rPr>
              <w:t>指标名称</w:t>
            </w:r>
          </w:p>
        </w:tc>
        <w:tc>
          <w:tcPr>
            <w:tcW w:w="709" w:type="dxa"/>
            <w:shd w:val="clear" w:color="auto" w:fill="8DB3E2"/>
            <w:vAlign w:val="top"/>
          </w:tcPr>
          <w:p w14:paraId="16AB1FC6">
            <w:pPr>
              <w:pStyle w:val="19"/>
              <w:spacing w:before="102" w:line="262" w:lineRule="auto"/>
              <w:ind w:left="178" w:right="173" w:hanging="1"/>
              <w:rPr>
                <w:color w:val="auto"/>
                <w:sz w:val="18"/>
                <w:szCs w:val="18"/>
                <w:highlight w:val="none"/>
              </w:rPr>
            </w:pPr>
            <w:r>
              <w:rPr>
                <w:b/>
                <w:bCs/>
                <w:color w:val="auto"/>
                <w:spacing w:val="-6"/>
                <w:sz w:val="18"/>
                <w:szCs w:val="18"/>
                <w:highlight w:val="none"/>
              </w:rPr>
              <w:t>计量</w:t>
            </w:r>
            <w:r>
              <w:rPr>
                <w:color w:val="auto"/>
                <w:sz w:val="18"/>
                <w:szCs w:val="18"/>
                <w:highlight w:val="none"/>
              </w:rPr>
              <w:t xml:space="preserve"> </w:t>
            </w:r>
            <w:r>
              <w:rPr>
                <w:b/>
                <w:bCs/>
                <w:color w:val="auto"/>
                <w:spacing w:val="-7"/>
                <w:sz w:val="18"/>
                <w:szCs w:val="18"/>
                <w:highlight w:val="none"/>
              </w:rPr>
              <w:t>单位</w:t>
            </w:r>
          </w:p>
        </w:tc>
        <w:tc>
          <w:tcPr>
            <w:tcW w:w="1124" w:type="dxa"/>
            <w:shd w:val="clear" w:color="auto" w:fill="8DB3E2"/>
            <w:vAlign w:val="top"/>
          </w:tcPr>
          <w:p w14:paraId="6FC94115">
            <w:pPr>
              <w:pStyle w:val="19"/>
              <w:spacing w:before="242" w:line="220" w:lineRule="auto"/>
              <w:ind w:left="387"/>
              <w:rPr>
                <w:color w:val="auto"/>
                <w:sz w:val="18"/>
                <w:szCs w:val="18"/>
                <w:highlight w:val="none"/>
              </w:rPr>
            </w:pPr>
            <w:r>
              <w:rPr>
                <w:b/>
                <w:bCs/>
                <w:color w:val="auto"/>
                <w:spacing w:val="-7"/>
                <w:sz w:val="18"/>
                <w:szCs w:val="18"/>
                <w:highlight w:val="none"/>
              </w:rPr>
              <w:t>大型</w:t>
            </w:r>
          </w:p>
        </w:tc>
        <w:tc>
          <w:tcPr>
            <w:tcW w:w="1700" w:type="dxa"/>
            <w:shd w:val="clear" w:color="auto" w:fill="8DB3E2"/>
            <w:vAlign w:val="top"/>
          </w:tcPr>
          <w:p w14:paraId="48D35007">
            <w:pPr>
              <w:pStyle w:val="19"/>
              <w:spacing w:before="242" w:line="220" w:lineRule="auto"/>
              <w:ind w:left="692"/>
              <w:rPr>
                <w:color w:val="auto"/>
                <w:sz w:val="18"/>
                <w:szCs w:val="18"/>
                <w:highlight w:val="none"/>
              </w:rPr>
            </w:pPr>
            <w:r>
              <w:rPr>
                <w:b/>
                <w:bCs/>
                <w:color w:val="auto"/>
                <w:spacing w:val="-14"/>
                <w:sz w:val="18"/>
                <w:szCs w:val="18"/>
                <w:highlight w:val="none"/>
              </w:rPr>
              <w:t>中型</w:t>
            </w:r>
          </w:p>
        </w:tc>
        <w:tc>
          <w:tcPr>
            <w:tcW w:w="1425" w:type="dxa"/>
            <w:shd w:val="clear" w:color="auto" w:fill="8DB3E2"/>
            <w:vAlign w:val="top"/>
          </w:tcPr>
          <w:p w14:paraId="07584A0F">
            <w:pPr>
              <w:pStyle w:val="19"/>
              <w:spacing w:before="242" w:line="221" w:lineRule="auto"/>
              <w:ind w:left="542"/>
              <w:rPr>
                <w:color w:val="auto"/>
                <w:sz w:val="18"/>
                <w:szCs w:val="18"/>
                <w:highlight w:val="none"/>
              </w:rPr>
            </w:pPr>
            <w:r>
              <w:rPr>
                <w:b/>
                <w:bCs/>
                <w:color w:val="auto"/>
                <w:spacing w:val="-8"/>
                <w:sz w:val="18"/>
                <w:szCs w:val="18"/>
                <w:highlight w:val="none"/>
              </w:rPr>
              <w:t>小型</w:t>
            </w:r>
          </w:p>
        </w:tc>
        <w:tc>
          <w:tcPr>
            <w:tcW w:w="996" w:type="dxa"/>
            <w:shd w:val="clear" w:color="auto" w:fill="8DB3E2"/>
            <w:vAlign w:val="top"/>
          </w:tcPr>
          <w:p w14:paraId="7A71F82E">
            <w:pPr>
              <w:pStyle w:val="19"/>
              <w:spacing w:before="242" w:line="219" w:lineRule="auto"/>
              <w:ind w:left="322"/>
              <w:rPr>
                <w:color w:val="auto"/>
                <w:sz w:val="18"/>
                <w:szCs w:val="18"/>
                <w:highlight w:val="none"/>
              </w:rPr>
            </w:pPr>
            <w:r>
              <w:rPr>
                <w:b/>
                <w:bCs/>
                <w:color w:val="auto"/>
                <w:spacing w:val="-6"/>
                <w:sz w:val="18"/>
                <w:szCs w:val="18"/>
                <w:highlight w:val="none"/>
              </w:rPr>
              <w:t>微型</w:t>
            </w:r>
          </w:p>
        </w:tc>
      </w:tr>
      <w:tr w14:paraId="498A6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Align w:val="top"/>
          </w:tcPr>
          <w:p w14:paraId="5E3446C4">
            <w:pPr>
              <w:pStyle w:val="19"/>
              <w:spacing w:before="125" w:line="219" w:lineRule="auto"/>
              <w:ind w:left="115"/>
              <w:rPr>
                <w:color w:val="auto"/>
                <w:sz w:val="18"/>
                <w:szCs w:val="18"/>
                <w:highlight w:val="none"/>
              </w:rPr>
            </w:pPr>
            <w:r>
              <w:rPr>
                <w:color w:val="auto"/>
                <w:spacing w:val="-1"/>
                <w:sz w:val="18"/>
                <w:szCs w:val="18"/>
                <w:highlight w:val="none"/>
              </w:rPr>
              <w:t>农、林、牧、渔业</w:t>
            </w:r>
          </w:p>
        </w:tc>
        <w:tc>
          <w:tcPr>
            <w:tcW w:w="1368" w:type="dxa"/>
            <w:vAlign w:val="top"/>
          </w:tcPr>
          <w:p w14:paraId="2A54FECA">
            <w:pPr>
              <w:pStyle w:val="19"/>
              <w:spacing w:before="125"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288971FC">
            <w:pPr>
              <w:pStyle w:val="19"/>
              <w:spacing w:before="125"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2F9B9093">
            <w:pPr>
              <w:pStyle w:val="19"/>
              <w:spacing w:before="154" w:line="180"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20000</w:t>
            </w:r>
          </w:p>
        </w:tc>
        <w:tc>
          <w:tcPr>
            <w:tcW w:w="1700" w:type="dxa"/>
            <w:vAlign w:val="top"/>
          </w:tcPr>
          <w:p w14:paraId="5BC8B131">
            <w:pPr>
              <w:pStyle w:val="19"/>
              <w:spacing w:before="125" w:line="223" w:lineRule="auto"/>
              <w:ind w:left="314"/>
              <w:rPr>
                <w:color w:val="auto"/>
                <w:sz w:val="18"/>
                <w:szCs w:val="18"/>
                <w:highlight w:val="none"/>
              </w:rPr>
            </w:pPr>
            <w:r>
              <w:rPr>
                <w:color w:val="auto"/>
                <w:spacing w:val="-1"/>
                <w:sz w:val="18"/>
                <w:szCs w:val="18"/>
                <w:highlight w:val="none"/>
              </w:rPr>
              <w:t>500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Y＜20000</w:t>
            </w:r>
          </w:p>
        </w:tc>
        <w:tc>
          <w:tcPr>
            <w:tcW w:w="1425" w:type="dxa"/>
            <w:vAlign w:val="top"/>
          </w:tcPr>
          <w:p w14:paraId="515687D2">
            <w:pPr>
              <w:pStyle w:val="19"/>
              <w:spacing w:before="125" w:line="223" w:lineRule="auto"/>
              <w:ind w:left="313"/>
              <w:rPr>
                <w:color w:val="auto"/>
                <w:sz w:val="18"/>
                <w:szCs w:val="18"/>
                <w:highlight w:val="none"/>
              </w:rPr>
            </w:pPr>
            <w:r>
              <w:rPr>
                <w:color w:val="auto"/>
                <w:spacing w:val="-2"/>
                <w:sz w:val="18"/>
                <w:szCs w:val="18"/>
                <w:highlight w:val="none"/>
              </w:rPr>
              <w:t>50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Y＜500</w:t>
            </w:r>
          </w:p>
        </w:tc>
        <w:tc>
          <w:tcPr>
            <w:tcW w:w="996" w:type="dxa"/>
            <w:vAlign w:val="top"/>
          </w:tcPr>
          <w:p w14:paraId="6713C6F6">
            <w:pPr>
              <w:pStyle w:val="19"/>
              <w:spacing w:before="124"/>
              <w:ind w:left="273"/>
              <w:rPr>
                <w:color w:val="auto"/>
                <w:sz w:val="18"/>
                <w:szCs w:val="18"/>
                <w:highlight w:val="none"/>
              </w:rPr>
            </w:pPr>
            <w:r>
              <w:rPr>
                <w:color w:val="auto"/>
                <w:spacing w:val="-1"/>
                <w:sz w:val="18"/>
                <w:szCs w:val="18"/>
                <w:highlight w:val="none"/>
              </w:rPr>
              <w:t>Y＜50</w:t>
            </w:r>
          </w:p>
        </w:tc>
      </w:tr>
      <w:tr w14:paraId="245FD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restart"/>
            <w:tcBorders>
              <w:bottom w:val="nil"/>
            </w:tcBorders>
            <w:vAlign w:val="top"/>
          </w:tcPr>
          <w:p w14:paraId="5C8CE451">
            <w:pPr>
              <w:spacing w:line="264" w:lineRule="auto"/>
              <w:rPr>
                <w:rFonts w:ascii="Arial"/>
                <w:color w:val="auto"/>
                <w:sz w:val="21"/>
                <w:highlight w:val="none"/>
              </w:rPr>
            </w:pPr>
          </w:p>
          <w:p w14:paraId="4F45B41D">
            <w:pPr>
              <w:pStyle w:val="19"/>
              <w:spacing w:before="58" w:line="232" w:lineRule="auto"/>
              <w:ind w:left="117"/>
              <w:rPr>
                <w:color w:val="auto"/>
                <w:sz w:val="18"/>
                <w:szCs w:val="18"/>
                <w:highlight w:val="none"/>
              </w:rPr>
            </w:pPr>
            <w:r>
              <w:rPr>
                <w:color w:val="auto"/>
                <w:spacing w:val="-4"/>
                <w:sz w:val="18"/>
                <w:szCs w:val="18"/>
                <w:highlight w:val="none"/>
              </w:rPr>
              <w:t>工业</w:t>
            </w:r>
            <w:r>
              <w:rPr>
                <w:color w:val="auto"/>
                <w:spacing w:val="6"/>
                <w:sz w:val="18"/>
                <w:szCs w:val="18"/>
                <w:highlight w:val="none"/>
              </w:rPr>
              <w:t xml:space="preserve"> </w:t>
            </w:r>
            <w:r>
              <w:rPr>
                <w:color w:val="auto"/>
                <w:spacing w:val="-4"/>
                <w:sz w:val="18"/>
                <w:szCs w:val="18"/>
                <w:highlight w:val="none"/>
              </w:rPr>
              <w:t>*</w:t>
            </w:r>
          </w:p>
        </w:tc>
        <w:tc>
          <w:tcPr>
            <w:tcW w:w="1368" w:type="dxa"/>
            <w:vAlign w:val="top"/>
          </w:tcPr>
          <w:p w14:paraId="70EEDCF4">
            <w:pPr>
              <w:pStyle w:val="19"/>
              <w:spacing w:before="125"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578F9BE8">
            <w:pPr>
              <w:pStyle w:val="19"/>
              <w:spacing w:before="125" w:line="222" w:lineRule="auto"/>
              <w:ind w:left="268"/>
              <w:rPr>
                <w:color w:val="auto"/>
                <w:sz w:val="18"/>
                <w:szCs w:val="18"/>
                <w:highlight w:val="none"/>
              </w:rPr>
            </w:pPr>
            <w:r>
              <w:rPr>
                <w:color w:val="auto"/>
                <w:sz w:val="18"/>
                <w:szCs w:val="18"/>
                <w:highlight w:val="none"/>
              </w:rPr>
              <w:t>人</w:t>
            </w:r>
          </w:p>
        </w:tc>
        <w:tc>
          <w:tcPr>
            <w:tcW w:w="1124" w:type="dxa"/>
            <w:vAlign w:val="top"/>
          </w:tcPr>
          <w:p w14:paraId="3D681F26">
            <w:pPr>
              <w:pStyle w:val="19"/>
              <w:spacing w:before="152" w:line="184"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w:t>
            </w:r>
          </w:p>
        </w:tc>
        <w:tc>
          <w:tcPr>
            <w:tcW w:w="1700" w:type="dxa"/>
            <w:vAlign w:val="top"/>
          </w:tcPr>
          <w:p w14:paraId="4BA01950">
            <w:pPr>
              <w:pStyle w:val="19"/>
              <w:spacing w:before="125" w:line="223" w:lineRule="auto"/>
              <w:ind w:left="359"/>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X＜1000</w:t>
            </w:r>
          </w:p>
        </w:tc>
        <w:tc>
          <w:tcPr>
            <w:tcW w:w="1425" w:type="dxa"/>
            <w:vAlign w:val="top"/>
          </w:tcPr>
          <w:p w14:paraId="376BE08A">
            <w:pPr>
              <w:pStyle w:val="19"/>
              <w:spacing w:before="125" w:line="223" w:lineRule="auto"/>
              <w:ind w:left="311"/>
              <w:rPr>
                <w:color w:val="auto"/>
                <w:sz w:val="18"/>
                <w:szCs w:val="18"/>
                <w:highlight w:val="none"/>
              </w:rPr>
            </w:pPr>
            <w:r>
              <w:rPr>
                <w:color w:val="auto"/>
                <w:spacing w:val="-2"/>
                <w:sz w:val="18"/>
                <w:szCs w:val="18"/>
                <w:highlight w:val="none"/>
              </w:rPr>
              <w:t>20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X＜300</w:t>
            </w:r>
          </w:p>
        </w:tc>
        <w:tc>
          <w:tcPr>
            <w:tcW w:w="996" w:type="dxa"/>
            <w:vAlign w:val="top"/>
          </w:tcPr>
          <w:p w14:paraId="0D2B4E79">
            <w:pPr>
              <w:pStyle w:val="19"/>
              <w:spacing w:before="124"/>
              <w:ind w:left="274"/>
              <w:rPr>
                <w:color w:val="auto"/>
                <w:sz w:val="18"/>
                <w:szCs w:val="18"/>
                <w:highlight w:val="none"/>
              </w:rPr>
            </w:pPr>
            <w:r>
              <w:rPr>
                <w:color w:val="auto"/>
                <w:spacing w:val="-1"/>
                <w:sz w:val="18"/>
                <w:szCs w:val="18"/>
                <w:highlight w:val="none"/>
              </w:rPr>
              <w:t>X＜20</w:t>
            </w:r>
          </w:p>
        </w:tc>
      </w:tr>
      <w:tr w14:paraId="209F6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DA44A19">
            <w:pPr>
              <w:rPr>
                <w:rFonts w:ascii="Arial"/>
                <w:color w:val="auto"/>
                <w:sz w:val="21"/>
                <w:highlight w:val="none"/>
              </w:rPr>
            </w:pPr>
          </w:p>
        </w:tc>
        <w:tc>
          <w:tcPr>
            <w:tcW w:w="1368" w:type="dxa"/>
            <w:vAlign w:val="top"/>
          </w:tcPr>
          <w:p w14:paraId="7E9FA806">
            <w:pPr>
              <w:pStyle w:val="19"/>
              <w:spacing w:before="125"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630B8960">
            <w:pPr>
              <w:pStyle w:val="19"/>
              <w:spacing w:before="125"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211F8190">
            <w:pPr>
              <w:pStyle w:val="19"/>
              <w:spacing w:before="153" w:line="183"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40000</w:t>
            </w:r>
          </w:p>
        </w:tc>
        <w:tc>
          <w:tcPr>
            <w:tcW w:w="1700" w:type="dxa"/>
            <w:vAlign w:val="top"/>
          </w:tcPr>
          <w:p w14:paraId="3D34C070">
            <w:pPr>
              <w:pStyle w:val="19"/>
              <w:spacing w:before="125" w:line="223" w:lineRule="auto"/>
              <w:ind w:left="267"/>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Y＜40000</w:t>
            </w:r>
          </w:p>
        </w:tc>
        <w:tc>
          <w:tcPr>
            <w:tcW w:w="1425" w:type="dxa"/>
            <w:vAlign w:val="top"/>
          </w:tcPr>
          <w:p w14:paraId="79BCCC3B">
            <w:pPr>
              <w:pStyle w:val="19"/>
              <w:spacing w:before="125" w:line="223" w:lineRule="auto"/>
              <w:ind w:left="222"/>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Y＜2000</w:t>
            </w:r>
          </w:p>
        </w:tc>
        <w:tc>
          <w:tcPr>
            <w:tcW w:w="996" w:type="dxa"/>
            <w:vAlign w:val="top"/>
          </w:tcPr>
          <w:p w14:paraId="7FAE41D3">
            <w:pPr>
              <w:pStyle w:val="19"/>
              <w:spacing w:before="124"/>
              <w:ind w:left="230"/>
              <w:rPr>
                <w:color w:val="auto"/>
                <w:sz w:val="18"/>
                <w:szCs w:val="18"/>
                <w:highlight w:val="none"/>
              </w:rPr>
            </w:pPr>
            <w:r>
              <w:rPr>
                <w:color w:val="auto"/>
                <w:spacing w:val="-1"/>
                <w:sz w:val="18"/>
                <w:szCs w:val="18"/>
                <w:highlight w:val="none"/>
              </w:rPr>
              <w:t>Y＜300</w:t>
            </w:r>
          </w:p>
        </w:tc>
      </w:tr>
      <w:tr w14:paraId="5AC12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09132500">
            <w:pPr>
              <w:spacing w:line="265" w:lineRule="auto"/>
              <w:rPr>
                <w:rFonts w:ascii="Arial"/>
                <w:color w:val="auto"/>
                <w:sz w:val="21"/>
                <w:highlight w:val="none"/>
              </w:rPr>
            </w:pPr>
          </w:p>
          <w:p w14:paraId="33051707">
            <w:pPr>
              <w:pStyle w:val="19"/>
              <w:spacing w:before="59" w:line="220" w:lineRule="auto"/>
              <w:ind w:left="117"/>
              <w:rPr>
                <w:color w:val="auto"/>
                <w:sz w:val="18"/>
                <w:szCs w:val="18"/>
                <w:highlight w:val="none"/>
              </w:rPr>
            </w:pPr>
            <w:r>
              <w:rPr>
                <w:color w:val="auto"/>
                <w:spacing w:val="-4"/>
                <w:sz w:val="18"/>
                <w:szCs w:val="18"/>
                <w:highlight w:val="none"/>
              </w:rPr>
              <w:t>建筑业</w:t>
            </w:r>
          </w:p>
        </w:tc>
        <w:tc>
          <w:tcPr>
            <w:tcW w:w="1368" w:type="dxa"/>
            <w:vAlign w:val="top"/>
          </w:tcPr>
          <w:p w14:paraId="3B0BD0E2">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24F941B6">
            <w:pPr>
              <w:pStyle w:val="19"/>
              <w:spacing w:before="126"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69267710">
            <w:pPr>
              <w:pStyle w:val="19"/>
              <w:spacing w:before="155" w:line="180"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80000</w:t>
            </w:r>
          </w:p>
        </w:tc>
        <w:tc>
          <w:tcPr>
            <w:tcW w:w="1700" w:type="dxa"/>
            <w:vAlign w:val="top"/>
          </w:tcPr>
          <w:p w14:paraId="2D439EF1">
            <w:pPr>
              <w:pStyle w:val="19"/>
              <w:spacing w:before="127" w:line="223" w:lineRule="auto"/>
              <w:ind w:left="266"/>
              <w:rPr>
                <w:color w:val="auto"/>
                <w:sz w:val="18"/>
                <w:szCs w:val="18"/>
                <w:highlight w:val="none"/>
              </w:rPr>
            </w:pPr>
            <w:r>
              <w:rPr>
                <w:color w:val="auto"/>
                <w:spacing w:val="-1"/>
                <w:sz w:val="18"/>
                <w:szCs w:val="18"/>
                <w:highlight w:val="none"/>
              </w:rPr>
              <w:t>6000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Y＜80000</w:t>
            </w:r>
          </w:p>
        </w:tc>
        <w:tc>
          <w:tcPr>
            <w:tcW w:w="1425" w:type="dxa"/>
            <w:vAlign w:val="top"/>
          </w:tcPr>
          <w:p w14:paraId="1DBA9016">
            <w:pPr>
              <w:pStyle w:val="19"/>
              <w:spacing w:before="127" w:line="223" w:lineRule="auto"/>
              <w:ind w:left="222"/>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Y＜6000</w:t>
            </w:r>
          </w:p>
        </w:tc>
        <w:tc>
          <w:tcPr>
            <w:tcW w:w="996" w:type="dxa"/>
            <w:vAlign w:val="top"/>
          </w:tcPr>
          <w:p w14:paraId="43C48DEB">
            <w:pPr>
              <w:pStyle w:val="19"/>
              <w:spacing w:before="126"/>
              <w:ind w:left="230"/>
              <w:rPr>
                <w:color w:val="auto"/>
                <w:sz w:val="18"/>
                <w:szCs w:val="18"/>
                <w:highlight w:val="none"/>
              </w:rPr>
            </w:pPr>
            <w:r>
              <w:rPr>
                <w:color w:val="auto"/>
                <w:spacing w:val="-1"/>
                <w:sz w:val="18"/>
                <w:szCs w:val="18"/>
                <w:highlight w:val="none"/>
              </w:rPr>
              <w:t>Y＜300</w:t>
            </w:r>
          </w:p>
        </w:tc>
      </w:tr>
      <w:tr w14:paraId="2E681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continue"/>
            <w:tcBorders>
              <w:top w:val="nil"/>
            </w:tcBorders>
            <w:vAlign w:val="top"/>
          </w:tcPr>
          <w:p w14:paraId="6DFF13DE">
            <w:pPr>
              <w:rPr>
                <w:rFonts w:ascii="Arial"/>
                <w:color w:val="auto"/>
                <w:sz w:val="21"/>
                <w:highlight w:val="none"/>
              </w:rPr>
            </w:pPr>
          </w:p>
        </w:tc>
        <w:tc>
          <w:tcPr>
            <w:tcW w:w="1368" w:type="dxa"/>
            <w:vAlign w:val="top"/>
          </w:tcPr>
          <w:p w14:paraId="08968BF3">
            <w:pPr>
              <w:pStyle w:val="19"/>
              <w:spacing w:before="126" w:line="219" w:lineRule="auto"/>
              <w:ind w:left="200"/>
              <w:rPr>
                <w:color w:val="auto"/>
                <w:sz w:val="18"/>
                <w:szCs w:val="18"/>
                <w:highlight w:val="none"/>
              </w:rPr>
            </w:pPr>
            <w:r>
              <w:rPr>
                <w:color w:val="auto"/>
                <w:spacing w:val="-2"/>
                <w:sz w:val="18"/>
                <w:szCs w:val="18"/>
                <w:highlight w:val="none"/>
              </w:rPr>
              <w:t>资产总额(Z)</w:t>
            </w:r>
          </w:p>
        </w:tc>
        <w:tc>
          <w:tcPr>
            <w:tcW w:w="709" w:type="dxa"/>
            <w:vAlign w:val="top"/>
          </w:tcPr>
          <w:p w14:paraId="6DD59ECB">
            <w:pPr>
              <w:pStyle w:val="19"/>
              <w:spacing w:before="125"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4EA7DB31">
            <w:pPr>
              <w:pStyle w:val="19"/>
              <w:spacing w:before="154" w:line="183" w:lineRule="auto"/>
              <w:ind w:left="245"/>
              <w:rPr>
                <w:color w:val="auto"/>
                <w:sz w:val="18"/>
                <w:szCs w:val="18"/>
                <w:highlight w:val="none"/>
              </w:rPr>
            </w:pPr>
            <w:r>
              <w:rPr>
                <w:color w:val="auto"/>
                <w:spacing w:val="-1"/>
                <w:sz w:val="18"/>
                <w:szCs w:val="18"/>
                <w:highlight w:val="none"/>
              </w:rPr>
              <w:t>Z</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80000</w:t>
            </w:r>
          </w:p>
        </w:tc>
        <w:tc>
          <w:tcPr>
            <w:tcW w:w="1700" w:type="dxa"/>
            <w:vAlign w:val="top"/>
          </w:tcPr>
          <w:p w14:paraId="3F20C12C">
            <w:pPr>
              <w:pStyle w:val="19"/>
              <w:spacing w:before="126" w:line="223" w:lineRule="auto"/>
              <w:ind w:left="268"/>
              <w:rPr>
                <w:color w:val="auto"/>
                <w:sz w:val="18"/>
                <w:szCs w:val="18"/>
                <w:highlight w:val="none"/>
              </w:rPr>
            </w:pPr>
            <w:r>
              <w:rPr>
                <w:color w:val="auto"/>
                <w:spacing w:val="-1"/>
                <w:sz w:val="18"/>
                <w:szCs w:val="18"/>
                <w:highlight w:val="none"/>
              </w:rPr>
              <w:t>5000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Z＜80000</w:t>
            </w:r>
          </w:p>
        </w:tc>
        <w:tc>
          <w:tcPr>
            <w:tcW w:w="1425" w:type="dxa"/>
            <w:vAlign w:val="top"/>
          </w:tcPr>
          <w:p w14:paraId="64717CCA">
            <w:pPr>
              <w:pStyle w:val="19"/>
              <w:spacing w:before="126" w:line="223" w:lineRule="auto"/>
              <w:ind w:left="222"/>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Z＜5000</w:t>
            </w:r>
          </w:p>
        </w:tc>
        <w:tc>
          <w:tcPr>
            <w:tcW w:w="996" w:type="dxa"/>
            <w:vAlign w:val="top"/>
          </w:tcPr>
          <w:p w14:paraId="2810FB7B">
            <w:pPr>
              <w:pStyle w:val="19"/>
              <w:spacing w:before="125"/>
              <w:ind w:left="232"/>
              <w:rPr>
                <w:color w:val="auto"/>
                <w:sz w:val="18"/>
                <w:szCs w:val="18"/>
                <w:highlight w:val="none"/>
              </w:rPr>
            </w:pPr>
            <w:r>
              <w:rPr>
                <w:color w:val="auto"/>
                <w:spacing w:val="-2"/>
                <w:sz w:val="18"/>
                <w:szCs w:val="18"/>
                <w:highlight w:val="none"/>
              </w:rPr>
              <w:t>Z＜300</w:t>
            </w:r>
          </w:p>
        </w:tc>
      </w:tr>
      <w:tr w14:paraId="49E6F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61260892">
            <w:pPr>
              <w:spacing w:line="267" w:lineRule="auto"/>
              <w:rPr>
                <w:rFonts w:ascii="Arial"/>
                <w:color w:val="auto"/>
                <w:sz w:val="21"/>
                <w:highlight w:val="none"/>
              </w:rPr>
            </w:pPr>
          </w:p>
          <w:p w14:paraId="737A1A28">
            <w:pPr>
              <w:pStyle w:val="19"/>
              <w:spacing w:before="58" w:line="220" w:lineRule="auto"/>
              <w:ind w:left="115"/>
              <w:rPr>
                <w:color w:val="auto"/>
                <w:sz w:val="18"/>
                <w:szCs w:val="18"/>
                <w:highlight w:val="none"/>
              </w:rPr>
            </w:pPr>
            <w:r>
              <w:rPr>
                <w:color w:val="auto"/>
                <w:spacing w:val="-3"/>
                <w:sz w:val="18"/>
                <w:szCs w:val="18"/>
                <w:highlight w:val="none"/>
              </w:rPr>
              <w:t>批发业</w:t>
            </w:r>
          </w:p>
        </w:tc>
        <w:tc>
          <w:tcPr>
            <w:tcW w:w="1368" w:type="dxa"/>
            <w:vAlign w:val="top"/>
          </w:tcPr>
          <w:p w14:paraId="09FDBAA3">
            <w:pPr>
              <w:pStyle w:val="19"/>
              <w:spacing w:before="128"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747F9418">
            <w:pPr>
              <w:pStyle w:val="19"/>
              <w:spacing w:before="128" w:line="222" w:lineRule="auto"/>
              <w:ind w:left="268"/>
              <w:rPr>
                <w:color w:val="auto"/>
                <w:sz w:val="18"/>
                <w:szCs w:val="18"/>
                <w:highlight w:val="none"/>
              </w:rPr>
            </w:pPr>
            <w:r>
              <w:rPr>
                <w:color w:val="auto"/>
                <w:sz w:val="18"/>
                <w:szCs w:val="18"/>
                <w:highlight w:val="none"/>
              </w:rPr>
              <w:t>人</w:t>
            </w:r>
          </w:p>
        </w:tc>
        <w:tc>
          <w:tcPr>
            <w:tcW w:w="1124" w:type="dxa"/>
            <w:vAlign w:val="top"/>
          </w:tcPr>
          <w:p w14:paraId="78B4B108">
            <w:pPr>
              <w:pStyle w:val="19"/>
              <w:spacing w:before="157"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200</w:t>
            </w:r>
          </w:p>
        </w:tc>
        <w:tc>
          <w:tcPr>
            <w:tcW w:w="1700" w:type="dxa"/>
            <w:vAlign w:val="top"/>
          </w:tcPr>
          <w:p w14:paraId="45413EEC">
            <w:pPr>
              <w:pStyle w:val="19"/>
              <w:spacing w:before="128" w:line="223" w:lineRule="auto"/>
              <w:ind w:left="447"/>
              <w:rPr>
                <w:color w:val="auto"/>
                <w:sz w:val="18"/>
                <w:szCs w:val="18"/>
                <w:highlight w:val="none"/>
              </w:rPr>
            </w:pPr>
            <w:r>
              <w:rPr>
                <w:color w:val="auto"/>
                <w:spacing w:val="-1"/>
                <w:sz w:val="18"/>
                <w:szCs w:val="18"/>
                <w:highlight w:val="none"/>
              </w:rPr>
              <w:t>20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X＜200</w:t>
            </w:r>
          </w:p>
        </w:tc>
        <w:tc>
          <w:tcPr>
            <w:tcW w:w="1425" w:type="dxa"/>
            <w:vAlign w:val="top"/>
          </w:tcPr>
          <w:p w14:paraId="3A7B9165">
            <w:pPr>
              <w:pStyle w:val="19"/>
              <w:spacing w:before="128" w:line="223" w:lineRule="auto"/>
              <w:ind w:left="402"/>
              <w:rPr>
                <w:color w:val="auto"/>
                <w:sz w:val="18"/>
                <w:szCs w:val="18"/>
                <w:highlight w:val="none"/>
              </w:rPr>
            </w:pPr>
            <w:r>
              <w:rPr>
                <w:color w:val="auto"/>
                <w:spacing w:val="-2"/>
                <w:sz w:val="18"/>
                <w:szCs w:val="18"/>
                <w:highlight w:val="none"/>
              </w:rPr>
              <w:t>5</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X＜20</w:t>
            </w:r>
          </w:p>
        </w:tc>
        <w:tc>
          <w:tcPr>
            <w:tcW w:w="996" w:type="dxa"/>
            <w:vAlign w:val="top"/>
          </w:tcPr>
          <w:p w14:paraId="0A6AED77">
            <w:pPr>
              <w:pStyle w:val="19"/>
              <w:spacing w:before="127"/>
              <w:ind w:left="320"/>
              <w:rPr>
                <w:color w:val="auto"/>
                <w:sz w:val="18"/>
                <w:szCs w:val="18"/>
                <w:highlight w:val="none"/>
              </w:rPr>
            </w:pPr>
            <w:r>
              <w:rPr>
                <w:color w:val="auto"/>
                <w:spacing w:val="-2"/>
                <w:sz w:val="18"/>
                <w:szCs w:val="18"/>
                <w:highlight w:val="none"/>
              </w:rPr>
              <w:t>X＜5</w:t>
            </w:r>
          </w:p>
        </w:tc>
      </w:tr>
      <w:tr w14:paraId="78A2B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5D5983AB">
            <w:pPr>
              <w:rPr>
                <w:rFonts w:ascii="Arial"/>
                <w:color w:val="auto"/>
                <w:sz w:val="21"/>
                <w:highlight w:val="none"/>
              </w:rPr>
            </w:pPr>
          </w:p>
        </w:tc>
        <w:tc>
          <w:tcPr>
            <w:tcW w:w="1368" w:type="dxa"/>
            <w:vAlign w:val="top"/>
          </w:tcPr>
          <w:p w14:paraId="7752C572">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6D56C92F">
            <w:pPr>
              <w:pStyle w:val="19"/>
              <w:spacing w:before="127"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1D2C6CE7">
            <w:pPr>
              <w:pStyle w:val="19"/>
              <w:spacing w:before="155" w:line="183"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40000</w:t>
            </w:r>
          </w:p>
        </w:tc>
        <w:tc>
          <w:tcPr>
            <w:tcW w:w="1700" w:type="dxa"/>
            <w:vAlign w:val="top"/>
          </w:tcPr>
          <w:p w14:paraId="489ACA08">
            <w:pPr>
              <w:pStyle w:val="19"/>
              <w:spacing w:before="127" w:line="223" w:lineRule="auto"/>
              <w:ind w:left="268"/>
              <w:rPr>
                <w:color w:val="auto"/>
                <w:sz w:val="18"/>
                <w:szCs w:val="18"/>
                <w:highlight w:val="none"/>
              </w:rPr>
            </w:pPr>
            <w:r>
              <w:rPr>
                <w:color w:val="auto"/>
                <w:spacing w:val="-1"/>
                <w:sz w:val="18"/>
                <w:szCs w:val="18"/>
                <w:highlight w:val="none"/>
              </w:rPr>
              <w:t>5000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Y＜40000</w:t>
            </w:r>
          </w:p>
        </w:tc>
        <w:tc>
          <w:tcPr>
            <w:tcW w:w="1425" w:type="dxa"/>
            <w:vAlign w:val="top"/>
          </w:tcPr>
          <w:p w14:paraId="110BBEAF">
            <w:pPr>
              <w:pStyle w:val="19"/>
              <w:spacing w:before="127" w:line="223" w:lineRule="auto"/>
              <w:ind w:left="186"/>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Y＜5000</w:t>
            </w:r>
          </w:p>
        </w:tc>
        <w:tc>
          <w:tcPr>
            <w:tcW w:w="996" w:type="dxa"/>
            <w:vAlign w:val="top"/>
          </w:tcPr>
          <w:p w14:paraId="68ECFB33">
            <w:pPr>
              <w:pStyle w:val="19"/>
              <w:spacing w:before="126"/>
              <w:ind w:left="185"/>
              <w:rPr>
                <w:color w:val="auto"/>
                <w:sz w:val="18"/>
                <w:szCs w:val="18"/>
                <w:highlight w:val="none"/>
              </w:rPr>
            </w:pPr>
            <w:r>
              <w:rPr>
                <w:color w:val="auto"/>
                <w:spacing w:val="-1"/>
                <w:sz w:val="18"/>
                <w:szCs w:val="18"/>
                <w:highlight w:val="none"/>
              </w:rPr>
              <w:t>Y＜1000</w:t>
            </w:r>
          </w:p>
        </w:tc>
      </w:tr>
      <w:tr w14:paraId="0F9FD2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65498636">
            <w:pPr>
              <w:spacing w:line="265" w:lineRule="auto"/>
              <w:rPr>
                <w:rFonts w:ascii="Arial"/>
                <w:color w:val="auto"/>
                <w:sz w:val="21"/>
                <w:highlight w:val="none"/>
              </w:rPr>
            </w:pPr>
          </w:p>
          <w:p w14:paraId="632E5F27">
            <w:pPr>
              <w:pStyle w:val="19"/>
              <w:spacing w:before="59" w:line="219" w:lineRule="auto"/>
              <w:ind w:left="116"/>
              <w:rPr>
                <w:color w:val="auto"/>
                <w:sz w:val="18"/>
                <w:szCs w:val="18"/>
                <w:highlight w:val="none"/>
              </w:rPr>
            </w:pPr>
            <w:r>
              <w:rPr>
                <w:color w:val="auto"/>
                <w:spacing w:val="-3"/>
                <w:sz w:val="18"/>
                <w:szCs w:val="18"/>
                <w:highlight w:val="none"/>
              </w:rPr>
              <w:t>零售业</w:t>
            </w:r>
          </w:p>
        </w:tc>
        <w:tc>
          <w:tcPr>
            <w:tcW w:w="1368" w:type="dxa"/>
            <w:vAlign w:val="top"/>
          </w:tcPr>
          <w:p w14:paraId="1617A75A">
            <w:pPr>
              <w:pStyle w:val="19"/>
              <w:spacing w:before="126"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0AB7DDDD">
            <w:pPr>
              <w:pStyle w:val="19"/>
              <w:spacing w:before="126" w:line="222" w:lineRule="auto"/>
              <w:ind w:left="268"/>
              <w:rPr>
                <w:color w:val="auto"/>
                <w:sz w:val="18"/>
                <w:szCs w:val="18"/>
                <w:highlight w:val="none"/>
              </w:rPr>
            </w:pPr>
            <w:r>
              <w:rPr>
                <w:color w:val="auto"/>
                <w:sz w:val="18"/>
                <w:szCs w:val="18"/>
                <w:highlight w:val="none"/>
              </w:rPr>
              <w:t>人</w:t>
            </w:r>
          </w:p>
        </w:tc>
        <w:tc>
          <w:tcPr>
            <w:tcW w:w="1124" w:type="dxa"/>
            <w:vAlign w:val="top"/>
          </w:tcPr>
          <w:p w14:paraId="67FC1101">
            <w:pPr>
              <w:pStyle w:val="19"/>
              <w:spacing w:before="154" w:line="183"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5692FBC1">
            <w:pPr>
              <w:pStyle w:val="19"/>
              <w:spacing w:before="126" w:line="223" w:lineRule="auto"/>
              <w:ind w:left="448"/>
              <w:rPr>
                <w:color w:val="auto"/>
                <w:sz w:val="18"/>
                <w:szCs w:val="18"/>
                <w:highlight w:val="none"/>
              </w:rPr>
            </w:pPr>
            <w:r>
              <w:rPr>
                <w:color w:val="auto"/>
                <w:spacing w:val="-2"/>
                <w:sz w:val="18"/>
                <w:szCs w:val="18"/>
                <w:highlight w:val="none"/>
              </w:rPr>
              <w:t>50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X＜300</w:t>
            </w:r>
          </w:p>
        </w:tc>
        <w:tc>
          <w:tcPr>
            <w:tcW w:w="1425" w:type="dxa"/>
            <w:vAlign w:val="top"/>
          </w:tcPr>
          <w:p w14:paraId="45AD9993">
            <w:pPr>
              <w:pStyle w:val="19"/>
              <w:spacing w:before="126" w:line="223" w:lineRule="auto"/>
              <w:ind w:left="366"/>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X＜50</w:t>
            </w:r>
          </w:p>
        </w:tc>
        <w:tc>
          <w:tcPr>
            <w:tcW w:w="996" w:type="dxa"/>
            <w:vAlign w:val="top"/>
          </w:tcPr>
          <w:p w14:paraId="485C8DC1">
            <w:pPr>
              <w:pStyle w:val="19"/>
              <w:spacing w:before="125"/>
              <w:ind w:left="274"/>
              <w:rPr>
                <w:color w:val="auto"/>
                <w:sz w:val="18"/>
                <w:szCs w:val="18"/>
                <w:highlight w:val="none"/>
              </w:rPr>
            </w:pPr>
            <w:r>
              <w:rPr>
                <w:color w:val="auto"/>
                <w:spacing w:val="-1"/>
                <w:sz w:val="18"/>
                <w:szCs w:val="18"/>
                <w:highlight w:val="none"/>
              </w:rPr>
              <w:t>X＜10</w:t>
            </w:r>
          </w:p>
        </w:tc>
      </w:tr>
      <w:tr w14:paraId="65986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55112FCE">
            <w:pPr>
              <w:rPr>
                <w:rFonts w:ascii="Arial"/>
                <w:color w:val="auto"/>
                <w:sz w:val="21"/>
                <w:highlight w:val="none"/>
              </w:rPr>
            </w:pPr>
          </w:p>
        </w:tc>
        <w:tc>
          <w:tcPr>
            <w:tcW w:w="1368" w:type="dxa"/>
            <w:vAlign w:val="top"/>
          </w:tcPr>
          <w:p w14:paraId="3251288B">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7FD33DED">
            <w:pPr>
              <w:pStyle w:val="19"/>
              <w:spacing w:before="127"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15551A84">
            <w:pPr>
              <w:pStyle w:val="19"/>
              <w:spacing w:before="155" w:line="181"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20000</w:t>
            </w:r>
          </w:p>
        </w:tc>
        <w:tc>
          <w:tcPr>
            <w:tcW w:w="1700" w:type="dxa"/>
            <w:vAlign w:val="top"/>
          </w:tcPr>
          <w:p w14:paraId="1B0E948B">
            <w:pPr>
              <w:pStyle w:val="19"/>
              <w:spacing w:before="127" w:line="223" w:lineRule="auto"/>
              <w:ind w:left="314"/>
              <w:rPr>
                <w:color w:val="auto"/>
                <w:sz w:val="18"/>
                <w:szCs w:val="18"/>
                <w:highlight w:val="none"/>
              </w:rPr>
            </w:pPr>
            <w:r>
              <w:rPr>
                <w:color w:val="auto"/>
                <w:spacing w:val="-1"/>
                <w:sz w:val="18"/>
                <w:szCs w:val="18"/>
                <w:highlight w:val="none"/>
              </w:rPr>
              <w:t>500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Y＜20000</w:t>
            </w:r>
          </w:p>
        </w:tc>
        <w:tc>
          <w:tcPr>
            <w:tcW w:w="1425" w:type="dxa"/>
            <w:vAlign w:val="top"/>
          </w:tcPr>
          <w:p w14:paraId="092A6084">
            <w:pPr>
              <w:pStyle w:val="19"/>
              <w:spacing w:before="127" w:line="223" w:lineRule="auto"/>
              <w:ind w:left="275"/>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Y＜500</w:t>
            </w:r>
          </w:p>
        </w:tc>
        <w:tc>
          <w:tcPr>
            <w:tcW w:w="996" w:type="dxa"/>
            <w:vAlign w:val="top"/>
          </w:tcPr>
          <w:p w14:paraId="297D02EF">
            <w:pPr>
              <w:pStyle w:val="19"/>
              <w:spacing w:before="127"/>
              <w:ind w:left="230"/>
              <w:rPr>
                <w:color w:val="auto"/>
                <w:sz w:val="18"/>
                <w:szCs w:val="18"/>
                <w:highlight w:val="none"/>
              </w:rPr>
            </w:pPr>
            <w:r>
              <w:rPr>
                <w:color w:val="auto"/>
                <w:spacing w:val="-1"/>
                <w:sz w:val="18"/>
                <w:szCs w:val="18"/>
                <w:highlight w:val="none"/>
              </w:rPr>
              <w:t>Y＜100</w:t>
            </w:r>
          </w:p>
        </w:tc>
      </w:tr>
      <w:tr w14:paraId="60A81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0F957A43">
            <w:pPr>
              <w:spacing w:line="265" w:lineRule="auto"/>
              <w:rPr>
                <w:rFonts w:ascii="Arial"/>
                <w:color w:val="auto"/>
                <w:sz w:val="21"/>
                <w:highlight w:val="none"/>
              </w:rPr>
            </w:pPr>
          </w:p>
          <w:p w14:paraId="137A1EEA">
            <w:pPr>
              <w:pStyle w:val="19"/>
              <w:spacing w:before="59" w:line="219" w:lineRule="auto"/>
              <w:ind w:left="119"/>
              <w:rPr>
                <w:color w:val="auto"/>
                <w:sz w:val="18"/>
                <w:szCs w:val="18"/>
                <w:highlight w:val="none"/>
              </w:rPr>
            </w:pPr>
            <w:r>
              <w:rPr>
                <w:color w:val="auto"/>
                <w:spacing w:val="-1"/>
                <w:sz w:val="18"/>
                <w:szCs w:val="18"/>
                <w:highlight w:val="none"/>
              </w:rPr>
              <w:t>交通运输业 *</w:t>
            </w:r>
          </w:p>
        </w:tc>
        <w:tc>
          <w:tcPr>
            <w:tcW w:w="1368" w:type="dxa"/>
            <w:vAlign w:val="top"/>
          </w:tcPr>
          <w:p w14:paraId="1A058757">
            <w:pPr>
              <w:pStyle w:val="19"/>
              <w:spacing w:before="126"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1A018F3E">
            <w:pPr>
              <w:pStyle w:val="19"/>
              <w:spacing w:before="126" w:line="222" w:lineRule="auto"/>
              <w:ind w:left="268"/>
              <w:rPr>
                <w:color w:val="auto"/>
                <w:sz w:val="18"/>
                <w:szCs w:val="18"/>
                <w:highlight w:val="none"/>
              </w:rPr>
            </w:pPr>
            <w:r>
              <w:rPr>
                <w:color w:val="auto"/>
                <w:sz w:val="18"/>
                <w:szCs w:val="18"/>
                <w:highlight w:val="none"/>
              </w:rPr>
              <w:t>人</w:t>
            </w:r>
          </w:p>
        </w:tc>
        <w:tc>
          <w:tcPr>
            <w:tcW w:w="1124" w:type="dxa"/>
            <w:vAlign w:val="top"/>
          </w:tcPr>
          <w:p w14:paraId="2DBE19C2">
            <w:pPr>
              <w:pStyle w:val="19"/>
              <w:spacing w:before="153" w:line="184"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w:t>
            </w:r>
          </w:p>
        </w:tc>
        <w:tc>
          <w:tcPr>
            <w:tcW w:w="1700" w:type="dxa"/>
            <w:vAlign w:val="top"/>
          </w:tcPr>
          <w:p w14:paraId="140C5A10">
            <w:pPr>
              <w:pStyle w:val="19"/>
              <w:spacing w:before="126" w:line="223" w:lineRule="auto"/>
              <w:ind w:left="359"/>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X＜1000</w:t>
            </w:r>
          </w:p>
        </w:tc>
        <w:tc>
          <w:tcPr>
            <w:tcW w:w="1425" w:type="dxa"/>
            <w:vAlign w:val="top"/>
          </w:tcPr>
          <w:p w14:paraId="4BD3EE2D">
            <w:pPr>
              <w:pStyle w:val="19"/>
              <w:spacing w:before="126" w:line="223" w:lineRule="auto"/>
              <w:ind w:left="311"/>
              <w:rPr>
                <w:color w:val="auto"/>
                <w:sz w:val="18"/>
                <w:szCs w:val="18"/>
                <w:highlight w:val="none"/>
              </w:rPr>
            </w:pPr>
            <w:r>
              <w:rPr>
                <w:color w:val="auto"/>
                <w:spacing w:val="-2"/>
                <w:sz w:val="18"/>
                <w:szCs w:val="18"/>
                <w:highlight w:val="none"/>
              </w:rPr>
              <w:t>20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X＜300</w:t>
            </w:r>
          </w:p>
        </w:tc>
        <w:tc>
          <w:tcPr>
            <w:tcW w:w="996" w:type="dxa"/>
            <w:vAlign w:val="top"/>
          </w:tcPr>
          <w:p w14:paraId="2D42DB36">
            <w:pPr>
              <w:pStyle w:val="19"/>
              <w:spacing w:before="126"/>
              <w:ind w:left="274"/>
              <w:rPr>
                <w:color w:val="auto"/>
                <w:sz w:val="18"/>
                <w:szCs w:val="18"/>
                <w:highlight w:val="none"/>
              </w:rPr>
            </w:pPr>
            <w:r>
              <w:rPr>
                <w:color w:val="auto"/>
                <w:spacing w:val="-1"/>
                <w:sz w:val="18"/>
                <w:szCs w:val="18"/>
                <w:highlight w:val="none"/>
              </w:rPr>
              <w:t>X＜20</w:t>
            </w:r>
          </w:p>
        </w:tc>
      </w:tr>
      <w:tr w14:paraId="71EFC9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5D8EC4FE">
            <w:pPr>
              <w:rPr>
                <w:rFonts w:ascii="Arial"/>
                <w:color w:val="auto"/>
                <w:sz w:val="21"/>
                <w:highlight w:val="none"/>
              </w:rPr>
            </w:pPr>
          </w:p>
        </w:tc>
        <w:tc>
          <w:tcPr>
            <w:tcW w:w="1368" w:type="dxa"/>
            <w:vAlign w:val="top"/>
          </w:tcPr>
          <w:p w14:paraId="3A323F90">
            <w:pPr>
              <w:pStyle w:val="19"/>
              <w:spacing w:before="128"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3B062EB9">
            <w:pPr>
              <w:pStyle w:val="19"/>
              <w:spacing w:before="128"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13931B8B">
            <w:pPr>
              <w:pStyle w:val="19"/>
              <w:spacing w:before="156" w:line="180"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30000</w:t>
            </w:r>
          </w:p>
        </w:tc>
        <w:tc>
          <w:tcPr>
            <w:tcW w:w="1700" w:type="dxa"/>
            <w:vAlign w:val="top"/>
          </w:tcPr>
          <w:p w14:paraId="464B665C">
            <w:pPr>
              <w:pStyle w:val="19"/>
              <w:spacing w:before="128" w:line="223" w:lineRule="auto"/>
              <w:ind w:left="268"/>
              <w:rPr>
                <w:color w:val="auto"/>
                <w:sz w:val="18"/>
                <w:szCs w:val="18"/>
                <w:highlight w:val="none"/>
              </w:rPr>
            </w:pPr>
            <w:r>
              <w:rPr>
                <w:color w:val="auto"/>
                <w:spacing w:val="-1"/>
                <w:sz w:val="18"/>
                <w:szCs w:val="18"/>
                <w:highlight w:val="none"/>
              </w:rPr>
              <w:t>3000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Y＜30000</w:t>
            </w:r>
          </w:p>
        </w:tc>
        <w:tc>
          <w:tcPr>
            <w:tcW w:w="1425" w:type="dxa"/>
            <w:vAlign w:val="top"/>
          </w:tcPr>
          <w:p w14:paraId="3BDB14F0">
            <w:pPr>
              <w:pStyle w:val="19"/>
              <w:spacing w:before="128" w:line="223" w:lineRule="auto"/>
              <w:ind w:left="220"/>
              <w:rPr>
                <w:color w:val="auto"/>
                <w:sz w:val="18"/>
                <w:szCs w:val="18"/>
                <w:highlight w:val="none"/>
              </w:rPr>
            </w:pPr>
            <w:r>
              <w:rPr>
                <w:color w:val="auto"/>
                <w:spacing w:val="-1"/>
                <w:sz w:val="18"/>
                <w:szCs w:val="18"/>
                <w:highlight w:val="none"/>
              </w:rPr>
              <w:t>200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Y＜3000</w:t>
            </w:r>
          </w:p>
        </w:tc>
        <w:tc>
          <w:tcPr>
            <w:tcW w:w="996" w:type="dxa"/>
            <w:vAlign w:val="top"/>
          </w:tcPr>
          <w:p w14:paraId="2D9C0E27">
            <w:pPr>
              <w:pStyle w:val="19"/>
              <w:spacing w:before="127"/>
              <w:ind w:left="230"/>
              <w:rPr>
                <w:color w:val="auto"/>
                <w:sz w:val="18"/>
                <w:szCs w:val="18"/>
                <w:highlight w:val="none"/>
              </w:rPr>
            </w:pPr>
            <w:r>
              <w:rPr>
                <w:color w:val="auto"/>
                <w:spacing w:val="-1"/>
                <w:sz w:val="18"/>
                <w:szCs w:val="18"/>
                <w:highlight w:val="none"/>
              </w:rPr>
              <w:t>Y＜200</w:t>
            </w:r>
          </w:p>
        </w:tc>
      </w:tr>
      <w:tr w14:paraId="43552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76F8C0F1">
            <w:pPr>
              <w:spacing w:line="266" w:lineRule="auto"/>
              <w:rPr>
                <w:rFonts w:ascii="Arial"/>
                <w:color w:val="auto"/>
                <w:sz w:val="21"/>
                <w:highlight w:val="none"/>
              </w:rPr>
            </w:pPr>
          </w:p>
          <w:p w14:paraId="48928CAF">
            <w:pPr>
              <w:pStyle w:val="19"/>
              <w:spacing w:before="58" w:line="220" w:lineRule="auto"/>
              <w:ind w:left="115"/>
              <w:rPr>
                <w:color w:val="auto"/>
                <w:sz w:val="18"/>
                <w:szCs w:val="18"/>
                <w:highlight w:val="none"/>
              </w:rPr>
            </w:pPr>
            <w:r>
              <w:rPr>
                <w:color w:val="auto"/>
                <w:spacing w:val="-2"/>
                <w:sz w:val="18"/>
                <w:szCs w:val="18"/>
                <w:highlight w:val="none"/>
              </w:rPr>
              <w:t>仓储业*</w:t>
            </w:r>
          </w:p>
        </w:tc>
        <w:tc>
          <w:tcPr>
            <w:tcW w:w="1368" w:type="dxa"/>
            <w:vAlign w:val="top"/>
          </w:tcPr>
          <w:p w14:paraId="3BF5CD34">
            <w:pPr>
              <w:pStyle w:val="19"/>
              <w:spacing w:before="127"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5EC86349">
            <w:pPr>
              <w:pStyle w:val="19"/>
              <w:spacing w:before="127" w:line="222" w:lineRule="auto"/>
              <w:ind w:left="268"/>
              <w:rPr>
                <w:color w:val="auto"/>
                <w:sz w:val="18"/>
                <w:szCs w:val="18"/>
                <w:highlight w:val="none"/>
              </w:rPr>
            </w:pPr>
            <w:r>
              <w:rPr>
                <w:color w:val="auto"/>
                <w:sz w:val="18"/>
                <w:szCs w:val="18"/>
                <w:highlight w:val="none"/>
              </w:rPr>
              <w:t>人</w:t>
            </w:r>
          </w:p>
        </w:tc>
        <w:tc>
          <w:tcPr>
            <w:tcW w:w="1124" w:type="dxa"/>
            <w:vAlign w:val="top"/>
          </w:tcPr>
          <w:p w14:paraId="6007148F">
            <w:pPr>
              <w:pStyle w:val="19"/>
              <w:spacing w:before="155" w:line="183"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200</w:t>
            </w:r>
          </w:p>
        </w:tc>
        <w:tc>
          <w:tcPr>
            <w:tcW w:w="1700" w:type="dxa"/>
            <w:vAlign w:val="top"/>
          </w:tcPr>
          <w:p w14:paraId="3A803B56">
            <w:pPr>
              <w:pStyle w:val="19"/>
              <w:spacing w:before="127"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X＜200</w:t>
            </w:r>
          </w:p>
        </w:tc>
        <w:tc>
          <w:tcPr>
            <w:tcW w:w="1425" w:type="dxa"/>
            <w:vAlign w:val="top"/>
          </w:tcPr>
          <w:p w14:paraId="1C80ED9A">
            <w:pPr>
              <w:pStyle w:val="19"/>
              <w:spacing w:before="127" w:line="223" w:lineRule="auto"/>
              <w:ind w:left="311"/>
              <w:rPr>
                <w:color w:val="auto"/>
                <w:sz w:val="18"/>
                <w:szCs w:val="18"/>
                <w:highlight w:val="none"/>
              </w:rPr>
            </w:pPr>
            <w:r>
              <w:rPr>
                <w:color w:val="auto"/>
                <w:spacing w:val="-2"/>
                <w:sz w:val="18"/>
                <w:szCs w:val="18"/>
                <w:highlight w:val="none"/>
              </w:rPr>
              <w:t>20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X＜100</w:t>
            </w:r>
          </w:p>
        </w:tc>
        <w:tc>
          <w:tcPr>
            <w:tcW w:w="996" w:type="dxa"/>
            <w:vAlign w:val="top"/>
          </w:tcPr>
          <w:p w14:paraId="54E5379F">
            <w:pPr>
              <w:pStyle w:val="19"/>
              <w:spacing w:before="126"/>
              <w:ind w:left="274"/>
              <w:rPr>
                <w:color w:val="auto"/>
                <w:sz w:val="18"/>
                <w:szCs w:val="18"/>
                <w:highlight w:val="none"/>
              </w:rPr>
            </w:pPr>
            <w:r>
              <w:rPr>
                <w:color w:val="auto"/>
                <w:spacing w:val="-1"/>
                <w:sz w:val="18"/>
                <w:szCs w:val="18"/>
                <w:highlight w:val="none"/>
              </w:rPr>
              <w:t>X＜20</w:t>
            </w:r>
          </w:p>
        </w:tc>
      </w:tr>
      <w:tr w14:paraId="6FD5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433C8B3">
            <w:pPr>
              <w:rPr>
                <w:rFonts w:ascii="Arial"/>
                <w:color w:val="auto"/>
                <w:sz w:val="21"/>
                <w:highlight w:val="none"/>
              </w:rPr>
            </w:pPr>
          </w:p>
        </w:tc>
        <w:tc>
          <w:tcPr>
            <w:tcW w:w="1368" w:type="dxa"/>
            <w:vAlign w:val="top"/>
          </w:tcPr>
          <w:p w14:paraId="10A79B75">
            <w:pPr>
              <w:pStyle w:val="19"/>
              <w:spacing w:before="128"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0A00C711">
            <w:pPr>
              <w:pStyle w:val="19"/>
              <w:spacing w:before="128"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1E68CC28">
            <w:pPr>
              <w:pStyle w:val="19"/>
              <w:spacing w:before="157" w:line="180"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30000</w:t>
            </w:r>
          </w:p>
        </w:tc>
        <w:tc>
          <w:tcPr>
            <w:tcW w:w="1700" w:type="dxa"/>
            <w:vAlign w:val="top"/>
          </w:tcPr>
          <w:p w14:paraId="17B6A42E">
            <w:pPr>
              <w:pStyle w:val="19"/>
              <w:spacing w:before="128" w:line="223" w:lineRule="auto"/>
              <w:ind w:left="278"/>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Y＜30000</w:t>
            </w:r>
          </w:p>
        </w:tc>
        <w:tc>
          <w:tcPr>
            <w:tcW w:w="1425" w:type="dxa"/>
            <w:vAlign w:val="top"/>
          </w:tcPr>
          <w:p w14:paraId="34B8E907">
            <w:pPr>
              <w:pStyle w:val="19"/>
              <w:spacing w:before="128"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w:t>
            </w:r>
          </w:p>
        </w:tc>
        <w:tc>
          <w:tcPr>
            <w:tcW w:w="996" w:type="dxa"/>
            <w:vAlign w:val="top"/>
          </w:tcPr>
          <w:p w14:paraId="29C75B54">
            <w:pPr>
              <w:pStyle w:val="19"/>
              <w:spacing w:before="127"/>
              <w:ind w:left="230"/>
              <w:rPr>
                <w:color w:val="auto"/>
                <w:sz w:val="18"/>
                <w:szCs w:val="18"/>
                <w:highlight w:val="none"/>
              </w:rPr>
            </w:pPr>
            <w:r>
              <w:rPr>
                <w:color w:val="auto"/>
                <w:spacing w:val="-1"/>
                <w:sz w:val="18"/>
                <w:szCs w:val="18"/>
                <w:highlight w:val="none"/>
              </w:rPr>
              <w:t>Y＜100</w:t>
            </w:r>
          </w:p>
        </w:tc>
      </w:tr>
      <w:tr w14:paraId="53C9B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48B7CDB1">
            <w:pPr>
              <w:spacing w:line="266" w:lineRule="auto"/>
              <w:rPr>
                <w:rFonts w:ascii="Arial"/>
                <w:color w:val="auto"/>
                <w:sz w:val="21"/>
                <w:highlight w:val="none"/>
              </w:rPr>
            </w:pPr>
          </w:p>
          <w:p w14:paraId="57654AAF">
            <w:pPr>
              <w:pStyle w:val="19"/>
              <w:spacing w:before="58" w:line="221" w:lineRule="auto"/>
              <w:ind w:left="129"/>
              <w:rPr>
                <w:color w:val="auto"/>
                <w:sz w:val="18"/>
                <w:szCs w:val="18"/>
                <w:highlight w:val="none"/>
              </w:rPr>
            </w:pPr>
            <w:r>
              <w:rPr>
                <w:color w:val="auto"/>
                <w:spacing w:val="-7"/>
                <w:sz w:val="18"/>
                <w:szCs w:val="18"/>
                <w:highlight w:val="none"/>
              </w:rPr>
              <w:t>邮政业</w:t>
            </w:r>
          </w:p>
        </w:tc>
        <w:tc>
          <w:tcPr>
            <w:tcW w:w="1368" w:type="dxa"/>
            <w:vAlign w:val="top"/>
          </w:tcPr>
          <w:p w14:paraId="3ACB353E">
            <w:pPr>
              <w:pStyle w:val="19"/>
              <w:spacing w:before="127"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04032C69">
            <w:pPr>
              <w:pStyle w:val="19"/>
              <w:spacing w:before="127" w:line="222" w:lineRule="auto"/>
              <w:ind w:left="268"/>
              <w:rPr>
                <w:color w:val="auto"/>
                <w:sz w:val="18"/>
                <w:szCs w:val="18"/>
                <w:highlight w:val="none"/>
              </w:rPr>
            </w:pPr>
            <w:r>
              <w:rPr>
                <w:color w:val="auto"/>
                <w:sz w:val="18"/>
                <w:szCs w:val="18"/>
                <w:highlight w:val="none"/>
              </w:rPr>
              <w:t>人</w:t>
            </w:r>
          </w:p>
        </w:tc>
        <w:tc>
          <w:tcPr>
            <w:tcW w:w="1124" w:type="dxa"/>
            <w:vAlign w:val="top"/>
          </w:tcPr>
          <w:p w14:paraId="0284525D">
            <w:pPr>
              <w:pStyle w:val="19"/>
              <w:spacing w:before="154" w:line="184"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w:t>
            </w:r>
          </w:p>
        </w:tc>
        <w:tc>
          <w:tcPr>
            <w:tcW w:w="1700" w:type="dxa"/>
            <w:vAlign w:val="top"/>
          </w:tcPr>
          <w:p w14:paraId="1518B680">
            <w:pPr>
              <w:pStyle w:val="19"/>
              <w:spacing w:before="127" w:line="223" w:lineRule="auto"/>
              <w:ind w:left="359"/>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X＜1000</w:t>
            </w:r>
          </w:p>
        </w:tc>
        <w:tc>
          <w:tcPr>
            <w:tcW w:w="1425" w:type="dxa"/>
            <w:vAlign w:val="top"/>
          </w:tcPr>
          <w:p w14:paraId="66157C2C">
            <w:pPr>
              <w:pStyle w:val="19"/>
              <w:spacing w:before="127" w:line="223" w:lineRule="auto"/>
              <w:ind w:left="311"/>
              <w:rPr>
                <w:color w:val="auto"/>
                <w:sz w:val="18"/>
                <w:szCs w:val="18"/>
                <w:highlight w:val="none"/>
              </w:rPr>
            </w:pPr>
            <w:r>
              <w:rPr>
                <w:color w:val="auto"/>
                <w:spacing w:val="-2"/>
                <w:sz w:val="18"/>
                <w:szCs w:val="18"/>
                <w:highlight w:val="none"/>
              </w:rPr>
              <w:t>20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X＜300</w:t>
            </w:r>
          </w:p>
        </w:tc>
        <w:tc>
          <w:tcPr>
            <w:tcW w:w="996" w:type="dxa"/>
            <w:vAlign w:val="top"/>
          </w:tcPr>
          <w:p w14:paraId="321BFC33">
            <w:pPr>
              <w:pStyle w:val="19"/>
              <w:spacing w:before="126"/>
              <w:ind w:left="274"/>
              <w:rPr>
                <w:color w:val="auto"/>
                <w:sz w:val="18"/>
                <w:szCs w:val="18"/>
                <w:highlight w:val="none"/>
              </w:rPr>
            </w:pPr>
            <w:r>
              <w:rPr>
                <w:color w:val="auto"/>
                <w:spacing w:val="-1"/>
                <w:sz w:val="18"/>
                <w:szCs w:val="18"/>
                <w:highlight w:val="none"/>
              </w:rPr>
              <w:t>X＜20</w:t>
            </w:r>
          </w:p>
        </w:tc>
      </w:tr>
      <w:tr w14:paraId="214AE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9AD89A5">
            <w:pPr>
              <w:rPr>
                <w:rFonts w:ascii="Arial"/>
                <w:color w:val="auto"/>
                <w:sz w:val="21"/>
                <w:highlight w:val="none"/>
              </w:rPr>
            </w:pPr>
          </w:p>
        </w:tc>
        <w:tc>
          <w:tcPr>
            <w:tcW w:w="1368" w:type="dxa"/>
            <w:vAlign w:val="top"/>
          </w:tcPr>
          <w:p w14:paraId="276E6B59">
            <w:pPr>
              <w:pStyle w:val="19"/>
              <w:spacing w:before="126"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46B93A2D">
            <w:pPr>
              <w:pStyle w:val="19"/>
              <w:spacing w:before="126"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0DF979BF">
            <w:pPr>
              <w:pStyle w:val="19"/>
              <w:spacing w:before="154" w:line="183"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30000</w:t>
            </w:r>
          </w:p>
        </w:tc>
        <w:tc>
          <w:tcPr>
            <w:tcW w:w="1700" w:type="dxa"/>
            <w:vAlign w:val="top"/>
          </w:tcPr>
          <w:p w14:paraId="1448825D">
            <w:pPr>
              <w:pStyle w:val="19"/>
              <w:spacing w:before="126" w:line="223" w:lineRule="auto"/>
              <w:ind w:left="267"/>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Y＜30000</w:t>
            </w:r>
          </w:p>
        </w:tc>
        <w:tc>
          <w:tcPr>
            <w:tcW w:w="1425" w:type="dxa"/>
            <w:vAlign w:val="top"/>
          </w:tcPr>
          <w:p w14:paraId="7A79F70D">
            <w:pPr>
              <w:pStyle w:val="19"/>
              <w:spacing w:before="126"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Y＜2000</w:t>
            </w:r>
          </w:p>
        </w:tc>
        <w:tc>
          <w:tcPr>
            <w:tcW w:w="996" w:type="dxa"/>
            <w:vAlign w:val="top"/>
          </w:tcPr>
          <w:p w14:paraId="2E7B75A1">
            <w:pPr>
              <w:pStyle w:val="19"/>
              <w:spacing w:before="125"/>
              <w:ind w:left="230"/>
              <w:rPr>
                <w:color w:val="auto"/>
                <w:sz w:val="18"/>
                <w:szCs w:val="18"/>
                <w:highlight w:val="none"/>
              </w:rPr>
            </w:pPr>
            <w:r>
              <w:rPr>
                <w:color w:val="auto"/>
                <w:spacing w:val="-1"/>
                <w:sz w:val="18"/>
                <w:szCs w:val="18"/>
                <w:highlight w:val="none"/>
              </w:rPr>
              <w:t>Y＜100</w:t>
            </w:r>
          </w:p>
        </w:tc>
      </w:tr>
      <w:tr w14:paraId="3E390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592BC6CF">
            <w:pPr>
              <w:spacing w:line="267" w:lineRule="auto"/>
              <w:rPr>
                <w:rFonts w:ascii="Arial"/>
                <w:color w:val="auto"/>
                <w:sz w:val="21"/>
                <w:highlight w:val="none"/>
              </w:rPr>
            </w:pPr>
          </w:p>
          <w:p w14:paraId="420D8ED8">
            <w:pPr>
              <w:pStyle w:val="19"/>
              <w:spacing w:before="58" w:line="219" w:lineRule="auto"/>
              <w:ind w:left="115"/>
              <w:rPr>
                <w:color w:val="auto"/>
                <w:sz w:val="18"/>
                <w:szCs w:val="18"/>
                <w:highlight w:val="none"/>
              </w:rPr>
            </w:pPr>
            <w:r>
              <w:rPr>
                <w:color w:val="auto"/>
                <w:spacing w:val="-3"/>
                <w:sz w:val="18"/>
                <w:szCs w:val="18"/>
                <w:highlight w:val="none"/>
              </w:rPr>
              <w:t>住宿业</w:t>
            </w:r>
          </w:p>
        </w:tc>
        <w:tc>
          <w:tcPr>
            <w:tcW w:w="1368" w:type="dxa"/>
            <w:vAlign w:val="top"/>
          </w:tcPr>
          <w:p w14:paraId="70BAD1E9">
            <w:pPr>
              <w:pStyle w:val="19"/>
              <w:spacing w:before="127"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6370DF7C">
            <w:pPr>
              <w:pStyle w:val="19"/>
              <w:spacing w:before="127" w:line="222" w:lineRule="auto"/>
              <w:ind w:left="268"/>
              <w:rPr>
                <w:color w:val="auto"/>
                <w:sz w:val="18"/>
                <w:szCs w:val="18"/>
                <w:highlight w:val="none"/>
              </w:rPr>
            </w:pPr>
            <w:r>
              <w:rPr>
                <w:color w:val="auto"/>
                <w:sz w:val="18"/>
                <w:szCs w:val="18"/>
                <w:highlight w:val="none"/>
              </w:rPr>
              <w:t>人</w:t>
            </w:r>
          </w:p>
        </w:tc>
        <w:tc>
          <w:tcPr>
            <w:tcW w:w="1124" w:type="dxa"/>
            <w:vAlign w:val="top"/>
          </w:tcPr>
          <w:p w14:paraId="0EAF1DA8">
            <w:pPr>
              <w:pStyle w:val="19"/>
              <w:spacing w:before="155" w:line="181"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6C144CB9">
            <w:pPr>
              <w:pStyle w:val="19"/>
              <w:spacing w:before="128"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1D8ACF2E">
            <w:pPr>
              <w:pStyle w:val="19"/>
              <w:spacing w:before="128"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6A5457FB">
            <w:pPr>
              <w:pStyle w:val="19"/>
              <w:spacing w:before="127"/>
              <w:ind w:left="274"/>
              <w:rPr>
                <w:color w:val="auto"/>
                <w:sz w:val="18"/>
                <w:szCs w:val="18"/>
                <w:highlight w:val="none"/>
              </w:rPr>
            </w:pPr>
            <w:r>
              <w:rPr>
                <w:color w:val="auto"/>
                <w:spacing w:val="-1"/>
                <w:sz w:val="18"/>
                <w:szCs w:val="18"/>
                <w:highlight w:val="none"/>
              </w:rPr>
              <w:t>X＜10</w:t>
            </w:r>
          </w:p>
        </w:tc>
      </w:tr>
      <w:tr w14:paraId="188E5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393BEE45">
            <w:pPr>
              <w:rPr>
                <w:rFonts w:ascii="Arial"/>
                <w:color w:val="auto"/>
                <w:sz w:val="21"/>
                <w:highlight w:val="none"/>
              </w:rPr>
            </w:pPr>
          </w:p>
        </w:tc>
        <w:tc>
          <w:tcPr>
            <w:tcW w:w="1368" w:type="dxa"/>
            <w:vAlign w:val="top"/>
          </w:tcPr>
          <w:p w14:paraId="615D4053">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02978E7A">
            <w:pPr>
              <w:pStyle w:val="19"/>
              <w:spacing w:before="126"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62B0FE9A">
            <w:pPr>
              <w:pStyle w:val="19"/>
              <w:spacing w:before="154" w:line="184"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w:t>
            </w:r>
          </w:p>
        </w:tc>
        <w:tc>
          <w:tcPr>
            <w:tcW w:w="1700" w:type="dxa"/>
            <w:vAlign w:val="top"/>
          </w:tcPr>
          <w:p w14:paraId="4855D839">
            <w:pPr>
              <w:pStyle w:val="19"/>
              <w:spacing w:before="127" w:line="223" w:lineRule="auto"/>
              <w:ind w:left="267"/>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Y＜10000</w:t>
            </w:r>
          </w:p>
        </w:tc>
        <w:tc>
          <w:tcPr>
            <w:tcW w:w="1425" w:type="dxa"/>
            <w:vAlign w:val="top"/>
          </w:tcPr>
          <w:p w14:paraId="6D234D88">
            <w:pPr>
              <w:pStyle w:val="19"/>
              <w:spacing w:before="127"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Y＜2000</w:t>
            </w:r>
          </w:p>
        </w:tc>
        <w:tc>
          <w:tcPr>
            <w:tcW w:w="996" w:type="dxa"/>
            <w:vAlign w:val="top"/>
          </w:tcPr>
          <w:p w14:paraId="6CE36887">
            <w:pPr>
              <w:pStyle w:val="19"/>
              <w:spacing w:before="126"/>
              <w:ind w:left="230"/>
              <w:rPr>
                <w:color w:val="auto"/>
                <w:sz w:val="18"/>
                <w:szCs w:val="18"/>
                <w:highlight w:val="none"/>
              </w:rPr>
            </w:pPr>
            <w:r>
              <w:rPr>
                <w:color w:val="auto"/>
                <w:spacing w:val="-1"/>
                <w:sz w:val="18"/>
                <w:szCs w:val="18"/>
                <w:highlight w:val="none"/>
              </w:rPr>
              <w:t>Y＜100</w:t>
            </w:r>
          </w:p>
        </w:tc>
      </w:tr>
      <w:tr w14:paraId="5E733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restart"/>
            <w:tcBorders>
              <w:bottom w:val="nil"/>
            </w:tcBorders>
            <w:vAlign w:val="top"/>
          </w:tcPr>
          <w:p w14:paraId="08C6ED23">
            <w:pPr>
              <w:spacing w:line="267" w:lineRule="auto"/>
              <w:rPr>
                <w:rFonts w:ascii="Arial"/>
                <w:color w:val="auto"/>
                <w:sz w:val="21"/>
                <w:highlight w:val="none"/>
              </w:rPr>
            </w:pPr>
          </w:p>
          <w:p w14:paraId="76D4D89D">
            <w:pPr>
              <w:pStyle w:val="19"/>
              <w:spacing w:before="59" w:line="219" w:lineRule="auto"/>
              <w:ind w:left="117"/>
              <w:rPr>
                <w:color w:val="auto"/>
                <w:sz w:val="18"/>
                <w:szCs w:val="18"/>
                <w:highlight w:val="none"/>
              </w:rPr>
            </w:pPr>
            <w:r>
              <w:rPr>
                <w:color w:val="auto"/>
                <w:spacing w:val="-3"/>
                <w:sz w:val="18"/>
                <w:szCs w:val="18"/>
                <w:highlight w:val="none"/>
              </w:rPr>
              <w:t>餐饮业</w:t>
            </w:r>
          </w:p>
        </w:tc>
        <w:tc>
          <w:tcPr>
            <w:tcW w:w="1368" w:type="dxa"/>
            <w:vAlign w:val="top"/>
          </w:tcPr>
          <w:p w14:paraId="236C09C8">
            <w:pPr>
              <w:pStyle w:val="19"/>
              <w:spacing w:before="128"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7D6D7FFF">
            <w:pPr>
              <w:pStyle w:val="19"/>
              <w:spacing w:before="128" w:line="222" w:lineRule="auto"/>
              <w:ind w:left="268"/>
              <w:rPr>
                <w:color w:val="auto"/>
                <w:sz w:val="18"/>
                <w:szCs w:val="18"/>
                <w:highlight w:val="none"/>
              </w:rPr>
            </w:pPr>
            <w:r>
              <w:rPr>
                <w:color w:val="auto"/>
                <w:sz w:val="18"/>
                <w:szCs w:val="18"/>
                <w:highlight w:val="none"/>
              </w:rPr>
              <w:t>人</w:t>
            </w:r>
          </w:p>
        </w:tc>
        <w:tc>
          <w:tcPr>
            <w:tcW w:w="1124" w:type="dxa"/>
            <w:vAlign w:val="top"/>
          </w:tcPr>
          <w:p w14:paraId="29AC0DFD">
            <w:pPr>
              <w:pStyle w:val="19"/>
              <w:spacing w:before="157"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632D777B">
            <w:pPr>
              <w:pStyle w:val="19"/>
              <w:spacing w:before="128"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260199FB">
            <w:pPr>
              <w:pStyle w:val="19"/>
              <w:spacing w:before="128"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6483BB15">
            <w:pPr>
              <w:pStyle w:val="19"/>
              <w:spacing w:before="127"/>
              <w:ind w:left="274"/>
              <w:rPr>
                <w:color w:val="auto"/>
                <w:sz w:val="18"/>
                <w:szCs w:val="18"/>
                <w:highlight w:val="none"/>
              </w:rPr>
            </w:pPr>
            <w:r>
              <w:rPr>
                <w:color w:val="auto"/>
                <w:spacing w:val="-1"/>
                <w:sz w:val="18"/>
                <w:szCs w:val="18"/>
                <w:highlight w:val="none"/>
              </w:rPr>
              <w:t>X＜10</w:t>
            </w:r>
          </w:p>
        </w:tc>
      </w:tr>
      <w:tr w14:paraId="7E691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4B427D20">
            <w:pPr>
              <w:rPr>
                <w:rFonts w:ascii="Arial"/>
                <w:color w:val="auto"/>
                <w:sz w:val="21"/>
                <w:highlight w:val="none"/>
              </w:rPr>
            </w:pPr>
          </w:p>
        </w:tc>
        <w:tc>
          <w:tcPr>
            <w:tcW w:w="1368" w:type="dxa"/>
            <w:vAlign w:val="top"/>
          </w:tcPr>
          <w:p w14:paraId="577BDA35">
            <w:pPr>
              <w:pStyle w:val="19"/>
              <w:spacing w:before="127"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56982D4B">
            <w:pPr>
              <w:pStyle w:val="19"/>
              <w:spacing w:before="127"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39A521BF">
            <w:pPr>
              <w:pStyle w:val="19"/>
              <w:spacing w:before="154" w:line="184"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w:t>
            </w:r>
          </w:p>
        </w:tc>
        <w:tc>
          <w:tcPr>
            <w:tcW w:w="1700" w:type="dxa"/>
            <w:vAlign w:val="top"/>
          </w:tcPr>
          <w:p w14:paraId="18D0EAE1">
            <w:pPr>
              <w:pStyle w:val="19"/>
              <w:spacing w:before="127" w:line="223" w:lineRule="auto"/>
              <w:ind w:left="267"/>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Y＜10000</w:t>
            </w:r>
          </w:p>
        </w:tc>
        <w:tc>
          <w:tcPr>
            <w:tcW w:w="1425" w:type="dxa"/>
            <w:vAlign w:val="top"/>
          </w:tcPr>
          <w:p w14:paraId="04336484">
            <w:pPr>
              <w:pStyle w:val="19"/>
              <w:spacing w:before="127"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Y＜2000</w:t>
            </w:r>
          </w:p>
        </w:tc>
        <w:tc>
          <w:tcPr>
            <w:tcW w:w="996" w:type="dxa"/>
            <w:vAlign w:val="top"/>
          </w:tcPr>
          <w:p w14:paraId="17E66EF9">
            <w:pPr>
              <w:pStyle w:val="19"/>
              <w:spacing w:before="126"/>
              <w:ind w:left="230"/>
              <w:rPr>
                <w:color w:val="auto"/>
                <w:sz w:val="18"/>
                <w:szCs w:val="18"/>
                <w:highlight w:val="none"/>
              </w:rPr>
            </w:pPr>
            <w:r>
              <w:rPr>
                <w:color w:val="auto"/>
                <w:spacing w:val="-1"/>
                <w:sz w:val="18"/>
                <w:szCs w:val="18"/>
                <w:highlight w:val="none"/>
              </w:rPr>
              <w:t>Y＜100</w:t>
            </w:r>
          </w:p>
        </w:tc>
      </w:tr>
      <w:tr w14:paraId="4F6B7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2117" w:type="dxa"/>
            <w:vMerge w:val="restart"/>
            <w:tcBorders>
              <w:bottom w:val="nil"/>
            </w:tcBorders>
            <w:vAlign w:val="top"/>
          </w:tcPr>
          <w:p w14:paraId="6646EF57">
            <w:pPr>
              <w:spacing w:line="264" w:lineRule="auto"/>
              <w:rPr>
                <w:rFonts w:ascii="Arial"/>
                <w:color w:val="auto"/>
                <w:sz w:val="21"/>
                <w:highlight w:val="none"/>
              </w:rPr>
            </w:pPr>
          </w:p>
          <w:p w14:paraId="24375CED">
            <w:pPr>
              <w:pStyle w:val="19"/>
              <w:spacing w:before="59" w:line="219" w:lineRule="auto"/>
              <w:ind w:left="115"/>
              <w:rPr>
                <w:color w:val="auto"/>
                <w:sz w:val="18"/>
                <w:szCs w:val="18"/>
                <w:highlight w:val="none"/>
              </w:rPr>
            </w:pPr>
            <w:r>
              <w:rPr>
                <w:color w:val="auto"/>
                <w:spacing w:val="-1"/>
                <w:sz w:val="18"/>
                <w:szCs w:val="18"/>
                <w:highlight w:val="none"/>
              </w:rPr>
              <w:t>信息传输业 *</w:t>
            </w:r>
          </w:p>
        </w:tc>
        <w:tc>
          <w:tcPr>
            <w:tcW w:w="1368" w:type="dxa"/>
            <w:vAlign w:val="top"/>
          </w:tcPr>
          <w:p w14:paraId="5CF24F0C">
            <w:pPr>
              <w:pStyle w:val="19"/>
              <w:spacing w:before="126"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568AEB1D">
            <w:pPr>
              <w:pStyle w:val="19"/>
              <w:spacing w:before="126" w:line="222" w:lineRule="auto"/>
              <w:ind w:left="268"/>
              <w:rPr>
                <w:color w:val="auto"/>
                <w:sz w:val="18"/>
                <w:szCs w:val="18"/>
                <w:highlight w:val="none"/>
              </w:rPr>
            </w:pPr>
            <w:r>
              <w:rPr>
                <w:color w:val="auto"/>
                <w:sz w:val="18"/>
                <w:szCs w:val="18"/>
                <w:highlight w:val="none"/>
              </w:rPr>
              <w:t>人</w:t>
            </w:r>
          </w:p>
        </w:tc>
        <w:tc>
          <w:tcPr>
            <w:tcW w:w="1124" w:type="dxa"/>
            <w:vAlign w:val="top"/>
          </w:tcPr>
          <w:p w14:paraId="05E66550">
            <w:pPr>
              <w:pStyle w:val="19"/>
              <w:spacing w:before="154" w:line="183"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2000</w:t>
            </w:r>
          </w:p>
        </w:tc>
        <w:tc>
          <w:tcPr>
            <w:tcW w:w="1700" w:type="dxa"/>
            <w:vAlign w:val="top"/>
          </w:tcPr>
          <w:p w14:paraId="42E7EA80">
            <w:pPr>
              <w:pStyle w:val="19"/>
              <w:spacing w:before="126" w:line="223" w:lineRule="auto"/>
              <w:ind w:left="369"/>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X＜2000</w:t>
            </w:r>
          </w:p>
        </w:tc>
        <w:tc>
          <w:tcPr>
            <w:tcW w:w="1425" w:type="dxa"/>
            <w:vAlign w:val="top"/>
          </w:tcPr>
          <w:p w14:paraId="2F44EB5B">
            <w:pPr>
              <w:pStyle w:val="19"/>
              <w:spacing w:before="126"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63DE3985">
            <w:pPr>
              <w:pStyle w:val="19"/>
              <w:spacing w:before="125"/>
              <w:ind w:left="274"/>
              <w:rPr>
                <w:color w:val="auto"/>
                <w:sz w:val="18"/>
                <w:szCs w:val="18"/>
                <w:highlight w:val="none"/>
              </w:rPr>
            </w:pPr>
            <w:r>
              <w:rPr>
                <w:color w:val="auto"/>
                <w:spacing w:val="-1"/>
                <w:sz w:val="18"/>
                <w:szCs w:val="18"/>
                <w:highlight w:val="none"/>
              </w:rPr>
              <w:t>X＜10</w:t>
            </w:r>
          </w:p>
        </w:tc>
      </w:tr>
      <w:tr w14:paraId="4E399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2117" w:type="dxa"/>
            <w:vMerge w:val="continue"/>
            <w:tcBorders>
              <w:top w:val="nil"/>
            </w:tcBorders>
            <w:vAlign w:val="top"/>
          </w:tcPr>
          <w:p w14:paraId="7B8C11BF">
            <w:pPr>
              <w:rPr>
                <w:rFonts w:ascii="Arial"/>
                <w:color w:val="auto"/>
                <w:sz w:val="21"/>
                <w:highlight w:val="none"/>
              </w:rPr>
            </w:pPr>
          </w:p>
        </w:tc>
        <w:tc>
          <w:tcPr>
            <w:tcW w:w="1368" w:type="dxa"/>
            <w:vAlign w:val="top"/>
          </w:tcPr>
          <w:p w14:paraId="5ED77FE0">
            <w:pPr>
              <w:pStyle w:val="19"/>
              <w:spacing w:before="128"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53904C8A">
            <w:pPr>
              <w:pStyle w:val="19"/>
              <w:spacing w:before="128"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74D56D86">
            <w:pPr>
              <w:pStyle w:val="19"/>
              <w:spacing w:before="156" w:line="181" w:lineRule="auto"/>
              <w:ind w:left="198"/>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100000</w:t>
            </w:r>
          </w:p>
        </w:tc>
        <w:tc>
          <w:tcPr>
            <w:tcW w:w="1700" w:type="dxa"/>
            <w:vAlign w:val="top"/>
          </w:tcPr>
          <w:p w14:paraId="42A7E0D3">
            <w:pPr>
              <w:pStyle w:val="19"/>
              <w:spacing w:before="128" w:line="223" w:lineRule="auto"/>
              <w:ind w:left="235"/>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Y＜100000</w:t>
            </w:r>
          </w:p>
        </w:tc>
        <w:tc>
          <w:tcPr>
            <w:tcW w:w="1425" w:type="dxa"/>
            <w:vAlign w:val="top"/>
          </w:tcPr>
          <w:p w14:paraId="2CD4923F">
            <w:pPr>
              <w:pStyle w:val="19"/>
              <w:spacing w:before="128"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w:t>
            </w:r>
          </w:p>
        </w:tc>
        <w:tc>
          <w:tcPr>
            <w:tcW w:w="996" w:type="dxa"/>
            <w:vAlign w:val="top"/>
          </w:tcPr>
          <w:p w14:paraId="731AA529">
            <w:pPr>
              <w:pStyle w:val="19"/>
              <w:spacing w:before="128"/>
              <w:ind w:left="230"/>
              <w:rPr>
                <w:color w:val="auto"/>
                <w:sz w:val="18"/>
                <w:szCs w:val="18"/>
                <w:highlight w:val="none"/>
              </w:rPr>
            </w:pPr>
            <w:r>
              <w:rPr>
                <w:color w:val="auto"/>
                <w:spacing w:val="-1"/>
                <w:sz w:val="18"/>
                <w:szCs w:val="18"/>
                <w:highlight w:val="none"/>
              </w:rPr>
              <w:t>Y＜100</w:t>
            </w:r>
          </w:p>
        </w:tc>
      </w:tr>
      <w:tr w14:paraId="4D4E9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1BF0931B">
            <w:pPr>
              <w:pStyle w:val="19"/>
              <w:spacing w:before="269" w:line="219" w:lineRule="auto"/>
              <w:ind w:left="117"/>
              <w:rPr>
                <w:color w:val="auto"/>
                <w:sz w:val="18"/>
                <w:szCs w:val="18"/>
                <w:highlight w:val="none"/>
              </w:rPr>
            </w:pPr>
            <w:r>
              <w:rPr>
                <w:color w:val="auto"/>
                <w:spacing w:val="-15"/>
                <w:w w:val="97"/>
                <w:sz w:val="18"/>
                <w:szCs w:val="18"/>
                <w:highlight w:val="none"/>
              </w:rPr>
              <w:t>软件和信息技术服务业</w:t>
            </w:r>
          </w:p>
        </w:tc>
        <w:tc>
          <w:tcPr>
            <w:tcW w:w="1368" w:type="dxa"/>
            <w:vAlign w:val="top"/>
          </w:tcPr>
          <w:p w14:paraId="0E163D46">
            <w:pPr>
              <w:pStyle w:val="19"/>
              <w:spacing w:before="101"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2AE0A51C">
            <w:pPr>
              <w:pStyle w:val="19"/>
              <w:spacing w:before="101" w:line="222" w:lineRule="auto"/>
              <w:ind w:left="268"/>
              <w:rPr>
                <w:color w:val="auto"/>
                <w:sz w:val="18"/>
                <w:szCs w:val="18"/>
                <w:highlight w:val="none"/>
              </w:rPr>
            </w:pPr>
            <w:r>
              <w:rPr>
                <w:color w:val="auto"/>
                <w:sz w:val="18"/>
                <w:szCs w:val="18"/>
                <w:highlight w:val="none"/>
              </w:rPr>
              <w:t>人</w:t>
            </w:r>
          </w:p>
        </w:tc>
        <w:tc>
          <w:tcPr>
            <w:tcW w:w="1124" w:type="dxa"/>
            <w:vAlign w:val="top"/>
          </w:tcPr>
          <w:p w14:paraId="64CC907B">
            <w:pPr>
              <w:pStyle w:val="19"/>
              <w:spacing w:before="130"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231AA20D">
            <w:pPr>
              <w:pStyle w:val="19"/>
              <w:spacing w:before="101"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73C4D6EF">
            <w:pPr>
              <w:pStyle w:val="19"/>
              <w:spacing w:before="101"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376D0861">
            <w:pPr>
              <w:pStyle w:val="19"/>
              <w:spacing w:before="100" w:line="230" w:lineRule="auto"/>
              <w:ind w:left="274"/>
              <w:rPr>
                <w:color w:val="auto"/>
                <w:sz w:val="18"/>
                <w:szCs w:val="18"/>
                <w:highlight w:val="none"/>
              </w:rPr>
            </w:pPr>
            <w:r>
              <w:rPr>
                <w:color w:val="auto"/>
                <w:spacing w:val="-1"/>
                <w:sz w:val="18"/>
                <w:szCs w:val="18"/>
                <w:highlight w:val="none"/>
              </w:rPr>
              <w:t>X＜10</w:t>
            </w:r>
          </w:p>
        </w:tc>
      </w:tr>
      <w:tr w14:paraId="65570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634025BA">
            <w:pPr>
              <w:rPr>
                <w:rFonts w:ascii="Arial"/>
                <w:color w:val="auto"/>
                <w:sz w:val="21"/>
                <w:highlight w:val="none"/>
              </w:rPr>
            </w:pPr>
          </w:p>
        </w:tc>
        <w:tc>
          <w:tcPr>
            <w:tcW w:w="1368" w:type="dxa"/>
            <w:vAlign w:val="top"/>
          </w:tcPr>
          <w:p w14:paraId="1B7C2C46">
            <w:pPr>
              <w:pStyle w:val="19"/>
              <w:spacing w:before="99"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3BFB8438">
            <w:pPr>
              <w:pStyle w:val="19"/>
              <w:spacing w:before="99"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08052E6A">
            <w:pPr>
              <w:pStyle w:val="19"/>
              <w:spacing w:before="126" w:line="184" w:lineRule="auto"/>
              <w:ind w:left="243"/>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w:t>
            </w:r>
          </w:p>
        </w:tc>
        <w:tc>
          <w:tcPr>
            <w:tcW w:w="1700" w:type="dxa"/>
            <w:vAlign w:val="top"/>
          </w:tcPr>
          <w:p w14:paraId="7956F909">
            <w:pPr>
              <w:pStyle w:val="19"/>
              <w:spacing w:before="99" w:line="223" w:lineRule="auto"/>
              <w:ind w:left="278"/>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Y＜10000</w:t>
            </w:r>
          </w:p>
        </w:tc>
        <w:tc>
          <w:tcPr>
            <w:tcW w:w="1425" w:type="dxa"/>
            <w:vAlign w:val="top"/>
          </w:tcPr>
          <w:p w14:paraId="1132225D">
            <w:pPr>
              <w:pStyle w:val="19"/>
              <w:spacing w:before="99" w:line="223" w:lineRule="auto"/>
              <w:ind w:left="267"/>
              <w:rPr>
                <w:color w:val="auto"/>
                <w:sz w:val="18"/>
                <w:szCs w:val="18"/>
                <w:highlight w:val="none"/>
              </w:rPr>
            </w:pPr>
            <w:r>
              <w:rPr>
                <w:color w:val="auto"/>
                <w:spacing w:val="-2"/>
                <w:sz w:val="18"/>
                <w:szCs w:val="18"/>
                <w:highlight w:val="none"/>
              </w:rPr>
              <w:t>50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w:t>
            </w:r>
          </w:p>
        </w:tc>
        <w:tc>
          <w:tcPr>
            <w:tcW w:w="996" w:type="dxa"/>
            <w:vAlign w:val="top"/>
          </w:tcPr>
          <w:p w14:paraId="2AC6B53D">
            <w:pPr>
              <w:pStyle w:val="19"/>
              <w:spacing w:before="99" w:line="231" w:lineRule="auto"/>
              <w:ind w:left="273"/>
              <w:rPr>
                <w:color w:val="auto"/>
                <w:sz w:val="18"/>
                <w:szCs w:val="18"/>
                <w:highlight w:val="none"/>
              </w:rPr>
            </w:pPr>
            <w:r>
              <w:rPr>
                <w:color w:val="auto"/>
                <w:spacing w:val="-1"/>
                <w:sz w:val="18"/>
                <w:szCs w:val="18"/>
                <w:highlight w:val="none"/>
              </w:rPr>
              <w:t>Y＜50</w:t>
            </w:r>
          </w:p>
        </w:tc>
      </w:tr>
      <w:tr w14:paraId="3368E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062F638D">
            <w:pPr>
              <w:pStyle w:val="19"/>
              <w:spacing w:before="271" w:line="219" w:lineRule="auto"/>
              <w:ind w:left="116"/>
              <w:rPr>
                <w:color w:val="auto"/>
                <w:sz w:val="18"/>
                <w:szCs w:val="18"/>
                <w:highlight w:val="none"/>
              </w:rPr>
            </w:pPr>
            <w:r>
              <w:rPr>
                <w:color w:val="auto"/>
                <w:spacing w:val="-2"/>
                <w:sz w:val="18"/>
                <w:szCs w:val="18"/>
                <w:highlight w:val="none"/>
              </w:rPr>
              <w:t>房地产开发经营</w:t>
            </w:r>
          </w:p>
        </w:tc>
        <w:tc>
          <w:tcPr>
            <w:tcW w:w="1368" w:type="dxa"/>
            <w:vAlign w:val="top"/>
          </w:tcPr>
          <w:p w14:paraId="6FB4D8F8">
            <w:pPr>
              <w:pStyle w:val="19"/>
              <w:spacing w:before="100"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72CACEB4">
            <w:pPr>
              <w:pStyle w:val="19"/>
              <w:spacing w:before="100"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6B0A509D">
            <w:pPr>
              <w:pStyle w:val="19"/>
              <w:spacing w:before="128" w:line="183" w:lineRule="auto"/>
              <w:ind w:left="198"/>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200000</w:t>
            </w:r>
          </w:p>
        </w:tc>
        <w:tc>
          <w:tcPr>
            <w:tcW w:w="1700" w:type="dxa"/>
            <w:vAlign w:val="top"/>
          </w:tcPr>
          <w:p w14:paraId="0E25A7F7">
            <w:pPr>
              <w:pStyle w:val="19"/>
              <w:spacing w:before="100" w:line="223" w:lineRule="auto"/>
              <w:ind w:left="235"/>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Y＜200000</w:t>
            </w:r>
          </w:p>
        </w:tc>
        <w:tc>
          <w:tcPr>
            <w:tcW w:w="1425" w:type="dxa"/>
            <w:vAlign w:val="top"/>
          </w:tcPr>
          <w:p w14:paraId="2710EE1F">
            <w:pPr>
              <w:pStyle w:val="19"/>
              <w:spacing w:before="100"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Y＜1000</w:t>
            </w:r>
          </w:p>
        </w:tc>
        <w:tc>
          <w:tcPr>
            <w:tcW w:w="996" w:type="dxa"/>
            <w:vAlign w:val="top"/>
          </w:tcPr>
          <w:p w14:paraId="02E7603B">
            <w:pPr>
              <w:pStyle w:val="19"/>
              <w:spacing w:before="100" w:line="230" w:lineRule="auto"/>
              <w:ind w:left="230"/>
              <w:rPr>
                <w:color w:val="auto"/>
                <w:sz w:val="18"/>
                <w:szCs w:val="18"/>
                <w:highlight w:val="none"/>
              </w:rPr>
            </w:pPr>
            <w:r>
              <w:rPr>
                <w:color w:val="auto"/>
                <w:spacing w:val="-1"/>
                <w:sz w:val="18"/>
                <w:szCs w:val="18"/>
                <w:highlight w:val="none"/>
              </w:rPr>
              <w:t>Y＜100</w:t>
            </w:r>
          </w:p>
        </w:tc>
      </w:tr>
      <w:tr w14:paraId="01CC9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1E5B5489">
            <w:pPr>
              <w:rPr>
                <w:rFonts w:ascii="Arial"/>
                <w:color w:val="auto"/>
                <w:sz w:val="21"/>
                <w:highlight w:val="none"/>
              </w:rPr>
            </w:pPr>
          </w:p>
        </w:tc>
        <w:tc>
          <w:tcPr>
            <w:tcW w:w="1368" w:type="dxa"/>
            <w:vAlign w:val="top"/>
          </w:tcPr>
          <w:p w14:paraId="100EE19C">
            <w:pPr>
              <w:pStyle w:val="19"/>
              <w:spacing w:before="101" w:line="219" w:lineRule="auto"/>
              <w:ind w:left="200"/>
              <w:rPr>
                <w:color w:val="auto"/>
                <w:sz w:val="18"/>
                <w:szCs w:val="18"/>
                <w:highlight w:val="none"/>
              </w:rPr>
            </w:pPr>
            <w:r>
              <w:rPr>
                <w:color w:val="auto"/>
                <w:spacing w:val="-2"/>
                <w:sz w:val="18"/>
                <w:szCs w:val="18"/>
                <w:highlight w:val="none"/>
              </w:rPr>
              <w:t>资产总额(Z)</w:t>
            </w:r>
          </w:p>
        </w:tc>
        <w:tc>
          <w:tcPr>
            <w:tcW w:w="709" w:type="dxa"/>
            <w:vAlign w:val="top"/>
          </w:tcPr>
          <w:p w14:paraId="5C908BC1">
            <w:pPr>
              <w:pStyle w:val="19"/>
              <w:spacing w:before="101"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3F54FA7B">
            <w:pPr>
              <w:pStyle w:val="19"/>
              <w:spacing w:before="129" w:line="181" w:lineRule="auto"/>
              <w:ind w:left="245"/>
              <w:rPr>
                <w:color w:val="auto"/>
                <w:sz w:val="18"/>
                <w:szCs w:val="18"/>
                <w:highlight w:val="none"/>
              </w:rPr>
            </w:pPr>
            <w:r>
              <w:rPr>
                <w:color w:val="auto"/>
                <w:spacing w:val="-1"/>
                <w:sz w:val="18"/>
                <w:szCs w:val="18"/>
                <w:highlight w:val="none"/>
              </w:rPr>
              <w:t>Z</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10000</w:t>
            </w:r>
          </w:p>
        </w:tc>
        <w:tc>
          <w:tcPr>
            <w:tcW w:w="1700" w:type="dxa"/>
            <w:vAlign w:val="top"/>
          </w:tcPr>
          <w:p w14:paraId="2D4DA858">
            <w:pPr>
              <w:pStyle w:val="19"/>
              <w:spacing w:before="101" w:line="223" w:lineRule="auto"/>
              <w:ind w:left="268"/>
              <w:rPr>
                <w:color w:val="auto"/>
                <w:sz w:val="18"/>
                <w:szCs w:val="18"/>
                <w:highlight w:val="none"/>
              </w:rPr>
            </w:pPr>
            <w:r>
              <w:rPr>
                <w:color w:val="auto"/>
                <w:spacing w:val="-1"/>
                <w:sz w:val="18"/>
                <w:szCs w:val="18"/>
                <w:highlight w:val="none"/>
              </w:rPr>
              <w:t>5000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Z＜10000</w:t>
            </w:r>
          </w:p>
        </w:tc>
        <w:tc>
          <w:tcPr>
            <w:tcW w:w="1425" w:type="dxa"/>
            <w:vAlign w:val="top"/>
          </w:tcPr>
          <w:p w14:paraId="1D47A09C">
            <w:pPr>
              <w:pStyle w:val="19"/>
              <w:spacing w:before="101" w:line="223" w:lineRule="auto"/>
              <w:ind w:left="175"/>
              <w:rPr>
                <w:color w:val="auto"/>
                <w:sz w:val="18"/>
                <w:szCs w:val="18"/>
                <w:highlight w:val="none"/>
              </w:rPr>
            </w:pPr>
            <w:r>
              <w:rPr>
                <w:color w:val="auto"/>
                <w:spacing w:val="-1"/>
                <w:sz w:val="18"/>
                <w:szCs w:val="18"/>
                <w:highlight w:val="none"/>
              </w:rPr>
              <w:t>2000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Z＜5000</w:t>
            </w:r>
          </w:p>
        </w:tc>
        <w:tc>
          <w:tcPr>
            <w:tcW w:w="996" w:type="dxa"/>
            <w:vAlign w:val="top"/>
          </w:tcPr>
          <w:p w14:paraId="31B2695A">
            <w:pPr>
              <w:pStyle w:val="19"/>
              <w:spacing w:before="100" w:line="230" w:lineRule="auto"/>
              <w:ind w:left="187"/>
              <w:rPr>
                <w:color w:val="auto"/>
                <w:sz w:val="18"/>
                <w:szCs w:val="18"/>
                <w:highlight w:val="none"/>
              </w:rPr>
            </w:pPr>
            <w:r>
              <w:rPr>
                <w:color w:val="auto"/>
                <w:spacing w:val="-2"/>
                <w:sz w:val="18"/>
                <w:szCs w:val="18"/>
                <w:highlight w:val="none"/>
              </w:rPr>
              <w:t>Z＜2000</w:t>
            </w:r>
          </w:p>
        </w:tc>
      </w:tr>
      <w:tr w14:paraId="53883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194A1F9C">
            <w:pPr>
              <w:pStyle w:val="19"/>
              <w:spacing w:before="270" w:line="219" w:lineRule="auto"/>
              <w:ind w:left="115"/>
              <w:rPr>
                <w:color w:val="auto"/>
                <w:sz w:val="18"/>
                <w:szCs w:val="18"/>
                <w:highlight w:val="none"/>
              </w:rPr>
            </w:pPr>
            <w:r>
              <w:rPr>
                <w:color w:val="auto"/>
                <w:spacing w:val="-2"/>
                <w:sz w:val="18"/>
                <w:szCs w:val="18"/>
                <w:highlight w:val="none"/>
              </w:rPr>
              <w:t>物业管理</w:t>
            </w:r>
          </w:p>
        </w:tc>
        <w:tc>
          <w:tcPr>
            <w:tcW w:w="1368" w:type="dxa"/>
            <w:vAlign w:val="top"/>
          </w:tcPr>
          <w:p w14:paraId="4C53FEA2">
            <w:pPr>
              <w:pStyle w:val="19"/>
              <w:spacing w:before="99"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69B2313D">
            <w:pPr>
              <w:pStyle w:val="19"/>
              <w:spacing w:before="99" w:line="222" w:lineRule="auto"/>
              <w:ind w:left="268"/>
              <w:rPr>
                <w:color w:val="auto"/>
                <w:sz w:val="18"/>
                <w:szCs w:val="18"/>
                <w:highlight w:val="none"/>
              </w:rPr>
            </w:pPr>
            <w:r>
              <w:rPr>
                <w:color w:val="auto"/>
                <w:sz w:val="18"/>
                <w:szCs w:val="18"/>
                <w:highlight w:val="none"/>
              </w:rPr>
              <w:t>人</w:t>
            </w:r>
          </w:p>
        </w:tc>
        <w:tc>
          <w:tcPr>
            <w:tcW w:w="1124" w:type="dxa"/>
            <w:vAlign w:val="top"/>
          </w:tcPr>
          <w:p w14:paraId="746392BB">
            <w:pPr>
              <w:pStyle w:val="19"/>
              <w:spacing w:before="126" w:line="184" w:lineRule="auto"/>
              <w:ind w:left="290"/>
              <w:rPr>
                <w:color w:val="auto"/>
                <w:sz w:val="18"/>
                <w:szCs w:val="18"/>
                <w:highlight w:val="none"/>
              </w:rPr>
            </w:pPr>
            <w:r>
              <w:rPr>
                <w:color w:val="auto"/>
                <w:spacing w:val="-1"/>
                <w:sz w:val="18"/>
                <w:szCs w:val="18"/>
                <w:highlight w:val="none"/>
              </w:rPr>
              <w:t>X</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1000</w:t>
            </w:r>
          </w:p>
        </w:tc>
        <w:tc>
          <w:tcPr>
            <w:tcW w:w="1700" w:type="dxa"/>
            <w:vAlign w:val="top"/>
          </w:tcPr>
          <w:p w14:paraId="4DC4F75A">
            <w:pPr>
              <w:pStyle w:val="19"/>
              <w:spacing w:before="99" w:line="223" w:lineRule="auto"/>
              <w:ind w:left="359"/>
              <w:rPr>
                <w:color w:val="auto"/>
                <w:sz w:val="18"/>
                <w:szCs w:val="18"/>
                <w:highlight w:val="none"/>
              </w:rPr>
            </w:pPr>
            <w:r>
              <w:rPr>
                <w:color w:val="auto"/>
                <w:spacing w:val="-1"/>
                <w:sz w:val="18"/>
                <w:szCs w:val="18"/>
                <w:highlight w:val="none"/>
              </w:rPr>
              <w:t>300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X＜1000</w:t>
            </w:r>
          </w:p>
        </w:tc>
        <w:tc>
          <w:tcPr>
            <w:tcW w:w="1425" w:type="dxa"/>
            <w:vAlign w:val="top"/>
          </w:tcPr>
          <w:p w14:paraId="33A16545">
            <w:pPr>
              <w:pStyle w:val="19"/>
              <w:spacing w:before="99" w:line="223" w:lineRule="auto"/>
              <w:ind w:left="277"/>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996" w:type="dxa"/>
            <w:vAlign w:val="top"/>
          </w:tcPr>
          <w:p w14:paraId="1360B21A">
            <w:pPr>
              <w:pStyle w:val="19"/>
              <w:spacing w:before="99" w:line="231" w:lineRule="auto"/>
              <w:ind w:left="231"/>
              <w:rPr>
                <w:color w:val="auto"/>
                <w:sz w:val="18"/>
                <w:szCs w:val="18"/>
                <w:highlight w:val="none"/>
              </w:rPr>
            </w:pPr>
            <w:r>
              <w:rPr>
                <w:color w:val="auto"/>
                <w:spacing w:val="-1"/>
                <w:sz w:val="18"/>
                <w:szCs w:val="18"/>
                <w:highlight w:val="none"/>
              </w:rPr>
              <w:t>X＜100</w:t>
            </w:r>
          </w:p>
        </w:tc>
      </w:tr>
      <w:tr w14:paraId="3BB84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739D1A7A">
            <w:pPr>
              <w:rPr>
                <w:rFonts w:ascii="Arial"/>
                <w:color w:val="auto"/>
                <w:sz w:val="21"/>
                <w:highlight w:val="none"/>
              </w:rPr>
            </w:pPr>
          </w:p>
        </w:tc>
        <w:tc>
          <w:tcPr>
            <w:tcW w:w="1368" w:type="dxa"/>
            <w:vAlign w:val="top"/>
          </w:tcPr>
          <w:p w14:paraId="001FB811">
            <w:pPr>
              <w:pStyle w:val="19"/>
              <w:spacing w:before="100" w:line="219" w:lineRule="auto"/>
              <w:ind w:left="198"/>
              <w:rPr>
                <w:color w:val="auto"/>
                <w:sz w:val="18"/>
                <w:szCs w:val="18"/>
                <w:highlight w:val="none"/>
              </w:rPr>
            </w:pPr>
            <w:r>
              <w:rPr>
                <w:color w:val="auto"/>
                <w:spacing w:val="-2"/>
                <w:sz w:val="18"/>
                <w:szCs w:val="18"/>
                <w:highlight w:val="none"/>
              </w:rPr>
              <w:t>营业收入(Y)</w:t>
            </w:r>
          </w:p>
        </w:tc>
        <w:tc>
          <w:tcPr>
            <w:tcW w:w="709" w:type="dxa"/>
            <w:vAlign w:val="top"/>
          </w:tcPr>
          <w:p w14:paraId="6E9A7AED">
            <w:pPr>
              <w:pStyle w:val="19"/>
              <w:spacing w:before="100"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6C5A1A8B">
            <w:pPr>
              <w:pStyle w:val="19"/>
              <w:spacing w:before="128" w:line="183" w:lineRule="auto"/>
              <w:ind w:left="289"/>
              <w:rPr>
                <w:color w:val="auto"/>
                <w:sz w:val="18"/>
                <w:szCs w:val="18"/>
                <w:highlight w:val="none"/>
              </w:rPr>
            </w:pPr>
            <w:r>
              <w:rPr>
                <w:color w:val="auto"/>
                <w:spacing w:val="-1"/>
                <w:sz w:val="18"/>
                <w:szCs w:val="18"/>
                <w:highlight w:val="none"/>
              </w:rPr>
              <w:t>Y</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5000</w:t>
            </w:r>
          </w:p>
        </w:tc>
        <w:tc>
          <w:tcPr>
            <w:tcW w:w="1700" w:type="dxa"/>
            <w:vAlign w:val="top"/>
          </w:tcPr>
          <w:p w14:paraId="7CCEE9D2">
            <w:pPr>
              <w:pStyle w:val="19"/>
              <w:spacing w:before="100" w:line="223" w:lineRule="auto"/>
              <w:ind w:left="273"/>
              <w:rPr>
                <w:color w:val="auto"/>
                <w:sz w:val="18"/>
                <w:szCs w:val="18"/>
                <w:highlight w:val="none"/>
              </w:rPr>
            </w:pPr>
            <w:r>
              <w:rPr>
                <w:color w:val="auto"/>
                <w:spacing w:val="-2"/>
                <w:sz w:val="18"/>
                <w:szCs w:val="18"/>
                <w:highlight w:val="none"/>
              </w:rPr>
              <w:t>1000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Y＜5000</w:t>
            </w:r>
          </w:p>
        </w:tc>
        <w:tc>
          <w:tcPr>
            <w:tcW w:w="1425" w:type="dxa"/>
            <w:vAlign w:val="top"/>
          </w:tcPr>
          <w:p w14:paraId="7E9F24F5">
            <w:pPr>
              <w:pStyle w:val="19"/>
              <w:spacing w:before="100" w:line="223" w:lineRule="auto"/>
              <w:ind w:left="222"/>
              <w:rPr>
                <w:color w:val="auto"/>
                <w:sz w:val="18"/>
                <w:szCs w:val="18"/>
                <w:highlight w:val="none"/>
              </w:rPr>
            </w:pPr>
            <w:r>
              <w:rPr>
                <w:color w:val="auto"/>
                <w:spacing w:val="-1"/>
                <w:sz w:val="18"/>
                <w:szCs w:val="18"/>
                <w:highlight w:val="none"/>
              </w:rPr>
              <w:t>500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Y＜1000</w:t>
            </w:r>
          </w:p>
        </w:tc>
        <w:tc>
          <w:tcPr>
            <w:tcW w:w="996" w:type="dxa"/>
            <w:vAlign w:val="top"/>
          </w:tcPr>
          <w:p w14:paraId="0E665A61">
            <w:pPr>
              <w:pStyle w:val="19"/>
              <w:spacing w:before="100" w:line="230" w:lineRule="auto"/>
              <w:ind w:left="230"/>
              <w:rPr>
                <w:color w:val="auto"/>
                <w:sz w:val="18"/>
                <w:szCs w:val="18"/>
                <w:highlight w:val="none"/>
              </w:rPr>
            </w:pPr>
            <w:r>
              <w:rPr>
                <w:color w:val="auto"/>
                <w:spacing w:val="-1"/>
                <w:sz w:val="18"/>
                <w:szCs w:val="18"/>
                <w:highlight w:val="none"/>
              </w:rPr>
              <w:t>Y＜500</w:t>
            </w:r>
          </w:p>
        </w:tc>
      </w:tr>
      <w:tr w14:paraId="58E97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restart"/>
            <w:tcBorders>
              <w:bottom w:val="nil"/>
            </w:tcBorders>
            <w:vAlign w:val="top"/>
          </w:tcPr>
          <w:p w14:paraId="1F831B2C">
            <w:pPr>
              <w:pStyle w:val="19"/>
              <w:spacing w:before="269" w:line="219" w:lineRule="auto"/>
              <w:ind w:left="117"/>
              <w:rPr>
                <w:color w:val="auto"/>
                <w:sz w:val="18"/>
                <w:szCs w:val="18"/>
                <w:highlight w:val="none"/>
              </w:rPr>
            </w:pPr>
            <w:r>
              <w:rPr>
                <w:color w:val="auto"/>
                <w:spacing w:val="-2"/>
                <w:sz w:val="18"/>
                <w:szCs w:val="18"/>
                <w:highlight w:val="none"/>
              </w:rPr>
              <w:t>租赁和商务服务业</w:t>
            </w:r>
          </w:p>
        </w:tc>
        <w:tc>
          <w:tcPr>
            <w:tcW w:w="1368" w:type="dxa"/>
            <w:vAlign w:val="top"/>
          </w:tcPr>
          <w:p w14:paraId="570478EF">
            <w:pPr>
              <w:pStyle w:val="19"/>
              <w:spacing w:before="101"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0BADAA66">
            <w:pPr>
              <w:pStyle w:val="19"/>
              <w:spacing w:before="101" w:line="222" w:lineRule="auto"/>
              <w:ind w:left="268"/>
              <w:rPr>
                <w:color w:val="auto"/>
                <w:sz w:val="18"/>
                <w:szCs w:val="18"/>
                <w:highlight w:val="none"/>
              </w:rPr>
            </w:pPr>
            <w:r>
              <w:rPr>
                <w:color w:val="auto"/>
                <w:sz w:val="18"/>
                <w:szCs w:val="18"/>
                <w:highlight w:val="none"/>
              </w:rPr>
              <w:t>人</w:t>
            </w:r>
          </w:p>
        </w:tc>
        <w:tc>
          <w:tcPr>
            <w:tcW w:w="1124" w:type="dxa"/>
            <w:vAlign w:val="top"/>
          </w:tcPr>
          <w:p w14:paraId="06D9D696">
            <w:pPr>
              <w:pStyle w:val="19"/>
              <w:spacing w:before="130"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79E654A2">
            <w:pPr>
              <w:pStyle w:val="19"/>
              <w:spacing w:before="101"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2FCD9AA7">
            <w:pPr>
              <w:pStyle w:val="19"/>
              <w:spacing w:before="101"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5CC49C82">
            <w:pPr>
              <w:pStyle w:val="19"/>
              <w:spacing w:before="100" w:line="230" w:lineRule="auto"/>
              <w:ind w:left="274"/>
              <w:rPr>
                <w:color w:val="auto"/>
                <w:sz w:val="18"/>
                <w:szCs w:val="18"/>
                <w:highlight w:val="none"/>
              </w:rPr>
            </w:pPr>
            <w:r>
              <w:rPr>
                <w:color w:val="auto"/>
                <w:spacing w:val="-1"/>
                <w:sz w:val="18"/>
                <w:szCs w:val="18"/>
                <w:highlight w:val="none"/>
              </w:rPr>
              <w:t>X＜10</w:t>
            </w:r>
          </w:p>
        </w:tc>
      </w:tr>
      <w:tr w14:paraId="4A2E6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2117" w:type="dxa"/>
            <w:vMerge w:val="continue"/>
            <w:tcBorders>
              <w:top w:val="nil"/>
            </w:tcBorders>
            <w:vAlign w:val="top"/>
          </w:tcPr>
          <w:p w14:paraId="1D7D3304">
            <w:pPr>
              <w:rPr>
                <w:rFonts w:ascii="Arial"/>
                <w:color w:val="auto"/>
                <w:sz w:val="21"/>
                <w:highlight w:val="none"/>
              </w:rPr>
            </w:pPr>
          </w:p>
        </w:tc>
        <w:tc>
          <w:tcPr>
            <w:tcW w:w="1368" w:type="dxa"/>
            <w:vAlign w:val="top"/>
          </w:tcPr>
          <w:p w14:paraId="4CF23731">
            <w:pPr>
              <w:pStyle w:val="19"/>
              <w:spacing w:before="99" w:line="219" w:lineRule="auto"/>
              <w:ind w:left="200"/>
              <w:rPr>
                <w:color w:val="auto"/>
                <w:sz w:val="18"/>
                <w:szCs w:val="18"/>
                <w:highlight w:val="none"/>
              </w:rPr>
            </w:pPr>
            <w:r>
              <w:rPr>
                <w:color w:val="auto"/>
                <w:spacing w:val="-2"/>
                <w:sz w:val="18"/>
                <w:szCs w:val="18"/>
                <w:highlight w:val="none"/>
              </w:rPr>
              <w:t>资产总额(Z)</w:t>
            </w:r>
          </w:p>
        </w:tc>
        <w:tc>
          <w:tcPr>
            <w:tcW w:w="709" w:type="dxa"/>
            <w:vAlign w:val="top"/>
          </w:tcPr>
          <w:p w14:paraId="603B35F4">
            <w:pPr>
              <w:pStyle w:val="19"/>
              <w:spacing w:before="99" w:line="220" w:lineRule="auto"/>
              <w:ind w:left="182"/>
              <w:rPr>
                <w:color w:val="auto"/>
                <w:sz w:val="18"/>
                <w:szCs w:val="18"/>
                <w:highlight w:val="none"/>
              </w:rPr>
            </w:pPr>
            <w:r>
              <w:rPr>
                <w:color w:val="auto"/>
                <w:spacing w:val="-6"/>
                <w:sz w:val="18"/>
                <w:szCs w:val="18"/>
                <w:highlight w:val="none"/>
              </w:rPr>
              <w:t>万元</w:t>
            </w:r>
          </w:p>
        </w:tc>
        <w:tc>
          <w:tcPr>
            <w:tcW w:w="1124" w:type="dxa"/>
            <w:vAlign w:val="top"/>
          </w:tcPr>
          <w:p w14:paraId="43C09E8F">
            <w:pPr>
              <w:pStyle w:val="19"/>
              <w:spacing w:before="126" w:line="184" w:lineRule="auto"/>
              <w:ind w:left="200"/>
              <w:rPr>
                <w:color w:val="auto"/>
                <w:sz w:val="18"/>
                <w:szCs w:val="18"/>
                <w:highlight w:val="none"/>
              </w:rPr>
            </w:pPr>
            <w:r>
              <w:rPr>
                <w:color w:val="auto"/>
                <w:spacing w:val="-1"/>
                <w:sz w:val="18"/>
                <w:szCs w:val="18"/>
                <w:highlight w:val="none"/>
              </w:rPr>
              <w:t>Z</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120000</w:t>
            </w:r>
          </w:p>
        </w:tc>
        <w:tc>
          <w:tcPr>
            <w:tcW w:w="1700" w:type="dxa"/>
            <w:vAlign w:val="top"/>
          </w:tcPr>
          <w:p w14:paraId="5D3EB4CA">
            <w:pPr>
              <w:pStyle w:val="19"/>
              <w:spacing w:before="99" w:line="223" w:lineRule="auto"/>
              <w:ind w:left="222"/>
              <w:rPr>
                <w:color w:val="auto"/>
                <w:sz w:val="18"/>
                <w:szCs w:val="18"/>
                <w:highlight w:val="none"/>
              </w:rPr>
            </w:pPr>
            <w:r>
              <w:rPr>
                <w:color w:val="auto"/>
                <w:spacing w:val="-1"/>
                <w:sz w:val="18"/>
                <w:szCs w:val="18"/>
                <w:highlight w:val="none"/>
              </w:rPr>
              <w:t>8000</w:t>
            </w:r>
            <w:r>
              <w:rPr>
                <w:rFonts w:ascii="Times New Roman" w:hAnsi="Times New Roman" w:eastAsia="Times New Roman" w:cs="Times New Roman"/>
                <w:color w:val="auto"/>
                <w:spacing w:val="-1"/>
                <w:sz w:val="18"/>
                <w:szCs w:val="18"/>
                <w:highlight w:val="none"/>
              </w:rPr>
              <w:t>≤</w:t>
            </w:r>
            <w:r>
              <w:rPr>
                <w:color w:val="auto"/>
                <w:spacing w:val="-1"/>
                <w:sz w:val="18"/>
                <w:szCs w:val="18"/>
                <w:highlight w:val="none"/>
              </w:rPr>
              <w:t>Z＜120000</w:t>
            </w:r>
          </w:p>
        </w:tc>
        <w:tc>
          <w:tcPr>
            <w:tcW w:w="1425" w:type="dxa"/>
            <w:vAlign w:val="top"/>
          </w:tcPr>
          <w:p w14:paraId="67FAB69B">
            <w:pPr>
              <w:pStyle w:val="19"/>
              <w:spacing w:before="99" w:line="223" w:lineRule="auto"/>
              <w:ind w:left="231"/>
              <w:rPr>
                <w:color w:val="auto"/>
                <w:sz w:val="18"/>
                <w:szCs w:val="18"/>
                <w:highlight w:val="none"/>
              </w:rPr>
            </w:pPr>
            <w:r>
              <w:rPr>
                <w:color w:val="auto"/>
                <w:spacing w:val="-2"/>
                <w:sz w:val="18"/>
                <w:szCs w:val="18"/>
                <w:highlight w:val="none"/>
              </w:rPr>
              <w:t>100</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Z＜8000</w:t>
            </w:r>
          </w:p>
        </w:tc>
        <w:tc>
          <w:tcPr>
            <w:tcW w:w="996" w:type="dxa"/>
            <w:vAlign w:val="top"/>
          </w:tcPr>
          <w:p w14:paraId="2F2F4C55">
            <w:pPr>
              <w:pStyle w:val="19"/>
              <w:spacing w:before="99" w:line="231" w:lineRule="auto"/>
              <w:ind w:left="232"/>
              <w:rPr>
                <w:color w:val="auto"/>
                <w:sz w:val="18"/>
                <w:szCs w:val="18"/>
                <w:highlight w:val="none"/>
              </w:rPr>
            </w:pPr>
            <w:r>
              <w:rPr>
                <w:color w:val="auto"/>
                <w:spacing w:val="-2"/>
                <w:sz w:val="18"/>
                <w:szCs w:val="18"/>
                <w:highlight w:val="none"/>
              </w:rPr>
              <w:t>Z＜100</w:t>
            </w:r>
          </w:p>
        </w:tc>
      </w:tr>
      <w:tr w14:paraId="23024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2117" w:type="dxa"/>
            <w:vAlign w:val="top"/>
          </w:tcPr>
          <w:p w14:paraId="054EA9CC">
            <w:pPr>
              <w:pStyle w:val="19"/>
              <w:spacing w:before="129" w:line="219" w:lineRule="auto"/>
              <w:ind w:left="116"/>
              <w:rPr>
                <w:color w:val="auto"/>
                <w:sz w:val="18"/>
                <w:szCs w:val="18"/>
                <w:highlight w:val="none"/>
              </w:rPr>
            </w:pPr>
            <w:r>
              <w:rPr>
                <w:color w:val="auto"/>
                <w:spacing w:val="-1"/>
                <w:sz w:val="18"/>
                <w:szCs w:val="18"/>
                <w:highlight w:val="none"/>
              </w:rPr>
              <w:t>其他未列明行业 *</w:t>
            </w:r>
          </w:p>
        </w:tc>
        <w:tc>
          <w:tcPr>
            <w:tcW w:w="1368" w:type="dxa"/>
            <w:vAlign w:val="top"/>
          </w:tcPr>
          <w:p w14:paraId="202A9944">
            <w:pPr>
              <w:pStyle w:val="19"/>
              <w:spacing w:before="129" w:line="220" w:lineRule="auto"/>
              <w:ind w:left="194"/>
              <w:rPr>
                <w:color w:val="auto"/>
                <w:sz w:val="18"/>
                <w:szCs w:val="18"/>
                <w:highlight w:val="none"/>
              </w:rPr>
            </w:pPr>
            <w:r>
              <w:rPr>
                <w:color w:val="auto"/>
                <w:spacing w:val="-2"/>
                <w:sz w:val="18"/>
                <w:szCs w:val="18"/>
                <w:highlight w:val="none"/>
              </w:rPr>
              <w:t>从业人员(X)</w:t>
            </w:r>
          </w:p>
        </w:tc>
        <w:tc>
          <w:tcPr>
            <w:tcW w:w="709" w:type="dxa"/>
            <w:vAlign w:val="top"/>
          </w:tcPr>
          <w:p w14:paraId="2AEEB78F">
            <w:pPr>
              <w:pStyle w:val="19"/>
              <w:spacing w:before="129" w:line="222" w:lineRule="auto"/>
              <w:ind w:left="268"/>
              <w:rPr>
                <w:color w:val="auto"/>
                <w:sz w:val="18"/>
                <w:szCs w:val="18"/>
                <w:highlight w:val="none"/>
              </w:rPr>
            </w:pPr>
            <w:r>
              <w:rPr>
                <w:color w:val="auto"/>
                <w:sz w:val="18"/>
                <w:szCs w:val="18"/>
                <w:highlight w:val="none"/>
              </w:rPr>
              <w:t>人</w:t>
            </w:r>
          </w:p>
        </w:tc>
        <w:tc>
          <w:tcPr>
            <w:tcW w:w="1124" w:type="dxa"/>
            <w:vAlign w:val="top"/>
          </w:tcPr>
          <w:p w14:paraId="6FD3BB29">
            <w:pPr>
              <w:pStyle w:val="19"/>
              <w:spacing w:before="158" w:line="180" w:lineRule="auto"/>
              <w:ind w:left="335"/>
              <w:rPr>
                <w:color w:val="auto"/>
                <w:sz w:val="18"/>
                <w:szCs w:val="18"/>
                <w:highlight w:val="none"/>
              </w:rPr>
            </w:pPr>
            <w:r>
              <w:rPr>
                <w:color w:val="auto"/>
                <w:spacing w:val="-2"/>
                <w:sz w:val="18"/>
                <w:szCs w:val="18"/>
                <w:highlight w:val="none"/>
              </w:rPr>
              <w:t>X</w:t>
            </w:r>
            <w:r>
              <w:rPr>
                <w:rFonts w:ascii="Times New Roman" w:hAnsi="Times New Roman" w:eastAsia="Times New Roman" w:cs="Times New Roman"/>
                <w:color w:val="auto"/>
                <w:spacing w:val="-2"/>
                <w:sz w:val="18"/>
                <w:szCs w:val="18"/>
                <w:highlight w:val="none"/>
              </w:rPr>
              <w:t>≥</w:t>
            </w:r>
            <w:r>
              <w:rPr>
                <w:color w:val="auto"/>
                <w:spacing w:val="-2"/>
                <w:sz w:val="18"/>
                <w:szCs w:val="18"/>
                <w:highlight w:val="none"/>
              </w:rPr>
              <w:t>300</w:t>
            </w:r>
          </w:p>
        </w:tc>
        <w:tc>
          <w:tcPr>
            <w:tcW w:w="1700" w:type="dxa"/>
            <w:vAlign w:val="top"/>
          </w:tcPr>
          <w:p w14:paraId="6A5F0218">
            <w:pPr>
              <w:pStyle w:val="19"/>
              <w:spacing w:before="129" w:line="223" w:lineRule="auto"/>
              <w:ind w:left="362"/>
              <w:rPr>
                <w:color w:val="auto"/>
                <w:sz w:val="18"/>
                <w:szCs w:val="18"/>
                <w:highlight w:val="none"/>
              </w:rPr>
            </w:pPr>
            <w:r>
              <w:rPr>
                <w:color w:val="auto"/>
                <w:spacing w:val="-3"/>
                <w:sz w:val="18"/>
                <w:szCs w:val="18"/>
                <w:highlight w:val="none"/>
              </w:rPr>
              <w:t>100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X＜300</w:t>
            </w:r>
          </w:p>
        </w:tc>
        <w:tc>
          <w:tcPr>
            <w:tcW w:w="1425" w:type="dxa"/>
            <w:vAlign w:val="top"/>
          </w:tcPr>
          <w:p w14:paraId="3D512E53">
            <w:pPr>
              <w:pStyle w:val="19"/>
              <w:spacing w:before="129" w:line="223" w:lineRule="auto"/>
              <w:ind w:left="323"/>
              <w:rPr>
                <w:color w:val="auto"/>
                <w:sz w:val="18"/>
                <w:szCs w:val="18"/>
                <w:highlight w:val="none"/>
              </w:rPr>
            </w:pPr>
            <w:r>
              <w:rPr>
                <w:color w:val="auto"/>
                <w:spacing w:val="-3"/>
                <w:sz w:val="18"/>
                <w:szCs w:val="18"/>
                <w:highlight w:val="none"/>
              </w:rPr>
              <w:t>10</w:t>
            </w:r>
            <w:r>
              <w:rPr>
                <w:rFonts w:ascii="Times New Roman" w:hAnsi="Times New Roman" w:eastAsia="Times New Roman" w:cs="Times New Roman"/>
                <w:color w:val="auto"/>
                <w:spacing w:val="-3"/>
                <w:sz w:val="18"/>
                <w:szCs w:val="18"/>
                <w:highlight w:val="none"/>
              </w:rPr>
              <w:t>≤</w:t>
            </w:r>
            <w:r>
              <w:rPr>
                <w:color w:val="auto"/>
                <w:spacing w:val="-3"/>
                <w:sz w:val="18"/>
                <w:szCs w:val="18"/>
                <w:highlight w:val="none"/>
              </w:rPr>
              <w:t>X＜100</w:t>
            </w:r>
          </w:p>
        </w:tc>
        <w:tc>
          <w:tcPr>
            <w:tcW w:w="996" w:type="dxa"/>
            <w:vAlign w:val="top"/>
          </w:tcPr>
          <w:p w14:paraId="6ADEE721">
            <w:pPr>
              <w:pStyle w:val="19"/>
              <w:spacing w:before="128"/>
              <w:ind w:left="274"/>
              <w:rPr>
                <w:color w:val="auto"/>
                <w:sz w:val="18"/>
                <w:szCs w:val="18"/>
                <w:highlight w:val="none"/>
              </w:rPr>
            </w:pPr>
            <w:r>
              <w:rPr>
                <w:color w:val="auto"/>
                <w:spacing w:val="-1"/>
                <w:sz w:val="18"/>
                <w:szCs w:val="18"/>
                <w:highlight w:val="none"/>
              </w:rPr>
              <w:t>X＜10</w:t>
            </w:r>
          </w:p>
        </w:tc>
      </w:tr>
    </w:tbl>
    <w:p w14:paraId="4B90D6DC">
      <w:pPr>
        <w:rPr>
          <w:rFonts w:ascii="Arial"/>
          <w:color w:val="auto"/>
          <w:sz w:val="21"/>
          <w:highlight w:val="none"/>
        </w:rPr>
      </w:pPr>
    </w:p>
    <w:p w14:paraId="6BC2E21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br w:type="page"/>
      </w:r>
      <w:r>
        <w:rPr>
          <w:rFonts w:hint="eastAsia" w:ascii="宋体" w:hAnsi="宋体" w:eastAsia="宋体" w:cs="宋体"/>
          <w:snapToGrid/>
          <w:color w:val="auto"/>
          <w:kern w:val="2"/>
          <w:highlight w:val="none"/>
          <w:lang w:val="en-US" w:eastAsia="zh-CN"/>
        </w:rPr>
        <w:t>说明：</w:t>
      </w:r>
    </w:p>
    <w:p w14:paraId="4A7A874B">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1.大型、中型和小型企业须同时满足所列指标的下限，否则下划一档；微型企业只须满足所列指标中的一项即可。</w:t>
      </w:r>
    </w:p>
    <w:p w14:paraId="74803A2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2.附表中各行业的范围以《国民经济行业分类》（GB/T4754-2017）为准。带*的项为行业组合类别，其中，工业包括采矿业，制造业，电力、热力、燃气及水生产和供应业； 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 以及房地产中介服务，其他房地产业等，不包括自有房地产经营活动。</w:t>
      </w:r>
    </w:p>
    <w:p w14:paraId="642222AD">
      <w:pPr>
        <w:widowControl w:val="0"/>
        <w:kinsoku/>
        <w:autoSpaceDE/>
        <w:autoSpaceDN/>
        <w:adjustRightInd/>
        <w:snapToGrid/>
        <w:spacing w:line="360" w:lineRule="auto"/>
        <w:ind w:firstLine="420" w:firstLineChars="200"/>
        <w:jc w:val="both"/>
        <w:textAlignment w:val="auto"/>
        <w:rPr>
          <w:color w:val="auto"/>
          <w:sz w:val="20"/>
          <w:szCs w:val="20"/>
          <w:highlight w:val="none"/>
        </w:rPr>
      </w:pPr>
      <w:r>
        <w:rPr>
          <w:rFonts w:hint="eastAsia" w:ascii="宋体" w:hAnsi="宋体" w:eastAsia="宋体" w:cs="宋体"/>
          <w:snapToGrid/>
          <w:color w:val="auto"/>
          <w:kern w:val="2"/>
          <w:highlight w:val="none"/>
          <w:lang w:val="en-US" w:eastAsia="zh-CN"/>
        </w:rPr>
        <w:t>3.企业划分指标以现行统计制度为准。（1）从业人员，是指期末从业人员数，没有期末从业人员数的，采用全年平均人员数代替。（2） 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074532E">
      <w:pPr>
        <w:pStyle w:val="4"/>
        <w:spacing w:before="62" w:line="218" w:lineRule="auto"/>
        <w:ind w:left="2908"/>
        <w:outlineLvl w:val="0"/>
        <w:rPr>
          <w:color w:val="auto"/>
          <w:sz w:val="31"/>
          <w:szCs w:val="31"/>
          <w:highlight w:val="none"/>
        </w:rPr>
      </w:pPr>
      <w:bookmarkStart w:id="20" w:name="bookmark5"/>
      <w:bookmarkEnd w:id="20"/>
      <w:r>
        <w:rPr>
          <w:b/>
          <w:bCs/>
          <w:color w:val="auto"/>
          <w:spacing w:val="6"/>
          <w:sz w:val="31"/>
          <w:szCs w:val="31"/>
          <w:highlight w:val="none"/>
        </w:rPr>
        <w:br w:type="page"/>
      </w:r>
      <w:bookmarkStart w:id="21" w:name="_Toc23082"/>
      <w:r>
        <w:rPr>
          <w:b/>
          <w:bCs/>
          <w:color w:val="auto"/>
          <w:spacing w:val="6"/>
          <w:sz w:val="31"/>
          <w:szCs w:val="31"/>
          <w:highlight w:val="none"/>
        </w:rPr>
        <w:t>第三章</w:t>
      </w:r>
      <w:r>
        <w:rPr>
          <w:color w:val="auto"/>
          <w:spacing w:val="6"/>
          <w:sz w:val="31"/>
          <w:szCs w:val="31"/>
          <w:highlight w:val="none"/>
        </w:rPr>
        <w:t xml:space="preserve">  </w:t>
      </w:r>
      <w:r>
        <w:rPr>
          <w:b/>
          <w:bCs/>
          <w:color w:val="auto"/>
          <w:spacing w:val="6"/>
          <w:sz w:val="31"/>
          <w:szCs w:val="31"/>
          <w:highlight w:val="none"/>
        </w:rPr>
        <w:t>投标人须知前附表</w:t>
      </w:r>
      <w:bookmarkEnd w:id="21"/>
    </w:p>
    <w:tbl>
      <w:tblPr>
        <w:tblStyle w:val="18"/>
        <w:tblW w:w="94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8494"/>
        <w:gridCol w:w="244"/>
      </w:tblGrid>
      <w:tr w14:paraId="6F2A1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24" w:type="dxa"/>
            <w:vAlign w:val="top"/>
          </w:tcPr>
          <w:p w14:paraId="347D9580">
            <w:pPr>
              <w:pStyle w:val="19"/>
              <w:spacing w:before="100" w:line="221" w:lineRule="auto"/>
              <w:ind w:left="126"/>
              <w:rPr>
                <w:color w:val="auto"/>
                <w:sz w:val="24"/>
                <w:szCs w:val="24"/>
                <w:highlight w:val="none"/>
              </w:rPr>
            </w:pPr>
            <w:r>
              <w:rPr>
                <w:color w:val="auto"/>
                <w:spacing w:val="-5"/>
                <w:sz w:val="24"/>
                <w:szCs w:val="24"/>
                <w:highlight w:val="none"/>
              </w:rPr>
              <w:t>序号</w:t>
            </w:r>
          </w:p>
        </w:tc>
        <w:tc>
          <w:tcPr>
            <w:tcW w:w="8738" w:type="dxa"/>
            <w:gridSpan w:val="2"/>
            <w:vAlign w:val="top"/>
          </w:tcPr>
          <w:p w14:paraId="7C6C9977">
            <w:pPr>
              <w:pStyle w:val="19"/>
              <w:spacing w:before="101" w:line="219" w:lineRule="auto"/>
              <w:ind w:left="3681"/>
              <w:rPr>
                <w:color w:val="auto"/>
                <w:sz w:val="24"/>
                <w:szCs w:val="24"/>
                <w:highlight w:val="none"/>
              </w:rPr>
            </w:pPr>
            <w:r>
              <w:rPr>
                <w:color w:val="auto"/>
                <w:spacing w:val="-8"/>
                <w:sz w:val="24"/>
                <w:szCs w:val="24"/>
                <w:highlight w:val="none"/>
              </w:rPr>
              <w:t>内容、要求</w:t>
            </w:r>
          </w:p>
        </w:tc>
      </w:tr>
      <w:tr w14:paraId="0EB50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724" w:type="dxa"/>
            <w:vAlign w:val="center"/>
          </w:tcPr>
          <w:p w14:paraId="04043B37">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w:t>
            </w:r>
          </w:p>
        </w:tc>
        <w:tc>
          <w:tcPr>
            <w:tcW w:w="8738" w:type="dxa"/>
            <w:gridSpan w:val="2"/>
            <w:vAlign w:val="top"/>
          </w:tcPr>
          <w:p w14:paraId="25B3EFBB">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val="en-US" w:eastAsia="zh-CN"/>
              </w:rPr>
            </w:pPr>
            <w:r>
              <w:rPr>
                <w:rFonts w:hint="eastAsia" w:ascii="宋体" w:hAnsi="宋体" w:eastAsia="宋体" w:cs="Times New Roman"/>
                <w:snapToGrid/>
                <w:color w:val="auto"/>
                <w:kern w:val="2"/>
                <w:highlight w:val="none"/>
                <w:lang w:val="en-US" w:eastAsia="zh-CN"/>
              </w:rPr>
              <w:t>项目名称：平南县上渡街道大成第二初级中学学生食堂食材采购</w:t>
            </w:r>
          </w:p>
          <w:p w14:paraId="7FD5B866">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val="en-US" w:eastAsia="zh-CN"/>
              </w:rPr>
              <w:t>项目编号：GGZC2026-G3-210202-ZYXG</w:t>
            </w:r>
          </w:p>
        </w:tc>
      </w:tr>
      <w:tr w14:paraId="4CFF7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55" w:hRule="atLeast"/>
        </w:trPr>
        <w:tc>
          <w:tcPr>
            <w:tcW w:w="724" w:type="dxa"/>
            <w:vAlign w:val="center"/>
          </w:tcPr>
          <w:p w14:paraId="2E53B862">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w:t>
            </w:r>
          </w:p>
        </w:tc>
        <w:tc>
          <w:tcPr>
            <w:tcW w:w="8738" w:type="dxa"/>
            <w:gridSpan w:val="2"/>
            <w:vAlign w:val="top"/>
          </w:tcPr>
          <w:p w14:paraId="7DF948CF">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招标代理服务费：固定采购代理收费：本项目的招标代理服务费按国家发展改革委《关于进一步放开建设项目专业服务价格的通知》发改价格[2015]299号文执行，本项目代理服务费共人民币</w:t>
            </w:r>
            <w:r>
              <w:rPr>
                <w:rFonts w:hint="eastAsia" w:ascii="宋体" w:hAnsi="宋体" w:eastAsia="宋体" w:cs="Times New Roman"/>
                <w:snapToGrid/>
                <w:color w:val="auto"/>
                <w:kern w:val="2"/>
                <w:highlight w:val="none"/>
                <w:lang w:val="en-US" w:eastAsia="zh-CN"/>
              </w:rPr>
              <w:t>肆万叁仟柒佰贰拾</w:t>
            </w:r>
            <w:r>
              <w:rPr>
                <w:rFonts w:hint="eastAsia" w:ascii="宋体" w:hAnsi="宋体" w:eastAsia="宋体" w:cs="Times New Roman"/>
                <w:snapToGrid/>
                <w:color w:val="auto"/>
                <w:kern w:val="2"/>
                <w:highlight w:val="none"/>
                <w:lang w:eastAsia="zh-CN"/>
              </w:rPr>
              <w:t>元整（¥</w:t>
            </w:r>
            <w:r>
              <w:rPr>
                <w:rFonts w:hint="eastAsia" w:ascii="宋体" w:hAnsi="宋体" w:eastAsia="宋体" w:cs="Times New Roman"/>
                <w:snapToGrid/>
                <w:color w:val="auto"/>
                <w:kern w:val="2"/>
                <w:highlight w:val="none"/>
                <w:lang w:val="en-US" w:eastAsia="zh-CN"/>
              </w:rPr>
              <w:t>43720</w:t>
            </w:r>
            <w:r>
              <w:rPr>
                <w:rFonts w:hint="eastAsia" w:ascii="宋体" w:hAnsi="宋体" w:eastAsia="宋体" w:cs="Times New Roman"/>
                <w:snapToGrid/>
                <w:color w:val="auto"/>
                <w:kern w:val="2"/>
                <w:highlight w:val="none"/>
                <w:lang w:eastAsia="zh-CN"/>
              </w:rPr>
              <w:t>.00），由中标人向招标代理机构支付。在签订合同前，中标人应向招标代理机构一次付清招标代理服务费。否则，招标代理机构将视之为违约并上报政府采购监督部门。</w:t>
            </w:r>
          </w:p>
          <w:p w14:paraId="690F5C04">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不论投标结果如何，投标人均应自行承担所有与投标有关的全部费用。</w:t>
            </w:r>
          </w:p>
          <w:p w14:paraId="6C77FE69">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采购代理服务费收款账户信息</w:t>
            </w:r>
          </w:p>
          <w:p w14:paraId="70F65443">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开户名：</w:t>
            </w:r>
            <w:r>
              <w:rPr>
                <w:rStyle w:val="20"/>
                <w:rFonts w:hint="eastAsia" w:ascii="宋体" w:hAnsi="宋体"/>
                <w:color w:val="auto"/>
                <w:szCs w:val="21"/>
                <w:highlight w:val="none"/>
                <w:lang w:eastAsia="zh-CN"/>
              </w:rPr>
              <w:t>中禹鑫工程项目管理有限公司贵港分公司</w:t>
            </w:r>
            <w:r>
              <w:rPr>
                <w:rFonts w:hint="eastAsia" w:ascii="宋体" w:hAnsi="宋体" w:eastAsia="宋体" w:cs="Times New Roman"/>
                <w:snapToGrid/>
                <w:color w:val="auto"/>
                <w:kern w:val="2"/>
                <w:highlight w:val="none"/>
                <w:lang w:eastAsia="zh-CN"/>
              </w:rPr>
              <w:t xml:space="preserve"> </w:t>
            </w:r>
          </w:p>
          <w:p w14:paraId="2E2BB480">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开户银行：</w:t>
            </w:r>
            <w:r>
              <w:rPr>
                <w:rFonts w:hint="eastAsia" w:ascii="宋体" w:hAnsi="宋体"/>
                <w:color w:val="auto"/>
                <w:szCs w:val="21"/>
                <w:highlight w:val="none"/>
                <w:lang w:val="en-US" w:eastAsia="zh-CN"/>
              </w:rPr>
              <w:t>广西贵港农村商业银行股份有限公司广场支行</w:t>
            </w:r>
            <w:r>
              <w:rPr>
                <w:rFonts w:hint="eastAsia" w:ascii="宋体" w:hAnsi="宋体" w:eastAsia="宋体" w:cs="Times New Roman"/>
                <w:snapToGrid/>
                <w:color w:val="auto"/>
                <w:kern w:val="2"/>
                <w:highlight w:val="none"/>
                <w:lang w:eastAsia="zh-CN"/>
              </w:rPr>
              <w:t xml:space="preserve"> </w:t>
            </w:r>
          </w:p>
          <w:p w14:paraId="3FC41FFE">
            <w:pPr>
              <w:widowControl w:val="0"/>
              <w:kinsoku/>
              <w:autoSpaceDE/>
              <w:autoSpaceDN/>
              <w:adjustRightInd/>
              <w:snapToGrid/>
              <w:spacing w:line="360" w:lineRule="auto"/>
              <w:ind w:firstLine="420" w:firstLineChars="200"/>
              <w:jc w:val="both"/>
              <w:textAlignment w:val="auto"/>
              <w:rPr>
                <w:rFonts w:hint="eastAsia" w:ascii="宋体" w:hAnsi="宋体" w:eastAsia="宋体" w:cs="Times New Roman"/>
                <w:snapToGrid/>
                <w:color w:val="auto"/>
                <w:kern w:val="2"/>
                <w:highlight w:val="none"/>
                <w:lang w:eastAsia="zh-CN"/>
              </w:rPr>
            </w:pPr>
            <w:r>
              <w:rPr>
                <w:rFonts w:hint="eastAsia" w:ascii="宋体" w:hAnsi="宋体" w:eastAsia="宋体" w:cs="Times New Roman"/>
                <w:snapToGrid/>
                <w:color w:val="auto"/>
                <w:kern w:val="2"/>
                <w:highlight w:val="none"/>
                <w:lang w:eastAsia="zh-CN"/>
              </w:rPr>
              <w:t>开户账号：</w:t>
            </w:r>
            <w:r>
              <w:rPr>
                <w:rStyle w:val="20"/>
                <w:rFonts w:hint="eastAsia" w:ascii="宋体" w:hAnsi="宋体"/>
                <w:color w:val="auto"/>
                <w:szCs w:val="21"/>
                <w:highlight w:val="none"/>
              </w:rPr>
              <w:t>915212010111388090</w:t>
            </w:r>
          </w:p>
        </w:tc>
      </w:tr>
      <w:tr w14:paraId="39D5A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724" w:type="dxa"/>
            <w:vAlign w:val="center"/>
          </w:tcPr>
          <w:p w14:paraId="18E920A4">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3</w:t>
            </w:r>
          </w:p>
        </w:tc>
        <w:tc>
          <w:tcPr>
            <w:tcW w:w="8738" w:type="dxa"/>
            <w:gridSpan w:val="2"/>
            <w:vAlign w:val="top"/>
          </w:tcPr>
          <w:p w14:paraId="5BB0C771">
            <w:pPr>
              <w:pStyle w:val="19"/>
              <w:spacing w:before="150" w:line="227" w:lineRule="auto"/>
              <w:ind w:left="113"/>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投标保证金（人民币）：本项目不需要缴纳投标保证金。</w:t>
            </w:r>
          </w:p>
        </w:tc>
      </w:tr>
      <w:tr w14:paraId="6F1E7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2" w:hRule="atLeast"/>
        </w:trPr>
        <w:tc>
          <w:tcPr>
            <w:tcW w:w="724" w:type="dxa"/>
            <w:vAlign w:val="center"/>
          </w:tcPr>
          <w:p w14:paraId="3B857BDF">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4</w:t>
            </w:r>
          </w:p>
        </w:tc>
        <w:tc>
          <w:tcPr>
            <w:tcW w:w="8738" w:type="dxa"/>
            <w:gridSpan w:val="2"/>
            <w:vAlign w:val="top"/>
          </w:tcPr>
          <w:p w14:paraId="08390BEE">
            <w:pPr>
              <w:pStyle w:val="19"/>
              <w:spacing w:before="142" w:line="226" w:lineRule="auto"/>
              <w:ind w:left="113"/>
              <w:rPr>
                <w:rFonts w:hint="eastAsia" w:ascii="宋体" w:hAnsi="宋体" w:eastAsia="宋体" w:cs="Times New Roman"/>
                <w:b/>
                <w:bCs/>
                <w:snapToGrid/>
                <w:color w:val="auto"/>
                <w:kern w:val="2"/>
                <w:sz w:val="21"/>
                <w:szCs w:val="21"/>
                <w:highlight w:val="none"/>
                <w:lang w:val="en-US" w:eastAsia="zh-CN" w:bidi="ar-SA"/>
              </w:rPr>
            </w:pPr>
            <w:r>
              <w:rPr>
                <w:rFonts w:hint="eastAsia" w:ascii="宋体" w:hAnsi="宋体" w:eastAsia="宋体" w:cs="Times New Roman"/>
                <w:b/>
                <w:bCs/>
                <w:snapToGrid/>
                <w:color w:val="auto"/>
                <w:kern w:val="2"/>
                <w:sz w:val="21"/>
                <w:szCs w:val="21"/>
                <w:highlight w:val="none"/>
                <w:lang w:val="en-US" w:eastAsia="zh-CN" w:bidi="ar-SA"/>
              </w:rPr>
              <w:t>投标报价要求：</w:t>
            </w:r>
          </w:p>
          <w:p w14:paraId="4C5497EF">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投标报价是履行合同的最终价格，必须包含满足本次投标全部采购需求所应提供的服务，以及伴随的货物的价格；包含投标服务、货物成本、运输（含保险）装卸、搬运、检验、保险、利润、税费、质保期售后服务、雇员费、合同实施过程中的应预见和或不可预见等费用总和。所产生的费用由中标人负责。</w:t>
            </w:r>
          </w:p>
          <w:p w14:paraId="710C900E">
            <w:pPr>
              <w:pStyle w:val="19"/>
              <w:spacing w:before="25" w:line="327" w:lineRule="auto"/>
              <w:ind w:left="111" w:right="108" w:firstLine="421"/>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2、（1）本项目投标应以价格折扣率报价（以%表示，折扣率报价精确到个位数）。投标报价范围：≤93%（如：供货产品打九折即投标折扣率为90%， 以此类推） ，否则，作无效报价处理。</w:t>
            </w:r>
          </w:p>
          <w:p w14:paraId="77C759A1">
            <w:pPr>
              <w:pStyle w:val="19"/>
              <w:spacing w:before="163" w:line="226" w:lineRule="auto"/>
              <w:ind w:firstLine="420" w:firstLineChars="200"/>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（2）报价必须含以下部分，包括：</w:t>
            </w:r>
          </w:p>
          <w:p w14:paraId="7932BA75">
            <w:pPr>
              <w:pStyle w:val="19"/>
              <w:spacing w:before="163" w:line="225" w:lineRule="auto"/>
              <w:ind w:left="529"/>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①货物、服务的价格；</w:t>
            </w:r>
          </w:p>
          <w:p w14:paraId="7A836A60">
            <w:pPr>
              <w:pStyle w:val="19"/>
              <w:spacing w:before="164" w:line="225" w:lineRule="auto"/>
              <w:ind w:left="529"/>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②必要的保险费用和各项税金；</w:t>
            </w:r>
          </w:p>
          <w:p w14:paraId="7BB37CE8">
            <w:pPr>
              <w:pStyle w:val="19"/>
              <w:spacing w:before="166" w:line="225" w:lineRule="auto"/>
              <w:ind w:left="529"/>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③包装、运输、搬运、深加工、检验检测、验收、售后服务等相关费用。</w:t>
            </w:r>
          </w:p>
          <w:p w14:paraId="13645368">
            <w:pPr>
              <w:pStyle w:val="19"/>
              <w:spacing w:before="273" w:line="321" w:lineRule="auto"/>
              <w:ind w:left="111" w:right="108" w:firstLine="9"/>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3）实际采购时，上述数量仅作投标报价使用，结算时按实际采购数量结算。采购价格约定的价格设定为X，签订的合同折扣率设定为Y%，则该原料供货单价为X×Y%（例如：市场零售价X=100元，合同折扣率Y%=90%，该原料供货单价=100×0.90=90元）。</w:t>
            </w:r>
          </w:p>
        </w:tc>
      </w:tr>
      <w:tr w14:paraId="606FF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724" w:type="dxa"/>
            <w:vAlign w:val="center"/>
          </w:tcPr>
          <w:p w14:paraId="7F7A3A90">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5</w:t>
            </w:r>
          </w:p>
        </w:tc>
        <w:tc>
          <w:tcPr>
            <w:tcW w:w="8738" w:type="dxa"/>
            <w:gridSpan w:val="2"/>
            <w:vAlign w:val="top"/>
          </w:tcPr>
          <w:p w14:paraId="57967BF9">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演示时间及地点：无</w:t>
            </w:r>
          </w:p>
        </w:tc>
      </w:tr>
      <w:tr w14:paraId="03350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0" w:hRule="atLeast"/>
        </w:trPr>
        <w:tc>
          <w:tcPr>
            <w:tcW w:w="724" w:type="dxa"/>
            <w:vAlign w:val="center"/>
          </w:tcPr>
          <w:p w14:paraId="27944851">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6</w:t>
            </w:r>
          </w:p>
        </w:tc>
        <w:tc>
          <w:tcPr>
            <w:tcW w:w="8738" w:type="dxa"/>
            <w:gridSpan w:val="2"/>
            <w:vAlign w:val="top"/>
          </w:tcPr>
          <w:p w14:paraId="3C5ACFEB">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答疑与澄清：投标人如认为招标文件表述不清晰、存在歧视性、排他性或者其他违法内容的，必须在投标截止日期至十五日前， 以书面形式要求招标采购单位作出书面解释、澄清或者向招标采购单位提出书面质疑；答疑内容是招标文件的组成部分，并将以书面形式送达所有已报名的投标人；招标采购单位可以视采购具体情况，延长投标截止时间和开标时间，但至少应当在招标文件要求提交投标文件截止时间三日前，将变更时间书面通知所有招标文件收受人，并在财政部门指定的政府采购信息发布媒体上发布变更公告。</w:t>
            </w:r>
          </w:p>
        </w:tc>
      </w:tr>
      <w:tr w14:paraId="7D8A6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22" w:hRule="atLeast"/>
        </w:trPr>
        <w:tc>
          <w:tcPr>
            <w:tcW w:w="724" w:type="dxa"/>
            <w:vAlign w:val="center"/>
          </w:tcPr>
          <w:p w14:paraId="5C4F615A">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7</w:t>
            </w:r>
          </w:p>
        </w:tc>
        <w:tc>
          <w:tcPr>
            <w:tcW w:w="8494" w:type="dxa"/>
            <w:vAlign w:val="top"/>
          </w:tcPr>
          <w:p w14:paraId="544C292C">
            <w:pPr>
              <w:pStyle w:val="19"/>
              <w:spacing w:before="48" w:line="245" w:lineRule="auto"/>
              <w:ind w:left="110" w:right="108" w:firstLine="436"/>
              <w:rPr>
                <w:rFonts w:hint="eastAsia" w:ascii="宋体" w:hAnsi="宋体" w:eastAsia="宋体" w:cs="Times New Roman"/>
                <w:b/>
                <w:bCs/>
                <w:snapToGrid/>
                <w:color w:val="auto"/>
                <w:kern w:val="2"/>
                <w:sz w:val="21"/>
                <w:szCs w:val="21"/>
                <w:highlight w:val="none"/>
                <w:lang w:val="en-US" w:eastAsia="zh-CN" w:bidi="ar-SA"/>
              </w:rPr>
            </w:pPr>
            <w:r>
              <w:rPr>
                <w:rFonts w:hint="eastAsia" w:ascii="宋体" w:hAnsi="宋体" w:eastAsia="宋体" w:cs="Times New Roman"/>
                <w:b/>
                <w:bCs/>
                <w:snapToGrid/>
                <w:color w:val="auto"/>
                <w:kern w:val="2"/>
                <w:sz w:val="21"/>
                <w:szCs w:val="21"/>
                <w:highlight w:val="none"/>
                <w:lang w:val="en-US" w:eastAsia="zh-CN" w:bidi="ar-SA"/>
              </w:rPr>
              <w:t>投标文件组成：开标一览表；投标文件（含技术、商务、报价文件） 电子版一份</w:t>
            </w:r>
          </w:p>
        </w:tc>
      </w:tr>
      <w:tr w14:paraId="45E51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683" w:hRule="atLeast"/>
        </w:trPr>
        <w:tc>
          <w:tcPr>
            <w:tcW w:w="724" w:type="dxa"/>
            <w:vAlign w:val="center"/>
          </w:tcPr>
          <w:p w14:paraId="38ECF5F5">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8</w:t>
            </w:r>
          </w:p>
        </w:tc>
        <w:tc>
          <w:tcPr>
            <w:tcW w:w="8494" w:type="dxa"/>
            <w:vAlign w:val="top"/>
          </w:tcPr>
          <w:p w14:paraId="7C3AB3DB">
            <w:pPr>
              <w:pStyle w:val="19"/>
              <w:spacing w:before="48" w:line="245" w:lineRule="auto"/>
              <w:ind w:left="110" w:right="108" w:firstLine="436"/>
              <w:rPr>
                <w:rFonts w:hint="eastAsia" w:ascii="宋体" w:hAnsi="宋体" w:eastAsia="宋体" w:cs="Times New Roman"/>
                <w:b/>
                <w:bCs/>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投标截止时间及地点：投标人应于</w:t>
            </w:r>
            <w:r>
              <w:rPr>
                <w:rFonts w:hint="eastAsia" w:ascii="宋体" w:hAnsi="宋体" w:eastAsia="宋体" w:cs="Times New Roman"/>
                <w:b/>
                <w:bCs/>
                <w:snapToGrid/>
                <w:color w:val="auto"/>
                <w:kern w:val="2"/>
                <w:sz w:val="21"/>
                <w:szCs w:val="21"/>
                <w:highlight w:val="none"/>
                <w:lang w:val="en-US" w:eastAsia="zh-CN" w:bidi="ar-SA"/>
              </w:rPr>
              <w:t xml:space="preserve"> 2026 年</w:t>
            </w:r>
            <w:r>
              <w:rPr>
                <w:rFonts w:hint="eastAsia" w:cs="Times New Roman"/>
                <w:b/>
                <w:bCs/>
                <w:snapToGrid/>
                <w:color w:val="auto"/>
                <w:kern w:val="2"/>
                <w:sz w:val="21"/>
                <w:szCs w:val="21"/>
                <w:highlight w:val="none"/>
                <w:lang w:val="en-US" w:eastAsia="zh-CN" w:bidi="ar-SA"/>
              </w:rPr>
              <w:t>8</w:t>
            </w:r>
            <w:r>
              <w:rPr>
                <w:rFonts w:hint="eastAsia" w:ascii="宋体" w:hAnsi="宋体" w:eastAsia="宋体" w:cs="Times New Roman"/>
                <w:b/>
                <w:bCs/>
                <w:snapToGrid/>
                <w:color w:val="auto"/>
                <w:kern w:val="2"/>
                <w:sz w:val="21"/>
                <w:szCs w:val="21"/>
                <w:highlight w:val="none"/>
                <w:lang w:val="en-US" w:eastAsia="zh-CN" w:bidi="ar-SA"/>
              </w:rPr>
              <w:t>月</w:t>
            </w:r>
            <w:r>
              <w:rPr>
                <w:rFonts w:hint="eastAsia" w:cs="Times New Roman"/>
                <w:b/>
                <w:bCs/>
                <w:snapToGrid/>
                <w:color w:val="auto"/>
                <w:kern w:val="2"/>
                <w:sz w:val="21"/>
                <w:szCs w:val="21"/>
                <w:highlight w:val="none"/>
                <w:lang w:val="en-US" w:eastAsia="zh-CN" w:bidi="ar-SA"/>
              </w:rPr>
              <w:t>27</w:t>
            </w:r>
            <w:r>
              <w:rPr>
                <w:rFonts w:hint="eastAsia" w:ascii="宋体" w:hAnsi="宋体" w:eastAsia="宋体" w:cs="Times New Roman"/>
                <w:b/>
                <w:bCs/>
                <w:snapToGrid/>
                <w:color w:val="auto"/>
                <w:kern w:val="2"/>
                <w:sz w:val="21"/>
                <w:szCs w:val="21"/>
                <w:highlight w:val="none"/>
                <w:lang w:val="en-US" w:eastAsia="zh-CN" w:bidi="ar-SA"/>
              </w:rPr>
              <w:t>日</w:t>
            </w:r>
            <w:r>
              <w:rPr>
                <w:rFonts w:hint="eastAsia" w:cs="Times New Roman"/>
                <w:b/>
                <w:bCs/>
                <w:snapToGrid/>
                <w:color w:val="auto"/>
                <w:kern w:val="2"/>
                <w:sz w:val="21"/>
                <w:szCs w:val="21"/>
                <w:highlight w:val="none"/>
                <w:lang w:val="en-US" w:eastAsia="zh-CN" w:bidi="ar-SA"/>
              </w:rPr>
              <w:t>15</w:t>
            </w:r>
            <w:r>
              <w:rPr>
                <w:rFonts w:hint="eastAsia" w:ascii="宋体" w:hAnsi="宋体" w:eastAsia="宋体" w:cs="Times New Roman"/>
                <w:b/>
                <w:bCs/>
                <w:snapToGrid/>
                <w:color w:val="auto"/>
                <w:kern w:val="2"/>
                <w:sz w:val="21"/>
                <w:szCs w:val="21"/>
                <w:highlight w:val="none"/>
                <w:lang w:val="en-US" w:eastAsia="zh-CN" w:bidi="ar-SA"/>
              </w:rPr>
              <w:t xml:space="preserve"> 时 </w:t>
            </w:r>
            <w:r>
              <w:rPr>
                <w:rFonts w:hint="eastAsia" w:cs="Times New Roman"/>
                <w:b/>
                <w:bCs/>
                <w:snapToGrid/>
                <w:color w:val="auto"/>
                <w:kern w:val="2"/>
                <w:sz w:val="21"/>
                <w:szCs w:val="21"/>
                <w:highlight w:val="none"/>
                <w:lang w:val="en-US" w:eastAsia="zh-CN" w:bidi="ar-SA"/>
              </w:rPr>
              <w:t>30</w:t>
            </w:r>
            <w:r>
              <w:rPr>
                <w:rFonts w:hint="eastAsia" w:ascii="宋体" w:hAnsi="宋体" w:eastAsia="宋体" w:cs="Times New Roman"/>
                <w:b/>
                <w:bCs/>
                <w:snapToGrid/>
                <w:color w:val="auto"/>
                <w:kern w:val="2"/>
                <w:sz w:val="21"/>
                <w:szCs w:val="21"/>
                <w:highlight w:val="none"/>
                <w:lang w:val="en-US" w:eastAsia="zh-CN" w:bidi="ar-SA"/>
              </w:rPr>
              <w:t xml:space="preserve"> 分</w:t>
            </w:r>
          </w:p>
          <w:p w14:paraId="39762BD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地点：通过政采云平台实行在线投标响应。</w:t>
            </w:r>
          </w:p>
        </w:tc>
      </w:tr>
      <w:tr w14:paraId="5DDBC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81" w:hRule="atLeast"/>
        </w:trPr>
        <w:tc>
          <w:tcPr>
            <w:tcW w:w="724" w:type="dxa"/>
            <w:vAlign w:val="center"/>
          </w:tcPr>
          <w:p w14:paraId="3BC50970">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9</w:t>
            </w:r>
          </w:p>
        </w:tc>
        <w:tc>
          <w:tcPr>
            <w:tcW w:w="8494" w:type="dxa"/>
            <w:vAlign w:val="top"/>
          </w:tcPr>
          <w:p w14:paraId="0EE8917E">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开标时间及地点：详见《招标公告》第四条。</w:t>
            </w:r>
          </w:p>
        </w:tc>
      </w:tr>
      <w:tr w14:paraId="475A9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22" w:hRule="atLeast"/>
        </w:trPr>
        <w:tc>
          <w:tcPr>
            <w:tcW w:w="724" w:type="dxa"/>
            <w:vAlign w:val="center"/>
          </w:tcPr>
          <w:p w14:paraId="578763CF">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10</w:t>
            </w:r>
          </w:p>
        </w:tc>
        <w:tc>
          <w:tcPr>
            <w:tcW w:w="8494" w:type="dxa"/>
            <w:vAlign w:val="top"/>
          </w:tcPr>
          <w:p w14:paraId="2730E4D1">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评标办法及评标标准：综合评分法</w:t>
            </w:r>
          </w:p>
        </w:tc>
      </w:tr>
      <w:tr w14:paraId="25059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90" w:hRule="atLeast"/>
        </w:trPr>
        <w:tc>
          <w:tcPr>
            <w:tcW w:w="724" w:type="dxa"/>
            <w:vAlign w:val="center"/>
          </w:tcPr>
          <w:p w14:paraId="3B462377">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11</w:t>
            </w:r>
          </w:p>
        </w:tc>
        <w:tc>
          <w:tcPr>
            <w:tcW w:w="8494" w:type="dxa"/>
            <w:vAlign w:val="top"/>
          </w:tcPr>
          <w:p w14:paraId="62F4269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中标公告及中标通知书：采购代理机构在采购人依法确认中标人后两个工作日内发布中标公告和中标通知书，中标公告发布于上述媒体。</w:t>
            </w:r>
          </w:p>
        </w:tc>
      </w:tr>
      <w:tr w14:paraId="69086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10" w:hRule="atLeast"/>
        </w:trPr>
        <w:tc>
          <w:tcPr>
            <w:tcW w:w="724" w:type="dxa"/>
            <w:vAlign w:val="center"/>
          </w:tcPr>
          <w:p w14:paraId="4BD2A489">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12</w:t>
            </w:r>
          </w:p>
        </w:tc>
        <w:tc>
          <w:tcPr>
            <w:tcW w:w="8494" w:type="dxa"/>
            <w:vAlign w:val="top"/>
          </w:tcPr>
          <w:p w14:paraId="3B9784DF">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签订合同时间：中标通知书发出后20日内。</w:t>
            </w:r>
          </w:p>
        </w:tc>
      </w:tr>
      <w:tr w14:paraId="6A3E4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49" w:hRule="atLeast"/>
        </w:trPr>
        <w:tc>
          <w:tcPr>
            <w:tcW w:w="724" w:type="dxa"/>
            <w:vAlign w:val="center"/>
          </w:tcPr>
          <w:p w14:paraId="2C1912FC">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13</w:t>
            </w:r>
          </w:p>
        </w:tc>
        <w:tc>
          <w:tcPr>
            <w:tcW w:w="8494" w:type="dxa"/>
            <w:vAlign w:val="top"/>
          </w:tcPr>
          <w:p w14:paraId="481A521B">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采购资金来源：其他资金。</w:t>
            </w:r>
          </w:p>
        </w:tc>
      </w:tr>
      <w:tr w14:paraId="64D96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22" w:hRule="atLeast"/>
        </w:trPr>
        <w:tc>
          <w:tcPr>
            <w:tcW w:w="724" w:type="dxa"/>
            <w:vAlign w:val="center"/>
          </w:tcPr>
          <w:p w14:paraId="636FD37E">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14</w:t>
            </w:r>
          </w:p>
        </w:tc>
        <w:tc>
          <w:tcPr>
            <w:tcW w:w="8494" w:type="dxa"/>
            <w:vAlign w:val="top"/>
          </w:tcPr>
          <w:p w14:paraId="558C81F6">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报价形式：本项目投标报价应以折扣率进行报价。</w:t>
            </w:r>
          </w:p>
        </w:tc>
      </w:tr>
      <w:tr w14:paraId="7B887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2463" w:hRule="atLeast"/>
        </w:trPr>
        <w:tc>
          <w:tcPr>
            <w:tcW w:w="724" w:type="dxa"/>
            <w:vAlign w:val="center"/>
          </w:tcPr>
          <w:p w14:paraId="2D0990F5">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15</w:t>
            </w:r>
          </w:p>
        </w:tc>
        <w:tc>
          <w:tcPr>
            <w:tcW w:w="8494" w:type="dxa"/>
            <w:vAlign w:val="top"/>
          </w:tcPr>
          <w:p w14:paraId="7C49F1B3">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本项目收取履约保证金（质保金），具体规定如下：</w:t>
            </w:r>
          </w:p>
          <w:p w14:paraId="19996386">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履约保证金（质保金）金额：中标金额2%。</w:t>
            </w:r>
          </w:p>
          <w:p w14:paraId="630A0C5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履约保证金（质保金）递交方式：银行转账。</w:t>
            </w:r>
          </w:p>
          <w:p w14:paraId="38835828">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备注：中标人在合同签订前必须向采购单位缴纳食品安全质保金中标金额2%。期间发生食品卫生安全事故，采购单位可将此笔质保金用于应急处置工作，合同期满后按实际结余额退还中标企业（不计利息）；如无安全事故，合同期满采购单位全额退还质保金给中标企业（不计利息）；如果中标企业合同期间单方面终止合同或因中标企业原因造成合同终止，双方协商一致后由采购单位退还相应额度的质保金（不计利息）。</w:t>
            </w:r>
          </w:p>
        </w:tc>
      </w:tr>
      <w:tr w14:paraId="21995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1148" w:hRule="atLeast"/>
        </w:trPr>
        <w:tc>
          <w:tcPr>
            <w:tcW w:w="724" w:type="dxa"/>
            <w:vAlign w:val="center"/>
          </w:tcPr>
          <w:p w14:paraId="5F96E229">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16</w:t>
            </w:r>
          </w:p>
        </w:tc>
        <w:tc>
          <w:tcPr>
            <w:tcW w:w="8494" w:type="dxa"/>
            <w:vAlign w:val="top"/>
          </w:tcPr>
          <w:p w14:paraId="78616A2C">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付款方式：一般情况下采购单位按月进行结算，采购资金由采购单位财务账户转入中标供应商账户。每月 25 日前，中标供应商向采购单位开具上一月度供货相应数额的发票（农副产品免税的除外），采购单位收到发票后 10 个工作日内支付。特殊情况，需临时改变结算方式，双方可通过协商解决。</w:t>
            </w:r>
          </w:p>
        </w:tc>
      </w:tr>
      <w:tr w14:paraId="798A8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73" w:hRule="atLeast"/>
        </w:trPr>
        <w:tc>
          <w:tcPr>
            <w:tcW w:w="724" w:type="dxa"/>
            <w:vAlign w:val="center"/>
          </w:tcPr>
          <w:p w14:paraId="3FCC31A7">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17</w:t>
            </w:r>
          </w:p>
        </w:tc>
        <w:tc>
          <w:tcPr>
            <w:tcW w:w="8494" w:type="dxa"/>
            <w:vAlign w:val="top"/>
          </w:tcPr>
          <w:p w14:paraId="4E2C0D6F">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投标文件有效期：90 天</w:t>
            </w:r>
          </w:p>
        </w:tc>
      </w:tr>
      <w:tr w14:paraId="60773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36" w:hRule="atLeast"/>
        </w:trPr>
        <w:tc>
          <w:tcPr>
            <w:tcW w:w="724" w:type="dxa"/>
            <w:vAlign w:val="center"/>
          </w:tcPr>
          <w:p w14:paraId="5FD8DE90">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18</w:t>
            </w:r>
          </w:p>
        </w:tc>
        <w:tc>
          <w:tcPr>
            <w:tcW w:w="8494" w:type="dxa"/>
            <w:vAlign w:val="top"/>
          </w:tcPr>
          <w:p w14:paraId="6370617A">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解释：本招标文件的解释权属于招标采购单位。</w:t>
            </w:r>
          </w:p>
        </w:tc>
      </w:tr>
      <w:tr w14:paraId="60C42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919" w:hRule="atLeast"/>
        </w:trPr>
        <w:tc>
          <w:tcPr>
            <w:tcW w:w="724" w:type="dxa"/>
            <w:vAlign w:val="center"/>
          </w:tcPr>
          <w:p w14:paraId="57AF3C0F">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19</w:t>
            </w:r>
          </w:p>
        </w:tc>
        <w:tc>
          <w:tcPr>
            <w:tcW w:w="8494" w:type="dxa"/>
            <w:vAlign w:val="top"/>
          </w:tcPr>
          <w:p w14:paraId="28C2AE17">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现场踏勘：中标后由采购单位、代理机构到现场实地勘查、硬件、软件、设施核对，如有虚假采购人有权拒签合同并取消中标资格，推荐中标后排名第一的中标候选人，以此类推，作为采购供应商。</w:t>
            </w:r>
          </w:p>
        </w:tc>
      </w:tr>
      <w:tr w14:paraId="0B728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22" w:hRule="atLeast"/>
        </w:trPr>
        <w:tc>
          <w:tcPr>
            <w:tcW w:w="724" w:type="dxa"/>
            <w:vAlign w:val="center"/>
          </w:tcPr>
          <w:p w14:paraId="1ADAA2C1">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20</w:t>
            </w:r>
          </w:p>
        </w:tc>
        <w:tc>
          <w:tcPr>
            <w:tcW w:w="8494" w:type="dxa"/>
            <w:vAlign w:val="top"/>
          </w:tcPr>
          <w:p w14:paraId="7ABDFC8E">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采购人或者采购代理机构在资格审查结束前，对投标人进行信用查询。</w:t>
            </w:r>
          </w:p>
          <w:p w14:paraId="788B630E">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查询渠道：“信用中国”网站（www.creditchina.gov.cn）、中国政府采购网（www.ccgp.gov.cn）。信用查询截止时点：资格审查结束前查询记录和证据留存方式：在查询网站中直接截图查询记录，截图作为在广西政府采购云平台（https://www.gcy.zfcg.gxzf.gov.cn/）作为附件上传保存。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4A6C6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393" w:hRule="atLeast"/>
        </w:trPr>
        <w:tc>
          <w:tcPr>
            <w:tcW w:w="724" w:type="dxa"/>
            <w:vAlign w:val="center"/>
          </w:tcPr>
          <w:p w14:paraId="7FD925FD">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21</w:t>
            </w:r>
          </w:p>
        </w:tc>
        <w:tc>
          <w:tcPr>
            <w:tcW w:w="8494" w:type="dxa"/>
            <w:vAlign w:val="top"/>
          </w:tcPr>
          <w:p w14:paraId="7D9B708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评标委员会的人数：</w:t>
            </w:r>
            <w:r>
              <w:rPr>
                <w:rFonts w:hint="eastAsia" w:ascii="宋体" w:hAnsi="宋体" w:eastAsia="宋体" w:cs="Times New Roman"/>
                <w:snapToGrid/>
                <w:color w:val="auto"/>
                <w:kern w:val="2"/>
                <w:sz w:val="21"/>
                <w:szCs w:val="21"/>
                <w:highlight w:val="none"/>
                <w:u w:val="single"/>
                <w:lang w:val="en-US" w:eastAsia="zh-CN" w:bidi="ar-SA"/>
              </w:rPr>
              <w:t xml:space="preserve">   5   </w:t>
            </w:r>
            <w:r>
              <w:rPr>
                <w:rFonts w:hint="eastAsia" w:ascii="宋体" w:hAnsi="宋体" w:eastAsia="宋体" w:cs="Times New Roman"/>
                <w:snapToGrid/>
                <w:color w:val="auto"/>
                <w:kern w:val="2"/>
                <w:sz w:val="21"/>
                <w:szCs w:val="21"/>
                <w:highlight w:val="none"/>
                <w:lang w:val="en-US" w:eastAsia="zh-CN" w:bidi="ar-SA"/>
              </w:rPr>
              <w:t>人</w:t>
            </w:r>
          </w:p>
        </w:tc>
      </w:tr>
      <w:tr w14:paraId="3C56E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725" w:hRule="atLeast"/>
        </w:trPr>
        <w:tc>
          <w:tcPr>
            <w:tcW w:w="724" w:type="dxa"/>
            <w:vAlign w:val="center"/>
          </w:tcPr>
          <w:p w14:paraId="0F296F65">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22</w:t>
            </w:r>
          </w:p>
        </w:tc>
        <w:tc>
          <w:tcPr>
            <w:tcW w:w="8494" w:type="dxa"/>
            <w:vAlign w:val="top"/>
          </w:tcPr>
          <w:p w14:paraId="690BCBCD">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商务条款评审中允许负偏离的条款数为</w:t>
            </w:r>
            <w:r>
              <w:rPr>
                <w:rFonts w:hint="eastAsia" w:ascii="宋体" w:hAnsi="宋体" w:eastAsia="宋体" w:cs="Times New Roman"/>
                <w:snapToGrid/>
                <w:color w:val="auto"/>
                <w:kern w:val="2"/>
                <w:sz w:val="21"/>
                <w:szCs w:val="21"/>
                <w:highlight w:val="none"/>
                <w:u w:val="single"/>
                <w:lang w:val="en-US" w:eastAsia="zh-CN" w:bidi="ar-SA"/>
              </w:rPr>
              <w:t xml:space="preserve">  0  </w:t>
            </w:r>
            <w:r>
              <w:rPr>
                <w:rFonts w:hint="eastAsia" w:ascii="宋体" w:hAnsi="宋体" w:eastAsia="宋体" w:cs="Times New Roman"/>
                <w:snapToGrid/>
                <w:color w:val="auto"/>
                <w:kern w:val="2"/>
                <w:sz w:val="21"/>
                <w:szCs w:val="21"/>
                <w:highlight w:val="none"/>
                <w:lang w:val="en-US" w:eastAsia="zh-CN" w:bidi="ar-SA"/>
              </w:rPr>
              <w:t>项。服务需求评审中允许负偏离的条款数为</w:t>
            </w:r>
            <w:r>
              <w:rPr>
                <w:rFonts w:hint="eastAsia" w:ascii="宋体" w:hAnsi="宋体" w:eastAsia="宋体" w:cs="Times New Roman"/>
                <w:snapToGrid/>
                <w:color w:val="auto"/>
                <w:kern w:val="2"/>
                <w:sz w:val="21"/>
                <w:szCs w:val="21"/>
                <w:highlight w:val="none"/>
                <w:u w:val="single"/>
                <w:lang w:val="en-US" w:eastAsia="zh-CN" w:bidi="ar-SA"/>
              </w:rPr>
              <w:t xml:space="preserve">  0  </w:t>
            </w:r>
            <w:r>
              <w:rPr>
                <w:rFonts w:hint="eastAsia" w:ascii="宋体" w:hAnsi="宋体" w:eastAsia="宋体" w:cs="Times New Roman"/>
                <w:snapToGrid/>
                <w:color w:val="auto"/>
                <w:kern w:val="2"/>
                <w:sz w:val="21"/>
                <w:szCs w:val="21"/>
                <w:highlight w:val="none"/>
                <w:lang w:val="en-US" w:eastAsia="zh-CN" w:bidi="ar-SA"/>
              </w:rPr>
              <w:t>项。</w:t>
            </w:r>
          </w:p>
        </w:tc>
      </w:tr>
      <w:tr w14:paraId="1A3B62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1235" w:hRule="atLeast"/>
        </w:trPr>
        <w:tc>
          <w:tcPr>
            <w:tcW w:w="724" w:type="dxa"/>
            <w:vAlign w:val="center"/>
          </w:tcPr>
          <w:p w14:paraId="398E6E32">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23</w:t>
            </w:r>
          </w:p>
        </w:tc>
        <w:tc>
          <w:tcPr>
            <w:tcW w:w="8494" w:type="dxa"/>
            <w:vAlign w:val="top"/>
          </w:tcPr>
          <w:p w14:paraId="53E0B903">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签订合同携带的资格证件：</w:t>
            </w:r>
          </w:p>
          <w:p w14:paraId="38968F57">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委托代理人负责签订合同的，须携带授权委托书及委托代理人身份证原件等其它资格证件。法定代表人（或负责人）负责签订合同的，须携带法定代表人（或负责人）身份证明原件及身份证原件等其它资格证件。</w:t>
            </w:r>
          </w:p>
        </w:tc>
      </w:tr>
      <w:tr w14:paraId="1E3C5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1444" w:hRule="atLeast"/>
        </w:trPr>
        <w:tc>
          <w:tcPr>
            <w:tcW w:w="724" w:type="dxa"/>
            <w:vAlign w:val="center"/>
          </w:tcPr>
          <w:p w14:paraId="7215F22C">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24</w:t>
            </w:r>
          </w:p>
        </w:tc>
        <w:tc>
          <w:tcPr>
            <w:tcW w:w="8494" w:type="dxa"/>
            <w:vAlign w:val="top"/>
          </w:tcPr>
          <w:p w14:paraId="7847792C">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接收质疑函方式：以书面形式</w:t>
            </w:r>
          </w:p>
          <w:p w14:paraId="4DD63A53">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质疑联系部门及联系方式：</w:t>
            </w:r>
            <w:r>
              <w:rPr>
                <w:rFonts w:hint="eastAsia" w:cs="Times New Roman"/>
                <w:snapToGrid/>
                <w:color w:val="auto"/>
                <w:kern w:val="2"/>
                <w:sz w:val="21"/>
                <w:szCs w:val="21"/>
                <w:highlight w:val="none"/>
                <w:lang w:val="en-US" w:eastAsia="zh-CN" w:bidi="ar-SA"/>
              </w:rPr>
              <w:t>中禹鑫工程项目管理有限公司</w:t>
            </w:r>
            <w:r>
              <w:rPr>
                <w:rFonts w:hint="eastAsia" w:ascii="宋体" w:hAnsi="宋体" w:eastAsia="宋体" w:cs="Times New Roman"/>
                <w:snapToGrid/>
                <w:color w:val="auto"/>
                <w:kern w:val="2"/>
                <w:sz w:val="21"/>
                <w:szCs w:val="21"/>
                <w:highlight w:val="none"/>
                <w:lang w:val="en-US" w:eastAsia="zh-CN" w:bidi="ar-SA"/>
              </w:rPr>
              <w:t>，联系电话：13417575057，通讯地址：贵港市覃塘区覃塘镇中山大道9号向南居·汉唐世家二组团8幢1层8803号。</w:t>
            </w:r>
          </w:p>
          <w:p w14:paraId="6F3C3156">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业务时间：（自然日）每天上午 8 时 00 分到 12 时 00 分，下午 3 时 00 分到 6 时 00 分。</w:t>
            </w:r>
          </w:p>
        </w:tc>
      </w:tr>
      <w:tr w14:paraId="44189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22" w:hRule="atLeast"/>
        </w:trPr>
        <w:tc>
          <w:tcPr>
            <w:tcW w:w="724" w:type="dxa"/>
            <w:vAlign w:val="center"/>
          </w:tcPr>
          <w:p w14:paraId="31DAC7CE">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25</w:t>
            </w:r>
          </w:p>
        </w:tc>
        <w:tc>
          <w:tcPr>
            <w:tcW w:w="8494" w:type="dxa"/>
            <w:vAlign w:val="top"/>
          </w:tcPr>
          <w:p w14:paraId="663457DA">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解释：本招标文件的解释权属于招标采购单位。</w:t>
            </w:r>
          </w:p>
        </w:tc>
      </w:tr>
      <w:tr w14:paraId="5FB58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1810" w:hRule="atLeast"/>
        </w:trPr>
        <w:tc>
          <w:tcPr>
            <w:tcW w:w="724" w:type="dxa"/>
            <w:vAlign w:val="center"/>
          </w:tcPr>
          <w:p w14:paraId="5BF2F4E0">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26</w:t>
            </w:r>
          </w:p>
        </w:tc>
        <w:tc>
          <w:tcPr>
            <w:tcW w:w="8494" w:type="dxa"/>
            <w:vAlign w:val="top"/>
          </w:tcPr>
          <w:p w14:paraId="68949BAB">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本招标文件中描述投标人的“公章 ”是指根据我国对公章的管理规定，用投标人法定主体行为名称制作的印章，除本招标文件有特殊规定外，投标人的财务章、部门章、分公司章、工会章、合同章、投标专用章、业务专用章等其它形式印章均不能代替公章。</w:t>
            </w:r>
          </w:p>
          <w:p w14:paraId="79850F17">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2.本招标文件中描述投标人的“签字 ”是指投标人的法定代表人（负责人）或被授权人亲自在招标文件规定签署处亲笔写上个人的名字的行为，私章、签字章、印鉴、影印等其它形式均不能代替亲笔签字。</w:t>
            </w:r>
          </w:p>
        </w:tc>
      </w:tr>
      <w:tr w14:paraId="5AA4F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244" w:type="dxa"/>
          <w:trHeight w:val="4236" w:hRule="atLeast"/>
        </w:trPr>
        <w:tc>
          <w:tcPr>
            <w:tcW w:w="724" w:type="dxa"/>
            <w:vAlign w:val="center"/>
          </w:tcPr>
          <w:p w14:paraId="3105B0B2">
            <w:pPr>
              <w:pStyle w:val="19"/>
              <w:spacing w:before="48" w:line="245" w:lineRule="auto"/>
              <w:ind w:right="108"/>
              <w:jc w:val="center"/>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27</w:t>
            </w:r>
          </w:p>
        </w:tc>
        <w:tc>
          <w:tcPr>
            <w:tcW w:w="8494" w:type="dxa"/>
            <w:vAlign w:val="top"/>
          </w:tcPr>
          <w:p w14:paraId="0FB62FAC">
            <w:pPr>
              <w:pStyle w:val="19"/>
              <w:spacing w:before="48" w:line="245" w:lineRule="auto"/>
              <w:ind w:left="110" w:right="108" w:firstLine="436"/>
              <w:rPr>
                <w:rFonts w:hint="eastAsia" w:ascii="宋体" w:hAnsi="宋体" w:eastAsia="宋体" w:cs="Times New Roman"/>
                <w:b/>
                <w:bCs/>
                <w:snapToGrid/>
                <w:color w:val="auto"/>
                <w:kern w:val="2"/>
                <w:sz w:val="21"/>
                <w:szCs w:val="21"/>
                <w:highlight w:val="none"/>
                <w:lang w:val="en-US" w:eastAsia="zh-CN" w:bidi="ar-SA"/>
              </w:rPr>
            </w:pPr>
            <w:r>
              <w:rPr>
                <w:rFonts w:hint="eastAsia" w:ascii="宋体" w:hAnsi="宋体" w:eastAsia="宋体" w:cs="Times New Roman"/>
                <w:b/>
                <w:bCs/>
                <w:snapToGrid/>
                <w:color w:val="auto"/>
                <w:kern w:val="2"/>
                <w:sz w:val="21"/>
                <w:szCs w:val="21"/>
                <w:highlight w:val="none"/>
                <w:lang w:val="en-US" w:eastAsia="zh-CN" w:bidi="ar-SA"/>
              </w:rPr>
              <w:t>投标前准备：</w:t>
            </w:r>
          </w:p>
          <w:p w14:paraId="24DCD44A">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1、本项目实行网上投标，采用电子投标文件。若投标人参与投标，自行承担投标一切费用。</w:t>
            </w:r>
          </w:p>
          <w:p w14:paraId="412F2D4E">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2、各投标人应在截标前应确保成为广西政府采购云平台正式注册入库投标人，并完成 CA 数字证书申领。因未注册入库、未办理 CA 数字证书等原因造成无法磋商或投标失败等后果由供应商自行承担。</w:t>
            </w:r>
          </w:p>
          <w:p w14:paraId="4AAC80A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3、投标人将广西政府采购云平台电子交易客户端下载、安装完成后，可通过账号密码或CA登录客户端进行投标文件制作。客户端请至网站下载专区查看，如有问题可拨打广西政府采购云平台客户服务热线 95763 进行咨询。</w:t>
            </w:r>
          </w:p>
          <w:p w14:paraId="70F489C8">
            <w:pPr>
              <w:pStyle w:val="19"/>
              <w:spacing w:before="48" w:line="245" w:lineRule="auto"/>
              <w:ind w:left="110" w:right="108" w:firstLine="436"/>
              <w:rPr>
                <w:rFonts w:hint="eastAsia" w:ascii="宋体" w:hAnsi="宋体" w:eastAsia="宋体" w:cs="Times New Roman"/>
                <w:b/>
                <w:bCs/>
                <w:snapToGrid/>
                <w:color w:val="auto"/>
                <w:kern w:val="2"/>
                <w:sz w:val="21"/>
                <w:szCs w:val="21"/>
                <w:highlight w:val="none"/>
                <w:lang w:val="en-US" w:eastAsia="zh-CN" w:bidi="ar-SA"/>
              </w:rPr>
            </w:pPr>
            <w:r>
              <w:rPr>
                <w:rFonts w:hint="eastAsia" w:ascii="宋体" w:hAnsi="宋体" w:eastAsia="宋体" w:cs="Times New Roman"/>
                <w:b/>
                <w:bCs/>
                <w:snapToGrid/>
                <w:color w:val="auto"/>
                <w:kern w:val="2"/>
                <w:sz w:val="21"/>
                <w:szCs w:val="21"/>
                <w:highlight w:val="none"/>
                <w:lang w:val="en-US" w:eastAsia="zh-CN" w:bidi="ar-SA"/>
              </w:rPr>
              <w:t>投标文件解密时间：</w:t>
            </w:r>
          </w:p>
          <w:p w14:paraId="0D0FE9B1">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r>
              <w:rPr>
                <w:rFonts w:hint="eastAsia" w:ascii="宋体" w:hAnsi="宋体" w:eastAsia="宋体" w:cs="Times New Roman"/>
                <w:snapToGrid/>
                <w:color w:val="auto"/>
                <w:kern w:val="2"/>
                <w:sz w:val="21"/>
                <w:szCs w:val="21"/>
                <w:highlight w:val="none"/>
                <w:lang w:val="en-US" w:eastAsia="zh-CN" w:bidi="ar-SA"/>
              </w:rPr>
              <w:t>截标时间后30分钟内投标人可以登录广西政府采购云平台平台，用“项目采购-开标评标”功能进行解密投标文件。若投标人应商在规定时间内无法解密或解密失败，可以以电子备份投标文件作为依据，若电子备份投标文件件与广西政府采购云平台上传的电子投标文件被识别为不一致的，以电子备份投标文件作为评审依据；投标人按时在线解密投标文件的，以在线解密的投标文件作为评审依据。若投标人在规定时间内无法解密或解密失败且未提供电子备份投标文件的，视为投标文件撤回。</w:t>
            </w:r>
          </w:p>
        </w:tc>
      </w:tr>
    </w:tbl>
    <w:p w14:paraId="594AE590">
      <w:pPr>
        <w:pStyle w:val="19"/>
        <w:spacing w:before="48" w:line="245" w:lineRule="auto"/>
        <w:ind w:left="110" w:right="108" w:firstLine="436"/>
        <w:rPr>
          <w:rFonts w:hint="eastAsia" w:ascii="宋体" w:hAnsi="宋体" w:eastAsia="宋体" w:cs="Times New Roman"/>
          <w:snapToGrid/>
          <w:color w:val="auto"/>
          <w:kern w:val="2"/>
          <w:sz w:val="21"/>
          <w:szCs w:val="21"/>
          <w:highlight w:val="none"/>
          <w:lang w:val="en-US" w:eastAsia="zh-CN" w:bidi="ar-SA"/>
        </w:rPr>
      </w:pPr>
    </w:p>
    <w:p w14:paraId="612D6F40">
      <w:pPr>
        <w:pStyle w:val="4"/>
        <w:spacing w:before="48" w:line="220" w:lineRule="auto"/>
        <w:ind w:left="5"/>
        <w:rPr>
          <w:color w:val="auto"/>
          <w:sz w:val="24"/>
          <w:szCs w:val="24"/>
          <w:highlight w:val="none"/>
        </w:rPr>
      </w:pPr>
      <w:r>
        <w:rPr>
          <w:b/>
          <w:bCs/>
          <w:color w:val="auto"/>
          <w:spacing w:val="-12"/>
          <w:sz w:val="24"/>
          <w:szCs w:val="24"/>
          <w:highlight w:val="none"/>
        </w:rPr>
        <w:br w:type="page"/>
      </w:r>
      <w:r>
        <w:rPr>
          <w:b/>
          <w:bCs/>
          <w:color w:val="auto"/>
          <w:spacing w:val="-12"/>
          <w:sz w:val="24"/>
          <w:szCs w:val="24"/>
          <w:highlight w:val="none"/>
        </w:rPr>
        <w:t>一</w:t>
      </w:r>
      <w:r>
        <w:rPr>
          <w:color w:val="auto"/>
          <w:spacing w:val="-94"/>
          <w:sz w:val="24"/>
          <w:szCs w:val="24"/>
          <w:highlight w:val="none"/>
        </w:rPr>
        <w:t xml:space="preserve"> </w:t>
      </w:r>
      <w:r>
        <w:rPr>
          <w:b/>
          <w:bCs/>
          <w:color w:val="auto"/>
          <w:spacing w:val="-12"/>
          <w:sz w:val="24"/>
          <w:szCs w:val="24"/>
          <w:highlight w:val="none"/>
        </w:rPr>
        <w:t>、总</w:t>
      </w:r>
      <w:r>
        <w:rPr>
          <w:color w:val="auto"/>
          <w:spacing w:val="8"/>
          <w:sz w:val="24"/>
          <w:szCs w:val="24"/>
          <w:highlight w:val="none"/>
        </w:rPr>
        <w:t xml:space="preserve">  </w:t>
      </w:r>
      <w:r>
        <w:rPr>
          <w:b/>
          <w:bCs/>
          <w:color w:val="auto"/>
          <w:spacing w:val="-12"/>
          <w:sz w:val="24"/>
          <w:szCs w:val="24"/>
          <w:highlight w:val="none"/>
        </w:rPr>
        <w:t>则</w:t>
      </w:r>
    </w:p>
    <w:p w14:paraId="12D8D2BC">
      <w:pPr>
        <w:widowControl w:val="0"/>
        <w:kinsoku/>
        <w:autoSpaceDE/>
        <w:autoSpaceDN/>
        <w:adjustRightInd/>
        <w:snapToGrid/>
        <w:spacing w:line="360" w:lineRule="auto"/>
        <w:ind w:firstLine="422"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（一）适用范围</w:t>
      </w:r>
    </w:p>
    <w:p w14:paraId="203BC3E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本招标文件适用于平南县上渡街道大成第二初级中学组织的平南县上渡街道大成第二初级中学学生食堂食材采购招标、投标、评标、定标、验收、合同履约、付款等行为（法律、法规另有规定的，从其规定）。</w:t>
      </w:r>
    </w:p>
    <w:p w14:paraId="47B0DEC6">
      <w:pPr>
        <w:widowControl w:val="0"/>
        <w:kinsoku/>
        <w:autoSpaceDE/>
        <w:autoSpaceDN/>
        <w:adjustRightInd/>
        <w:snapToGrid/>
        <w:spacing w:line="360" w:lineRule="auto"/>
        <w:ind w:firstLine="422"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（二）定义</w:t>
      </w:r>
    </w:p>
    <w:p w14:paraId="7F81348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1、招标采购单位系指组织本次招标的采购人及采购代理机构。</w:t>
      </w:r>
    </w:p>
    <w:p w14:paraId="73D5FDC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2、“投标人”系指向招标方提交投标文件的单位或自然人。</w:t>
      </w:r>
    </w:p>
    <w:p w14:paraId="4932A54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3、“产品 ”系指供方按招标文件规定，须向采购人提供的一切设备、保险、税金、备品备件、工具、手册及其它有关技术资料和材料。</w:t>
      </w:r>
    </w:p>
    <w:p w14:paraId="0F7EAE14">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4、“服务 ”系指招标文件规定投标人须承担的安装、调试、技术协助、校准、培训、技术指导以及其他类似的义务。</w:t>
      </w:r>
    </w:p>
    <w:p w14:paraId="2BD25ADE">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5、“项目”系指投标人按招标文件规定向采购人提供的产品和服务。</w:t>
      </w:r>
    </w:p>
    <w:p w14:paraId="37113AB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6、“书面形式”包括信函、传真、电报等。</w:t>
      </w:r>
    </w:p>
    <w:p w14:paraId="23CBF77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7、“▲”系指实质性要求条款。</w:t>
      </w:r>
    </w:p>
    <w:p w14:paraId="3BDA15BF">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（三）招标方式</w:t>
      </w:r>
    </w:p>
    <w:p w14:paraId="10299A4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公开招标方式。</w:t>
      </w:r>
    </w:p>
    <w:p w14:paraId="52B22509">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（四）投标委托</w:t>
      </w:r>
    </w:p>
    <w:p w14:paraId="71C08B1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递交投标文件时，投标人代表须携带有效身份证件。如投标人代表不是法定代表人，须有法定代表人出具的授权委托书（正本用原件，副本用复印件，格式见第四部分）。</w:t>
      </w:r>
    </w:p>
    <w:p w14:paraId="57398EB9">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（五）投标费用</w:t>
      </w:r>
    </w:p>
    <w:p w14:paraId="2FB0447A">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投标人均应自行承担所有与投标有关的全部费用（招标文件有相关的规定除外）。</w:t>
      </w:r>
    </w:p>
    <w:p w14:paraId="295F72C6">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（六）联合体投标</w:t>
      </w:r>
    </w:p>
    <w:p w14:paraId="4A570DF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本项目不接受联合体投标。</w:t>
      </w:r>
    </w:p>
    <w:p w14:paraId="4B327FAF">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（七）转包与分包</w:t>
      </w:r>
    </w:p>
    <w:p w14:paraId="251B012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1.本项目不允许转包。</w:t>
      </w:r>
    </w:p>
    <w:p w14:paraId="58F9C83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2.本项目不可以分包。</w:t>
      </w:r>
    </w:p>
    <w:p w14:paraId="2BE2C5D7">
      <w:pPr>
        <w:widowControl w:val="0"/>
        <w:kinsoku/>
        <w:autoSpaceDE/>
        <w:autoSpaceDN/>
        <w:adjustRightInd/>
        <w:snapToGrid/>
        <w:spacing w:line="360" w:lineRule="auto"/>
        <w:ind w:firstLine="422"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（八）特别说明：</w:t>
      </w:r>
    </w:p>
    <w:p w14:paraId="2A2EE067">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▲1.投标人投标所使用的资格、信誉、荣誉、业绩与企业认证必须为本法人所拥有。投标人投标所使用的采购项目实施人员必须为本法人或控股公司员工。</w:t>
      </w:r>
    </w:p>
    <w:p w14:paraId="3B807391">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▲2.投标人应仔细阅读招标文件的所有内容，按照招标文件的要求提交投标文件，并对所提供的全部资料的真实性承担法律责任。</w:t>
      </w:r>
    </w:p>
    <w:p w14:paraId="21C8E0D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▲3.投标人在投标活动中提供任何虚假材料，其投标无效，并报监管部门查处；中标后发现的，中标供应商须依照《中华人民共和国消费者权益保护法》第 49 条之规定双倍赔偿采购人，且民事赔偿并不免除违法投标人的行政与刑事责任。</w:t>
      </w:r>
    </w:p>
    <w:p w14:paraId="3EF0A686">
      <w:pPr>
        <w:pStyle w:val="3"/>
        <w:spacing w:line="360" w:lineRule="auto"/>
        <w:rPr>
          <w:color w:val="auto"/>
          <w:highlight w:val="none"/>
        </w:rPr>
      </w:pPr>
      <w:r>
        <w:rPr>
          <w:rFonts w:hint="eastAsia" w:ascii="宋体" w:hAnsi="宋体" w:eastAsia="宋体" w:cs="宋体"/>
          <w:snapToGrid/>
          <w:color w:val="auto"/>
          <w:kern w:val="2"/>
          <w:highlight w:val="none"/>
          <w:lang w:val="en-US" w:eastAsia="zh-CN"/>
        </w:rPr>
        <w:t>▲4.</w:t>
      </w:r>
      <w:r>
        <w:rPr>
          <w:rFonts w:hint="eastAsia"/>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FA7CEC">
      <w:pPr>
        <w:pStyle w:val="3"/>
        <w:spacing w:line="360" w:lineRule="auto"/>
        <w:rPr>
          <w:color w:val="auto"/>
          <w:highlight w:val="none"/>
        </w:rPr>
      </w:pPr>
      <w:r>
        <w:rPr>
          <w:rFonts w:hint="eastAsia"/>
          <w:color w:val="auto"/>
          <w:highlight w:val="none"/>
        </w:rPr>
        <w:t>产品在中国境内生产的组件成本占比应当达到规定比例，计算公式为：</w:t>
      </w:r>
    </w:p>
    <w:p w14:paraId="1F39CCC1">
      <w:pPr>
        <w:widowControl/>
        <w:shd w:val="clear" w:color="auto" w:fill="FFFFFF"/>
        <w:spacing w:before="30" w:after="30" w:line="360" w:lineRule="auto"/>
        <w:jc w:val="center"/>
        <w:rPr>
          <w:rFonts w:hint="eastAsia" w:ascii="宋体" w:hAnsi="宋体" w:cs="宋体"/>
          <w:color w:val="auto"/>
          <w:kern w:val="0"/>
          <w:sz w:val="24"/>
          <w:highlight w:val="none"/>
        </w:rPr>
      </w:pPr>
      <w:r>
        <w:rPr>
          <w:rFonts w:ascii="宋体" w:hAnsi="宋体" w:cs="宋体"/>
          <w:color w:val="auto"/>
          <w:kern w:val="0"/>
          <w:sz w:val="24"/>
          <w:highlight w:val="none"/>
        </w:rPr>
        <w:drawing>
          <wp:inline distT="0" distB="0" distL="114300" distR="114300">
            <wp:extent cx="4827905" cy="762635"/>
            <wp:effectExtent l="0" t="0" r="10795" b="12065"/>
            <wp:docPr id="9"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s://www.gov.cn/zhengce/content/202509/W020250930645245947614.png"/>
                    <pic:cNvPicPr>
                      <a:picLocks noChangeAspect="1"/>
                    </pic:cNvPicPr>
                  </pic:nvPicPr>
                  <pic:blipFill>
                    <a:blip r:embed="rId10" r:link="rId11"/>
                    <a:stretch>
                      <a:fillRect/>
                    </a:stretch>
                  </pic:blipFill>
                  <pic:spPr>
                    <a:xfrm>
                      <a:off x="0" y="0"/>
                      <a:ext cx="4827905" cy="762635"/>
                    </a:xfrm>
                    <a:prstGeom prst="rect">
                      <a:avLst/>
                    </a:prstGeom>
                    <a:noFill/>
                    <a:ln>
                      <a:noFill/>
                    </a:ln>
                  </pic:spPr>
                </pic:pic>
              </a:graphicData>
            </a:graphic>
          </wp:inline>
        </w:drawing>
      </w:r>
    </w:p>
    <w:p w14:paraId="27EB909D">
      <w:pPr>
        <w:pStyle w:val="3"/>
        <w:spacing w:line="360" w:lineRule="auto"/>
        <w:rPr>
          <w:rFonts w:hint="eastAsia"/>
          <w:color w:val="auto"/>
          <w:highlight w:val="none"/>
        </w:rPr>
      </w:pPr>
      <w:r>
        <w:rPr>
          <w:rFonts w:hint="eastAsia"/>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3F0A58E6">
      <w:pPr>
        <w:pStyle w:val="3"/>
        <w:spacing w:line="360" w:lineRule="auto"/>
        <w:rPr>
          <w:color w:val="auto"/>
          <w:highlight w:val="none"/>
        </w:rPr>
      </w:pPr>
      <w:r>
        <w:rPr>
          <w:rFonts w:hint="eastAsia"/>
          <w:color w:val="auto"/>
          <w:highlight w:val="none"/>
        </w:rPr>
        <w:t>政府采购活动中既有本国产品又有非本国产品参与竞争的，依法对本国产品给予价格评审优惠，对本国产品的报价给予20%的价格扣除，用扣除后的价格参与评审。</w:t>
      </w:r>
    </w:p>
    <w:p w14:paraId="7DB294BE">
      <w:pPr>
        <w:pStyle w:val="3"/>
        <w:spacing w:line="360" w:lineRule="auto"/>
        <w:rPr>
          <w:rFonts w:hint="eastAsia" w:ascii="宋体" w:hAnsi="宋体" w:eastAsia="宋体" w:cs="宋体"/>
          <w:snapToGrid/>
          <w:color w:val="auto"/>
          <w:kern w:val="2"/>
          <w:highlight w:val="none"/>
          <w:lang w:val="en-US" w:eastAsia="zh-CN"/>
        </w:rPr>
      </w:pPr>
      <w:r>
        <w:rPr>
          <w:rFonts w:hint="eastAsia"/>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CA0C923">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5.投标截止时间结束后，参加投标的供应商不足三家或开标后参加投标的供应商不足三家的，将依据中华人民共和国财政部第 18 号令《政府采购货物和服务招标投标管理办法》第四十三条规定处理。</w:t>
      </w:r>
    </w:p>
    <w:p w14:paraId="5356399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6.在评标期间，出现符合专业条件的供应商或者对招标文件作出实质响应的供应商不足三家时，将依据中华人民共和国财政部第 18 号令《政府采购货物和服务招标投标管理办法》第四十三条规定处理。</w:t>
      </w:r>
    </w:p>
    <w:p w14:paraId="306E631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7.中小微型企业参加投标的，按财政部《关于印发〈政府采购促进中小企业发展管理办法〉的通知》</w:t>
      </w:r>
    </w:p>
    <w:p w14:paraId="49E2EEE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（财库【2020】46 号文）文件规定执行。</w:t>
      </w:r>
    </w:p>
    <w:p w14:paraId="00D5B69C">
      <w:pPr>
        <w:widowControl w:val="0"/>
        <w:kinsoku/>
        <w:autoSpaceDE/>
        <w:autoSpaceDN/>
        <w:adjustRightInd/>
        <w:snapToGrid/>
        <w:spacing w:line="360" w:lineRule="auto"/>
        <w:ind w:firstLine="422" w:firstLineChars="200"/>
        <w:jc w:val="both"/>
        <w:textAlignment w:val="auto"/>
        <w:rPr>
          <w:rFonts w:hint="eastAsia" w:ascii="宋体" w:hAnsi="宋体" w:eastAsia="宋体" w:cs="宋体"/>
          <w:b/>
          <w:bCs/>
          <w:snapToGrid/>
          <w:color w:val="auto"/>
          <w:kern w:val="2"/>
          <w:highlight w:val="none"/>
          <w:lang w:val="en-US" w:eastAsia="zh-CN"/>
        </w:rPr>
      </w:pPr>
      <w:r>
        <w:rPr>
          <w:rFonts w:hint="eastAsia" w:ascii="宋体" w:hAnsi="宋体" w:eastAsia="宋体" w:cs="宋体"/>
          <w:b/>
          <w:bCs/>
          <w:snapToGrid/>
          <w:color w:val="auto"/>
          <w:kern w:val="2"/>
          <w:highlight w:val="none"/>
          <w:lang w:val="en-US" w:eastAsia="zh-CN"/>
        </w:rPr>
        <w:t>（九）质疑和投诉</w:t>
      </w:r>
    </w:p>
    <w:p w14:paraId="41501D5F">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1.质疑</w:t>
      </w:r>
    </w:p>
    <w:p w14:paraId="58336858">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1.1 投标人认为招标文件、招标过程和中标结果使自己的权益受到损害的，可以在知道或者应知其权益受到损害之日起七个工作日内，依照《广西壮族自治区政府采购供应商质疑处理办法》（桂财采[2006]11号文）规定， 以书面形式向采购代理机构或采购人提出质疑并及时索要书面回执。</w:t>
      </w:r>
    </w:p>
    <w:p w14:paraId="4B7B9082">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1.2 采购代理机构应当依照 1.1 项的规定就采购人委托授权范围内的事项在收到投标人的书面质疑后七个工作日内做出答复，但答复的内容不得涉及商业秘密。</w:t>
      </w:r>
    </w:p>
    <w:p w14:paraId="11BECEA5">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1.3 如不按规定质疑或投诉的，视为无效，不予受理。</w:t>
      </w:r>
    </w:p>
    <w:p w14:paraId="1078B3CC">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1.4 质疑书的要求</w:t>
      </w:r>
    </w:p>
    <w:p w14:paraId="792E9A16">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1.4.1 质疑人提供的书面材料（如材料中有外文资料应同时附上中文译本）应当包括以下内容：质疑人的单位名称或姓名、详细地址、邮政编码、联系电话等；被质疑人的单位名称或姓名等；权益受到损害的事实及理由；有关违纪违规的情况和有效证明材料；质疑人的签章及质疑时间；质疑书应当署名，质疑供应商为自然人的，应当由本人签字；质疑供应商为法人或者其他组织的，应当由法定代表人或者主要负责人签字并加盖公章；质疑供应商可以委托代理人办理质疑事务，代理人办理质疑事务时，除提交质疑书外，还应当提交质疑供应商的授权委托书，授权委托书应当载明委托代理的具体权限和事项。如不按上述规定质疑的，视为无效质疑，不予受理。</w:t>
      </w:r>
    </w:p>
    <w:p w14:paraId="7551ED0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2.投诉</w:t>
      </w:r>
    </w:p>
    <w:p w14:paraId="79CA4300">
      <w:pPr>
        <w:widowControl w:val="0"/>
        <w:kinsoku/>
        <w:autoSpaceDE/>
        <w:autoSpaceDN/>
        <w:adjustRightInd/>
        <w:snapToGrid/>
        <w:spacing w:line="360" w:lineRule="auto"/>
        <w:ind w:firstLine="420" w:firstLineChars="200"/>
        <w:jc w:val="both"/>
        <w:textAlignment w:val="auto"/>
        <w:rPr>
          <w:rFonts w:hint="eastAsia" w:ascii="宋体" w:hAnsi="宋体" w:eastAsia="宋体" w:cs="宋体"/>
          <w:snapToGrid/>
          <w:color w:val="auto"/>
          <w:kern w:val="2"/>
          <w:highlight w:val="none"/>
          <w:lang w:val="en-US" w:eastAsia="zh-CN"/>
        </w:rPr>
      </w:pPr>
      <w:r>
        <w:rPr>
          <w:rFonts w:hint="eastAsia" w:ascii="宋体" w:hAnsi="宋体" w:eastAsia="宋体" w:cs="宋体"/>
          <w:snapToGrid/>
          <w:color w:val="auto"/>
          <w:kern w:val="2"/>
          <w:highlight w:val="none"/>
          <w:lang w:val="en-US" w:eastAsia="zh-CN"/>
        </w:rPr>
        <w:t>2.1 投诉人必须首先经过质疑程序，在对采购代理机构的答复不满意或者采购代理机构未在规定的时间内做出答复的，可以在答复期满后十五个工作日内按《政府采购供应商投诉处理办法》（中华人民共和国财政部第 20 号令）及向平南县政府采购监督管理部门投诉。</w:t>
      </w:r>
    </w:p>
    <w:p w14:paraId="4F00FD03">
      <w:pPr>
        <w:widowControl w:val="0"/>
        <w:kinsoku/>
        <w:autoSpaceDE/>
        <w:autoSpaceDN/>
        <w:adjustRightInd/>
        <w:snapToGrid/>
        <w:spacing w:line="360" w:lineRule="auto"/>
        <w:ind w:firstLine="420" w:firstLineChars="200"/>
        <w:jc w:val="both"/>
        <w:textAlignment w:val="auto"/>
        <w:rPr>
          <w:rFonts w:ascii="宋体" w:hAnsi="宋体" w:eastAsia="宋体" w:cs="宋体"/>
          <w:color w:val="auto"/>
          <w:spacing w:val="10"/>
          <w:sz w:val="20"/>
          <w:szCs w:val="20"/>
          <w:highlight w:val="none"/>
        </w:rPr>
      </w:pPr>
      <w:r>
        <w:rPr>
          <w:rFonts w:hint="eastAsia" w:ascii="宋体" w:hAnsi="宋体" w:eastAsia="宋体" w:cs="宋体"/>
          <w:snapToGrid/>
          <w:color w:val="auto"/>
          <w:kern w:val="2"/>
          <w:highlight w:val="none"/>
          <w:lang w:val="en-US" w:eastAsia="zh-CN"/>
        </w:rPr>
        <w:t>2.2 政府采购监督管理部门在处理投诉事项期间，可以视具体情况书面通知采购人暂停采购活动。</w:t>
      </w:r>
    </w:p>
    <w:p w14:paraId="6A47B1E7">
      <w:pPr>
        <w:pStyle w:val="4"/>
        <w:spacing w:before="192" w:line="228" w:lineRule="auto"/>
        <w:ind w:left="426"/>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二、招标文件</w:t>
      </w:r>
    </w:p>
    <w:p w14:paraId="4F8024F8">
      <w:pPr>
        <w:pStyle w:val="4"/>
        <w:spacing w:before="192" w:line="227" w:lineRule="auto"/>
        <w:ind w:left="433"/>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（一）招标文件的构成。本招标文件由以下部份组成：</w:t>
      </w:r>
    </w:p>
    <w:p w14:paraId="7E1CBD4E">
      <w:pPr>
        <w:pStyle w:val="4"/>
        <w:spacing w:before="196" w:line="226" w:lineRule="auto"/>
        <w:ind w:left="44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1.公开招标公告；</w:t>
      </w:r>
    </w:p>
    <w:p w14:paraId="7A5B4970">
      <w:pPr>
        <w:pStyle w:val="4"/>
        <w:spacing w:before="194" w:line="391" w:lineRule="auto"/>
        <w:ind w:left="433" w:right="7240" w:hanging="1"/>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2.招标项目采购需求； 3.投标人须知；</w:t>
      </w:r>
    </w:p>
    <w:p w14:paraId="75FA4EC5">
      <w:pPr>
        <w:pStyle w:val="4"/>
        <w:spacing w:before="33" w:line="391" w:lineRule="auto"/>
        <w:ind w:left="434" w:right="7031" w:hanging="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4.评标办法及评分标准； 5.合同主要条款格式；</w:t>
      </w:r>
    </w:p>
    <w:p w14:paraId="733E7733">
      <w:pPr>
        <w:pStyle w:val="4"/>
        <w:spacing w:before="31" w:line="228" w:lineRule="auto"/>
        <w:ind w:left="431"/>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6.投标文件格式。</w:t>
      </w:r>
    </w:p>
    <w:p w14:paraId="1B607674">
      <w:pPr>
        <w:pStyle w:val="4"/>
        <w:spacing w:before="66" w:line="228" w:lineRule="auto"/>
        <w:ind w:left="433"/>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（二）投标人的风险</w:t>
      </w:r>
    </w:p>
    <w:p w14:paraId="76DB14E2">
      <w:pPr>
        <w:pStyle w:val="4"/>
        <w:spacing w:before="191" w:line="391" w:lineRule="auto"/>
        <w:ind w:left="12" w:right="70" w:firstLine="42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投标人没有按照招标文件要求提供全部资料，或者投标人没有对招标文件在各方面作出实质性响应是投标人的风险，并可能导致其投标被拒绝。</w:t>
      </w:r>
    </w:p>
    <w:p w14:paraId="4BBDACA6">
      <w:pPr>
        <w:pStyle w:val="4"/>
        <w:spacing w:before="154" w:line="228" w:lineRule="auto"/>
        <w:ind w:left="329"/>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（三）招标文件的澄清与修改</w:t>
      </w:r>
    </w:p>
    <w:p w14:paraId="6CCCFDF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 投标人如认为招标文件表述不清晰、存在歧视性、排他性或者其他违法内容的，应当于收到采购文件之日或者采购文件公告期限届满之日起 7 个工作日内， 以书面形式要求招标采购单位作出书面解释、澄清或者向招标采购单位提出书面质疑；答疑内容是招标文件的组成部份，并将以书面形式送达所有已购买招标文件的投标人；招标采购单位可以视采购具体情况，延长投标截止时间和开标时间，但至少应当在招标文件要求提交投标文件的截止时间三日前，将变更时间书面通知所有招标文件收受人，并在财政部门指定的政府采购信息发布媒体上发布变更公告。</w:t>
      </w:r>
    </w:p>
    <w:p w14:paraId="58E578B3">
      <w:pPr>
        <w:pStyle w:val="4"/>
        <w:spacing w:before="154" w:line="297" w:lineRule="auto"/>
        <w:ind w:left="10" w:right="71" w:firstLine="422"/>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 采购代理机构必须以书面形式答复投标人要求澄清的问题，并将不包含问题来源的答复书面通知所有购买招标文件的投标人；除书面答复以外的其他澄清方式及澄清内容均无效。</w:t>
      </w:r>
    </w:p>
    <w:p w14:paraId="6DBC6EF4">
      <w:pPr>
        <w:pStyle w:val="4"/>
        <w:spacing w:before="153" w:line="296" w:lineRule="auto"/>
        <w:ind w:left="10" w:firstLine="424"/>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 招标文件澄清、答复、修改、补充的内容为招标文件的组成部分。当招标文件与招标文件的答复、澄清、修改、补充通知就同一内容的表述不一致时，以最后发出的书面文件为准。</w:t>
      </w:r>
    </w:p>
    <w:p w14:paraId="476970C0">
      <w:pPr>
        <w:pStyle w:val="4"/>
        <w:spacing w:before="153" w:line="297" w:lineRule="auto"/>
        <w:ind w:left="10" w:right="71" w:firstLine="418"/>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 招标文件的澄清、答复、修改或补充都应该通过本采购代理机构以法定形式发布，采购人非通过本机构，不得擅自澄清、答复、修改或补充招标文件。</w:t>
      </w:r>
    </w:p>
    <w:p w14:paraId="51F1BB8B">
      <w:pPr>
        <w:pStyle w:val="4"/>
        <w:spacing w:before="151" w:line="321" w:lineRule="auto"/>
        <w:ind w:left="10" w:right="70" w:firstLine="424"/>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 采购人可以视采购具体情况，延长投标截止时间和开标时间，但至少应当在招标文件要求提交投标文件的截止时间三日前将变更时间书面通知所有招标文件收受人，并在财政部门指定的政府采购信息发布媒体上发布变更公告。</w:t>
      </w:r>
    </w:p>
    <w:p w14:paraId="740FC481">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三、投标文件的编制</w:t>
      </w:r>
    </w:p>
    <w:p w14:paraId="2591A6E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（一）、本项目实行电子投标，投标人准备电子投标文件。</w:t>
      </w:r>
    </w:p>
    <w:p w14:paraId="72970B2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1、电子投标文件按政采云平台要求及本公开招标文件要求制作、加密并递交。具体操作流程可参考《政府采购项目电子交易管理操作指南-供应商》，指南可在“</w:t>
      </w:r>
      <w:r>
        <w:rPr>
          <w:rFonts w:hint="eastAsia" w:ascii="宋体" w:hAnsi="宋体" w:eastAsia="宋体" w:cs="宋体"/>
          <w:snapToGrid/>
          <w:color w:val="auto"/>
          <w:kern w:val="2"/>
          <w:sz w:val="21"/>
          <w:szCs w:val="21"/>
          <w:highlight w:val="none"/>
          <w:lang w:val="en-US" w:eastAsia="zh-CN" w:bidi="ar-SA"/>
        </w:rPr>
        <w:fldChar w:fldCharType="begin"/>
      </w:r>
      <w:r>
        <w:rPr>
          <w:rFonts w:hint="eastAsia" w:ascii="宋体" w:hAnsi="宋体" w:eastAsia="宋体" w:cs="宋体"/>
          <w:snapToGrid/>
          <w:color w:val="auto"/>
          <w:kern w:val="2"/>
          <w:sz w:val="21"/>
          <w:szCs w:val="21"/>
          <w:highlight w:val="none"/>
          <w:lang w:val="en-US" w:eastAsia="zh-CN" w:bidi="ar-SA"/>
        </w:rPr>
        <w:instrText xml:space="preserve"> HYPERLINK "http://www.ccgp-guangxi.gov.cn/PurchaseAdvisory/ImportantNotice/2866753.html" </w:instrText>
      </w:r>
      <w:r>
        <w:rPr>
          <w:rFonts w:hint="eastAsia" w:ascii="宋体" w:hAnsi="宋体" w:eastAsia="宋体" w:cs="宋体"/>
          <w:snapToGrid/>
          <w:color w:val="auto"/>
          <w:kern w:val="2"/>
          <w:sz w:val="21"/>
          <w:szCs w:val="21"/>
          <w:highlight w:val="none"/>
          <w:lang w:val="en-US" w:eastAsia="zh-CN" w:bidi="ar-SA"/>
        </w:rPr>
        <w:fldChar w:fldCharType="separate"/>
      </w:r>
      <w:r>
        <w:rPr>
          <w:rFonts w:hint="eastAsia" w:ascii="宋体" w:hAnsi="宋体" w:eastAsia="宋体" w:cs="宋体"/>
          <w:snapToGrid/>
          <w:color w:val="auto"/>
          <w:kern w:val="2"/>
          <w:sz w:val="21"/>
          <w:szCs w:val="21"/>
          <w:highlight w:val="none"/>
          <w:lang w:val="en-US" w:eastAsia="zh-CN" w:bidi="ar-SA"/>
        </w:rPr>
        <w:t>http://www.ccgp-guangxi.gov.cn/PurchaseAdvisory/ImportantNotice/2866753.html</w:t>
      </w:r>
      <w:r>
        <w:rPr>
          <w:rFonts w:hint="eastAsia" w:ascii="宋体" w:hAnsi="宋体" w:eastAsia="宋体" w:cs="宋体"/>
          <w:snapToGrid/>
          <w:color w:val="auto"/>
          <w:kern w:val="2"/>
          <w:sz w:val="21"/>
          <w:szCs w:val="21"/>
          <w:highlight w:val="none"/>
          <w:lang w:val="en-US" w:eastAsia="zh-CN" w:bidi="ar-SA"/>
        </w:rPr>
        <w:fldChar w:fldCharType="end"/>
      </w:r>
      <w:r>
        <w:rPr>
          <w:rFonts w:hint="eastAsia" w:ascii="宋体" w:hAnsi="宋体" w:eastAsia="宋体" w:cs="宋体"/>
          <w:snapToGrid/>
          <w:color w:val="auto"/>
          <w:kern w:val="2"/>
          <w:sz w:val="21"/>
          <w:szCs w:val="21"/>
          <w:highlight w:val="none"/>
          <w:lang w:val="en-US" w:eastAsia="zh-CN" w:bidi="ar-SA"/>
        </w:rPr>
        <w:t>”下载。</w:t>
      </w:r>
    </w:p>
    <w:p w14:paraId="1A166B3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文件启用顺序和效力：投标文件的启用，按先后顺位分别为电子投标文件、电子备份投标文件。若投标在规定时间内无法解密或解密失败，可以以电子备份投标文件作为依据，若电子备份投标文件与政采云平台上传的电子投标文件被识别为不一致的，以电子备份投标文件作为评审依据；投标人按时在线解密投标文件的，以在线解密的投标文件作为评审依据。若投标人在规定时间内无法解密或解密失败且未提供电子备份投标文件的，视为投标文件撤回。</w:t>
      </w:r>
    </w:p>
    <w:p w14:paraId="243F659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3、投标人应按招标文件的要求对公开招标电子投标文件进行编制。</w:t>
      </w:r>
    </w:p>
    <w:p w14:paraId="04A3EA0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投标人提交的投标文件以及投标人与本公司和采购人就有关投标的所有来往函电均应使用中文。投标人提交的支持文件和印刷的文献可以使用别的语言，但其相应内容必须附有中文翻译文本，在解释公开招标文件时以翻译文本为主。</w:t>
      </w:r>
    </w:p>
    <w:p w14:paraId="4A95036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5、投标人应认真阅读、并充分理解本文件的全部内容（包括所有的澄清、更改、补充、答疑等内容），承诺并履行本文件中各项条款规定及要求。</w:t>
      </w:r>
    </w:p>
    <w:p w14:paraId="00AB61C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6、公开招标文件必须按本文件的全部内容，包括所有的澄清、更改、补充、答疑等内容及附件进行编制。</w:t>
      </w:r>
    </w:p>
    <w:p w14:paraId="2C509BF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7、如因投标人只填写和提供了本文件要求的部分内容和附件，而给评标委员会评审造成困难，其可能导致的结果和责任由投标人自行承担。</w:t>
      </w:r>
    </w:p>
    <w:p w14:paraId="02059B3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8.公开招标文件的组成</w:t>
      </w:r>
    </w:p>
    <w:p w14:paraId="54985DC9">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投标文件由资信及商务文件、技术文件、投标报价文件三部份组成。</w:t>
      </w:r>
    </w:p>
    <w:p w14:paraId="4E21740C">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1、资信及商务文件</w:t>
      </w:r>
    </w:p>
    <w:p w14:paraId="6EBE0B8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▲（1）投标声明书(格式见附件)；（必须提供）</w:t>
      </w:r>
    </w:p>
    <w:p w14:paraId="6CDC2C0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▲（2）法定代表人授权委托书和委托代理人正反面身份证复印件（委托代理时需要提供）(格式见附件)；（必须提供）</w:t>
      </w:r>
    </w:p>
    <w:p w14:paraId="0EE71EAD">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▲（3）有效的营业执照副本复印件及法定代表人正反面身份证复印件；有效的《食品经营许可证》或《食品生产许可证》（提供有效期内的证书复印件）；</w:t>
      </w:r>
      <w:r>
        <w:rPr>
          <w:rFonts w:hint="eastAsia" w:ascii="宋体" w:hAnsi="宋体" w:eastAsia="宋体" w:cs="宋体"/>
          <w:b/>
          <w:bCs/>
          <w:snapToGrid/>
          <w:color w:val="auto"/>
          <w:kern w:val="2"/>
          <w:sz w:val="21"/>
          <w:szCs w:val="21"/>
          <w:highlight w:val="none"/>
          <w:lang w:val="en-US" w:eastAsia="zh-CN" w:bidi="ar-SA"/>
        </w:rPr>
        <w:t>（必须提供，否则投标无效）</w:t>
      </w:r>
    </w:p>
    <w:p w14:paraId="2590B1D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▲（4）贵港市政府采购项目投标资格承诺函；（必须提供，否则投标无效）格式附后</w:t>
      </w:r>
    </w:p>
    <w:p w14:paraId="4103824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▲（5）商务条款偏离表（格式见附件）；（必须提供）</w:t>
      </w:r>
    </w:p>
    <w:p w14:paraId="007ADB4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▲（6）无重大违法记录声明书（格式见附件）；</w:t>
      </w:r>
    </w:p>
    <w:p w14:paraId="2C5580BF">
      <w:pPr>
        <w:pStyle w:val="4"/>
        <w:spacing w:before="158" w:line="344" w:lineRule="auto"/>
        <w:ind w:left="10" w:right="70" w:firstLine="644" w:firstLineChars="307"/>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（7）企业综合实力证明材料；</w:t>
      </w:r>
      <w:r>
        <w:rPr>
          <w:rFonts w:hint="eastAsia" w:cs="宋体"/>
          <w:snapToGrid/>
          <w:color w:val="auto"/>
          <w:kern w:val="2"/>
          <w:sz w:val="21"/>
          <w:szCs w:val="21"/>
          <w:highlight w:val="none"/>
          <w:lang w:val="en-US" w:eastAsia="zh-CN" w:bidi="ar-SA"/>
        </w:rPr>
        <w:t>（如有请提供）</w:t>
      </w:r>
    </w:p>
    <w:p w14:paraId="301613C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▲（8）参加本项目无串通投标行为的承诺函</w:t>
      </w:r>
    </w:p>
    <w:p w14:paraId="3319820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▲注：法定代表人授权委托书、投标声明书、投标函、开标一览表必须由法定代表人或授权代表签名并加盖单位公章。</w:t>
      </w:r>
    </w:p>
    <w:p w14:paraId="1FEF8A92">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2.技术文件</w:t>
      </w:r>
    </w:p>
    <w:p w14:paraId="1E1C43A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（1)、服务要求偏离表（格式后附）；（必须提供，否则作无效投标处理）</w:t>
      </w:r>
    </w:p>
    <w:p w14:paraId="4C5FA53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（2)、服务实施方案（格式自拟）；</w:t>
      </w:r>
    </w:p>
    <w:p w14:paraId="5F45A44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（3)、管理制度（格式自拟）；</w:t>
      </w:r>
    </w:p>
    <w:p w14:paraId="3BC84AF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（4）、除招标文件规定必须提供以外，投标人需要说明的其他文件和说明（格式自拟）。</w:t>
      </w:r>
    </w:p>
    <w:p w14:paraId="03207AF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3. 报价文件</w:t>
      </w:r>
    </w:p>
    <w:p w14:paraId="2D3D98B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▲（1）投标函（格式见附件）；</w:t>
      </w:r>
    </w:p>
    <w:p w14:paraId="7B82EF6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▲（2）开标一览表（格式见附件）；</w:t>
      </w:r>
    </w:p>
    <w:p w14:paraId="752DDC7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▲（3）中小企业声明函；；</w:t>
      </w:r>
    </w:p>
    <w:p w14:paraId="6D489BB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（4）投标人针对报价需要说明的其他文件和说明（格式自拟）；</w:t>
      </w:r>
    </w:p>
    <w:p w14:paraId="4C6C37B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▲注：法定代表人授权委托书、投标声明书、投标函、开标一览表必须由法定代表人或授权代表签名并加盖单位公章。</w:t>
      </w:r>
    </w:p>
    <w:p w14:paraId="65E65C5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（二）投标文件的语言及计量</w:t>
      </w:r>
    </w:p>
    <w:p w14:paraId="1AA0FE9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▲1、投标文件以及投标方与招标方就有关投标事宜的所有来往函电，均应以中文汉语书写。除签名、盖章、专用名称等特殊情形外， 以中文汉语以外的文字表述的投标文件视同未提供。</w:t>
      </w:r>
    </w:p>
    <w:p w14:paraId="6ED55D3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▲2、投标计量单位，招标文件已有明确规定的，使用招标文件规定的计量单位；招标文件没有规定的，应采用中华人民共和国法定计量单位（货币单位：人民币元），否则视同未响应。</w:t>
      </w:r>
    </w:p>
    <w:p w14:paraId="16CB3B5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（三）投标报价</w:t>
      </w:r>
    </w:p>
    <w:p w14:paraId="2971C7F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1、投标报价是履行合同的最终价格，必须包含满足本次投标全部采购需求所应提供的服务， 以及伴随的货物的价格；包含投标服务、货物成本、运输（含保险）装卸、搬运、检验、保险、利润、税费、质保期售后服务、雇员费、合同实施过程中的应预见和或不可预见等费用总和。所产生的费用由中标人负责。</w:t>
      </w:r>
    </w:p>
    <w:p w14:paraId="71E5AE9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2、（1）本项目投标应以价格折扣率报价（以%表示，折扣率报价精确到个位数）。投标报价范围：≤93%（如：供货产品打九折即投标折扣率为 90%，以此类推），否则，作无效报价处理。</w:t>
      </w:r>
    </w:p>
    <w:p w14:paraId="7F3047A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（2）报价必须含以下部分，包括：</w:t>
      </w:r>
    </w:p>
    <w:p w14:paraId="052C7AF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①货物、服务的价格；</w:t>
      </w:r>
    </w:p>
    <w:p w14:paraId="27DF067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②必要的保险费用和各项税金；</w:t>
      </w:r>
    </w:p>
    <w:p w14:paraId="7400197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③包装、运输、搬运、深加工、检验检测、验收、售后服务等相关费用。</w:t>
      </w:r>
    </w:p>
    <w:p w14:paraId="77A5CDD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3、采购价格约定</w:t>
      </w:r>
    </w:p>
    <w:p w14:paraId="211A475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供货结算价格要随着市场的价格变化而变化，食品原料市场价格调查时间安排按照以下流程： （1）食品原材料价格参考平南县物价部门当月月底发布的监测价格表的价格。（2）没有在平南县物价部门发布的监测价格表的食材定价则可参考县教育局当月月底下发到各学校邮箱的“学校学生食堂食品及食材结算价格结算表”的价格。（3）没有在平南县物价部门发布的监测价格表和县教育局下发到各学校邮箱的“学校学生食堂食品及食材结算价格结算表”的食材定价则由学校采购代表和配送企业代表双方到县城的三大超市共同询价，取三大超市相应食品原材料的市场批发平均价即为标准单价。（4）配送企业参考平南县物价部门当月月底发布的监测价格表的价格、县教育局下发到各学校邮箱的“学校学生食堂食品及食材结算价格结算表”的价格和双方询价小组当月的询价价格，并根据规定在参考价格的基础上进行“价格 93%以下折扣”（按实际中标折扣率为准），在当月 30 日前形成当月学校学生食堂食品及食材结算价格表。基准价不能高于市场上的最高价，如果价格不能协商确定的，供应商暂停供应该食材，对不按时、不按质、不按量、不按单配送到位的，学校有启动应急预案的权利（遇不可抗拒力除外），从其他中标人或具有保证食品安全的供应商采购。</w:t>
      </w:r>
    </w:p>
    <w:p w14:paraId="7D741AF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（四）投标文件的有效期</w:t>
      </w:r>
    </w:p>
    <w:p w14:paraId="0BAA5FE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▲1、自投标截止日起 90 天投标文件应保持有效。有效期不足的投标文件将被拒绝。</w:t>
      </w:r>
    </w:p>
    <w:p w14:paraId="5BAFFEA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2、在特殊情况下，招标人可与投标人协商延长投标书的有效期，这种要求和答复均以书面形式进行。</w:t>
      </w:r>
    </w:p>
    <w:p w14:paraId="66424B7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3、投标人可拒绝接受延期要求而不会导致投标保证金被没收。同意延长有效期的投标人需要相应延长投标保证金的有效期，但不能修改投标文件。</w:t>
      </w:r>
    </w:p>
    <w:p w14:paraId="295C85BE">
      <w:pPr>
        <w:pStyle w:val="4"/>
        <w:spacing w:before="158" w:line="344" w:lineRule="auto"/>
        <w:ind w:left="10" w:right="70" w:firstLine="435"/>
        <w:rPr>
          <w:color w:val="auto"/>
          <w:sz w:val="20"/>
          <w:szCs w:val="20"/>
          <w:highlight w:val="none"/>
        </w:rPr>
      </w:pPr>
      <w:r>
        <w:rPr>
          <w:rFonts w:hint="eastAsia" w:ascii="宋体" w:hAnsi="宋体" w:eastAsia="宋体" w:cs="宋体"/>
          <w:snapToGrid/>
          <w:color w:val="auto"/>
          <w:kern w:val="2"/>
          <w:sz w:val="21"/>
          <w:szCs w:val="21"/>
          <w:highlight w:val="none"/>
          <w:lang w:val="en-US" w:eastAsia="zh-CN" w:bidi="ar-SA"/>
        </w:rPr>
        <w:t>4、中标人的投标文件自开标之日起至合同履行完毕止均应保持有效。</w:t>
      </w:r>
    </w:p>
    <w:p w14:paraId="20807810">
      <w:pPr>
        <w:spacing w:line="248" w:lineRule="auto"/>
        <w:rPr>
          <w:rFonts w:ascii="Arial"/>
          <w:color w:val="auto"/>
          <w:sz w:val="21"/>
          <w:highlight w:val="none"/>
        </w:rPr>
      </w:pPr>
    </w:p>
    <w:p w14:paraId="444C8F3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（五）投标保证金：无</w:t>
      </w:r>
    </w:p>
    <w:p w14:paraId="0F15792A">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（六）投标文件的签署和份数</w:t>
      </w:r>
    </w:p>
    <w:p w14:paraId="4F85626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1.1 投标文件的封装</w:t>
      </w:r>
    </w:p>
    <w:p w14:paraId="3485123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1.1.1 电子投标文件中须加盖投标人公章部分均采用 CA 签章，并根据“政府采购项目电子交易管理操作指南-供应商”及本公开招标文件规定的格式和顺序编制电子投标文件并进行关联定位，以便评标委员会在评审时，点击评分项可直接定位到该评分项内容。如对公开招标文件的某项要求，投标人的电子投标文件未能关联定位提供相应的内容与其对应，则评标委员会在评审时如做出对投标不利的评审由投标人自行承担。电子投标文件如内容不完整、编排混乱导致投标文件被误读、漏读，或者在按公开招标文件规定的部位查找不到相关内容的，由投标人自行承担。</w:t>
      </w:r>
    </w:p>
    <w:p w14:paraId="45A89C6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1.1.2 CA 签章上目前没有法人（负责人）或授权代表签字信息，投标人应在投标文件中涉及到签字的位置线下签好字然后扫描或者拍照做成 PDF 的格式即可。无签字或签章的视为投标无效。</w:t>
      </w:r>
    </w:p>
    <w:p w14:paraId="288EF88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1.1.3. 投标文件不得涂改，若有修改错漏处，须法定代表人（负责人）或授权委托人签字。投标文件因字迹潦草或表达不清所引起的后果由投标人负责。</w:t>
      </w:r>
    </w:p>
    <w:p w14:paraId="0600E43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1.2．投标文件的递交</w:t>
      </w:r>
    </w:p>
    <w:p w14:paraId="11722E5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1.2.1 所有投标文件应于招标文件中规定的时间前上传递交至政采云平台。</w:t>
      </w:r>
    </w:p>
    <w:p w14:paraId="68E2C0F6">
      <w:pPr>
        <w:pStyle w:val="4"/>
        <w:spacing w:before="158" w:line="344" w:lineRule="auto"/>
        <w:ind w:left="10" w:right="70" w:firstLine="435"/>
        <w:rPr>
          <w:color w:val="auto"/>
          <w:sz w:val="20"/>
          <w:szCs w:val="20"/>
          <w:highlight w:val="none"/>
        </w:rPr>
      </w:pPr>
      <w:r>
        <w:rPr>
          <w:rFonts w:hint="eastAsia" w:ascii="宋体" w:hAnsi="宋体" w:eastAsia="宋体" w:cs="宋体"/>
          <w:snapToGrid/>
          <w:color w:val="auto"/>
          <w:kern w:val="2"/>
          <w:sz w:val="21"/>
          <w:szCs w:val="21"/>
          <w:highlight w:val="none"/>
          <w:lang w:val="en-US" w:eastAsia="zh-CN" w:bidi="ar-SA"/>
        </w:rPr>
        <w:t>1.2.2 投标文件从响应文件递交截止日期后 90 天内有效。</w:t>
      </w:r>
    </w:p>
    <w:p w14:paraId="6675474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电子投标文件的相关说明：</w:t>
      </w:r>
    </w:p>
    <w:p w14:paraId="3909934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人进行电子投标应安装客户端软件，并按照公开招标文件和电子交易平台的要求编制并加密投标文件。供应商未按规定加密的投标文件，电子交易平台将拒收。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 电子交易平台将拒收。</w:t>
      </w:r>
    </w:p>
    <w:p w14:paraId="01C7216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（2）如有特殊情况，采购代理机构延长截止时间和开标时间，采购代理机构和供应商的权利和义务将受到新的截止时间和开标时间的约束。</w:t>
      </w:r>
    </w:p>
    <w:p w14:paraId="00FBDAF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3.投标文件的正本需打印或用不褪色的墨水填写，投标文件正本除本《投标人须知》中规定的可提供复印件外均须提供原件扫描件。</w:t>
      </w:r>
    </w:p>
    <w:p w14:paraId="130BC7E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4.投标文件须由投标人在规定位置盖章并由法定代表人或法定代表人的授权委托人签署，投标人应写全称。</w:t>
      </w:r>
    </w:p>
    <w:p w14:paraId="218A1F7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5.投标文件不得涂改，若有修改错漏处，须加盖单位公章或者法定代表人或授权委托人签字或盖章。投标文件因字迹潦草或表达不清所引起的后果由投标人负责。</w:t>
      </w:r>
    </w:p>
    <w:p w14:paraId="7C67565A">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（七）投标文件的包装、递交、修改和撤回</w:t>
      </w:r>
    </w:p>
    <w:p w14:paraId="3403551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1.电子投标文件中须加盖供应商公章部分均采用 CA 签章，并根据“政府采购项目电子交易管理操作指南-供应商”及本招标文件规定的格式和顺序编制电子投标文件并进行关联定位，以便评标委员会在评审时，点击评分项可直接定位到该评分项内容。如对招标文件的某项要求，供应商的电子投标文件未能关联定位提供相应的内容与其对应，则评标委员会在评审时如做出对供应商不利的评审由供应商自行承担。电子投标文件如内容不完整、编排混乱导致投标文件被误读、漏读，或者在按招标文件规定的部位查找不到相关内容的，由供应商自行承担。</w:t>
      </w:r>
    </w:p>
    <w:p w14:paraId="2530133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2.CA 签章上目前没有法人（负责人）或授权代表签字信息，供应商在投标文件中涉及到签字的位置线下签好字然后扫描或者拍照做成 PDF 的格式即可。无签字或签章的视为投标无效。</w:t>
      </w:r>
    </w:p>
    <w:p w14:paraId="57868E9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3.电子投标文件的递交及有效期：</w:t>
      </w:r>
    </w:p>
    <w:p w14:paraId="3B25039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3.1 所有电子投标文件应于招标文件中规定的时间前上传递交至政采云平台。</w:t>
      </w:r>
    </w:p>
    <w:p w14:paraId="1A27A12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3.2 电子投标文件从电子投标文件递交截止日期后 90 天内有效。</w:t>
      </w:r>
    </w:p>
    <w:p w14:paraId="5E56C1B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p>
    <w:p w14:paraId="65F93B8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（八）投标无效的情形</w:t>
      </w:r>
    </w:p>
    <w:p w14:paraId="79D292B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实质上没有响应招标文件要求的投标将被视为无效投标。投标人不得通过修正或撤消不合要求的偏离或保留从而使其投标成为实质上响应的投标，但经评标委员会认定属于投标人疏忽、笔误所造成的差错，应当允许其在评标结束之前进行修改或者补正（可以是复印件、传真件等，必须加盖单位公章）。修改或者补正投标文件必须以书面形式进行，并应在中标结果公告之前查核。限期内不补正或经补正后仍不符合招标文件要求的，应认定其投标无效。投标人修改、补正投标文件后，不影响评标委员会对其投标文件所作的评价和评分结果。</w:t>
      </w:r>
    </w:p>
    <w:p w14:paraId="2B435C95">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1、在符合性审查和资格性审查时，如发现下列情形之一的，投标文件将被视为无效：</w:t>
      </w:r>
    </w:p>
    <w:p w14:paraId="5141F31B">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（1）超越了按照法律法规规定必须获得行政许可或者行政审批的经营范围的；</w:t>
      </w:r>
    </w:p>
    <w:p w14:paraId="689E98BE">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（2）资格证明文件不全的，或者不符合招标文件标明的资格要求的</w:t>
      </w:r>
    </w:p>
    <w:p w14:paraId="126C0440">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（3）投标文件无法定代表人签字，或未提供法定代表人授权委托书、投标声明书或者填写项目不齐 全的；</w:t>
      </w:r>
    </w:p>
    <w:p w14:paraId="25376942">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（4）投标代表人未能出具身份证明或与法定代表人授权委托人身份不符的；</w:t>
      </w:r>
    </w:p>
    <w:p w14:paraId="6FD44B71">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（5）项目不齐全或者内容虚假的；</w:t>
      </w:r>
    </w:p>
    <w:p w14:paraId="23FAF40C">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（6）投标文件的实质性内容未使用中文表述、意思表述不明确、前后矛盾或者使用计量单位不符合 招标文件要求的；</w:t>
      </w:r>
    </w:p>
    <w:p w14:paraId="637F0A6D">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（7）投标有效期、交付使用时间、质保期等商务条款不能满足招标文件要求的；</w:t>
      </w:r>
    </w:p>
    <w:p w14:paraId="443AC306">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（8）未实质性响应招标文件要求或者投标文件有招标方不能接受的附加条件的；</w:t>
      </w:r>
    </w:p>
    <w:p w14:paraId="62A66F7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（9）提供相同品牌产品的不同投标人参加同一合同项下投标的,以其中通过资格审查、符合性审查且报价最低的参加评标,报价相同的,由来购人自主选择确定一个参加评标的投标人,其他投标无效；</w:t>
      </w:r>
    </w:p>
    <w:p w14:paraId="3DD72ED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（10）非单一产品采购项目中,多家投标人</w:t>
      </w:r>
      <w:r>
        <w:rPr>
          <w:rFonts w:hint="eastAsia" w:ascii="宋体" w:hAnsi="宋体" w:eastAsia="宋体" w:cs="宋体"/>
          <w:snapToGrid/>
          <w:color w:val="auto"/>
          <w:kern w:val="2"/>
          <w:sz w:val="21"/>
          <w:szCs w:val="21"/>
          <w:highlight w:val="none"/>
          <w:lang w:val="en-US" w:eastAsia="zh-CN" w:bidi="ar-SA"/>
        </w:rPr>
        <w:t>提供的核心产品品牌相同的,视为提供相同品牌产品。核心产品的名称应当在招标文件中载明。</w:t>
      </w:r>
    </w:p>
    <w:p w14:paraId="28EEC543">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2、在技术评审时，如发现下列情形之一的，投标文件将被视为无效：</w:t>
      </w:r>
    </w:p>
    <w:p w14:paraId="39BF30A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（1）投标技术方案不明确，存在一个或一个以上备选（替代）投标方案的；</w:t>
      </w:r>
    </w:p>
    <w:p w14:paraId="3B5D176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（2）与其他参加本次投标供应商的投标文件（技术文件）的文字表述内容相同连续 20 行以上或者差错相同 2 处以上的；</w:t>
      </w:r>
    </w:p>
    <w:p w14:paraId="267FD03D">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3、在报价评审时，如发现下列情形之一的，投标文件将被视为无效：</w:t>
      </w:r>
    </w:p>
    <w:p w14:paraId="7267FC6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（1）未采用人民币报价或者未按照招标文件标明的币种报价的；</w:t>
      </w:r>
    </w:p>
    <w:p w14:paraId="42E54E2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（2）报价不符合招标文件要求，投标单价超出招标文件该项货物所列的单价，或总投标报价超出该分标采购预算价的，采购人不能支付的；</w:t>
      </w:r>
    </w:p>
    <w:p w14:paraId="0E78F5C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（3）投标报价具有选择性，或者开标价格与投标文件承诺的优惠（折扣）价格不一致的；</w:t>
      </w:r>
    </w:p>
    <w:p w14:paraId="35CB3A7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4、有下列情形之一的视为投标人相互串通投标,投标文件将被视为无效。</w:t>
      </w:r>
    </w:p>
    <w:p w14:paraId="417D8F70">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（1）不同投标人的投标文件由同一单位或者个人编制；或不同投标人报名的 IP 地址一致的；</w:t>
      </w:r>
    </w:p>
    <w:p w14:paraId="6427BB2C">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（2）不同投标人委托同一单位或者个人办理投标事宜；</w:t>
      </w:r>
    </w:p>
    <w:p w14:paraId="1FECD60C">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（3）不同的投标人的投标文件载明的项目管理员为同一个人；</w:t>
      </w:r>
    </w:p>
    <w:p w14:paraId="07B45872">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（4）不同投标人的投标文件异常一致或投标报价呈规律性差异；</w:t>
      </w:r>
    </w:p>
    <w:p w14:paraId="3A0980F0">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（5）不同投标人的投标文件相互混装；</w:t>
      </w:r>
    </w:p>
    <w:p w14:paraId="3AD250C6">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5、关联供应商不得参加同一合同项下政府采购活动,否则投标文件将被视为无效.</w:t>
      </w:r>
    </w:p>
    <w:p w14:paraId="79B51A7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（1）单位负责人为同一人或者存在直接控股、管理关系的不同的供应商,不得参加同一合同项下的政府来购活动；</w:t>
      </w:r>
    </w:p>
    <w:p w14:paraId="2739260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（2）生产厂商授权给供应商后自已不得参加同一合同项下的政府来购活动；生产厂商对同一品牌同一型号的货物,仅能委托一个代理商参加投标。</w:t>
      </w:r>
    </w:p>
    <w:p w14:paraId="5CD6264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6、被拒绝的投标文件为无效。</w:t>
      </w:r>
    </w:p>
    <w:p w14:paraId="14CAF091">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四、开标</w:t>
      </w:r>
    </w:p>
    <w:p w14:paraId="2108563D">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（一）开标准备</w:t>
      </w:r>
    </w:p>
    <w:p w14:paraId="7FEEA37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1.开标的准备工作由本公司负责落实；</w:t>
      </w:r>
    </w:p>
    <w:p w14:paraId="40569AE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本公司将按照招标文件规定的时间通过“广西政府采购云平台”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402C61F0">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 开标程序</w:t>
      </w:r>
    </w:p>
    <w:p w14:paraId="189DAFD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1.向各投标供应商发出电子加密投标文件【开始解密】通知，由供应商按招标文件规定的时间内自行进行投标文件解密。投标供应商在规定的时间内无法完成已递交的“ 电子加密投标文件”解密的，如已按规定递交了电子备份投标文件的，将由采购组织机构按“广西政府采购云平台”操作规范将备份投标文件上传至“广西政府采购云平台 ”，上传成功后，“ 电子加密投标文件”自动失效。如未提供备份电子投标文件，将不进行再次解密程序。无法在线解密视为投标人放弃投标。在线解密时间为 30 分钟。</w:t>
      </w:r>
    </w:p>
    <w:p w14:paraId="6A94DC2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2.投标文件解密结束后，开标活动组织人员在线开启投标文件。</w:t>
      </w:r>
    </w:p>
    <w:p w14:paraId="23374FD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开标结束后，如发现开标结果与报价文件不一致者，由评标委员会根据报价文件内容进行修正。特别说明：如遇“广西政府采购云平台”电子化开标或评审程序调整的，按调整后程序执行。</w:t>
      </w:r>
    </w:p>
    <w:p w14:paraId="41716D8E">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五、评标</w:t>
      </w:r>
    </w:p>
    <w:p w14:paraId="14F57DB2">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（一）组建评标委员会</w:t>
      </w:r>
    </w:p>
    <w:p w14:paraId="527A37C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1.评标委员会由</w:t>
      </w:r>
      <w:r>
        <w:rPr>
          <w:rFonts w:hint="eastAsia" w:cs="宋体"/>
          <w:snapToGrid/>
          <w:color w:val="auto"/>
          <w:kern w:val="2"/>
          <w:sz w:val="21"/>
          <w:szCs w:val="21"/>
          <w:highlight w:val="none"/>
          <w:lang w:val="en-US" w:eastAsia="zh-CN" w:bidi="ar-SA"/>
        </w:rPr>
        <w:t>采购人代表和</w:t>
      </w:r>
      <w:r>
        <w:rPr>
          <w:rFonts w:hint="eastAsia" w:ascii="宋体" w:hAnsi="宋体" w:eastAsia="宋体" w:cs="宋体"/>
          <w:snapToGrid/>
          <w:color w:val="auto"/>
          <w:kern w:val="2"/>
          <w:sz w:val="21"/>
          <w:szCs w:val="21"/>
          <w:highlight w:val="none"/>
          <w:lang w:val="en-US" w:eastAsia="zh-CN" w:bidi="ar-SA"/>
        </w:rPr>
        <w:t>评审专家组成，具体人数详见”投标人须知前附表”，其中评审专家不得少于成员总数的三分之二。</w:t>
      </w:r>
    </w:p>
    <w:p w14:paraId="1FE5A24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2.参加过采购项目前期咨询论证的专家，不得参加该采购项目的评审活动。</w:t>
      </w:r>
    </w:p>
    <w:p w14:paraId="7FAD67F7">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3.采购代理机构应当基于广西政府采购云平台抽(选)取评审专家。</w:t>
      </w:r>
    </w:p>
    <w:p w14:paraId="38ADDD31">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（二）评标的方式</w:t>
      </w:r>
    </w:p>
    <w:p w14:paraId="5FF64E2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本项目采用不公开方式评标，评标的依据为招标文件和投标文件。</w:t>
      </w:r>
    </w:p>
    <w:p w14:paraId="4CB435F4">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（三）评标程序</w:t>
      </w:r>
    </w:p>
    <w:p w14:paraId="08D43BE2">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 xml:space="preserve"> 1.形式审查</w:t>
      </w:r>
    </w:p>
    <w:p w14:paraId="1D9F253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采购人代表和代理机构工作人员协助评标委员会对投标人的资格和投标文件的完整性、合法性等进行审查。</w:t>
      </w:r>
    </w:p>
    <w:p w14:paraId="3787DEB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2.实质审查与比较</w:t>
      </w:r>
    </w:p>
    <w:p w14:paraId="2DBCB26D">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（1）评标委员会审查投标文件的实质性内容是否符合招标文件的实质性要求。</w:t>
      </w:r>
    </w:p>
    <w:p w14:paraId="2145540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（2）评标委员会将根据投标人的投标文件进行审查、核对,如有疑问,将对投标人进行询标,投标人要 向评标委员会澄清有关问题,并最终以书面形式进行答复。投标人代表未到场或者拒绝澄清或者澄清的内容改变了投标文件的实质性内容的，评标委员会有权视 该投标文件无效。</w:t>
      </w:r>
    </w:p>
    <w:p w14:paraId="16FC0C8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（3）各投标人的技术得分为所有评委的有效评分的算术平均数，由指定专人进行计算复核。</w:t>
      </w:r>
    </w:p>
    <w:p w14:paraId="06DD5EE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（4）采购代理机构工作人员协助评标委员会根据本项目的评分标准计算各投标人的商务报价得分。</w:t>
      </w:r>
    </w:p>
    <w:p w14:paraId="02E6E16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（5）评标委员会完成评标后,评委对各部分得分汇总,计算出本项目最终得分、性价比、评标价等。评标委员会按评标原则推荐中标候选人同时起草评标报告。</w:t>
      </w:r>
    </w:p>
    <w:p w14:paraId="5F6286B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（四）澄清问题的形式</w:t>
      </w:r>
    </w:p>
    <w:p w14:paraId="367CC5B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对投标文件中含义不明确、同类问题表述不一致或者有明显文字和计算错误的内容，评标委员会可要 求投标人作出必要的澄清、说明或者纠正。投标人的澄清、说明或者补正应当采用书面形式，由其授权代表签字或盖章确认，并不得超出投标文件的范围或者改变投标文件的实质性内容。</w:t>
      </w:r>
    </w:p>
    <w:p w14:paraId="644C35B0">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（五）错误修正</w:t>
      </w:r>
    </w:p>
    <w:p w14:paraId="0C8FF0E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投标文件如果出现计算或表达上的错误，修正错误的原则如下：</w:t>
      </w:r>
    </w:p>
    <w:p w14:paraId="74F15FC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1.开标一览表总价与投标报价明细表汇总数不一致的，以开标一览表为准； 2.投标文件的大写金额和小写金额不一致的，以大写金额为准；</w:t>
      </w:r>
    </w:p>
    <w:p w14:paraId="226756E7">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3.总价金额与按单价汇总金额不一致的，以单价金额计算结果为准； 4.对不同文字文本投标文件的解释发生异议的， 以中文文本为准。</w:t>
      </w:r>
    </w:p>
    <w:p w14:paraId="3C5CBCE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按上述修正错误的原则及方法调整或修正投标文件的投标报价，投标人同意并签字确认后，调整后的投标报价对投标人具有约束作用。如果投标人不接受修正后的报价，则其投标将作为无效投标处理。</w:t>
      </w:r>
    </w:p>
    <w:p w14:paraId="43EECB0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（六）评标原则和评标办法</w:t>
      </w:r>
    </w:p>
    <w:p w14:paraId="725C4B6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2190B97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2.评标办法。本项目评标办法是综合评分法，具体评标内容及评标标准等详见《第四章：评标办法及评标标准》。</w:t>
      </w:r>
    </w:p>
    <w:p w14:paraId="586FA4E7">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（七）评标过程的监控</w:t>
      </w:r>
    </w:p>
    <w:p w14:paraId="4E99B0D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本项目评标过程实行全程录音、录像监控，投标人在评标过程中所进行的试图影响评标结果的不公正活动，可能导致其投标被拒绝。</w:t>
      </w:r>
    </w:p>
    <w:p w14:paraId="2A60701D">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六、评标结果</w:t>
      </w:r>
    </w:p>
    <w:p w14:paraId="66E1F896">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（一）评标委员会直接确定排名第一中标候选供应商为中标供应商。采购代理机构应当在评审结束后2 个工作日内将评审报告送采购人确认。招标人应当在收到评审报告后 2 个工作日内，从评审报告提出的中标候选供应商中，按推荐顺序确定中标供应商，也可以书面授权评标委员会直接确定中标供应商。采购人逾期未确定成交供应商且不提出异议的，视为确定评审报告中推荐的排名第一的中标候选供应商为成交供应商</w:t>
      </w:r>
    </w:p>
    <w:p w14:paraId="1D775D0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（二）中标供应商确定后，采购代理机构在中国政府采购网、广西壮族自治区政府采购网、全国公共资源交易平台（广西·贵港）网上发布中标公告。</w:t>
      </w:r>
    </w:p>
    <w:p w14:paraId="43F7EAA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（三）在发布中标公告的同时，采购代理机构向中标供应商发出中标通知书。</w:t>
      </w:r>
    </w:p>
    <w:p w14:paraId="6CBDA10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（四）投标人认为招标文件、招标过程和中标结果使自己的权益受到损害的，可以在知道或者应知其 权益受到损害之日起七个工作日内， 以书面形式向采购代理机构提出质疑，并及时索要书面回执。</w:t>
      </w:r>
    </w:p>
    <w:p w14:paraId="408308EC">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（五）采购代理机构应当按照有关规定就采购人委托授权范围内的事项在收到投标人的书面质疑后七 个工作日内做出答复，但答复的内容不得涉及商业秘密。</w:t>
      </w:r>
    </w:p>
    <w:p w14:paraId="3769362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（六）采购代理机构无义务向未中标的供应商解释未中标原因。</w:t>
      </w:r>
    </w:p>
    <w:p w14:paraId="4B7AE083">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七、中标结果公告</w:t>
      </w:r>
    </w:p>
    <w:p w14:paraId="5E43397F">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1.根据《贵港市财政局关于深化政府采购制度改革优化营商环境工作有关事项的通知》（贵财采[2020] 16 号）文件精神，采购代理机构应当在评审结束后 2 个工作日内将评标报告送采购人确认，采购人应当在 收到评标报告后 2 个工作日内，从评标报告提出的中标候选供应商中，按照排序由高到低的原则确定中标供应商。采购人逾期未确定中标供应商且不提出异议的，视为确定评标报告提出的排序第一的供应商为中标供应商。</w:t>
      </w:r>
    </w:p>
    <w:p w14:paraId="45E08303">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八、签订合同</w:t>
      </w:r>
    </w:p>
    <w:p w14:paraId="73BF91D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1.根据《贵港市财政局关于深化政府采购制度改革优化营商环境工作有关事项的通知》（贵财采[2020]16 号）文件精神，对中标、成交结果公告无异议的项目在中标、成交通知书发出之日起 20 个工作日内和 中标、中标供应商签订政府采购合同，倡导各采购人尽量压缩合同签订时间。</w:t>
      </w:r>
    </w:p>
    <w:p w14:paraId="073304C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中标供应商拒绝签订采购合同的，采购人可以根据评标报告确定中标供应商之后排名第一的成交候选供应商作为中标供应商并签订采购合同，也可以重新组织开展采购活动。拒绝签订采购合同的中标供应商不得再参加对该项目重新组织开展的采购活动。</w:t>
      </w:r>
    </w:p>
    <w:p w14:paraId="4EA34D5E">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3.中标供应商拒绝签订采购合同的，给采购人造成其损失的，还应当赔偿损失，并作为不良行为记录在案。</w:t>
      </w:r>
    </w:p>
    <w:p w14:paraId="54B05ABF">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4.根据《中华人民共和国政府采购法实施条例》第五十条规定，采购人应当自政府采购合同签订之日起 2 个工作日内，将政府采购合同在省级以上人民政府财政部门指定的媒体上公告，但政府采购合同中涉及国家秘密、商业秘密的内容除外。</w:t>
      </w:r>
    </w:p>
    <w:p w14:paraId="10DCA93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5.中标、中标供应商应在取得中标、成交通知书后 5 日内登录“广西政府采购云平台 ”（www.zcy.gov.cn）完成供应商注册。</w:t>
      </w:r>
    </w:p>
    <w:p w14:paraId="1A9BD18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6.中标人因不可抗力或者自身原因不能履行采购合同的，采购人可以确定招标采购使用单位与中标人之后排名第一的中标候选供应商签订采购合同，以此类推。</w:t>
      </w:r>
    </w:p>
    <w:p w14:paraId="42CDFECB">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九、其他事项</w:t>
      </w:r>
    </w:p>
    <w:p w14:paraId="1388E7CF">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本项目投标应以人民币报价；2、不论投标结果如何，投标人均应自行承担所有与投标有关的全部费用；3、本项目招标代理服务费按招标代理协议书规定收取，方式为中标人向采购代理机构支付。领取中标通知书前，中标人应向采购代理机构一次性付清中标服务费，中标服务费为：人民币</w:t>
      </w:r>
      <w:r>
        <w:rPr>
          <w:rFonts w:hint="eastAsia" w:cs="宋体"/>
          <w:snapToGrid/>
          <w:color w:val="auto"/>
          <w:kern w:val="2"/>
          <w:sz w:val="21"/>
          <w:szCs w:val="21"/>
          <w:highlight w:val="none"/>
          <w:lang w:val="en-US" w:eastAsia="zh-CN" w:bidi="ar-SA"/>
        </w:rPr>
        <w:t>肆万叁仟柒佰贰拾</w:t>
      </w:r>
      <w:r>
        <w:rPr>
          <w:rFonts w:hint="eastAsia" w:ascii="宋体" w:hAnsi="宋体" w:eastAsia="宋体" w:cs="宋体"/>
          <w:snapToGrid/>
          <w:color w:val="auto"/>
          <w:kern w:val="2"/>
          <w:sz w:val="21"/>
          <w:szCs w:val="21"/>
          <w:highlight w:val="none"/>
          <w:lang w:val="en-US" w:eastAsia="zh-CN" w:bidi="ar-SA"/>
        </w:rPr>
        <w:t>元整（¥</w:t>
      </w:r>
      <w:r>
        <w:rPr>
          <w:rFonts w:hint="eastAsia" w:cs="宋体"/>
          <w:snapToGrid/>
          <w:color w:val="auto"/>
          <w:kern w:val="2"/>
          <w:sz w:val="21"/>
          <w:szCs w:val="21"/>
          <w:highlight w:val="none"/>
          <w:lang w:val="en-US" w:eastAsia="zh-CN" w:bidi="ar-SA"/>
        </w:rPr>
        <w:t>4372</w:t>
      </w:r>
      <w:r>
        <w:rPr>
          <w:rFonts w:hint="eastAsia" w:ascii="宋体" w:hAnsi="宋体" w:eastAsia="宋体" w:cs="宋体"/>
          <w:snapToGrid/>
          <w:color w:val="auto"/>
          <w:kern w:val="2"/>
          <w:sz w:val="21"/>
          <w:szCs w:val="21"/>
          <w:highlight w:val="none"/>
          <w:lang w:val="en-US" w:eastAsia="zh-CN" w:bidi="ar-SA"/>
        </w:rPr>
        <w:t>0.00）。否则，采购代理机构将视之为违约，取消该中标决定。</w:t>
      </w:r>
    </w:p>
    <w:p w14:paraId="4DAAA14F">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开户名：</w:t>
      </w:r>
      <w:r>
        <w:rPr>
          <w:rStyle w:val="20"/>
          <w:rFonts w:hint="eastAsia" w:ascii="宋体" w:hAnsi="宋体"/>
          <w:color w:val="auto"/>
          <w:sz w:val="21"/>
          <w:szCs w:val="21"/>
          <w:highlight w:val="none"/>
          <w:lang w:eastAsia="zh-CN"/>
        </w:rPr>
        <w:t>中禹鑫工程项目管理有限公司贵港分公司</w:t>
      </w:r>
      <w:r>
        <w:rPr>
          <w:rFonts w:hint="eastAsia" w:ascii="宋体" w:hAnsi="宋体" w:eastAsia="宋体" w:cs="宋体"/>
          <w:snapToGrid/>
          <w:color w:val="auto"/>
          <w:kern w:val="2"/>
          <w:sz w:val="21"/>
          <w:szCs w:val="21"/>
          <w:highlight w:val="none"/>
          <w:lang w:val="en-US" w:eastAsia="zh-CN" w:bidi="ar-SA"/>
        </w:rPr>
        <w:t xml:space="preserve"> </w:t>
      </w:r>
    </w:p>
    <w:p w14:paraId="1B49DC1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开户银行：</w:t>
      </w:r>
      <w:r>
        <w:rPr>
          <w:rFonts w:hint="eastAsia" w:ascii="宋体" w:hAnsi="宋体"/>
          <w:color w:val="auto"/>
          <w:sz w:val="21"/>
          <w:szCs w:val="21"/>
          <w:highlight w:val="none"/>
          <w:lang w:val="en-US" w:eastAsia="zh-CN"/>
        </w:rPr>
        <w:t>广西贵港农村商业银行股份有限公司广场支行</w:t>
      </w:r>
      <w:r>
        <w:rPr>
          <w:rFonts w:hint="eastAsia" w:ascii="宋体" w:hAnsi="宋体" w:eastAsia="宋体" w:cs="宋体"/>
          <w:snapToGrid/>
          <w:color w:val="auto"/>
          <w:kern w:val="2"/>
          <w:sz w:val="21"/>
          <w:szCs w:val="21"/>
          <w:highlight w:val="none"/>
          <w:lang w:val="en-US" w:eastAsia="zh-CN" w:bidi="ar-SA"/>
        </w:rPr>
        <w:t xml:space="preserve"> </w:t>
      </w:r>
    </w:p>
    <w:p w14:paraId="72D98C40">
      <w:pPr>
        <w:pStyle w:val="4"/>
        <w:spacing w:before="158" w:line="344" w:lineRule="auto"/>
        <w:ind w:left="10" w:right="70" w:firstLine="435"/>
        <w:rPr>
          <w:rFonts w:ascii="Times New Roman" w:hAnsi="Times New Roman" w:eastAsia="Times New Roman" w:cs="Times New Roman"/>
          <w:color w:val="auto"/>
          <w:sz w:val="21"/>
          <w:szCs w:val="21"/>
          <w:highlight w:val="none"/>
        </w:rPr>
      </w:pPr>
      <w:r>
        <w:rPr>
          <w:rFonts w:hint="eastAsia" w:ascii="宋体" w:hAnsi="宋体" w:eastAsia="宋体" w:cs="宋体"/>
          <w:snapToGrid/>
          <w:color w:val="auto"/>
          <w:kern w:val="2"/>
          <w:sz w:val="21"/>
          <w:szCs w:val="21"/>
          <w:highlight w:val="none"/>
          <w:lang w:val="en-US" w:eastAsia="zh-CN" w:bidi="ar-SA"/>
        </w:rPr>
        <w:t>开户账号：</w:t>
      </w:r>
      <w:r>
        <w:rPr>
          <w:rStyle w:val="20"/>
          <w:rFonts w:hint="eastAsia" w:ascii="宋体" w:hAnsi="宋体"/>
          <w:color w:val="auto"/>
          <w:sz w:val="21"/>
          <w:szCs w:val="21"/>
          <w:highlight w:val="none"/>
        </w:rPr>
        <w:t>915212010111388090</w:t>
      </w:r>
    </w:p>
    <w:p w14:paraId="6740B1F4">
      <w:pPr>
        <w:pStyle w:val="4"/>
        <w:spacing w:before="59" w:line="219" w:lineRule="auto"/>
        <w:ind w:left="2994"/>
        <w:outlineLvl w:val="0"/>
        <w:rPr>
          <w:color w:val="auto"/>
          <w:sz w:val="30"/>
          <w:szCs w:val="30"/>
          <w:highlight w:val="none"/>
        </w:rPr>
      </w:pPr>
      <w:bookmarkStart w:id="22" w:name="bookmark7"/>
      <w:bookmarkEnd w:id="22"/>
      <w:r>
        <w:rPr>
          <w:b/>
          <w:bCs/>
          <w:color w:val="auto"/>
          <w:spacing w:val="-3"/>
          <w:sz w:val="30"/>
          <w:szCs w:val="30"/>
          <w:highlight w:val="none"/>
        </w:rPr>
        <w:br w:type="page"/>
      </w:r>
      <w:bookmarkStart w:id="23" w:name="_Toc5346"/>
      <w:r>
        <w:rPr>
          <w:b/>
          <w:bCs/>
          <w:color w:val="auto"/>
          <w:spacing w:val="-3"/>
          <w:sz w:val="30"/>
          <w:szCs w:val="30"/>
          <w:highlight w:val="none"/>
        </w:rPr>
        <w:t>第四章</w:t>
      </w:r>
      <w:r>
        <w:rPr>
          <w:color w:val="auto"/>
          <w:spacing w:val="-3"/>
          <w:sz w:val="30"/>
          <w:szCs w:val="30"/>
          <w:highlight w:val="none"/>
        </w:rPr>
        <w:t xml:space="preserve">  </w:t>
      </w:r>
      <w:r>
        <w:rPr>
          <w:b/>
          <w:bCs/>
          <w:color w:val="auto"/>
          <w:spacing w:val="-3"/>
          <w:sz w:val="30"/>
          <w:szCs w:val="30"/>
          <w:highlight w:val="none"/>
        </w:rPr>
        <w:t>评标办法及评标标准</w:t>
      </w:r>
      <w:bookmarkEnd w:id="23"/>
    </w:p>
    <w:p w14:paraId="62D53960">
      <w:pPr>
        <w:pStyle w:val="4"/>
        <w:spacing w:before="36" w:line="220" w:lineRule="auto"/>
        <w:ind w:left="4200"/>
        <w:rPr>
          <w:color w:val="auto"/>
          <w:sz w:val="30"/>
          <w:szCs w:val="30"/>
          <w:highlight w:val="none"/>
        </w:rPr>
      </w:pPr>
      <w:r>
        <w:rPr>
          <w:b/>
          <w:bCs/>
          <w:color w:val="auto"/>
          <w:spacing w:val="-6"/>
          <w:sz w:val="30"/>
          <w:szCs w:val="30"/>
          <w:highlight w:val="none"/>
        </w:rPr>
        <w:t>综合评分法</w:t>
      </w:r>
    </w:p>
    <w:p w14:paraId="2ED5F8D1">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一、评标原则</w:t>
      </w:r>
    </w:p>
    <w:p w14:paraId="08009E8A">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（一）评委构成：评标委员会由</w:t>
      </w:r>
      <w:r>
        <w:rPr>
          <w:rFonts w:hint="eastAsia" w:cs="宋体"/>
          <w:snapToGrid/>
          <w:color w:val="auto"/>
          <w:kern w:val="2"/>
          <w:sz w:val="21"/>
          <w:szCs w:val="21"/>
          <w:highlight w:val="none"/>
          <w:lang w:val="en-US" w:eastAsia="zh-CN" w:bidi="ar-SA"/>
        </w:rPr>
        <w:t>采购人代表和</w:t>
      </w:r>
      <w:r>
        <w:rPr>
          <w:rFonts w:hint="eastAsia" w:ascii="宋体" w:hAnsi="宋体" w:eastAsia="宋体" w:cs="宋体"/>
          <w:snapToGrid/>
          <w:color w:val="auto"/>
          <w:kern w:val="2"/>
          <w:sz w:val="21"/>
          <w:szCs w:val="21"/>
          <w:highlight w:val="none"/>
          <w:lang w:val="en-US" w:eastAsia="zh-CN" w:bidi="ar-SA"/>
        </w:rPr>
        <w:t>评审专家组成，具体人数详见”投标人须知前附表”，其中评审专家不得少于成员总数的三分之二。</w:t>
      </w:r>
    </w:p>
    <w:p w14:paraId="6015829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（二）评标依据：评委将以招投标文件为评标依据，对投标人的投标报价、服务实施方案分、管理制度分、企业综合实力分等四方面内容按百分制打分。</w:t>
      </w:r>
    </w:p>
    <w:p w14:paraId="101796A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（三）评标方式：以封闭方式进行。</w:t>
      </w:r>
    </w:p>
    <w:p w14:paraId="2C844725">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（四）评标顺序：</w:t>
      </w:r>
    </w:p>
    <w:p w14:paraId="6E54DFCB">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二、评定方法</w:t>
      </w:r>
    </w:p>
    <w:p w14:paraId="10CF79A9">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（一）评标标准：本招标项目评标方法采用综合评分法，实行百分制。</w:t>
      </w:r>
    </w:p>
    <w:p w14:paraId="143EF311">
      <w:pPr>
        <w:pStyle w:val="4"/>
        <w:spacing w:before="158" w:line="344" w:lineRule="auto"/>
        <w:ind w:left="10" w:right="70" w:firstLine="435"/>
        <w:rPr>
          <w:b/>
          <w:bCs/>
          <w:color w:val="auto"/>
          <w:sz w:val="20"/>
          <w:szCs w:val="20"/>
          <w:highlight w:val="none"/>
        </w:rPr>
      </w:pPr>
      <w:r>
        <w:rPr>
          <w:rFonts w:hint="eastAsia" w:ascii="宋体" w:hAnsi="宋体" w:eastAsia="宋体" w:cs="宋体"/>
          <w:snapToGrid/>
          <w:color w:val="auto"/>
          <w:kern w:val="2"/>
          <w:sz w:val="21"/>
          <w:szCs w:val="21"/>
          <w:highlight w:val="none"/>
          <w:lang w:val="en-US" w:eastAsia="zh-CN" w:bidi="ar-SA"/>
        </w:rPr>
        <w:t>（二）计分办法（按四舍五入取至百分位）：</w:t>
      </w:r>
    </w:p>
    <w:p w14:paraId="37892893">
      <w:pPr>
        <w:spacing w:line="131" w:lineRule="auto"/>
        <w:rPr>
          <w:rFonts w:ascii="Arial"/>
          <w:color w:val="auto"/>
          <w:sz w:val="2"/>
          <w:highlight w:val="none"/>
        </w:rPr>
      </w:pPr>
    </w:p>
    <w:tbl>
      <w:tblPr>
        <w:tblStyle w:val="18"/>
        <w:tblW w:w="98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6"/>
        <w:gridCol w:w="1584"/>
        <w:gridCol w:w="1419"/>
        <w:gridCol w:w="6304"/>
      </w:tblGrid>
      <w:tr w14:paraId="7D059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150" w:type="dxa"/>
            <w:gridSpan w:val="2"/>
            <w:vAlign w:val="top"/>
          </w:tcPr>
          <w:p w14:paraId="30448721">
            <w:pPr>
              <w:pStyle w:val="19"/>
              <w:spacing w:before="158" w:line="229" w:lineRule="auto"/>
              <w:ind w:left="868"/>
              <w:rPr>
                <w:color w:val="auto"/>
                <w:highlight w:val="none"/>
              </w:rPr>
            </w:pPr>
            <w:r>
              <w:rPr>
                <w:b/>
                <w:bCs/>
                <w:color w:val="auto"/>
                <w:spacing w:val="4"/>
                <w:highlight w:val="none"/>
              </w:rPr>
              <w:t>序号</w:t>
            </w:r>
          </w:p>
        </w:tc>
        <w:tc>
          <w:tcPr>
            <w:tcW w:w="1419" w:type="dxa"/>
            <w:vAlign w:val="top"/>
          </w:tcPr>
          <w:p w14:paraId="1AF314BF">
            <w:pPr>
              <w:pStyle w:val="19"/>
              <w:spacing w:before="157" w:line="228" w:lineRule="auto"/>
              <w:ind w:left="343"/>
              <w:rPr>
                <w:color w:val="auto"/>
                <w:highlight w:val="none"/>
              </w:rPr>
            </w:pPr>
            <w:r>
              <w:rPr>
                <w:b/>
                <w:bCs/>
                <w:color w:val="auto"/>
                <w:spacing w:val="6"/>
                <w:highlight w:val="none"/>
              </w:rPr>
              <w:t>评审因素</w:t>
            </w:r>
          </w:p>
        </w:tc>
        <w:tc>
          <w:tcPr>
            <w:tcW w:w="6304" w:type="dxa"/>
            <w:vAlign w:val="top"/>
          </w:tcPr>
          <w:p w14:paraId="1FF58481">
            <w:pPr>
              <w:pStyle w:val="19"/>
              <w:spacing w:before="158" w:line="228" w:lineRule="auto"/>
              <w:ind w:left="2683"/>
              <w:rPr>
                <w:color w:val="auto"/>
                <w:highlight w:val="none"/>
              </w:rPr>
            </w:pPr>
            <w:r>
              <w:rPr>
                <w:b/>
                <w:bCs/>
                <w:color w:val="auto"/>
                <w:spacing w:val="6"/>
                <w:highlight w:val="none"/>
              </w:rPr>
              <w:t>评分标准</w:t>
            </w:r>
          </w:p>
        </w:tc>
      </w:tr>
      <w:tr w14:paraId="282C4C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trPr>
        <w:tc>
          <w:tcPr>
            <w:tcW w:w="566" w:type="dxa"/>
            <w:vAlign w:val="center"/>
          </w:tcPr>
          <w:p w14:paraId="47A4390A">
            <w:pPr>
              <w:pStyle w:val="19"/>
              <w:spacing w:before="183" w:line="387" w:lineRule="auto"/>
              <w:ind w:left="222" w:right="158" w:firstLine="445"/>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11</w:t>
            </w:r>
          </w:p>
        </w:tc>
        <w:tc>
          <w:tcPr>
            <w:tcW w:w="1584" w:type="dxa"/>
            <w:vAlign w:val="center"/>
          </w:tcPr>
          <w:p w14:paraId="4D01E52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价格分（满分30分）</w:t>
            </w:r>
          </w:p>
        </w:tc>
        <w:tc>
          <w:tcPr>
            <w:tcW w:w="1419" w:type="dxa"/>
            <w:vAlign w:val="center"/>
          </w:tcPr>
          <w:p w14:paraId="32393308">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投标报价</w:t>
            </w:r>
          </w:p>
        </w:tc>
        <w:tc>
          <w:tcPr>
            <w:tcW w:w="6304" w:type="dxa"/>
            <w:vAlign w:val="top"/>
          </w:tcPr>
          <w:p w14:paraId="628E72FF">
            <w:pPr>
              <w:pStyle w:val="19"/>
              <w:spacing w:before="65" w:line="304" w:lineRule="auto"/>
              <w:ind w:right="230"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（1）评标报价为投标人的投标折扣率报价进行政策性扣除后的价格，评标报价只是作为评标时使用。最终中标人的中标折扣率等于投标折扣率。</w:t>
            </w:r>
          </w:p>
          <w:p w14:paraId="0BB299E4">
            <w:pPr>
              <w:pStyle w:val="19"/>
              <w:spacing w:before="273" w:line="228" w:lineRule="auto"/>
              <w:ind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（2）政策性扣除计算方法。</w:t>
            </w:r>
          </w:p>
          <w:p w14:paraId="4BC07ED3">
            <w:pPr>
              <w:pStyle w:val="19"/>
              <w:spacing w:before="183" w:line="387" w:lineRule="auto"/>
              <w:ind w:right="158"/>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根据《政府采购促进中小企业发展管理办法》（财库〔2020〕46号）及《广西壮族自治区财政厅关于持续优化政府采购 营商环境推动高质量发展的通知》（桂财采〔2024〕55号）的规定，投标人在其投标文件中提供《中小企业声明函》，且服务由小微企业承接的，对其投标报价给予</w:t>
            </w:r>
            <w:r>
              <w:rPr>
                <w:rFonts w:hint="eastAsia" w:ascii="宋体" w:hAnsi="宋体" w:eastAsia="宋体" w:cs="宋体"/>
                <w:snapToGrid/>
                <w:color w:val="auto"/>
                <w:kern w:val="2"/>
                <w:sz w:val="21"/>
                <w:szCs w:val="21"/>
                <w:highlight w:val="none"/>
                <w:u w:val="single"/>
                <w:lang w:val="en-US" w:eastAsia="zh-CN" w:bidi="ar-SA"/>
              </w:rPr>
              <w:t xml:space="preserve">  10%  </w:t>
            </w:r>
            <w:r>
              <w:rPr>
                <w:rFonts w:hint="eastAsia" w:ascii="宋体" w:hAnsi="宋体" w:eastAsia="宋体" w:cs="宋体"/>
                <w:snapToGrid/>
                <w:color w:val="auto"/>
                <w:kern w:val="2"/>
                <w:sz w:val="21"/>
                <w:szCs w:val="21"/>
                <w:highlight w:val="none"/>
                <w:lang w:val="en-US" w:eastAsia="zh-CN" w:bidi="ar-SA"/>
              </w:rPr>
              <w:t>的扣除，扣除后的价格为评标报价，即评标报价=投标报价×</w:t>
            </w:r>
            <w:r>
              <w:rPr>
                <w:rFonts w:hint="eastAsia" w:ascii="宋体" w:hAnsi="宋体" w:eastAsia="宋体" w:cs="宋体"/>
                <w:snapToGrid/>
                <w:color w:val="auto"/>
                <w:kern w:val="2"/>
                <w:sz w:val="21"/>
                <w:szCs w:val="21"/>
                <w:highlight w:val="none"/>
                <w:u w:val="single"/>
                <w:lang w:val="en-US" w:eastAsia="zh-CN" w:bidi="ar-SA"/>
              </w:rPr>
              <w:t>（1-10%）</w:t>
            </w:r>
            <w:r>
              <w:rPr>
                <w:rFonts w:hint="eastAsia" w:ascii="宋体" w:hAnsi="宋体" w:eastAsia="宋体" w:cs="宋体"/>
                <w:snapToGrid/>
                <w:color w:val="auto"/>
                <w:kern w:val="2"/>
                <w:sz w:val="21"/>
                <w:szCs w:val="21"/>
                <w:highlight w:val="none"/>
                <w:lang w:val="en-US" w:eastAsia="zh-CN" w:bidi="ar-SA"/>
              </w:rPr>
              <w:t>。 除上述情况外，评标报价=投标报价。</w:t>
            </w:r>
          </w:p>
          <w:p w14:paraId="755531D0">
            <w:pPr>
              <w:pStyle w:val="19"/>
              <w:numPr>
                <w:ilvl w:val="0"/>
                <w:numId w:val="0"/>
              </w:numPr>
              <w:spacing w:before="59" w:line="355" w:lineRule="auto"/>
              <w:ind w:right="227" w:rightChars="0"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568CD2B7">
            <w:pPr>
              <w:pStyle w:val="19"/>
              <w:spacing w:before="39" w:line="311" w:lineRule="auto"/>
              <w:ind w:right="92" w:firstLine="420" w:firstLineChars="200"/>
              <w:jc w:val="both"/>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D94479B">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（5）本国产品政策性扣除计算方法。</w:t>
            </w:r>
          </w:p>
          <w:p w14:paraId="118A7F2D">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BD20F5C">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38575C26">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供应商在其投标文件中提供《关于符合本国产品标准的声明函》或财政部会同有关部门规定的有关证明文件，出具符合要求的《声明函》或有关证明文件的，该产品视为本国产品。</w:t>
            </w:r>
          </w:p>
          <w:p w14:paraId="06E352D0">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如果所有参与竞争的供应商均可享受本国产品价格评审优惠，则统一不进行价格扣除。</w:t>
            </w:r>
          </w:p>
          <w:p w14:paraId="39A435F1">
            <w:pPr>
              <w:pStyle w:val="19"/>
              <w:spacing w:before="39" w:line="311" w:lineRule="auto"/>
              <w:ind w:right="92" w:firstLine="400" w:firstLineChars="200"/>
              <w:jc w:val="both"/>
              <w:rPr>
                <w:rFonts w:hint="eastAsia" w:ascii="宋体" w:hAnsi="宋体"/>
                <w:bCs/>
                <w:color w:val="auto"/>
                <w:szCs w:val="21"/>
                <w:highlight w:val="none"/>
              </w:rPr>
            </w:pPr>
            <w:r>
              <w:rPr>
                <w:rFonts w:hint="eastAsia" w:ascii="宋体" w:hAnsi="宋体"/>
                <w:bCs/>
                <w:color w:val="auto"/>
                <w:szCs w:val="21"/>
                <w:highlight w:val="none"/>
              </w:rPr>
              <w:t>（6）评审价=投标报价-本国产品折扣，除上述情况外，评审价=投标报价。</w:t>
            </w:r>
          </w:p>
          <w:p w14:paraId="1B389B9B">
            <w:pPr>
              <w:pStyle w:val="19"/>
              <w:spacing w:before="39" w:line="311" w:lineRule="auto"/>
              <w:ind w:right="92" w:firstLine="420" w:firstLineChars="200"/>
              <w:jc w:val="both"/>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7</w:t>
            </w:r>
            <w:r>
              <w:rPr>
                <w:rFonts w:hint="eastAsia" w:ascii="宋体" w:hAnsi="宋体" w:eastAsia="宋体" w:cs="宋体"/>
                <w:snapToGrid/>
                <w:color w:val="auto"/>
                <w:kern w:val="2"/>
                <w:sz w:val="21"/>
                <w:szCs w:val="21"/>
                <w:highlight w:val="none"/>
                <w:lang w:val="en-US" w:eastAsia="zh-CN" w:bidi="ar-SA"/>
              </w:rPr>
              <w:t>）满足招标文件要求且评标报价最低的评标报价为评标基准价，其价格分为满分。</w:t>
            </w:r>
          </w:p>
          <w:p w14:paraId="02EC3FB5">
            <w:pPr>
              <w:pStyle w:val="19"/>
              <w:spacing w:before="39" w:line="311" w:lineRule="auto"/>
              <w:ind w:right="92" w:firstLine="420" w:firstLineChars="200"/>
              <w:jc w:val="both"/>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w:t>
            </w:r>
            <w:r>
              <w:rPr>
                <w:rFonts w:hint="eastAsia" w:cs="宋体"/>
                <w:snapToGrid/>
                <w:color w:val="auto"/>
                <w:kern w:val="2"/>
                <w:sz w:val="21"/>
                <w:szCs w:val="21"/>
                <w:highlight w:val="none"/>
                <w:lang w:val="en-US" w:eastAsia="zh-CN" w:bidi="ar-SA"/>
              </w:rPr>
              <w:t>8</w:t>
            </w:r>
            <w:r>
              <w:rPr>
                <w:rFonts w:hint="eastAsia" w:ascii="宋体" w:hAnsi="宋体" w:eastAsia="宋体" w:cs="宋体"/>
                <w:snapToGrid/>
                <w:color w:val="auto"/>
                <w:kern w:val="2"/>
                <w:sz w:val="21"/>
                <w:szCs w:val="21"/>
                <w:highlight w:val="none"/>
                <w:lang w:val="en-US" w:eastAsia="zh-CN" w:bidi="ar-SA"/>
              </w:rPr>
              <w:t>）价格分计算公式：</w:t>
            </w:r>
          </w:p>
          <w:p w14:paraId="724186E1">
            <w:pPr>
              <w:pStyle w:val="19"/>
              <w:spacing w:before="39" w:line="311" w:lineRule="auto"/>
              <w:ind w:right="92" w:firstLine="420" w:firstLineChars="200"/>
              <w:jc w:val="both"/>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价格分=（评标基准价／评标折扣率报价）×</w:t>
            </w:r>
            <w:r>
              <w:rPr>
                <w:rFonts w:hint="eastAsia" w:ascii="宋体" w:hAnsi="宋体" w:eastAsia="宋体" w:cs="宋体"/>
                <w:snapToGrid/>
                <w:color w:val="auto"/>
                <w:kern w:val="2"/>
                <w:sz w:val="21"/>
                <w:szCs w:val="21"/>
                <w:highlight w:val="none"/>
                <w:u w:val="single"/>
                <w:lang w:val="en-US" w:eastAsia="zh-CN" w:bidi="ar-SA"/>
              </w:rPr>
              <w:t xml:space="preserve"> 30 </w:t>
            </w:r>
            <w:r>
              <w:rPr>
                <w:rFonts w:hint="eastAsia" w:ascii="宋体" w:hAnsi="宋体" w:eastAsia="宋体" w:cs="宋体"/>
                <w:snapToGrid/>
                <w:color w:val="auto"/>
                <w:kern w:val="2"/>
                <w:sz w:val="21"/>
                <w:szCs w:val="21"/>
                <w:highlight w:val="none"/>
                <w:lang w:val="en-US" w:eastAsia="zh-CN" w:bidi="ar-SA"/>
              </w:rPr>
              <w:t>分</w:t>
            </w:r>
          </w:p>
          <w:p w14:paraId="234D4399">
            <w:pPr>
              <w:pStyle w:val="19"/>
              <w:numPr>
                <w:ilvl w:val="0"/>
                <w:numId w:val="0"/>
              </w:numPr>
              <w:spacing w:before="59" w:line="355" w:lineRule="auto"/>
              <w:ind w:right="227" w:rightChars="0"/>
              <w:rPr>
                <w:color w:val="auto"/>
                <w:highlight w:val="none"/>
              </w:rPr>
            </w:pPr>
            <w:r>
              <w:rPr>
                <w:rFonts w:hint="eastAsia" w:ascii="宋体" w:hAnsi="宋体" w:eastAsia="宋体" w:cs="宋体"/>
                <w:snapToGrid/>
                <w:color w:val="auto"/>
                <w:kern w:val="2"/>
                <w:sz w:val="21"/>
                <w:szCs w:val="21"/>
                <w:highlight w:val="none"/>
                <w:lang w:val="en-US" w:eastAsia="zh-CN" w:bidi="ar-SA"/>
              </w:rPr>
              <w:t>注：评标委员会认为投标人的报价明显低于其他通过符合性审查投标人的报价，有可能影响产品质量或者不能诚信履约的，应当要求其在评标现场合理的时间内提供书面说明，必要时提交相关证明材料；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bCs/>
                <w:snapToGrid/>
                <w:color w:val="auto"/>
                <w:kern w:val="2"/>
                <w:sz w:val="21"/>
                <w:szCs w:val="21"/>
                <w:highlight w:val="none"/>
                <w:lang w:val="en-US" w:eastAsia="zh-CN" w:bidi="ar-SA"/>
              </w:rPr>
              <w:t>投标人不能证明其报价合理性的，评标委员会将其作为无 效投标处理。</w:t>
            </w:r>
          </w:p>
        </w:tc>
      </w:tr>
      <w:tr w14:paraId="08514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566" w:type="dxa"/>
            <w:vMerge w:val="restart"/>
            <w:shd w:val="clear" w:color="auto" w:fill="auto"/>
            <w:vAlign w:val="center"/>
          </w:tcPr>
          <w:p w14:paraId="30A8628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2</w:t>
            </w:r>
          </w:p>
        </w:tc>
        <w:tc>
          <w:tcPr>
            <w:tcW w:w="1584" w:type="dxa"/>
            <w:vMerge w:val="restart"/>
            <w:shd w:val="clear" w:color="auto" w:fill="auto"/>
            <w:vAlign w:val="center"/>
          </w:tcPr>
          <w:p w14:paraId="3E6FE49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服务实施方案分（满分 45 分）</w:t>
            </w:r>
          </w:p>
        </w:tc>
        <w:tc>
          <w:tcPr>
            <w:tcW w:w="1419" w:type="dxa"/>
            <w:shd w:val="clear" w:color="auto" w:fill="auto"/>
            <w:vAlign w:val="center"/>
          </w:tcPr>
          <w:p w14:paraId="6AE46998">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（1）项目实施方案（满分15分）</w:t>
            </w:r>
          </w:p>
        </w:tc>
        <w:tc>
          <w:tcPr>
            <w:tcW w:w="6304" w:type="dxa"/>
            <w:shd w:val="clear" w:color="auto" w:fill="auto"/>
            <w:vAlign w:val="top"/>
          </w:tcPr>
          <w:p w14:paraId="5F75653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一档（3分）：</w:t>
            </w:r>
            <w:r>
              <w:rPr>
                <w:rFonts w:hint="eastAsia" w:ascii="宋体" w:hAnsi="宋体" w:eastAsia="宋体" w:cs="宋体"/>
                <w:snapToGrid/>
                <w:color w:val="auto"/>
                <w:kern w:val="2"/>
                <w:sz w:val="21"/>
                <w:szCs w:val="21"/>
                <w:highlight w:val="none"/>
                <w:lang w:val="en-US" w:eastAsia="zh-CN" w:bidi="ar-SA"/>
              </w:rPr>
              <w:t>管理制度不够完善，配送服务方案基本符合要求。针对采购单位实际需求的描述不够详细，基本能保证配送服务的质量。对于问题食材引发的紧急事件处理预案内容缺乏针对性，且对紧急事件的现场处理时间超过60分钟；</w:t>
            </w:r>
          </w:p>
          <w:p w14:paraId="552D2D65">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二档（6分）：</w:t>
            </w:r>
            <w:r>
              <w:rPr>
                <w:rFonts w:hint="eastAsia" w:ascii="宋体" w:hAnsi="宋体" w:eastAsia="宋体" w:cs="宋体"/>
                <w:snapToGrid/>
                <w:color w:val="auto"/>
                <w:kern w:val="2"/>
                <w:sz w:val="21"/>
                <w:szCs w:val="21"/>
                <w:highlight w:val="none"/>
                <w:lang w:val="en-US" w:eastAsia="zh-CN" w:bidi="ar-SA"/>
              </w:rPr>
              <w:t>项目配送供货时间安排合理，管理制度简洁明了，配送服务方案基本满足需求。针对采购单位实际需求的描述较为简略，项目管理及配送措施配送人员满足基本架构，具体实施步骤和要求的阐述不够详尽，但能确保配送服务的正常进行。能在50分钟内到达现场处理紧急事件。问题食材发生紧急事件处理预案内容简洁实用；</w:t>
            </w:r>
          </w:p>
          <w:p w14:paraId="3480856C">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三档（9分）：</w:t>
            </w:r>
            <w:r>
              <w:rPr>
                <w:rFonts w:hint="eastAsia" w:ascii="宋体" w:hAnsi="宋体" w:eastAsia="宋体" w:cs="宋体"/>
                <w:snapToGrid/>
                <w:color w:val="auto"/>
                <w:kern w:val="2"/>
                <w:sz w:val="21"/>
                <w:szCs w:val="21"/>
                <w:highlight w:val="none"/>
                <w:lang w:val="en-US" w:eastAsia="zh-CN" w:bidi="ar-SA"/>
              </w:rPr>
              <w:t>项目配送体系合理，供货时间安排得当。管理制度完善，配送服务方案详尽。针对采购单位实际需求描述详细，具体实施步骤和要求明确。除保证配送服务业务外，还配备有机动人员应对紧急事件处理。对配送及应急处理的响应时间不超过15分钟，对紧急事件的现场处理时间不超过40分钟。问题食材发生紧急事件处理预案内容具体，具有一定针对性；</w:t>
            </w:r>
          </w:p>
          <w:p w14:paraId="4555133B">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四档（12分）：</w:t>
            </w:r>
            <w:r>
              <w:rPr>
                <w:rFonts w:hint="eastAsia" w:ascii="宋体" w:hAnsi="宋体" w:eastAsia="宋体" w:cs="宋体"/>
                <w:snapToGrid/>
                <w:color w:val="auto"/>
                <w:kern w:val="2"/>
                <w:sz w:val="21"/>
                <w:szCs w:val="21"/>
                <w:highlight w:val="none"/>
                <w:lang w:val="en-US" w:eastAsia="zh-CN" w:bidi="ar-SA"/>
              </w:rPr>
              <w:t>项目具备较强的生产或销售能力，配送工作体系完备。供货时间安排合理，管理制度和配送服务方案较为完善，描述详尽，具体实施步骤和要求明确。除保证常规配送服务外，还配备有机动人员专门处理紧急事件。对配送和应急处理的响应迅速，不超过10分钟。处理紧急事件时，能在30分钟内到达现场。针对问题食材发生的紧急事件，制定了具体且有针对性的处理预案。</w:t>
            </w:r>
          </w:p>
          <w:p w14:paraId="0C9C5EBD">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en-US" w:bidi="ar-SA"/>
              </w:rPr>
            </w:pPr>
            <w:r>
              <w:rPr>
                <w:rFonts w:hint="eastAsia" w:ascii="宋体" w:hAnsi="宋体" w:eastAsia="宋体" w:cs="宋体"/>
                <w:b/>
                <w:bCs/>
                <w:snapToGrid/>
                <w:color w:val="auto"/>
                <w:kern w:val="2"/>
                <w:sz w:val="21"/>
                <w:szCs w:val="21"/>
                <w:highlight w:val="none"/>
                <w:lang w:val="en-US" w:eastAsia="zh-CN" w:bidi="ar-SA"/>
              </w:rPr>
              <w:t>五档（15分）：</w:t>
            </w:r>
            <w:r>
              <w:rPr>
                <w:rFonts w:hint="eastAsia" w:ascii="宋体" w:hAnsi="宋体" w:eastAsia="宋体" w:cs="宋体"/>
                <w:snapToGrid/>
                <w:color w:val="auto"/>
                <w:kern w:val="2"/>
                <w:sz w:val="21"/>
                <w:szCs w:val="21"/>
                <w:highlight w:val="none"/>
                <w:lang w:val="en-US" w:eastAsia="zh-CN" w:bidi="ar-SA"/>
              </w:rPr>
              <w:t>项目生产与销售能力出众，配送工作体系成熟完备，供货时间安排合理。针对项目实际，提供全面细致、可靠的管理制度和配送服务方案，描述详尽，实施步骤和要求全面，具备较高的强针对和可行性，充分满足项目需求。问题食材紧急事件处理预案具体、全面，在保障配送服务的同时，配备充足的机动人员处理紧急事件，人员配置充足。对配送及应急处理的响应迅速，不超过5分钟，紧急事件现场处理时间不超20分钟，可行性高。方案具有针对性，重点突出，预案清晰，且能根据具体情况制定全面细致的方案，确保采购食材的卫生安全等重要因素。食材配送方案切合招标人单位特点。</w:t>
            </w:r>
          </w:p>
        </w:tc>
      </w:tr>
      <w:tr w14:paraId="071E3B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trPr>
        <w:tc>
          <w:tcPr>
            <w:tcW w:w="566" w:type="dxa"/>
            <w:vMerge w:val="continue"/>
            <w:shd w:val="clear" w:color="auto" w:fill="auto"/>
            <w:vAlign w:val="top"/>
          </w:tcPr>
          <w:p w14:paraId="41136704">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3690956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419" w:type="dxa"/>
            <w:shd w:val="clear" w:color="auto" w:fill="auto"/>
            <w:vAlign w:val="center"/>
          </w:tcPr>
          <w:p w14:paraId="6662AAAF">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（2）食品安全与质量保障能力（满分15分）</w:t>
            </w:r>
          </w:p>
        </w:tc>
        <w:tc>
          <w:tcPr>
            <w:tcW w:w="6304" w:type="dxa"/>
            <w:shd w:val="clear" w:color="auto" w:fill="auto"/>
            <w:vAlign w:val="top"/>
          </w:tcPr>
          <w:p w14:paraId="5B81E639">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一档（3分）：</w:t>
            </w:r>
            <w:r>
              <w:rPr>
                <w:rFonts w:hint="eastAsia" w:ascii="宋体" w:hAnsi="宋体" w:eastAsia="宋体" w:cs="宋体"/>
                <w:snapToGrid/>
                <w:color w:val="auto"/>
                <w:kern w:val="2"/>
                <w:sz w:val="21"/>
                <w:szCs w:val="21"/>
                <w:highlight w:val="none"/>
                <w:lang w:val="en-US" w:eastAsia="zh-CN" w:bidi="ar-SA"/>
              </w:rPr>
              <w:t>进货渠道、食材控制管理、检验检疫、质量标准管控和追溯方式等方面的描述较为简略，仅达到采购文件的基本要求。</w:t>
            </w:r>
          </w:p>
          <w:p w14:paraId="5434C824">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二档（6分）：</w:t>
            </w:r>
            <w:r>
              <w:rPr>
                <w:rFonts w:hint="eastAsia" w:ascii="宋体" w:hAnsi="宋体" w:eastAsia="宋体" w:cs="宋体"/>
                <w:snapToGrid/>
                <w:color w:val="auto"/>
                <w:kern w:val="2"/>
                <w:sz w:val="21"/>
                <w:szCs w:val="21"/>
                <w:highlight w:val="none"/>
                <w:lang w:val="en-US" w:eastAsia="zh-CN" w:bidi="ar-SA"/>
              </w:rPr>
              <w:t>进货渠道、食材控制管理措施、检验检疫措施、食材质量标准管控措施、追溯方式等方面的描述虽清晰，然尚不全面。</w:t>
            </w:r>
          </w:p>
          <w:p w14:paraId="2A3D0837">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三档（9分）：</w:t>
            </w:r>
            <w:r>
              <w:rPr>
                <w:rFonts w:hint="eastAsia" w:ascii="宋体" w:hAnsi="宋体" w:eastAsia="宋体" w:cs="宋体"/>
                <w:snapToGrid/>
                <w:color w:val="auto"/>
                <w:kern w:val="2"/>
                <w:sz w:val="21"/>
                <w:szCs w:val="21"/>
                <w:highlight w:val="none"/>
                <w:lang w:val="en-US" w:eastAsia="zh-CN" w:bidi="ar-SA"/>
              </w:rPr>
              <w:t>进货采购渠道，食材控制管理措施，检验检疫措施、食材质量安全保证措施、追溯方式等方面，描述较清晰、较全面、并且主动开展了检验工作。</w:t>
            </w:r>
          </w:p>
          <w:p w14:paraId="35EEAE51">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四档（12分）</w:t>
            </w:r>
            <w:r>
              <w:rPr>
                <w:rFonts w:hint="eastAsia" w:ascii="宋体" w:hAnsi="宋体" w:eastAsia="宋体" w:cs="宋体"/>
                <w:snapToGrid/>
                <w:color w:val="auto"/>
                <w:kern w:val="2"/>
                <w:sz w:val="21"/>
                <w:szCs w:val="21"/>
                <w:highlight w:val="none"/>
                <w:lang w:val="en-US" w:eastAsia="zh-CN" w:bidi="ar-SA"/>
              </w:rPr>
              <w:t>：进货采购渠道有固定货源且货源稳定，食材控制管理措施较完善，具备所有提供的产品为自养或自有或自种或自有批发销售点，食品原料货源到运输，质量安全保证措施有针对性，食材质量标准、追溯方式这几个方面描述较清晰全面、检验设备、检验室、人员配备措施较全面。</w:t>
            </w:r>
          </w:p>
          <w:p w14:paraId="5053DABA">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en-US" w:bidi="ar-SA"/>
              </w:rPr>
            </w:pPr>
            <w:r>
              <w:rPr>
                <w:rFonts w:hint="eastAsia" w:ascii="宋体" w:hAnsi="宋体" w:eastAsia="宋体" w:cs="宋体"/>
                <w:b/>
                <w:bCs/>
                <w:snapToGrid/>
                <w:color w:val="auto"/>
                <w:kern w:val="2"/>
                <w:sz w:val="21"/>
                <w:szCs w:val="21"/>
                <w:highlight w:val="none"/>
                <w:lang w:val="en-US" w:eastAsia="zh-CN" w:bidi="ar-SA"/>
              </w:rPr>
              <w:t>五档（15分）：</w:t>
            </w:r>
            <w:r>
              <w:rPr>
                <w:rFonts w:hint="eastAsia" w:ascii="宋体" w:hAnsi="宋体" w:eastAsia="宋体" w:cs="宋体"/>
                <w:snapToGrid/>
                <w:color w:val="auto"/>
                <w:kern w:val="2"/>
                <w:sz w:val="21"/>
                <w:szCs w:val="21"/>
                <w:highlight w:val="none"/>
                <w:lang w:val="en-US" w:eastAsia="zh-CN" w:bidi="ar-SA"/>
              </w:rPr>
              <w:t>进货采购渠道有固定货源且货源稳定充足，具备所有提供的产品为自养或自有或自种或自有批发销售点，食材控制管理措施完善，从选择食品原料货源到运输，质量安全保证措施有针对性和服务特点，具备食品安全管理员，方案完整、清晰、具体、科学、合理、可行，食材质量标准、追溯方式这几个方面全部描述清晰，详细，检验检疫措施详细、全面具备有完善的检验设备、检验室、人员配备（检验员证或食品安全员证）。</w:t>
            </w:r>
          </w:p>
        </w:tc>
      </w:tr>
      <w:tr w14:paraId="67CEE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trPr>
        <w:tc>
          <w:tcPr>
            <w:tcW w:w="566" w:type="dxa"/>
            <w:vMerge w:val="continue"/>
            <w:shd w:val="clear" w:color="auto" w:fill="auto"/>
            <w:vAlign w:val="top"/>
          </w:tcPr>
          <w:p w14:paraId="39FCD83C">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300EFA0C">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419" w:type="dxa"/>
            <w:shd w:val="clear" w:color="auto" w:fill="auto"/>
            <w:vAlign w:val="center"/>
          </w:tcPr>
          <w:p w14:paraId="5257E6F8">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（3）服务承诺与售后服务方案（满分10分）</w:t>
            </w:r>
          </w:p>
        </w:tc>
        <w:tc>
          <w:tcPr>
            <w:tcW w:w="6304" w:type="dxa"/>
            <w:shd w:val="clear" w:color="auto" w:fill="auto"/>
            <w:vAlign w:val="top"/>
          </w:tcPr>
          <w:p w14:paraId="515215EF">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一档（2分）：</w:t>
            </w:r>
            <w:r>
              <w:rPr>
                <w:rFonts w:hint="eastAsia" w:ascii="宋体" w:hAnsi="宋体" w:eastAsia="宋体" w:cs="宋体"/>
                <w:snapToGrid/>
                <w:color w:val="auto"/>
                <w:kern w:val="2"/>
                <w:sz w:val="21"/>
                <w:szCs w:val="21"/>
                <w:highlight w:val="none"/>
                <w:lang w:val="en-US" w:eastAsia="zh-CN" w:bidi="ar-SA"/>
              </w:rPr>
              <w:t>承诺退换完成时间超过6小时，售后服务承诺仅具备基础性，服务承诺内容单一、浅显。</w:t>
            </w:r>
          </w:p>
          <w:p w14:paraId="215F4EB7">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二档（4分）：</w:t>
            </w:r>
            <w:r>
              <w:rPr>
                <w:rFonts w:hint="eastAsia" w:ascii="宋体" w:hAnsi="宋体" w:eastAsia="宋体" w:cs="宋体"/>
                <w:snapToGrid/>
                <w:color w:val="auto"/>
                <w:kern w:val="2"/>
                <w:sz w:val="21"/>
                <w:szCs w:val="21"/>
                <w:highlight w:val="none"/>
                <w:lang w:val="en-US" w:eastAsia="zh-CN" w:bidi="ar-SA"/>
              </w:rPr>
              <w:t>承诺退换完成时间在5小时以内，但服务承诺、措施以及后期服务承诺缺乏针对性。</w:t>
            </w:r>
          </w:p>
          <w:p w14:paraId="35FAED55">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三档（6分）：</w:t>
            </w:r>
            <w:r>
              <w:rPr>
                <w:rFonts w:hint="eastAsia" w:ascii="宋体" w:hAnsi="宋体" w:eastAsia="宋体" w:cs="宋体"/>
                <w:snapToGrid/>
                <w:color w:val="auto"/>
                <w:kern w:val="2"/>
                <w:sz w:val="21"/>
                <w:szCs w:val="21"/>
                <w:highlight w:val="none"/>
                <w:lang w:val="en-US" w:eastAsia="zh-CN" w:bidi="ar-SA"/>
              </w:rPr>
              <w:t>承诺退换完成时间在4小时以内，且服务承诺、措施切实可行，后期服务承诺响应迅速，能够满足项目需求。</w:t>
            </w:r>
          </w:p>
          <w:p w14:paraId="3E2A7A85">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四档（8分）：</w:t>
            </w:r>
            <w:r>
              <w:rPr>
                <w:rFonts w:hint="eastAsia" w:ascii="宋体" w:hAnsi="宋体" w:eastAsia="宋体" w:cs="宋体"/>
                <w:snapToGrid/>
                <w:color w:val="auto"/>
                <w:kern w:val="2"/>
                <w:sz w:val="21"/>
                <w:szCs w:val="21"/>
                <w:highlight w:val="none"/>
                <w:lang w:val="en-US" w:eastAsia="zh-CN" w:bidi="ar-SA"/>
              </w:rPr>
              <w:t>对于紧急事件的处理预案内容详细全面，承诺退换时间在3小时以内，具有健全、详细的服务承诺和多种有效的后期售后服务方式，并明确如何确保退换的货物符合采购单位需求</w:t>
            </w:r>
            <w:r>
              <w:rPr>
                <w:rFonts w:hint="eastAsia" w:cs="宋体"/>
                <w:snapToGrid/>
                <w:color w:val="auto"/>
                <w:kern w:val="2"/>
                <w:sz w:val="21"/>
                <w:szCs w:val="21"/>
                <w:highlight w:val="none"/>
                <w:lang w:val="en-US" w:eastAsia="zh-CN" w:bidi="ar-SA"/>
              </w:rPr>
              <w:t>。</w:t>
            </w:r>
          </w:p>
          <w:p w14:paraId="0D8F6F4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en-US" w:bidi="ar-SA"/>
              </w:rPr>
            </w:pPr>
            <w:r>
              <w:rPr>
                <w:rFonts w:hint="eastAsia" w:ascii="宋体" w:hAnsi="宋体" w:eastAsia="宋体" w:cs="宋体"/>
                <w:b/>
                <w:bCs/>
                <w:snapToGrid/>
                <w:color w:val="auto"/>
                <w:kern w:val="2"/>
                <w:sz w:val="21"/>
                <w:szCs w:val="21"/>
                <w:highlight w:val="none"/>
                <w:lang w:val="en-US" w:eastAsia="zh-CN" w:bidi="ar-SA"/>
              </w:rPr>
              <w:t>五档（10分）：</w:t>
            </w:r>
            <w:r>
              <w:rPr>
                <w:rFonts w:hint="eastAsia" w:ascii="宋体" w:hAnsi="宋体" w:eastAsia="宋体" w:cs="宋体"/>
                <w:snapToGrid/>
                <w:color w:val="auto"/>
                <w:kern w:val="2"/>
                <w:sz w:val="21"/>
                <w:szCs w:val="21"/>
                <w:highlight w:val="none"/>
                <w:lang w:val="en-US" w:eastAsia="zh-CN" w:bidi="ar-SA"/>
              </w:rPr>
              <w:t>满足三档的基础上，且承诺退换完成时间在2小时以内。对因货物出现问题，而发生紧急事件处理预案内容具体、全面，有健全、详细的服务承诺、后期售后服务方式多样有效，措施得力，能满足项目需求，包括售后服务监督和回访管理、台账管理、售后服务管理及售后服务措施（含对问题物料的处理及特殊情况的应急预案），明确如何确保退换的货物符合采购单位需求，有固定的售后服务团队，配备专门人员为业主提供服务。</w:t>
            </w:r>
          </w:p>
        </w:tc>
      </w:tr>
      <w:tr w14:paraId="6F59C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6" w:hRule="atLeast"/>
        </w:trPr>
        <w:tc>
          <w:tcPr>
            <w:tcW w:w="566" w:type="dxa"/>
            <w:vMerge w:val="continue"/>
            <w:shd w:val="clear" w:color="auto" w:fill="auto"/>
            <w:vAlign w:val="top"/>
          </w:tcPr>
          <w:p w14:paraId="652D75D9">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7270AA52">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419" w:type="dxa"/>
            <w:shd w:val="clear" w:color="auto" w:fill="auto"/>
            <w:vAlign w:val="center"/>
          </w:tcPr>
          <w:p w14:paraId="5D540622">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（4）</w:t>
            </w:r>
          </w:p>
          <w:p w14:paraId="72C564FC">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应急方案</w:t>
            </w:r>
          </w:p>
          <w:p w14:paraId="472642A2">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en-US" w:bidi="ar-SA"/>
              </w:rPr>
            </w:pPr>
            <w:r>
              <w:rPr>
                <w:rFonts w:hint="eastAsia" w:ascii="宋体" w:hAnsi="宋体" w:eastAsia="宋体" w:cs="宋体"/>
                <w:b w:val="0"/>
                <w:bCs w:val="0"/>
                <w:snapToGrid/>
                <w:color w:val="auto"/>
                <w:kern w:val="2"/>
                <w:sz w:val="21"/>
                <w:szCs w:val="21"/>
                <w:highlight w:val="none"/>
                <w:lang w:val="en-US" w:eastAsia="zh-CN" w:bidi="ar-SA"/>
              </w:rPr>
              <w:t>（满分5分）</w:t>
            </w:r>
          </w:p>
        </w:tc>
        <w:tc>
          <w:tcPr>
            <w:tcW w:w="6304" w:type="dxa"/>
            <w:shd w:val="clear" w:color="auto" w:fill="auto"/>
            <w:vAlign w:val="top"/>
          </w:tcPr>
          <w:p w14:paraId="3774C13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一档（1分）：</w:t>
            </w:r>
            <w:r>
              <w:rPr>
                <w:rFonts w:hint="eastAsia" w:ascii="宋体" w:hAnsi="宋体" w:eastAsia="宋体" w:cs="宋体"/>
                <w:snapToGrid/>
                <w:color w:val="auto"/>
                <w:kern w:val="2"/>
                <w:sz w:val="21"/>
                <w:szCs w:val="21"/>
                <w:highlight w:val="none"/>
                <w:lang w:val="en-US" w:eastAsia="zh-CN" w:bidi="ar-SA"/>
              </w:rPr>
              <w:t>投标文件中的应急预案方案内容有应急组成员、保证供货应急预案、食材质量问题处理预案、仓库火灾应急预案说明。</w:t>
            </w:r>
          </w:p>
          <w:p w14:paraId="60D523F9">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二档（2分）：</w:t>
            </w:r>
            <w:r>
              <w:rPr>
                <w:rFonts w:hint="eastAsia" w:ascii="宋体" w:hAnsi="宋体" w:eastAsia="宋体" w:cs="宋体"/>
                <w:snapToGrid/>
                <w:color w:val="auto"/>
                <w:kern w:val="2"/>
                <w:sz w:val="21"/>
                <w:szCs w:val="21"/>
                <w:highlight w:val="none"/>
                <w:lang w:val="en-US" w:eastAsia="zh-CN" w:bidi="ar-SA"/>
              </w:rPr>
              <w:t>投标文件中的应急预案方案内容有应急组成员、保证供货应急预案、食材质量 问题处理预案、仓库火灾应急预案、食材运输应急预案说明 。能在60分钟内到达现场处理紧急事件。问题食材发生紧急事件处理预案内容简洁实用。</w:t>
            </w:r>
          </w:p>
          <w:p w14:paraId="137FF67C">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三档（3分）：</w:t>
            </w:r>
            <w:r>
              <w:rPr>
                <w:rFonts w:hint="eastAsia" w:ascii="宋体" w:hAnsi="宋体" w:eastAsia="宋体" w:cs="宋体"/>
                <w:snapToGrid/>
                <w:color w:val="auto"/>
                <w:kern w:val="2"/>
                <w:sz w:val="21"/>
                <w:szCs w:val="21"/>
                <w:highlight w:val="none"/>
                <w:lang w:val="en-US" w:eastAsia="zh-CN" w:bidi="ar-SA"/>
              </w:rPr>
              <w:t>投标文件中的应急预案方案内容有应急组成员、保证供货应急预案、食材质量 问题处理预案、仓库火灾应急预案、食材运输应急预案、供货响应应急预案说明。对配送及应急处理的响应时间不超过10分钟，对紧急事件的现场处理时间不超过40分钟。问题食材发生紧急事件处理预案内容具体，具有一定针对性；</w:t>
            </w:r>
          </w:p>
          <w:p w14:paraId="490FC8F0">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四档（5分）</w:t>
            </w:r>
            <w:r>
              <w:rPr>
                <w:rFonts w:hint="eastAsia" w:ascii="宋体" w:hAnsi="宋体" w:eastAsia="宋体" w:cs="宋体"/>
                <w:snapToGrid/>
                <w:color w:val="auto"/>
                <w:kern w:val="2"/>
                <w:sz w:val="21"/>
                <w:szCs w:val="21"/>
                <w:highlight w:val="none"/>
                <w:lang w:val="en-US" w:eastAsia="zh-CN" w:bidi="ar-SA"/>
              </w:rPr>
              <w:t>：投标文件中的应急预案方案内容有详细的应急组成员、保证供货应急预案、食材质量问题处理预案、仓库火灾应急预案、食材运输应急预案、供货响应应急预案、食材中毒应急预案、不可预见性突发事件应急预案说明，方案陈述全面。对配送和应急处理的响应迅速，不超过5分钟。处理紧急事件时，能在30分钟内到达现场。针对问题食材发生的紧急事件，制定了具体且有针对性的处理预案。</w:t>
            </w:r>
          </w:p>
          <w:p w14:paraId="5B5B7A7B">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en-US" w:bidi="ar-SA"/>
              </w:rPr>
            </w:pPr>
            <w:r>
              <w:rPr>
                <w:rFonts w:hint="eastAsia" w:ascii="宋体" w:hAnsi="宋体" w:eastAsia="宋体" w:cs="宋体"/>
                <w:snapToGrid/>
                <w:color w:val="auto"/>
                <w:kern w:val="2"/>
                <w:sz w:val="21"/>
                <w:szCs w:val="21"/>
                <w:highlight w:val="none"/>
                <w:lang w:val="en-US" w:eastAsia="zh-CN" w:bidi="ar-SA"/>
              </w:rPr>
              <w:t>注：未提供或未达到一档要求的本项不得分。</w:t>
            </w:r>
          </w:p>
        </w:tc>
      </w:tr>
      <w:tr w14:paraId="1C3BA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trPr>
        <w:tc>
          <w:tcPr>
            <w:tcW w:w="566" w:type="dxa"/>
            <w:shd w:val="clear" w:color="auto" w:fill="auto"/>
            <w:vAlign w:val="center"/>
          </w:tcPr>
          <w:p w14:paraId="422D1366">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3</w:t>
            </w:r>
          </w:p>
        </w:tc>
        <w:tc>
          <w:tcPr>
            <w:tcW w:w="1584" w:type="dxa"/>
            <w:shd w:val="clear" w:color="auto" w:fill="auto"/>
            <w:vAlign w:val="center"/>
          </w:tcPr>
          <w:p w14:paraId="0C3A61FC">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管理制度分</w:t>
            </w:r>
          </w:p>
          <w:p w14:paraId="22CB055D">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（满分 5 分）</w:t>
            </w:r>
          </w:p>
        </w:tc>
        <w:tc>
          <w:tcPr>
            <w:tcW w:w="1419" w:type="dxa"/>
            <w:shd w:val="clear" w:color="auto" w:fill="auto"/>
            <w:vAlign w:val="center"/>
          </w:tcPr>
          <w:p w14:paraId="4869DBB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管理制度分（满分 5 分）</w:t>
            </w:r>
          </w:p>
        </w:tc>
        <w:tc>
          <w:tcPr>
            <w:tcW w:w="6304" w:type="dxa"/>
            <w:shd w:val="clear" w:color="auto" w:fill="auto"/>
            <w:vAlign w:val="top"/>
          </w:tcPr>
          <w:p w14:paraId="1D7E4ED6">
            <w:pPr>
              <w:pStyle w:val="19"/>
              <w:spacing w:before="148" w:line="339" w:lineRule="auto"/>
              <w:ind w:right="106"/>
              <w:rPr>
                <w:color w:val="auto"/>
                <w:sz w:val="21"/>
                <w:szCs w:val="21"/>
                <w:highlight w:val="none"/>
              </w:rPr>
            </w:pPr>
            <w:r>
              <w:rPr>
                <w:b/>
                <w:bCs/>
                <w:color w:val="auto"/>
                <w:spacing w:val="-3"/>
                <w:sz w:val="21"/>
                <w:szCs w:val="21"/>
                <w:highlight w:val="none"/>
              </w:rPr>
              <w:t>一档(</w:t>
            </w:r>
            <w:r>
              <w:rPr>
                <w:rFonts w:hint="eastAsia"/>
                <w:b/>
                <w:bCs/>
                <w:color w:val="auto"/>
                <w:spacing w:val="-3"/>
                <w:sz w:val="21"/>
                <w:szCs w:val="21"/>
                <w:highlight w:val="none"/>
                <w:lang w:val="en-US" w:eastAsia="zh-CN"/>
              </w:rPr>
              <w:t>1</w:t>
            </w:r>
            <w:r>
              <w:rPr>
                <w:b/>
                <w:bCs/>
                <w:color w:val="auto"/>
                <w:spacing w:val="-3"/>
                <w:sz w:val="21"/>
                <w:szCs w:val="21"/>
                <w:highlight w:val="none"/>
              </w:rPr>
              <w:t>分):</w:t>
            </w:r>
            <w:r>
              <w:rPr>
                <w:color w:val="auto"/>
                <w:spacing w:val="-3"/>
                <w:sz w:val="21"/>
                <w:szCs w:val="21"/>
                <w:highlight w:val="none"/>
              </w:rPr>
              <w:t>投标人</w:t>
            </w:r>
            <w:r>
              <w:rPr>
                <w:rFonts w:hint="eastAsia" w:ascii="宋体" w:hAnsi="宋体" w:eastAsia="宋体" w:cs="宋体"/>
                <w:snapToGrid/>
                <w:color w:val="auto"/>
                <w:kern w:val="2"/>
                <w:sz w:val="21"/>
                <w:szCs w:val="21"/>
                <w:highlight w:val="none"/>
                <w:lang w:val="en-US" w:eastAsia="zh-CN" w:bidi="ar-SA"/>
              </w:rPr>
              <w:t>缺乏管理制度方案或管理制度不完备</w:t>
            </w:r>
            <w:r>
              <w:rPr>
                <w:color w:val="auto"/>
                <w:spacing w:val="-3"/>
                <w:sz w:val="21"/>
                <w:szCs w:val="21"/>
                <w:highlight w:val="none"/>
              </w:rPr>
              <w:t>，包括但不限</w:t>
            </w:r>
            <w:r>
              <w:rPr>
                <w:color w:val="auto"/>
                <w:spacing w:val="-1"/>
                <w:sz w:val="21"/>
                <w:szCs w:val="21"/>
                <w:highlight w:val="none"/>
              </w:rPr>
              <w:t>于</w:t>
            </w:r>
            <w:r>
              <w:rPr>
                <w:rFonts w:hint="eastAsia" w:ascii="宋体" w:hAnsi="宋体" w:eastAsia="宋体" w:cs="宋体"/>
                <w:snapToGrid/>
                <w:color w:val="auto"/>
                <w:kern w:val="2"/>
                <w:sz w:val="21"/>
                <w:szCs w:val="21"/>
                <w:highlight w:val="none"/>
                <w:lang w:val="en-US" w:eastAsia="zh-CN" w:bidi="ar-SA"/>
              </w:rPr>
              <w:t>《消费投诉处理和食品卫生安全承诺制度》；《食品留样管理制度》；《从业人员健康制度》</w:t>
            </w:r>
            <w:r>
              <w:rPr>
                <w:color w:val="auto"/>
                <w:spacing w:val="-1"/>
                <w:sz w:val="21"/>
                <w:szCs w:val="21"/>
                <w:highlight w:val="none"/>
              </w:rPr>
              <w:t>等。</w:t>
            </w:r>
          </w:p>
          <w:p w14:paraId="1441E48E">
            <w:pPr>
              <w:pStyle w:val="19"/>
              <w:spacing w:before="1" w:line="338" w:lineRule="auto"/>
              <w:ind w:left="118" w:right="106"/>
              <w:rPr>
                <w:color w:val="auto"/>
                <w:sz w:val="21"/>
                <w:szCs w:val="21"/>
                <w:highlight w:val="none"/>
              </w:rPr>
            </w:pPr>
            <w:r>
              <w:rPr>
                <w:b/>
                <w:bCs/>
                <w:color w:val="auto"/>
                <w:spacing w:val="-3"/>
                <w:sz w:val="21"/>
                <w:szCs w:val="21"/>
                <w:highlight w:val="none"/>
              </w:rPr>
              <w:t>二档(2</w:t>
            </w:r>
            <w:r>
              <w:rPr>
                <w:b/>
                <w:bCs/>
                <w:color w:val="auto"/>
                <w:spacing w:val="-41"/>
                <w:sz w:val="21"/>
                <w:szCs w:val="21"/>
                <w:highlight w:val="none"/>
              </w:rPr>
              <w:t xml:space="preserve"> </w:t>
            </w:r>
            <w:r>
              <w:rPr>
                <w:b/>
                <w:bCs/>
                <w:color w:val="auto"/>
                <w:spacing w:val="-3"/>
                <w:sz w:val="21"/>
                <w:szCs w:val="21"/>
                <w:highlight w:val="none"/>
              </w:rPr>
              <w:t>分):</w:t>
            </w:r>
            <w:r>
              <w:rPr>
                <w:color w:val="auto"/>
                <w:spacing w:val="-3"/>
                <w:sz w:val="21"/>
                <w:szCs w:val="21"/>
                <w:highlight w:val="none"/>
              </w:rPr>
              <w:t>投标人提供的各项管理制度，包括但不限于包括但不限</w:t>
            </w:r>
            <w:r>
              <w:rPr>
                <w:color w:val="auto"/>
                <w:spacing w:val="-1"/>
                <w:sz w:val="21"/>
                <w:szCs w:val="21"/>
                <w:highlight w:val="none"/>
              </w:rPr>
              <w:t>于</w:t>
            </w:r>
            <w:r>
              <w:rPr>
                <w:rFonts w:hint="eastAsia" w:ascii="宋体" w:hAnsi="宋体" w:eastAsia="宋体" w:cs="宋体"/>
                <w:snapToGrid/>
                <w:color w:val="auto"/>
                <w:kern w:val="2"/>
                <w:sz w:val="21"/>
                <w:szCs w:val="21"/>
                <w:highlight w:val="none"/>
                <w:lang w:val="en-US" w:eastAsia="zh-CN" w:bidi="ar-SA"/>
              </w:rPr>
              <w:t>《消费投诉处理和食品卫生安全承诺制度》；《卫生知识培训制度》；《食品留样管理制度》；《从业人员健康制度》</w:t>
            </w:r>
            <w:r>
              <w:rPr>
                <w:color w:val="auto"/>
                <w:sz w:val="21"/>
                <w:szCs w:val="21"/>
                <w:highlight w:val="none"/>
              </w:rPr>
              <w:t>等制度</w:t>
            </w:r>
            <w:r>
              <w:rPr>
                <w:color w:val="auto"/>
                <w:spacing w:val="-1"/>
                <w:sz w:val="21"/>
                <w:szCs w:val="21"/>
                <w:highlight w:val="none"/>
              </w:rPr>
              <w:t>一般，实用</w:t>
            </w:r>
            <w:r>
              <w:rPr>
                <w:color w:val="auto"/>
                <w:spacing w:val="-4"/>
                <w:sz w:val="21"/>
                <w:szCs w:val="21"/>
                <w:highlight w:val="none"/>
              </w:rPr>
              <w:t>性一般。</w:t>
            </w:r>
          </w:p>
          <w:p w14:paraId="1654119D">
            <w:pPr>
              <w:pStyle w:val="19"/>
              <w:spacing w:before="1" w:line="338" w:lineRule="auto"/>
              <w:ind w:left="115" w:right="106"/>
              <w:rPr>
                <w:color w:val="auto"/>
                <w:spacing w:val="-1"/>
                <w:sz w:val="21"/>
                <w:szCs w:val="21"/>
                <w:highlight w:val="none"/>
              </w:rPr>
            </w:pPr>
            <w:r>
              <w:rPr>
                <w:b/>
                <w:bCs/>
                <w:color w:val="auto"/>
                <w:spacing w:val="-3"/>
                <w:sz w:val="21"/>
                <w:szCs w:val="21"/>
                <w:highlight w:val="none"/>
              </w:rPr>
              <w:t>三档(</w:t>
            </w:r>
            <w:r>
              <w:rPr>
                <w:rFonts w:hint="eastAsia"/>
                <w:b/>
                <w:bCs/>
                <w:color w:val="auto"/>
                <w:spacing w:val="-3"/>
                <w:sz w:val="21"/>
                <w:szCs w:val="21"/>
                <w:highlight w:val="none"/>
                <w:lang w:val="en-US" w:eastAsia="zh-CN"/>
              </w:rPr>
              <w:t>3</w:t>
            </w:r>
            <w:r>
              <w:rPr>
                <w:b/>
                <w:bCs/>
                <w:color w:val="auto"/>
                <w:spacing w:val="-3"/>
                <w:sz w:val="21"/>
                <w:szCs w:val="21"/>
                <w:highlight w:val="none"/>
              </w:rPr>
              <w:t>分):</w:t>
            </w:r>
            <w:r>
              <w:rPr>
                <w:color w:val="auto"/>
                <w:spacing w:val="-3"/>
                <w:sz w:val="21"/>
                <w:szCs w:val="21"/>
                <w:highlight w:val="none"/>
              </w:rPr>
              <w:t>投标人提供的各项管理制度，包括但不限于包括但不限</w:t>
            </w:r>
            <w:r>
              <w:rPr>
                <w:color w:val="auto"/>
                <w:spacing w:val="-1"/>
                <w:sz w:val="21"/>
                <w:szCs w:val="21"/>
                <w:highlight w:val="none"/>
              </w:rPr>
              <w:t>于</w:t>
            </w:r>
            <w:r>
              <w:rPr>
                <w:rFonts w:hint="eastAsia" w:ascii="宋体" w:hAnsi="宋体" w:eastAsia="宋体" w:cs="宋体"/>
                <w:snapToGrid/>
                <w:color w:val="auto"/>
                <w:kern w:val="2"/>
                <w:sz w:val="21"/>
                <w:szCs w:val="21"/>
                <w:highlight w:val="none"/>
                <w:lang w:val="en-US" w:eastAsia="zh-CN" w:bidi="ar-SA"/>
              </w:rPr>
              <w:t>《消费投诉处理和食品卫生安全承诺制度》；《食品准入台账登记制度》；《卫生知识培训制度》；《食品留样管理制度》；《从业人员健康制度》</w:t>
            </w:r>
            <w:r>
              <w:rPr>
                <w:color w:val="auto"/>
                <w:sz w:val="21"/>
                <w:szCs w:val="21"/>
                <w:highlight w:val="none"/>
              </w:rPr>
              <w:t>等制度较全面，</w:t>
            </w:r>
            <w:r>
              <w:rPr>
                <w:color w:val="auto"/>
                <w:spacing w:val="-1"/>
                <w:sz w:val="21"/>
                <w:szCs w:val="21"/>
                <w:highlight w:val="none"/>
              </w:rPr>
              <w:t>较完整，较完善，可行性较好。</w:t>
            </w:r>
          </w:p>
          <w:p w14:paraId="4CED0297">
            <w:pPr>
              <w:pStyle w:val="19"/>
              <w:spacing w:before="1" w:line="338" w:lineRule="auto"/>
              <w:ind w:left="115" w:right="106"/>
              <w:rPr>
                <w:rFonts w:hint="eastAsia" w:ascii="宋体" w:hAnsi="宋体" w:eastAsia="宋体" w:cs="宋体"/>
                <w:snapToGrid/>
                <w:color w:val="auto"/>
                <w:kern w:val="2"/>
                <w:sz w:val="21"/>
                <w:szCs w:val="21"/>
                <w:highlight w:val="none"/>
                <w:lang w:val="en-US" w:eastAsia="zh-CN" w:bidi="ar-SA"/>
              </w:rPr>
            </w:pPr>
            <w:r>
              <w:rPr>
                <w:b/>
                <w:bCs/>
                <w:color w:val="auto"/>
                <w:spacing w:val="-4"/>
                <w:sz w:val="21"/>
                <w:szCs w:val="21"/>
                <w:highlight w:val="none"/>
              </w:rPr>
              <w:t>四档(</w:t>
            </w:r>
            <w:r>
              <w:rPr>
                <w:rFonts w:hint="eastAsia"/>
                <w:b/>
                <w:bCs/>
                <w:color w:val="auto"/>
                <w:spacing w:val="-4"/>
                <w:sz w:val="21"/>
                <w:szCs w:val="21"/>
                <w:highlight w:val="none"/>
                <w:lang w:val="en-US" w:eastAsia="zh-CN"/>
              </w:rPr>
              <w:t>5</w:t>
            </w:r>
            <w:r>
              <w:rPr>
                <w:b/>
                <w:bCs/>
                <w:color w:val="auto"/>
                <w:spacing w:val="-4"/>
                <w:sz w:val="21"/>
                <w:szCs w:val="21"/>
                <w:highlight w:val="none"/>
              </w:rPr>
              <w:t>分):</w:t>
            </w:r>
            <w:r>
              <w:rPr>
                <w:color w:val="auto"/>
                <w:spacing w:val="-4"/>
                <w:sz w:val="21"/>
                <w:szCs w:val="21"/>
                <w:highlight w:val="none"/>
              </w:rPr>
              <w:t>投标人提供的各项管理制度，包括但不限于</w:t>
            </w:r>
            <w:r>
              <w:rPr>
                <w:color w:val="auto"/>
                <w:spacing w:val="-3"/>
                <w:sz w:val="21"/>
                <w:szCs w:val="21"/>
                <w:highlight w:val="none"/>
              </w:rPr>
              <w:t>包括但不限</w:t>
            </w:r>
            <w:r>
              <w:rPr>
                <w:color w:val="auto"/>
                <w:spacing w:val="-1"/>
                <w:sz w:val="21"/>
                <w:szCs w:val="21"/>
                <w:highlight w:val="none"/>
              </w:rPr>
              <w:t>于</w:t>
            </w:r>
            <w:r>
              <w:rPr>
                <w:rFonts w:hint="eastAsia" w:ascii="宋体" w:hAnsi="宋体" w:eastAsia="宋体" w:cs="宋体"/>
                <w:snapToGrid/>
                <w:color w:val="auto"/>
                <w:kern w:val="2"/>
                <w:sz w:val="21"/>
                <w:szCs w:val="21"/>
                <w:highlight w:val="none"/>
                <w:lang w:val="en-US" w:eastAsia="zh-CN" w:bidi="ar-SA"/>
              </w:rPr>
              <w:t>《食品卫生、食品质量检验制度》；《消费投诉处理和食品卫生安全承诺制度》；《食品准入台账登记制度》；《卫生知识培训制度》；《食品留样管理制度》；《从业人员健康制度》；《财务管理制度》</w:t>
            </w:r>
            <w:r>
              <w:rPr>
                <w:color w:val="auto"/>
                <w:sz w:val="21"/>
                <w:szCs w:val="21"/>
                <w:highlight w:val="none"/>
              </w:rPr>
              <w:t>等制度非常全面</w:t>
            </w:r>
            <w:r>
              <w:rPr>
                <w:color w:val="auto"/>
                <w:spacing w:val="-1"/>
                <w:sz w:val="21"/>
                <w:szCs w:val="21"/>
                <w:highlight w:val="none"/>
              </w:rPr>
              <w:t>，完整，完善，可行性高，实用性强。</w:t>
            </w:r>
          </w:p>
        </w:tc>
      </w:tr>
      <w:tr w14:paraId="60D8B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2" w:hRule="atLeast"/>
        </w:trPr>
        <w:tc>
          <w:tcPr>
            <w:tcW w:w="566" w:type="dxa"/>
            <w:vMerge w:val="restart"/>
            <w:shd w:val="clear" w:color="auto" w:fill="auto"/>
            <w:vAlign w:val="center"/>
          </w:tcPr>
          <w:p w14:paraId="60B034A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4</w:t>
            </w:r>
          </w:p>
        </w:tc>
        <w:tc>
          <w:tcPr>
            <w:tcW w:w="1584" w:type="dxa"/>
            <w:vMerge w:val="restart"/>
            <w:shd w:val="clear" w:color="auto" w:fill="auto"/>
            <w:vAlign w:val="center"/>
          </w:tcPr>
          <w:p w14:paraId="7013A090">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企业综合实力分（满分 20 分）</w:t>
            </w:r>
          </w:p>
        </w:tc>
        <w:tc>
          <w:tcPr>
            <w:tcW w:w="1419" w:type="dxa"/>
            <w:shd w:val="clear" w:color="auto" w:fill="auto"/>
            <w:vAlign w:val="center"/>
          </w:tcPr>
          <w:p w14:paraId="784234FB">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（1）配送能力 （满分 5 分）</w:t>
            </w:r>
          </w:p>
        </w:tc>
        <w:tc>
          <w:tcPr>
            <w:tcW w:w="6304" w:type="dxa"/>
            <w:shd w:val="clear" w:color="auto" w:fill="auto"/>
            <w:vAlign w:val="top"/>
          </w:tcPr>
          <w:p w14:paraId="5EFE4105">
            <w:pPr>
              <w:pStyle w:val="19"/>
              <w:numPr>
                <w:ilvl w:val="0"/>
                <w:numId w:val="0"/>
              </w:numPr>
              <w:spacing w:before="59" w:line="355" w:lineRule="auto"/>
              <w:ind w:right="227" w:rightChars="0"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投标人</w:t>
            </w:r>
            <w:r>
              <w:rPr>
                <w:rFonts w:hint="eastAsia" w:ascii="宋体" w:hAnsi="宋体" w:eastAsia="宋体" w:cs="宋体"/>
                <w:b/>
                <w:bCs/>
                <w:snapToGrid/>
                <w:color w:val="auto"/>
                <w:kern w:val="2"/>
                <w:sz w:val="21"/>
                <w:szCs w:val="21"/>
                <w:highlight w:val="none"/>
                <w:lang w:val="en-US" w:eastAsia="zh-CN" w:bidi="ar-SA"/>
              </w:rPr>
              <w:t>自有或租赁 3 台</w:t>
            </w:r>
            <w:r>
              <w:rPr>
                <w:rFonts w:hint="eastAsia" w:ascii="宋体" w:hAnsi="宋体" w:eastAsia="宋体" w:cs="宋体"/>
                <w:snapToGrid/>
                <w:color w:val="auto"/>
                <w:kern w:val="2"/>
                <w:sz w:val="21"/>
                <w:szCs w:val="21"/>
                <w:highlight w:val="none"/>
                <w:lang w:val="en-US" w:eastAsia="zh-CN" w:bidi="ar-SA"/>
              </w:rPr>
              <w:t>符合安全卫生标准的封闭厢式可远程监控配送冷藏专用运输车得 3 分，每增加 1 辆得 1 分。此项满分 5 分。</w:t>
            </w:r>
          </w:p>
          <w:p w14:paraId="0B4D6D34">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注：【自有车辆必须提供车辆行驶证或购买车辆发票（车辆所有人为法定代表人名字或投标单位名字）复印件，并提供车辆正面、侧面、后面实拍照片且清晰可辨等证明文件】；【租赁车辆必须提 供行驶证或购买发票（所有人为出租方）及租赁合同复印件（租车时必须提供，租赁期须包含本项目服务期），并提供车辆正面、侧面、后面车辆实拍照片且清晰可辨等证明文件】，所提供的复印件 须加盖投标人公章，未按要求提供相关材料或扫描不清晰导致无法识别的不计得分。</w:t>
            </w:r>
          </w:p>
          <w:p w14:paraId="58DA4828">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cs="宋体"/>
                <w:b/>
                <w:bCs/>
                <w:snapToGrid/>
                <w:color w:val="auto"/>
                <w:kern w:val="2"/>
                <w:sz w:val="21"/>
                <w:szCs w:val="21"/>
                <w:highlight w:val="none"/>
                <w:lang w:val="en-US" w:eastAsia="zh-CN" w:bidi="ar-SA"/>
              </w:rPr>
              <w:t>注：</w:t>
            </w:r>
            <w:r>
              <w:rPr>
                <w:rFonts w:hint="eastAsia" w:ascii="宋体" w:hAnsi="宋体" w:eastAsia="宋体" w:cs="宋体"/>
                <w:b/>
                <w:bCs/>
                <w:snapToGrid/>
                <w:color w:val="auto"/>
                <w:kern w:val="2"/>
                <w:sz w:val="21"/>
                <w:szCs w:val="21"/>
                <w:highlight w:val="none"/>
                <w:lang w:val="en-US" w:eastAsia="zh-CN" w:bidi="ar-SA"/>
              </w:rPr>
              <w:t>中标后核查行驶证、发票及租赁合同原件，如发现虚假应标则 取消中标资格，由下一中标候选人递补。</w:t>
            </w:r>
          </w:p>
        </w:tc>
      </w:tr>
      <w:tr w14:paraId="6EC3D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1" w:hRule="atLeast"/>
        </w:trPr>
        <w:tc>
          <w:tcPr>
            <w:tcW w:w="566" w:type="dxa"/>
            <w:vMerge w:val="continue"/>
            <w:shd w:val="clear" w:color="auto" w:fill="auto"/>
            <w:vAlign w:val="top"/>
          </w:tcPr>
          <w:p w14:paraId="567AFC97">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60FCE066">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419" w:type="dxa"/>
            <w:shd w:val="clear" w:color="auto" w:fill="auto"/>
            <w:vAlign w:val="center"/>
          </w:tcPr>
          <w:p w14:paraId="6BBBEC77">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（2）拟投入人员（满分5分）</w:t>
            </w:r>
          </w:p>
        </w:tc>
        <w:tc>
          <w:tcPr>
            <w:tcW w:w="6304" w:type="dxa"/>
            <w:shd w:val="clear" w:color="auto" w:fill="auto"/>
            <w:vAlign w:val="top"/>
          </w:tcPr>
          <w:p w14:paraId="6479798E">
            <w:pPr>
              <w:pStyle w:val="19"/>
              <w:numPr>
                <w:ilvl w:val="0"/>
                <w:numId w:val="0"/>
              </w:numPr>
              <w:spacing w:before="59" w:line="355" w:lineRule="auto"/>
              <w:ind w:right="227" w:rightChars="0"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1、投标人满足拟投入本项目的项目实施人员</w:t>
            </w:r>
            <w:r>
              <w:rPr>
                <w:rFonts w:hint="eastAsia" w:cs="宋体"/>
                <w:snapToGrid/>
                <w:color w:val="auto"/>
                <w:kern w:val="2"/>
                <w:sz w:val="21"/>
                <w:szCs w:val="21"/>
                <w:highlight w:val="none"/>
                <w:lang w:val="en-US" w:eastAsia="zh-CN" w:bidi="ar-SA"/>
              </w:rPr>
              <w:t>10</w:t>
            </w:r>
            <w:bookmarkStart w:id="31" w:name="_GoBack"/>
            <w:bookmarkEnd w:id="31"/>
            <w:r>
              <w:rPr>
                <w:rFonts w:hint="eastAsia" w:ascii="宋体" w:hAnsi="宋体" w:eastAsia="宋体" w:cs="宋体"/>
                <w:snapToGrid/>
                <w:color w:val="auto"/>
                <w:kern w:val="2"/>
                <w:sz w:val="21"/>
                <w:szCs w:val="21"/>
                <w:highlight w:val="none"/>
                <w:lang w:val="en-US" w:eastAsia="zh-CN" w:bidi="ar-SA"/>
              </w:rPr>
              <w:t xml:space="preserve"> 人得基本分 3 分，每增加 1 人得 0.5 分，满分 5 分；</w:t>
            </w:r>
          </w:p>
          <w:p w14:paraId="1A81E757">
            <w:pPr>
              <w:pStyle w:val="19"/>
              <w:numPr>
                <w:ilvl w:val="0"/>
                <w:numId w:val="0"/>
              </w:numPr>
              <w:spacing w:before="59" w:line="355" w:lineRule="auto"/>
              <w:ind w:right="227" w:rightChars="0" w:firstLine="420" w:firstLineChars="2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注：拟投入人员须为投标单位正式员工且在投标文件中提供劳动合同复印件、身份证、有效的健康证复印件、配送司机有效的驾驶证复印件），以上材料复印件需加盖单位公章)。</w:t>
            </w:r>
          </w:p>
        </w:tc>
      </w:tr>
      <w:tr w14:paraId="0A15F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0" w:hRule="atLeast"/>
        </w:trPr>
        <w:tc>
          <w:tcPr>
            <w:tcW w:w="566" w:type="dxa"/>
            <w:vMerge w:val="continue"/>
            <w:shd w:val="clear" w:color="auto" w:fill="auto"/>
            <w:vAlign w:val="top"/>
          </w:tcPr>
          <w:p w14:paraId="28DB07A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515E47D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419" w:type="dxa"/>
            <w:shd w:val="clear" w:color="auto" w:fill="auto"/>
            <w:vAlign w:val="center"/>
          </w:tcPr>
          <w:p w14:paraId="0635CC35">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（3）经营场所（满分5分）</w:t>
            </w:r>
          </w:p>
        </w:tc>
        <w:tc>
          <w:tcPr>
            <w:tcW w:w="6304" w:type="dxa"/>
            <w:shd w:val="clear" w:color="auto" w:fill="auto"/>
            <w:vAlign w:val="top"/>
          </w:tcPr>
          <w:p w14:paraId="30C54CF1">
            <w:pPr>
              <w:widowControl/>
              <w:kinsoku w:val="0"/>
              <w:autoSpaceDE w:val="0"/>
              <w:autoSpaceDN w:val="0"/>
              <w:adjustRightInd w:val="0"/>
              <w:snapToGrid w:val="0"/>
              <w:spacing w:line="400" w:lineRule="exact"/>
              <w:ind w:firstLine="420" w:firstLineChars="200"/>
              <w:textAlignment w:val="baseline"/>
              <w:rPr>
                <w:rFonts w:hint="eastAsia" w:ascii="宋体" w:hAnsi="宋体" w:cs="宋体"/>
                <w:color w:val="auto"/>
                <w:szCs w:val="21"/>
                <w:highlight w:val="none"/>
              </w:rPr>
            </w:pPr>
            <w:r>
              <w:rPr>
                <w:rFonts w:hint="eastAsia" w:ascii="宋体" w:hAnsi="宋体" w:cs="宋体"/>
                <w:color w:val="auto"/>
                <w:szCs w:val="21"/>
                <w:highlight w:val="none"/>
              </w:rPr>
              <w:t>投入本项目配送场所满足招标文件配送场所功能要求，且符合卫生标准，有</w:t>
            </w:r>
            <w:r>
              <w:rPr>
                <w:rFonts w:hint="eastAsia" w:ascii="宋体" w:hAnsi="宋体" w:cs="宋体"/>
                <w:color w:val="auto"/>
                <w:szCs w:val="21"/>
                <w:highlight w:val="none"/>
                <w:lang w:eastAsia="zh-CN"/>
              </w:rPr>
              <w:t>独立</w:t>
            </w:r>
            <w:r>
              <w:rPr>
                <w:rFonts w:hint="eastAsia" w:ascii="宋体" w:hAnsi="宋体" w:cs="宋体"/>
                <w:color w:val="auto"/>
                <w:szCs w:val="21"/>
                <w:highlight w:val="none"/>
              </w:rPr>
              <w:t>快检室</w:t>
            </w:r>
            <w:r>
              <w:rPr>
                <w:rFonts w:hint="eastAsia" w:ascii="宋体" w:hAnsi="宋体" w:cs="宋体"/>
                <w:color w:val="auto"/>
                <w:szCs w:val="21"/>
                <w:highlight w:val="none"/>
                <w:lang w:eastAsia="zh-CN"/>
              </w:rPr>
              <w:t>（要求具备检测农残、肉类药物残留等功能的检测仪器）</w:t>
            </w:r>
            <w:r>
              <w:rPr>
                <w:rFonts w:hint="eastAsia" w:ascii="宋体" w:hAnsi="宋体" w:cs="宋体"/>
                <w:color w:val="auto"/>
                <w:szCs w:val="21"/>
                <w:highlight w:val="none"/>
              </w:rPr>
              <w:t>、食品仓库</w:t>
            </w:r>
            <w:r>
              <w:rPr>
                <w:rFonts w:hint="eastAsia" w:ascii="宋体" w:hAnsi="宋体" w:cs="宋体"/>
                <w:color w:val="auto"/>
                <w:szCs w:val="21"/>
                <w:highlight w:val="none"/>
                <w:lang w:eastAsia="zh-CN"/>
              </w:rPr>
              <w:t>及</w:t>
            </w:r>
            <w:r>
              <w:rPr>
                <w:rFonts w:hint="eastAsia" w:ascii="宋体" w:hAnsi="宋体" w:cs="宋体"/>
                <w:color w:val="auto"/>
                <w:szCs w:val="21"/>
                <w:highlight w:val="none"/>
              </w:rPr>
              <w:t>加工生产车间</w:t>
            </w:r>
            <w:r>
              <w:rPr>
                <w:rFonts w:hint="eastAsia" w:ascii="宋体" w:hAnsi="宋体" w:cs="宋体"/>
                <w:color w:val="auto"/>
                <w:szCs w:val="21"/>
                <w:highlight w:val="none"/>
                <w:lang w:eastAsia="zh-CN"/>
              </w:rPr>
              <w:t>（要求仓库及车间顶棚密闭、防蚊防虫防尘、库房地面硬化、门口有挡鼠板、应制度上墙、分区划线合理）</w:t>
            </w:r>
            <w:r>
              <w:rPr>
                <w:rFonts w:hint="eastAsia" w:ascii="宋体" w:hAnsi="宋体" w:cs="宋体"/>
                <w:color w:val="auto"/>
                <w:szCs w:val="21"/>
                <w:highlight w:val="none"/>
              </w:rPr>
              <w:t>、</w:t>
            </w:r>
            <w:r>
              <w:rPr>
                <w:rFonts w:hint="eastAsia" w:ascii="宋体" w:hAnsi="宋体" w:cs="宋体"/>
                <w:color w:val="auto"/>
                <w:szCs w:val="21"/>
                <w:highlight w:val="none"/>
                <w:lang w:eastAsia="zh-CN"/>
              </w:rPr>
              <w:t>冷藏室</w:t>
            </w:r>
            <w:r>
              <w:rPr>
                <w:rFonts w:hint="eastAsia" w:ascii="宋体" w:hAnsi="宋体" w:cs="宋体"/>
                <w:color w:val="auto"/>
                <w:szCs w:val="21"/>
                <w:highlight w:val="none"/>
              </w:rPr>
              <w:t>和其他办公用房，得</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p w14:paraId="64D158B1">
            <w:pPr>
              <w:numPr>
                <w:ilvl w:val="0"/>
                <w:numId w:val="0"/>
              </w:numPr>
              <w:shd w:val="clear" w:color="auto" w:fill="auto"/>
              <w:wordWrap w:val="0"/>
              <w:spacing w:line="460" w:lineRule="exact"/>
              <w:ind w:left="0" w:leftChars="0" w:firstLine="0" w:firstLineChars="0"/>
              <w:jc w:val="left"/>
              <w:rPr>
                <w:rFonts w:hint="eastAsia" w:ascii="宋体" w:hAnsi="宋体" w:cs="宋体"/>
                <w:color w:val="auto"/>
                <w:szCs w:val="21"/>
                <w:highlight w:val="none"/>
              </w:rPr>
            </w:pPr>
            <w:r>
              <w:rPr>
                <w:rFonts w:hint="eastAsia" w:ascii="宋体" w:hAnsi="宋体" w:cs="宋体"/>
                <w:color w:val="auto"/>
                <w:szCs w:val="21"/>
                <w:highlight w:val="none"/>
              </w:rPr>
              <w:t>【注：涉及到场地的证明材料，投标文件需提供“</w:t>
            </w:r>
            <w:r>
              <w:rPr>
                <w:rFonts w:hint="eastAsia" w:ascii="宋体" w:hAnsi="宋体" w:cs="宋体"/>
                <w:b/>
                <w:bCs/>
                <w:color w:val="auto"/>
                <w:szCs w:val="21"/>
                <w:highlight w:val="none"/>
              </w:rPr>
              <w:t>（一）</w:t>
            </w:r>
            <w:r>
              <w:rPr>
                <w:rFonts w:hint="eastAsia" w:ascii="宋体" w:hAnsi="宋体" w:cs="宋体"/>
                <w:color w:val="auto"/>
                <w:szCs w:val="21"/>
                <w:highlight w:val="none"/>
              </w:rPr>
              <w:t>投标人从现有场地中投入本项目使用的提供：</w:t>
            </w:r>
            <w:r>
              <w:rPr>
                <w:rFonts w:hint="eastAsia" w:ascii="宋体" w:hAnsi="宋体" w:cs="宋体"/>
                <w:b/>
                <w:bCs/>
                <w:color w:val="auto"/>
                <w:szCs w:val="21"/>
                <w:highlight w:val="none"/>
              </w:rPr>
              <w:t>①</w:t>
            </w:r>
            <w:r>
              <w:rPr>
                <w:rFonts w:hint="eastAsia" w:ascii="宋体" w:hAnsi="宋体" w:cs="宋体"/>
                <w:color w:val="auto"/>
                <w:szCs w:val="21"/>
                <w:highlight w:val="none"/>
              </w:rPr>
              <w:t>配送场所可自有或租赁：属自有的需提供土地权属证</w:t>
            </w:r>
            <w:r>
              <w:rPr>
                <w:rFonts w:hint="eastAsia" w:ascii="宋体" w:hAnsi="宋体" w:cs="宋体"/>
                <w:color w:val="auto"/>
                <w:kern w:val="0"/>
                <w:szCs w:val="21"/>
                <w:highlight w:val="none"/>
              </w:rPr>
              <w:t>明或不动产权证明材料</w:t>
            </w:r>
            <w:r>
              <w:rPr>
                <w:rFonts w:hint="eastAsia" w:ascii="宋体" w:hAnsi="宋体" w:cs="宋体"/>
                <w:color w:val="auto"/>
                <w:szCs w:val="21"/>
                <w:highlight w:val="none"/>
              </w:rPr>
              <w:t>扫描件</w:t>
            </w:r>
            <w:r>
              <w:rPr>
                <w:rFonts w:hint="eastAsia" w:ascii="宋体" w:hAnsi="宋体" w:cs="宋体"/>
                <w:color w:val="auto"/>
                <w:kern w:val="0"/>
                <w:szCs w:val="21"/>
                <w:highlight w:val="none"/>
              </w:rPr>
              <w:t>及配送</w:t>
            </w:r>
            <w:r>
              <w:rPr>
                <w:rFonts w:hint="eastAsia" w:ascii="宋体" w:hAnsi="宋体" w:cs="宋体"/>
                <w:color w:val="auto"/>
                <w:szCs w:val="21"/>
                <w:highlight w:val="none"/>
              </w:rPr>
              <w:t>场所</w:t>
            </w:r>
            <w:r>
              <w:rPr>
                <w:rFonts w:hint="eastAsia" w:ascii="宋体" w:hAnsi="宋体" w:cs="宋体"/>
                <w:color w:val="auto"/>
                <w:kern w:val="0"/>
                <w:szCs w:val="21"/>
                <w:highlight w:val="none"/>
              </w:rPr>
              <w:t>平面图；属租赁的，除提供土地权属证明或不动</w:t>
            </w:r>
            <w:r>
              <w:rPr>
                <w:rFonts w:hint="eastAsia" w:ascii="宋体" w:hAnsi="宋体" w:cs="宋体"/>
                <w:color w:val="auto"/>
                <w:szCs w:val="21"/>
                <w:highlight w:val="none"/>
              </w:rPr>
              <w:t>产权证明材料复印件及配送场所平面图外，还需提供租赁合同扫描件。</w:t>
            </w:r>
            <w:r>
              <w:rPr>
                <w:rFonts w:hint="eastAsia" w:ascii="宋体" w:hAnsi="宋体" w:cs="宋体"/>
                <w:b/>
                <w:bCs/>
                <w:color w:val="auto"/>
                <w:szCs w:val="21"/>
                <w:highlight w:val="none"/>
              </w:rPr>
              <w:t>②</w:t>
            </w:r>
            <w:r>
              <w:rPr>
                <w:rFonts w:hint="eastAsia" w:ascii="宋体" w:hAnsi="宋体" w:cs="宋体"/>
                <w:color w:val="auto"/>
                <w:szCs w:val="21"/>
                <w:highlight w:val="none"/>
              </w:rPr>
              <w:t>配送场所至少包含</w:t>
            </w:r>
            <w:r>
              <w:rPr>
                <w:rFonts w:hint="eastAsia" w:ascii="宋体" w:hAnsi="宋体" w:cs="宋体"/>
                <w:color w:val="auto"/>
                <w:szCs w:val="21"/>
                <w:highlight w:val="none"/>
                <w:lang w:eastAsia="zh-CN"/>
              </w:rPr>
              <w:t>独立</w:t>
            </w:r>
            <w:r>
              <w:rPr>
                <w:rFonts w:hint="eastAsia" w:ascii="宋体" w:hAnsi="宋体" w:cs="宋体"/>
                <w:color w:val="auto"/>
                <w:szCs w:val="21"/>
                <w:highlight w:val="none"/>
              </w:rPr>
              <w:t>检测室、食品仓库、加工生产车间、</w:t>
            </w:r>
            <w:r>
              <w:rPr>
                <w:rFonts w:hint="eastAsia" w:ascii="宋体" w:hAnsi="宋体" w:cs="宋体"/>
                <w:color w:val="auto"/>
                <w:szCs w:val="21"/>
                <w:highlight w:val="none"/>
                <w:lang w:eastAsia="zh-CN"/>
              </w:rPr>
              <w:t>冷藏室</w:t>
            </w:r>
            <w:r>
              <w:rPr>
                <w:rFonts w:hint="eastAsia" w:ascii="宋体" w:hAnsi="宋体" w:cs="宋体"/>
                <w:color w:val="auto"/>
                <w:szCs w:val="21"/>
                <w:highlight w:val="none"/>
              </w:rPr>
              <w:t>和其他办公用房等（提供各个区域现场照片）。</w:t>
            </w:r>
            <w:r>
              <w:rPr>
                <w:rFonts w:hint="eastAsia" w:ascii="宋体" w:hAnsi="宋体" w:cs="宋体"/>
                <w:b/>
                <w:bCs/>
                <w:color w:val="auto"/>
                <w:szCs w:val="21"/>
                <w:highlight w:val="none"/>
              </w:rPr>
              <w:t>③</w:t>
            </w:r>
            <w:r>
              <w:rPr>
                <w:rFonts w:hint="eastAsia" w:ascii="宋体" w:hAnsi="宋体" w:cs="宋体"/>
                <w:color w:val="auto"/>
                <w:szCs w:val="21"/>
                <w:highlight w:val="none"/>
                <w:lang w:eastAsia="zh-CN"/>
              </w:rPr>
              <w:t>冷藏室</w:t>
            </w:r>
            <w:r>
              <w:rPr>
                <w:rFonts w:hint="eastAsia" w:ascii="宋体" w:hAnsi="宋体" w:cs="宋体"/>
                <w:color w:val="auto"/>
                <w:szCs w:val="21"/>
                <w:highlight w:val="none"/>
              </w:rPr>
              <w:t>制冷设备采购发票（或冷库建设安装合同）扫描件”</w:t>
            </w:r>
            <w:r>
              <w:rPr>
                <w:rFonts w:hint="eastAsia" w:ascii="宋体" w:hAnsi="宋体" w:cs="宋体"/>
                <w:b/>
                <w:bCs/>
                <w:color w:val="auto"/>
                <w:szCs w:val="21"/>
                <w:highlight w:val="none"/>
              </w:rPr>
              <w:t>或（二）</w:t>
            </w:r>
            <w:r>
              <w:rPr>
                <w:rFonts w:hint="eastAsia" w:ascii="宋体" w:hAnsi="宋体" w:cs="宋体"/>
                <w:color w:val="auto"/>
                <w:szCs w:val="21"/>
                <w:highlight w:val="none"/>
              </w:rPr>
              <w:t>“投标人承诺在中标前或中标后建立</w:t>
            </w:r>
            <w:r>
              <w:rPr>
                <w:rFonts w:hint="eastAsia" w:ascii="宋体" w:hAnsi="宋体" w:cs="宋体"/>
                <w:color w:val="auto"/>
                <w:szCs w:val="21"/>
                <w:highlight w:val="none"/>
                <w:lang w:eastAsia="zh-CN"/>
              </w:rPr>
              <w:t>符合评分标准功能要求</w:t>
            </w:r>
            <w:r>
              <w:rPr>
                <w:rFonts w:hint="eastAsia" w:ascii="宋体" w:hAnsi="宋体" w:cs="宋体"/>
                <w:color w:val="auto"/>
                <w:szCs w:val="21"/>
                <w:highlight w:val="none"/>
              </w:rPr>
              <w:t>相应配送场所的，投标文件中提供相应承诺函”。由</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组织进行考察核实投入场地情况，未能按承诺建立的将取消其中标资格。】</w:t>
            </w:r>
          </w:p>
          <w:p w14:paraId="63ACE387">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cs="宋体"/>
                <w:b/>
                <w:bCs/>
                <w:color w:val="auto"/>
                <w:szCs w:val="21"/>
                <w:highlight w:val="none"/>
                <w:lang w:eastAsia="zh-CN"/>
              </w:rPr>
              <w:t>注：</w:t>
            </w:r>
            <w:r>
              <w:rPr>
                <w:rFonts w:hint="eastAsia" w:ascii="宋体" w:hAnsi="宋体" w:cs="宋体"/>
                <w:b/>
                <w:bCs/>
                <w:color w:val="auto"/>
                <w:szCs w:val="21"/>
                <w:highlight w:val="none"/>
              </w:rPr>
              <w:t>配送场所未按评分要求提供</w:t>
            </w:r>
            <w:r>
              <w:rPr>
                <w:rFonts w:hint="eastAsia" w:ascii="宋体" w:hAnsi="宋体" w:cs="宋体"/>
                <w:b/>
                <w:bCs/>
                <w:color w:val="auto"/>
                <w:szCs w:val="21"/>
                <w:highlight w:val="none"/>
                <w:lang w:eastAsia="zh-CN"/>
              </w:rPr>
              <w:t>相应材料</w:t>
            </w:r>
            <w:r>
              <w:rPr>
                <w:rFonts w:hint="eastAsia" w:ascii="宋体" w:hAnsi="宋体" w:cs="宋体"/>
                <w:b/>
                <w:bCs/>
                <w:color w:val="auto"/>
                <w:szCs w:val="21"/>
                <w:highlight w:val="none"/>
              </w:rPr>
              <w:t>的不计分。</w:t>
            </w:r>
          </w:p>
        </w:tc>
      </w:tr>
      <w:tr w14:paraId="74E17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trPr>
        <w:tc>
          <w:tcPr>
            <w:tcW w:w="566" w:type="dxa"/>
            <w:vMerge w:val="continue"/>
            <w:shd w:val="clear" w:color="auto" w:fill="auto"/>
            <w:vAlign w:val="top"/>
          </w:tcPr>
          <w:p w14:paraId="01379D3C">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1F5D4785">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419" w:type="dxa"/>
            <w:shd w:val="clear" w:color="auto" w:fill="auto"/>
            <w:vAlign w:val="center"/>
          </w:tcPr>
          <w:p w14:paraId="4D9CF79E">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（4）《食品安全责任保险》（满分3分）</w:t>
            </w:r>
          </w:p>
        </w:tc>
        <w:tc>
          <w:tcPr>
            <w:tcW w:w="6304" w:type="dxa"/>
            <w:shd w:val="clear" w:color="auto" w:fill="auto"/>
            <w:vAlign w:val="top"/>
          </w:tcPr>
          <w:p w14:paraId="030F6139">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一档（0.5分）：</w:t>
            </w:r>
            <w:r>
              <w:rPr>
                <w:rFonts w:hint="eastAsia" w:ascii="宋体" w:hAnsi="宋体" w:eastAsia="宋体" w:cs="宋体"/>
                <w:snapToGrid/>
                <w:color w:val="auto"/>
                <w:kern w:val="2"/>
                <w:sz w:val="21"/>
                <w:szCs w:val="21"/>
                <w:highlight w:val="none"/>
                <w:lang w:val="en-US" w:eastAsia="zh-CN" w:bidi="ar-SA"/>
              </w:rPr>
              <w:t>投标人承诺中标后购买《食品安全责任保险》的得0.5分。（提供承诺书，格式自拟并盖公章）</w:t>
            </w:r>
          </w:p>
          <w:p w14:paraId="7B43DEA9">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二档（3分）：</w:t>
            </w:r>
            <w:r>
              <w:rPr>
                <w:rFonts w:hint="eastAsia" w:ascii="宋体" w:hAnsi="宋体" w:eastAsia="宋体" w:cs="宋体"/>
                <w:snapToGrid/>
                <w:color w:val="auto"/>
                <w:kern w:val="2"/>
                <w:sz w:val="21"/>
                <w:szCs w:val="21"/>
                <w:highlight w:val="none"/>
                <w:lang w:val="en-US" w:eastAsia="zh-CN" w:bidi="ar-SA"/>
              </w:rPr>
              <w:t>投标人已购买《食品安全责任保险》（有效期内）的。（提供相关保单、发票证明复印件并盖公章）</w:t>
            </w:r>
          </w:p>
          <w:p w14:paraId="3F14707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①最高赔付金额低于500万元人民币的得 1 分</w:t>
            </w:r>
            <w:r>
              <w:rPr>
                <w:rFonts w:hint="eastAsia" w:cs="宋体"/>
                <w:snapToGrid/>
                <w:color w:val="auto"/>
                <w:kern w:val="2"/>
                <w:sz w:val="21"/>
                <w:szCs w:val="21"/>
                <w:highlight w:val="none"/>
                <w:lang w:val="en-US" w:eastAsia="zh-CN" w:bidi="ar-SA"/>
              </w:rPr>
              <w:t>；</w:t>
            </w:r>
          </w:p>
          <w:p w14:paraId="40EAF7DC">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②最高赔付金额500～1000万元人民币的得 2 分</w:t>
            </w:r>
            <w:r>
              <w:rPr>
                <w:rFonts w:hint="eastAsia" w:cs="宋体"/>
                <w:snapToGrid/>
                <w:color w:val="auto"/>
                <w:kern w:val="2"/>
                <w:sz w:val="21"/>
                <w:szCs w:val="21"/>
                <w:highlight w:val="none"/>
                <w:lang w:val="en-US" w:eastAsia="zh-CN" w:bidi="ar-SA"/>
              </w:rPr>
              <w:t>；</w:t>
            </w:r>
          </w:p>
          <w:p w14:paraId="0C6E4453">
            <w:pPr>
              <w:pStyle w:val="19"/>
              <w:numPr>
                <w:ilvl w:val="0"/>
                <w:numId w:val="0"/>
              </w:numPr>
              <w:spacing w:before="59" w:line="355" w:lineRule="auto"/>
              <w:ind w:right="227" w:rightChars="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③最高赔付金额高于1000万元人民币的得 3 分</w:t>
            </w:r>
            <w:r>
              <w:rPr>
                <w:rFonts w:hint="eastAsia" w:cs="宋体"/>
                <w:snapToGrid/>
                <w:color w:val="auto"/>
                <w:kern w:val="2"/>
                <w:sz w:val="21"/>
                <w:szCs w:val="21"/>
                <w:highlight w:val="none"/>
                <w:lang w:val="en-US" w:eastAsia="zh-CN" w:bidi="ar-SA"/>
              </w:rPr>
              <w:t>。</w:t>
            </w:r>
          </w:p>
        </w:tc>
      </w:tr>
      <w:tr w14:paraId="7CB8F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4" w:hRule="atLeast"/>
        </w:trPr>
        <w:tc>
          <w:tcPr>
            <w:tcW w:w="566" w:type="dxa"/>
            <w:vMerge w:val="continue"/>
            <w:shd w:val="clear" w:color="auto" w:fill="auto"/>
            <w:vAlign w:val="top"/>
          </w:tcPr>
          <w:p w14:paraId="433D4751">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584" w:type="dxa"/>
            <w:vMerge w:val="continue"/>
            <w:shd w:val="clear" w:color="auto" w:fill="auto"/>
            <w:vAlign w:val="top"/>
          </w:tcPr>
          <w:p w14:paraId="4F07D7B0">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p>
        </w:tc>
        <w:tc>
          <w:tcPr>
            <w:tcW w:w="1419" w:type="dxa"/>
            <w:shd w:val="clear" w:color="auto" w:fill="auto"/>
            <w:vAlign w:val="center"/>
          </w:tcPr>
          <w:p w14:paraId="10E3F01D">
            <w:pPr>
              <w:pStyle w:val="19"/>
              <w:spacing w:before="183" w:line="387" w:lineRule="auto"/>
              <w:ind w:right="158"/>
              <w:jc w:val="center"/>
              <w:rPr>
                <w:rFonts w:hint="eastAsia" w:ascii="宋体" w:hAnsi="宋体" w:eastAsia="宋体" w:cs="宋体"/>
                <w:b w:val="0"/>
                <w:bCs w:val="0"/>
                <w:snapToGrid/>
                <w:color w:val="auto"/>
                <w:kern w:val="2"/>
                <w:sz w:val="21"/>
                <w:szCs w:val="21"/>
                <w:highlight w:val="none"/>
                <w:lang w:val="en-US" w:eastAsia="zh-CN" w:bidi="ar-SA"/>
              </w:rPr>
            </w:pPr>
            <w:r>
              <w:rPr>
                <w:rFonts w:hint="eastAsia" w:ascii="宋体" w:hAnsi="宋体" w:eastAsia="宋体" w:cs="宋体"/>
                <w:b w:val="0"/>
                <w:bCs w:val="0"/>
                <w:snapToGrid/>
                <w:color w:val="auto"/>
                <w:kern w:val="2"/>
                <w:sz w:val="21"/>
                <w:szCs w:val="21"/>
                <w:highlight w:val="none"/>
                <w:lang w:val="en-US" w:eastAsia="zh-CN" w:bidi="ar-SA"/>
              </w:rPr>
              <w:t>（5）业绩（满分2分）</w:t>
            </w:r>
          </w:p>
        </w:tc>
        <w:tc>
          <w:tcPr>
            <w:tcW w:w="6304" w:type="dxa"/>
            <w:shd w:val="clear" w:color="auto" w:fill="auto"/>
            <w:vAlign w:val="top"/>
          </w:tcPr>
          <w:p w14:paraId="1F39D563">
            <w:pPr>
              <w:pStyle w:val="19"/>
              <w:numPr>
                <w:ilvl w:val="0"/>
                <w:numId w:val="0"/>
              </w:numPr>
              <w:spacing w:before="59" w:line="355" w:lineRule="auto"/>
              <w:ind w:right="227" w:rightChars="0" w:firstLine="210" w:firstLineChars="10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投标人2023年1月1日以来类似食品供应服务的业绩【无不良记录，须在投标文件中提供中标（成交）通知书复印件或签订的合同复印件为准，否则将不予评审】，每个得1分，最多得2分。</w:t>
            </w:r>
          </w:p>
        </w:tc>
      </w:tr>
      <w:tr w14:paraId="6BE1D4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trPr>
        <w:tc>
          <w:tcPr>
            <w:tcW w:w="9873" w:type="dxa"/>
            <w:gridSpan w:val="4"/>
            <w:shd w:val="clear" w:color="auto" w:fill="auto"/>
            <w:vAlign w:val="top"/>
          </w:tcPr>
          <w:p w14:paraId="79F6E6DD">
            <w:pPr>
              <w:pStyle w:val="19"/>
              <w:spacing w:before="112" w:line="227" w:lineRule="auto"/>
              <w:ind w:left="536" w:leftChars="0"/>
              <w:rPr>
                <w:color w:val="auto"/>
                <w:spacing w:val="4"/>
                <w:highlight w:val="none"/>
              </w:rPr>
            </w:pPr>
            <w:r>
              <w:rPr>
                <w:b/>
                <w:bCs/>
                <w:color w:val="auto"/>
                <w:spacing w:val="-4"/>
                <w:sz w:val="24"/>
                <w:szCs w:val="24"/>
                <w:highlight w:val="none"/>
              </w:rPr>
              <w:t>总得分=1+2+3+4</w:t>
            </w:r>
          </w:p>
        </w:tc>
      </w:tr>
    </w:tbl>
    <w:p w14:paraId="6A16C322">
      <w:pPr>
        <w:rPr>
          <w:rFonts w:ascii="Arial"/>
          <w:color w:val="auto"/>
          <w:sz w:val="21"/>
          <w:highlight w:val="none"/>
        </w:rPr>
      </w:pPr>
    </w:p>
    <w:p w14:paraId="7B651DEE">
      <w:pPr>
        <w:spacing w:line="203" w:lineRule="exact"/>
        <w:rPr>
          <w:rFonts w:ascii="Arial"/>
          <w:color w:val="auto"/>
          <w:sz w:val="17"/>
          <w:highlight w:val="none"/>
        </w:rPr>
      </w:pPr>
    </w:p>
    <w:p w14:paraId="4CFC698E">
      <w:pPr>
        <w:spacing w:before="236" w:line="222" w:lineRule="auto"/>
        <w:ind w:left="2949"/>
        <w:outlineLvl w:val="1"/>
        <w:rPr>
          <w:rFonts w:ascii="黑体" w:hAnsi="黑体" w:eastAsia="黑体" w:cs="黑体"/>
          <w:color w:val="auto"/>
          <w:sz w:val="30"/>
          <w:szCs w:val="30"/>
          <w:highlight w:val="none"/>
        </w:rPr>
      </w:pPr>
      <w:r>
        <w:rPr>
          <w:rFonts w:ascii="黑体" w:hAnsi="黑体" w:eastAsia="黑体" w:cs="黑体"/>
          <w:color w:val="auto"/>
          <w:spacing w:val="-4"/>
          <w:sz w:val="30"/>
          <w:szCs w:val="30"/>
          <w:highlight w:val="none"/>
        </w:rPr>
        <w:br w:type="page"/>
      </w:r>
      <w:bookmarkStart w:id="24" w:name="_Toc10759"/>
      <w:r>
        <w:rPr>
          <w:rFonts w:ascii="黑体" w:hAnsi="黑体" w:eastAsia="黑体" w:cs="黑体"/>
          <w:color w:val="auto"/>
          <w:spacing w:val="-4"/>
          <w:sz w:val="30"/>
          <w:szCs w:val="30"/>
          <w:highlight w:val="none"/>
        </w:rPr>
        <w:t>第四节</w:t>
      </w:r>
      <w:r>
        <w:rPr>
          <w:rFonts w:ascii="黑体" w:hAnsi="黑体" w:eastAsia="黑体" w:cs="黑体"/>
          <w:color w:val="auto"/>
          <w:spacing w:val="34"/>
          <w:sz w:val="30"/>
          <w:szCs w:val="30"/>
          <w:highlight w:val="none"/>
        </w:rPr>
        <w:t xml:space="preserve"> </w:t>
      </w:r>
      <w:r>
        <w:rPr>
          <w:rFonts w:ascii="黑体" w:hAnsi="黑体" w:eastAsia="黑体" w:cs="黑体"/>
          <w:color w:val="auto"/>
          <w:spacing w:val="-4"/>
          <w:sz w:val="30"/>
          <w:szCs w:val="30"/>
          <w:highlight w:val="none"/>
        </w:rPr>
        <w:t>中标候选人推荐原则</w:t>
      </w:r>
      <w:bookmarkEnd w:id="24"/>
    </w:p>
    <w:p w14:paraId="12A756AC">
      <w:pPr>
        <w:spacing w:line="358" w:lineRule="auto"/>
        <w:rPr>
          <w:rFonts w:ascii="Arial"/>
          <w:color w:val="auto"/>
          <w:sz w:val="21"/>
          <w:highlight w:val="none"/>
        </w:rPr>
      </w:pPr>
    </w:p>
    <w:p w14:paraId="3AE63479">
      <w:pPr>
        <w:spacing w:line="359" w:lineRule="auto"/>
        <w:rPr>
          <w:rFonts w:ascii="Arial"/>
          <w:color w:val="auto"/>
          <w:sz w:val="21"/>
          <w:highlight w:val="none"/>
        </w:rPr>
      </w:pPr>
    </w:p>
    <w:p w14:paraId="67D77CA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评标委员会将根据总得分由高到低排列次序（总得分相同时，以投标报价由低到高顺序排列；总得分相同且投标报价相同的，按技术分由高到低顺序排列；总得分相同、投标报价相同且技术分相同的，按商务分由高到低顺序排列）并推荐三名中标候选供应商。招标人应当确定评审委员会推荐排名第一的中标候选人为中标人。排名第一的中标候选人放弃中标、因不可抗力提出不能履行合同，招标人可以确定排名第二的中标候选人为中标人。排名第二的中标候选人因前款规定的同样原因不能签订合同的，招标人可以确定排名第三的中标候选人为中标人。</w:t>
      </w:r>
    </w:p>
    <w:p w14:paraId="4C4CC5D9">
      <w:pPr>
        <w:pStyle w:val="4"/>
        <w:spacing w:before="158" w:line="344" w:lineRule="auto"/>
        <w:ind w:left="10" w:right="70" w:firstLine="435"/>
        <w:rPr>
          <w:color w:val="auto"/>
          <w:sz w:val="20"/>
          <w:szCs w:val="20"/>
          <w:highlight w:val="none"/>
        </w:rPr>
      </w:pPr>
      <w:r>
        <w:rPr>
          <w:rFonts w:hint="eastAsia" w:ascii="宋体" w:hAnsi="宋体" w:eastAsia="宋体" w:cs="宋体"/>
          <w:snapToGrid/>
          <w:color w:val="auto"/>
          <w:kern w:val="2"/>
          <w:sz w:val="21"/>
          <w:szCs w:val="21"/>
          <w:highlight w:val="none"/>
          <w:lang w:val="en-US" w:eastAsia="zh-CN" w:bidi="ar-SA"/>
        </w:rPr>
        <w:t>注：如招标文件存在《广西壮族自治区政府采购当事人行为规则》下列的情形，评标委员会不得作为评审依据：招标代理机构不得在招标文件中列入限制、排斥潜在供应商的商务、技术条款；不得为迎合招标人列入单一品牌的规格技术标准及其他有违公平竞争的条款；不得以不合理的注册资本金、销售业绩及资格条件等条款对潜在供应商实行歧视或差别待遇。</w:t>
      </w:r>
    </w:p>
    <w:p w14:paraId="7DF558AE">
      <w:pPr>
        <w:spacing w:line="260" w:lineRule="auto"/>
        <w:rPr>
          <w:rFonts w:ascii="Arial"/>
          <w:color w:val="auto"/>
          <w:sz w:val="21"/>
          <w:highlight w:val="none"/>
        </w:rPr>
      </w:pPr>
    </w:p>
    <w:p w14:paraId="598EBB9D">
      <w:pPr>
        <w:spacing w:line="260" w:lineRule="auto"/>
        <w:rPr>
          <w:rFonts w:ascii="Arial"/>
          <w:color w:val="auto"/>
          <w:sz w:val="21"/>
          <w:highlight w:val="none"/>
        </w:rPr>
      </w:pPr>
    </w:p>
    <w:p w14:paraId="3466D135">
      <w:pPr>
        <w:spacing w:line="261" w:lineRule="auto"/>
        <w:rPr>
          <w:rFonts w:ascii="Arial"/>
          <w:color w:val="auto"/>
          <w:sz w:val="21"/>
          <w:highlight w:val="none"/>
        </w:rPr>
      </w:pPr>
    </w:p>
    <w:p w14:paraId="28536634">
      <w:pPr>
        <w:spacing w:before="98" w:line="222" w:lineRule="auto"/>
        <w:ind w:left="3997"/>
        <w:outlineLvl w:val="1"/>
        <w:rPr>
          <w:rFonts w:ascii="黑体" w:hAnsi="黑体" w:eastAsia="黑体" w:cs="黑体"/>
          <w:color w:val="auto"/>
          <w:sz w:val="30"/>
          <w:szCs w:val="30"/>
          <w:highlight w:val="none"/>
        </w:rPr>
      </w:pPr>
      <w:bookmarkStart w:id="25" w:name="_Toc13792"/>
      <w:r>
        <w:rPr>
          <w:rFonts w:ascii="黑体" w:hAnsi="黑体" w:eastAsia="黑体" w:cs="黑体"/>
          <w:color w:val="auto"/>
          <w:spacing w:val="-2"/>
          <w:sz w:val="30"/>
          <w:szCs w:val="30"/>
          <w:highlight w:val="none"/>
        </w:rPr>
        <w:t>第五节 评标报告</w:t>
      </w:r>
      <w:bookmarkEnd w:id="25"/>
    </w:p>
    <w:p w14:paraId="63866B62">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（一）评标报告与推荐中标候选人</w:t>
      </w:r>
    </w:p>
    <w:p w14:paraId="58F8ED9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评标委员会根据原始评标记录和评标结果编写评标报告，并通过电子交易平台向采购单位、采购代理机构提交。</w:t>
      </w:r>
    </w:p>
    <w:p w14:paraId="007148A8">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（二）评标争议事项处理</w:t>
      </w:r>
    </w:p>
    <w:p w14:paraId="2CD4D5B1">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评标委员会成员对需要共同认定的事项存在争议的，应当按照少数服从多数的原则作出结论。持不同意见的评标委员会成员应当在评标报告上签署不同意见及理由，否则视为同意评标报告。</w:t>
      </w:r>
    </w:p>
    <w:p w14:paraId="5A050E05">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bookmarkStart w:id="26" w:name="bookmark9"/>
      <w:bookmarkEnd w:id="26"/>
    </w:p>
    <w:p w14:paraId="79F8236B">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p>
    <w:p w14:paraId="264D773E">
      <w:pPr>
        <w:pStyle w:val="4"/>
        <w:spacing w:before="226" w:line="219" w:lineRule="auto"/>
        <w:ind w:left="2265"/>
        <w:outlineLvl w:val="0"/>
        <w:rPr>
          <w:b/>
          <w:bCs/>
          <w:color w:val="auto"/>
          <w:spacing w:val="-3"/>
          <w:sz w:val="30"/>
          <w:szCs w:val="30"/>
          <w:highlight w:val="none"/>
        </w:rPr>
      </w:pPr>
    </w:p>
    <w:p w14:paraId="78149A18">
      <w:pPr>
        <w:pStyle w:val="4"/>
        <w:spacing w:before="226" w:line="219" w:lineRule="auto"/>
        <w:ind w:left="2265"/>
        <w:outlineLvl w:val="0"/>
        <w:rPr>
          <w:b/>
          <w:bCs/>
          <w:color w:val="auto"/>
          <w:spacing w:val="-3"/>
          <w:sz w:val="30"/>
          <w:szCs w:val="30"/>
          <w:highlight w:val="none"/>
        </w:rPr>
      </w:pPr>
    </w:p>
    <w:p w14:paraId="19B10653">
      <w:pPr>
        <w:pStyle w:val="4"/>
        <w:spacing w:before="226" w:line="219" w:lineRule="auto"/>
        <w:ind w:left="2265"/>
        <w:outlineLvl w:val="0"/>
        <w:rPr>
          <w:b/>
          <w:bCs/>
          <w:color w:val="auto"/>
          <w:spacing w:val="-3"/>
          <w:sz w:val="30"/>
          <w:szCs w:val="30"/>
          <w:highlight w:val="none"/>
        </w:rPr>
      </w:pPr>
    </w:p>
    <w:p w14:paraId="0360C4D2">
      <w:pPr>
        <w:pStyle w:val="4"/>
        <w:spacing w:before="226" w:line="219" w:lineRule="auto"/>
        <w:ind w:left="2265"/>
        <w:outlineLvl w:val="0"/>
        <w:rPr>
          <w:b/>
          <w:bCs/>
          <w:color w:val="auto"/>
          <w:spacing w:val="-3"/>
          <w:sz w:val="30"/>
          <w:szCs w:val="30"/>
          <w:highlight w:val="none"/>
        </w:rPr>
      </w:pPr>
    </w:p>
    <w:p w14:paraId="1C503038">
      <w:pPr>
        <w:pStyle w:val="4"/>
        <w:spacing w:before="226" w:line="219" w:lineRule="auto"/>
        <w:ind w:left="2265"/>
        <w:outlineLvl w:val="0"/>
        <w:rPr>
          <w:b/>
          <w:bCs/>
          <w:color w:val="auto"/>
          <w:spacing w:val="-3"/>
          <w:sz w:val="30"/>
          <w:szCs w:val="30"/>
          <w:highlight w:val="none"/>
        </w:rPr>
      </w:pPr>
    </w:p>
    <w:p w14:paraId="7835474A">
      <w:pPr>
        <w:rPr>
          <w:color w:val="auto"/>
          <w:highlight w:val="none"/>
        </w:rPr>
      </w:pPr>
    </w:p>
    <w:p w14:paraId="7E498F93">
      <w:pPr>
        <w:pStyle w:val="4"/>
        <w:spacing w:before="226" w:line="219" w:lineRule="auto"/>
        <w:ind w:left="2265"/>
        <w:outlineLvl w:val="0"/>
        <w:rPr>
          <w:b/>
          <w:bCs/>
          <w:color w:val="auto"/>
          <w:spacing w:val="-3"/>
          <w:sz w:val="30"/>
          <w:szCs w:val="30"/>
          <w:highlight w:val="none"/>
        </w:rPr>
      </w:pPr>
    </w:p>
    <w:p w14:paraId="3EE71C2D">
      <w:pPr>
        <w:pStyle w:val="4"/>
        <w:spacing w:before="226" w:line="219" w:lineRule="auto"/>
        <w:ind w:left="2265"/>
        <w:outlineLvl w:val="0"/>
        <w:rPr>
          <w:color w:val="auto"/>
          <w:sz w:val="30"/>
          <w:szCs w:val="30"/>
          <w:highlight w:val="none"/>
        </w:rPr>
      </w:pPr>
      <w:bookmarkStart w:id="27" w:name="_Toc7913"/>
      <w:r>
        <w:rPr>
          <w:b/>
          <w:bCs/>
          <w:color w:val="auto"/>
          <w:spacing w:val="-3"/>
          <w:sz w:val="30"/>
          <w:szCs w:val="30"/>
          <w:highlight w:val="none"/>
        </w:rPr>
        <w:t>第五章</w:t>
      </w:r>
      <w:r>
        <w:rPr>
          <w:color w:val="auto"/>
          <w:spacing w:val="-3"/>
          <w:sz w:val="30"/>
          <w:szCs w:val="30"/>
          <w:highlight w:val="none"/>
        </w:rPr>
        <w:t xml:space="preserve">   </w:t>
      </w:r>
      <w:r>
        <w:rPr>
          <w:b/>
          <w:bCs/>
          <w:color w:val="auto"/>
          <w:spacing w:val="-3"/>
          <w:sz w:val="30"/>
          <w:szCs w:val="30"/>
          <w:highlight w:val="none"/>
        </w:rPr>
        <w:t>合同主要条款格式（参考）</w:t>
      </w:r>
      <w:bookmarkEnd w:id="27"/>
    </w:p>
    <w:p w14:paraId="6B013740">
      <w:pPr>
        <w:pStyle w:val="4"/>
        <w:spacing w:before="152" w:line="219" w:lineRule="auto"/>
        <w:ind w:left="3812"/>
        <w:rPr>
          <w:color w:val="auto"/>
          <w:sz w:val="30"/>
          <w:szCs w:val="30"/>
          <w:highlight w:val="none"/>
        </w:rPr>
      </w:pPr>
      <w:r>
        <w:rPr>
          <w:b/>
          <w:bCs/>
          <w:color w:val="auto"/>
          <w:spacing w:val="-14"/>
          <w:sz w:val="30"/>
          <w:szCs w:val="30"/>
          <w:highlight w:val="none"/>
        </w:rPr>
        <w:t>合</w:t>
      </w:r>
      <w:r>
        <w:rPr>
          <w:color w:val="auto"/>
          <w:spacing w:val="43"/>
          <w:sz w:val="30"/>
          <w:szCs w:val="30"/>
          <w:highlight w:val="none"/>
        </w:rPr>
        <w:t xml:space="preserve"> </w:t>
      </w:r>
      <w:r>
        <w:rPr>
          <w:b/>
          <w:bCs/>
          <w:color w:val="auto"/>
          <w:spacing w:val="-14"/>
          <w:sz w:val="30"/>
          <w:szCs w:val="30"/>
          <w:highlight w:val="none"/>
        </w:rPr>
        <w:t>同</w:t>
      </w:r>
      <w:r>
        <w:rPr>
          <w:color w:val="auto"/>
          <w:spacing w:val="18"/>
          <w:sz w:val="30"/>
          <w:szCs w:val="30"/>
          <w:highlight w:val="none"/>
        </w:rPr>
        <w:t xml:space="preserve"> </w:t>
      </w:r>
      <w:r>
        <w:rPr>
          <w:b/>
          <w:bCs/>
          <w:color w:val="auto"/>
          <w:spacing w:val="-14"/>
          <w:sz w:val="30"/>
          <w:szCs w:val="30"/>
          <w:highlight w:val="none"/>
        </w:rPr>
        <w:t>书</w:t>
      </w:r>
      <w:r>
        <w:rPr>
          <w:color w:val="auto"/>
          <w:spacing w:val="-14"/>
          <w:sz w:val="30"/>
          <w:szCs w:val="30"/>
          <w:highlight w:val="none"/>
        </w:rPr>
        <w:t xml:space="preserve"> </w:t>
      </w:r>
      <w:r>
        <w:rPr>
          <w:b/>
          <w:bCs/>
          <w:color w:val="auto"/>
          <w:spacing w:val="-14"/>
          <w:sz w:val="30"/>
          <w:szCs w:val="30"/>
          <w:highlight w:val="none"/>
        </w:rPr>
        <w:t>（格</w:t>
      </w:r>
      <w:r>
        <w:rPr>
          <w:color w:val="auto"/>
          <w:spacing w:val="22"/>
          <w:sz w:val="30"/>
          <w:szCs w:val="30"/>
          <w:highlight w:val="none"/>
        </w:rPr>
        <w:t xml:space="preserve"> </w:t>
      </w:r>
      <w:r>
        <w:rPr>
          <w:b/>
          <w:bCs/>
          <w:color w:val="auto"/>
          <w:spacing w:val="-14"/>
          <w:sz w:val="30"/>
          <w:szCs w:val="30"/>
          <w:highlight w:val="none"/>
        </w:rPr>
        <w:t>式）</w:t>
      </w:r>
    </w:p>
    <w:p w14:paraId="1241BBCF">
      <w:pPr>
        <w:pStyle w:val="4"/>
        <w:spacing w:before="52" w:line="235" w:lineRule="auto"/>
        <w:ind w:left="3973" w:right="68" w:hanging="3891"/>
        <w:rPr>
          <w:color w:val="auto"/>
          <w:sz w:val="42"/>
          <w:szCs w:val="42"/>
          <w:highlight w:val="none"/>
        </w:rPr>
      </w:pPr>
      <w:r>
        <w:rPr>
          <w:rFonts w:hint="eastAsia"/>
          <w:b/>
          <w:bCs/>
          <w:color w:val="auto"/>
          <w:spacing w:val="1"/>
          <w:sz w:val="42"/>
          <w:szCs w:val="42"/>
          <w:highlight w:val="none"/>
          <w:lang w:eastAsia="zh-CN"/>
        </w:rPr>
        <w:t>平南县上渡街道大成第二初级中学学生食堂食材采购</w:t>
      </w:r>
      <w:r>
        <w:rPr>
          <w:b/>
          <w:bCs/>
          <w:color w:val="auto"/>
          <w:spacing w:val="1"/>
          <w:sz w:val="42"/>
          <w:szCs w:val="42"/>
          <w:highlight w:val="none"/>
        </w:rPr>
        <w:t>合同</w:t>
      </w:r>
    </w:p>
    <w:p w14:paraId="30B7DC5B">
      <w:pPr>
        <w:spacing w:line="282" w:lineRule="auto"/>
        <w:rPr>
          <w:rFonts w:ascii="Arial"/>
          <w:color w:val="auto"/>
          <w:sz w:val="21"/>
          <w:highlight w:val="none"/>
        </w:rPr>
      </w:pPr>
    </w:p>
    <w:p w14:paraId="0437D62A">
      <w:pPr>
        <w:spacing w:line="282" w:lineRule="auto"/>
        <w:rPr>
          <w:rFonts w:ascii="Arial"/>
          <w:color w:val="auto"/>
          <w:sz w:val="21"/>
          <w:highlight w:val="none"/>
        </w:rPr>
      </w:pPr>
    </w:p>
    <w:p w14:paraId="74CFBF5C">
      <w:pPr>
        <w:spacing w:line="282" w:lineRule="auto"/>
        <w:rPr>
          <w:rFonts w:ascii="Arial"/>
          <w:color w:val="auto"/>
          <w:sz w:val="21"/>
          <w:highlight w:val="none"/>
        </w:rPr>
      </w:pPr>
    </w:p>
    <w:p w14:paraId="1178D0F0">
      <w:pPr>
        <w:spacing w:line="283" w:lineRule="auto"/>
        <w:rPr>
          <w:rFonts w:ascii="Arial"/>
          <w:color w:val="auto"/>
          <w:sz w:val="21"/>
          <w:highlight w:val="none"/>
        </w:rPr>
      </w:pPr>
    </w:p>
    <w:p w14:paraId="6985114A">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40"/>
          <w:szCs w:val="40"/>
          <w:highlight w:val="none"/>
          <w:lang w:val="en-US" w:eastAsia="zh-CN" w:bidi="ar-SA"/>
        </w:rPr>
      </w:pPr>
      <w:r>
        <w:rPr>
          <w:rFonts w:hint="eastAsia" w:ascii="宋体" w:hAnsi="宋体" w:eastAsia="宋体" w:cs="宋体"/>
          <w:snapToGrid/>
          <w:color w:val="auto"/>
          <w:kern w:val="2"/>
          <w:sz w:val="40"/>
          <w:szCs w:val="40"/>
          <w:highlight w:val="none"/>
          <w:lang w:val="en-US" w:eastAsia="zh-CN" w:bidi="ar-SA"/>
        </w:rPr>
        <w:t>广西壮族自治区政府采购合同(格式)</w:t>
      </w:r>
    </w:p>
    <w:p w14:paraId="62B6DA3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p>
    <w:p w14:paraId="1592CC79">
      <w:pPr>
        <w:pStyle w:val="4"/>
        <w:widowControl/>
        <w:kinsoku w:val="0"/>
        <w:autoSpaceDE w:val="0"/>
        <w:autoSpaceDN w:val="0"/>
        <w:adjustRightInd w:val="0"/>
        <w:snapToGrid w:val="0"/>
        <w:spacing w:before="158" w:line="344" w:lineRule="auto"/>
        <w:ind w:right="70"/>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采购计划号:</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合同编号:</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p>
    <w:p w14:paraId="431CF3A0">
      <w:pPr>
        <w:pStyle w:val="4"/>
        <w:widowControl/>
        <w:kinsoku w:val="0"/>
        <w:autoSpaceDE w:val="0"/>
        <w:autoSpaceDN w:val="0"/>
        <w:adjustRightInd w:val="0"/>
        <w:snapToGrid w:val="0"/>
        <w:spacing w:before="158" w:line="344" w:lineRule="auto"/>
        <w:ind w:right="70"/>
        <w:jc w:val="left"/>
        <w:textAlignment w:val="baseline"/>
        <w:rPr>
          <w:rFonts w:hint="default"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采购人(甲方):</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供应商(乙方)</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p>
    <w:p w14:paraId="551B047C">
      <w:pPr>
        <w:pStyle w:val="4"/>
        <w:widowControl/>
        <w:kinsoku w:val="0"/>
        <w:autoSpaceDE w:val="0"/>
        <w:autoSpaceDN w:val="0"/>
        <w:adjustRightInd w:val="0"/>
        <w:snapToGrid w:val="0"/>
        <w:spacing w:before="158" w:line="344" w:lineRule="auto"/>
        <w:ind w:right="70"/>
        <w:jc w:val="left"/>
        <w:textAlignment w:val="baseline"/>
        <w:rPr>
          <w:rFonts w:hint="default"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项目名称:</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项目编号:</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p>
    <w:p w14:paraId="0B303D7E">
      <w:pPr>
        <w:pStyle w:val="4"/>
        <w:widowControl/>
        <w:kinsoku w:val="0"/>
        <w:autoSpaceDE w:val="0"/>
        <w:autoSpaceDN w:val="0"/>
        <w:adjustRightInd w:val="0"/>
        <w:snapToGrid w:val="0"/>
        <w:spacing w:before="158" w:line="344" w:lineRule="auto"/>
        <w:ind w:right="70"/>
        <w:jc w:val="left"/>
        <w:textAlignment w:val="baseline"/>
        <w:rPr>
          <w:rFonts w:hint="default"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签订地点:</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签订时间:</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 xml:space="preserve"> </w:t>
      </w:r>
    </w:p>
    <w:p w14:paraId="4DF54A40">
      <w:pPr>
        <w:pStyle w:val="4"/>
        <w:widowControl/>
        <w:kinsoku w:val="0"/>
        <w:autoSpaceDE w:val="0"/>
        <w:autoSpaceDN w:val="0"/>
        <w:adjustRightInd w:val="0"/>
        <w:snapToGrid w:val="0"/>
        <w:spacing w:before="158" w:line="344" w:lineRule="auto"/>
        <w:ind w:right="70"/>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本合同为中小企业预留合同:</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u w:val="single"/>
          <w:lang w:val="en-US" w:eastAsia="zh-CN" w:bidi="ar-SA"/>
        </w:rPr>
        <w:t>否</w:t>
      </w:r>
      <w:r>
        <w:rPr>
          <w:rFonts w:hint="eastAsia"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w:t>
      </w:r>
    </w:p>
    <w:p w14:paraId="42EDADE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根据《中华人民共和国政府采购法》、《中华人民共和国民法典》等法律、法规规定，按照招标文件规定条款和乙方投标文件及其承诺，甲乙双方签订本合同。</w:t>
      </w:r>
    </w:p>
    <w:p w14:paraId="53EAF280">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第一条 合同标的</w:t>
      </w:r>
    </w:p>
    <w:p w14:paraId="4A8CFE9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1.项目一览表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1DCC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0" w:type="dxa"/>
            <w:vAlign w:val="center"/>
          </w:tcPr>
          <w:p w14:paraId="1B5FC0A5">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序号</w:t>
            </w:r>
          </w:p>
        </w:tc>
        <w:tc>
          <w:tcPr>
            <w:tcW w:w="1420" w:type="dxa"/>
            <w:vAlign w:val="center"/>
          </w:tcPr>
          <w:p w14:paraId="3DEF5E14">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名称</w:t>
            </w:r>
          </w:p>
        </w:tc>
        <w:tc>
          <w:tcPr>
            <w:tcW w:w="1420" w:type="dxa"/>
            <w:vAlign w:val="center"/>
          </w:tcPr>
          <w:p w14:paraId="6A5363AD">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服务内容</w:t>
            </w:r>
          </w:p>
        </w:tc>
        <w:tc>
          <w:tcPr>
            <w:tcW w:w="1420" w:type="dxa"/>
            <w:vAlign w:val="center"/>
          </w:tcPr>
          <w:p w14:paraId="7773A577">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数量</w:t>
            </w:r>
          </w:p>
        </w:tc>
        <w:tc>
          <w:tcPr>
            <w:tcW w:w="1421" w:type="dxa"/>
            <w:vAlign w:val="center"/>
          </w:tcPr>
          <w:p w14:paraId="1A22185B">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单位</w:t>
            </w:r>
          </w:p>
        </w:tc>
        <w:tc>
          <w:tcPr>
            <w:tcW w:w="1421" w:type="dxa"/>
            <w:vAlign w:val="center"/>
          </w:tcPr>
          <w:p w14:paraId="7507A649">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折扣率</w:t>
            </w:r>
          </w:p>
        </w:tc>
      </w:tr>
      <w:tr w14:paraId="3673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6976DB99">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0" w:type="dxa"/>
            <w:vAlign w:val="center"/>
          </w:tcPr>
          <w:p w14:paraId="05BB959E">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0" w:type="dxa"/>
            <w:vAlign w:val="center"/>
          </w:tcPr>
          <w:p w14:paraId="4459F55B">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0" w:type="dxa"/>
            <w:vAlign w:val="center"/>
          </w:tcPr>
          <w:p w14:paraId="6C073A26">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1" w:type="dxa"/>
            <w:vAlign w:val="center"/>
          </w:tcPr>
          <w:p w14:paraId="51F16ADA">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c>
          <w:tcPr>
            <w:tcW w:w="1421" w:type="dxa"/>
            <w:vAlign w:val="center"/>
          </w:tcPr>
          <w:p w14:paraId="4B6D48D3">
            <w:pPr>
              <w:pStyle w:val="4"/>
              <w:widowControl/>
              <w:kinsoku w:val="0"/>
              <w:autoSpaceDE w:val="0"/>
              <w:autoSpaceDN w:val="0"/>
              <w:adjustRightInd w:val="0"/>
              <w:snapToGrid w:val="0"/>
              <w:spacing w:before="158" w:line="344" w:lineRule="auto"/>
              <w:ind w:left="10" w:right="70" w:firstLine="435"/>
              <w:jc w:val="center"/>
              <w:textAlignment w:val="baseline"/>
              <w:rPr>
                <w:rFonts w:hint="eastAsia" w:ascii="宋体" w:hAnsi="宋体" w:eastAsia="宋体" w:cs="宋体"/>
                <w:snapToGrid/>
                <w:color w:val="auto"/>
                <w:kern w:val="2"/>
                <w:sz w:val="21"/>
                <w:szCs w:val="21"/>
                <w:highlight w:val="none"/>
                <w:lang w:val="en-US" w:eastAsia="zh-CN" w:bidi="ar-SA"/>
              </w:rPr>
            </w:pPr>
          </w:p>
        </w:tc>
      </w:tr>
      <w:tr w14:paraId="75DF0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4D3E240D">
            <w:pPr>
              <w:pStyle w:val="4"/>
              <w:widowControl/>
              <w:kinsoku w:val="0"/>
              <w:autoSpaceDE w:val="0"/>
              <w:autoSpaceDN w:val="0"/>
              <w:adjustRightInd w:val="0"/>
              <w:snapToGrid w:val="0"/>
              <w:spacing w:before="158" w:line="344" w:lineRule="auto"/>
              <w:ind w:right="70"/>
              <w:jc w:val="center"/>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详见开标一览表</w:t>
            </w:r>
          </w:p>
        </w:tc>
      </w:tr>
    </w:tbl>
    <w:p w14:paraId="7AFE079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2.投标折扣率将作为食材或货物实际结算的合同折扣率，结算时以学校实际采购量进行结算。</w:t>
      </w:r>
    </w:p>
    <w:p w14:paraId="3118FE9D">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3、供货结算价格要随着市场的价格变化而变化，食品原料市场价格调查时间安排按照以下流程</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以平南县物价部门每月发布的监测价格和县城的三大超市同品质价格为参照依据。</w:t>
      </w:r>
    </w:p>
    <w:p w14:paraId="350BEF96">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平南县物价部门每月发布的监测价格表上有对应品种价格的，学校与配送企业当月对应品种采购价格的结算按照县物价部门上一个月发布的监测价格表执行，结算时配送企业附上县物价部门上一个月发布的监测价格表给学校存档。</w:t>
      </w:r>
    </w:p>
    <w:p w14:paraId="3CDC64F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平南县物价部门每月发布的监测价格表没有公布的食品和食材实行多方询价小组询价。教育局组织由教育局、市监局、配送企业代表、学校代表(每次至少有三所以上学校派出的代表)、学校膳食安全委员会代表(每次不少于3人)组成的多方询价小组，可不定期邀请人大代表和政协委员代表监督到县城的三大超市对重要商品的价格进行采价，特价及促销价除外，如大型超市没有配送的商品，则到城区的大型农贸市场采价。每月询价二次，上下半月不定期各询一次取二次询价的平均值作为学校和配送企业确定下一个月食材结算价格且实行全县统一价格。</w:t>
      </w:r>
    </w:p>
    <w:p w14:paraId="5A89A8C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(3)配送企业以平南县物价部门每月发布的监测价格和县城的三大超市同品质价格为参照依据，并根据规定在参考价格的基础上进行“价格9</w:t>
      </w:r>
      <w:r>
        <w:rPr>
          <w:rFonts w:hint="eastAsia" w:cs="宋体"/>
          <w:snapToGrid/>
          <w:color w:val="auto"/>
          <w:kern w:val="2"/>
          <w:sz w:val="21"/>
          <w:szCs w:val="21"/>
          <w:highlight w:val="none"/>
          <w:lang w:val="en-US" w:eastAsia="zh-CN" w:bidi="ar-SA"/>
        </w:rPr>
        <w:t>3</w:t>
      </w:r>
      <w:r>
        <w:rPr>
          <w:rFonts w:hint="eastAsia" w:ascii="宋体" w:hAnsi="宋体" w:eastAsia="宋体" w:cs="宋体"/>
          <w:snapToGrid/>
          <w:color w:val="auto"/>
          <w:kern w:val="2"/>
          <w:sz w:val="21"/>
          <w:szCs w:val="21"/>
          <w:highlight w:val="none"/>
          <w:lang w:val="en-US" w:eastAsia="zh-CN" w:bidi="ar-SA"/>
        </w:rPr>
        <w:t>%以下折扣”(按实际中标折扣率为准)，在每月30日前形成下一个月学校学生食堂食品及食材结算价格表。基准价不能高于市场上的最高价，如果价格不能协商确定的，供应商暂停供应该食材，对不按时、不按质、不按量、不按单配送到位的，学校有启动应急预案的权利(遇不可抗力除外)，从其他中标人或具有保证食品安全的供应商采购</w:t>
      </w:r>
      <w:r>
        <w:rPr>
          <w:rFonts w:hint="eastAsia" w:cs="宋体"/>
          <w:snapToGrid/>
          <w:color w:val="auto"/>
          <w:kern w:val="2"/>
          <w:sz w:val="21"/>
          <w:szCs w:val="21"/>
          <w:highlight w:val="none"/>
          <w:lang w:val="en-US" w:eastAsia="zh-CN" w:bidi="ar-SA"/>
        </w:rPr>
        <w:t>。</w:t>
      </w:r>
    </w:p>
    <w:p w14:paraId="43C234C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4.合同合计金额包括但不限于满足本次投标全部采购需求所应提供的服务，以及伴随的货物和工程(如有)的价格</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包含投标服务、货物、工程的成本、运输(含保险)、安装(如有)、调试、检验、技术服务、培训、税费等所有费用。如招标文件对其另有规定的，从其规定。</w:t>
      </w:r>
    </w:p>
    <w:p w14:paraId="6183FFB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第二条 质量保证</w:t>
      </w:r>
    </w:p>
    <w:p w14:paraId="55E858F6">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1.乙方供应的食材或货物必须达到国家标准</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乙方提供食材或货物样本，并提供相应主管部门出具的有效产品合格证件(检验报告)等，经甲方确认，按样本供货。</w:t>
      </w:r>
    </w:p>
    <w:p w14:paraId="6CD2FD2D">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2.乙方中标前未购买食品安全责任保险的，在签订合同后一个月内必须到相关的保险公司进行投保，投保险种为食品安全责任保险，否则甲方有权终止合同</w:t>
      </w:r>
      <w:r>
        <w:rPr>
          <w:rFonts w:hint="eastAsia" w:cs="宋体"/>
          <w:snapToGrid/>
          <w:color w:val="auto"/>
          <w:kern w:val="2"/>
          <w:sz w:val="21"/>
          <w:szCs w:val="21"/>
          <w:highlight w:val="none"/>
          <w:lang w:val="en-US" w:eastAsia="zh-CN" w:bidi="ar-SA"/>
        </w:rPr>
        <w:t>。</w:t>
      </w:r>
    </w:p>
    <w:p w14:paraId="247FB266">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3.甲方负责定期或不定期组织市场监管、卫健委等部门进行食品质量卫生监督检查，以确保所供食材或货物质量。</w:t>
      </w:r>
    </w:p>
    <w:p w14:paraId="112CB15D">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第三条 权利保证</w:t>
      </w:r>
    </w:p>
    <w:p w14:paraId="4833C50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1.乙方应保证所提供服务在使用时不会侵犯任何第三方的专利权、商标权、工业设计权等知识产权及其他合法权利，且所有权、处分权等没有受到任何限制。</w:t>
      </w:r>
    </w:p>
    <w:p w14:paraId="4BDCEF8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10A054A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第四条 交付和验收</w:t>
      </w:r>
    </w:p>
    <w:p w14:paraId="503ACC2E">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1.服务期限:</w:t>
      </w:r>
      <w:r>
        <w:rPr>
          <w:rFonts w:hint="eastAsia" w:ascii="宋体" w:hAnsi="宋体" w:eastAsia="宋体" w:cs="宋体"/>
          <w:snapToGrid/>
          <w:color w:val="auto"/>
          <w:kern w:val="2"/>
          <w:sz w:val="21"/>
          <w:szCs w:val="21"/>
          <w:highlight w:val="none"/>
          <w:u w:val="single"/>
          <w:lang w:val="en-US" w:eastAsia="zh-CN" w:bidi="ar-SA"/>
        </w:rPr>
        <w:t xml:space="preserve">                 </w:t>
      </w:r>
      <w:r>
        <w:rPr>
          <w:rFonts w:hint="eastAsia" w:ascii="宋体" w:hAnsi="宋体" w:eastAsia="宋体" w:cs="宋体"/>
          <w:snapToGrid/>
          <w:color w:val="auto"/>
          <w:kern w:val="2"/>
          <w:sz w:val="21"/>
          <w:szCs w:val="21"/>
          <w:highlight w:val="none"/>
          <w:lang w:val="en-US" w:eastAsia="zh-CN" w:bidi="ar-SA"/>
        </w:rPr>
        <w:t>；服务地点:</w:t>
      </w:r>
      <w:r>
        <w:rPr>
          <w:rFonts w:hint="eastAsia" w:ascii="宋体" w:hAnsi="宋体" w:eastAsia="宋体" w:cs="宋体"/>
          <w:snapToGrid/>
          <w:color w:val="auto"/>
          <w:kern w:val="2"/>
          <w:sz w:val="21"/>
          <w:szCs w:val="21"/>
          <w:highlight w:val="none"/>
          <w:u w:val="single"/>
          <w:lang w:val="en-US" w:eastAsia="zh-CN" w:bidi="ar-SA"/>
        </w:rPr>
        <w:t>甲方指定地点</w:t>
      </w:r>
      <w:r>
        <w:rPr>
          <w:rFonts w:hint="eastAsia" w:cs="宋体"/>
          <w:snapToGrid/>
          <w:color w:val="auto"/>
          <w:kern w:val="2"/>
          <w:sz w:val="21"/>
          <w:szCs w:val="21"/>
          <w:highlight w:val="none"/>
          <w:u w:val="single"/>
          <w:lang w:val="en-US" w:eastAsia="zh-CN" w:bidi="ar-SA"/>
        </w:rPr>
        <w:t>；</w:t>
      </w:r>
      <w:r>
        <w:rPr>
          <w:rFonts w:hint="eastAsia" w:ascii="宋体" w:hAnsi="宋体" w:eastAsia="宋体" w:cs="宋体"/>
          <w:snapToGrid/>
          <w:color w:val="auto"/>
          <w:kern w:val="2"/>
          <w:sz w:val="21"/>
          <w:szCs w:val="21"/>
          <w:highlight w:val="none"/>
          <w:lang w:val="en-US" w:eastAsia="zh-CN" w:bidi="ar-SA"/>
        </w:rPr>
        <w:t>交货方式</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一般供货要求:</w:t>
      </w:r>
      <w:r>
        <w:rPr>
          <w:rFonts w:hint="eastAsia" w:ascii="宋体" w:hAnsi="宋体" w:eastAsia="宋体" w:cs="宋体"/>
          <w:snapToGrid/>
          <w:color w:val="auto"/>
          <w:kern w:val="2"/>
          <w:sz w:val="21"/>
          <w:szCs w:val="21"/>
          <w:highlight w:val="none"/>
          <w:u w:val="single"/>
          <w:lang w:val="en-US" w:eastAsia="zh-CN" w:bidi="ar-SA"/>
        </w:rPr>
        <w:t>采购方根据实际需要，提前 3 天列出需要补充采购的货物请购清单，在收到采购方发出供货通知后，供方在规定的时间内提供当次现场供货。紧急供货要求：在收到采购方发出紧急供货通知后，供方最迟 2 小时内完成当次现场供货。</w:t>
      </w:r>
    </w:p>
    <w:p w14:paraId="735BA55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2.乙方应按投标文件的承诺向甲方提供相应的服务，并提供所服务内容的相关技术资料。</w:t>
      </w:r>
    </w:p>
    <w:p w14:paraId="580BBBDE">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3.乙方提供不符合投标文件和本合同规定的服务成果，甲方有权拒绝接受</w:t>
      </w:r>
    </w:p>
    <w:p w14:paraId="7F3BBBE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4.乙方完成服务后应及时书面通知甲方进行验收，甲方应在收到通知后七个工作日内进行验收，逾期不开始验收的，乙方可视同验收合格。验收合格后由甲乙双方签署验收单并加盖甲方公章，甲乙双方各执一份。</w:t>
      </w:r>
    </w:p>
    <w:p w14:paraId="60F7025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5.甲乙双方应按照《广西壮族自治区政府采购项目履约验收管理办法》、双方合同、投标文件验收。</w:t>
      </w:r>
    </w:p>
    <w:p w14:paraId="1592FBBE">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6.甲方在初步验收或者最终验收过程中如发现乙方提供的服务成果不满足投标文件及本合同规定的，可暂缓向乙方付款，直到乙方及时完善并提交相应的服务成果且经甲方验收合格后，方可办理付款。</w:t>
      </w:r>
    </w:p>
    <w:p w14:paraId="7B9DE64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7.甲方验收时以书面形式提出异议的，乙方应自收到甲方书面异议后五个工作日内及时予以解决，否则甲方有权不出具服务验收合格单。</w:t>
      </w:r>
    </w:p>
    <w:p w14:paraId="23510DF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第五条 售后服务及培训</w:t>
      </w:r>
    </w:p>
    <w:p w14:paraId="0C6CCF9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1.乙方应按照国家有关法律法规和本合同所附的《商务要求偏离表》要求为甲方提供相应的售后服务</w:t>
      </w:r>
      <w:r>
        <w:rPr>
          <w:rFonts w:hint="eastAsia" w:cs="宋体"/>
          <w:snapToGrid/>
          <w:color w:val="auto"/>
          <w:kern w:val="2"/>
          <w:sz w:val="21"/>
          <w:szCs w:val="21"/>
          <w:highlight w:val="none"/>
          <w:lang w:val="en-US" w:eastAsia="zh-CN" w:bidi="ar-SA"/>
        </w:rPr>
        <w:t>。</w:t>
      </w:r>
    </w:p>
    <w:p w14:paraId="649CB6C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2.甲方应提供必要测试条件(如场地、电源、水源等)。</w:t>
      </w:r>
    </w:p>
    <w:p w14:paraId="2E5FA0E9">
      <w:pPr>
        <w:pStyle w:val="4"/>
        <w:widowControl/>
        <w:kinsoku w:val="0"/>
        <w:autoSpaceDE w:val="0"/>
        <w:autoSpaceDN w:val="0"/>
        <w:adjustRightInd w:val="0"/>
        <w:snapToGrid w:val="0"/>
        <w:spacing w:before="158" w:line="344" w:lineRule="auto"/>
        <w:ind w:left="10" w:right="70" w:firstLine="435"/>
        <w:jc w:val="left"/>
        <w:textAlignment w:val="baseline"/>
        <w:rPr>
          <w:rFonts w:hint="default" w:ascii="宋体" w:hAnsi="宋体" w:eastAsia="宋体" w:cs="宋体"/>
          <w:snapToGrid/>
          <w:color w:val="auto"/>
          <w:kern w:val="2"/>
          <w:sz w:val="21"/>
          <w:szCs w:val="21"/>
          <w:highlight w:val="none"/>
          <w:u w:val="single"/>
          <w:lang w:val="en-US" w:eastAsia="zh-CN" w:bidi="ar-SA"/>
        </w:rPr>
      </w:pPr>
      <w:r>
        <w:rPr>
          <w:rFonts w:hint="eastAsia" w:ascii="宋体" w:hAnsi="宋体" w:eastAsia="宋体" w:cs="宋体"/>
          <w:snapToGrid/>
          <w:color w:val="auto"/>
          <w:kern w:val="2"/>
          <w:sz w:val="21"/>
          <w:szCs w:val="21"/>
          <w:highlight w:val="none"/>
          <w:lang w:val="en-US" w:eastAsia="zh-CN" w:bidi="ar-SA"/>
        </w:rPr>
        <w:t>3.乙方负责甲方有关人员的培训。培训时间、地点:</w:t>
      </w:r>
      <w:r>
        <w:rPr>
          <w:rFonts w:hint="eastAsia" w:cs="宋体"/>
          <w:snapToGrid/>
          <w:color w:val="auto"/>
          <w:kern w:val="2"/>
          <w:sz w:val="21"/>
          <w:szCs w:val="21"/>
          <w:highlight w:val="none"/>
          <w:u w:val="single"/>
          <w:lang w:val="en-US" w:eastAsia="zh-CN" w:bidi="ar-SA"/>
        </w:rPr>
        <w:t xml:space="preserve">            </w:t>
      </w:r>
    </w:p>
    <w:p w14:paraId="1BBEB5F4">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第六条 付款方式</w:t>
      </w:r>
    </w:p>
    <w:p w14:paraId="7AAF01B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甲乙双方同意本合同金额的支付按以下第</w:t>
      </w:r>
      <w:r>
        <w:rPr>
          <w:rFonts w:hint="eastAsia" w:ascii="宋体" w:hAnsi="宋体" w:eastAsia="宋体" w:cs="宋体"/>
          <w:snapToGrid/>
          <w:color w:val="auto"/>
          <w:kern w:val="2"/>
          <w:sz w:val="21"/>
          <w:szCs w:val="21"/>
          <w:highlight w:val="none"/>
          <w:u w:val="single"/>
          <w:lang w:val="en-US" w:eastAsia="zh-CN" w:bidi="ar-SA"/>
        </w:rPr>
        <w:t>2</w:t>
      </w:r>
      <w:r>
        <w:rPr>
          <w:rFonts w:hint="eastAsia" w:ascii="宋体" w:hAnsi="宋体" w:eastAsia="宋体" w:cs="宋体"/>
          <w:snapToGrid/>
          <w:color w:val="auto"/>
          <w:kern w:val="2"/>
          <w:sz w:val="21"/>
          <w:szCs w:val="21"/>
          <w:highlight w:val="none"/>
          <w:lang w:val="en-US" w:eastAsia="zh-CN" w:bidi="ar-SA"/>
        </w:rPr>
        <w:t>项约定执行:</w:t>
      </w:r>
    </w:p>
    <w:p w14:paraId="703D3FA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1.一次性支付</w:t>
      </w:r>
    </w:p>
    <w:p w14:paraId="27903DB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2.分期支付</w:t>
      </w:r>
    </w:p>
    <w:p w14:paraId="173AE73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一般情况下采购单位按月进行结算，采购资金由采购单位财务账户转入中标供应商账户。每月 25 日前，中标供应商向采购单位开具上一月度供货相应数额的发票（农副产品免税的除外），采购单位收到发票后 10 个工作日内支付。特殊情况，需临时改变结算方式，双方可通过协商解决。</w:t>
      </w:r>
    </w:p>
    <w:p w14:paraId="2A0341B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第七条 履约保证金</w:t>
      </w:r>
    </w:p>
    <w:p w14:paraId="5E2D712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履约保证金金额</w:t>
      </w:r>
      <w:r>
        <w:rPr>
          <w:rFonts w:hint="eastAsia" w:cs="宋体"/>
          <w:snapToGrid/>
          <w:color w:val="auto"/>
          <w:kern w:val="2"/>
          <w:sz w:val="21"/>
          <w:szCs w:val="21"/>
          <w:highlight w:val="none"/>
          <w:lang w:val="en-US" w:eastAsia="zh-CN" w:bidi="ar-SA"/>
        </w:rPr>
        <w:t>：</w:t>
      </w:r>
      <w:r>
        <w:rPr>
          <w:rFonts w:hint="eastAsia" w:cs="宋体"/>
          <w:snapToGrid/>
          <w:color w:val="auto"/>
          <w:kern w:val="2"/>
          <w:sz w:val="21"/>
          <w:szCs w:val="21"/>
          <w:highlight w:val="none"/>
          <w:u w:val="single"/>
          <w:lang w:val="en-US" w:eastAsia="zh-CN" w:bidi="ar-SA"/>
        </w:rPr>
        <w:t>中标金额2%</w:t>
      </w:r>
      <w:r>
        <w:rPr>
          <w:rFonts w:hint="eastAsia" w:ascii="宋体" w:hAnsi="宋体" w:eastAsia="宋体" w:cs="宋体"/>
          <w:snapToGrid/>
          <w:color w:val="auto"/>
          <w:kern w:val="2"/>
          <w:sz w:val="21"/>
          <w:szCs w:val="21"/>
          <w:highlight w:val="none"/>
          <w:u w:val="single"/>
          <w:lang w:val="en-US" w:eastAsia="zh-CN" w:bidi="ar-SA"/>
        </w:rPr>
        <w:t>。</w:t>
      </w:r>
    </w:p>
    <w:p w14:paraId="10E64CA8">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履约保证金递交方式</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银行转账、支票、汇票、本票等非现金方式。</w:t>
      </w:r>
    </w:p>
    <w:p w14:paraId="088190AE">
      <w:pPr>
        <w:pStyle w:val="4"/>
        <w:widowControl/>
        <w:kinsoku w:val="0"/>
        <w:autoSpaceDE w:val="0"/>
        <w:autoSpaceDN w:val="0"/>
        <w:adjustRightInd w:val="0"/>
        <w:snapToGrid w:val="0"/>
        <w:spacing w:before="158" w:line="344" w:lineRule="auto"/>
        <w:ind w:left="10" w:right="70" w:firstLine="435"/>
        <w:jc w:val="left"/>
        <w:textAlignment w:val="baseline"/>
        <w:rPr>
          <w:rFonts w:hint="default"/>
          <w:color w:val="auto"/>
          <w:highlight w:val="none"/>
          <w:u w:val="single"/>
          <w:lang w:val="en-US" w:eastAsia="zh-CN"/>
        </w:rPr>
      </w:pPr>
      <w:r>
        <w:rPr>
          <w:rFonts w:hint="eastAsia" w:ascii="宋体" w:hAnsi="宋体" w:eastAsia="宋体" w:cs="宋体"/>
          <w:snapToGrid/>
          <w:color w:val="auto"/>
          <w:kern w:val="2"/>
          <w:sz w:val="21"/>
          <w:szCs w:val="21"/>
          <w:highlight w:val="none"/>
          <w:lang w:val="en-US" w:eastAsia="zh-CN" w:bidi="ar-SA"/>
        </w:rPr>
        <w:t>履约保证金退付方式、时间及条件:</w:t>
      </w:r>
      <w:r>
        <w:rPr>
          <w:rFonts w:hint="eastAsia" w:cs="宋体"/>
          <w:snapToGrid/>
          <w:color w:val="auto"/>
          <w:kern w:val="2"/>
          <w:sz w:val="21"/>
          <w:szCs w:val="21"/>
          <w:highlight w:val="none"/>
          <w:u w:val="single"/>
          <w:lang w:val="en-US" w:eastAsia="zh-CN" w:bidi="ar-SA"/>
        </w:rPr>
        <w:t xml:space="preserve">                     </w:t>
      </w:r>
    </w:p>
    <w:p w14:paraId="12C5F6A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合同签订前，乙方按</w:t>
      </w:r>
      <w:r>
        <w:rPr>
          <w:rFonts w:hint="eastAsia" w:ascii="宋体" w:hAnsi="宋体" w:eastAsia="宋体" w:cs="宋体"/>
          <w:snapToGrid/>
          <w:color w:val="auto"/>
          <w:kern w:val="2"/>
          <w:sz w:val="21"/>
          <w:szCs w:val="21"/>
          <w:highlight w:val="none"/>
          <w:u w:val="single"/>
          <w:lang w:val="en-US" w:eastAsia="zh-CN" w:bidi="ar-SA"/>
        </w:rPr>
        <w:t>中标金额2%。</w:t>
      </w:r>
      <w:r>
        <w:rPr>
          <w:rFonts w:hint="eastAsia" w:ascii="宋体" w:hAnsi="宋体" w:eastAsia="宋体" w:cs="宋体"/>
          <w:snapToGrid/>
          <w:color w:val="auto"/>
          <w:kern w:val="2"/>
          <w:sz w:val="21"/>
          <w:szCs w:val="21"/>
          <w:highlight w:val="none"/>
          <w:lang w:val="en-US" w:eastAsia="zh-CN" w:bidi="ar-SA"/>
        </w:rPr>
        <w:t>甲方指定账户交纳履约保证金。乙方按照合同要求完成服务工作，合同期满，经甲方验收合格后，履约保证金全额退回(不计利息)。</w:t>
      </w:r>
    </w:p>
    <w:p w14:paraId="637E6C0C">
      <w:pPr>
        <w:pStyle w:val="4"/>
        <w:widowControl/>
        <w:kinsoku w:val="0"/>
        <w:autoSpaceDE w:val="0"/>
        <w:autoSpaceDN w:val="0"/>
        <w:adjustRightInd w:val="0"/>
        <w:snapToGrid w:val="0"/>
        <w:spacing w:before="158" w:line="344" w:lineRule="auto"/>
        <w:ind w:left="10" w:right="70" w:firstLine="435"/>
        <w:jc w:val="left"/>
        <w:textAlignment w:val="baseline"/>
        <w:rPr>
          <w:rFonts w:hint="default" w:ascii="宋体" w:hAnsi="宋体" w:eastAsia="宋体" w:cs="宋体"/>
          <w:snapToGrid/>
          <w:color w:val="auto"/>
          <w:kern w:val="2"/>
          <w:sz w:val="21"/>
          <w:szCs w:val="21"/>
          <w:highlight w:val="none"/>
          <w:u w:val="single"/>
          <w:lang w:val="en-US" w:eastAsia="zh-CN" w:bidi="ar-SA"/>
        </w:rPr>
      </w:pPr>
      <w:r>
        <w:rPr>
          <w:rFonts w:hint="eastAsia" w:ascii="宋体" w:hAnsi="宋体" w:eastAsia="宋体" w:cs="宋体"/>
          <w:snapToGrid/>
          <w:color w:val="auto"/>
          <w:kern w:val="2"/>
          <w:sz w:val="21"/>
          <w:szCs w:val="21"/>
          <w:highlight w:val="none"/>
          <w:lang w:val="en-US" w:eastAsia="zh-CN" w:bidi="ar-SA"/>
        </w:rPr>
        <w:t>履约保证金指定账户</w:t>
      </w:r>
      <w:r>
        <w:rPr>
          <w:rFonts w:hint="eastAsia" w:cs="宋体"/>
          <w:snapToGrid/>
          <w:color w:val="auto"/>
          <w:kern w:val="2"/>
          <w:sz w:val="21"/>
          <w:szCs w:val="21"/>
          <w:highlight w:val="none"/>
          <w:lang w:val="en-US" w:eastAsia="zh-CN" w:bidi="ar-SA"/>
        </w:rPr>
        <w:t>：</w:t>
      </w:r>
      <w:r>
        <w:rPr>
          <w:rFonts w:hint="eastAsia" w:cs="宋体"/>
          <w:snapToGrid/>
          <w:color w:val="auto"/>
          <w:kern w:val="2"/>
          <w:sz w:val="21"/>
          <w:szCs w:val="21"/>
          <w:highlight w:val="none"/>
          <w:u w:val="single"/>
          <w:lang w:val="en-US" w:eastAsia="zh-CN" w:bidi="ar-SA"/>
        </w:rPr>
        <w:t xml:space="preserve">                             </w:t>
      </w:r>
    </w:p>
    <w:p w14:paraId="29F01A9E">
      <w:pPr>
        <w:pStyle w:val="4"/>
        <w:widowControl/>
        <w:kinsoku w:val="0"/>
        <w:autoSpaceDE w:val="0"/>
        <w:autoSpaceDN w:val="0"/>
        <w:adjustRightInd w:val="0"/>
        <w:snapToGrid w:val="0"/>
        <w:spacing w:before="158" w:line="344" w:lineRule="auto"/>
        <w:ind w:left="10" w:right="70" w:firstLine="435"/>
        <w:jc w:val="left"/>
        <w:textAlignment w:val="baseline"/>
        <w:rPr>
          <w:rFonts w:hint="eastAsia" w:cs="宋体"/>
          <w:snapToGrid/>
          <w:color w:val="auto"/>
          <w:kern w:val="2"/>
          <w:sz w:val="21"/>
          <w:szCs w:val="21"/>
          <w:highlight w:val="none"/>
          <w:u w:val="single"/>
          <w:lang w:val="en-US" w:eastAsia="zh-CN" w:bidi="ar-SA"/>
        </w:rPr>
      </w:pPr>
      <w:r>
        <w:rPr>
          <w:rFonts w:hint="eastAsia" w:ascii="宋体" w:hAnsi="宋体" w:eastAsia="宋体" w:cs="宋体"/>
          <w:snapToGrid/>
          <w:color w:val="auto"/>
          <w:kern w:val="2"/>
          <w:sz w:val="21"/>
          <w:szCs w:val="21"/>
          <w:highlight w:val="none"/>
          <w:lang w:val="en-US" w:eastAsia="zh-CN" w:bidi="ar-SA"/>
        </w:rPr>
        <w:t>账户全称</w:t>
      </w:r>
      <w:r>
        <w:rPr>
          <w:rFonts w:hint="eastAsia" w:cs="宋体"/>
          <w:snapToGrid/>
          <w:color w:val="auto"/>
          <w:kern w:val="2"/>
          <w:sz w:val="21"/>
          <w:szCs w:val="21"/>
          <w:highlight w:val="none"/>
          <w:lang w:val="en-US" w:eastAsia="zh-CN" w:bidi="ar-SA"/>
        </w:rPr>
        <w:t>：</w:t>
      </w:r>
      <w:r>
        <w:rPr>
          <w:rFonts w:hint="eastAsia" w:cs="宋体"/>
          <w:snapToGrid/>
          <w:color w:val="auto"/>
          <w:kern w:val="2"/>
          <w:sz w:val="21"/>
          <w:szCs w:val="21"/>
          <w:highlight w:val="none"/>
          <w:u w:val="single"/>
          <w:lang w:val="en-US" w:eastAsia="zh-CN" w:bidi="ar-SA"/>
        </w:rPr>
        <w:t xml:space="preserve">                             </w:t>
      </w:r>
    </w:p>
    <w:p w14:paraId="1FDF1CED">
      <w:pPr>
        <w:ind w:firstLine="420" w:firstLineChars="200"/>
        <w:rPr>
          <w:rFonts w:hint="eastAsia"/>
          <w:color w:val="auto"/>
          <w:highlight w:val="none"/>
          <w:lang w:val="en-US" w:eastAsia="zh-CN"/>
        </w:rPr>
      </w:pPr>
      <w:r>
        <w:rPr>
          <w:rFonts w:hint="eastAsia" w:cs="宋体"/>
          <w:snapToGrid/>
          <w:color w:val="auto"/>
          <w:kern w:val="2"/>
          <w:sz w:val="21"/>
          <w:szCs w:val="21"/>
          <w:highlight w:val="none"/>
          <w:lang w:val="en-US" w:eastAsia="zh-CN" w:bidi="ar-SA"/>
        </w:rPr>
        <w:t>账    号：</w:t>
      </w:r>
      <w:r>
        <w:rPr>
          <w:rFonts w:hint="eastAsia" w:cs="宋体"/>
          <w:snapToGrid/>
          <w:color w:val="auto"/>
          <w:kern w:val="2"/>
          <w:sz w:val="21"/>
          <w:szCs w:val="21"/>
          <w:highlight w:val="none"/>
          <w:u w:val="single"/>
          <w:lang w:val="en-US" w:eastAsia="zh-CN" w:bidi="ar-SA"/>
        </w:rPr>
        <w:t xml:space="preserve">                             </w:t>
      </w:r>
    </w:p>
    <w:p w14:paraId="357E0CD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开户行</w:t>
      </w:r>
      <w:r>
        <w:rPr>
          <w:rFonts w:hint="eastAsia" w:cs="宋体"/>
          <w:snapToGrid/>
          <w:color w:val="auto"/>
          <w:kern w:val="2"/>
          <w:sz w:val="21"/>
          <w:szCs w:val="21"/>
          <w:highlight w:val="none"/>
          <w:lang w:val="en-US" w:eastAsia="zh-CN" w:bidi="ar-SA"/>
        </w:rPr>
        <w:t>：</w:t>
      </w:r>
      <w:r>
        <w:rPr>
          <w:rFonts w:hint="eastAsia" w:cs="宋体"/>
          <w:snapToGrid/>
          <w:color w:val="auto"/>
          <w:kern w:val="2"/>
          <w:sz w:val="21"/>
          <w:szCs w:val="21"/>
          <w:highlight w:val="none"/>
          <w:u w:val="single"/>
          <w:lang w:val="en-US" w:eastAsia="zh-CN" w:bidi="ar-SA"/>
        </w:rPr>
        <w:t xml:space="preserve">                             </w:t>
      </w:r>
    </w:p>
    <w:p w14:paraId="53173D1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第八条 税费</w:t>
      </w:r>
    </w:p>
    <w:p w14:paraId="7B636BA4">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本合同执行中相关的一切税费均由乙方负担，合同另有约定的除外。</w:t>
      </w:r>
    </w:p>
    <w:p w14:paraId="204C339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第九条 违约责任</w:t>
      </w:r>
    </w:p>
    <w:p w14:paraId="42EA7C0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1.乙方提供假冒伪劣、过期、变质食品的，甲方有权要求无条件退货并及时换货，首次发现违约行为的乙方按违约货款额 5%收取违约金并赔偿经济损失</w:t>
      </w:r>
      <w:r>
        <w:rPr>
          <w:rFonts w:hint="eastAsia" w:cs="宋体"/>
          <w:snapToGrid/>
          <w:color w:val="auto"/>
          <w:kern w:val="2"/>
          <w:sz w:val="21"/>
          <w:szCs w:val="21"/>
          <w:highlight w:val="none"/>
          <w:lang w:val="en-US" w:eastAsia="zh-CN" w:bidi="ar-SA"/>
        </w:rPr>
        <w:t>；</w:t>
      </w:r>
      <w:r>
        <w:rPr>
          <w:rFonts w:hint="eastAsia" w:ascii="宋体" w:hAnsi="宋体" w:eastAsia="宋体" w:cs="宋体"/>
          <w:snapToGrid/>
          <w:color w:val="auto"/>
          <w:kern w:val="2"/>
          <w:sz w:val="21"/>
          <w:szCs w:val="21"/>
          <w:highlight w:val="none"/>
          <w:lang w:val="en-US" w:eastAsia="zh-CN" w:bidi="ar-SA"/>
        </w:rPr>
        <w:t>第二次发现违约行为的乙方按违约货款额10%收取违约金并赔偿经济损失，由甲方在履约保证金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中标单价的)由乙方承担。</w:t>
      </w:r>
    </w:p>
    <w:p w14:paraId="1C8F526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656F402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3.乙方故意提供假冒伪劣、过期、变质产品的，采购人可以拒付未付的所有货款，并没收所有履约保证金，同时甲方有权终止合同。</w:t>
      </w:r>
    </w:p>
    <w:p w14:paraId="66A6029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4.乙方涉及违约的违约金和损失赔偿由甲方从履约保证金中扣减，乙方在15个工作日内补足履约保证金。乙方未按要求补足履约保证金的，甲方有权取消合同并按合同金额10%收取乙方违约金。</w:t>
      </w:r>
    </w:p>
    <w:p w14:paraId="507D8AA0">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5.因政策变动或其他人力不可抗拒原因导致合同无法履行的，任何一方不负违约责任。</w:t>
      </w:r>
    </w:p>
    <w:p w14:paraId="4B44603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第十条 监督办法与退出机制</w:t>
      </w:r>
    </w:p>
    <w:p w14:paraId="091F828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（一）严格执行贵港市教育局和贵港市市场监督管理局下发的《中小学校食材配送供应商准入退出条件》的规定；</w:t>
      </w:r>
    </w:p>
    <w:p w14:paraId="4EB5FCD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二）中标企业有下列情况之一的，经核查属实，学校约谈中标企业，责令整改，整改不到位或一个学期同一问题累计发生达两次（含两次）以上的，学校有权单方面解除与中标企业签订的采购协议，并由中标企业承担由此造成一切损失，学校启动应急预案。</w:t>
      </w:r>
    </w:p>
    <w:p w14:paraId="19517A4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1.中标企业食品价格不执行中标时约定的折扣。</w:t>
      </w:r>
    </w:p>
    <w:p w14:paraId="1BE57BB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2.中标企业配送的食材未经教育局同意就上架向学校销售，或不服从教育局、市监局等相关部门常规管理，扰乱学校食材采购秩序的。</w:t>
      </w:r>
    </w:p>
    <w:p w14:paraId="4872027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3.中标企业配送超过保质期、腐败变质或不经检验检疫的食品。</w:t>
      </w:r>
    </w:p>
    <w:p w14:paraId="30918764">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4.中标企业存在严重食品安全隐患，被相关管理部门责令整改，或整改不到位、屡改屡犯的。</w:t>
      </w:r>
    </w:p>
    <w:p w14:paraId="4BA0701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5.中标企业不按时按质按量配送或拒绝配送，存在以次充好，短斤缺两或服务态度恶劣等行为的。</w:t>
      </w:r>
    </w:p>
    <w:p w14:paraId="220FFBB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6.中标企业未经学校同意，擅自变更采购清单的种类、品牌、质量或数量的。</w:t>
      </w:r>
    </w:p>
    <w:p w14:paraId="710EAAB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三）每月学校对中标企业进行测评，测评内容包括食材质量、服务水平、价格、协议执行情况、承诺兑现等方面，测评结果低于95分的，学校对中标企业进行约谈整改，低于90分的，中标企业暂停供货一个月，低于85分的，学校有权单方面解除与中标企业签订的采购协议。</w:t>
      </w:r>
    </w:p>
    <w:p w14:paraId="551964B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（四）中标企业利用不正当手段拉拢学校管理人员、采购人员或验收人员的，发现一次，当月学校货款按50%结算，发现两次的，扣除当月全部货款，学校有权单方面终止采购协议。</w:t>
      </w:r>
    </w:p>
    <w:p w14:paraId="169BD19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（五）中标企业如有下列问题，学校有权终止采购协议，情节严重的，没收质保金，同时列入黑名单，3年内不能参与我县学校食品类经营活动，造成责任事故的，将依法追究其法律责任。</w:t>
      </w:r>
    </w:p>
    <w:p w14:paraId="0E0AE4C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1.配送食品质量不合格，引发重大食品安全事故的。</w:t>
      </w:r>
    </w:p>
    <w:p w14:paraId="16CAF6C5">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2.被市场监管部门吊销或注销食品经营许可证的。</w:t>
      </w:r>
    </w:p>
    <w:p w14:paraId="0021583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3.存在转标、分标等违规行为的。</w:t>
      </w:r>
    </w:p>
    <w:p w14:paraId="4F057FC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（六）中标企业在履约期间，企业及其法人，被相关部门列入失信被执行人名单、重大税收违法案件当事人名单和政府采购严重违法失信行为记录名单的，学校有权单方面解除与中标企业签订的采购协议。</w:t>
      </w:r>
    </w:p>
    <w:p w14:paraId="47CB64F8">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第十一条 不可抗力事件处理</w:t>
      </w:r>
    </w:p>
    <w:p w14:paraId="54A45A20">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1.在合同有效期内，任何一方因不可抗力事件导致不能履行合同，则合同履行期可延长，其延长期与不可抗力影响期相同。</w:t>
      </w:r>
    </w:p>
    <w:p w14:paraId="6B2BB820">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2.不可抗力事件发生后，应立即通知对方，并寄送有关权威机构出具的证明。</w:t>
      </w:r>
    </w:p>
    <w:p w14:paraId="3D34D595">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3.不可抗力事件延续一百二十天以上，双方应通过友好协商，确定是否继续履行合同。</w:t>
      </w:r>
    </w:p>
    <w:p w14:paraId="533B44A3">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第十二条 合同争议解决</w:t>
      </w:r>
    </w:p>
    <w:p w14:paraId="7B0E2D2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1.因服务质量问题发生争议的，应邀请国家认可的质量检测机构进行鉴定。服务符合标准的，鉴定费由甲方承担;服务不符合标准的，鉴定费由乙方承担。</w:t>
      </w:r>
    </w:p>
    <w:p w14:paraId="116CD1F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2.因履行本合同引起的或者与本合同有关的争议，甲乙双方应首先通过友好协商解决，如果协商不能解决，可向甲方所在地有管辖权的人民法院提起诉讼。</w:t>
      </w:r>
    </w:p>
    <w:p w14:paraId="14C5366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3.诉讼期间，本合同继续履行。</w:t>
      </w:r>
    </w:p>
    <w:p w14:paraId="6904CFD4">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w:t>
      </w:r>
      <w:r>
        <w:rPr>
          <w:rFonts w:hint="eastAsia" w:cs="宋体"/>
          <w:snapToGrid/>
          <w:color w:val="auto"/>
          <w:kern w:val="2"/>
          <w:sz w:val="21"/>
          <w:szCs w:val="21"/>
          <w:highlight w:val="none"/>
          <w:lang w:val="en-US" w:eastAsia="zh-CN" w:bidi="ar-SA"/>
        </w:rPr>
        <w:t>三</w:t>
      </w:r>
      <w:r>
        <w:rPr>
          <w:rFonts w:hint="eastAsia" w:ascii="宋体" w:hAnsi="宋体" w:eastAsia="宋体" w:cs="宋体"/>
          <w:snapToGrid/>
          <w:color w:val="auto"/>
          <w:kern w:val="2"/>
          <w:sz w:val="21"/>
          <w:szCs w:val="21"/>
          <w:highlight w:val="none"/>
          <w:lang w:val="en-US" w:eastAsia="zh-CN" w:bidi="ar-SA"/>
        </w:rPr>
        <w:t>条 合同生效及其它</w:t>
      </w:r>
    </w:p>
    <w:p w14:paraId="7D4328E6">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1.合同经双方法定代表人或者授权代表签字并加盖单位公章后生效(委托代理人签字的需后附授权委托书，格式自拟)</w:t>
      </w:r>
    </w:p>
    <w:p w14:paraId="2017593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2.合同执行中涉及采购资金和采购内容修改或者补充的，须经监督部门审批，并签书面补充协议报监督部门备案，方可作为主合同不可分割的一部分。</w:t>
      </w:r>
    </w:p>
    <w:p w14:paraId="235BF3A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3.本合同未尽事宜，遵照《中华人民共和国民法典》有关条文执行。</w:t>
      </w:r>
    </w:p>
    <w:p w14:paraId="60D0E17A">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w:t>
      </w:r>
      <w:r>
        <w:rPr>
          <w:rFonts w:hint="eastAsia" w:cs="宋体"/>
          <w:snapToGrid/>
          <w:color w:val="auto"/>
          <w:kern w:val="2"/>
          <w:sz w:val="21"/>
          <w:szCs w:val="21"/>
          <w:highlight w:val="none"/>
          <w:lang w:val="en-US" w:eastAsia="zh-CN" w:bidi="ar-SA"/>
        </w:rPr>
        <w:t>四</w:t>
      </w:r>
      <w:r>
        <w:rPr>
          <w:rFonts w:hint="eastAsia" w:ascii="宋体" w:hAnsi="宋体" w:eastAsia="宋体" w:cs="宋体"/>
          <w:snapToGrid/>
          <w:color w:val="auto"/>
          <w:kern w:val="2"/>
          <w:sz w:val="21"/>
          <w:szCs w:val="21"/>
          <w:highlight w:val="none"/>
          <w:lang w:val="en-US" w:eastAsia="zh-CN" w:bidi="ar-SA"/>
        </w:rPr>
        <w:t>条 合同的变更、终止与转让</w:t>
      </w:r>
    </w:p>
    <w:p w14:paraId="02E08859">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1.除《中华人民共和国政府采购法》第五十条规定的情形外，本合同一经签订，甲乙双不得擅自变更、中止或者终止。</w:t>
      </w:r>
    </w:p>
    <w:p w14:paraId="393ADA8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2.乙方不得擅自转让其应履行的合同义务。</w:t>
      </w:r>
    </w:p>
    <w:p w14:paraId="085179C7">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w:t>
      </w:r>
      <w:r>
        <w:rPr>
          <w:rFonts w:hint="eastAsia" w:cs="宋体"/>
          <w:snapToGrid/>
          <w:color w:val="auto"/>
          <w:kern w:val="2"/>
          <w:sz w:val="21"/>
          <w:szCs w:val="21"/>
          <w:highlight w:val="none"/>
          <w:lang w:val="en-US" w:eastAsia="zh-CN" w:bidi="ar-SA"/>
        </w:rPr>
        <w:t>五</w:t>
      </w:r>
      <w:r>
        <w:rPr>
          <w:rFonts w:hint="eastAsia" w:ascii="宋体" w:hAnsi="宋体" w:eastAsia="宋体" w:cs="宋体"/>
          <w:snapToGrid/>
          <w:color w:val="auto"/>
          <w:kern w:val="2"/>
          <w:sz w:val="21"/>
          <w:szCs w:val="21"/>
          <w:highlight w:val="none"/>
          <w:lang w:val="en-US" w:eastAsia="zh-CN" w:bidi="ar-SA"/>
        </w:rPr>
        <w:t>条 签订本合同依据</w:t>
      </w:r>
    </w:p>
    <w:p w14:paraId="3C70B27B">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1.中标通知书</w:t>
      </w:r>
      <w:r>
        <w:rPr>
          <w:rFonts w:hint="eastAsia" w:cs="宋体"/>
          <w:snapToGrid/>
          <w:color w:val="auto"/>
          <w:kern w:val="2"/>
          <w:sz w:val="21"/>
          <w:szCs w:val="21"/>
          <w:highlight w:val="none"/>
          <w:lang w:val="en-US" w:eastAsia="zh-CN" w:bidi="ar-SA"/>
        </w:rPr>
        <w:t>；</w:t>
      </w:r>
    </w:p>
    <w:p w14:paraId="4BDF0C0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2.开标一览表</w:t>
      </w:r>
      <w:r>
        <w:rPr>
          <w:rFonts w:hint="eastAsia" w:cs="宋体"/>
          <w:snapToGrid/>
          <w:color w:val="auto"/>
          <w:kern w:val="2"/>
          <w:sz w:val="21"/>
          <w:szCs w:val="21"/>
          <w:highlight w:val="none"/>
          <w:lang w:val="en-US" w:eastAsia="zh-CN" w:bidi="ar-SA"/>
        </w:rPr>
        <w:t>；</w:t>
      </w:r>
    </w:p>
    <w:p w14:paraId="3C32F178">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3.商务要求偏离表和技术要求偏离表</w:t>
      </w:r>
      <w:r>
        <w:rPr>
          <w:rFonts w:hint="eastAsia" w:cs="宋体"/>
          <w:snapToGrid/>
          <w:color w:val="auto"/>
          <w:kern w:val="2"/>
          <w:sz w:val="21"/>
          <w:szCs w:val="21"/>
          <w:highlight w:val="none"/>
          <w:lang w:val="en-US" w:eastAsia="zh-CN" w:bidi="ar-SA"/>
        </w:rPr>
        <w:t>；</w:t>
      </w:r>
    </w:p>
    <w:p w14:paraId="4A0421FF">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4.服务实施方案</w:t>
      </w:r>
      <w:r>
        <w:rPr>
          <w:rFonts w:hint="eastAsia" w:cs="宋体"/>
          <w:snapToGrid/>
          <w:color w:val="auto"/>
          <w:kern w:val="2"/>
          <w:sz w:val="21"/>
          <w:szCs w:val="21"/>
          <w:highlight w:val="none"/>
          <w:lang w:val="en-US" w:eastAsia="zh-CN" w:bidi="ar-SA"/>
        </w:rPr>
        <w:t>；</w:t>
      </w:r>
    </w:p>
    <w:p w14:paraId="792BB4F2">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5.投标文件中的其他相关文件。</w:t>
      </w:r>
    </w:p>
    <w:p w14:paraId="2E5A6D85">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6.上述合同文件互相补充和解释。如果合同文件之间存在矛盾或者不一致之处，以上述文件的排列顺序在先者为准。</w:t>
      </w:r>
    </w:p>
    <w:p w14:paraId="2AFF0C01">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第十</w:t>
      </w:r>
      <w:r>
        <w:rPr>
          <w:rFonts w:hint="eastAsia" w:cs="宋体"/>
          <w:snapToGrid/>
          <w:color w:val="auto"/>
          <w:kern w:val="2"/>
          <w:sz w:val="21"/>
          <w:szCs w:val="21"/>
          <w:highlight w:val="none"/>
          <w:lang w:val="en-US" w:eastAsia="zh-CN" w:bidi="ar-SA"/>
        </w:rPr>
        <w:t>六</w:t>
      </w:r>
      <w:r>
        <w:rPr>
          <w:rFonts w:hint="eastAsia" w:ascii="宋体" w:hAnsi="宋体" w:eastAsia="宋体" w:cs="宋体"/>
          <w:snapToGrid/>
          <w:color w:val="auto"/>
          <w:kern w:val="2"/>
          <w:sz w:val="21"/>
          <w:szCs w:val="21"/>
          <w:highlight w:val="none"/>
          <w:lang w:val="en-US" w:eastAsia="zh-CN" w:bidi="ar-SA"/>
        </w:rPr>
        <w:t>条 本合同一式四份，具有同等法律效力，甲方两份，监管部门、采购代理机构各一份，甲乙双方各一份(可根据需要另增加)</w:t>
      </w:r>
    </w:p>
    <w:p w14:paraId="1D5A51BC">
      <w:pPr>
        <w:pStyle w:val="4"/>
        <w:widowControl/>
        <w:kinsoku w:val="0"/>
        <w:autoSpaceDE w:val="0"/>
        <w:autoSpaceDN w:val="0"/>
        <w:adjustRightInd w:val="0"/>
        <w:snapToGrid w:val="0"/>
        <w:spacing w:before="158" w:line="344" w:lineRule="auto"/>
        <w:ind w:left="10" w:right="70" w:firstLine="435"/>
        <w:jc w:val="left"/>
        <w:textAlignment w:val="baseline"/>
        <w:rPr>
          <w:rFonts w:hint="eastAsia" w:ascii="宋体" w:hAnsi="宋体" w:eastAsia="宋体" w:cs="宋体"/>
          <w:snapToGrid/>
          <w:color w:val="auto"/>
          <w:kern w:val="2"/>
          <w:sz w:val="21"/>
          <w:szCs w:val="21"/>
          <w:highlight w:val="none"/>
          <w:lang w:val="en-US" w:eastAsia="zh-CN" w:bidi="ar-SA"/>
        </w:rPr>
      </w:pPr>
    </w:p>
    <w:tbl>
      <w:tblPr>
        <w:tblStyle w:val="13"/>
        <w:tblW w:w="8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0"/>
        <w:gridCol w:w="4300"/>
      </w:tblGrid>
      <w:tr w14:paraId="5DCAD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trPr>
        <w:tc>
          <w:tcPr>
            <w:tcW w:w="4300" w:type="dxa"/>
          </w:tcPr>
          <w:p w14:paraId="1DFA01FA">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甲方(章)</w:t>
            </w:r>
          </w:p>
          <w:p w14:paraId="5E80B2AA">
            <w:pPr>
              <w:widowControl w:val="0"/>
              <w:rPr>
                <w:rFonts w:hint="eastAsia" w:ascii="宋体" w:hAnsi="宋体" w:eastAsia="宋体" w:cs="宋体"/>
                <w:snapToGrid/>
                <w:color w:val="auto"/>
                <w:kern w:val="2"/>
                <w:sz w:val="21"/>
                <w:szCs w:val="21"/>
                <w:highlight w:val="none"/>
                <w:lang w:val="en-US" w:eastAsia="zh-CN" w:bidi="ar-SA"/>
              </w:rPr>
            </w:pPr>
          </w:p>
          <w:p w14:paraId="21A2B918">
            <w:pPr>
              <w:widowControl w:val="0"/>
              <w:rPr>
                <w:rFonts w:hint="eastAsia" w:ascii="宋体" w:hAnsi="宋体" w:eastAsia="宋体" w:cs="宋体"/>
                <w:snapToGrid/>
                <w:color w:val="auto"/>
                <w:kern w:val="2"/>
                <w:sz w:val="21"/>
                <w:szCs w:val="21"/>
                <w:highlight w:val="none"/>
                <w:lang w:val="en-US" w:eastAsia="zh-CN" w:bidi="ar-SA"/>
              </w:rPr>
            </w:pPr>
          </w:p>
          <w:p w14:paraId="48864BFF">
            <w:pPr>
              <w:widowControl w:val="0"/>
              <w:rPr>
                <w:rFonts w:hint="eastAsia" w:ascii="宋体" w:hAnsi="宋体" w:eastAsia="宋体" w:cs="宋体"/>
                <w:snapToGrid/>
                <w:color w:val="auto"/>
                <w:kern w:val="2"/>
                <w:sz w:val="21"/>
                <w:szCs w:val="21"/>
                <w:highlight w:val="none"/>
                <w:lang w:val="en-US" w:eastAsia="zh-CN" w:bidi="ar-SA"/>
              </w:rPr>
            </w:pPr>
          </w:p>
          <w:p w14:paraId="4A4B087C">
            <w:pPr>
              <w:widowControl w:val="0"/>
              <w:rPr>
                <w:rFonts w:hint="eastAsia" w:ascii="宋体" w:hAnsi="宋体" w:eastAsia="宋体" w:cs="宋体"/>
                <w:snapToGrid/>
                <w:color w:val="auto"/>
                <w:kern w:val="2"/>
                <w:sz w:val="21"/>
                <w:szCs w:val="21"/>
                <w:highlight w:val="none"/>
                <w:lang w:val="en-US" w:eastAsia="zh-CN" w:bidi="ar-SA"/>
              </w:rPr>
            </w:pPr>
          </w:p>
          <w:p w14:paraId="0B017E36">
            <w:pPr>
              <w:widowControl w:val="0"/>
              <w:rPr>
                <w:rFonts w:hint="default"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 xml:space="preserve">                       年   月    日</w:t>
            </w:r>
          </w:p>
        </w:tc>
        <w:tc>
          <w:tcPr>
            <w:tcW w:w="4300" w:type="dxa"/>
          </w:tcPr>
          <w:p w14:paraId="0DC4A46B">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乙方(章)</w:t>
            </w:r>
          </w:p>
          <w:p w14:paraId="41D55B4D">
            <w:pPr>
              <w:widowControl w:val="0"/>
              <w:rPr>
                <w:rFonts w:hint="eastAsia" w:ascii="宋体" w:hAnsi="宋体" w:eastAsia="宋体" w:cs="宋体"/>
                <w:snapToGrid/>
                <w:color w:val="auto"/>
                <w:kern w:val="2"/>
                <w:sz w:val="21"/>
                <w:szCs w:val="21"/>
                <w:highlight w:val="none"/>
                <w:lang w:val="en-US" w:eastAsia="zh-CN" w:bidi="ar-SA"/>
              </w:rPr>
            </w:pPr>
          </w:p>
          <w:p w14:paraId="7C13FD2E">
            <w:pPr>
              <w:widowControl w:val="0"/>
              <w:rPr>
                <w:rFonts w:hint="eastAsia" w:ascii="宋体" w:hAnsi="宋体" w:eastAsia="宋体" w:cs="宋体"/>
                <w:snapToGrid/>
                <w:color w:val="auto"/>
                <w:kern w:val="2"/>
                <w:sz w:val="21"/>
                <w:szCs w:val="21"/>
                <w:highlight w:val="none"/>
                <w:lang w:val="en-US" w:eastAsia="zh-CN" w:bidi="ar-SA"/>
              </w:rPr>
            </w:pPr>
          </w:p>
          <w:p w14:paraId="6867F0EE">
            <w:pPr>
              <w:widowControl w:val="0"/>
              <w:rPr>
                <w:rFonts w:hint="eastAsia" w:ascii="宋体" w:hAnsi="宋体" w:eastAsia="宋体" w:cs="宋体"/>
                <w:snapToGrid/>
                <w:color w:val="auto"/>
                <w:kern w:val="2"/>
                <w:sz w:val="21"/>
                <w:szCs w:val="21"/>
                <w:highlight w:val="none"/>
                <w:lang w:val="en-US" w:eastAsia="zh-CN" w:bidi="ar-SA"/>
              </w:rPr>
            </w:pPr>
          </w:p>
          <w:p w14:paraId="7A630E33">
            <w:pPr>
              <w:widowControl w:val="0"/>
              <w:rPr>
                <w:rFonts w:hint="eastAsia" w:ascii="宋体" w:hAnsi="宋体" w:eastAsia="宋体" w:cs="宋体"/>
                <w:snapToGrid/>
                <w:color w:val="auto"/>
                <w:kern w:val="2"/>
                <w:sz w:val="21"/>
                <w:szCs w:val="21"/>
                <w:highlight w:val="none"/>
                <w:lang w:val="en-US" w:eastAsia="zh-CN" w:bidi="ar-SA"/>
              </w:rPr>
            </w:pPr>
          </w:p>
          <w:p w14:paraId="31A15632">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 xml:space="preserve">                      年   月    日</w:t>
            </w:r>
          </w:p>
        </w:tc>
      </w:tr>
      <w:tr w14:paraId="3AA7F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1F73CBCC">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单位地址:</w:t>
            </w:r>
          </w:p>
        </w:tc>
        <w:tc>
          <w:tcPr>
            <w:tcW w:w="4300" w:type="dxa"/>
            <w:vAlign w:val="top"/>
          </w:tcPr>
          <w:p w14:paraId="7A602E83">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单位地址:</w:t>
            </w:r>
          </w:p>
        </w:tc>
      </w:tr>
      <w:tr w14:paraId="50FA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23890318">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法定代表人或者委托代理人:</w:t>
            </w:r>
          </w:p>
        </w:tc>
        <w:tc>
          <w:tcPr>
            <w:tcW w:w="4300" w:type="dxa"/>
            <w:vAlign w:val="top"/>
          </w:tcPr>
          <w:p w14:paraId="09E84245">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法定代表人或者委托代理人:</w:t>
            </w:r>
          </w:p>
        </w:tc>
      </w:tr>
      <w:tr w14:paraId="60065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4F17A5F2">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电话:</w:t>
            </w:r>
          </w:p>
        </w:tc>
        <w:tc>
          <w:tcPr>
            <w:tcW w:w="4300" w:type="dxa"/>
            <w:vAlign w:val="top"/>
          </w:tcPr>
          <w:p w14:paraId="005032B9">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电话:</w:t>
            </w:r>
          </w:p>
        </w:tc>
      </w:tr>
      <w:tr w14:paraId="02E6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0DF54A6E">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电子邮箱:</w:t>
            </w:r>
          </w:p>
        </w:tc>
        <w:tc>
          <w:tcPr>
            <w:tcW w:w="4300" w:type="dxa"/>
            <w:vAlign w:val="top"/>
          </w:tcPr>
          <w:p w14:paraId="606CA158">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电子邮箱:</w:t>
            </w:r>
          </w:p>
        </w:tc>
      </w:tr>
      <w:tr w14:paraId="11AA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4300" w:type="dxa"/>
          </w:tcPr>
          <w:p w14:paraId="4AC2E803">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开户银行:</w:t>
            </w:r>
          </w:p>
        </w:tc>
        <w:tc>
          <w:tcPr>
            <w:tcW w:w="4300" w:type="dxa"/>
            <w:vAlign w:val="top"/>
          </w:tcPr>
          <w:p w14:paraId="0AD8D1AD">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开户银行:</w:t>
            </w:r>
          </w:p>
        </w:tc>
      </w:tr>
      <w:tr w14:paraId="35EC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4300" w:type="dxa"/>
          </w:tcPr>
          <w:p w14:paraId="482802FA">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账号:</w:t>
            </w:r>
          </w:p>
        </w:tc>
        <w:tc>
          <w:tcPr>
            <w:tcW w:w="4300" w:type="dxa"/>
            <w:vAlign w:val="top"/>
          </w:tcPr>
          <w:p w14:paraId="236DC7EB">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账号:</w:t>
            </w:r>
          </w:p>
        </w:tc>
      </w:tr>
      <w:tr w14:paraId="5B19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300" w:type="dxa"/>
          </w:tcPr>
          <w:p w14:paraId="75C6AC17">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邮政编码:</w:t>
            </w:r>
          </w:p>
        </w:tc>
        <w:tc>
          <w:tcPr>
            <w:tcW w:w="4300" w:type="dxa"/>
            <w:vAlign w:val="top"/>
          </w:tcPr>
          <w:p w14:paraId="1C9CAA24">
            <w:pPr>
              <w:widowControl w:val="0"/>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邮政编码:</w:t>
            </w:r>
          </w:p>
        </w:tc>
      </w:tr>
    </w:tbl>
    <w:p w14:paraId="53D76971">
      <w:pPr>
        <w:pStyle w:val="4"/>
        <w:spacing w:before="167" w:line="219" w:lineRule="auto"/>
        <w:ind w:left="3610"/>
        <w:outlineLvl w:val="0"/>
        <w:rPr>
          <w:color w:val="auto"/>
          <w:sz w:val="24"/>
          <w:szCs w:val="24"/>
          <w:highlight w:val="none"/>
        </w:rPr>
      </w:pPr>
      <w:bookmarkStart w:id="28" w:name="bookmark11"/>
      <w:bookmarkEnd w:id="28"/>
      <w:r>
        <w:rPr>
          <w:b/>
          <w:bCs/>
          <w:color w:val="auto"/>
          <w:spacing w:val="-3"/>
          <w:sz w:val="24"/>
          <w:szCs w:val="24"/>
          <w:highlight w:val="none"/>
        </w:rPr>
        <w:br w:type="page"/>
      </w:r>
      <w:bookmarkStart w:id="29" w:name="_Toc12990"/>
      <w:r>
        <w:rPr>
          <w:b/>
          <w:bCs/>
          <w:color w:val="auto"/>
          <w:spacing w:val="-3"/>
          <w:sz w:val="24"/>
          <w:szCs w:val="24"/>
          <w:highlight w:val="none"/>
        </w:rPr>
        <w:t>第六章</w:t>
      </w:r>
      <w:r>
        <w:rPr>
          <w:color w:val="auto"/>
          <w:spacing w:val="-3"/>
          <w:sz w:val="24"/>
          <w:szCs w:val="24"/>
          <w:highlight w:val="none"/>
        </w:rPr>
        <w:t xml:space="preserve">  </w:t>
      </w:r>
      <w:r>
        <w:rPr>
          <w:b/>
          <w:bCs/>
          <w:color w:val="auto"/>
          <w:spacing w:val="-3"/>
          <w:sz w:val="24"/>
          <w:szCs w:val="24"/>
          <w:highlight w:val="none"/>
        </w:rPr>
        <w:t>投标文件格式</w:t>
      </w:r>
      <w:bookmarkEnd w:id="29"/>
    </w:p>
    <w:p w14:paraId="03124DF6">
      <w:pPr>
        <w:spacing w:line="249" w:lineRule="auto"/>
        <w:rPr>
          <w:rFonts w:ascii="Arial"/>
          <w:color w:val="auto"/>
          <w:sz w:val="21"/>
          <w:highlight w:val="none"/>
        </w:rPr>
      </w:pPr>
    </w:p>
    <w:p w14:paraId="2C42AF35">
      <w:pPr>
        <w:spacing w:line="250" w:lineRule="auto"/>
        <w:rPr>
          <w:rFonts w:ascii="Arial"/>
          <w:color w:val="auto"/>
          <w:sz w:val="21"/>
          <w:highlight w:val="none"/>
        </w:rPr>
      </w:pPr>
    </w:p>
    <w:p w14:paraId="1F57574E">
      <w:pPr>
        <w:pStyle w:val="4"/>
        <w:spacing w:before="147" w:line="219" w:lineRule="auto"/>
        <w:ind w:left="13"/>
        <w:rPr>
          <w:color w:val="auto"/>
          <w:sz w:val="24"/>
          <w:szCs w:val="24"/>
          <w:highlight w:val="none"/>
        </w:rPr>
      </w:pPr>
    </w:p>
    <w:p w14:paraId="4D2BE52B">
      <w:pPr>
        <w:spacing w:line="307" w:lineRule="auto"/>
        <w:rPr>
          <w:rFonts w:ascii="Arial"/>
          <w:color w:val="auto"/>
          <w:sz w:val="21"/>
          <w:highlight w:val="none"/>
        </w:rPr>
      </w:pPr>
    </w:p>
    <w:p w14:paraId="330A155E">
      <w:pPr>
        <w:pStyle w:val="4"/>
        <w:spacing w:before="78" w:line="219" w:lineRule="auto"/>
        <w:jc w:val="right"/>
        <w:rPr>
          <w:color w:val="auto"/>
          <w:sz w:val="24"/>
          <w:szCs w:val="24"/>
          <w:highlight w:val="none"/>
        </w:rPr>
      </w:pPr>
    </w:p>
    <w:p w14:paraId="5B56BC02">
      <w:pPr>
        <w:spacing w:line="268" w:lineRule="auto"/>
        <w:rPr>
          <w:rFonts w:ascii="Arial"/>
          <w:color w:val="auto"/>
          <w:sz w:val="21"/>
          <w:highlight w:val="none"/>
        </w:rPr>
      </w:pPr>
    </w:p>
    <w:p w14:paraId="4B3ADA6D">
      <w:pPr>
        <w:spacing w:line="269" w:lineRule="auto"/>
        <w:rPr>
          <w:rFonts w:ascii="Arial"/>
          <w:color w:val="auto"/>
          <w:sz w:val="21"/>
          <w:highlight w:val="none"/>
        </w:rPr>
      </w:pPr>
    </w:p>
    <w:p w14:paraId="6ABCC958">
      <w:pPr>
        <w:spacing w:line="269" w:lineRule="auto"/>
        <w:rPr>
          <w:rFonts w:ascii="Arial"/>
          <w:color w:val="auto"/>
          <w:sz w:val="21"/>
          <w:highlight w:val="none"/>
        </w:rPr>
      </w:pPr>
    </w:p>
    <w:p w14:paraId="1AFE15B2">
      <w:pPr>
        <w:pStyle w:val="4"/>
        <w:spacing w:before="78" w:line="219" w:lineRule="auto"/>
        <w:ind w:left="4141"/>
        <w:rPr>
          <w:color w:val="auto"/>
          <w:sz w:val="24"/>
          <w:szCs w:val="24"/>
          <w:highlight w:val="none"/>
        </w:rPr>
      </w:pPr>
      <w:r>
        <w:rPr>
          <w:b/>
          <w:bCs/>
          <w:color w:val="auto"/>
          <w:spacing w:val="-11"/>
          <w:sz w:val="24"/>
          <w:szCs w:val="24"/>
          <w:highlight w:val="none"/>
        </w:rPr>
        <w:t>投</w:t>
      </w:r>
      <w:r>
        <w:rPr>
          <w:color w:val="auto"/>
          <w:spacing w:val="12"/>
          <w:sz w:val="24"/>
          <w:szCs w:val="24"/>
          <w:highlight w:val="none"/>
        </w:rPr>
        <w:t xml:space="preserve"> </w:t>
      </w:r>
      <w:r>
        <w:rPr>
          <w:b/>
          <w:bCs/>
          <w:color w:val="auto"/>
          <w:spacing w:val="-11"/>
          <w:sz w:val="24"/>
          <w:szCs w:val="24"/>
          <w:highlight w:val="none"/>
        </w:rPr>
        <w:t>标</w:t>
      </w:r>
      <w:r>
        <w:rPr>
          <w:color w:val="auto"/>
          <w:spacing w:val="11"/>
          <w:sz w:val="24"/>
          <w:szCs w:val="24"/>
          <w:highlight w:val="none"/>
        </w:rPr>
        <w:t xml:space="preserve"> </w:t>
      </w:r>
      <w:r>
        <w:rPr>
          <w:b/>
          <w:bCs/>
          <w:color w:val="auto"/>
          <w:spacing w:val="-11"/>
          <w:sz w:val="24"/>
          <w:szCs w:val="24"/>
          <w:highlight w:val="none"/>
        </w:rPr>
        <w:t>文</w:t>
      </w:r>
      <w:r>
        <w:rPr>
          <w:color w:val="auto"/>
          <w:spacing w:val="10"/>
          <w:sz w:val="24"/>
          <w:szCs w:val="24"/>
          <w:highlight w:val="none"/>
        </w:rPr>
        <w:t xml:space="preserve"> </w:t>
      </w:r>
      <w:r>
        <w:rPr>
          <w:b/>
          <w:bCs/>
          <w:color w:val="auto"/>
          <w:spacing w:val="-11"/>
          <w:sz w:val="24"/>
          <w:szCs w:val="24"/>
          <w:highlight w:val="none"/>
        </w:rPr>
        <w:t>件</w:t>
      </w:r>
    </w:p>
    <w:p w14:paraId="1691847D">
      <w:pPr>
        <w:spacing w:line="325" w:lineRule="auto"/>
        <w:rPr>
          <w:rFonts w:ascii="Arial"/>
          <w:color w:val="auto"/>
          <w:sz w:val="21"/>
          <w:highlight w:val="none"/>
        </w:rPr>
      </w:pPr>
    </w:p>
    <w:p w14:paraId="3FE70AD5">
      <w:pPr>
        <w:spacing w:line="325" w:lineRule="auto"/>
        <w:rPr>
          <w:rFonts w:ascii="Arial"/>
          <w:color w:val="auto"/>
          <w:sz w:val="21"/>
          <w:highlight w:val="none"/>
        </w:rPr>
      </w:pPr>
    </w:p>
    <w:p w14:paraId="5AB92CE1">
      <w:pPr>
        <w:pStyle w:val="4"/>
        <w:spacing w:before="78" w:line="220" w:lineRule="auto"/>
        <w:ind w:left="929"/>
        <w:rPr>
          <w:color w:val="auto"/>
          <w:sz w:val="24"/>
          <w:szCs w:val="24"/>
          <w:highlight w:val="none"/>
        </w:rPr>
      </w:pPr>
      <w:r>
        <w:rPr>
          <w:color w:val="auto"/>
          <w:spacing w:val="-3"/>
          <w:sz w:val="24"/>
          <w:szCs w:val="24"/>
          <w:highlight w:val="none"/>
        </w:rPr>
        <w:t>项目名称：</w:t>
      </w:r>
    </w:p>
    <w:p w14:paraId="6BF082E0">
      <w:pPr>
        <w:spacing w:line="269" w:lineRule="auto"/>
        <w:rPr>
          <w:rFonts w:ascii="Arial"/>
          <w:color w:val="auto"/>
          <w:sz w:val="21"/>
          <w:highlight w:val="none"/>
        </w:rPr>
      </w:pPr>
    </w:p>
    <w:p w14:paraId="50BABDBD">
      <w:pPr>
        <w:spacing w:line="269" w:lineRule="auto"/>
        <w:rPr>
          <w:rFonts w:ascii="Arial"/>
          <w:color w:val="auto"/>
          <w:sz w:val="21"/>
          <w:highlight w:val="none"/>
        </w:rPr>
      </w:pPr>
    </w:p>
    <w:p w14:paraId="2B662292">
      <w:pPr>
        <w:spacing w:line="269" w:lineRule="auto"/>
        <w:rPr>
          <w:rFonts w:ascii="Arial"/>
          <w:color w:val="auto"/>
          <w:sz w:val="21"/>
          <w:highlight w:val="none"/>
        </w:rPr>
      </w:pPr>
    </w:p>
    <w:p w14:paraId="723C77A4">
      <w:pPr>
        <w:pStyle w:val="4"/>
        <w:spacing w:before="78" w:line="219" w:lineRule="auto"/>
        <w:ind w:left="929"/>
        <w:rPr>
          <w:color w:val="auto"/>
          <w:sz w:val="24"/>
          <w:szCs w:val="24"/>
          <w:highlight w:val="none"/>
        </w:rPr>
      </w:pPr>
      <w:r>
        <w:rPr>
          <w:color w:val="auto"/>
          <w:spacing w:val="-3"/>
          <w:sz w:val="24"/>
          <w:szCs w:val="24"/>
          <w:highlight w:val="none"/>
        </w:rPr>
        <w:t>项目编号：</w:t>
      </w:r>
    </w:p>
    <w:p w14:paraId="7043C2C4">
      <w:pPr>
        <w:spacing w:line="244" w:lineRule="auto"/>
        <w:rPr>
          <w:rFonts w:ascii="Arial"/>
          <w:color w:val="auto"/>
          <w:sz w:val="21"/>
          <w:highlight w:val="none"/>
        </w:rPr>
      </w:pPr>
    </w:p>
    <w:p w14:paraId="1C9D27BA">
      <w:pPr>
        <w:spacing w:line="245" w:lineRule="auto"/>
        <w:rPr>
          <w:rFonts w:ascii="Arial"/>
          <w:color w:val="auto"/>
          <w:sz w:val="21"/>
          <w:highlight w:val="none"/>
        </w:rPr>
      </w:pPr>
    </w:p>
    <w:p w14:paraId="4D5EA8CE">
      <w:pPr>
        <w:spacing w:line="245" w:lineRule="auto"/>
        <w:rPr>
          <w:rFonts w:ascii="Arial"/>
          <w:color w:val="auto"/>
          <w:sz w:val="21"/>
          <w:highlight w:val="none"/>
        </w:rPr>
      </w:pPr>
    </w:p>
    <w:p w14:paraId="2A65D468">
      <w:pPr>
        <w:pStyle w:val="4"/>
        <w:spacing w:before="78" w:line="220" w:lineRule="auto"/>
        <w:ind w:left="945"/>
        <w:rPr>
          <w:color w:val="auto"/>
          <w:sz w:val="24"/>
          <w:szCs w:val="24"/>
          <w:highlight w:val="none"/>
        </w:rPr>
      </w:pPr>
      <w:r>
        <w:rPr>
          <w:color w:val="auto"/>
          <w:spacing w:val="-3"/>
          <w:sz w:val="24"/>
          <w:szCs w:val="24"/>
          <w:highlight w:val="none"/>
        </w:rPr>
        <w:t>投标人名称：</w:t>
      </w:r>
    </w:p>
    <w:p w14:paraId="29A98D5D">
      <w:pPr>
        <w:spacing w:line="294" w:lineRule="auto"/>
        <w:rPr>
          <w:rFonts w:ascii="Arial"/>
          <w:color w:val="auto"/>
          <w:sz w:val="21"/>
          <w:highlight w:val="none"/>
        </w:rPr>
      </w:pPr>
    </w:p>
    <w:p w14:paraId="5684FFF0">
      <w:pPr>
        <w:spacing w:line="294" w:lineRule="auto"/>
        <w:rPr>
          <w:rFonts w:ascii="Arial"/>
          <w:color w:val="auto"/>
          <w:sz w:val="21"/>
          <w:highlight w:val="none"/>
        </w:rPr>
      </w:pPr>
    </w:p>
    <w:p w14:paraId="2505027B">
      <w:pPr>
        <w:spacing w:line="295" w:lineRule="auto"/>
        <w:rPr>
          <w:rFonts w:ascii="Arial"/>
          <w:color w:val="auto"/>
          <w:sz w:val="21"/>
          <w:highlight w:val="none"/>
        </w:rPr>
      </w:pPr>
    </w:p>
    <w:p w14:paraId="7C8704D8">
      <w:pPr>
        <w:spacing w:line="295" w:lineRule="auto"/>
        <w:rPr>
          <w:rFonts w:ascii="Arial"/>
          <w:color w:val="auto"/>
          <w:sz w:val="21"/>
          <w:highlight w:val="none"/>
        </w:rPr>
      </w:pPr>
    </w:p>
    <w:p w14:paraId="24D907BD">
      <w:pPr>
        <w:pStyle w:val="4"/>
        <w:spacing w:before="79" w:line="218" w:lineRule="auto"/>
        <w:ind w:left="945"/>
        <w:rPr>
          <w:color w:val="auto"/>
          <w:sz w:val="24"/>
          <w:szCs w:val="24"/>
          <w:highlight w:val="none"/>
        </w:rPr>
      </w:pPr>
      <w:r>
        <w:rPr>
          <w:color w:val="auto"/>
          <w:spacing w:val="-1"/>
          <w:sz w:val="24"/>
          <w:szCs w:val="24"/>
          <w:highlight w:val="none"/>
        </w:rPr>
        <w:t>投标文件名称：资信/商务文件、技术文件、报价文件</w:t>
      </w:r>
    </w:p>
    <w:p w14:paraId="484C4D8C">
      <w:pPr>
        <w:spacing w:line="296" w:lineRule="auto"/>
        <w:rPr>
          <w:rFonts w:ascii="Arial"/>
          <w:color w:val="auto"/>
          <w:sz w:val="21"/>
          <w:highlight w:val="none"/>
        </w:rPr>
      </w:pPr>
    </w:p>
    <w:p w14:paraId="02BA383F">
      <w:pPr>
        <w:spacing w:line="296" w:lineRule="auto"/>
        <w:rPr>
          <w:rFonts w:ascii="Arial"/>
          <w:color w:val="auto"/>
          <w:sz w:val="21"/>
          <w:highlight w:val="none"/>
        </w:rPr>
      </w:pPr>
    </w:p>
    <w:p w14:paraId="44A929C3">
      <w:pPr>
        <w:spacing w:line="296" w:lineRule="auto"/>
        <w:rPr>
          <w:rFonts w:ascii="Arial"/>
          <w:color w:val="auto"/>
          <w:sz w:val="21"/>
          <w:highlight w:val="none"/>
        </w:rPr>
      </w:pPr>
    </w:p>
    <w:p w14:paraId="1E64385C">
      <w:pPr>
        <w:spacing w:line="296" w:lineRule="auto"/>
        <w:rPr>
          <w:rFonts w:ascii="Arial"/>
          <w:color w:val="auto"/>
          <w:sz w:val="21"/>
          <w:highlight w:val="none"/>
        </w:rPr>
      </w:pPr>
    </w:p>
    <w:p w14:paraId="2B5D8F85">
      <w:pPr>
        <w:pStyle w:val="4"/>
        <w:spacing w:before="79" w:line="220" w:lineRule="auto"/>
        <w:ind w:left="945"/>
        <w:rPr>
          <w:color w:val="auto"/>
          <w:sz w:val="24"/>
          <w:szCs w:val="24"/>
          <w:highlight w:val="none"/>
        </w:rPr>
      </w:pPr>
      <w:r>
        <w:rPr>
          <w:color w:val="auto"/>
          <w:spacing w:val="-3"/>
          <w:sz w:val="24"/>
          <w:szCs w:val="24"/>
          <w:highlight w:val="none"/>
        </w:rPr>
        <w:t>投标人地址：</w:t>
      </w:r>
    </w:p>
    <w:p w14:paraId="19473593">
      <w:pPr>
        <w:spacing w:line="331" w:lineRule="auto"/>
        <w:rPr>
          <w:rFonts w:ascii="Arial"/>
          <w:color w:val="auto"/>
          <w:sz w:val="21"/>
          <w:highlight w:val="none"/>
        </w:rPr>
      </w:pPr>
    </w:p>
    <w:p w14:paraId="3B6E0892">
      <w:pPr>
        <w:spacing w:line="332" w:lineRule="auto"/>
        <w:rPr>
          <w:rFonts w:ascii="Arial"/>
          <w:color w:val="auto"/>
          <w:sz w:val="21"/>
          <w:highlight w:val="none"/>
        </w:rPr>
      </w:pPr>
    </w:p>
    <w:p w14:paraId="2F913697">
      <w:pPr>
        <w:spacing w:line="264" w:lineRule="auto"/>
        <w:rPr>
          <w:rFonts w:ascii="Arial"/>
          <w:color w:val="auto"/>
          <w:sz w:val="21"/>
          <w:highlight w:val="none"/>
        </w:rPr>
      </w:pPr>
    </w:p>
    <w:p w14:paraId="21BF2C8D">
      <w:pPr>
        <w:spacing w:line="264" w:lineRule="auto"/>
        <w:rPr>
          <w:rFonts w:ascii="Arial"/>
          <w:color w:val="auto"/>
          <w:sz w:val="21"/>
          <w:highlight w:val="none"/>
        </w:rPr>
      </w:pPr>
    </w:p>
    <w:p w14:paraId="7EF36674">
      <w:pPr>
        <w:spacing w:line="264" w:lineRule="auto"/>
        <w:rPr>
          <w:rFonts w:ascii="Arial"/>
          <w:color w:val="auto"/>
          <w:sz w:val="21"/>
          <w:highlight w:val="none"/>
        </w:rPr>
      </w:pPr>
    </w:p>
    <w:p w14:paraId="79F4BCA8">
      <w:pPr>
        <w:spacing w:line="264" w:lineRule="auto"/>
        <w:rPr>
          <w:rFonts w:ascii="Arial"/>
          <w:color w:val="auto"/>
          <w:sz w:val="21"/>
          <w:highlight w:val="none"/>
        </w:rPr>
      </w:pPr>
    </w:p>
    <w:p w14:paraId="7BD4EBBA">
      <w:pPr>
        <w:spacing w:line="264" w:lineRule="auto"/>
        <w:rPr>
          <w:rFonts w:ascii="Arial"/>
          <w:color w:val="auto"/>
          <w:sz w:val="21"/>
          <w:highlight w:val="none"/>
        </w:rPr>
      </w:pPr>
    </w:p>
    <w:p w14:paraId="708CD794">
      <w:pPr>
        <w:pStyle w:val="4"/>
        <w:spacing w:before="78" w:line="219" w:lineRule="auto"/>
        <w:ind w:left="5786"/>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8"/>
          <w:sz w:val="24"/>
          <w:szCs w:val="24"/>
          <w:highlight w:val="none"/>
        </w:rPr>
        <w:t xml:space="preserve">   </w:t>
      </w:r>
      <w:r>
        <w:rPr>
          <w:color w:val="auto"/>
          <w:spacing w:val="-9"/>
          <w:sz w:val="24"/>
          <w:szCs w:val="24"/>
          <w:highlight w:val="none"/>
        </w:rPr>
        <w:t>日</w:t>
      </w:r>
    </w:p>
    <w:p w14:paraId="3AE11833">
      <w:pPr>
        <w:pStyle w:val="4"/>
        <w:spacing w:before="60" w:line="219" w:lineRule="auto"/>
        <w:ind w:left="4"/>
        <w:rPr>
          <w:color w:val="auto"/>
          <w:sz w:val="30"/>
          <w:szCs w:val="30"/>
          <w:highlight w:val="none"/>
        </w:rPr>
      </w:pPr>
      <w:r>
        <w:rPr>
          <w:b/>
          <w:bCs/>
          <w:color w:val="auto"/>
          <w:spacing w:val="-4"/>
          <w:sz w:val="30"/>
          <w:szCs w:val="30"/>
          <w:highlight w:val="none"/>
        </w:rPr>
        <w:br w:type="page"/>
      </w:r>
      <w:r>
        <w:rPr>
          <w:b/>
          <w:bCs/>
          <w:color w:val="auto"/>
          <w:spacing w:val="-4"/>
          <w:sz w:val="30"/>
          <w:szCs w:val="30"/>
          <w:highlight w:val="none"/>
        </w:rPr>
        <w:t>二、资信/商务文件格式</w:t>
      </w:r>
    </w:p>
    <w:p w14:paraId="130827DF">
      <w:pPr>
        <w:spacing w:line="426" w:lineRule="auto"/>
        <w:rPr>
          <w:rFonts w:ascii="Arial"/>
          <w:color w:val="auto"/>
          <w:sz w:val="21"/>
          <w:highlight w:val="none"/>
        </w:rPr>
      </w:pPr>
    </w:p>
    <w:p w14:paraId="530F5A79">
      <w:pPr>
        <w:spacing w:line="295" w:lineRule="auto"/>
        <w:rPr>
          <w:rFonts w:ascii="Arial"/>
          <w:color w:val="auto"/>
          <w:sz w:val="21"/>
          <w:highlight w:val="none"/>
        </w:rPr>
      </w:pPr>
    </w:p>
    <w:p w14:paraId="65024A0B">
      <w:pPr>
        <w:spacing w:line="295" w:lineRule="auto"/>
        <w:rPr>
          <w:rFonts w:ascii="Arial"/>
          <w:color w:val="auto"/>
          <w:sz w:val="21"/>
          <w:highlight w:val="none"/>
        </w:rPr>
      </w:pPr>
    </w:p>
    <w:p w14:paraId="69B7B8D1">
      <w:pPr>
        <w:spacing w:line="295" w:lineRule="auto"/>
        <w:rPr>
          <w:rFonts w:ascii="Arial"/>
          <w:color w:val="auto"/>
          <w:sz w:val="21"/>
          <w:highlight w:val="none"/>
        </w:rPr>
      </w:pPr>
    </w:p>
    <w:p w14:paraId="2755F42D">
      <w:pPr>
        <w:spacing w:line="295" w:lineRule="auto"/>
        <w:rPr>
          <w:rFonts w:ascii="Arial"/>
          <w:color w:val="auto"/>
          <w:sz w:val="21"/>
          <w:highlight w:val="none"/>
        </w:rPr>
      </w:pPr>
    </w:p>
    <w:p w14:paraId="25C779F7">
      <w:pPr>
        <w:pStyle w:val="4"/>
        <w:spacing w:before="78" w:line="219" w:lineRule="auto"/>
        <w:ind w:left="3801"/>
        <w:rPr>
          <w:color w:val="auto"/>
          <w:sz w:val="24"/>
          <w:szCs w:val="24"/>
          <w:highlight w:val="none"/>
        </w:rPr>
      </w:pPr>
      <w:r>
        <w:rPr>
          <w:b/>
          <w:bCs/>
          <w:color w:val="auto"/>
          <w:spacing w:val="-7"/>
          <w:sz w:val="24"/>
          <w:szCs w:val="24"/>
          <w:highlight w:val="none"/>
        </w:rPr>
        <w:t>资信/商务文件</w:t>
      </w:r>
    </w:p>
    <w:p w14:paraId="4FE4784B">
      <w:pPr>
        <w:spacing w:line="250" w:lineRule="auto"/>
        <w:rPr>
          <w:rFonts w:ascii="Arial"/>
          <w:color w:val="auto"/>
          <w:sz w:val="21"/>
          <w:highlight w:val="none"/>
        </w:rPr>
      </w:pPr>
    </w:p>
    <w:p w14:paraId="423106EA">
      <w:pPr>
        <w:spacing w:line="250" w:lineRule="auto"/>
        <w:rPr>
          <w:rFonts w:ascii="Arial"/>
          <w:color w:val="auto"/>
          <w:sz w:val="21"/>
          <w:highlight w:val="none"/>
        </w:rPr>
      </w:pPr>
    </w:p>
    <w:p w14:paraId="45F306A7">
      <w:pPr>
        <w:spacing w:line="250" w:lineRule="auto"/>
        <w:rPr>
          <w:rFonts w:ascii="Arial"/>
          <w:color w:val="auto"/>
          <w:sz w:val="21"/>
          <w:highlight w:val="none"/>
        </w:rPr>
      </w:pPr>
    </w:p>
    <w:p w14:paraId="3E6043F8">
      <w:pPr>
        <w:spacing w:line="250" w:lineRule="auto"/>
        <w:rPr>
          <w:rFonts w:ascii="Arial"/>
          <w:color w:val="auto"/>
          <w:sz w:val="21"/>
          <w:highlight w:val="none"/>
        </w:rPr>
      </w:pPr>
    </w:p>
    <w:p w14:paraId="67BC8608">
      <w:pPr>
        <w:spacing w:line="250" w:lineRule="auto"/>
        <w:rPr>
          <w:rFonts w:ascii="Arial"/>
          <w:color w:val="auto"/>
          <w:sz w:val="21"/>
          <w:highlight w:val="none"/>
        </w:rPr>
      </w:pPr>
    </w:p>
    <w:p w14:paraId="2898E85C">
      <w:pPr>
        <w:spacing w:line="250" w:lineRule="auto"/>
        <w:rPr>
          <w:rFonts w:ascii="Arial"/>
          <w:color w:val="auto"/>
          <w:sz w:val="21"/>
          <w:highlight w:val="none"/>
        </w:rPr>
      </w:pPr>
    </w:p>
    <w:p w14:paraId="4AD18E87">
      <w:pPr>
        <w:spacing w:line="251" w:lineRule="auto"/>
        <w:rPr>
          <w:rFonts w:ascii="Arial"/>
          <w:color w:val="auto"/>
          <w:sz w:val="21"/>
          <w:highlight w:val="none"/>
        </w:rPr>
      </w:pPr>
    </w:p>
    <w:p w14:paraId="68989EBF">
      <w:pPr>
        <w:spacing w:line="251" w:lineRule="auto"/>
        <w:rPr>
          <w:rFonts w:ascii="Arial"/>
          <w:color w:val="auto"/>
          <w:sz w:val="21"/>
          <w:highlight w:val="none"/>
        </w:rPr>
      </w:pPr>
    </w:p>
    <w:p w14:paraId="73FD6368">
      <w:pPr>
        <w:pStyle w:val="4"/>
        <w:spacing w:before="78" w:line="220" w:lineRule="auto"/>
        <w:ind w:left="720"/>
        <w:rPr>
          <w:color w:val="auto"/>
          <w:sz w:val="24"/>
          <w:szCs w:val="24"/>
          <w:highlight w:val="none"/>
        </w:rPr>
      </w:pPr>
      <w:r>
        <w:rPr>
          <w:color w:val="auto"/>
          <w:spacing w:val="-3"/>
          <w:sz w:val="24"/>
          <w:szCs w:val="24"/>
          <w:highlight w:val="none"/>
        </w:rPr>
        <w:t>项目名称：</w:t>
      </w:r>
    </w:p>
    <w:p w14:paraId="2B514CF8">
      <w:pPr>
        <w:pStyle w:val="4"/>
        <w:spacing w:before="273" w:line="219" w:lineRule="auto"/>
        <w:ind w:left="720"/>
        <w:rPr>
          <w:color w:val="auto"/>
          <w:sz w:val="24"/>
          <w:szCs w:val="24"/>
          <w:highlight w:val="none"/>
        </w:rPr>
      </w:pPr>
      <w:r>
        <w:rPr>
          <w:color w:val="auto"/>
          <w:spacing w:val="-3"/>
          <w:sz w:val="24"/>
          <w:szCs w:val="24"/>
          <w:highlight w:val="none"/>
        </w:rPr>
        <w:t>项目编号：</w:t>
      </w:r>
    </w:p>
    <w:p w14:paraId="2FA4433C">
      <w:pPr>
        <w:pStyle w:val="4"/>
        <w:spacing w:before="274" w:line="419" w:lineRule="auto"/>
        <w:ind w:left="720" w:right="6886"/>
        <w:rPr>
          <w:color w:val="auto"/>
          <w:sz w:val="24"/>
          <w:szCs w:val="24"/>
          <w:highlight w:val="none"/>
        </w:rPr>
      </w:pPr>
      <w:r>
        <w:rPr>
          <w:color w:val="auto"/>
          <w:spacing w:val="-13"/>
          <w:sz w:val="24"/>
          <w:szCs w:val="24"/>
          <w:highlight w:val="none"/>
        </w:rPr>
        <w:t>投标人名称：</w:t>
      </w:r>
      <w:r>
        <w:rPr>
          <w:color w:val="auto"/>
          <w:spacing w:val="4"/>
          <w:sz w:val="24"/>
          <w:szCs w:val="24"/>
          <w:highlight w:val="none"/>
        </w:rPr>
        <w:t xml:space="preserve"> </w:t>
      </w:r>
      <w:r>
        <w:rPr>
          <w:color w:val="auto"/>
          <w:spacing w:val="-13"/>
          <w:sz w:val="24"/>
          <w:szCs w:val="24"/>
          <w:highlight w:val="none"/>
        </w:rPr>
        <w:t>投标人地址：</w:t>
      </w:r>
    </w:p>
    <w:p w14:paraId="46752393">
      <w:pPr>
        <w:spacing w:line="266" w:lineRule="auto"/>
        <w:rPr>
          <w:rFonts w:ascii="Arial"/>
          <w:color w:val="auto"/>
          <w:sz w:val="21"/>
          <w:highlight w:val="none"/>
        </w:rPr>
      </w:pPr>
    </w:p>
    <w:p w14:paraId="6595D6DC">
      <w:pPr>
        <w:spacing w:line="267" w:lineRule="auto"/>
        <w:rPr>
          <w:rFonts w:ascii="Arial"/>
          <w:color w:val="auto"/>
          <w:sz w:val="21"/>
          <w:highlight w:val="none"/>
        </w:rPr>
      </w:pPr>
    </w:p>
    <w:p w14:paraId="23A594C2">
      <w:pPr>
        <w:spacing w:line="267" w:lineRule="auto"/>
        <w:rPr>
          <w:rFonts w:ascii="Arial"/>
          <w:color w:val="auto"/>
          <w:sz w:val="21"/>
          <w:highlight w:val="none"/>
        </w:rPr>
      </w:pPr>
    </w:p>
    <w:p w14:paraId="6D5AA00D">
      <w:pPr>
        <w:spacing w:line="267" w:lineRule="auto"/>
        <w:rPr>
          <w:rFonts w:ascii="Arial"/>
          <w:color w:val="auto"/>
          <w:sz w:val="21"/>
          <w:highlight w:val="none"/>
        </w:rPr>
      </w:pPr>
    </w:p>
    <w:p w14:paraId="28085E71">
      <w:pPr>
        <w:spacing w:line="340" w:lineRule="auto"/>
        <w:rPr>
          <w:rFonts w:ascii="Arial"/>
          <w:color w:val="auto"/>
          <w:sz w:val="21"/>
          <w:highlight w:val="none"/>
        </w:rPr>
      </w:pPr>
    </w:p>
    <w:p w14:paraId="7D006E46">
      <w:pPr>
        <w:spacing w:line="340" w:lineRule="auto"/>
        <w:rPr>
          <w:rFonts w:ascii="Arial"/>
          <w:color w:val="auto"/>
          <w:sz w:val="21"/>
          <w:highlight w:val="none"/>
        </w:rPr>
      </w:pPr>
    </w:p>
    <w:p w14:paraId="4CBD1B6A">
      <w:pPr>
        <w:pStyle w:val="4"/>
        <w:spacing w:before="79" w:line="219" w:lineRule="auto"/>
        <w:ind w:left="5981"/>
        <w:rPr>
          <w:color w:val="auto"/>
          <w:sz w:val="24"/>
          <w:szCs w:val="24"/>
          <w:highlight w:val="none"/>
        </w:rPr>
      </w:pPr>
      <w:r>
        <w:rPr>
          <w:color w:val="auto"/>
          <w:spacing w:val="-9"/>
          <w:sz w:val="24"/>
          <w:szCs w:val="24"/>
          <w:highlight w:val="none"/>
        </w:rPr>
        <w:t>年</w:t>
      </w:r>
      <w:r>
        <w:rPr>
          <w:color w:val="auto"/>
          <w:spacing w:val="7"/>
          <w:sz w:val="24"/>
          <w:szCs w:val="24"/>
          <w:highlight w:val="none"/>
        </w:rPr>
        <w:t xml:space="preserve">  </w:t>
      </w:r>
      <w:r>
        <w:rPr>
          <w:color w:val="auto"/>
          <w:spacing w:val="-9"/>
          <w:sz w:val="24"/>
          <w:szCs w:val="24"/>
          <w:highlight w:val="none"/>
        </w:rPr>
        <w:t>月</w:t>
      </w:r>
      <w:r>
        <w:rPr>
          <w:color w:val="auto"/>
          <w:spacing w:val="26"/>
          <w:sz w:val="24"/>
          <w:szCs w:val="24"/>
          <w:highlight w:val="none"/>
        </w:rPr>
        <w:t xml:space="preserve">  </w:t>
      </w:r>
      <w:r>
        <w:rPr>
          <w:color w:val="auto"/>
          <w:spacing w:val="-9"/>
          <w:sz w:val="24"/>
          <w:szCs w:val="24"/>
          <w:highlight w:val="none"/>
        </w:rPr>
        <w:t>日</w:t>
      </w:r>
    </w:p>
    <w:p w14:paraId="4655365F">
      <w:pPr>
        <w:pStyle w:val="4"/>
        <w:spacing w:before="60" w:line="219" w:lineRule="auto"/>
        <w:rPr>
          <w:color w:val="auto"/>
          <w:sz w:val="30"/>
          <w:szCs w:val="30"/>
          <w:highlight w:val="none"/>
        </w:rPr>
      </w:pPr>
      <w:r>
        <w:rPr>
          <w:b/>
          <w:bCs/>
          <w:color w:val="auto"/>
          <w:spacing w:val="-6"/>
          <w:sz w:val="30"/>
          <w:szCs w:val="30"/>
          <w:highlight w:val="none"/>
        </w:rPr>
        <w:br w:type="page"/>
      </w:r>
      <w:r>
        <w:rPr>
          <w:b/>
          <w:bCs/>
          <w:color w:val="auto"/>
          <w:spacing w:val="-6"/>
          <w:sz w:val="30"/>
          <w:szCs w:val="30"/>
          <w:highlight w:val="none"/>
        </w:rPr>
        <w:t>2.2</w:t>
      </w:r>
      <w:r>
        <w:rPr>
          <w:color w:val="auto"/>
          <w:spacing w:val="31"/>
          <w:sz w:val="30"/>
          <w:szCs w:val="30"/>
          <w:highlight w:val="none"/>
        </w:rPr>
        <w:t xml:space="preserve"> </w:t>
      </w:r>
      <w:r>
        <w:rPr>
          <w:b/>
          <w:bCs/>
          <w:color w:val="auto"/>
          <w:spacing w:val="-6"/>
          <w:sz w:val="30"/>
          <w:szCs w:val="30"/>
          <w:highlight w:val="none"/>
        </w:rPr>
        <w:t>资信/商务文件目录</w:t>
      </w:r>
    </w:p>
    <w:p w14:paraId="00E8D3D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b/>
          <w:bCs/>
          <w:snapToGrid/>
          <w:color w:val="auto"/>
          <w:kern w:val="2"/>
          <w:sz w:val="21"/>
          <w:szCs w:val="21"/>
          <w:highlight w:val="none"/>
          <w:lang w:val="en-US" w:eastAsia="zh-CN" w:bidi="ar-SA"/>
        </w:rPr>
        <w:t>1.资信及商务文件</w:t>
      </w:r>
    </w:p>
    <w:p w14:paraId="718BC854">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▲（1）投标声明书 (格式见附件)；（必须提供）</w:t>
      </w:r>
    </w:p>
    <w:p w14:paraId="452887A7">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▲（3）法定代表人授权委托书和委托代理人正反面身份证复印件（委托代理时需要提供）(格式见附件)；（必须提供）</w:t>
      </w:r>
    </w:p>
    <w:p w14:paraId="1F0BF7BF">
      <w:pPr>
        <w:pStyle w:val="4"/>
        <w:spacing w:before="158" w:line="344" w:lineRule="auto"/>
        <w:ind w:left="10" w:right="70" w:firstLine="435"/>
        <w:rPr>
          <w:rFonts w:hint="eastAsia" w:ascii="宋体" w:hAnsi="宋体" w:eastAsia="宋体" w:cs="宋体"/>
          <w:b/>
          <w:bCs/>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▲（4）有效的营业执照副本复印件及法定代表人正反面身份证复印件；有效的《食品经营许可证》或《食品生产许可证》（提供有效期内的证书复印件）；</w:t>
      </w:r>
      <w:r>
        <w:rPr>
          <w:rFonts w:hint="eastAsia" w:ascii="宋体" w:hAnsi="宋体" w:eastAsia="宋体" w:cs="宋体"/>
          <w:b/>
          <w:bCs/>
          <w:snapToGrid/>
          <w:color w:val="auto"/>
          <w:kern w:val="2"/>
          <w:sz w:val="21"/>
          <w:szCs w:val="21"/>
          <w:highlight w:val="none"/>
          <w:lang w:val="en-US" w:eastAsia="zh-CN" w:bidi="ar-SA"/>
        </w:rPr>
        <w:t>（必须提供，否则投标无效）</w:t>
      </w:r>
    </w:p>
    <w:p w14:paraId="3D0F2848">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▲（5）贵港市政府采购项目投标资格承诺函；（必须提供，否则投标无效）</w:t>
      </w:r>
    </w:p>
    <w:p w14:paraId="7DFDDBF0">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▲（6）商务条款偏离表（格式见附件）；（必须提供）▲（7）无重大违法记录声明书（格式见附件）；</w:t>
      </w:r>
    </w:p>
    <w:p w14:paraId="3AB0C183">
      <w:pPr>
        <w:pStyle w:val="4"/>
        <w:spacing w:before="158" w:line="344" w:lineRule="auto"/>
        <w:ind w:left="10" w:right="70" w:firstLine="435"/>
        <w:rPr>
          <w:rFonts w:hint="eastAsia" w:ascii="宋体" w:hAnsi="宋体" w:eastAsia="宋体" w:cs="宋体"/>
          <w:snapToGrid/>
          <w:color w:val="auto"/>
          <w:kern w:val="2"/>
          <w:sz w:val="21"/>
          <w:szCs w:val="21"/>
          <w:highlight w:val="none"/>
          <w:lang w:val="en-US" w:eastAsia="zh-CN" w:bidi="ar-SA"/>
        </w:rPr>
      </w:pPr>
      <w:r>
        <w:rPr>
          <w:rFonts w:hint="eastAsia" w:ascii="宋体" w:hAnsi="宋体" w:eastAsia="宋体" w:cs="宋体"/>
          <w:snapToGrid/>
          <w:color w:val="auto"/>
          <w:kern w:val="2"/>
          <w:sz w:val="21"/>
          <w:szCs w:val="21"/>
          <w:highlight w:val="none"/>
          <w:lang w:val="en-US" w:eastAsia="zh-CN" w:bidi="ar-SA"/>
        </w:rPr>
        <w:t>▲（8）企业综合实力证明材料；</w:t>
      </w:r>
    </w:p>
    <w:p w14:paraId="7848EB52">
      <w:pPr>
        <w:pStyle w:val="4"/>
        <w:spacing w:before="158" w:line="344" w:lineRule="auto"/>
        <w:ind w:left="10" w:right="70" w:firstLine="435"/>
        <w:rPr>
          <w:color w:val="auto"/>
          <w:sz w:val="24"/>
          <w:szCs w:val="24"/>
          <w:highlight w:val="none"/>
        </w:rPr>
      </w:pPr>
      <w:r>
        <w:rPr>
          <w:rFonts w:hint="eastAsia" w:ascii="宋体" w:hAnsi="宋体" w:eastAsia="宋体" w:cs="宋体"/>
          <w:snapToGrid/>
          <w:color w:val="auto"/>
          <w:kern w:val="2"/>
          <w:sz w:val="21"/>
          <w:szCs w:val="21"/>
          <w:highlight w:val="none"/>
          <w:lang w:val="en-US" w:eastAsia="zh-CN" w:bidi="ar-SA"/>
        </w:rPr>
        <w:t>▲（9）参加本项目无串通投标行为的承诺函（格式见附件）</w:t>
      </w:r>
    </w:p>
    <w:p w14:paraId="572249CB">
      <w:pPr>
        <w:pStyle w:val="4"/>
        <w:spacing w:before="47" w:line="219" w:lineRule="auto"/>
        <w:ind w:left="17"/>
        <w:rPr>
          <w:color w:val="auto"/>
          <w:sz w:val="24"/>
          <w:szCs w:val="24"/>
          <w:highlight w:val="none"/>
        </w:rPr>
      </w:pPr>
      <w:r>
        <w:rPr>
          <w:b/>
          <w:bCs/>
          <w:color w:val="auto"/>
          <w:spacing w:val="-5"/>
          <w:sz w:val="24"/>
          <w:szCs w:val="24"/>
          <w:highlight w:val="none"/>
        </w:rPr>
        <w:br w:type="page"/>
      </w:r>
      <w:r>
        <w:rPr>
          <w:b/>
          <w:bCs/>
          <w:color w:val="auto"/>
          <w:spacing w:val="-5"/>
          <w:sz w:val="24"/>
          <w:szCs w:val="24"/>
          <w:highlight w:val="none"/>
        </w:rPr>
        <w:t>1.投标声明书格式：</w:t>
      </w:r>
    </w:p>
    <w:p w14:paraId="4403F2BF">
      <w:pPr>
        <w:pStyle w:val="4"/>
        <w:spacing w:before="202" w:line="219" w:lineRule="auto"/>
        <w:ind w:left="4219"/>
        <w:rPr>
          <w:color w:val="auto"/>
          <w:sz w:val="24"/>
          <w:szCs w:val="24"/>
          <w:highlight w:val="none"/>
        </w:rPr>
      </w:pPr>
      <w:r>
        <w:rPr>
          <w:b/>
          <w:bCs/>
          <w:color w:val="auto"/>
          <w:spacing w:val="-5"/>
          <w:sz w:val="24"/>
          <w:szCs w:val="24"/>
          <w:highlight w:val="none"/>
        </w:rPr>
        <w:t>投标声明书</w:t>
      </w:r>
    </w:p>
    <w:p w14:paraId="6D102C82">
      <w:pPr>
        <w:spacing w:line="352" w:lineRule="auto"/>
        <w:rPr>
          <w:rFonts w:ascii="Arial"/>
          <w:color w:val="auto"/>
          <w:sz w:val="21"/>
          <w:highlight w:val="none"/>
        </w:rPr>
      </w:pPr>
    </w:p>
    <w:p w14:paraId="094057BB">
      <w:pPr>
        <w:spacing w:line="353" w:lineRule="auto"/>
        <w:rPr>
          <w:rFonts w:ascii="Arial"/>
          <w:color w:val="auto"/>
          <w:sz w:val="21"/>
          <w:highlight w:val="none"/>
        </w:rPr>
      </w:pPr>
    </w:p>
    <w:p w14:paraId="11836D53">
      <w:pPr>
        <w:tabs>
          <w:tab w:val="left" w:pos="7200"/>
        </w:tabs>
        <w:spacing w:line="360" w:lineRule="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（采购人名称）</w:t>
      </w:r>
    </w:p>
    <w:p w14:paraId="51E6C08A">
      <w:pPr>
        <w:pStyle w:val="7"/>
        <w:ind w:firstLine="480" w:firstLineChars="200"/>
        <w:rPr>
          <w:rFonts w:hint="eastAsia"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w:t>
      </w:r>
      <w:r>
        <w:rPr>
          <w:rFonts w:hint="eastAsia" w:ascii="宋体" w:hAnsi="宋体" w:eastAsia="宋体" w:cs="宋体"/>
          <w:i/>
          <w:iCs/>
          <w:color w:val="auto"/>
          <w:sz w:val="24"/>
          <w:szCs w:val="24"/>
          <w:highlight w:val="none"/>
          <w:u w:val="single"/>
          <w:lang w:val="en-US" w:eastAsia="zh-CN"/>
        </w:rPr>
        <w:t>投标人</w:t>
      </w:r>
      <w:r>
        <w:rPr>
          <w:rFonts w:hint="eastAsia" w:ascii="宋体" w:hAnsi="宋体" w:eastAsia="宋体" w:cs="宋体"/>
          <w:i/>
          <w:iCs/>
          <w:color w:val="auto"/>
          <w:sz w:val="24"/>
          <w:szCs w:val="24"/>
          <w:highlight w:val="none"/>
          <w:u w:val="single"/>
        </w:rPr>
        <w:t>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1587705">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i/>
          <w:iCs/>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）项目的投标，为便于贵方公正、择优地确定中标人，我方就本次投标有关事项郑重声明如下：</w:t>
      </w:r>
    </w:p>
    <w:p w14:paraId="1A50A669">
      <w:pPr>
        <w:pStyle w:val="7"/>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我方向贵方提交的所有</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文件、资料都是准确的和真实的</w:t>
      </w:r>
      <w:r>
        <w:rPr>
          <w:rFonts w:hint="eastAsia" w:ascii="宋体" w:hAnsi="宋体" w:eastAsia="宋体" w:cs="宋体"/>
          <w:color w:val="auto"/>
          <w:sz w:val="24"/>
          <w:szCs w:val="24"/>
          <w:highlight w:val="none"/>
          <w:lang w:eastAsia="zh-CN"/>
        </w:rPr>
        <w:t>。</w:t>
      </w:r>
    </w:p>
    <w:p w14:paraId="495F48BA">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D249762">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在此，我方宣布同意如下：</w:t>
      </w:r>
    </w:p>
    <w:p w14:paraId="05EC2F85">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（1）将按</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文件的约定履行合同责任和义务；</w:t>
      </w:r>
    </w:p>
    <w:p w14:paraId="776B8806">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全部</w:t>
      </w:r>
      <w:r>
        <w:rPr>
          <w:rFonts w:hint="eastAsia" w:ascii="宋体" w:hAnsi="宋体" w:eastAsia="宋体" w:cs="宋体"/>
          <w:color w:val="auto"/>
          <w:kern w:val="0"/>
          <w:sz w:val="24"/>
          <w:szCs w:val="24"/>
          <w:highlight w:val="none"/>
          <w:lang w:val="en-US" w:eastAsia="zh-CN"/>
        </w:rPr>
        <w:t>内容</w:t>
      </w:r>
      <w:r>
        <w:rPr>
          <w:rFonts w:hint="eastAsia" w:ascii="宋体" w:hAnsi="宋体" w:eastAsia="宋体" w:cs="宋体"/>
          <w:color w:val="auto"/>
          <w:sz w:val="24"/>
          <w:szCs w:val="24"/>
          <w:highlight w:val="none"/>
        </w:rPr>
        <w:t>，包括澄清或者更正公告（如有）；</w:t>
      </w:r>
    </w:p>
    <w:p w14:paraId="70AABB66">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有关的一切数据或者资料。</w:t>
      </w:r>
    </w:p>
    <w:p w14:paraId="3D9EA6A3">
      <w:pPr>
        <w:pStyle w:val="7"/>
        <w:rPr>
          <w:rFonts w:hint="eastAsia" w:ascii="宋体" w:hAnsi="宋体" w:eastAsia="宋体" w:cs="宋体"/>
          <w:color w:val="auto"/>
          <w:sz w:val="24"/>
          <w:szCs w:val="24"/>
          <w:highlight w:val="none"/>
        </w:rPr>
      </w:pPr>
    </w:p>
    <w:p w14:paraId="2CF6C69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b w:val="0"/>
          <w:bCs w:val="0"/>
          <w:color w:val="auto"/>
          <w:kern w:val="2"/>
          <w:sz w:val="24"/>
          <w:szCs w:val="24"/>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w:t>
      </w:r>
    </w:p>
    <w:p w14:paraId="343D3BBD">
      <w:pPr>
        <w:spacing w:line="360" w:lineRule="exact"/>
        <w:ind w:firstLine="480" w:firstLineChars="200"/>
        <w:contextualSpacing/>
        <w:rPr>
          <w:rFonts w:hint="eastAsia" w:ascii="宋体" w:hAnsi="宋体" w:eastAsia="宋体" w:cs="宋体"/>
          <w:i/>
          <w:iCs/>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根据《中华人民共和国政府采购法实施条例》第五十条要求对政府采购合同进行公告，但政府采购合同中涉及国家秘密、商业秘密的内容除外。我方就对本次</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文件进行注明如下：</w:t>
      </w:r>
      <w:r>
        <w:rPr>
          <w:rFonts w:hint="eastAsia" w:ascii="宋体" w:hAnsi="宋体" w:eastAsia="宋体" w:cs="宋体"/>
          <w:i/>
          <w:iCs/>
          <w:color w:val="auto"/>
          <w:sz w:val="24"/>
          <w:szCs w:val="24"/>
          <w:highlight w:val="none"/>
        </w:rPr>
        <w:t>（两项内容中必须选择一项）</w:t>
      </w:r>
    </w:p>
    <w:p w14:paraId="3FE06090">
      <w:pPr>
        <w:spacing w:line="360" w:lineRule="exact"/>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□我方本次</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r>
        <w:rPr>
          <w:rFonts w:hint="eastAsia" w:ascii="宋体" w:hAnsi="宋体" w:eastAsia="宋体" w:cs="宋体"/>
          <w:color w:val="auto"/>
          <w:kern w:val="0"/>
          <w:sz w:val="24"/>
          <w:szCs w:val="24"/>
          <w:highlight w:val="none"/>
          <w:lang w:eastAsia="zh-CN"/>
        </w:rPr>
        <w:t>。</w:t>
      </w:r>
    </w:p>
    <w:p w14:paraId="4881F22B">
      <w:pPr>
        <w:spacing w:line="360" w:lineRule="exact"/>
        <w:ind w:firstLine="480" w:firstLineChars="200"/>
        <w:contextualSpacing/>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□我方本次</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w:t>
      </w:r>
      <w:r>
        <w:rPr>
          <w:rFonts w:hint="eastAsia" w:ascii="宋体" w:hAnsi="宋体" w:eastAsia="宋体" w:cs="宋体"/>
          <w:color w:val="auto"/>
          <w:kern w:val="0"/>
          <w:sz w:val="24"/>
          <w:szCs w:val="24"/>
          <w:highlight w:val="none"/>
        </w:rPr>
        <w:t>涉及商业秘密的内容有：</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eastAsia="zh-CN"/>
        </w:rPr>
        <w:t>。</w:t>
      </w:r>
    </w:p>
    <w:p w14:paraId="76A1CA38">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以上事项如有虚假或</w:t>
      </w:r>
      <w:r>
        <w:rPr>
          <w:rFonts w:hint="eastAsia" w:ascii="宋体" w:hAnsi="宋体" w:eastAsia="宋体" w:cs="宋体"/>
          <w:color w:val="auto"/>
          <w:sz w:val="24"/>
          <w:szCs w:val="24"/>
          <w:highlight w:val="none"/>
          <w:lang w:val="en-US" w:eastAsia="zh-CN"/>
        </w:rPr>
        <w:t>者</w:t>
      </w:r>
      <w:r>
        <w:rPr>
          <w:rFonts w:hint="eastAsia" w:ascii="宋体" w:hAnsi="宋体" w:eastAsia="宋体" w:cs="宋体"/>
          <w:color w:val="auto"/>
          <w:sz w:val="24"/>
          <w:szCs w:val="24"/>
          <w:highlight w:val="none"/>
        </w:rPr>
        <w:t>隐瞒，我方愿意承担一切后果，并不再寻求任何旨在减轻或</w:t>
      </w:r>
      <w:r>
        <w:rPr>
          <w:rFonts w:hint="eastAsia" w:ascii="宋体" w:hAnsi="宋体" w:eastAsia="宋体" w:cs="宋体"/>
          <w:color w:val="auto"/>
          <w:sz w:val="24"/>
          <w:szCs w:val="24"/>
          <w:highlight w:val="none"/>
          <w:lang w:val="en-US" w:eastAsia="zh-CN"/>
        </w:rPr>
        <w:t>者</w:t>
      </w:r>
      <w:r>
        <w:rPr>
          <w:rFonts w:hint="eastAsia" w:ascii="宋体" w:hAnsi="宋体" w:eastAsia="宋体" w:cs="宋体"/>
          <w:color w:val="auto"/>
          <w:sz w:val="24"/>
          <w:szCs w:val="24"/>
          <w:highlight w:val="none"/>
        </w:rPr>
        <w:t xml:space="preserve">免除法律责任的辩解。 </w:t>
      </w:r>
    </w:p>
    <w:p w14:paraId="7F854963">
      <w:pPr>
        <w:tabs>
          <w:tab w:val="left" w:pos="939"/>
        </w:tabs>
        <w:spacing w:line="360" w:lineRule="exact"/>
        <w:ind w:left="141" w:leftChars="67" w:firstLine="360" w:firstLineChars="15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44106B7E">
      <w:pPr>
        <w:pStyle w:val="4"/>
        <w:spacing w:before="79" w:line="371" w:lineRule="auto"/>
        <w:rPr>
          <w:color w:val="auto"/>
          <w:sz w:val="24"/>
          <w:szCs w:val="24"/>
          <w:highlight w:val="none"/>
        </w:rPr>
      </w:pPr>
      <w:r>
        <w:rPr>
          <w:rFonts w:hint="eastAsia" w:ascii="宋体" w:hAnsi="宋体" w:eastAsia="宋体" w:cs="宋体"/>
          <w:b/>
          <w:color w:val="auto"/>
          <w:sz w:val="24"/>
          <w:szCs w:val="24"/>
          <w:highlight w:val="none"/>
          <w:lang w:val="en-US" w:eastAsia="zh-CN"/>
        </w:rPr>
        <w:t>注：</w:t>
      </w:r>
      <w:r>
        <w:rPr>
          <w:rFonts w:hint="eastAsia" w:ascii="宋体" w:hAnsi="宋体" w:eastAsia="宋体" w:cs="宋体"/>
          <w:b/>
          <w:color w:val="auto"/>
          <w:sz w:val="24"/>
          <w:szCs w:val="24"/>
          <w:highlight w:val="none"/>
        </w:rPr>
        <w:t>如为联合体投标，盖章处须加盖联合体各方公章，否则</w:t>
      </w:r>
      <w:r>
        <w:rPr>
          <w:rFonts w:hint="eastAsia" w:ascii="宋体" w:hAnsi="宋体" w:eastAsia="宋体" w:cs="宋体"/>
          <w:b/>
          <w:bCs/>
          <w:color w:val="auto"/>
          <w:sz w:val="24"/>
          <w:szCs w:val="24"/>
          <w:highlight w:val="none"/>
        </w:rPr>
        <w:t>其</w:t>
      </w:r>
      <w:r>
        <w:rPr>
          <w:rFonts w:hint="eastAsia" w:ascii="宋体" w:hAnsi="宋体" w:eastAsia="宋体" w:cs="宋体"/>
          <w:b/>
          <w:bCs/>
          <w:color w:val="auto"/>
          <w:sz w:val="24"/>
          <w:szCs w:val="24"/>
          <w:highlight w:val="none"/>
          <w:lang w:val="en-US" w:eastAsia="zh-CN"/>
        </w:rPr>
        <w:t>投标</w:t>
      </w:r>
      <w:r>
        <w:rPr>
          <w:rFonts w:hint="eastAsia" w:ascii="宋体" w:hAnsi="宋体" w:eastAsia="宋体" w:cs="宋体"/>
          <w:b/>
          <w:bCs/>
          <w:color w:val="auto"/>
          <w:sz w:val="24"/>
          <w:szCs w:val="24"/>
          <w:highlight w:val="none"/>
        </w:rPr>
        <w:t>文件</w:t>
      </w:r>
      <w:r>
        <w:rPr>
          <w:rFonts w:hint="eastAsia" w:ascii="宋体" w:hAnsi="宋体" w:eastAsia="宋体" w:cs="宋体"/>
          <w:b/>
          <w:bCs/>
          <w:color w:val="auto"/>
          <w:sz w:val="24"/>
          <w:szCs w:val="24"/>
          <w:highlight w:val="none"/>
          <w:lang w:eastAsia="zh-CN"/>
        </w:rPr>
        <w:t>作无效</w:t>
      </w:r>
      <w:r>
        <w:rPr>
          <w:rFonts w:hint="eastAsia" w:ascii="宋体" w:hAnsi="宋体" w:eastAsia="宋体" w:cs="宋体"/>
          <w:b/>
          <w:bCs/>
          <w:color w:val="auto"/>
          <w:sz w:val="24"/>
          <w:szCs w:val="24"/>
          <w:highlight w:val="none"/>
        </w:rPr>
        <w:t>响应处理</w:t>
      </w:r>
      <w:r>
        <w:rPr>
          <w:rFonts w:hint="eastAsia" w:ascii="宋体" w:hAnsi="宋体" w:eastAsia="宋体" w:cs="宋体"/>
          <w:b/>
          <w:color w:val="auto"/>
          <w:sz w:val="24"/>
          <w:szCs w:val="24"/>
          <w:highlight w:val="none"/>
        </w:rPr>
        <w:t>。</w:t>
      </w:r>
    </w:p>
    <w:p w14:paraId="7A52083C">
      <w:pPr>
        <w:pStyle w:val="4"/>
        <w:spacing w:before="45" w:line="360" w:lineRule="auto"/>
        <w:ind w:left="1" w:right="7778" w:hanging="1"/>
        <w:jc w:val="right"/>
        <w:rPr>
          <w:color w:val="auto"/>
          <w:sz w:val="24"/>
          <w:szCs w:val="24"/>
          <w:highlight w:val="none"/>
        </w:rPr>
      </w:pPr>
      <w:r>
        <w:rPr>
          <w:color w:val="auto"/>
          <w:spacing w:val="-9"/>
          <w:sz w:val="24"/>
          <w:szCs w:val="24"/>
          <w:highlight w:val="none"/>
        </w:rPr>
        <w:t>法定代表人签字：</w:t>
      </w:r>
      <w:r>
        <w:rPr>
          <w:color w:val="auto"/>
          <w:sz w:val="24"/>
          <w:szCs w:val="24"/>
          <w:highlight w:val="none"/>
        </w:rPr>
        <w:t xml:space="preserve"> </w:t>
      </w:r>
      <w:r>
        <w:rPr>
          <w:color w:val="auto"/>
          <w:spacing w:val="-10"/>
          <w:sz w:val="24"/>
          <w:szCs w:val="24"/>
          <w:highlight w:val="none"/>
        </w:rPr>
        <w:t>投标人电子签章：</w:t>
      </w:r>
      <w:r>
        <w:rPr>
          <w:color w:val="auto"/>
          <w:spacing w:val="6"/>
          <w:sz w:val="24"/>
          <w:szCs w:val="24"/>
          <w:highlight w:val="none"/>
        </w:rPr>
        <w:t xml:space="preserve"> </w:t>
      </w: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78321CCF">
      <w:pPr>
        <w:pStyle w:val="4"/>
        <w:spacing w:before="48" w:line="325" w:lineRule="auto"/>
        <w:ind w:left="5" w:right="303"/>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3.</w:t>
      </w:r>
      <w:r>
        <w:rPr>
          <w:color w:val="auto"/>
          <w:spacing w:val="-3"/>
          <w:sz w:val="24"/>
          <w:szCs w:val="24"/>
          <w:highlight w:val="none"/>
        </w:rPr>
        <w:t xml:space="preserve"> </w:t>
      </w:r>
      <w:r>
        <w:rPr>
          <w:b/>
          <w:bCs/>
          <w:color w:val="auto"/>
          <w:spacing w:val="-3"/>
          <w:sz w:val="24"/>
          <w:szCs w:val="24"/>
          <w:highlight w:val="none"/>
        </w:rPr>
        <w:t>法定代表人授权委托书和委托代理人正反面身份证复印件（</w:t>
      </w:r>
      <w:r>
        <w:rPr>
          <w:b/>
          <w:bCs/>
          <w:color w:val="auto"/>
          <w:spacing w:val="-4"/>
          <w:sz w:val="24"/>
          <w:szCs w:val="24"/>
          <w:highlight w:val="none"/>
        </w:rPr>
        <w:t>委托代理时需要提供）(格</w:t>
      </w:r>
      <w:r>
        <w:rPr>
          <w:b/>
          <w:bCs/>
          <w:color w:val="auto"/>
          <w:spacing w:val="-8"/>
          <w:sz w:val="24"/>
          <w:szCs w:val="24"/>
          <w:highlight w:val="none"/>
        </w:rPr>
        <w:t>式)：</w:t>
      </w:r>
    </w:p>
    <w:p w14:paraId="02A0D385">
      <w:pPr>
        <w:pStyle w:val="4"/>
        <w:spacing w:before="154" w:line="219" w:lineRule="auto"/>
        <w:ind w:left="3616"/>
        <w:rPr>
          <w:color w:val="auto"/>
          <w:sz w:val="24"/>
          <w:szCs w:val="24"/>
          <w:highlight w:val="none"/>
        </w:rPr>
      </w:pPr>
      <w:r>
        <w:rPr>
          <w:b/>
          <w:bCs/>
          <w:color w:val="auto"/>
          <w:spacing w:val="-3"/>
          <w:sz w:val="24"/>
          <w:szCs w:val="24"/>
          <w:highlight w:val="none"/>
        </w:rPr>
        <w:t>法定代表人授权委托书</w:t>
      </w:r>
    </w:p>
    <w:p w14:paraId="0903369D">
      <w:pPr>
        <w:spacing w:line="250" w:lineRule="auto"/>
        <w:rPr>
          <w:rFonts w:ascii="Arial"/>
          <w:color w:val="auto"/>
          <w:sz w:val="21"/>
          <w:highlight w:val="none"/>
        </w:rPr>
      </w:pPr>
    </w:p>
    <w:p w14:paraId="7CB476E3">
      <w:pPr>
        <w:spacing w:line="250" w:lineRule="auto"/>
        <w:rPr>
          <w:rFonts w:ascii="Arial"/>
          <w:color w:val="auto"/>
          <w:sz w:val="21"/>
          <w:highlight w:val="none"/>
        </w:rPr>
      </w:pPr>
    </w:p>
    <w:p w14:paraId="640E6120">
      <w:pPr>
        <w:spacing w:line="251" w:lineRule="auto"/>
        <w:rPr>
          <w:rFonts w:ascii="Arial"/>
          <w:color w:val="auto"/>
          <w:sz w:val="21"/>
          <w:highlight w:val="none"/>
        </w:rPr>
      </w:pPr>
    </w:p>
    <w:p w14:paraId="2BE675AE">
      <w:pPr>
        <w:pStyle w:val="4"/>
        <w:spacing w:before="78" w:line="219" w:lineRule="auto"/>
        <w:rPr>
          <w:color w:val="auto"/>
          <w:sz w:val="24"/>
          <w:szCs w:val="24"/>
          <w:highlight w:val="none"/>
        </w:rPr>
      </w:pPr>
      <w:r>
        <w:rPr>
          <w:color w:val="auto"/>
          <w:spacing w:val="6"/>
          <w:sz w:val="24"/>
          <w:szCs w:val="24"/>
          <w:highlight w:val="none"/>
        </w:rPr>
        <w:t>致</w:t>
      </w:r>
      <w:r>
        <w:rPr>
          <w:color w:val="auto"/>
          <w:spacing w:val="-17"/>
          <w:sz w:val="24"/>
          <w:szCs w:val="24"/>
          <w:highlight w:val="none"/>
        </w:rPr>
        <w:t>：</w:t>
      </w:r>
      <w:r>
        <w:rPr>
          <w:color w:val="auto"/>
          <w:sz w:val="24"/>
          <w:szCs w:val="24"/>
          <w:highlight w:val="none"/>
          <w:u w:val="single" w:color="auto"/>
        </w:rPr>
        <w:t xml:space="preserve">                </w:t>
      </w:r>
      <w:r>
        <w:rPr>
          <w:color w:val="auto"/>
          <w:spacing w:val="-17"/>
          <w:sz w:val="24"/>
          <w:szCs w:val="24"/>
          <w:highlight w:val="none"/>
        </w:rPr>
        <w:t>（</w:t>
      </w:r>
      <w:r>
        <w:rPr>
          <w:color w:val="auto"/>
          <w:spacing w:val="6"/>
          <w:sz w:val="24"/>
          <w:szCs w:val="24"/>
          <w:highlight w:val="none"/>
        </w:rPr>
        <w:t>招标采购单位名称</w:t>
      </w:r>
      <w:r>
        <w:rPr>
          <w:rFonts w:hint="eastAsia"/>
          <w:color w:val="auto"/>
          <w:spacing w:val="6"/>
          <w:sz w:val="24"/>
          <w:szCs w:val="24"/>
          <w:highlight w:val="none"/>
          <w:lang w:val="en-US" w:eastAsia="zh-CN"/>
        </w:rPr>
        <w:t>或招标代理机构</w:t>
      </w:r>
      <w:r>
        <w:rPr>
          <w:color w:val="auto"/>
          <w:spacing w:val="-17"/>
          <w:sz w:val="24"/>
          <w:szCs w:val="24"/>
          <w:highlight w:val="none"/>
        </w:rPr>
        <w:t>）</w:t>
      </w:r>
      <w:r>
        <w:rPr>
          <w:color w:val="auto"/>
          <w:spacing w:val="3"/>
          <w:sz w:val="24"/>
          <w:szCs w:val="24"/>
          <w:highlight w:val="none"/>
        </w:rPr>
        <w:t xml:space="preserve"> </w:t>
      </w:r>
      <w:r>
        <w:rPr>
          <w:color w:val="auto"/>
          <w:spacing w:val="-17"/>
          <w:sz w:val="24"/>
          <w:szCs w:val="24"/>
          <w:highlight w:val="none"/>
        </w:rPr>
        <w:t>：</w:t>
      </w:r>
    </w:p>
    <w:p w14:paraId="429380AD">
      <w:pPr>
        <w:pStyle w:val="4"/>
        <w:spacing w:before="277" w:line="329" w:lineRule="auto"/>
        <w:ind w:left="1" w:firstLine="720"/>
        <w:jc w:val="both"/>
        <w:rPr>
          <w:color w:val="auto"/>
          <w:sz w:val="24"/>
          <w:szCs w:val="24"/>
          <w:highlight w:val="none"/>
        </w:rPr>
      </w:pPr>
      <w:r>
        <w:rPr>
          <w:color w:val="auto"/>
          <w:spacing w:val="-2"/>
          <w:sz w:val="24"/>
          <w:szCs w:val="24"/>
          <w:highlight w:val="none"/>
        </w:rPr>
        <w:t>我</w:t>
      </w:r>
      <w:r>
        <w:rPr>
          <w:color w:val="auto"/>
          <w:spacing w:val="-2"/>
          <w:sz w:val="24"/>
          <w:szCs w:val="24"/>
          <w:highlight w:val="none"/>
          <w:u w:val="single" w:color="auto"/>
        </w:rPr>
        <w:t xml:space="preserve">            </w:t>
      </w:r>
      <w:r>
        <w:rPr>
          <w:color w:val="auto"/>
          <w:spacing w:val="-2"/>
          <w:sz w:val="24"/>
          <w:szCs w:val="24"/>
          <w:highlight w:val="none"/>
        </w:rPr>
        <w:t>（姓名）系</w:t>
      </w:r>
      <w:r>
        <w:rPr>
          <w:color w:val="auto"/>
          <w:spacing w:val="-2"/>
          <w:sz w:val="24"/>
          <w:szCs w:val="24"/>
          <w:highlight w:val="none"/>
          <w:u w:val="single" w:color="auto"/>
        </w:rPr>
        <w:t xml:space="preserve">             </w:t>
      </w:r>
      <w:r>
        <w:rPr>
          <w:color w:val="auto"/>
          <w:spacing w:val="-2"/>
          <w:sz w:val="24"/>
          <w:szCs w:val="24"/>
          <w:highlight w:val="none"/>
        </w:rPr>
        <w:t>（投标人名称）的法定代表人，现授权委托</w:t>
      </w:r>
      <w:r>
        <w:rPr>
          <w:color w:val="auto"/>
          <w:spacing w:val="6"/>
          <w:sz w:val="24"/>
          <w:szCs w:val="24"/>
          <w:highlight w:val="none"/>
        </w:rPr>
        <w:t xml:space="preserve"> </w:t>
      </w:r>
      <w:r>
        <w:rPr>
          <w:color w:val="auto"/>
          <w:spacing w:val="-3"/>
          <w:sz w:val="24"/>
          <w:szCs w:val="24"/>
          <w:highlight w:val="none"/>
        </w:rPr>
        <w:t xml:space="preserve">本单位在职职工 </w:t>
      </w:r>
      <w:r>
        <w:rPr>
          <w:color w:val="auto"/>
          <w:spacing w:val="-3"/>
          <w:sz w:val="24"/>
          <w:szCs w:val="24"/>
          <w:highlight w:val="none"/>
          <w:u w:val="single" w:color="auto"/>
        </w:rPr>
        <w:t xml:space="preserve">              </w:t>
      </w:r>
      <w:r>
        <w:rPr>
          <w:color w:val="auto"/>
          <w:spacing w:val="-3"/>
          <w:sz w:val="24"/>
          <w:szCs w:val="24"/>
          <w:highlight w:val="none"/>
        </w:rPr>
        <w:t>（姓名）以我方的名义参加</w:t>
      </w:r>
      <w:r>
        <w:rPr>
          <w:color w:val="auto"/>
          <w:spacing w:val="-3"/>
          <w:sz w:val="24"/>
          <w:szCs w:val="24"/>
          <w:highlight w:val="none"/>
          <w:u w:val="single" w:color="auto"/>
        </w:rPr>
        <w:t xml:space="preserve">     </w:t>
      </w:r>
      <w:r>
        <w:rPr>
          <w:rFonts w:hint="eastAsia"/>
          <w:color w:val="auto"/>
          <w:spacing w:val="-3"/>
          <w:sz w:val="24"/>
          <w:szCs w:val="24"/>
          <w:highlight w:val="none"/>
          <w:u w:val="single" w:color="auto"/>
          <w:lang w:eastAsia="zh-CN"/>
        </w:rPr>
        <w:t>（</w:t>
      </w:r>
      <w:r>
        <w:rPr>
          <w:rFonts w:hint="eastAsia"/>
          <w:color w:val="auto"/>
          <w:spacing w:val="-3"/>
          <w:sz w:val="24"/>
          <w:szCs w:val="24"/>
          <w:highlight w:val="none"/>
          <w:u w:val="single" w:color="auto"/>
          <w:lang w:val="en-US" w:eastAsia="zh-CN"/>
        </w:rPr>
        <w:t>项目名称</w:t>
      </w:r>
      <w:r>
        <w:rPr>
          <w:rFonts w:hint="eastAsia"/>
          <w:color w:val="auto"/>
          <w:spacing w:val="-3"/>
          <w:sz w:val="24"/>
          <w:szCs w:val="24"/>
          <w:highlight w:val="none"/>
          <w:u w:val="single" w:color="auto"/>
          <w:lang w:eastAsia="zh-CN"/>
        </w:rPr>
        <w:t>）</w:t>
      </w:r>
      <w:r>
        <w:rPr>
          <w:color w:val="auto"/>
          <w:spacing w:val="-3"/>
          <w:sz w:val="24"/>
          <w:szCs w:val="24"/>
          <w:highlight w:val="none"/>
          <w:u w:val="single" w:color="auto"/>
        </w:rPr>
        <w:t xml:space="preserve">     </w:t>
      </w:r>
      <w:r>
        <w:rPr>
          <w:color w:val="auto"/>
          <w:spacing w:val="-107"/>
          <w:sz w:val="24"/>
          <w:szCs w:val="24"/>
          <w:highlight w:val="none"/>
        </w:rPr>
        <w:t xml:space="preserve"> </w:t>
      </w:r>
      <w:r>
        <w:rPr>
          <w:color w:val="auto"/>
          <w:spacing w:val="-3"/>
          <w:sz w:val="24"/>
          <w:szCs w:val="24"/>
          <w:highlight w:val="none"/>
        </w:rPr>
        <w:t>项目的投标活动，</w:t>
      </w:r>
      <w:r>
        <w:rPr>
          <w:color w:val="auto"/>
          <w:sz w:val="24"/>
          <w:szCs w:val="24"/>
          <w:highlight w:val="none"/>
        </w:rPr>
        <w:t xml:space="preserve"> 并代表我方全权办理针对上述项目的投标、开标、评标、签约等</w:t>
      </w:r>
      <w:r>
        <w:rPr>
          <w:color w:val="auto"/>
          <w:spacing w:val="-1"/>
          <w:sz w:val="24"/>
          <w:szCs w:val="24"/>
          <w:highlight w:val="none"/>
        </w:rPr>
        <w:t>具体事务和签署相关文件。</w:t>
      </w:r>
    </w:p>
    <w:p w14:paraId="489F097C">
      <w:pPr>
        <w:pStyle w:val="4"/>
        <w:spacing w:before="157" w:line="219" w:lineRule="auto"/>
        <w:ind w:left="482"/>
        <w:rPr>
          <w:color w:val="auto"/>
          <w:sz w:val="24"/>
          <w:szCs w:val="24"/>
          <w:highlight w:val="none"/>
        </w:rPr>
      </w:pPr>
      <w:r>
        <w:rPr>
          <w:color w:val="auto"/>
          <w:spacing w:val="-1"/>
          <w:sz w:val="24"/>
          <w:szCs w:val="24"/>
          <w:highlight w:val="none"/>
        </w:rPr>
        <w:t>我方对被授权人的签名事项负全部责任。</w:t>
      </w:r>
    </w:p>
    <w:p w14:paraId="16FEFDE9">
      <w:pPr>
        <w:pStyle w:val="4"/>
        <w:spacing w:before="272" w:line="325" w:lineRule="auto"/>
        <w:ind w:left="1" w:right="61" w:firstLine="478"/>
        <w:rPr>
          <w:color w:val="auto"/>
          <w:sz w:val="24"/>
          <w:szCs w:val="24"/>
          <w:highlight w:val="none"/>
        </w:rPr>
      </w:pPr>
      <w:r>
        <w:rPr>
          <w:color w:val="auto"/>
          <w:spacing w:val="1"/>
          <w:sz w:val="24"/>
          <w:szCs w:val="24"/>
          <w:highlight w:val="none"/>
          <w:u w:val="single" w:color="auto"/>
        </w:rPr>
        <w:t>在撤销授权的书面通知以前，本授权书一直有效。</w:t>
      </w:r>
      <w:r>
        <w:rPr>
          <w:color w:val="auto"/>
          <w:spacing w:val="1"/>
          <w:sz w:val="24"/>
          <w:szCs w:val="24"/>
          <w:highlight w:val="none"/>
        </w:rPr>
        <w:t>被授权人在授</w:t>
      </w:r>
      <w:r>
        <w:rPr>
          <w:color w:val="auto"/>
          <w:sz w:val="24"/>
          <w:szCs w:val="24"/>
          <w:highlight w:val="none"/>
        </w:rPr>
        <w:t xml:space="preserve">权书有效期内签署的所 </w:t>
      </w:r>
      <w:r>
        <w:rPr>
          <w:color w:val="auto"/>
          <w:spacing w:val="-1"/>
          <w:sz w:val="24"/>
          <w:szCs w:val="24"/>
          <w:highlight w:val="none"/>
        </w:rPr>
        <w:t>有文件不因授权的撤销而失效。</w:t>
      </w:r>
    </w:p>
    <w:p w14:paraId="4A594ACE">
      <w:pPr>
        <w:pStyle w:val="4"/>
        <w:spacing w:before="158" w:line="219" w:lineRule="auto"/>
        <w:ind w:left="480"/>
        <w:rPr>
          <w:color w:val="auto"/>
          <w:sz w:val="24"/>
          <w:szCs w:val="24"/>
          <w:highlight w:val="none"/>
        </w:rPr>
      </w:pPr>
      <w:r>
        <w:rPr>
          <w:color w:val="auto"/>
          <w:spacing w:val="-1"/>
          <w:sz w:val="24"/>
          <w:szCs w:val="24"/>
          <w:highlight w:val="none"/>
        </w:rPr>
        <w:t>被授权人无转委托权，特此委托。</w:t>
      </w:r>
    </w:p>
    <w:p w14:paraId="65913053">
      <w:pPr>
        <w:spacing w:line="250" w:lineRule="auto"/>
        <w:rPr>
          <w:rFonts w:ascii="Arial"/>
          <w:color w:val="auto"/>
          <w:sz w:val="21"/>
          <w:highlight w:val="none"/>
        </w:rPr>
      </w:pPr>
    </w:p>
    <w:p w14:paraId="226E8986">
      <w:pPr>
        <w:spacing w:line="250" w:lineRule="auto"/>
        <w:rPr>
          <w:rFonts w:ascii="Arial"/>
          <w:color w:val="auto"/>
          <w:sz w:val="21"/>
          <w:highlight w:val="none"/>
        </w:rPr>
      </w:pPr>
    </w:p>
    <w:p w14:paraId="5D536DCA">
      <w:pPr>
        <w:spacing w:line="251" w:lineRule="auto"/>
        <w:rPr>
          <w:rFonts w:ascii="Arial"/>
          <w:color w:val="auto"/>
          <w:sz w:val="21"/>
          <w:highlight w:val="none"/>
        </w:rPr>
      </w:pPr>
    </w:p>
    <w:p w14:paraId="34BD70B3">
      <w:pPr>
        <w:pStyle w:val="4"/>
        <w:spacing w:before="78" w:line="219" w:lineRule="auto"/>
        <w:rPr>
          <w:color w:val="auto"/>
          <w:sz w:val="24"/>
          <w:szCs w:val="24"/>
          <w:highlight w:val="none"/>
        </w:rPr>
      </w:pPr>
      <w:r>
        <w:rPr>
          <w:color w:val="auto"/>
          <w:sz w:val="24"/>
          <w:szCs w:val="24"/>
          <w:highlight w:val="none"/>
        </w:rPr>
        <w:t>被授权人签名：</w:t>
      </w:r>
      <w:r>
        <w:rPr>
          <w:color w:val="auto"/>
          <w:sz w:val="24"/>
          <w:szCs w:val="24"/>
          <w:highlight w:val="none"/>
          <w:u w:val="single" w:color="auto"/>
        </w:rPr>
        <w:t xml:space="preserve">          </w:t>
      </w:r>
      <w:r>
        <w:rPr>
          <w:color w:val="auto"/>
          <w:sz w:val="24"/>
          <w:szCs w:val="24"/>
          <w:highlight w:val="none"/>
        </w:rPr>
        <w:t xml:space="preserve">              </w:t>
      </w:r>
      <w:r>
        <w:rPr>
          <w:color w:val="auto"/>
          <w:spacing w:val="-1"/>
          <w:sz w:val="24"/>
          <w:szCs w:val="24"/>
          <w:highlight w:val="none"/>
        </w:rPr>
        <w:t xml:space="preserve">   法定代表人签名：</w:t>
      </w:r>
    </w:p>
    <w:p w14:paraId="033BB021">
      <w:pPr>
        <w:pStyle w:val="4"/>
        <w:spacing w:before="277" w:line="219" w:lineRule="auto"/>
        <w:rPr>
          <w:color w:val="auto"/>
          <w:sz w:val="24"/>
          <w:szCs w:val="24"/>
          <w:highlight w:val="none"/>
        </w:rPr>
      </w:pPr>
      <w:r>
        <w:rPr>
          <w:color w:val="auto"/>
          <w:sz w:val="24"/>
          <w:szCs w:val="24"/>
          <w:highlight w:val="none"/>
        </w:rPr>
        <w:t>所在部门职务：</w:t>
      </w:r>
      <w:r>
        <w:rPr>
          <w:color w:val="auto"/>
          <w:sz w:val="24"/>
          <w:szCs w:val="24"/>
          <w:highlight w:val="none"/>
          <w:u w:val="single" w:color="auto"/>
        </w:rPr>
        <w:t xml:space="preserve">           </w:t>
      </w:r>
      <w:r>
        <w:rPr>
          <w:color w:val="auto"/>
          <w:sz w:val="24"/>
          <w:szCs w:val="24"/>
          <w:highlight w:val="none"/>
        </w:rPr>
        <w:t xml:space="preserve">                  </w:t>
      </w:r>
      <w:r>
        <w:rPr>
          <w:color w:val="auto"/>
          <w:spacing w:val="-1"/>
          <w:sz w:val="24"/>
          <w:szCs w:val="24"/>
          <w:highlight w:val="none"/>
        </w:rPr>
        <w:t xml:space="preserve">        职务：</w:t>
      </w:r>
    </w:p>
    <w:p w14:paraId="2447A861">
      <w:pPr>
        <w:pStyle w:val="4"/>
        <w:spacing w:before="274" w:line="219" w:lineRule="auto"/>
        <w:rPr>
          <w:color w:val="auto"/>
          <w:sz w:val="24"/>
          <w:szCs w:val="24"/>
          <w:highlight w:val="none"/>
        </w:rPr>
      </w:pPr>
      <w:r>
        <w:rPr>
          <w:color w:val="auto"/>
          <w:spacing w:val="-1"/>
          <w:sz w:val="24"/>
          <w:szCs w:val="24"/>
          <w:highlight w:val="none"/>
        </w:rPr>
        <w:t>被授权人身份证号码：</w:t>
      </w:r>
    </w:p>
    <w:p w14:paraId="6E5DC4DA">
      <w:pPr>
        <w:spacing w:line="261" w:lineRule="auto"/>
        <w:rPr>
          <w:rFonts w:ascii="Arial"/>
          <w:color w:val="auto"/>
          <w:sz w:val="21"/>
          <w:highlight w:val="none"/>
        </w:rPr>
      </w:pPr>
    </w:p>
    <w:p w14:paraId="42F6F162">
      <w:pPr>
        <w:spacing w:line="261" w:lineRule="auto"/>
        <w:rPr>
          <w:rFonts w:ascii="Arial"/>
          <w:color w:val="auto"/>
          <w:sz w:val="21"/>
          <w:highlight w:val="none"/>
        </w:rPr>
      </w:pPr>
    </w:p>
    <w:p w14:paraId="60B3B007">
      <w:pPr>
        <w:spacing w:line="262" w:lineRule="auto"/>
        <w:rPr>
          <w:rFonts w:ascii="Arial"/>
          <w:color w:val="auto"/>
          <w:sz w:val="21"/>
          <w:highlight w:val="none"/>
        </w:rPr>
      </w:pPr>
    </w:p>
    <w:p w14:paraId="32E17C73">
      <w:pPr>
        <w:spacing w:line="262" w:lineRule="auto"/>
        <w:rPr>
          <w:rFonts w:ascii="Arial"/>
          <w:color w:val="auto"/>
          <w:sz w:val="21"/>
          <w:highlight w:val="none"/>
        </w:rPr>
      </w:pPr>
    </w:p>
    <w:p w14:paraId="1BF4A837">
      <w:pPr>
        <w:spacing w:line="262" w:lineRule="auto"/>
        <w:rPr>
          <w:rFonts w:ascii="Arial"/>
          <w:color w:val="auto"/>
          <w:sz w:val="21"/>
          <w:highlight w:val="none"/>
        </w:rPr>
      </w:pPr>
    </w:p>
    <w:p w14:paraId="35D18164">
      <w:pPr>
        <w:pStyle w:val="4"/>
        <w:spacing w:before="79" w:line="219" w:lineRule="auto"/>
        <w:ind w:left="5523"/>
        <w:rPr>
          <w:color w:val="auto"/>
          <w:sz w:val="24"/>
          <w:szCs w:val="24"/>
          <w:highlight w:val="none"/>
        </w:rPr>
      </w:pPr>
      <w:r>
        <w:rPr>
          <w:color w:val="auto"/>
          <w:spacing w:val="-2"/>
          <w:sz w:val="24"/>
          <w:szCs w:val="24"/>
          <w:highlight w:val="none"/>
        </w:rPr>
        <w:t>投标人电子签章：</w:t>
      </w:r>
    </w:p>
    <w:p w14:paraId="532F7756">
      <w:pPr>
        <w:pStyle w:val="4"/>
        <w:spacing w:before="275" w:line="219" w:lineRule="auto"/>
        <w:ind w:left="6381"/>
        <w:rPr>
          <w:color w:val="auto"/>
          <w:sz w:val="24"/>
          <w:szCs w:val="24"/>
          <w:highlight w:val="none"/>
        </w:rPr>
      </w:pPr>
      <w:r>
        <w:rPr>
          <w:color w:val="auto"/>
          <w:spacing w:val="-9"/>
          <w:sz w:val="24"/>
          <w:szCs w:val="24"/>
          <w:highlight w:val="none"/>
        </w:rPr>
        <w:t>年</w:t>
      </w:r>
      <w:r>
        <w:rPr>
          <w:color w:val="auto"/>
          <w:spacing w:val="3"/>
          <w:sz w:val="24"/>
          <w:szCs w:val="24"/>
          <w:highlight w:val="none"/>
        </w:rPr>
        <w:t xml:space="preserve">    </w:t>
      </w:r>
      <w:r>
        <w:rPr>
          <w:color w:val="auto"/>
          <w:spacing w:val="-9"/>
          <w:sz w:val="24"/>
          <w:szCs w:val="24"/>
          <w:highlight w:val="none"/>
        </w:rPr>
        <w:t>月</w:t>
      </w:r>
      <w:r>
        <w:rPr>
          <w:color w:val="auto"/>
          <w:spacing w:val="13"/>
          <w:sz w:val="24"/>
          <w:szCs w:val="24"/>
          <w:highlight w:val="none"/>
        </w:rPr>
        <w:t xml:space="preserve">    </w:t>
      </w:r>
      <w:r>
        <w:rPr>
          <w:color w:val="auto"/>
          <w:spacing w:val="-9"/>
          <w:sz w:val="24"/>
          <w:szCs w:val="24"/>
          <w:highlight w:val="none"/>
        </w:rPr>
        <w:t>日</w:t>
      </w:r>
    </w:p>
    <w:p w14:paraId="2FCABCDF">
      <w:pPr>
        <w:spacing w:line="261" w:lineRule="auto"/>
        <w:rPr>
          <w:rFonts w:ascii="Arial"/>
          <w:color w:val="auto"/>
          <w:sz w:val="21"/>
          <w:highlight w:val="none"/>
        </w:rPr>
      </w:pPr>
    </w:p>
    <w:p w14:paraId="6FAB8C25">
      <w:pPr>
        <w:spacing w:line="261" w:lineRule="auto"/>
        <w:rPr>
          <w:rFonts w:ascii="Arial"/>
          <w:color w:val="auto"/>
          <w:sz w:val="21"/>
          <w:highlight w:val="none"/>
        </w:rPr>
      </w:pPr>
    </w:p>
    <w:p w14:paraId="4E8E078F">
      <w:pPr>
        <w:spacing w:line="262" w:lineRule="auto"/>
        <w:rPr>
          <w:rFonts w:ascii="Arial"/>
          <w:color w:val="auto"/>
          <w:sz w:val="21"/>
          <w:highlight w:val="none"/>
        </w:rPr>
      </w:pPr>
    </w:p>
    <w:p w14:paraId="4942E4E0">
      <w:pPr>
        <w:spacing w:line="262" w:lineRule="auto"/>
        <w:rPr>
          <w:rFonts w:ascii="Arial"/>
          <w:color w:val="auto"/>
          <w:sz w:val="21"/>
          <w:highlight w:val="none"/>
        </w:rPr>
      </w:pPr>
    </w:p>
    <w:p w14:paraId="61FA1EDF">
      <w:pPr>
        <w:spacing w:line="262" w:lineRule="auto"/>
        <w:rPr>
          <w:rFonts w:ascii="Arial"/>
          <w:color w:val="auto"/>
          <w:sz w:val="21"/>
          <w:highlight w:val="none"/>
        </w:rPr>
      </w:pPr>
    </w:p>
    <w:p w14:paraId="34C34948">
      <w:pPr>
        <w:pStyle w:val="4"/>
        <w:spacing w:before="78" w:line="219" w:lineRule="auto"/>
        <w:ind w:left="19"/>
        <w:rPr>
          <w:color w:val="auto"/>
          <w:sz w:val="24"/>
          <w:szCs w:val="24"/>
          <w:highlight w:val="none"/>
        </w:rPr>
      </w:pPr>
      <w:r>
        <w:rPr>
          <w:b/>
          <w:bCs/>
          <w:color w:val="auto"/>
          <w:spacing w:val="-4"/>
          <w:sz w:val="24"/>
          <w:szCs w:val="24"/>
          <w:highlight w:val="none"/>
        </w:rPr>
        <w:t>附：委托代理人正反面身份证复印件。</w:t>
      </w:r>
    </w:p>
    <w:p w14:paraId="05B937F3">
      <w:pPr>
        <w:spacing w:line="266" w:lineRule="auto"/>
        <w:rPr>
          <w:rFonts w:ascii="Arial"/>
          <w:color w:val="auto"/>
          <w:sz w:val="21"/>
          <w:highlight w:val="none"/>
        </w:rPr>
      </w:pPr>
    </w:p>
    <w:p w14:paraId="60B407F4">
      <w:pPr>
        <w:spacing w:line="266" w:lineRule="auto"/>
        <w:rPr>
          <w:rFonts w:ascii="Arial"/>
          <w:color w:val="auto"/>
          <w:sz w:val="21"/>
          <w:highlight w:val="none"/>
        </w:rPr>
      </w:pPr>
    </w:p>
    <w:p w14:paraId="2E35A518">
      <w:pPr>
        <w:spacing w:line="267" w:lineRule="auto"/>
        <w:rPr>
          <w:rFonts w:ascii="Arial"/>
          <w:color w:val="auto"/>
          <w:sz w:val="21"/>
          <w:highlight w:val="none"/>
        </w:rPr>
      </w:pPr>
    </w:p>
    <w:p w14:paraId="13815518">
      <w:pPr>
        <w:spacing w:line="267" w:lineRule="auto"/>
        <w:rPr>
          <w:rFonts w:ascii="Arial"/>
          <w:color w:val="auto"/>
          <w:sz w:val="21"/>
          <w:highlight w:val="none"/>
        </w:rPr>
      </w:pPr>
    </w:p>
    <w:p w14:paraId="5F3DA3FB">
      <w:pPr>
        <w:spacing w:line="267" w:lineRule="auto"/>
        <w:rPr>
          <w:rFonts w:ascii="Arial"/>
          <w:color w:val="auto"/>
          <w:sz w:val="21"/>
          <w:highlight w:val="none"/>
        </w:rPr>
      </w:pPr>
    </w:p>
    <w:p w14:paraId="633645E7">
      <w:pPr>
        <w:spacing w:line="267" w:lineRule="auto"/>
        <w:rPr>
          <w:rFonts w:ascii="Arial"/>
          <w:color w:val="auto"/>
          <w:sz w:val="21"/>
          <w:highlight w:val="none"/>
        </w:rPr>
      </w:pPr>
    </w:p>
    <w:p w14:paraId="0BD12A86">
      <w:pPr>
        <w:spacing w:line="267" w:lineRule="auto"/>
        <w:rPr>
          <w:rFonts w:ascii="Arial"/>
          <w:color w:val="auto"/>
          <w:sz w:val="21"/>
          <w:highlight w:val="none"/>
        </w:rPr>
      </w:pPr>
    </w:p>
    <w:p w14:paraId="08BF1DA1">
      <w:pPr>
        <w:spacing w:line="267" w:lineRule="auto"/>
        <w:rPr>
          <w:rFonts w:ascii="Arial"/>
          <w:color w:val="auto"/>
          <w:sz w:val="21"/>
          <w:highlight w:val="none"/>
        </w:rPr>
      </w:pPr>
    </w:p>
    <w:p w14:paraId="53C7ED02">
      <w:pPr>
        <w:spacing w:line="267" w:lineRule="auto"/>
        <w:rPr>
          <w:rFonts w:ascii="Arial"/>
          <w:color w:val="auto"/>
          <w:sz w:val="21"/>
          <w:highlight w:val="none"/>
        </w:rPr>
      </w:pPr>
    </w:p>
    <w:p w14:paraId="007F69A4">
      <w:pPr>
        <w:spacing w:line="267" w:lineRule="auto"/>
        <w:rPr>
          <w:rFonts w:ascii="Arial"/>
          <w:color w:val="auto"/>
          <w:sz w:val="21"/>
          <w:highlight w:val="none"/>
        </w:rPr>
      </w:pPr>
    </w:p>
    <w:p w14:paraId="3692AEE0">
      <w:pPr>
        <w:spacing w:line="267" w:lineRule="auto"/>
        <w:rPr>
          <w:rFonts w:ascii="Arial"/>
          <w:color w:val="auto"/>
          <w:sz w:val="21"/>
          <w:highlight w:val="none"/>
        </w:rPr>
      </w:pPr>
    </w:p>
    <w:p w14:paraId="6D5077DF">
      <w:pPr>
        <w:spacing w:line="267" w:lineRule="auto"/>
        <w:rPr>
          <w:rFonts w:ascii="Arial"/>
          <w:color w:val="auto"/>
          <w:sz w:val="21"/>
          <w:highlight w:val="none"/>
        </w:rPr>
      </w:pPr>
    </w:p>
    <w:p w14:paraId="19E19EEC">
      <w:pPr>
        <w:spacing w:line="267" w:lineRule="auto"/>
        <w:rPr>
          <w:rFonts w:ascii="Arial"/>
          <w:color w:val="auto"/>
          <w:sz w:val="21"/>
          <w:highlight w:val="none"/>
        </w:rPr>
      </w:pPr>
    </w:p>
    <w:p w14:paraId="599E91ED">
      <w:pPr>
        <w:pStyle w:val="4"/>
        <w:spacing w:before="79" w:line="360" w:lineRule="auto"/>
        <w:rPr>
          <w:color w:val="auto"/>
          <w:sz w:val="24"/>
          <w:szCs w:val="24"/>
          <w:highlight w:val="none"/>
        </w:rPr>
      </w:pPr>
      <w:r>
        <w:rPr>
          <w:b/>
          <w:bCs/>
          <w:color w:val="auto"/>
          <w:spacing w:val="-2"/>
          <w:sz w:val="24"/>
          <w:szCs w:val="24"/>
          <w:highlight w:val="none"/>
        </w:rPr>
        <w:t>4.</w:t>
      </w:r>
      <w:r>
        <w:rPr>
          <w:rFonts w:hint="eastAsia"/>
          <w:b w:val="0"/>
          <w:bCs w:val="0"/>
          <w:color w:val="auto"/>
          <w:spacing w:val="-2"/>
          <w:sz w:val="24"/>
          <w:szCs w:val="24"/>
          <w:highlight w:val="none"/>
          <w:lang w:val="en-US" w:eastAsia="zh-CN"/>
        </w:rPr>
        <w:t>有效的营业执照副本复印件及法定代表人正反面身份证复印件；有效的《食品经营许可证》或《食品生产许可证》（提供有效期内的证书复印件）；</w:t>
      </w:r>
      <w:r>
        <w:rPr>
          <w:rFonts w:hint="eastAsia"/>
          <w:b/>
          <w:bCs/>
          <w:color w:val="auto"/>
          <w:spacing w:val="-2"/>
          <w:sz w:val="24"/>
          <w:szCs w:val="24"/>
          <w:highlight w:val="none"/>
          <w:lang w:val="en-US" w:eastAsia="zh-CN"/>
        </w:rPr>
        <w:t>（必须提供，否则投标无效）</w:t>
      </w:r>
    </w:p>
    <w:p w14:paraId="45453462">
      <w:pPr>
        <w:spacing w:line="280" w:lineRule="auto"/>
        <w:rPr>
          <w:b/>
          <w:bCs/>
          <w:color w:val="auto"/>
          <w:spacing w:val="-1"/>
          <w:sz w:val="24"/>
          <w:szCs w:val="24"/>
          <w:highlight w:val="none"/>
        </w:rPr>
      </w:pPr>
    </w:p>
    <w:p w14:paraId="572A3FDD">
      <w:pPr>
        <w:spacing w:line="280" w:lineRule="auto"/>
        <w:rPr>
          <w:color w:val="auto"/>
          <w:sz w:val="24"/>
          <w:szCs w:val="24"/>
          <w:highlight w:val="none"/>
        </w:rPr>
      </w:pPr>
      <w:r>
        <w:rPr>
          <w:b/>
          <w:bCs/>
          <w:color w:val="auto"/>
          <w:spacing w:val="-1"/>
          <w:sz w:val="24"/>
          <w:szCs w:val="24"/>
          <w:highlight w:val="none"/>
        </w:rPr>
        <w:t>5、贵港市政府采购项目投标资格承诺函</w:t>
      </w:r>
      <w:r>
        <w:rPr>
          <w:b/>
          <w:bCs/>
          <w:color w:val="auto"/>
          <w:spacing w:val="-19"/>
          <w:sz w:val="24"/>
          <w:szCs w:val="24"/>
          <w:highlight w:val="none"/>
        </w:rPr>
        <w:t>；（</w:t>
      </w:r>
      <w:r>
        <w:rPr>
          <w:b/>
          <w:bCs/>
          <w:color w:val="auto"/>
          <w:spacing w:val="-1"/>
          <w:sz w:val="24"/>
          <w:szCs w:val="24"/>
          <w:highlight w:val="none"/>
        </w:rPr>
        <w:t>必须提供，否则投标</w:t>
      </w:r>
      <w:r>
        <w:rPr>
          <w:b/>
          <w:bCs/>
          <w:color w:val="auto"/>
          <w:spacing w:val="-2"/>
          <w:sz w:val="24"/>
          <w:szCs w:val="24"/>
          <w:highlight w:val="none"/>
        </w:rPr>
        <w:t>无效）</w:t>
      </w:r>
    </w:p>
    <w:p w14:paraId="26C624EB">
      <w:pPr>
        <w:pStyle w:val="4"/>
        <w:spacing w:before="190" w:line="228" w:lineRule="auto"/>
        <w:rPr>
          <w:color w:val="auto"/>
          <w:sz w:val="20"/>
          <w:szCs w:val="20"/>
          <w:highlight w:val="none"/>
        </w:rPr>
      </w:pPr>
      <w:r>
        <w:rPr>
          <w:color w:val="auto"/>
          <w:spacing w:val="4"/>
          <w:sz w:val="20"/>
          <w:szCs w:val="20"/>
          <w:highlight w:val="none"/>
        </w:rPr>
        <w:t>格式</w:t>
      </w:r>
    </w:p>
    <w:p w14:paraId="794A25C7">
      <w:pPr>
        <w:pStyle w:val="4"/>
        <w:spacing w:before="122" w:line="224" w:lineRule="auto"/>
        <w:ind w:left="2266"/>
        <w:rPr>
          <w:color w:val="auto"/>
          <w:sz w:val="31"/>
          <w:szCs w:val="31"/>
          <w:highlight w:val="none"/>
        </w:rPr>
      </w:pPr>
      <w:r>
        <w:rPr>
          <w:color w:val="auto"/>
          <w:spacing w:val="8"/>
          <w:sz w:val="31"/>
          <w:szCs w:val="31"/>
          <w:highlight w:val="none"/>
        </w:rPr>
        <w:t>贵港市政府采购项目投标资格承诺函</w:t>
      </w:r>
    </w:p>
    <w:p w14:paraId="74DB9BE5">
      <w:pPr>
        <w:spacing w:line="250" w:lineRule="auto"/>
        <w:rPr>
          <w:rFonts w:ascii="Arial"/>
          <w:color w:val="auto"/>
          <w:sz w:val="21"/>
          <w:highlight w:val="none"/>
        </w:rPr>
      </w:pPr>
    </w:p>
    <w:p w14:paraId="2E967980">
      <w:pPr>
        <w:spacing w:line="250" w:lineRule="auto"/>
        <w:rPr>
          <w:rFonts w:ascii="Arial"/>
          <w:color w:val="auto"/>
          <w:sz w:val="21"/>
          <w:highlight w:val="none"/>
        </w:rPr>
      </w:pPr>
    </w:p>
    <w:p w14:paraId="75749AFD">
      <w:pPr>
        <w:spacing w:line="251" w:lineRule="auto"/>
        <w:rPr>
          <w:rFonts w:ascii="Arial"/>
          <w:color w:val="auto"/>
          <w:sz w:val="21"/>
          <w:highlight w:val="none"/>
        </w:rPr>
      </w:pPr>
    </w:p>
    <w:p w14:paraId="2FFA17B0">
      <w:pPr>
        <w:pStyle w:val="4"/>
        <w:spacing w:before="65" w:line="503" w:lineRule="auto"/>
        <w:ind w:left="3" w:firstLine="628"/>
        <w:rPr>
          <w:color w:val="auto"/>
          <w:sz w:val="20"/>
          <w:szCs w:val="20"/>
          <w:highlight w:val="none"/>
        </w:rPr>
      </w:pPr>
      <w:r>
        <w:rPr>
          <w:color w:val="auto"/>
          <w:spacing w:val="9"/>
          <w:sz w:val="20"/>
          <w:szCs w:val="20"/>
          <w:highlight w:val="none"/>
        </w:rPr>
        <w:t>本公司郑重承诺，根据《中华人民共和国政府采购法》第二十二条的规定，本公司为参加政府采购</w:t>
      </w:r>
      <w:r>
        <w:rPr>
          <w:color w:val="auto"/>
          <w:spacing w:val="7"/>
          <w:sz w:val="20"/>
          <w:szCs w:val="20"/>
          <w:highlight w:val="none"/>
        </w:rPr>
        <w:t xml:space="preserve"> </w:t>
      </w:r>
      <w:r>
        <w:rPr>
          <w:color w:val="auto"/>
          <w:spacing w:val="9"/>
          <w:sz w:val="20"/>
          <w:szCs w:val="20"/>
          <w:highlight w:val="none"/>
        </w:rPr>
        <w:t>活动的合格供应商。即本公司同时满足以下条</w:t>
      </w:r>
      <w:r>
        <w:rPr>
          <w:color w:val="auto"/>
          <w:spacing w:val="8"/>
          <w:sz w:val="20"/>
          <w:szCs w:val="20"/>
          <w:highlight w:val="none"/>
        </w:rPr>
        <w:t>件：</w:t>
      </w:r>
    </w:p>
    <w:p w14:paraId="47104385">
      <w:pPr>
        <w:pStyle w:val="4"/>
        <w:spacing w:before="29" w:line="228" w:lineRule="auto"/>
        <w:ind w:left="647"/>
        <w:rPr>
          <w:color w:val="auto"/>
          <w:sz w:val="20"/>
          <w:szCs w:val="20"/>
          <w:highlight w:val="none"/>
        </w:rPr>
      </w:pPr>
      <w:r>
        <w:rPr>
          <w:rFonts w:ascii="Times New Roman" w:hAnsi="Times New Roman" w:eastAsia="Times New Roman" w:cs="Times New Roman"/>
          <w:color w:val="auto"/>
          <w:spacing w:val="6"/>
          <w:sz w:val="20"/>
          <w:szCs w:val="20"/>
          <w:highlight w:val="none"/>
        </w:rPr>
        <w:t>1.</w:t>
      </w:r>
      <w:r>
        <w:rPr>
          <w:color w:val="auto"/>
          <w:spacing w:val="6"/>
          <w:sz w:val="20"/>
          <w:szCs w:val="20"/>
          <w:highlight w:val="none"/>
        </w:rPr>
        <w:t>具有独立承担民事责任的能力。</w:t>
      </w:r>
    </w:p>
    <w:p w14:paraId="4D693563">
      <w:pPr>
        <w:spacing w:line="246" w:lineRule="auto"/>
        <w:rPr>
          <w:rFonts w:ascii="Arial"/>
          <w:color w:val="auto"/>
          <w:sz w:val="21"/>
          <w:highlight w:val="none"/>
        </w:rPr>
      </w:pPr>
    </w:p>
    <w:p w14:paraId="7637E132">
      <w:pPr>
        <w:pStyle w:val="4"/>
        <w:spacing w:before="65" w:line="507" w:lineRule="auto"/>
        <w:ind w:left="626" w:right="4686" w:firstLine="1"/>
        <w:jc w:val="both"/>
        <w:rPr>
          <w:color w:val="auto"/>
          <w:sz w:val="20"/>
          <w:szCs w:val="20"/>
          <w:highlight w:val="none"/>
        </w:rPr>
      </w:pPr>
      <w:r>
        <w:rPr>
          <w:rFonts w:ascii="Times New Roman" w:hAnsi="Times New Roman" w:eastAsia="Times New Roman" w:cs="Times New Roman"/>
          <w:color w:val="auto"/>
          <w:spacing w:val="7"/>
          <w:sz w:val="20"/>
          <w:szCs w:val="20"/>
          <w:highlight w:val="none"/>
        </w:rPr>
        <w:t>2.</w:t>
      </w:r>
      <w:r>
        <w:rPr>
          <w:color w:val="auto"/>
          <w:spacing w:val="7"/>
          <w:sz w:val="20"/>
          <w:szCs w:val="20"/>
          <w:highlight w:val="none"/>
        </w:rPr>
        <w:t>具有良好的商业信誉和健全的财务会计制度。</w:t>
      </w:r>
      <w:r>
        <w:rPr>
          <w:color w:val="auto"/>
          <w:spacing w:val="9"/>
          <w:sz w:val="20"/>
          <w:szCs w:val="20"/>
          <w:highlight w:val="none"/>
        </w:rPr>
        <w:t xml:space="preserve"> </w:t>
      </w:r>
      <w:r>
        <w:rPr>
          <w:rFonts w:ascii="Times New Roman" w:hAnsi="Times New Roman" w:eastAsia="Times New Roman" w:cs="Times New Roman"/>
          <w:color w:val="auto"/>
          <w:spacing w:val="7"/>
          <w:sz w:val="20"/>
          <w:szCs w:val="20"/>
          <w:highlight w:val="none"/>
        </w:rPr>
        <w:t>3.</w:t>
      </w:r>
      <w:r>
        <w:rPr>
          <w:color w:val="auto"/>
          <w:spacing w:val="7"/>
          <w:sz w:val="20"/>
          <w:szCs w:val="20"/>
          <w:highlight w:val="none"/>
        </w:rPr>
        <w:t>具有履行合同所必需的设备和专业技术能力。</w:t>
      </w:r>
      <w:r>
        <w:rPr>
          <w:color w:val="auto"/>
          <w:spacing w:val="10"/>
          <w:sz w:val="20"/>
          <w:szCs w:val="20"/>
          <w:highlight w:val="none"/>
        </w:rPr>
        <w:t xml:space="preserve"> </w:t>
      </w:r>
      <w:r>
        <w:rPr>
          <w:rFonts w:ascii="Times New Roman" w:hAnsi="Times New Roman" w:eastAsia="Times New Roman" w:cs="Times New Roman"/>
          <w:color w:val="auto"/>
          <w:spacing w:val="7"/>
          <w:sz w:val="20"/>
          <w:szCs w:val="20"/>
          <w:highlight w:val="none"/>
        </w:rPr>
        <w:t>4.</w:t>
      </w:r>
      <w:r>
        <w:rPr>
          <w:color w:val="auto"/>
          <w:spacing w:val="7"/>
          <w:sz w:val="20"/>
          <w:szCs w:val="20"/>
          <w:highlight w:val="none"/>
        </w:rPr>
        <w:t>有依法缴纳税收和社会保障资金的良好记录。</w:t>
      </w:r>
    </w:p>
    <w:p w14:paraId="3381DE54">
      <w:pPr>
        <w:pStyle w:val="4"/>
        <w:spacing w:before="31" w:line="228" w:lineRule="auto"/>
        <w:ind w:left="633"/>
        <w:rPr>
          <w:color w:val="auto"/>
          <w:sz w:val="20"/>
          <w:szCs w:val="20"/>
          <w:highlight w:val="none"/>
        </w:rPr>
      </w:pPr>
      <w:r>
        <w:rPr>
          <w:rFonts w:ascii="Times New Roman" w:hAnsi="Times New Roman" w:eastAsia="Times New Roman" w:cs="Times New Roman"/>
          <w:color w:val="auto"/>
          <w:spacing w:val="8"/>
          <w:sz w:val="20"/>
          <w:szCs w:val="20"/>
          <w:highlight w:val="none"/>
        </w:rPr>
        <w:t xml:space="preserve">5.  </w:t>
      </w:r>
      <w:r>
        <w:rPr>
          <w:color w:val="auto"/>
          <w:spacing w:val="8"/>
          <w:sz w:val="20"/>
          <w:szCs w:val="20"/>
          <w:highlight w:val="none"/>
        </w:rPr>
        <w:t>提交投标文件截止日期前三年内，在经营活动中没有重大 违法记录。</w:t>
      </w:r>
    </w:p>
    <w:p w14:paraId="3FBD0A4C">
      <w:pPr>
        <w:spacing w:line="248" w:lineRule="auto"/>
        <w:rPr>
          <w:rFonts w:ascii="Arial"/>
          <w:color w:val="auto"/>
          <w:sz w:val="21"/>
          <w:highlight w:val="none"/>
        </w:rPr>
      </w:pPr>
    </w:p>
    <w:p w14:paraId="6A7F2037">
      <w:pPr>
        <w:pStyle w:val="4"/>
        <w:spacing w:before="66" w:line="501" w:lineRule="auto"/>
        <w:ind w:left="5" w:firstLine="627"/>
        <w:rPr>
          <w:color w:val="auto"/>
          <w:sz w:val="20"/>
          <w:szCs w:val="20"/>
          <w:highlight w:val="none"/>
        </w:rPr>
      </w:pPr>
      <w:r>
        <w:rPr>
          <w:color w:val="auto"/>
          <w:spacing w:val="9"/>
          <w:sz w:val="20"/>
          <w:szCs w:val="20"/>
          <w:highlight w:val="none"/>
        </w:rPr>
        <w:t>本公司对上述承诺的真实性负责，并接受政府采购、税务、社会保障等监督管理部门、采购文件规</w:t>
      </w:r>
      <w:r>
        <w:rPr>
          <w:color w:val="auto"/>
          <w:spacing w:val="7"/>
          <w:sz w:val="20"/>
          <w:szCs w:val="20"/>
          <w:highlight w:val="none"/>
        </w:rPr>
        <w:t xml:space="preserve"> </w:t>
      </w:r>
      <w:r>
        <w:rPr>
          <w:color w:val="auto"/>
          <w:spacing w:val="9"/>
          <w:sz w:val="20"/>
          <w:szCs w:val="20"/>
          <w:highlight w:val="none"/>
        </w:rPr>
        <w:t>定的资格审查机构、社会公众的监督和检查。如有虚假，将依法承担相应责任。</w:t>
      </w:r>
    </w:p>
    <w:p w14:paraId="5716BEDB">
      <w:pPr>
        <w:spacing w:line="270" w:lineRule="auto"/>
        <w:rPr>
          <w:rFonts w:ascii="Arial"/>
          <w:color w:val="auto"/>
          <w:sz w:val="21"/>
          <w:highlight w:val="none"/>
        </w:rPr>
      </w:pPr>
    </w:p>
    <w:p w14:paraId="0DB265A5">
      <w:pPr>
        <w:spacing w:line="270" w:lineRule="auto"/>
        <w:rPr>
          <w:rFonts w:ascii="Arial"/>
          <w:color w:val="auto"/>
          <w:sz w:val="21"/>
          <w:highlight w:val="none"/>
        </w:rPr>
      </w:pPr>
    </w:p>
    <w:p w14:paraId="017CCB9F">
      <w:pPr>
        <w:spacing w:line="270" w:lineRule="auto"/>
        <w:rPr>
          <w:rFonts w:ascii="Arial"/>
          <w:color w:val="auto"/>
          <w:sz w:val="21"/>
          <w:highlight w:val="none"/>
        </w:rPr>
      </w:pPr>
    </w:p>
    <w:p w14:paraId="5F08FA2B">
      <w:pPr>
        <w:spacing w:line="270" w:lineRule="auto"/>
        <w:rPr>
          <w:rFonts w:ascii="Arial"/>
          <w:color w:val="auto"/>
          <w:sz w:val="21"/>
          <w:highlight w:val="none"/>
        </w:rPr>
      </w:pPr>
    </w:p>
    <w:p w14:paraId="5CCEAF3A">
      <w:pPr>
        <w:pStyle w:val="4"/>
        <w:spacing w:before="66" w:line="502" w:lineRule="auto"/>
        <w:ind w:left="3046" w:right="4439" w:firstLine="316"/>
        <w:rPr>
          <w:color w:val="auto"/>
          <w:sz w:val="20"/>
          <w:szCs w:val="20"/>
          <w:highlight w:val="none"/>
        </w:rPr>
      </w:pPr>
      <w:r>
        <w:rPr>
          <w:color w:val="auto"/>
          <w:spacing w:val="8"/>
          <w:sz w:val="20"/>
          <w:szCs w:val="20"/>
          <w:highlight w:val="none"/>
        </w:rPr>
        <w:t>企业名称（盖章</w:t>
      </w:r>
      <w:r>
        <w:rPr>
          <w:color w:val="auto"/>
          <w:spacing w:val="-17"/>
          <w:sz w:val="20"/>
          <w:szCs w:val="20"/>
          <w:highlight w:val="none"/>
        </w:rPr>
        <w:t>）：</w:t>
      </w:r>
      <w:r>
        <w:rPr>
          <w:color w:val="auto"/>
          <w:spacing w:val="1"/>
          <w:sz w:val="20"/>
          <w:szCs w:val="20"/>
          <w:highlight w:val="none"/>
        </w:rPr>
        <w:t xml:space="preserve"> </w:t>
      </w:r>
      <w:r>
        <w:rPr>
          <w:color w:val="auto"/>
          <w:spacing w:val="8"/>
          <w:sz w:val="20"/>
          <w:szCs w:val="20"/>
          <w:highlight w:val="none"/>
        </w:rPr>
        <w:t>法定代表人（签名</w:t>
      </w:r>
      <w:r>
        <w:rPr>
          <w:color w:val="auto"/>
          <w:spacing w:val="1"/>
          <w:sz w:val="20"/>
          <w:szCs w:val="20"/>
          <w:highlight w:val="none"/>
        </w:rPr>
        <w:t>）：</w:t>
      </w:r>
    </w:p>
    <w:p w14:paraId="7FC3FA05">
      <w:pPr>
        <w:pStyle w:val="4"/>
        <w:spacing w:before="34" w:line="228" w:lineRule="auto"/>
        <w:ind w:left="3292"/>
        <w:rPr>
          <w:color w:val="auto"/>
          <w:sz w:val="20"/>
          <w:szCs w:val="20"/>
          <w:highlight w:val="none"/>
        </w:rPr>
      </w:pPr>
      <w:r>
        <w:rPr>
          <w:color w:val="auto"/>
          <w:spacing w:val="-6"/>
          <w:sz w:val="20"/>
          <w:szCs w:val="20"/>
          <w:highlight w:val="none"/>
        </w:rPr>
        <w:t>日期：</w:t>
      </w:r>
      <w:r>
        <w:rPr>
          <w:color w:val="auto"/>
          <w:spacing w:val="17"/>
          <w:sz w:val="20"/>
          <w:szCs w:val="20"/>
          <w:highlight w:val="none"/>
        </w:rPr>
        <w:t xml:space="preserve">  </w:t>
      </w:r>
      <w:r>
        <w:rPr>
          <w:color w:val="auto"/>
          <w:spacing w:val="-6"/>
          <w:sz w:val="20"/>
          <w:szCs w:val="20"/>
          <w:highlight w:val="none"/>
        </w:rPr>
        <w:t>年</w:t>
      </w:r>
      <w:r>
        <w:rPr>
          <w:color w:val="auto"/>
          <w:spacing w:val="12"/>
          <w:sz w:val="20"/>
          <w:szCs w:val="20"/>
          <w:highlight w:val="none"/>
        </w:rPr>
        <w:t xml:space="preserve">  </w:t>
      </w:r>
      <w:r>
        <w:rPr>
          <w:color w:val="auto"/>
          <w:spacing w:val="-6"/>
          <w:sz w:val="20"/>
          <w:szCs w:val="20"/>
          <w:highlight w:val="none"/>
        </w:rPr>
        <w:t>月</w:t>
      </w:r>
      <w:r>
        <w:rPr>
          <w:color w:val="auto"/>
          <w:spacing w:val="28"/>
          <w:sz w:val="20"/>
          <w:szCs w:val="20"/>
          <w:highlight w:val="none"/>
        </w:rPr>
        <w:t xml:space="preserve">  </w:t>
      </w:r>
      <w:r>
        <w:rPr>
          <w:color w:val="auto"/>
          <w:spacing w:val="-6"/>
          <w:sz w:val="20"/>
          <w:szCs w:val="20"/>
          <w:highlight w:val="none"/>
        </w:rPr>
        <w:t>日</w:t>
      </w:r>
    </w:p>
    <w:p w14:paraId="3DA7FCAC">
      <w:pPr>
        <w:pStyle w:val="4"/>
        <w:spacing w:before="48" w:line="219" w:lineRule="auto"/>
        <w:ind w:left="403"/>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6.</w:t>
      </w:r>
      <w:r>
        <w:rPr>
          <w:color w:val="auto"/>
          <w:spacing w:val="-3"/>
          <w:sz w:val="24"/>
          <w:szCs w:val="24"/>
          <w:highlight w:val="none"/>
        </w:rPr>
        <w:t xml:space="preserve"> </w:t>
      </w:r>
      <w:r>
        <w:rPr>
          <w:b/>
          <w:bCs/>
          <w:color w:val="auto"/>
          <w:spacing w:val="-3"/>
          <w:sz w:val="24"/>
          <w:szCs w:val="24"/>
          <w:highlight w:val="none"/>
        </w:rPr>
        <w:t>商务条款偏离表格式</w:t>
      </w:r>
    </w:p>
    <w:p w14:paraId="17B12897">
      <w:pPr>
        <w:pStyle w:val="4"/>
        <w:spacing w:before="105" w:line="219" w:lineRule="auto"/>
        <w:ind w:left="4175"/>
        <w:rPr>
          <w:color w:val="auto"/>
          <w:sz w:val="30"/>
          <w:szCs w:val="30"/>
          <w:highlight w:val="none"/>
        </w:rPr>
      </w:pPr>
      <w:r>
        <w:rPr>
          <w:b/>
          <w:bCs/>
          <w:color w:val="auto"/>
          <w:spacing w:val="-5"/>
          <w:sz w:val="30"/>
          <w:szCs w:val="30"/>
          <w:highlight w:val="none"/>
        </w:rPr>
        <w:t>商务条款偏离表</w:t>
      </w:r>
    </w:p>
    <w:p w14:paraId="5039A865">
      <w:pPr>
        <w:spacing w:line="405" w:lineRule="auto"/>
        <w:rPr>
          <w:rFonts w:ascii="Arial"/>
          <w:color w:val="auto"/>
          <w:sz w:val="21"/>
          <w:highlight w:val="none"/>
        </w:rPr>
      </w:pPr>
    </w:p>
    <w:p w14:paraId="53C86A8A">
      <w:pPr>
        <w:pStyle w:val="4"/>
        <w:spacing w:line="240" w:lineRule="auto"/>
        <w:ind w:left="0" w:right="0"/>
        <w:rPr>
          <w:color w:val="auto"/>
          <w:spacing w:val="-15"/>
          <w:sz w:val="24"/>
          <w:szCs w:val="24"/>
          <w:highlight w:val="none"/>
        </w:rPr>
      </w:pPr>
      <w:r>
        <w:rPr>
          <w:rFonts w:hint="eastAsia"/>
          <w:color w:val="auto"/>
          <w:spacing w:val="-15"/>
          <w:sz w:val="24"/>
          <w:szCs w:val="24"/>
          <w:highlight w:val="none"/>
          <w:lang w:val="en-US" w:eastAsia="zh-CN"/>
        </w:rPr>
        <w:t>项目名称</w:t>
      </w:r>
      <w:r>
        <w:rPr>
          <w:color w:val="auto"/>
          <w:spacing w:val="-15"/>
          <w:sz w:val="24"/>
          <w:szCs w:val="24"/>
          <w:highlight w:val="none"/>
        </w:rPr>
        <w:t>：</w:t>
      </w:r>
    </w:p>
    <w:p w14:paraId="2044B27E">
      <w:pPr>
        <w:pStyle w:val="4"/>
        <w:spacing w:line="240" w:lineRule="auto"/>
        <w:ind w:left="0" w:right="0"/>
        <w:rPr>
          <w:color w:val="auto"/>
          <w:sz w:val="24"/>
          <w:szCs w:val="24"/>
          <w:highlight w:val="none"/>
        </w:rPr>
      </w:pPr>
      <w:r>
        <w:rPr>
          <w:color w:val="auto"/>
          <w:spacing w:val="-15"/>
          <w:sz w:val="24"/>
          <w:szCs w:val="24"/>
          <w:highlight w:val="none"/>
        </w:rPr>
        <w:t>项目编号：</w:t>
      </w:r>
    </w:p>
    <w:p w14:paraId="3DEC03A9">
      <w:pPr>
        <w:spacing w:before="118"/>
        <w:rPr>
          <w:color w:val="auto"/>
          <w:highlight w:val="none"/>
        </w:rPr>
      </w:pPr>
    </w:p>
    <w:tbl>
      <w:tblPr>
        <w:tblStyle w:val="18"/>
        <w:tblW w:w="9074" w:type="dxa"/>
        <w:tblInd w:w="6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4"/>
        <w:gridCol w:w="2698"/>
        <w:gridCol w:w="1439"/>
        <w:gridCol w:w="2843"/>
      </w:tblGrid>
      <w:tr w14:paraId="388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2094" w:type="dxa"/>
            <w:vAlign w:val="top"/>
          </w:tcPr>
          <w:p w14:paraId="663563B4">
            <w:pPr>
              <w:pStyle w:val="19"/>
              <w:spacing w:before="275" w:line="229" w:lineRule="auto"/>
              <w:ind w:left="854"/>
              <w:rPr>
                <w:color w:val="auto"/>
                <w:sz w:val="19"/>
                <w:szCs w:val="19"/>
                <w:highlight w:val="none"/>
              </w:rPr>
            </w:pPr>
            <w:r>
              <w:rPr>
                <w:color w:val="auto"/>
                <w:spacing w:val="3"/>
                <w:sz w:val="19"/>
                <w:szCs w:val="19"/>
                <w:highlight w:val="none"/>
              </w:rPr>
              <w:t>项号</w:t>
            </w:r>
          </w:p>
        </w:tc>
        <w:tc>
          <w:tcPr>
            <w:tcW w:w="2698" w:type="dxa"/>
            <w:vAlign w:val="top"/>
          </w:tcPr>
          <w:p w14:paraId="77699405">
            <w:pPr>
              <w:pStyle w:val="19"/>
              <w:spacing w:before="276" w:line="228" w:lineRule="auto"/>
              <w:ind w:left="454"/>
              <w:rPr>
                <w:color w:val="auto"/>
                <w:sz w:val="19"/>
                <w:szCs w:val="19"/>
                <w:highlight w:val="none"/>
              </w:rPr>
            </w:pPr>
            <w:r>
              <w:rPr>
                <w:color w:val="auto"/>
                <w:spacing w:val="8"/>
                <w:sz w:val="19"/>
                <w:szCs w:val="19"/>
                <w:highlight w:val="none"/>
              </w:rPr>
              <w:t>招标文件的商务条款</w:t>
            </w:r>
          </w:p>
        </w:tc>
        <w:tc>
          <w:tcPr>
            <w:tcW w:w="1439" w:type="dxa"/>
            <w:vAlign w:val="top"/>
          </w:tcPr>
          <w:p w14:paraId="673C2065">
            <w:pPr>
              <w:pStyle w:val="19"/>
              <w:spacing w:before="104" w:line="279" w:lineRule="auto"/>
              <w:ind w:left="241" w:right="117" w:hanging="114"/>
              <w:rPr>
                <w:color w:val="auto"/>
                <w:sz w:val="19"/>
                <w:szCs w:val="19"/>
                <w:highlight w:val="none"/>
              </w:rPr>
            </w:pPr>
            <w:r>
              <w:rPr>
                <w:color w:val="auto"/>
                <w:spacing w:val="8"/>
                <w:sz w:val="19"/>
                <w:szCs w:val="19"/>
                <w:highlight w:val="none"/>
              </w:rPr>
              <w:t>投标文件响应</w:t>
            </w:r>
            <w:r>
              <w:rPr>
                <w:color w:val="auto"/>
                <w:spacing w:val="4"/>
                <w:sz w:val="19"/>
                <w:szCs w:val="19"/>
                <w:highlight w:val="none"/>
              </w:rPr>
              <w:t>的商务条款</w:t>
            </w:r>
          </w:p>
        </w:tc>
        <w:tc>
          <w:tcPr>
            <w:tcW w:w="2843" w:type="dxa"/>
            <w:vAlign w:val="top"/>
          </w:tcPr>
          <w:p w14:paraId="6D2B631F">
            <w:pPr>
              <w:pStyle w:val="19"/>
              <w:spacing w:before="276" w:line="228" w:lineRule="auto"/>
              <w:ind w:left="1025"/>
              <w:rPr>
                <w:color w:val="auto"/>
                <w:sz w:val="19"/>
                <w:szCs w:val="19"/>
                <w:highlight w:val="none"/>
              </w:rPr>
            </w:pPr>
            <w:r>
              <w:rPr>
                <w:color w:val="auto"/>
                <w:spacing w:val="7"/>
                <w:sz w:val="19"/>
                <w:szCs w:val="19"/>
                <w:highlight w:val="none"/>
              </w:rPr>
              <w:t>偏离说明</w:t>
            </w:r>
          </w:p>
        </w:tc>
      </w:tr>
      <w:tr w14:paraId="2F796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094" w:type="dxa"/>
            <w:vAlign w:val="top"/>
          </w:tcPr>
          <w:p w14:paraId="62B6A578">
            <w:pPr>
              <w:rPr>
                <w:rFonts w:ascii="Arial"/>
                <w:color w:val="auto"/>
                <w:sz w:val="21"/>
                <w:highlight w:val="none"/>
              </w:rPr>
            </w:pPr>
          </w:p>
        </w:tc>
        <w:tc>
          <w:tcPr>
            <w:tcW w:w="2698" w:type="dxa"/>
            <w:vAlign w:val="top"/>
          </w:tcPr>
          <w:p w14:paraId="1F297EEC">
            <w:pPr>
              <w:rPr>
                <w:rFonts w:ascii="Arial"/>
                <w:color w:val="auto"/>
                <w:sz w:val="21"/>
                <w:highlight w:val="none"/>
              </w:rPr>
            </w:pPr>
          </w:p>
        </w:tc>
        <w:tc>
          <w:tcPr>
            <w:tcW w:w="1439" w:type="dxa"/>
            <w:vAlign w:val="top"/>
          </w:tcPr>
          <w:p w14:paraId="58DAE2F9">
            <w:pPr>
              <w:rPr>
                <w:rFonts w:ascii="Arial"/>
                <w:color w:val="auto"/>
                <w:sz w:val="21"/>
                <w:highlight w:val="none"/>
              </w:rPr>
            </w:pPr>
          </w:p>
        </w:tc>
        <w:tc>
          <w:tcPr>
            <w:tcW w:w="2843" w:type="dxa"/>
            <w:vAlign w:val="top"/>
          </w:tcPr>
          <w:p w14:paraId="2288F962">
            <w:pPr>
              <w:rPr>
                <w:rFonts w:ascii="Arial"/>
                <w:color w:val="auto"/>
                <w:sz w:val="21"/>
                <w:highlight w:val="none"/>
              </w:rPr>
            </w:pPr>
          </w:p>
        </w:tc>
      </w:tr>
      <w:tr w14:paraId="11D1F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2094" w:type="dxa"/>
            <w:vAlign w:val="top"/>
          </w:tcPr>
          <w:p w14:paraId="282F028A">
            <w:pPr>
              <w:rPr>
                <w:rFonts w:ascii="Arial"/>
                <w:color w:val="auto"/>
                <w:sz w:val="21"/>
                <w:highlight w:val="none"/>
              </w:rPr>
            </w:pPr>
          </w:p>
        </w:tc>
        <w:tc>
          <w:tcPr>
            <w:tcW w:w="2698" w:type="dxa"/>
            <w:vAlign w:val="top"/>
          </w:tcPr>
          <w:p w14:paraId="4DA2E711">
            <w:pPr>
              <w:rPr>
                <w:rFonts w:ascii="Arial"/>
                <w:color w:val="auto"/>
                <w:sz w:val="21"/>
                <w:highlight w:val="none"/>
              </w:rPr>
            </w:pPr>
          </w:p>
        </w:tc>
        <w:tc>
          <w:tcPr>
            <w:tcW w:w="1439" w:type="dxa"/>
            <w:vAlign w:val="top"/>
          </w:tcPr>
          <w:p w14:paraId="509C0903">
            <w:pPr>
              <w:rPr>
                <w:rFonts w:ascii="Arial"/>
                <w:color w:val="auto"/>
                <w:sz w:val="21"/>
                <w:highlight w:val="none"/>
              </w:rPr>
            </w:pPr>
          </w:p>
        </w:tc>
        <w:tc>
          <w:tcPr>
            <w:tcW w:w="2843" w:type="dxa"/>
            <w:vAlign w:val="top"/>
          </w:tcPr>
          <w:p w14:paraId="2CAE8F69">
            <w:pPr>
              <w:rPr>
                <w:rFonts w:ascii="Arial"/>
                <w:color w:val="auto"/>
                <w:sz w:val="21"/>
                <w:highlight w:val="none"/>
              </w:rPr>
            </w:pPr>
          </w:p>
        </w:tc>
      </w:tr>
      <w:tr w14:paraId="0A9551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2094" w:type="dxa"/>
            <w:vAlign w:val="top"/>
          </w:tcPr>
          <w:p w14:paraId="18F675A6">
            <w:pPr>
              <w:pStyle w:val="19"/>
              <w:spacing w:before="158" w:line="377" w:lineRule="exact"/>
              <w:ind w:left="131"/>
              <w:rPr>
                <w:color w:val="auto"/>
                <w:sz w:val="24"/>
                <w:szCs w:val="24"/>
                <w:highlight w:val="none"/>
              </w:rPr>
            </w:pPr>
            <w:r>
              <w:rPr>
                <w:color w:val="auto"/>
                <w:spacing w:val="-13"/>
                <w:position w:val="3"/>
                <w:sz w:val="24"/>
                <w:szCs w:val="24"/>
                <w:highlight w:val="none"/>
              </w:rPr>
              <w:t>……</w:t>
            </w:r>
          </w:p>
        </w:tc>
        <w:tc>
          <w:tcPr>
            <w:tcW w:w="2698" w:type="dxa"/>
            <w:vAlign w:val="top"/>
          </w:tcPr>
          <w:p w14:paraId="2837E862">
            <w:pPr>
              <w:rPr>
                <w:rFonts w:ascii="Arial"/>
                <w:color w:val="auto"/>
                <w:sz w:val="21"/>
                <w:highlight w:val="none"/>
              </w:rPr>
            </w:pPr>
          </w:p>
        </w:tc>
        <w:tc>
          <w:tcPr>
            <w:tcW w:w="1439" w:type="dxa"/>
            <w:vAlign w:val="top"/>
          </w:tcPr>
          <w:p w14:paraId="78D1DFC3">
            <w:pPr>
              <w:rPr>
                <w:rFonts w:ascii="Arial"/>
                <w:color w:val="auto"/>
                <w:sz w:val="21"/>
                <w:highlight w:val="none"/>
              </w:rPr>
            </w:pPr>
          </w:p>
        </w:tc>
        <w:tc>
          <w:tcPr>
            <w:tcW w:w="2843" w:type="dxa"/>
            <w:vAlign w:val="top"/>
          </w:tcPr>
          <w:p w14:paraId="1F7C40B6">
            <w:pPr>
              <w:rPr>
                <w:rFonts w:ascii="Arial"/>
                <w:color w:val="auto"/>
                <w:sz w:val="21"/>
                <w:highlight w:val="none"/>
              </w:rPr>
            </w:pPr>
          </w:p>
        </w:tc>
      </w:tr>
    </w:tbl>
    <w:p w14:paraId="31C6BC94">
      <w:pPr>
        <w:pStyle w:val="4"/>
        <w:spacing w:before="30" w:line="232" w:lineRule="auto"/>
        <w:ind w:left="820"/>
        <w:rPr>
          <w:color w:val="auto"/>
          <w:sz w:val="20"/>
          <w:szCs w:val="20"/>
          <w:highlight w:val="none"/>
        </w:rPr>
      </w:pPr>
      <w:r>
        <w:rPr>
          <w:color w:val="auto"/>
          <w:sz w:val="20"/>
          <w:szCs w:val="20"/>
          <w:highlight w:val="none"/>
        </w:rPr>
        <w:t>注：</w:t>
      </w:r>
    </w:p>
    <w:p w14:paraId="798B3790">
      <w:pPr>
        <w:pStyle w:val="4"/>
        <w:spacing w:before="159" w:line="227" w:lineRule="auto"/>
        <w:ind w:left="836"/>
        <w:rPr>
          <w:color w:val="auto"/>
          <w:sz w:val="20"/>
          <w:szCs w:val="20"/>
          <w:highlight w:val="none"/>
        </w:rPr>
      </w:pPr>
      <w:r>
        <w:rPr>
          <w:color w:val="auto"/>
          <w:spacing w:val="8"/>
          <w:sz w:val="20"/>
          <w:szCs w:val="20"/>
          <w:highlight w:val="none"/>
        </w:rPr>
        <w:t>1.表格内容均需按要求填写并加盖投标人公章。</w:t>
      </w:r>
    </w:p>
    <w:p w14:paraId="50C2B2BB">
      <w:pPr>
        <w:pStyle w:val="4"/>
        <w:spacing w:before="162" w:line="362" w:lineRule="auto"/>
        <w:ind w:firstLine="847"/>
        <w:rPr>
          <w:color w:val="auto"/>
          <w:sz w:val="20"/>
          <w:szCs w:val="20"/>
          <w:highlight w:val="none"/>
        </w:rPr>
      </w:pPr>
      <w:r>
        <w:rPr>
          <w:color w:val="auto"/>
          <w:spacing w:val="7"/>
          <w:sz w:val="20"/>
          <w:szCs w:val="20"/>
          <w:highlight w:val="none"/>
        </w:rPr>
        <w:t xml:space="preserve">2.请逐条对应本项目招标文件“第二章 </w:t>
      </w:r>
      <w:r>
        <w:rPr>
          <w:b/>
          <w:bCs/>
          <w:color w:val="auto"/>
          <w:spacing w:val="7"/>
          <w:sz w:val="20"/>
          <w:szCs w:val="20"/>
          <w:highlight w:val="none"/>
        </w:rPr>
        <w:t>采购需求</w:t>
      </w:r>
      <w:r>
        <w:rPr>
          <w:color w:val="auto"/>
          <w:spacing w:val="7"/>
          <w:sz w:val="20"/>
          <w:szCs w:val="20"/>
          <w:highlight w:val="none"/>
        </w:rPr>
        <w:t>”中“商务条款</w:t>
      </w:r>
      <w:r>
        <w:rPr>
          <w:color w:val="auto"/>
          <w:spacing w:val="-70"/>
          <w:sz w:val="20"/>
          <w:szCs w:val="20"/>
          <w:highlight w:val="none"/>
        </w:rPr>
        <w:t xml:space="preserve"> </w:t>
      </w:r>
      <w:r>
        <w:rPr>
          <w:color w:val="auto"/>
          <w:spacing w:val="7"/>
          <w:sz w:val="20"/>
          <w:szCs w:val="20"/>
          <w:highlight w:val="none"/>
        </w:rPr>
        <w:t>”的要求，</w:t>
      </w:r>
      <w:r>
        <w:rPr>
          <w:color w:val="auto"/>
          <w:spacing w:val="6"/>
          <w:sz w:val="20"/>
          <w:szCs w:val="20"/>
          <w:highlight w:val="none"/>
        </w:rPr>
        <w:t>详细填写相应的具体内容。“偏离说明”一栏应当选择“正偏离”或“负偏离”或“无偏离”进行填写。</w:t>
      </w:r>
    </w:p>
    <w:p w14:paraId="1820903A">
      <w:pPr>
        <w:pStyle w:val="4"/>
        <w:spacing w:before="31" w:line="228" w:lineRule="auto"/>
        <w:ind w:left="776"/>
        <w:rPr>
          <w:color w:val="auto"/>
          <w:sz w:val="20"/>
          <w:szCs w:val="20"/>
          <w:highlight w:val="none"/>
        </w:rPr>
      </w:pPr>
      <w:r>
        <w:rPr>
          <w:color w:val="auto"/>
          <w:spacing w:val="9"/>
          <w:sz w:val="20"/>
          <w:szCs w:val="20"/>
          <w:highlight w:val="none"/>
        </w:rPr>
        <w:t>3.当投标文件的商务内容低于招标文件要求时，投标人应当如实写明“负偏离”。</w:t>
      </w:r>
    </w:p>
    <w:p w14:paraId="4EBCD71F">
      <w:pPr>
        <w:spacing w:line="241" w:lineRule="auto"/>
        <w:rPr>
          <w:rFonts w:ascii="Arial"/>
          <w:color w:val="auto"/>
          <w:sz w:val="21"/>
          <w:highlight w:val="none"/>
        </w:rPr>
      </w:pPr>
    </w:p>
    <w:p w14:paraId="250EC869">
      <w:pPr>
        <w:spacing w:line="242" w:lineRule="auto"/>
        <w:rPr>
          <w:rFonts w:ascii="Arial"/>
          <w:color w:val="auto"/>
          <w:sz w:val="21"/>
          <w:highlight w:val="none"/>
        </w:rPr>
      </w:pPr>
    </w:p>
    <w:p w14:paraId="11FB59E9">
      <w:pPr>
        <w:spacing w:line="242" w:lineRule="auto"/>
        <w:rPr>
          <w:rFonts w:ascii="Arial"/>
          <w:color w:val="auto"/>
          <w:sz w:val="21"/>
          <w:highlight w:val="none"/>
        </w:rPr>
      </w:pPr>
    </w:p>
    <w:p w14:paraId="71175A0F">
      <w:pPr>
        <w:spacing w:line="242" w:lineRule="auto"/>
        <w:rPr>
          <w:rFonts w:ascii="Arial"/>
          <w:color w:val="auto"/>
          <w:sz w:val="21"/>
          <w:highlight w:val="none"/>
        </w:rPr>
      </w:pPr>
    </w:p>
    <w:p w14:paraId="6447C3D3">
      <w:pPr>
        <w:spacing w:line="242" w:lineRule="auto"/>
        <w:rPr>
          <w:rFonts w:ascii="Arial"/>
          <w:color w:val="auto"/>
          <w:sz w:val="21"/>
          <w:highlight w:val="none"/>
        </w:rPr>
      </w:pPr>
    </w:p>
    <w:p w14:paraId="431A1550">
      <w:pPr>
        <w:spacing w:line="242" w:lineRule="auto"/>
        <w:rPr>
          <w:rFonts w:ascii="Arial"/>
          <w:color w:val="auto"/>
          <w:sz w:val="21"/>
          <w:highlight w:val="none"/>
        </w:rPr>
      </w:pPr>
    </w:p>
    <w:p w14:paraId="77DE3A8C">
      <w:pPr>
        <w:spacing w:line="242" w:lineRule="auto"/>
        <w:rPr>
          <w:rFonts w:ascii="Arial"/>
          <w:color w:val="auto"/>
          <w:sz w:val="21"/>
          <w:highlight w:val="none"/>
        </w:rPr>
      </w:pPr>
    </w:p>
    <w:p w14:paraId="0EACD14B">
      <w:pPr>
        <w:spacing w:line="242" w:lineRule="auto"/>
        <w:rPr>
          <w:rFonts w:ascii="Arial"/>
          <w:color w:val="auto"/>
          <w:sz w:val="21"/>
          <w:highlight w:val="none"/>
        </w:rPr>
      </w:pPr>
    </w:p>
    <w:p w14:paraId="70CD14E5">
      <w:pPr>
        <w:spacing w:line="242" w:lineRule="auto"/>
        <w:rPr>
          <w:rFonts w:ascii="Arial"/>
          <w:color w:val="auto"/>
          <w:sz w:val="21"/>
          <w:highlight w:val="none"/>
        </w:rPr>
      </w:pPr>
    </w:p>
    <w:p w14:paraId="558F4F9E">
      <w:pPr>
        <w:spacing w:line="242" w:lineRule="auto"/>
        <w:rPr>
          <w:rFonts w:ascii="Arial"/>
          <w:color w:val="auto"/>
          <w:sz w:val="21"/>
          <w:highlight w:val="none"/>
        </w:rPr>
      </w:pPr>
    </w:p>
    <w:p w14:paraId="1AA1988F">
      <w:pPr>
        <w:pStyle w:val="4"/>
        <w:spacing w:before="79" w:line="295" w:lineRule="auto"/>
        <w:ind w:left="4171" w:right="1848" w:hanging="241"/>
        <w:rPr>
          <w:color w:val="auto"/>
          <w:sz w:val="24"/>
          <w:szCs w:val="24"/>
          <w:highlight w:val="none"/>
        </w:rPr>
      </w:pPr>
      <w:r>
        <w:rPr>
          <w:color w:val="auto"/>
          <w:spacing w:val="-1"/>
          <w:sz w:val="24"/>
          <w:szCs w:val="24"/>
          <w:highlight w:val="none"/>
        </w:rPr>
        <w:t>法定代表人或授权委托代理人（签字</w:t>
      </w:r>
      <w:r>
        <w:rPr>
          <w:color w:val="auto"/>
          <w:spacing w:val="-28"/>
          <w:sz w:val="24"/>
          <w:szCs w:val="24"/>
          <w:highlight w:val="none"/>
        </w:rPr>
        <w:t>）：</w:t>
      </w:r>
      <w:r>
        <w:rPr>
          <w:color w:val="auto"/>
          <w:spacing w:val="-2"/>
          <w:sz w:val="24"/>
          <w:szCs w:val="24"/>
          <w:highlight w:val="none"/>
        </w:rPr>
        <w:t>投标人名称（电子签章</w:t>
      </w:r>
      <w:r>
        <w:rPr>
          <w:color w:val="auto"/>
          <w:spacing w:val="3"/>
          <w:sz w:val="24"/>
          <w:szCs w:val="24"/>
          <w:highlight w:val="none"/>
        </w:rPr>
        <w:t>）：</w:t>
      </w:r>
    </w:p>
    <w:p w14:paraId="1C8A23D7">
      <w:pPr>
        <w:pStyle w:val="4"/>
        <w:spacing w:before="45" w:line="219" w:lineRule="auto"/>
        <w:ind w:left="4451"/>
        <w:rPr>
          <w:color w:val="auto"/>
          <w:sz w:val="24"/>
          <w:szCs w:val="24"/>
          <w:highlight w:val="none"/>
        </w:rPr>
      </w:pPr>
      <w:r>
        <w:rPr>
          <w:color w:val="auto"/>
          <w:spacing w:val="-13"/>
          <w:sz w:val="24"/>
          <w:szCs w:val="24"/>
          <w:highlight w:val="none"/>
        </w:rPr>
        <w:t>日期：</w:t>
      </w:r>
      <w:r>
        <w:rPr>
          <w:color w:val="auto"/>
          <w:spacing w:val="1"/>
          <w:sz w:val="24"/>
          <w:szCs w:val="24"/>
          <w:highlight w:val="none"/>
          <w:u w:val="single" w:color="auto"/>
        </w:rPr>
        <w:t xml:space="preserve">       </w:t>
      </w:r>
      <w:r>
        <w:rPr>
          <w:color w:val="auto"/>
          <w:spacing w:val="-13"/>
          <w:sz w:val="24"/>
          <w:szCs w:val="24"/>
          <w:highlight w:val="none"/>
          <w:u w:val="single" w:color="auto"/>
        </w:rPr>
        <w:t>年</w:t>
      </w:r>
      <w:r>
        <w:rPr>
          <w:color w:val="auto"/>
          <w:spacing w:val="6"/>
          <w:sz w:val="24"/>
          <w:szCs w:val="24"/>
          <w:highlight w:val="none"/>
          <w:u w:val="single" w:color="auto"/>
        </w:rPr>
        <w:t xml:space="preserve">   </w:t>
      </w:r>
      <w:r>
        <w:rPr>
          <w:color w:val="auto"/>
          <w:spacing w:val="-13"/>
          <w:sz w:val="24"/>
          <w:szCs w:val="24"/>
          <w:highlight w:val="none"/>
          <w:u w:val="single" w:color="auto"/>
        </w:rPr>
        <w:t>月</w:t>
      </w:r>
      <w:r>
        <w:rPr>
          <w:color w:val="auto"/>
          <w:spacing w:val="17"/>
          <w:sz w:val="24"/>
          <w:szCs w:val="24"/>
          <w:highlight w:val="none"/>
          <w:u w:val="single" w:color="auto"/>
        </w:rPr>
        <w:t xml:space="preserve">   </w:t>
      </w:r>
      <w:r>
        <w:rPr>
          <w:color w:val="auto"/>
          <w:spacing w:val="-13"/>
          <w:sz w:val="24"/>
          <w:szCs w:val="24"/>
          <w:highlight w:val="none"/>
          <w:u w:val="single" w:color="auto"/>
        </w:rPr>
        <w:t>日</w:t>
      </w:r>
    </w:p>
    <w:p w14:paraId="35D49EB6">
      <w:pPr>
        <w:pStyle w:val="4"/>
        <w:spacing w:before="47" w:line="219" w:lineRule="auto"/>
        <w:ind w:left="5"/>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7.无重大违法记录声明书附件：</w:t>
      </w:r>
    </w:p>
    <w:p w14:paraId="2E2132AB">
      <w:pPr>
        <w:spacing w:line="243" w:lineRule="auto"/>
        <w:rPr>
          <w:rFonts w:ascii="Arial"/>
          <w:color w:val="auto"/>
          <w:sz w:val="21"/>
          <w:highlight w:val="none"/>
        </w:rPr>
      </w:pPr>
    </w:p>
    <w:p w14:paraId="49905D7F">
      <w:pPr>
        <w:spacing w:line="244" w:lineRule="auto"/>
        <w:rPr>
          <w:rFonts w:ascii="Arial"/>
          <w:color w:val="auto"/>
          <w:sz w:val="21"/>
          <w:highlight w:val="none"/>
        </w:rPr>
      </w:pPr>
    </w:p>
    <w:p w14:paraId="7DCAED1C">
      <w:pPr>
        <w:spacing w:line="244" w:lineRule="auto"/>
        <w:rPr>
          <w:rFonts w:ascii="Arial"/>
          <w:color w:val="auto"/>
          <w:sz w:val="21"/>
          <w:highlight w:val="none"/>
        </w:rPr>
      </w:pPr>
    </w:p>
    <w:p w14:paraId="0B985C70">
      <w:pPr>
        <w:pStyle w:val="4"/>
        <w:spacing w:before="78" w:line="219" w:lineRule="auto"/>
        <w:ind w:left="3616"/>
        <w:rPr>
          <w:color w:val="auto"/>
          <w:sz w:val="24"/>
          <w:szCs w:val="24"/>
          <w:highlight w:val="none"/>
        </w:rPr>
      </w:pPr>
      <w:r>
        <w:rPr>
          <w:b/>
          <w:bCs/>
          <w:color w:val="auto"/>
          <w:spacing w:val="-3"/>
          <w:sz w:val="24"/>
          <w:szCs w:val="24"/>
          <w:highlight w:val="none"/>
        </w:rPr>
        <w:t>无重大违法记录声明书</w:t>
      </w:r>
    </w:p>
    <w:p w14:paraId="50CC877A">
      <w:pPr>
        <w:spacing w:line="258" w:lineRule="auto"/>
        <w:rPr>
          <w:rFonts w:ascii="Arial"/>
          <w:color w:val="auto"/>
          <w:sz w:val="21"/>
          <w:highlight w:val="none"/>
        </w:rPr>
      </w:pPr>
    </w:p>
    <w:p w14:paraId="41657271">
      <w:pPr>
        <w:pStyle w:val="4"/>
        <w:spacing w:before="78" w:line="219" w:lineRule="auto"/>
        <w:rPr>
          <w:color w:val="auto"/>
          <w:sz w:val="24"/>
          <w:szCs w:val="24"/>
          <w:highlight w:val="none"/>
        </w:rPr>
      </w:pPr>
      <w:r>
        <w:rPr>
          <w:rFonts w:hint="eastAsia"/>
          <w:color w:val="auto"/>
          <w:spacing w:val="-1"/>
          <w:sz w:val="24"/>
          <w:szCs w:val="24"/>
          <w:highlight w:val="none"/>
          <w:lang w:eastAsia="zh-CN"/>
        </w:rPr>
        <w:t>中禹鑫工程项目管理有限公司</w:t>
      </w:r>
      <w:r>
        <w:rPr>
          <w:color w:val="auto"/>
          <w:spacing w:val="-1"/>
          <w:sz w:val="24"/>
          <w:szCs w:val="24"/>
          <w:highlight w:val="none"/>
        </w:rPr>
        <w:t>：</w:t>
      </w:r>
    </w:p>
    <w:p w14:paraId="738C0D44">
      <w:pPr>
        <w:spacing w:line="255" w:lineRule="auto"/>
        <w:rPr>
          <w:rFonts w:ascii="Arial"/>
          <w:color w:val="auto"/>
          <w:sz w:val="21"/>
          <w:highlight w:val="none"/>
        </w:rPr>
      </w:pPr>
    </w:p>
    <w:p w14:paraId="0FA74052">
      <w:pPr>
        <w:pStyle w:val="4"/>
        <w:spacing w:before="78" w:line="353" w:lineRule="auto"/>
        <w:ind w:firstLine="480"/>
        <w:jc w:val="both"/>
        <w:rPr>
          <w:color w:val="auto"/>
          <w:sz w:val="24"/>
          <w:szCs w:val="24"/>
          <w:highlight w:val="none"/>
        </w:rPr>
      </w:pPr>
      <w:r>
        <w:rPr>
          <w:color w:val="auto"/>
          <w:sz w:val="24"/>
          <w:szCs w:val="24"/>
          <w:highlight w:val="none"/>
        </w:rPr>
        <w:t>我公司参加贵公司组织</w:t>
      </w:r>
      <w:r>
        <w:rPr>
          <w:color w:val="auto"/>
          <w:sz w:val="24"/>
          <w:szCs w:val="24"/>
          <w:highlight w:val="none"/>
          <w:u w:val="single" w:color="auto"/>
        </w:rPr>
        <w:t xml:space="preserve">    </w:t>
      </w:r>
      <w:r>
        <w:rPr>
          <w:rFonts w:hint="eastAsia"/>
          <w:color w:val="auto"/>
          <w:sz w:val="24"/>
          <w:szCs w:val="24"/>
          <w:highlight w:val="none"/>
          <w:u w:val="single" w:color="auto"/>
          <w:lang w:eastAsia="zh-CN"/>
        </w:rPr>
        <w:t>（</w:t>
      </w:r>
      <w:r>
        <w:rPr>
          <w:rFonts w:hint="eastAsia"/>
          <w:color w:val="auto"/>
          <w:sz w:val="24"/>
          <w:szCs w:val="24"/>
          <w:highlight w:val="none"/>
          <w:u w:val="single" w:color="auto"/>
          <w:lang w:val="en-US" w:eastAsia="zh-CN"/>
        </w:rPr>
        <w:t>项目名称</w:t>
      </w:r>
      <w:r>
        <w:rPr>
          <w:rFonts w:hint="eastAsia"/>
          <w:color w:val="auto"/>
          <w:sz w:val="24"/>
          <w:szCs w:val="24"/>
          <w:highlight w:val="none"/>
          <w:u w:val="single" w:color="auto"/>
          <w:lang w:eastAsia="zh-CN"/>
        </w:rPr>
        <w:t>）</w:t>
      </w:r>
      <w:r>
        <w:rPr>
          <w:color w:val="auto"/>
          <w:spacing w:val="-1"/>
          <w:sz w:val="24"/>
          <w:szCs w:val="24"/>
          <w:highlight w:val="none"/>
          <w:u w:val="single" w:color="auto"/>
        </w:rPr>
        <w:t xml:space="preserve">   </w:t>
      </w:r>
      <w:r>
        <w:rPr>
          <w:color w:val="auto"/>
          <w:spacing w:val="-106"/>
          <w:sz w:val="24"/>
          <w:szCs w:val="24"/>
          <w:highlight w:val="none"/>
        </w:rPr>
        <w:t xml:space="preserve"> </w:t>
      </w:r>
      <w:r>
        <w:rPr>
          <w:color w:val="auto"/>
          <w:spacing w:val="-1"/>
          <w:sz w:val="24"/>
          <w:szCs w:val="24"/>
          <w:highlight w:val="none"/>
        </w:rPr>
        <w:t>项目的政府采购活动。我公司在此郑</w:t>
      </w:r>
      <w:r>
        <w:rPr>
          <w:color w:val="auto"/>
          <w:sz w:val="24"/>
          <w:szCs w:val="24"/>
          <w:highlight w:val="none"/>
        </w:rPr>
        <w:t>重声明，我公司参加本项目的政府采购活动前三年内在经营活动</w:t>
      </w:r>
      <w:r>
        <w:rPr>
          <w:color w:val="auto"/>
          <w:spacing w:val="-1"/>
          <w:sz w:val="24"/>
          <w:szCs w:val="24"/>
          <w:highlight w:val="none"/>
        </w:rPr>
        <w:t>中没有重大违法记录，符合</w:t>
      </w:r>
      <w:r>
        <w:rPr>
          <w:color w:val="auto"/>
          <w:spacing w:val="-4"/>
          <w:sz w:val="24"/>
          <w:szCs w:val="24"/>
          <w:highlight w:val="none"/>
        </w:rPr>
        <w:t>《中华人民共和国政府采购法》及《中华人民共和国政府采购实施条例》规定的供应商条件，</w:t>
      </w:r>
      <w:r>
        <w:rPr>
          <w:color w:val="auto"/>
          <w:spacing w:val="-1"/>
          <w:sz w:val="24"/>
          <w:szCs w:val="24"/>
          <w:highlight w:val="none"/>
        </w:rPr>
        <w:t>我公司对此声明负全部法律责任。</w:t>
      </w:r>
    </w:p>
    <w:p w14:paraId="7A18F19D">
      <w:pPr>
        <w:pStyle w:val="4"/>
        <w:spacing w:before="33" w:line="219" w:lineRule="auto"/>
        <w:rPr>
          <w:color w:val="auto"/>
          <w:sz w:val="24"/>
          <w:szCs w:val="24"/>
          <w:highlight w:val="none"/>
        </w:rPr>
      </w:pPr>
      <w:r>
        <w:rPr>
          <w:color w:val="auto"/>
          <w:spacing w:val="-2"/>
          <w:sz w:val="24"/>
          <w:szCs w:val="24"/>
          <w:highlight w:val="none"/>
        </w:rPr>
        <w:t>特此承诺。</w:t>
      </w:r>
    </w:p>
    <w:p w14:paraId="53F2FF38">
      <w:pPr>
        <w:spacing w:line="260" w:lineRule="auto"/>
        <w:rPr>
          <w:rFonts w:ascii="Arial"/>
          <w:color w:val="auto"/>
          <w:sz w:val="21"/>
          <w:highlight w:val="none"/>
        </w:rPr>
      </w:pPr>
    </w:p>
    <w:p w14:paraId="24F1D0DE">
      <w:pPr>
        <w:spacing w:line="260" w:lineRule="auto"/>
        <w:rPr>
          <w:rFonts w:ascii="Arial"/>
          <w:color w:val="auto"/>
          <w:sz w:val="21"/>
          <w:highlight w:val="none"/>
        </w:rPr>
      </w:pPr>
    </w:p>
    <w:p w14:paraId="2E55702D">
      <w:pPr>
        <w:spacing w:line="260" w:lineRule="auto"/>
        <w:rPr>
          <w:rFonts w:ascii="Arial"/>
          <w:color w:val="auto"/>
          <w:sz w:val="21"/>
          <w:highlight w:val="none"/>
        </w:rPr>
      </w:pPr>
    </w:p>
    <w:p w14:paraId="07348B21">
      <w:pPr>
        <w:spacing w:line="260" w:lineRule="auto"/>
        <w:rPr>
          <w:rFonts w:ascii="Arial"/>
          <w:color w:val="auto"/>
          <w:sz w:val="21"/>
          <w:highlight w:val="none"/>
        </w:rPr>
      </w:pPr>
    </w:p>
    <w:p w14:paraId="3050097A">
      <w:pPr>
        <w:spacing w:line="261" w:lineRule="auto"/>
        <w:rPr>
          <w:rFonts w:ascii="Arial"/>
          <w:color w:val="auto"/>
          <w:sz w:val="21"/>
          <w:highlight w:val="none"/>
        </w:rPr>
      </w:pPr>
    </w:p>
    <w:p w14:paraId="67CA4087">
      <w:pPr>
        <w:spacing w:line="261" w:lineRule="auto"/>
        <w:rPr>
          <w:rFonts w:ascii="Arial"/>
          <w:color w:val="auto"/>
          <w:sz w:val="21"/>
          <w:highlight w:val="none"/>
        </w:rPr>
      </w:pPr>
    </w:p>
    <w:p w14:paraId="0049D3C9">
      <w:pPr>
        <w:spacing w:line="261" w:lineRule="auto"/>
        <w:rPr>
          <w:rFonts w:ascii="Arial"/>
          <w:color w:val="auto"/>
          <w:sz w:val="21"/>
          <w:highlight w:val="none"/>
        </w:rPr>
      </w:pPr>
    </w:p>
    <w:p w14:paraId="58315737">
      <w:pPr>
        <w:spacing w:line="261" w:lineRule="auto"/>
        <w:rPr>
          <w:rFonts w:ascii="Arial"/>
          <w:color w:val="auto"/>
          <w:sz w:val="21"/>
          <w:highlight w:val="none"/>
        </w:rPr>
      </w:pPr>
    </w:p>
    <w:p w14:paraId="1FA84AF7">
      <w:pPr>
        <w:spacing w:line="261" w:lineRule="auto"/>
        <w:rPr>
          <w:rFonts w:ascii="Arial"/>
          <w:color w:val="auto"/>
          <w:sz w:val="21"/>
          <w:highlight w:val="none"/>
        </w:rPr>
      </w:pPr>
    </w:p>
    <w:p w14:paraId="17CAB1F6">
      <w:pPr>
        <w:pStyle w:val="4"/>
        <w:spacing w:before="79" w:line="219" w:lineRule="auto"/>
        <w:ind w:left="3262"/>
        <w:rPr>
          <w:color w:val="auto"/>
          <w:sz w:val="24"/>
          <w:szCs w:val="24"/>
          <w:highlight w:val="none"/>
        </w:rPr>
      </w:pPr>
      <w:r>
        <w:rPr>
          <w:color w:val="auto"/>
          <w:spacing w:val="-2"/>
          <w:sz w:val="24"/>
          <w:szCs w:val="24"/>
          <w:highlight w:val="none"/>
        </w:rPr>
        <w:t>投标单位全称（电子签章</w:t>
      </w:r>
      <w:r>
        <w:rPr>
          <w:color w:val="auto"/>
          <w:spacing w:val="4"/>
          <w:sz w:val="24"/>
          <w:szCs w:val="24"/>
          <w:highlight w:val="none"/>
        </w:rPr>
        <w:t>）：</w:t>
      </w:r>
    </w:p>
    <w:p w14:paraId="603E4370">
      <w:pPr>
        <w:spacing w:line="260" w:lineRule="auto"/>
        <w:rPr>
          <w:rFonts w:ascii="Arial"/>
          <w:color w:val="auto"/>
          <w:sz w:val="21"/>
          <w:highlight w:val="none"/>
        </w:rPr>
      </w:pPr>
    </w:p>
    <w:p w14:paraId="1866CD49">
      <w:pPr>
        <w:pStyle w:val="4"/>
        <w:spacing w:before="78" w:line="504" w:lineRule="auto"/>
        <w:ind w:left="3401" w:right="3380" w:hanging="81"/>
        <w:rPr>
          <w:color w:val="auto"/>
          <w:sz w:val="24"/>
          <w:szCs w:val="24"/>
          <w:highlight w:val="none"/>
        </w:rPr>
      </w:pPr>
      <w:r>
        <w:rPr>
          <w:color w:val="auto"/>
          <w:spacing w:val="-1"/>
          <w:sz w:val="24"/>
          <w:szCs w:val="24"/>
          <w:highlight w:val="none"/>
        </w:rPr>
        <w:t>法定代表人或授权代表签字:</w:t>
      </w:r>
      <w:r>
        <w:rPr>
          <w:color w:val="auto"/>
          <w:spacing w:val="1"/>
          <w:sz w:val="24"/>
          <w:szCs w:val="24"/>
          <w:highlight w:val="none"/>
        </w:rPr>
        <w:t xml:space="preserve"> </w:t>
      </w:r>
      <w:r>
        <w:rPr>
          <w:color w:val="auto"/>
          <w:spacing w:val="-17"/>
          <w:sz w:val="24"/>
          <w:szCs w:val="24"/>
          <w:highlight w:val="none"/>
        </w:rPr>
        <w:t>日期：</w:t>
      </w:r>
    </w:p>
    <w:p w14:paraId="5F35BA84">
      <w:pPr>
        <w:pStyle w:val="4"/>
        <w:spacing w:before="47" w:line="219" w:lineRule="auto"/>
        <w:ind w:left="121"/>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8.企业综合实力证明材料；</w:t>
      </w:r>
    </w:p>
    <w:p w14:paraId="0837054E">
      <w:pPr>
        <w:pStyle w:val="4"/>
        <w:spacing w:before="20" w:line="219" w:lineRule="auto"/>
        <w:ind w:left="121"/>
        <w:rPr>
          <w:color w:val="auto"/>
          <w:sz w:val="24"/>
          <w:szCs w:val="24"/>
          <w:highlight w:val="none"/>
        </w:rPr>
      </w:pPr>
      <w:r>
        <w:rPr>
          <w:b/>
          <w:bCs/>
          <w:color w:val="auto"/>
          <w:spacing w:val="-4"/>
          <w:sz w:val="24"/>
          <w:szCs w:val="24"/>
          <w:highlight w:val="none"/>
        </w:rPr>
        <w:t>8.1</w:t>
      </w:r>
      <w:r>
        <w:rPr>
          <w:color w:val="auto"/>
          <w:spacing w:val="-38"/>
          <w:sz w:val="24"/>
          <w:szCs w:val="24"/>
          <w:highlight w:val="none"/>
        </w:rPr>
        <w:t xml:space="preserve"> </w:t>
      </w:r>
      <w:r>
        <w:rPr>
          <w:b/>
          <w:bCs/>
          <w:color w:val="auto"/>
          <w:spacing w:val="-4"/>
          <w:sz w:val="24"/>
          <w:szCs w:val="24"/>
          <w:highlight w:val="none"/>
        </w:rPr>
        <w:t>拟投入车辆一览表（格式）</w:t>
      </w:r>
    </w:p>
    <w:p w14:paraId="2118B71B">
      <w:pPr>
        <w:pStyle w:val="4"/>
        <w:spacing w:before="260" w:line="219" w:lineRule="auto"/>
        <w:ind w:left="3975"/>
        <w:rPr>
          <w:color w:val="auto"/>
          <w:sz w:val="24"/>
          <w:szCs w:val="24"/>
          <w:highlight w:val="none"/>
        </w:rPr>
      </w:pPr>
      <w:r>
        <w:rPr>
          <w:b/>
          <w:bCs/>
          <w:color w:val="auto"/>
          <w:spacing w:val="-3"/>
          <w:sz w:val="24"/>
          <w:szCs w:val="24"/>
          <w:highlight w:val="none"/>
        </w:rPr>
        <w:t>拟投入车辆一览表</w:t>
      </w:r>
    </w:p>
    <w:p w14:paraId="2DE63E3F">
      <w:pPr>
        <w:spacing w:line="224" w:lineRule="exact"/>
        <w:rPr>
          <w:color w:val="auto"/>
          <w:highlight w:val="none"/>
        </w:rPr>
      </w:pPr>
    </w:p>
    <w:tbl>
      <w:tblPr>
        <w:tblStyle w:val="18"/>
        <w:tblW w:w="97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1"/>
        <w:gridCol w:w="2727"/>
        <w:gridCol w:w="2208"/>
        <w:gridCol w:w="1955"/>
        <w:gridCol w:w="1960"/>
      </w:tblGrid>
      <w:tr w14:paraId="54EAF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931" w:type="dxa"/>
            <w:vAlign w:val="top"/>
          </w:tcPr>
          <w:p w14:paraId="16087590">
            <w:pPr>
              <w:pStyle w:val="19"/>
              <w:spacing w:before="40" w:line="208" w:lineRule="auto"/>
              <w:ind w:left="230"/>
              <w:rPr>
                <w:color w:val="auto"/>
                <w:sz w:val="24"/>
                <w:szCs w:val="24"/>
                <w:highlight w:val="none"/>
              </w:rPr>
            </w:pPr>
            <w:r>
              <w:rPr>
                <w:color w:val="auto"/>
                <w:spacing w:val="-5"/>
                <w:sz w:val="24"/>
                <w:szCs w:val="24"/>
                <w:highlight w:val="none"/>
              </w:rPr>
              <w:t>序号</w:t>
            </w:r>
          </w:p>
        </w:tc>
        <w:tc>
          <w:tcPr>
            <w:tcW w:w="2727" w:type="dxa"/>
            <w:vAlign w:val="top"/>
          </w:tcPr>
          <w:p w14:paraId="22800D46">
            <w:pPr>
              <w:pStyle w:val="19"/>
              <w:spacing w:before="40" w:line="208" w:lineRule="auto"/>
              <w:ind w:left="890"/>
              <w:rPr>
                <w:color w:val="auto"/>
                <w:sz w:val="24"/>
                <w:szCs w:val="24"/>
                <w:highlight w:val="none"/>
              </w:rPr>
            </w:pPr>
            <w:r>
              <w:rPr>
                <w:color w:val="auto"/>
                <w:spacing w:val="-3"/>
                <w:sz w:val="24"/>
                <w:szCs w:val="24"/>
                <w:highlight w:val="none"/>
              </w:rPr>
              <w:t>车辆名称</w:t>
            </w:r>
          </w:p>
        </w:tc>
        <w:tc>
          <w:tcPr>
            <w:tcW w:w="2208" w:type="dxa"/>
            <w:vAlign w:val="top"/>
          </w:tcPr>
          <w:p w14:paraId="1242E4CD">
            <w:pPr>
              <w:pStyle w:val="19"/>
              <w:spacing w:before="40" w:line="208" w:lineRule="auto"/>
              <w:ind w:left="633"/>
              <w:rPr>
                <w:color w:val="auto"/>
                <w:sz w:val="24"/>
                <w:szCs w:val="24"/>
                <w:highlight w:val="none"/>
              </w:rPr>
            </w:pPr>
            <w:r>
              <w:rPr>
                <w:color w:val="auto"/>
                <w:spacing w:val="-3"/>
                <w:sz w:val="24"/>
                <w:szCs w:val="24"/>
                <w:highlight w:val="none"/>
              </w:rPr>
              <w:t>车牌号码</w:t>
            </w:r>
          </w:p>
        </w:tc>
        <w:tc>
          <w:tcPr>
            <w:tcW w:w="1955" w:type="dxa"/>
            <w:vAlign w:val="top"/>
          </w:tcPr>
          <w:p w14:paraId="1DF59C97">
            <w:pPr>
              <w:pStyle w:val="19"/>
              <w:spacing w:before="40" w:line="208" w:lineRule="auto"/>
              <w:ind w:left="512"/>
              <w:rPr>
                <w:color w:val="auto"/>
                <w:sz w:val="24"/>
                <w:szCs w:val="24"/>
                <w:highlight w:val="none"/>
              </w:rPr>
            </w:pPr>
            <w:r>
              <w:rPr>
                <w:color w:val="auto"/>
                <w:spacing w:val="-11"/>
                <w:sz w:val="24"/>
                <w:szCs w:val="24"/>
                <w:highlight w:val="none"/>
              </w:rPr>
              <w:t>自有</w:t>
            </w:r>
            <w:r>
              <w:rPr>
                <w:rFonts w:ascii="Times New Roman" w:hAnsi="Times New Roman" w:eastAsia="Times New Roman" w:cs="Times New Roman"/>
                <w:color w:val="auto"/>
                <w:spacing w:val="-11"/>
                <w:sz w:val="24"/>
                <w:szCs w:val="24"/>
                <w:highlight w:val="none"/>
              </w:rPr>
              <w:t>/</w:t>
            </w:r>
            <w:r>
              <w:rPr>
                <w:color w:val="auto"/>
                <w:spacing w:val="-11"/>
                <w:sz w:val="24"/>
                <w:szCs w:val="24"/>
                <w:highlight w:val="none"/>
              </w:rPr>
              <w:t>租赁</w:t>
            </w:r>
          </w:p>
        </w:tc>
        <w:tc>
          <w:tcPr>
            <w:tcW w:w="1960" w:type="dxa"/>
            <w:vAlign w:val="top"/>
          </w:tcPr>
          <w:p w14:paraId="5D273E12">
            <w:pPr>
              <w:pStyle w:val="19"/>
              <w:spacing w:before="40" w:line="208" w:lineRule="auto"/>
              <w:ind w:left="149"/>
              <w:rPr>
                <w:color w:val="auto"/>
                <w:sz w:val="24"/>
                <w:szCs w:val="24"/>
                <w:highlight w:val="none"/>
              </w:rPr>
            </w:pPr>
            <w:r>
              <w:rPr>
                <w:color w:val="auto"/>
                <w:spacing w:val="-2"/>
                <w:sz w:val="24"/>
                <w:szCs w:val="24"/>
                <w:highlight w:val="none"/>
              </w:rPr>
              <w:t>车辆所有人名称</w:t>
            </w:r>
          </w:p>
        </w:tc>
      </w:tr>
      <w:tr w14:paraId="66645E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31" w:type="dxa"/>
            <w:vAlign w:val="top"/>
          </w:tcPr>
          <w:p w14:paraId="637AEA68">
            <w:pPr>
              <w:spacing w:before="69" w:line="184" w:lineRule="auto"/>
              <w:ind w:left="425"/>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1</w:t>
            </w:r>
          </w:p>
        </w:tc>
        <w:tc>
          <w:tcPr>
            <w:tcW w:w="2727" w:type="dxa"/>
            <w:vAlign w:val="top"/>
          </w:tcPr>
          <w:p w14:paraId="41B17960">
            <w:pPr>
              <w:rPr>
                <w:rFonts w:ascii="Arial"/>
                <w:color w:val="auto"/>
                <w:sz w:val="21"/>
                <w:highlight w:val="none"/>
              </w:rPr>
            </w:pPr>
          </w:p>
        </w:tc>
        <w:tc>
          <w:tcPr>
            <w:tcW w:w="2208" w:type="dxa"/>
            <w:vAlign w:val="top"/>
          </w:tcPr>
          <w:p w14:paraId="71B731E2">
            <w:pPr>
              <w:rPr>
                <w:rFonts w:ascii="Arial"/>
                <w:color w:val="auto"/>
                <w:sz w:val="21"/>
                <w:highlight w:val="none"/>
              </w:rPr>
            </w:pPr>
          </w:p>
        </w:tc>
        <w:tc>
          <w:tcPr>
            <w:tcW w:w="1955" w:type="dxa"/>
            <w:vAlign w:val="top"/>
          </w:tcPr>
          <w:p w14:paraId="420DCEFB">
            <w:pPr>
              <w:rPr>
                <w:rFonts w:ascii="Arial"/>
                <w:color w:val="auto"/>
                <w:sz w:val="21"/>
                <w:highlight w:val="none"/>
              </w:rPr>
            </w:pPr>
          </w:p>
        </w:tc>
        <w:tc>
          <w:tcPr>
            <w:tcW w:w="1960" w:type="dxa"/>
            <w:vAlign w:val="top"/>
          </w:tcPr>
          <w:p w14:paraId="1106F7E3">
            <w:pPr>
              <w:rPr>
                <w:rFonts w:ascii="Arial"/>
                <w:color w:val="auto"/>
                <w:sz w:val="21"/>
                <w:highlight w:val="none"/>
              </w:rPr>
            </w:pPr>
          </w:p>
        </w:tc>
      </w:tr>
      <w:tr w14:paraId="41447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31" w:type="dxa"/>
            <w:vAlign w:val="top"/>
          </w:tcPr>
          <w:p w14:paraId="6D4AE5D7">
            <w:pPr>
              <w:spacing w:before="69" w:line="184" w:lineRule="auto"/>
              <w:ind w:left="398"/>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2</w:t>
            </w:r>
          </w:p>
        </w:tc>
        <w:tc>
          <w:tcPr>
            <w:tcW w:w="2727" w:type="dxa"/>
            <w:vAlign w:val="top"/>
          </w:tcPr>
          <w:p w14:paraId="011CFF17">
            <w:pPr>
              <w:rPr>
                <w:rFonts w:ascii="Arial"/>
                <w:color w:val="auto"/>
                <w:sz w:val="21"/>
                <w:highlight w:val="none"/>
              </w:rPr>
            </w:pPr>
          </w:p>
        </w:tc>
        <w:tc>
          <w:tcPr>
            <w:tcW w:w="2208" w:type="dxa"/>
            <w:vAlign w:val="top"/>
          </w:tcPr>
          <w:p w14:paraId="031BAA2B">
            <w:pPr>
              <w:rPr>
                <w:rFonts w:ascii="Arial"/>
                <w:color w:val="auto"/>
                <w:sz w:val="21"/>
                <w:highlight w:val="none"/>
              </w:rPr>
            </w:pPr>
          </w:p>
        </w:tc>
        <w:tc>
          <w:tcPr>
            <w:tcW w:w="1955" w:type="dxa"/>
            <w:vAlign w:val="top"/>
          </w:tcPr>
          <w:p w14:paraId="62780C99">
            <w:pPr>
              <w:rPr>
                <w:rFonts w:ascii="Arial"/>
                <w:color w:val="auto"/>
                <w:sz w:val="21"/>
                <w:highlight w:val="none"/>
              </w:rPr>
            </w:pPr>
          </w:p>
        </w:tc>
        <w:tc>
          <w:tcPr>
            <w:tcW w:w="1960" w:type="dxa"/>
            <w:vAlign w:val="top"/>
          </w:tcPr>
          <w:p w14:paraId="6B599D4F">
            <w:pPr>
              <w:rPr>
                <w:rFonts w:ascii="Arial"/>
                <w:color w:val="auto"/>
                <w:sz w:val="21"/>
                <w:highlight w:val="none"/>
              </w:rPr>
            </w:pPr>
          </w:p>
        </w:tc>
      </w:tr>
      <w:tr w14:paraId="55C10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31" w:type="dxa"/>
            <w:vAlign w:val="top"/>
          </w:tcPr>
          <w:p w14:paraId="574CC908">
            <w:pPr>
              <w:spacing w:before="68" w:line="185" w:lineRule="auto"/>
              <w:ind w:left="403"/>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3</w:t>
            </w:r>
          </w:p>
        </w:tc>
        <w:tc>
          <w:tcPr>
            <w:tcW w:w="2727" w:type="dxa"/>
            <w:vAlign w:val="top"/>
          </w:tcPr>
          <w:p w14:paraId="3EFC8EDF">
            <w:pPr>
              <w:rPr>
                <w:rFonts w:ascii="Arial"/>
                <w:color w:val="auto"/>
                <w:sz w:val="21"/>
                <w:highlight w:val="none"/>
              </w:rPr>
            </w:pPr>
          </w:p>
        </w:tc>
        <w:tc>
          <w:tcPr>
            <w:tcW w:w="2208" w:type="dxa"/>
            <w:vAlign w:val="top"/>
          </w:tcPr>
          <w:p w14:paraId="259D6392">
            <w:pPr>
              <w:rPr>
                <w:rFonts w:ascii="Arial"/>
                <w:color w:val="auto"/>
                <w:sz w:val="21"/>
                <w:highlight w:val="none"/>
              </w:rPr>
            </w:pPr>
          </w:p>
        </w:tc>
        <w:tc>
          <w:tcPr>
            <w:tcW w:w="1955" w:type="dxa"/>
            <w:vAlign w:val="top"/>
          </w:tcPr>
          <w:p w14:paraId="3D892145">
            <w:pPr>
              <w:rPr>
                <w:rFonts w:ascii="Arial"/>
                <w:color w:val="auto"/>
                <w:sz w:val="21"/>
                <w:highlight w:val="none"/>
              </w:rPr>
            </w:pPr>
          </w:p>
        </w:tc>
        <w:tc>
          <w:tcPr>
            <w:tcW w:w="1960" w:type="dxa"/>
            <w:vAlign w:val="top"/>
          </w:tcPr>
          <w:p w14:paraId="655E315F">
            <w:pPr>
              <w:rPr>
                <w:rFonts w:ascii="Arial"/>
                <w:color w:val="auto"/>
                <w:sz w:val="21"/>
                <w:highlight w:val="none"/>
              </w:rPr>
            </w:pPr>
          </w:p>
        </w:tc>
      </w:tr>
      <w:tr w14:paraId="75ED2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931" w:type="dxa"/>
            <w:vAlign w:val="top"/>
          </w:tcPr>
          <w:p w14:paraId="07FAD116">
            <w:pPr>
              <w:spacing w:before="70" w:line="183" w:lineRule="auto"/>
              <w:ind w:left="396"/>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4</w:t>
            </w:r>
          </w:p>
        </w:tc>
        <w:tc>
          <w:tcPr>
            <w:tcW w:w="2727" w:type="dxa"/>
            <w:vAlign w:val="top"/>
          </w:tcPr>
          <w:p w14:paraId="642D87EF">
            <w:pPr>
              <w:rPr>
                <w:rFonts w:ascii="Arial"/>
                <w:color w:val="auto"/>
                <w:sz w:val="21"/>
                <w:highlight w:val="none"/>
              </w:rPr>
            </w:pPr>
          </w:p>
        </w:tc>
        <w:tc>
          <w:tcPr>
            <w:tcW w:w="2208" w:type="dxa"/>
            <w:vAlign w:val="top"/>
          </w:tcPr>
          <w:p w14:paraId="7F76477F">
            <w:pPr>
              <w:rPr>
                <w:rFonts w:ascii="Arial"/>
                <w:color w:val="auto"/>
                <w:sz w:val="21"/>
                <w:highlight w:val="none"/>
              </w:rPr>
            </w:pPr>
          </w:p>
        </w:tc>
        <w:tc>
          <w:tcPr>
            <w:tcW w:w="1955" w:type="dxa"/>
            <w:vAlign w:val="top"/>
          </w:tcPr>
          <w:p w14:paraId="3245E435">
            <w:pPr>
              <w:rPr>
                <w:rFonts w:ascii="Arial"/>
                <w:color w:val="auto"/>
                <w:sz w:val="21"/>
                <w:highlight w:val="none"/>
              </w:rPr>
            </w:pPr>
          </w:p>
        </w:tc>
        <w:tc>
          <w:tcPr>
            <w:tcW w:w="1960" w:type="dxa"/>
            <w:vAlign w:val="top"/>
          </w:tcPr>
          <w:p w14:paraId="1556AB49">
            <w:pPr>
              <w:rPr>
                <w:rFonts w:ascii="Arial"/>
                <w:color w:val="auto"/>
                <w:sz w:val="21"/>
                <w:highlight w:val="none"/>
              </w:rPr>
            </w:pPr>
          </w:p>
        </w:tc>
      </w:tr>
      <w:tr w14:paraId="30FE7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931" w:type="dxa"/>
            <w:vAlign w:val="top"/>
          </w:tcPr>
          <w:p w14:paraId="64CC84B4">
            <w:pPr>
              <w:spacing w:before="74" w:line="179" w:lineRule="auto"/>
              <w:ind w:left="405"/>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5</w:t>
            </w:r>
          </w:p>
        </w:tc>
        <w:tc>
          <w:tcPr>
            <w:tcW w:w="2727" w:type="dxa"/>
            <w:vAlign w:val="top"/>
          </w:tcPr>
          <w:p w14:paraId="5B08DF26">
            <w:pPr>
              <w:rPr>
                <w:rFonts w:ascii="Arial"/>
                <w:color w:val="auto"/>
                <w:sz w:val="21"/>
                <w:highlight w:val="none"/>
              </w:rPr>
            </w:pPr>
          </w:p>
        </w:tc>
        <w:tc>
          <w:tcPr>
            <w:tcW w:w="2208" w:type="dxa"/>
            <w:vAlign w:val="top"/>
          </w:tcPr>
          <w:p w14:paraId="4DDFD47F">
            <w:pPr>
              <w:rPr>
                <w:rFonts w:ascii="Arial"/>
                <w:color w:val="auto"/>
                <w:sz w:val="21"/>
                <w:highlight w:val="none"/>
              </w:rPr>
            </w:pPr>
          </w:p>
        </w:tc>
        <w:tc>
          <w:tcPr>
            <w:tcW w:w="1955" w:type="dxa"/>
            <w:vAlign w:val="top"/>
          </w:tcPr>
          <w:p w14:paraId="491C98A4">
            <w:pPr>
              <w:rPr>
                <w:rFonts w:ascii="Arial"/>
                <w:color w:val="auto"/>
                <w:sz w:val="21"/>
                <w:highlight w:val="none"/>
              </w:rPr>
            </w:pPr>
          </w:p>
        </w:tc>
        <w:tc>
          <w:tcPr>
            <w:tcW w:w="1960" w:type="dxa"/>
            <w:vAlign w:val="top"/>
          </w:tcPr>
          <w:p w14:paraId="27506BF3">
            <w:pPr>
              <w:rPr>
                <w:rFonts w:ascii="Arial"/>
                <w:color w:val="auto"/>
                <w:sz w:val="21"/>
                <w:highlight w:val="none"/>
              </w:rPr>
            </w:pPr>
          </w:p>
        </w:tc>
      </w:tr>
      <w:tr w14:paraId="70622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 w:hRule="atLeast"/>
        </w:trPr>
        <w:tc>
          <w:tcPr>
            <w:tcW w:w="931" w:type="dxa"/>
            <w:vAlign w:val="top"/>
          </w:tcPr>
          <w:p w14:paraId="1886A3A8">
            <w:pPr>
              <w:rPr>
                <w:rFonts w:ascii="Arial"/>
                <w:color w:val="auto"/>
                <w:sz w:val="21"/>
                <w:highlight w:val="none"/>
              </w:rPr>
            </w:pPr>
          </w:p>
        </w:tc>
        <w:tc>
          <w:tcPr>
            <w:tcW w:w="2727" w:type="dxa"/>
            <w:vAlign w:val="top"/>
          </w:tcPr>
          <w:p w14:paraId="56754EE2">
            <w:pPr>
              <w:rPr>
                <w:rFonts w:ascii="Arial"/>
                <w:color w:val="auto"/>
                <w:sz w:val="21"/>
                <w:highlight w:val="none"/>
              </w:rPr>
            </w:pPr>
          </w:p>
        </w:tc>
        <w:tc>
          <w:tcPr>
            <w:tcW w:w="2208" w:type="dxa"/>
            <w:vAlign w:val="top"/>
          </w:tcPr>
          <w:p w14:paraId="08DB4D2A">
            <w:pPr>
              <w:rPr>
                <w:rFonts w:ascii="Arial"/>
                <w:color w:val="auto"/>
                <w:sz w:val="21"/>
                <w:highlight w:val="none"/>
              </w:rPr>
            </w:pPr>
          </w:p>
        </w:tc>
        <w:tc>
          <w:tcPr>
            <w:tcW w:w="1955" w:type="dxa"/>
            <w:vAlign w:val="top"/>
          </w:tcPr>
          <w:p w14:paraId="4658FA42">
            <w:pPr>
              <w:rPr>
                <w:rFonts w:ascii="Arial"/>
                <w:color w:val="auto"/>
                <w:sz w:val="21"/>
                <w:highlight w:val="none"/>
              </w:rPr>
            </w:pPr>
          </w:p>
        </w:tc>
        <w:tc>
          <w:tcPr>
            <w:tcW w:w="1960" w:type="dxa"/>
            <w:vAlign w:val="top"/>
          </w:tcPr>
          <w:p w14:paraId="5E35A226">
            <w:pPr>
              <w:rPr>
                <w:rFonts w:ascii="Arial"/>
                <w:color w:val="auto"/>
                <w:sz w:val="21"/>
                <w:highlight w:val="none"/>
              </w:rPr>
            </w:pPr>
          </w:p>
        </w:tc>
      </w:tr>
      <w:tr w14:paraId="4C2D0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31" w:type="dxa"/>
            <w:vAlign w:val="top"/>
          </w:tcPr>
          <w:p w14:paraId="4C5904C8">
            <w:pPr>
              <w:spacing w:before="244" w:line="87" w:lineRule="exact"/>
              <w:ind w:left="378"/>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pacing w:val="-1"/>
                <w:position w:val="1"/>
                <w:sz w:val="28"/>
                <w:szCs w:val="28"/>
                <w:highlight w:val="none"/>
              </w:rPr>
              <w:t>...</w:t>
            </w:r>
          </w:p>
        </w:tc>
        <w:tc>
          <w:tcPr>
            <w:tcW w:w="2727" w:type="dxa"/>
            <w:vAlign w:val="top"/>
          </w:tcPr>
          <w:p w14:paraId="59BAA1F6">
            <w:pPr>
              <w:rPr>
                <w:rFonts w:ascii="Arial"/>
                <w:color w:val="auto"/>
                <w:sz w:val="21"/>
                <w:highlight w:val="none"/>
              </w:rPr>
            </w:pPr>
          </w:p>
        </w:tc>
        <w:tc>
          <w:tcPr>
            <w:tcW w:w="2208" w:type="dxa"/>
            <w:vAlign w:val="top"/>
          </w:tcPr>
          <w:p w14:paraId="5C19735A">
            <w:pPr>
              <w:rPr>
                <w:rFonts w:ascii="Arial"/>
                <w:color w:val="auto"/>
                <w:sz w:val="21"/>
                <w:highlight w:val="none"/>
              </w:rPr>
            </w:pPr>
          </w:p>
        </w:tc>
        <w:tc>
          <w:tcPr>
            <w:tcW w:w="1955" w:type="dxa"/>
            <w:vAlign w:val="top"/>
          </w:tcPr>
          <w:p w14:paraId="699ECA06">
            <w:pPr>
              <w:rPr>
                <w:rFonts w:ascii="Arial"/>
                <w:color w:val="auto"/>
                <w:sz w:val="21"/>
                <w:highlight w:val="none"/>
              </w:rPr>
            </w:pPr>
          </w:p>
        </w:tc>
        <w:tc>
          <w:tcPr>
            <w:tcW w:w="1960" w:type="dxa"/>
            <w:vAlign w:val="top"/>
          </w:tcPr>
          <w:p w14:paraId="19BDCCE1">
            <w:pPr>
              <w:rPr>
                <w:rFonts w:ascii="Arial"/>
                <w:color w:val="auto"/>
                <w:sz w:val="21"/>
                <w:highlight w:val="none"/>
              </w:rPr>
            </w:pPr>
          </w:p>
        </w:tc>
      </w:tr>
    </w:tbl>
    <w:p w14:paraId="431E6151">
      <w:pPr>
        <w:pStyle w:val="4"/>
        <w:spacing w:before="260" w:line="227" w:lineRule="auto"/>
        <w:ind w:left="119"/>
        <w:rPr>
          <w:color w:val="auto"/>
          <w:sz w:val="19"/>
          <w:szCs w:val="19"/>
          <w:highlight w:val="none"/>
        </w:rPr>
      </w:pPr>
      <w:r>
        <w:rPr>
          <w:color w:val="auto"/>
          <w:spacing w:val="8"/>
          <w:sz w:val="19"/>
          <w:szCs w:val="19"/>
          <w:highlight w:val="none"/>
        </w:rPr>
        <w:t>注：车辆证明材料附后（加盖投标人公章）。</w:t>
      </w:r>
    </w:p>
    <w:p w14:paraId="7D4B0928">
      <w:pPr>
        <w:spacing w:line="412" w:lineRule="auto"/>
        <w:rPr>
          <w:rFonts w:ascii="Arial"/>
          <w:color w:val="auto"/>
          <w:sz w:val="21"/>
          <w:highlight w:val="none"/>
        </w:rPr>
      </w:pPr>
    </w:p>
    <w:p w14:paraId="494E95D8">
      <w:pPr>
        <w:pStyle w:val="4"/>
        <w:spacing w:before="79" w:line="219" w:lineRule="auto"/>
        <w:ind w:left="4923"/>
        <w:rPr>
          <w:color w:val="auto"/>
          <w:sz w:val="24"/>
          <w:szCs w:val="24"/>
          <w:highlight w:val="none"/>
        </w:rPr>
      </w:pPr>
      <w:r>
        <w:rPr>
          <w:color w:val="auto"/>
          <w:spacing w:val="-2"/>
          <w:sz w:val="24"/>
          <w:szCs w:val="24"/>
          <w:highlight w:val="none"/>
        </w:rPr>
        <w:t>投标人名称(盖公章)：</w:t>
      </w:r>
    </w:p>
    <w:p w14:paraId="423B4184">
      <w:pPr>
        <w:spacing w:line="262" w:lineRule="auto"/>
        <w:rPr>
          <w:rFonts w:ascii="Arial"/>
          <w:color w:val="auto"/>
          <w:sz w:val="21"/>
          <w:highlight w:val="none"/>
        </w:rPr>
      </w:pPr>
    </w:p>
    <w:p w14:paraId="582A9913">
      <w:pPr>
        <w:pStyle w:val="4"/>
        <w:spacing w:before="78" w:line="219" w:lineRule="auto"/>
        <w:ind w:left="2521"/>
        <w:rPr>
          <w:color w:val="auto"/>
          <w:sz w:val="24"/>
          <w:szCs w:val="24"/>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2EE1E440">
      <w:pPr>
        <w:spacing w:line="441" w:lineRule="auto"/>
        <w:rPr>
          <w:rFonts w:ascii="Arial"/>
          <w:color w:val="auto"/>
          <w:sz w:val="21"/>
          <w:highlight w:val="none"/>
        </w:rPr>
      </w:pPr>
    </w:p>
    <w:p w14:paraId="168133F4">
      <w:pPr>
        <w:pStyle w:val="4"/>
        <w:spacing w:before="79" w:line="219" w:lineRule="auto"/>
        <w:ind w:left="5322"/>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1B912ED1">
      <w:pPr>
        <w:pStyle w:val="4"/>
        <w:spacing w:before="47" w:line="219" w:lineRule="auto"/>
        <w:ind w:left="121"/>
        <w:rPr>
          <w:color w:val="auto"/>
          <w:sz w:val="24"/>
          <w:szCs w:val="24"/>
          <w:highlight w:val="none"/>
        </w:rPr>
      </w:pPr>
      <w:r>
        <w:rPr>
          <w:b/>
          <w:bCs/>
          <w:color w:val="auto"/>
          <w:spacing w:val="-4"/>
          <w:sz w:val="24"/>
          <w:szCs w:val="24"/>
          <w:highlight w:val="none"/>
        </w:rPr>
        <w:br w:type="page"/>
      </w:r>
      <w:r>
        <w:rPr>
          <w:b/>
          <w:bCs/>
          <w:color w:val="auto"/>
          <w:spacing w:val="-4"/>
          <w:sz w:val="24"/>
          <w:szCs w:val="24"/>
          <w:highlight w:val="none"/>
        </w:rPr>
        <w:t>8.2</w:t>
      </w:r>
      <w:r>
        <w:rPr>
          <w:color w:val="auto"/>
          <w:spacing w:val="-38"/>
          <w:sz w:val="24"/>
          <w:szCs w:val="24"/>
          <w:highlight w:val="none"/>
        </w:rPr>
        <w:t xml:space="preserve"> </w:t>
      </w:r>
      <w:r>
        <w:rPr>
          <w:b/>
          <w:bCs/>
          <w:color w:val="auto"/>
          <w:spacing w:val="-4"/>
          <w:sz w:val="24"/>
          <w:szCs w:val="24"/>
          <w:highlight w:val="none"/>
        </w:rPr>
        <w:t>拟投入人员一览表（格式）</w:t>
      </w:r>
    </w:p>
    <w:p w14:paraId="21170810">
      <w:pPr>
        <w:pStyle w:val="4"/>
        <w:spacing w:before="255" w:line="219" w:lineRule="auto"/>
        <w:ind w:left="3975"/>
        <w:rPr>
          <w:color w:val="auto"/>
          <w:sz w:val="24"/>
          <w:szCs w:val="24"/>
          <w:highlight w:val="none"/>
        </w:rPr>
      </w:pPr>
      <w:r>
        <w:rPr>
          <w:b/>
          <w:bCs/>
          <w:color w:val="auto"/>
          <w:spacing w:val="-3"/>
          <w:sz w:val="24"/>
          <w:szCs w:val="24"/>
          <w:highlight w:val="none"/>
        </w:rPr>
        <w:t>拟投入人员一览表</w:t>
      </w:r>
    </w:p>
    <w:p w14:paraId="33CF8D6E">
      <w:pPr>
        <w:spacing w:line="221" w:lineRule="exact"/>
        <w:rPr>
          <w:color w:val="auto"/>
          <w:highlight w:val="none"/>
        </w:rPr>
      </w:pPr>
    </w:p>
    <w:tbl>
      <w:tblPr>
        <w:tblStyle w:val="18"/>
        <w:tblW w:w="96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4"/>
        <w:gridCol w:w="1457"/>
        <w:gridCol w:w="1459"/>
        <w:gridCol w:w="2652"/>
        <w:gridCol w:w="1949"/>
        <w:gridCol w:w="1150"/>
      </w:tblGrid>
      <w:tr w14:paraId="131C0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934" w:type="dxa"/>
            <w:vAlign w:val="top"/>
          </w:tcPr>
          <w:p w14:paraId="1E355421">
            <w:pPr>
              <w:pStyle w:val="19"/>
              <w:spacing w:before="230" w:line="221" w:lineRule="auto"/>
              <w:ind w:left="232"/>
              <w:rPr>
                <w:color w:val="auto"/>
                <w:sz w:val="24"/>
                <w:szCs w:val="24"/>
                <w:highlight w:val="none"/>
              </w:rPr>
            </w:pPr>
            <w:r>
              <w:rPr>
                <w:color w:val="auto"/>
                <w:spacing w:val="-5"/>
                <w:sz w:val="24"/>
                <w:szCs w:val="24"/>
                <w:highlight w:val="none"/>
              </w:rPr>
              <w:t>序号</w:t>
            </w:r>
          </w:p>
        </w:tc>
        <w:tc>
          <w:tcPr>
            <w:tcW w:w="1457" w:type="dxa"/>
            <w:vAlign w:val="top"/>
          </w:tcPr>
          <w:p w14:paraId="2D3420EC">
            <w:pPr>
              <w:pStyle w:val="19"/>
              <w:spacing w:before="231" w:line="219" w:lineRule="auto"/>
              <w:ind w:left="494"/>
              <w:rPr>
                <w:color w:val="auto"/>
                <w:sz w:val="24"/>
                <w:szCs w:val="24"/>
                <w:highlight w:val="none"/>
              </w:rPr>
            </w:pPr>
            <w:r>
              <w:rPr>
                <w:color w:val="auto"/>
                <w:spacing w:val="-5"/>
                <w:sz w:val="24"/>
                <w:szCs w:val="24"/>
                <w:highlight w:val="none"/>
              </w:rPr>
              <w:t>姓名</w:t>
            </w:r>
          </w:p>
        </w:tc>
        <w:tc>
          <w:tcPr>
            <w:tcW w:w="1459" w:type="dxa"/>
            <w:vAlign w:val="top"/>
          </w:tcPr>
          <w:p w14:paraId="6CB1C86C">
            <w:pPr>
              <w:pStyle w:val="19"/>
              <w:spacing w:before="231" w:line="219" w:lineRule="auto"/>
              <w:ind w:left="497"/>
              <w:rPr>
                <w:color w:val="auto"/>
                <w:sz w:val="24"/>
                <w:szCs w:val="24"/>
                <w:highlight w:val="none"/>
              </w:rPr>
            </w:pPr>
            <w:r>
              <w:rPr>
                <w:color w:val="auto"/>
                <w:spacing w:val="-6"/>
                <w:sz w:val="24"/>
                <w:szCs w:val="24"/>
                <w:highlight w:val="none"/>
              </w:rPr>
              <w:t>职务</w:t>
            </w:r>
          </w:p>
        </w:tc>
        <w:tc>
          <w:tcPr>
            <w:tcW w:w="2652" w:type="dxa"/>
            <w:vAlign w:val="top"/>
          </w:tcPr>
          <w:p w14:paraId="059B2004">
            <w:pPr>
              <w:pStyle w:val="19"/>
              <w:spacing w:before="78" w:line="228" w:lineRule="auto"/>
              <w:ind w:left="614" w:right="144" w:hanging="481"/>
              <w:rPr>
                <w:color w:val="auto"/>
                <w:sz w:val="24"/>
                <w:szCs w:val="24"/>
                <w:highlight w:val="none"/>
              </w:rPr>
            </w:pPr>
            <w:r>
              <w:rPr>
                <w:color w:val="auto"/>
                <w:spacing w:val="-4"/>
                <w:sz w:val="24"/>
                <w:szCs w:val="24"/>
                <w:highlight w:val="none"/>
              </w:rPr>
              <w:t>专业技术资格（职称）</w:t>
            </w:r>
            <w:r>
              <w:rPr>
                <w:color w:val="auto"/>
                <w:spacing w:val="7"/>
                <w:sz w:val="24"/>
                <w:szCs w:val="24"/>
                <w:highlight w:val="none"/>
              </w:rPr>
              <w:t xml:space="preserve"> </w:t>
            </w:r>
            <w:r>
              <w:rPr>
                <w:color w:val="auto"/>
                <w:spacing w:val="-3"/>
                <w:sz w:val="24"/>
                <w:szCs w:val="24"/>
                <w:highlight w:val="none"/>
              </w:rPr>
              <w:t>或者其他证书</w:t>
            </w:r>
          </w:p>
        </w:tc>
        <w:tc>
          <w:tcPr>
            <w:tcW w:w="1949" w:type="dxa"/>
            <w:vAlign w:val="top"/>
          </w:tcPr>
          <w:p w14:paraId="1F5F78D1">
            <w:pPr>
              <w:pStyle w:val="19"/>
              <w:spacing w:before="230" w:line="219" w:lineRule="auto"/>
              <w:ind w:left="501"/>
              <w:rPr>
                <w:color w:val="auto"/>
                <w:sz w:val="24"/>
                <w:szCs w:val="24"/>
                <w:highlight w:val="none"/>
              </w:rPr>
            </w:pPr>
            <w:r>
              <w:rPr>
                <w:color w:val="auto"/>
                <w:spacing w:val="-3"/>
                <w:sz w:val="24"/>
                <w:szCs w:val="24"/>
                <w:highlight w:val="none"/>
              </w:rPr>
              <w:t>证书编号</w:t>
            </w:r>
          </w:p>
        </w:tc>
        <w:tc>
          <w:tcPr>
            <w:tcW w:w="1150" w:type="dxa"/>
            <w:vAlign w:val="top"/>
          </w:tcPr>
          <w:p w14:paraId="3BFBF536">
            <w:pPr>
              <w:pStyle w:val="19"/>
              <w:spacing w:before="230" w:line="221" w:lineRule="auto"/>
              <w:ind w:left="343"/>
              <w:rPr>
                <w:color w:val="auto"/>
                <w:sz w:val="24"/>
                <w:szCs w:val="24"/>
                <w:highlight w:val="none"/>
              </w:rPr>
            </w:pPr>
            <w:r>
              <w:rPr>
                <w:color w:val="auto"/>
                <w:spacing w:val="-7"/>
                <w:sz w:val="24"/>
                <w:szCs w:val="24"/>
                <w:highlight w:val="none"/>
              </w:rPr>
              <w:t>备注</w:t>
            </w:r>
          </w:p>
        </w:tc>
      </w:tr>
      <w:tr w14:paraId="46C4A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34" w:type="dxa"/>
            <w:vAlign w:val="top"/>
          </w:tcPr>
          <w:p w14:paraId="65187CE7">
            <w:pPr>
              <w:spacing w:before="89" w:line="189" w:lineRule="auto"/>
              <w:ind w:left="427"/>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1</w:t>
            </w:r>
          </w:p>
        </w:tc>
        <w:tc>
          <w:tcPr>
            <w:tcW w:w="1457" w:type="dxa"/>
            <w:vAlign w:val="top"/>
          </w:tcPr>
          <w:p w14:paraId="6AD516F7">
            <w:pPr>
              <w:rPr>
                <w:rFonts w:ascii="Arial"/>
                <w:color w:val="auto"/>
                <w:sz w:val="21"/>
                <w:highlight w:val="none"/>
              </w:rPr>
            </w:pPr>
          </w:p>
        </w:tc>
        <w:tc>
          <w:tcPr>
            <w:tcW w:w="1459" w:type="dxa"/>
            <w:vAlign w:val="top"/>
          </w:tcPr>
          <w:p w14:paraId="4ABD1690">
            <w:pPr>
              <w:rPr>
                <w:rFonts w:ascii="Arial"/>
                <w:color w:val="auto"/>
                <w:sz w:val="21"/>
                <w:highlight w:val="none"/>
              </w:rPr>
            </w:pPr>
          </w:p>
        </w:tc>
        <w:tc>
          <w:tcPr>
            <w:tcW w:w="2652" w:type="dxa"/>
            <w:vAlign w:val="top"/>
          </w:tcPr>
          <w:p w14:paraId="318E5DDE">
            <w:pPr>
              <w:rPr>
                <w:rFonts w:ascii="Arial"/>
                <w:color w:val="auto"/>
                <w:sz w:val="21"/>
                <w:highlight w:val="none"/>
              </w:rPr>
            </w:pPr>
          </w:p>
        </w:tc>
        <w:tc>
          <w:tcPr>
            <w:tcW w:w="1949" w:type="dxa"/>
            <w:vAlign w:val="top"/>
          </w:tcPr>
          <w:p w14:paraId="42266224">
            <w:pPr>
              <w:rPr>
                <w:rFonts w:ascii="Arial"/>
                <w:color w:val="auto"/>
                <w:sz w:val="21"/>
                <w:highlight w:val="none"/>
              </w:rPr>
            </w:pPr>
          </w:p>
        </w:tc>
        <w:tc>
          <w:tcPr>
            <w:tcW w:w="1150" w:type="dxa"/>
            <w:vAlign w:val="top"/>
          </w:tcPr>
          <w:p w14:paraId="1F8D8809">
            <w:pPr>
              <w:rPr>
                <w:rFonts w:ascii="Arial"/>
                <w:color w:val="auto"/>
                <w:sz w:val="21"/>
                <w:highlight w:val="none"/>
              </w:rPr>
            </w:pPr>
          </w:p>
        </w:tc>
      </w:tr>
      <w:tr w14:paraId="3621B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34" w:type="dxa"/>
            <w:vAlign w:val="top"/>
          </w:tcPr>
          <w:p w14:paraId="38A3588A">
            <w:pPr>
              <w:spacing w:before="90" w:line="189" w:lineRule="auto"/>
              <w:ind w:left="400"/>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2</w:t>
            </w:r>
          </w:p>
        </w:tc>
        <w:tc>
          <w:tcPr>
            <w:tcW w:w="1457" w:type="dxa"/>
            <w:vAlign w:val="top"/>
          </w:tcPr>
          <w:p w14:paraId="6F5217AF">
            <w:pPr>
              <w:rPr>
                <w:rFonts w:ascii="Arial"/>
                <w:color w:val="auto"/>
                <w:sz w:val="21"/>
                <w:highlight w:val="none"/>
              </w:rPr>
            </w:pPr>
          </w:p>
        </w:tc>
        <w:tc>
          <w:tcPr>
            <w:tcW w:w="1459" w:type="dxa"/>
            <w:vAlign w:val="top"/>
          </w:tcPr>
          <w:p w14:paraId="461C3059">
            <w:pPr>
              <w:rPr>
                <w:rFonts w:ascii="Arial"/>
                <w:color w:val="auto"/>
                <w:sz w:val="21"/>
                <w:highlight w:val="none"/>
              </w:rPr>
            </w:pPr>
          </w:p>
        </w:tc>
        <w:tc>
          <w:tcPr>
            <w:tcW w:w="2652" w:type="dxa"/>
            <w:vAlign w:val="top"/>
          </w:tcPr>
          <w:p w14:paraId="678218F7">
            <w:pPr>
              <w:rPr>
                <w:rFonts w:ascii="Arial"/>
                <w:color w:val="auto"/>
                <w:sz w:val="21"/>
                <w:highlight w:val="none"/>
              </w:rPr>
            </w:pPr>
          </w:p>
        </w:tc>
        <w:tc>
          <w:tcPr>
            <w:tcW w:w="1949" w:type="dxa"/>
            <w:vAlign w:val="top"/>
          </w:tcPr>
          <w:p w14:paraId="5F391986">
            <w:pPr>
              <w:rPr>
                <w:rFonts w:ascii="Arial"/>
                <w:color w:val="auto"/>
                <w:sz w:val="21"/>
                <w:highlight w:val="none"/>
              </w:rPr>
            </w:pPr>
          </w:p>
        </w:tc>
        <w:tc>
          <w:tcPr>
            <w:tcW w:w="1150" w:type="dxa"/>
            <w:vAlign w:val="top"/>
          </w:tcPr>
          <w:p w14:paraId="497C846E">
            <w:pPr>
              <w:rPr>
                <w:rFonts w:ascii="Arial"/>
                <w:color w:val="auto"/>
                <w:sz w:val="21"/>
                <w:highlight w:val="none"/>
              </w:rPr>
            </w:pPr>
          </w:p>
        </w:tc>
      </w:tr>
      <w:tr w14:paraId="30E17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34" w:type="dxa"/>
            <w:vAlign w:val="top"/>
          </w:tcPr>
          <w:p w14:paraId="223C0E1F">
            <w:pPr>
              <w:spacing w:before="91" w:line="189" w:lineRule="auto"/>
              <w:ind w:left="406"/>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3</w:t>
            </w:r>
          </w:p>
        </w:tc>
        <w:tc>
          <w:tcPr>
            <w:tcW w:w="1457" w:type="dxa"/>
            <w:vAlign w:val="top"/>
          </w:tcPr>
          <w:p w14:paraId="0E4F8A49">
            <w:pPr>
              <w:rPr>
                <w:rFonts w:ascii="Arial"/>
                <w:color w:val="auto"/>
                <w:sz w:val="21"/>
                <w:highlight w:val="none"/>
              </w:rPr>
            </w:pPr>
          </w:p>
        </w:tc>
        <w:tc>
          <w:tcPr>
            <w:tcW w:w="1459" w:type="dxa"/>
            <w:vAlign w:val="top"/>
          </w:tcPr>
          <w:p w14:paraId="46D1B33F">
            <w:pPr>
              <w:rPr>
                <w:rFonts w:ascii="Arial"/>
                <w:color w:val="auto"/>
                <w:sz w:val="21"/>
                <w:highlight w:val="none"/>
              </w:rPr>
            </w:pPr>
          </w:p>
        </w:tc>
        <w:tc>
          <w:tcPr>
            <w:tcW w:w="2652" w:type="dxa"/>
            <w:vAlign w:val="top"/>
          </w:tcPr>
          <w:p w14:paraId="0E4A63B1">
            <w:pPr>
              <w:rPr>
                <w:rFonts w:ascii="Arial"/>
                <w:color w:val="auto"/>
                <w:sz w:val="21"/>
                <w:highlight w:val="none"/>
              </w:rPr>
            </w:pPr>
          </w:p>
        </w:tc>
        <w:tc>
          <w:tcPr>
            <w:tcW w:w="1949" w:type="dxa"/>
            <w:vAlign w:val="top"/>
          </w:tcPr>
          <w:p w14:paraId="1E811D1C">
            <w:pPr>
              <w:rPr>
                <w:rFonts w:ascii="Arial"/>
                <w:color w:val="auto"/>
                <w:sz w:val="21"/>
                <w:highlight w:val="none"/>
              </w:rPr>
            </w:pPr>
          </w:p>
        </w:tc>
        <w:tc>
          <w:tcPr>
            <w:tcW w:w="1150" w:type="dxa"/>
            <w:vAlign w:val="top"/>
          </w:tcPr>
          <w:p w14:paraId="2140B3FD">
            <w:pPr>
              <w:rPr>
                <w:rFonts w:ascii="Arial"/>
                <w:color w:val="auto"/>
                <w:sz w:val="21"/>
                <w:highlight w:val="none"/>
              </w:rPr>
            </w:pPr>
          </w:p>
        </w:tc>
      </w:tr>
      <w:tr w14:paraId="12371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34" w:type="dxa"/>
            <w:vAlign w:val="top"/>
          </w:tcPr>
          <w:p w14:paraId="40C10D22">
            <w:pPr>
              <w:spacing w:before="92" w:line="189" w:lineRule="auto"/>
              <w:ind w:left="399"/>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4</w:t>
            </w:r>
          </w:p>
        </w:tc>
        <w:tc>
          <w:tcPr>
            <w:tcW w:w="1457" w:type="dxa"/>
            <w:vAlign w:val="top"/>
          </w:tcPr>
          <w:p w14:paraId="4DCA5680">
            <w:pPr>
              <w:rPr>
                <w:rFonts w:ascii="Arial"/>
                <w:color w:val="auto"/>
                <w:sz w:val="21"/>
                <w:highlight w:val="none"/>
              </w:rPr>
            </w:pPr>
          </w:p>
        </w:tc>
        <w:tc>
          <w:tcPr>
            <w:tcW w:w="1459" w:type="dxa"/>
            <w:vAlign w:val="top"/>
          </w:tcPr>
          <w:p w14:paraId="7D7B3CCD">
            <w:pPr>
              <w:rPr>
                <w:rFonts w:ascii="Arial"/>
                <w:color w:val="auto"/>
                <w:sz w:val="21"/>
                <w:highlight w:val="none"/>
              </w:rPr>
            </w:pPr>
          </w:p>
        </w:tc>
        <w:tc>
          <w:tcPr>
            <w:tcW w:w="2652" w:type="dxa"/>
            <w:vAlign w:val="top"/>
          </w:tcPr>
          <w:p w14:paraId="5F49F2E1">
            <w:pPr>
              <w:rPr>
                <w:rFonts w:ascii="Arial"/>
                <w:color w:val="auto"/>
                <w:sz w:val="21"/>
                <w:highlight w:val="none"/>
              </w:rPr>
            </w:pPr>
          </w:p>
        </w:tc>
        <w:tc>
          <w:tcPr>
            <w:tcW w:w="1949" w:type="dxa"/>
            <w:vAlign w:val="top"/>
          </w:tcPr>
          <w:p w14:paraId="464F26C3">
            <w:pPr>
              <w:rPr>
                <w:rFonts w:ascii="Arial"/>
                <w:color w:val="auto"/>
                <w:sz w:val="21"/>
                <w:highlight w:val="none"/>
              </w:rPr>
            </w:pPr>
          </w:p>
        </w:tc>
        <w:tc>
          <w:tcPr>
            <w:tcW w:w="1150" w:type="dxa"/>
            <w:vAlign w:val="top"/>
          </w:tcPr>
          <w:p w14:paraId="33C7FAF2">
            <w:pPr>
              <w:rPr>
                <w:rFonts w:ascii="Arial"/>
                <w:color w:val="auto"/>
                <w:sz w:val="21"/>
                <w:highlight w:val="none"/>
              </w:rPr>
            </w:pPr>
          </w:p>
        </w:tc>
      </w:tr>
      <w:tr w14:paraId="27FC7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934" w:type="dxa"/>
            <w:vAlign w:val="top"/>
          </w:tcPr>
          <w:p w14:paraId="40DFA622">
            <w:pPr>
              <w:spacing w:before="97" w:line="186" w:lineRule="auto"/>
              <w:ind w:left="408"/>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5</w:t>
            </w:r>
          </w:p>
        </w:tc>
        <w:tc>
          <w:tcPr>
            <w:tcW w:w="1457" w:type="dxa"/>
            <w:vAlign w:val="top"/>
          </w:tcPr>
          <w:p w14:paraId="43DBA573">
            <w:pPr>
              <w:rPr>
                <w:rFonts w:ascii="Arial"/>
                <w:color w:val="auto"/>
                <w:sz w:val="21"/>
                <w:highlight w:val="none"/>
              </w:rPr>
            </w:pPr>
          </w:p>
        </w:tc>
        <w:tc>
          <w:tcPr>
            <w:tcW w:w="1459" w:type="dxa"/>
            <w:vAlign w:val="top"/>
          </w:tcPr>
          <w:p w14:paraId="1AF12C6F">
            <w:pPr>
              <w:rPr>
                <w:rFonts w:ascii="Arial"/>
                <w:color w:val="auto"/>
                <w:sz w:val="21"/>
                <w:highlight w:val="none"/>
              </w:rPr>
            </w:pPr>
          </w:p>
        </w:tc>
        <w:tc>
          <w:tcPr>
            <w:tcW w:w="2652" w:type="dxa"/>
            <w:vAlign w:val="top"/>
          </w:tcPr>
          <w:p w14:paraId="728F8C1F">
            <w:pPr>
              <w:rPr>
                <w:rFonts w:ascii="Arial"/>
                <w:color w:val="auto"/>
                <w:sz w:val="21"/>
                <w:highlight w:val="none"/>
              </w:rPr>
            </w:pPr>
          </w:p>
        </w:tc>
        <w:tc>
          <w:tcPr>
            <w:tcW w:w="1949" w:type="dxa"/>
            <w:vAlign w:val="top"/>
          </w:tcPr>
          <w:p w14:paraId="32936ABA">
            <w:pPr>
              <w:rPr>
                <w:rFonts w:ascii="Arial"/>
                <w:color w:val="auto"/>
                <w:sz w:val="21"/>
                <w:highlight w:val="none"/>
              </w:rPr>
            </w:pPr>
          </w:p>
        </w:tc>
        <w:tc>
          <w:tcPr>
            <w:tcW w:w="1150" w:type="dxa"/>
            <w:vAlign w:val="top"/>
          </w:tcPr>
          <w:p w14:paraId="3CF7B56F">
            <w:pPr>
              <w:rPr>
                <w:rFonts w:ascii="Arial"/>
                <w:color w:val="auto"/>
                <w:sz w:val="21"/>
                <w:highlight w:val="none"/>
              </w:rPr>
            </w:pPr>
          </w:p>
        </w:tc>
      </w:tr>
      <w:tr w14:paraId="2E589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934" w:type="dxa"/>
            <w:vAlign w:val="top"/>
          </w:tcPr>
          <w:p w14:paraId="5F7B9F11">
            <w:pPr>
              <w:rPr>
                <w:rFonts w:ascii="Arial"/>
                <w:color w:val="auto"/>
                <w:sz w:val="21"/>
                <w:highlight w:val="none"/>
              </w:rPr>
            </w:pPr>
          </w:p>
        </w:tc>
        <w:tc>
          <w:tcPr>
            <w:tcW w:w="1457" w:type="dxa"/>
            <w:vAlign w:val="top"/>
          </w:tcPr>
          <w:p w14:paraId="7FF795C4">
            <w:pPr>
              <w:rPr>
                <w:rFonts w:ascii="Arial"/>
                <w:color w:val="auto"/>
                <w:sz w:val="21"/>
                <w:highlight w:val="none"/>
              </w:rPr>
            </w:pPr>
          </w:p>
        </w:tc>
        <w:tc>
          <w:tcPr>
            <w:tcW w:w="1459" w:type="dxa"/>
            <w:vAlign w:val="top"/>
          </w:tcPr>
          <w:p w14:paraId="0B39F251">
            <w:pPr>
              <w:rPr>
                <w:rFonts w:ascii="Arial"/>
                <w:color w:val="auto"/>
                <w:sz w:val="21"/>
                <w:highlight w:val="none"/>
              </w:rPr>
            </w:pPr>
          </w:p>
        </w:tc>
        <w:tc>
          <w:tcPr>
            <w:tcW w:w="2652" w:type="dxa"/>
            <w:vAlign w:val="top"/>
          </w:tcPr>
          <w:p w14:paraId="3C3688F5">
            <w:pPr>
              <w:rPr>
                <w:rFonts w:ascii="Arial"/>
                <w:color w:val="auto"/>
                <w:sz w:val="21"/>
                <w:highlight w:val="none"/>
              </w:rPr>
            </w:pPr>
          </w:p>
        </w:tc>
        <w:tc>
          <w:tcPr>
            <w:tcW w:w="1949" w:type="dxa"/>
            <w:vAlign w:val="top"/>
          </w:tcPr>
          <w:p w14:paraId="3FCCA824">
            <w:pPr>
              <w:rPr>
                <w:rFonts w:ascii="Arial"/>
                <w:color w:val="auto"/>
                <w:sz w:val="21"/>
                <w:highlight w:val="none"/>
              </w:rPr>
            </w:pPr>
          </w:p>
        </w:tc>
        <w:tc>
          <w:tcPr>
            <w:tcW w:w="1150" w:type="dxa"/>
            <w:vAlign w:val="top"/>
          </w:tcPr>
          <w:p w14:paraId="51D4443D">
            <w:pPr>
              <w:rPr>
                <w:rFonts w:ascii="Arial"/>
                <w:color w:val="auto"/>
                <w:sz w:val="21"/>
                <w:highlight w:val="none"/>
              </w:rPr>
            </w:pPr>
          </w:p>
        </w:tc>
      </w:tr>
      <w:tr w14:paraId="2F5D5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934" w:type="dxa"/>
            <w:vAlign w:val="top"/>
          </w:tcPr>
          <w:p w14:paraId="40845603">
            <w:pPr>
              <w:spacing w:before="264" w:line="87" w:lineRule="exact"/>
              <w:ind w:left="378"/>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pacing w:val="-1"/>
                <w:position w:val="1"/>
                <w:sz w:val="28"/>
                <w:szCs w:val="28"/>
                <w:highlight w:val="none"/>
              </w:rPr>
              <w:t>...</w:t>
            </w:r>
          </w:p>
        </w:tc>
        <w:tc>
          <w:tcPr>
            <w:tcW w:w="1457" w:type="dxa"/>
            <w:vAlign w:val="top"/>
          </w:tcPr>
          <w:p w14:paraId="325F8B4E">
            <w:pPr>
              <w:rPr>
                <w:rFonts w:ascii="Arial"/>
                <w:color w:val="auto"/>
                <w:sz w:val="21"/>
                <w:highlight w:val="none"/>
              </w:rPr>
            </w:pPr>
          </w:p>
        </w:tc>
        <w:tc>
          <w:tcPr>
            <w:tcW w:w="1459" w:type="dxa"/>
            <w:vAlign w:val="top"/>
          </w:tcPr>
          <w:p w14:paraId="0A4B1703">
            <w:pPr>
              <w:rPr>
                <w:rFonts w:ascii="Arial"/>
                <w:color w:val="auto"/>
                <w:sz w:val="21"/>
                <w:highlight w:val="none"/>
              </w:rPr>
            </w:pPr>
          </w:p>
        </w:tc>
        <w:tc>
          <w:tcPr>
            <w:tcW w:w="2652" w:type="dxa"/>
            <w:vAlign w:val="top"/>
          </w:tcPr>
          <w:p w14:paraId="306641E8">
            <w:pPr>
              <w:rPr>
                <w:rFonts w:ascii="Arial"/>
                <w:color w:val="auto"/>
                <w:sz w:val="21"/>
                <w:highlight w:val="none"/>
              </w:rPr>
            </w:pPr>
          </w:p>
        </w:tc>
        <w:tc>
          <w:tcPr>
            <w:tcW w:w="1949" w:type="dxa"/>
            <w:vAlign w:val="top"/>
          </w:tcPr>
          <w:p w14:paraId="34EFE15B">
            <w:pPr>
              <w:rPr>
                <w:rFonts w:ascii="Arial"/>
                <w:color w:val="auto"/>
                <w:sz w:val="21"/>
                <w:highlight w:val="none"/>
              </w:rPr>
            </w:pPr>
          </w:p>
        </w:tc>
        <w:tc>
          <w:tcPr>
            <w:tcW w:w="1150" w:type="dxa"/>
            <w:vAlign w:val="top"/>
          </w:tcPr>
          <w:p w14:paraId="67F911A1">
            <w:pPr>
              <w:rPr>
                <w:rFonts w:ascii="Arial"/>
                <w:color w:val="auto"/>
                <w:sz w:val="21"/>
                <w:highlight w:val="none"/>
              </w:rPr>
            </w:pPr>
          </w:p>
        </w:tc>
      </w:tr>
    </w:tbl>
    <w:p w14:paraId="264AE4AC">
      <w:pPr>
        <w:pStyle w:val="4"/>
        <w:spacing w:before="263" w:line="232" w:lineRule="auto"/>
        <w:ind w:left="119"/>
        <w:rPr>
          <w:color w:val="auto"/>
          <w:sz w:val="19"/>
          <w:szCs w:val="19"/>
          <w:highlight w:val="none"/>
        </w:rPr>
      </w:pPr>
      <w:r>
        <w:rPr>
          <w:color w:val="auto"/>
          <w:sz w:val="19"/>
          <w:szCs w:val="19"/>
          <w:highlight w:val="none"/>
        </w:rPr>
        <w:t>注：</w:t>
      </w:r>
    </w:p>
    <w:p w14:paraId="11BAD34A">
      <w:pPr>
        <w:pStyle w:val="4"/>
        <w:spacing w:before="22" w:line="227" w:lineRule="auto"/>
        <w:ind w:left="134"/>
        <w:rPr>
          <w:color w:val="auto"/>
          <w:sz w:val="19"/>
          <w:szCs w:val="19"/>
          <w:highlight w:val="none"/>
        </w:rPr>
      </w:pPr>
      <w:r>
        <w:rPr>
          <w:color w:val="auto"/>
          <w:spacing w:val="9"/>
          <w:sz w:val="19"/>
          <w:szCs w:val="19"/>
          <w:highlight w:val="none"/>
        </w:rPr>
        <w:t>1.在填写时，如本表格不适合投标人的实际情况，可根据本表格式</w:t>
      </w:r>
      <w:r>
        <w:rPr>
          <w:color w:val="auto"/>
          <w:spacing w:val="8"/>
          <w:sz w:val="19"/>
          <w:szCs w:val="19"/>
          <w:highlight w:val="none"/>
        </w:rPr>
        <w:t>自行制表填写。</w:t>
      </w:r>
    </w:p>
    <w:p w14:paraId="3A70E3FA">
      <w:pPr>
        <w:pStyle w:val="4"/>
        <w:spacing w:before="26" w:line="227" w:lineRule="auto"/>
        <w:ind w:left="121"/>
        <w:rPr>
          <w:color w:val="auto"/>
          <w:sz w:val="19"/>
          <w:szCs w:val="19"/>
          <w:highlight w:val="none"/>
        </w:rPr>
      </w:pPr>
      <w:r>
        <w:rPr>
          <w:color w:val="auto"/>
          <w:spacing w:val="7"/>
          <w:sz w:val="19"/>
          <w:szCs w:val="19"/>
          <w:highlight w:val="none"/>
        </w:rPr>
        <w:t>2</w:t>
      </w:r>
      <w:r>
        <w:rPr>
          <w:color w:val="auto"/>
          <w:spacing w:val="-11"/>
          <w:sz w:val="19"/>
          <w:szCs w:val="19"/>
          <w:highlight w:val="none"/>
        </w:rPr>
        <w:t xml:space="preserve"> </w:t>
      </w:r>
      <w:r>
        <w:rPr>
          <w:color w:val="auto"/>
          <w:spacing w:val="7"/>
          <w:sz w:val="19"/>
          <w:szCs w:val="19"/>
          <w:highlight w:val="none"/>
        </w:rPr>
        <w:t>附相关证明材料复印件并加盖投标人公章。</w:t>
      </w:r>
    </w:p>
    <w:p w14:paraId="2654490E">
      <w:pPr>
        <w:spacing w:line="266" w:lineRule="auto"/>
        <w:rPr>
          <w:rFonts w:ascii="Arial"/>
          <w:color w:val="auto"/>
          <w:sz w:val="21"/>
          <w:highlight w:val="none"/>
        </w:rPr>
      </w:pPr>
    </w:p>
    <w:p w14:paraId="69E922BF">
      <w:pPr>
        <w:spacing w:line="267" w:lineRule="auto"/>
        <w:rPr>
          <w:rFonts w:ascii="Arial"/>
          <w:color w:val="auto"/>
          <w:sz w:val="21"/>
          <w:highlight w:val="none"/>
        </w:rPr>
      </w:pPr>
    </w:p>
    <w:p w14:paraId="4BA7AB24">
      <w:pPr>
        <w:spacing w:line="267" w:lineRule="auto"/>
        <w:rPr>
          <w:rFonts w:ascii="Arial"/>
          <w:color w:val="auto"/>
          <w:sz w:val="21"/>
          <w:highlight w:val="none"/>
        </w:rPr>
      </w:pPr>
    </w:p>
    <w:p w14:paraId="5B4DD2C8">
      <w:pPr>
        <w:pStyle w:val="4"/>
        <w:spacing w:before="78" w:line="468" w:lineRule="auto"/>
        <w:ind w:left="2521" w:right="1515" w:firstLine="3241"/>
        <w:rPr>
          <w:color w:val="auto"/>
          <w:sz w:val="24"/>
          <w:szCs w:val="24"/>
          <w:highlight w:val="none"/>
        </w:rPr>
      </w:pPr>
      <w:r>
        <w:rPr>
          <w:color w:val="auto"/>
          <w:spacing w:val="-7"/>
          <w:sz w:val="24"/>
          <w:szCs w:val="24"/>
          <w:highlight w:val="none"/>
        </w:rPr>
        <w:t>投标人名称(盖公章)：</w:t>
      </w:r>
      <w:r>
        <w:rPr>
          <w:color w:val="auto"/>
          <w:spacing w:val="3"/>
          <w:sz w:val="24"/>
          <w:szCs w:val="24"/>
          <w:highlight w:val="none"/>
        </w:rPr>
        <w:t xml:space="preserve"> </w:t>
      </w: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54FCE881">
      <w:pPr>
        <w:pStyle w:val="4"/>
        <w:spacing w:before="216" w:line="219" w:lineRule="auto"/>
        <w:ind w:left="6042"/>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7ED72A7C">
      <w:pPr>
        <w:spacing w:line="332" w:lineRule="auto"/>
        <w:rPr>
          <w:rFonts w:ascii="Arial"/>
          <w:color w:val="auto"/>
          <w:sz w:val="21"/>
          <w:highlight w:val="none"/>
        </w:rPr>
      </w:pPr>
    </w:p>
    <w:p w14:paraId="2A7A1BF3">
      <w:pPr>
        <w:pStyle w:val="4"/>
        <w:spacing w:before="79" w:line="219" w:lineRule="auto"/>
        <w:ind w:left="121"/>
        <w:rPr>
          <w:color w:val="auto"/>
          <w:sz w:val="24"/>
          <w:szCs w:val="24"/>
          <w:highlight w:val="none"/>
        </w:rPr>
      </w:pPr>
      <w:r>
        <w:rPr>
          <w:b/>
          <w:bCs/>
          <w:color w:val="auto"/>
          <w:spacing w:val="-3"/>
          <w:sz w:val="24"/>
          <w:szCs w:val="24"/>
          <w:highlight w:val="none"/>
        </w:rPr>
        <w:t>8.3</w:t>
      </w:r>
      <w:r>
        <w:rPr>
          <w:color w:val="auto"/>
          <w:spacing w:val="-38"/>
          <w:sz w:val="24"/>
          <w:szCs w:val="24"/>
          <w:highlight w:val="none"/>
        </w:rPr>
        <w:t xml:space="preserve"> </w:t>
      </w:r>
      <w:r>
        <w:rPr>
          <w:b/>
          <w:bCs/>
          <w:color w:val="auto"/>
          <w:spacing w:val="-3"/>
          <w:sz w:val="24"/>
          <w:szCs w:val="24"/>
          <w:highlight w:val="none"/>
        </w:rPr>
        <w:t>经营场所证明材料（格式自拟，加盖投标人公章）</w:t>
      </w:r>
    </w:p>
    <w:p w14:paraId="4954604C">
      <w:pPr>
        <w:pStyle w:val="4"/>
        <w:spacing w:before="201" w:line="219" w:lineRule="auto"/>
        <w:ind w:left="121"/>
        <w:rPr>
          <w:color w:val="auto"/>
          <w:sz w:val="24"/>
          <w:szCs w:val="24"/>
          <w:highlight w:val="none"/>
        </w:rPr>
      </w:pPr>
      <w:r>
        <w:rPr>
          <w:b/>
          <w:bCs/>
          <w:color w:val="auto"/>
          <w:spacing w:val="-7"/>
          <w:sz w:val="24"/>
          <w:szCs w:val="24"/>
          <w:highlight w:val="none"/>
        </w:rPr>
        <w:br w:type="page"/>
      </w:r>
      <w:r>
        <w:rPr>
          <w:b/>
          <w:bCs/>
          <w:color w:val="auto"/>
          <w:spacing w:val="-7"/>
          <w:sz w:val="24"/>
          <w:szCs w:val="24"/>
          <w:highlight w:val="none"/>
        </w:rPr>
        <w:t>8.4</w:t>
      </w:r>
      <w:r>
        <w:rPr>
          <w:color w:val="auto"/>
          <w:spacing w:val="-47"/>
          <w:sz w:val="24"/>
          <w:szCs w:val="24"/>
          <w:highlight w:val="none"/>
        </w:rPr>
        <w:t xml:space="preserve"> </w:t>
      </w:r>
      <w:r>
        <w:rPr>
          <w:b/>
          <w:bCs/>
          <w:color w:val="auto"/>
          <w:spacing w:val="-7"/>
          <w:sz w:val="24"/>
          <w:szCs w:val="24"/>
          <w:highlight w:val="none"/>
        </w:rPr>
        <w:t>投标人202</w:t>
      </w:r>
      <w:r>
        <w:rPr>
          <w:rFonts w:hint="eastAsia"/>
          <w:b/>
          <w:bCs/>
          <w:color w:val="auto"/>
          <w:spacing w:val="-7"/>
          <w:sz w:val="24"/>
          <w:szCs w:val="24"/>
          <w:highlight w:val="none"/>
          <w:lang w:val="en-US" w:eastAsia="zh-CN"/>
        </w:rPr>
        <w:t>3</w:t>
      </w:r>
      <w:r>
        <w:rPr>
          <w:b/>
          <w:bCs/>
          <w:color w:val="auto"/>
          <w:spacing w:val="-7"/>
          <w:sz w:val="24"/>
          <w:szCs w:val="24"/>
          <w:highlight w:val="none"/>
        </w:rPr>
        <w:t>年1月1日以来类似食品供应服务的业绩（格</w:t>
      </w:r>
      <w:r>
        <w:rPr>
          <w:b/>
          <w:bCs/>
          <w:color w:val="auto"/>
          <w:spacing w:val="-8"/>
          <w:sz w:val="24"/>
          <w:szCs w:val="24"/>
          <w:highlight w:val="none"/>
        </w:rPr>
        <w:t>式）</w:t>
      </w:r>
    </w:p>
    <w:p w14:paraId="76BC1F2F">
      <w:pPr>
        <w:pStyle w:val="4"/>
        <w:spacing w:before="260" w:line="219" w:lineRule="auto"/>
        <w:ind w:left="1751"/>
        <w:rPr>
          <w:color w:val="auto"/>
          <w:sz w:val="24"/>
          <w:szCs w:val="24"/>
          <w:highlight w:val="none"/>
        </w:rPr>
      </w:pPr>
      <w:r>
        <w:rPr>
          <w:b/>
          <w:bCs/>
          <w:color w:val="auto"/>
          <w:spacing w:val="-7"/>
          <w:sz w:val="24"/>
          <w:szCs w:val="24"/>
          <w:highlight w:val="none"/>
        </w:rPr>
        <w:t>投标人202</w:t>
      </w:r>
      <w:r>
        <w:rPr>
          <w:rFonts w:hint="eastAsia"/>
          <w:b/>
          <w:bCs/>
          <w:color w:val="auto"/>
          <w:spacing w:val="-7"/>
          <w:sz w:val="24"/>
          <w:szCs w:val="24"/>
          <w:highlight w:val="none"/>
          <w:lang w:val="en-US" w:eastAsia="zh-CN"/>
        </w:rPr>
        <w:t>3</w:t>
      </w:r>
      <w:r>
        <w:rPr>
          <w:b/>
          <w:bCs/>
          <w:color w:val="auto"/>
          <w:spacing w:val="-7"/>
          <w:sz w:val="24"/>
          <w:szCs w:val="24"/>
          <w:highlight w:val="none"/>
        </w:rPr>
        <w:t>年1月1日以来类似食品供</w:t>
      </w:r>
      <w:r>
        <w:rPr>
          <w:b/>
          <w:bCs/>
          <w:color w:val="auto"/>
          <w:spacing w:val="-8"/>
          <w:sz w:val="24"/>
          <w:szCs w:val="24"/>
          <w:highlight w:val="none"/>
        </w:rPr>
        <w:t>应服务的业绩一览表</w:t>
      </w:r>
    </w:p>
    <w:p w14:paraId="32561F71">
      <w:pPr>
        <w:spacing w:line="224" w:lineRule="exact"/>
        <w:rPr>
          <w:color w:val="auto"/>
          <w:highlight w:val="none"/>
        </w:rPr>
      </w:pPr>
    </w:p>
    <w:tbl>
      <w:tblPr>
        <w:tblStyle w:val="18"/>
        <w:tblW w:w="97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2"/>
        <w:gridCol w:w="1692"/>
        <w:gridCol w:w="2058"/>
        <w:gridCol w:w="3153"/>
        <w:gridCol w:w="2088"/>
      </w:tblGrid>
      <w:tr w14:paraId="2FF4A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752" w:type="dxa"/>
            <w:vAlign w:val="top"/>
          </w:tcPr>
          <w:p w14:paraId="1B5CE8BE">
            <w:pPr>
              <w:pStyle w:val="19"/>
              <w:spacing w:before="97" w:line="221" w:lineRule="auto"/>
              <w:ind w:left="141"/>
              <w:rPr>
                <w:color w:val="auto"/>
                <w:sz w:val="24"/>
                <w:szCs w:val="24"/>
                <w:highlight w:val="none"/>
              </w:rPr>
            </w:pPr>
            <w:r>
              <w:rPr>
                <w:color w:val="auto"/>
                <w:spacing w:val="-5"/>
                <w:sz w:val="24"/>
                <w:szCs w:val="24"/>
                <w:highlight w:val="none"/>
              </w:rPr>
              <w:t>序号</w:t>
            </w:r>
          </w:p>
        </w:tc>
        <w:tc>
          <w:tcPr>
            <w:tcW w:w="1692" w:type="dxa"/>
            <w:vAlign w:val="top"/>
          </w:tcPr>
          <w:p w14:paraId="0E276AB5">
            <w:pPr>
              <w:pStyle w:val="19"/>
              <w:spacing w:before="97" w:line="219" w:lineRule="auto"/>
              <w:ind w:left="131"/>
              <w:rPr>
                <w:color w:val="auto"/>
                <w:sz w:val="24"/>
                <w:szCs w:val="24"/>
                <w:highlight w:val="none"/>
              </w:rPr>
            </w:pPr>
            <w:r>
              <w:rPr>
                <w:color w:val="auto"/>
                <w:spacing w:val="-2"/>
                <w:sz w:val="24"/>
                <w:szCs w:val="24"/>
                <w:highlight w:val="none"/>
              </w:rPr>
              <w:t>采购单位名称</w:t>
            </w:r>
          </w:p>
        </w:tc>
        <w:tc>
          <w:tcPr>
            <w:tcW w:w="2058" w:type="dxa"/>
            <w:vAlign w:val="top"/>
          </w:tcPr>
          <w:p w14:paraId="23BC3E1E">
            <w:pPr>
              <w:pStyle w:val="19"/>
              <w:spacing w:before="98" w:line="220" w:lineRule="auto"/>
              <w:ind w:left="558"/>
              <w:rPr>
                <w:color w:val="auto"/>
                <w:sz w:val="24"/>
                <w:szCs w:val="24"/>
                <w:highlight w:val="none"/>
              </w:rPr>
            </w:pPr>
            <w:r>
              <w:rPr>
                <w:color w:val="auto"/>
                <w:spacing w:val="-4"/>
                <w:sz w:val="24"/>
                <w:szCs w:val="24"/>
                <w:highlight w:val="none"/>
              </w:rPr>
              <w:t>项目名称</w:t>
            </w:r>
          </w:p>
        </w:tc>
        <w:tc>
          <w:tcPr>
            <w:tcW w:w="3153" w:type="dxa"/>
            <w:vAlign w:val="top"/>
          </w:tcPr>
          <w:p w14:paraId="4B84932F">
            <w:pPr>
              <w:pStyle w:val="19"/>
              <w:spacing w:before="98" w:line="220" w:lineRule="auto"/>
              <w:ind w:left="866"/>
              <w:rPr>
                <w:color w:val="auto"/>
                <w:sz w:val="24"/>
                <w:szCs w:val="24"/>
                <w:highlight w:val="none"/>
              </w:rPr>
            </w:pPr>
            <w:r>
              <w:rPr>
                <w:color w:val="auto"/>
                <w:spacing w:val="-2"/>
                <w:sz w:val="24"/>
                <w:szCs w:val="24"/>
                <w:highlight w:val="none"/>
              </w:rPr>
              <w:t>合同履行期限</w:t>
            </w:r>
          </w:p>
        </w:tc>
        <w:tc>
          <w:tcPr>
            <w:tcW w:w="2088" w:type="dxa"/>
            <w:vAlign w:val="top"/>
          </w:tcPr>
          <w:p w14:paraId="4D2C1D27">
            <w:pPr>
              <w:pStyle w:val="19"/>
              <w:spacing w:before="98" w:line="219" w:lineRule="auto"/>
              <w:ind w:left="117"/>
              <w:rPr>
                <w:color w:val="auto"/>
                <w:sz w:val="24"/>
                <w:szCs w:val="24"/>
                <w:highlight w:val="none"/>
              </w:rPr>
            </w:pPr>
            <w:r>
              <w:rPr>
                <w:color w:val="auto"/>
                <w:spacing w:val="-2"/>
                <w:sz w:val="24"/>
                <w:szCs w:val="24"/>
                <w:highlight w:val="none"/>
              </w:rPr>
              <w:t>合同金额（万元）</w:t>
            </w:r>
          </w:p>
        </w:tc>
      </w:tr>
      <w:tr w14:paraId="330BA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52" w:type="dxa"/>
            <w:vAlign w:val="top"/>
          </w:tcPr>
          <w:p w14:paraId="4866CD3D">
            <w:pPr>
              <w:spacing w:before="129" w:line="189" w:lineRule="auto"/>
              <w:ind w:left="336"/>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1</w:t>
            </w:r>
          </w:p>
        </w:tc>
        <w:tc>
          <w:tcPr>
            <w:tcW w:w="1692" w:type="dxa"/>
            <w:vAlign w:val="top"/>
          </w:tcPr>
          <w:p w14:paraId="642D7614">
            <w:pPr>
              <w:rPr>
                <w:rFonts w:ascii="Arial"/>
                <w:color w:val="auto"/>
                <w:sz w:val="21"/>
                <w:highlight w:val="none"/>
              </w:rPr>
            </w:pPr>
          </w:p>
        </w:tc>
        <w:tc>
          <w:tcPr>
            <w:tcW w:w="2058" w:type="dxa"/>
            <w:vAlign w:val="top"/>
          </w:tcPr>
          <w:p w14:paraId="50F02B95">
            <w:pPr>
              <w:rPr>
                <w:rFonts w:ascii="Arial"/>
                <w:color w:val="auto"/>
                <w:sz w:val="21"/>
                <w:highlight w:val="none"/>
              </w:rPr>
            </w:pPr>
          </w:p>
        </w:tc>
        <w:tc>
          <w:tcPr>
            <w:tcW w:w="3153" w:type="dxa"/>
            <w:vAlign w:val="top"/>
          </w:tcPr>
          <w:p w14:paraId="745DABD3">
            <w:pPr>
              <w:pStyle w:val="19"/>
              <w:spacing w:before="110"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12211E2C">
            <w:pPr>
              <w:rPr>
                <w:rFonts w:ascii="Arial"/>
                <w:color w:val="auto"/>
                <w:sz w:val="21"/>
                <w:highlight w:val="none"/>
              </w:rPr>
            </w:pPr>
          </w:p>
        </w:tc>
      </w:tr>
      <w:tr w14:paraId="595C4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52" w:type="dxa"/>
            <w:vAlign w:val="top"/>
          </w:tcPr>
          <w:p w14:paraId="52D9F430">
            <w:pPr>
              <w:spacing w:before="129" w:line="189" w:lineRule="auto"/>
              <w:ind w:left="309"/>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2</w:t>
            </w:r>
          </w:p>
        </w:tc>
        <w:tc>
          <w:tcPr>
            <w:tcW w:w="1692" w:type="dxa"/>
            <w:vAlign w:val="top"/>
          </w:tcPr>
          <w:p w14:paraId="6F5DF9EA">
            <w:pPr>
              <w:rPr>
                <w:rFonts w:ascii="Arial"/>
                <w:color w:val="auto"/>
                <w:sz w:val="21"/>
                <w:highlight w:val="none"/>
              </w:rPr>
            </w:pPr>
          </w:p>
        </w:tc>
        <w:tc>
          <w:tcPr>
            <w:tcW w:w="2058" w:type="dxa"/>
            <w:vAlign w:val="top"/>
          </w:tcPr>
          <w:p w14:paraId="5E1B7FDB">
            <w:pPr>
              <w:rPr>
                <w:rFonts w:ascii="Arial"/>
                <w:color w:val="auto"/>
                <w:sz w:val="21"/>
                <w:highlight w:val="none"/>
              </w:rPr>
            </w:pPr>
          </w:p>
        </w:tc>
        <w:tc>
          <w:tcPr>
            <w:tcW w:w="3153" w:type="dxa"/>
            <w:vAlign w:val="top"/>
          </w:tcPr>
          <w:p w14:paraId="30CB09C8">
            <w:pPr>
              <w:pStyle w:val="19"/>
              <w:spacing w:before="110"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3DDB8A6D">
            <w:pPr>
              <w:rPr>
                <w:rFonts w:ascii="Arial"/>
                <w:color w:val="auto"/>
                <w:sz w:val="21"/>
                <w:highlight w:val="none"/>
              </w:rPr>
            </w:pPr>
          </w:p>
        </w:tc>
      </w:tr>
      <w:tr w14:paraId="50D3C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52" w:type="dxa"/>
            <w:vAlign w:val="top"/>
          </w:tcPr>
          <w:p w14:paraId="3E8026D0">
            <w:pPr>
              <w:spacing w:before="129" w:line="189" w:lineRule="auto"/>
              <w:ind w:left="314"/>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3</w:t>
            </w:r>
          </w:p>
        </w:tc>
        <w:tc>
          <w:tcPr>
            <w:tcW w:w="1692" w:type="dxa"/>
            <w:vAlign w:val="top"/>
          </w:tcPr>
          <w:p w14:paraId="2871B188">
            <w:pPr>
              <w:rPr>
                <w:rFonts w:ascii="Arial"/>
                <w:color w:val="auto"/>
                <w:sz w:val="21"/>
                <w:highlight w:val="none"/>
              </w:rPr>
            </w:pPr>
          </w:p>
        </w:tc>
        <w:tc>
          <w:tcPr>
            <w:tcW w:w="2058" w:type="dxa"/>
            <w:vAlign w:val="top"/>
          </w:tcPr>
          <w:p w14:paraId="084F875B">
            <w:pPr>
              <w:rPr>
                <w:rFonts w:ascii="Arial"/>
                <w:color w:val="auto"/>
                <w:sz w:val="21"/>
                <w:highlight w:val="none"/>
              </w:rPr>
            </w:pPr>
          </w:p>
        </w:tc>
        <w:tc>
          <w:tcPr>
            <w:tcW w:w="3153" w:type="dxa"/>
            <w:vAlign w:val="top"/>
          </w:tcPr>
          <w:p w14:paraId="7370EF2F">
            <w:pPr>
              <w:pStyle w:val="19"/>
              <w:spacing w:before="111"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7D0CC85A">
            <w:pPr>
              <w:rPr>
                <w:rFonts w:ascii="Arial"/>
                <w:color w:val="auto"/>
                <w:sz w:val="21"/>
                <w:highlight w:val="none"/>
              </w:rPr>
            </w:pPr>
          </w:p>
        </w:tc>
      </w:tr>
      <w:tr w14:paraId="38E4F5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52" w:type="dxa"/>
            <w:vAlign w:val="top"/>
          </w:tcPr>
          <w:p w14:paraId="284290E0">
            <w:pPr>
              <w:spacing w:before="132" w:line="189" w:lineRule="auto"/>
              <w:ind w:left="307"/>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4</w:t>
            </w:r>
          </w:p>
        </w:tc>
        <w:tc>
          <w:tcPr>
            <w:tcW w:w="1692" w:type="dxa"/>
            <w:vAlign w:val="top"/>
          </w:tcPr>
          <w:p w14:paraId="1C91AE82">
            <w:pPr>
              <w:rPr>
                <w:rFonts w:ascii="Arial"/>
                <w:color w:val="auto"/>
                <w:sz w:val="21"/>
                <w:highlight w:val="none"/>
              </w:rPr>
            </w:pPr>
          </w:p>
        </w:tc>
        <w:tc>
          <w:tcPr>
            <w:tcW w:w="2058" w:type="dxa"/>
            <w:vAlign w:val="top"/>
          </w:tcPr>
          <w:p w14:paraId="219B36B8">
            <w:pPr>
              <w:rPr>
                <w:rFonts w:ascii="Arial"/>
                <w:color w:val="auto"/>
                <w:sz w:val="21"/>
                <w:highlight w:val="none"/>
              </w:rPr>
            </w:pPr>
          </w:p>
        </w:tc>
        <w:tc>
          <w:tcPr>
            <w:tcW w:w="3153" w:type="dxa"/>
            <w:vAlign w:val="top"/>
          </w:tcPr>
          <w:p w14:paraId="028CEE00">
            <w:pPr>
              <w:pStyle w:val="19"/>
              <w:spacing w:before="113"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7B301D9B">
            <w:pPr>
              <w:rPr>
                <w:rFonts w:ascii="Arial"/>
                <w:color w:val="auto"/>
                <w:sz w:val="21"/>
                <w:highlight w:val="none"/>
              </w:rPr>
            </w:pPr>
          </w:p>
        </w:tc>
      </w:tr>
      <w:tr w14:paraId="5B2DE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52" w:type="dxa"/>
            <w:vAlign w:val="top"/>
          </w:tcPr>
          <w:p w14:paraId="0FA4278A">
            <w:pPr>
              <w:spacing w:before="136" w:line="186" w:lineRule="auto"/>
              <w:ind w:left="316"/>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z w:val="28"/>
                <w:szCs w:val="28"/>
                <w:highlight w:val="none"/>
              </w:rPr>
              <w:t>5</w:t>
            </w:r>
          </w:p>
        </w:tc>
        <w:tc>
          <w:tcPr>
            <w:tcW w:w="1692" w:type="dxa"/>
            <w:vAlign w:val="top"/>
          </w:tcPr>
          <w:p w14:paraId="1F77E5A4">
            <w:pPr>
              <w:rPr>
                <w:rFonts w:ascii="Arial"/>
                <w:color w:val="auto"/>
                <w:sz w:val="21"/>
                <w:highlight w:val="none"/>
              </w:rPr>
            </w:pPr>
          </w:p>
        </w:tc>
        <w:tc>
          <w:tcPr>
            <w:tcW w:w="2058" w:type="dxa"/>
            <w:vAlign w:val="top"/>
          </w:tcPr>
          <w:p w14:paraId="65C2BF9C">
            <w:pPr>
              <w:rPr>
                <w:rFonts w:ascii="Arial"/>
                <w:color w:val="auto"/>
                <w:sz w:val="21"/>
                <w:highlight w:val="none"/>
              </w:rPr>
            </w:pPr>
          </w:p>
        </w:tc>
        <w:tc>
          <w:tcPr>
            <w:tcW w:w="3153" w:type="dxa"/>
            <w:vAlign w:val="top"/>
          </w:tcPr>
          <w:p w14:paraId="350E7DD7">
            <w:pPr>
              <w:pStyle w:val="19"/>
              <w:spacing w:before="113"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09DCAEA7">
            <w:pPr>
              <w:rPr>
                <w:rFonts w:ascii="Arial"/>
                <w:color w:val="auto"/>
                <w:sz w:val="21"/>
                <w:highlight w:val="none"/>
              </w:rPr>
            </w:pPr>
          </w:p>
        </w:tc>
      </w:tr>
      <w:tr w14:paraId="31D11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52" w:type="dxa"/>
            <w:vAlign w:val="top"/>
          </w:tcPr>
          <w:p w14:paraId="1B9BA453">
            <w:pPr>
              <w:rPr>
                <w:rFonts w:ascii="Arial"/>
                <w:color w:val="auto"/>
                <w:sz w:val="21"/>
                <w:highlight w:val="none"/>
              </w:rPr>
            </w:pPr>
          </w:p>
        </w:tc>
        <w:tc>
          <w:tcPr>
            <w:tcW w:w="1692" w:type="dxa"/>
            <w:vAlign w:val="top"/>
          </w:tcPr>
          <w:p w14:paraId="3AE69AE0">
            <w:pPr>
              <w:rPr>
                <w:rFonts w:ascii="Arial"/>
                <w:color w:val="auto"/>
                <w:sz w:val="21"/>
                <w:highlight w:val="none"/>
              </w:rPr>
            </w:pPr>
          </w:p>
        </w:tc>
        <w:tc>
          <w:tcPr>
            <w:tcW w:w="2058" w:type="dxa"/>
            <w:vAlign w:val="top"/>
          </w:tcPr>
          <w:p w14:paraId="36BF3ABA">
            <w:pPr>
              <w:rPr>
                <w:rFonts w:ascii="Arial"/>
                <w:color w:val="auto"/>
                <w:sz w:val="21"/>
                <w:highlight w:val="none"/>
              </w:rPr>
            </w:pPr>
          </w:p>
        </w:tc>
        <w:tc>
          <w:tcPr>
            <w:tcW w:w="3153" w:type="dxa"/>
            <w:vAlign w:val="top"/>
          </w:tcPr>
          <w:p w14:paraId="026DF874">
            <w:pPr>
              <w:pStyle w:val="19"/>
              <w:spacing w:before="113"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05FA671C">
            <w:pPr>
              <w:rPr>
                <w:rFonts w:ascii="Arial"/>
                <w:color w:val="auto"/>
                <w:sz w:val="21"/>
                <w:highlight w:val="none"/>
              </w:rPr>
            </w:pPr>
          </w:p>
        </w:tc>
      </w:tr>
      <w:tr w14:paraId="41F52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752" w:type="dxa"/>
            <w:vAlign w:val="top"/>
          </w:tcPr>
          <w:p w14:paraId="3CFF0CCA">
            <w:pPr>
              <w:spacing w:before="313" w:line="87" w:lineRule="exact"/>
              <w:ind w:left="289"/>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pacing w:val="-1"/>
                <w:position w:val="1"/>
                <w:sz w:val="28"/>
                <w:szCs w:val="28"/>
                <w:highlight w:val="none"/>
              </w:rPr>
              <w:t>...</w:t>
            </w:r>
          </w:p>
        </w:tc>
        <w:tc>
          <w:tcPr>
            <w:tcW w:w="1692" w:type="dxa"/>
            <w:vAlign w:val="top"/>
          </w:tcPr>
          <w:p w14:paraId="3427CD9F">
            <w:pPr>
              <w:rPr>
                <w:rFonts w:ascii="Arial"/>
                <w:color w:val="auto"/>
                <w:sz w:val="21"/>
                <w:highlight w:val="none"/>
              </w:rPr>
            </w:pPr>
          </w:p>
        </w:tc>
        <w:tc>
          <w:tcPr>
            <w:tcW w:w="2058" w:type="dxa"/>
            <w:vAlign w:val="top"/>
          </w:tcPr>
          <w:p w14:paraId="5744B617">
            <w:pPr>
              <w:rPr>
                <w:rFonts w:ascii="Arial"/>
                <w:color w:val="auto"/>
                <w:sz w:val="21"/>
                <w:highlight w:val="none"/>
              </w:rPr>
            </w:pPr>
          </w:p>
        </w:tc>
        <w:tc>
          <w:tcPr>
            <w:tcW w:w="3153" w:type="dxa"/>
            <w:vAlign w:val="top"/>
          </w:tcPr>
          <w:p w14:paraId="28772982">
            <w:pPr>
              <w:pStyle w:val="19"/>
              <w:spacing w:before="129" w:line="220" w:lineRule="auto"/>
              <w:ind w:left="414"/>
              <w:rPr>
                <w:color w:val="auto"/>
                <w:sz w:val="22"/>
                <w:szCs w:val="22"/>
                <w:highlight w:val="none"/>
              </w:rPr>
            </w:pPr>
            <w:r>
              <w:rPr>
                <w:color w:val="auto"/>
                <w:spacing w:val="-13"/>
                <w:sz w:val="22"/>
                <w:szCs w:val="22"/>
                <w:highlight w:val="none"/>
              </w:rPr>
              <w:t>年</w:t>
            </w:r>
            <w:r>
              <w:rPr>
                <w:color w:val="auto"/>
                <w:spacing w:val="7"/>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日至</w:t>
            </w:r>
            <w:r>
              <w:rPr>
                <w:color w:val="auto"/>
                <w:spacing w:val="4"/>
                <w:sz w:val="22"/>
                <w:szCs w:val="22"/>
                <w:highlight w:val="none"/>
              </w:rPr>
              <w:t xml:space="preserve">  </w:t>
            </w:r>
            <w:r>
              <w:rPr>
                <w:color w:val="auto"/>
                <w:spacing w:val="-13"/>
                <w:sz w:val="22"/>
                <w:szCs w:val="22"/>
                <w:highlight w:val="none"/>
              </w:rPr>
              <w:t>年</w:t>
            </w:r>
            <w:r>
              <w:rPr>
                <w:color w:val="auto"/>
                <w:spacing w:val="6"/>
                <w:sz w:val="22"/>
                <w:szCs w:val="22"/>
                <w:highlight w:val="none"/>
              </w:rPr>
              <w:t xml:space="preserve">  </w:t>
            </w:r>
            <w:r>
              <w:rPr>
                <w:color w:val="auto"/>
                <w:spacing w:val="-13"/>
                <w:sz w:val="22"/>
                <w:szCs w:val="22"/>
                <w:highlight w:val="none"/>
              </w:rPr>
              <w:t>月</w:t>
            </w:r>
            <w:r>
              <w:rPr>
                <w:color w:val="auto"/>
                <w:spacing w:val="23"/>
                <w:sz w:val="22"/>
                <w:szCs w:val="22"/>
                <w:highlight w:val="none"/>
              </w:rPr>
              <w:t xml:space="preserve">  </w:t>
            </w:r>
            <w:r>
              <w:rPr>
                <w:color w:val="auto"/>
                <w:spacing w:val="-13"/>
                <w:sz w:val="22"/>
                <w:szCs w:val="22"/>
                <w:highlight w:val="none"/>
              </w:rPr>
              <w:t>日</w:t>
            </w:r>
          </w:p>
        </w:tc>
        <w:tc>
          <w:tcPr>
            <w:tcW w:w="2088" w:type="dxa"/>
            <w:vAlign w:val="top"/>
          </w:tcPr>
          <w:p w14:paraId="1950B5B7">
            <w:pPr>
              <w:rPr>
                <w:rFonts w:ascii="Arial"/>
                <w:color w:val="auto"/>
                <w:sz w:val="21"/>
                <w:highlight w:val="none"/>
              </w:rPr>
            </w:pPr>
          </w:p>
        </w:tc>
      </w:tr>
    </w:tbl>
    <w:p w14:paraId="53DD3564">
      <w:pPr>
        <w:pStyle w:val="4"/>
        <w:spacing w:before="260" w:line="227" w:lineRule="auto"/>
        <w:ind w:left="119"/>
        <w:rPr>
          <w:color w:val="auto"/>
          <w:sz w:val="19"/>
          <w:szCs w:val="19"/>
          <w:highlight w:val="none"/>
        </w:rPr>
      </w:pPr>
      <w:r>
        <w:rPr>
          <w:color w:val="auto"/>
          <w:spacing w:val="9"/>
          <w:sz w:val="19"/>
          <w:szCs w:val="19"/>
          <w:highlight w:val="none"/>
        </w:rPr>
        <w:t>注：附相关证明材料复印件并加盖投标人公章。</w:t>
      </w:r>
    </w:p>
    <w:p w14:paraId="04FD6BD6">
      <w:pPr>
        <w:spacing w:line="412" w:lineRule="auto"/>
        <w:rPr>
          <w:rFonts w:ascii="Arial"/>
          <w:color w:val="auto"/>
          <w:sz w:val="21"/>
          <w:highlight w:val="none"/>
        </w:rPr>
      </w:pPr>
    </w:p>
    <w:p w14:paraId="1EB67206">
      <w:pPr>
        <w:pStyle w:val="4"/>
        <w:spacing w:before="78" w:line="219" w:lineRule="auto"/>
        <w:ind w:left="2624"/>
        <w:rPr>
          <w:color w:val="auto"/>
          <w:sz w:val="24"/>
          <w:szCs w:val="24"/>
          <w:highlight w:val="none"/>
        </w:rPr>
      </w:pPr>
      <w:r>
        <w:rPr>
          <w:color w:val="auto"/>
          <w:spacing w:val="-2"/>
          <w:sz w:val="24"/>
          <w:szCs w:val="24"/>
          <w:highlight w:val="none"/>
        </w:rPr>
        <w:t>投标人名称(盖公章)：</w:t>
      </w:r>
    </w:p>
    <w:p w14:paraId="307DC02E">
      <w:pPr>
        <w:spacing w:line="262" w:lineRule="auto"/>
        <w:rPr>
          <w:rFonts w:ascii="Arial"/>
          <w:color w:val="auto"/>
          <w:sz w:val="21"/>
          <w:highlight w:val="none"/>
        </w:rPr>
      </w:pPr>
    </w:p>
    <w:p w14:paraId="6AA47143">
      <w:pPr>
        <w:pStyle w:val="4"/>
        <w:spacing w:before="79" w:line="219" w:lineRule="auto"/>
        <w:ind w:left="2521"/>
        <w:rPr>
          <w:color w:val="auto"/>
          <w:sz w:val="24"/>
          <w:szCs w:val="24"/>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1DBD2A0B">
      <w:pPr>
        <w:spacing w:line="441" w:lineRule="auto"/>
        <w:rPr>
          <w:rFonts w:ascii="Arial"/>
          <w:color w:val="auto"/>
          <w:sz w:val="21"/>
          <w:highlight w:val="none"/>
        </w:rPr>
      </w:pPr>
    </w:p>
    <w:p w14:paraId="61C4E3EF">
      <w:pPr>
        <w:pStyle w:val="4"/>
        <w:spacing w:before="78" w:line="219" w:lineRule="auto"/>
        <w:ind w:left="6042"/>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0AEECC10">
      <w:pPr>
        <w:spacing w:line="282" w:lineRule="auto"/>
        <w:rPr>
          <w:rFonts w:ascii="Arial"/>
          <w:color w:val="auto"/>
          <w:sz w:val="21"/>
          <w:highlight w:val="none"/>
        </w:rPr>
      </w:pPr>
    </w:p>
    <w:p w14:paraId="78CBF311">
      <w:pPr>
        <w:spacing w:line="282" w:lineRule="auto"/>
        <w:rPr>
          <w:rFonts w:ascii="Arial"/>
          <w:color w:val="auto"/>
          <w:sz w:val="21"/>
          <w:highlight w:val="none"/>
        </w:rPr>
      </w:pPr>
    </w:p>
    <w:p w14:paraId="01014103">
      <w:pPr>
        <w:pStyle w:val="4"/>
        <w:spacing w:before="79" w:line="219" w:lineRule="auto"/>
        <w:ind w:left="121"/>
        <w:rPr>
          <w:color w:val="auto"/>
          <w:sz w:val="24"/>
          <w:szCs w:val="24"/>
          <w:highlight w:val="none"/>
        </w:rPr>
      </w:pPr>
      <w:r>
        <w:rPr>
          <w:b/>
          <w:bCs/>
          <w:color w:val="auto"/>
          <w:spacing w:val="-2"/>
          <w:sz w:val="24"/>
          <w:szCs w:val="24"/>
          <w:highlight w:val="none"/>
        </w:rPr>
        <w:t>8.5</w:t>
      </w:r>
      <w:r>
        <w:rPr>
          <w:color w:val="auto"/>
          <w:spacing w:val="-52"/>
          <w:sz w:val="24"/>
          <w:szCs w:val="24"/>
          <w:highlight w:val="none"/>
        </w:rPr>
        <w:t xml:space="preserve"> </w:t>
      </w:r>
      <w:r>
        <w:rPr>
          <w:b/>
          <w:bCs/>
          <w:color w:val="auto"/>
          <w:spacing w:val="-2"/>
          <w:sz w:val="24"/>
          <w:szCs w:val="24"/>
          <w:highlight w:val="none"/>
        </w:rPr>
        <w:t>采购渠道正规合法及可追溯性证明材料（格式自拟</w:t>
      </w:r>
      <w:r>
        <w:rPr>
          <w:b/>
          <w:bCs/>
          <w:color w:val="auto"/>
          <w:spacing w:val="-3"/>
          <w:sz w:val="24"/>
          <w:szCs w:val="24"/>
          <w:highlight w:val="none"/>
        </w:rPr>
        <w:t>，加盖投标人公章）</w:t>
      </w:r>
    </w:p>
    <w:p w14:paraId="7BCB7690">
      <w:pPr>
        <w:pStyle w:val="4"/>
        <w:spacing w:before="47" w:line="219" w:lineRule="auto"/>
        <w:ind w:left="481"/>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（9）参加本项目无串通投标行为的承诺函（格式见附件）</w:t>
      </w:r>
    </w:p>
    <w:p w14:paraId="3B35457B">
      <w:pPr>
        <w:pStyle w:val="4"/>
        <w:spacing w:before="178" w:line="224" w:lineRule="auto"/>
        <w:ind w:left="2465"/>
        <w:rPr>
          <w:color w:val="auto"/>
          <w:sz w:val="31"/>
          <w:szCs w:val="31"/>
          <w:highlight w:val="none"/>
        </w:rPr>
      </w:pPr>
      <w:r>
        <w:rPr>
          <w:b/>
          <w:bCs/>
          <w:color w:val="auto"/>
          <w:spacing w:val="6"/>
          <w:sz w:val="31"/>
          <w:szCs w:val="31"/>
          <w:highlight w:val="none"/>
        </w:rPr>
        <w:t>参加本项目无串通投标行为的承诺函</w:t>
      </w:r>
    </w:p>
    <w:p w14:paraId="4A574075">
      <w:pPr>
        <w:spacing w:line="454" w:lineRule="auto"/>
        <w:rPr>
          <w:rFonts w:ascii="Arial"/>
          <w:color w:val="auto"/>
          <w:sz w:val="21"/>
          <w:highlight w:val="none"/>
        </w:rPr>
      </w:pPr>
    </w:p>
    <w:p w14:paraId="0DCAF1FE">
      <w:pPr>
        <w:pStyle w:val="4"/>
        <w:spacing w:before="62" w:line="228" w:lineRule="auto"/>
        <w:ind w:left="1"/>
        <w:rPr>
          <w:color w:val="auto"/>
          <w:sz w:val="19"/>
          <w:szCs w:val="19"/>
          <w:highlight w:val="none"/>
        </w:rPr>
      </w:pPr>
      <w:r>
        <w:rPr>
          <w:b/>
          <w:bCs/>
          <w:color w:val="auto"/>
          <w:spacing w:val="7"/>
          <w:sz w:val="19"/>
          <w:szCs w:val="19"/>
          <w:highlight w:val="none"/>
        </w:rPr>
        <w:t>一、我方承诺无下列相互串通投标的情形：</w:t>
      </w:r>
    </w:p>
    <w:p w14:paraId="660BAC91">
      <w:pPr>
        <w:pStyle w:val="4"/>
        <w:spacing w:before="274" w:line="482" w:lineRule="auto"/>
        <w:ind w:left="394" w:right="1149" w:firstLine="12"/>
        <w:rPr>
          <w:color w:val="auto"/>
          <w:sz w:val="19"/>
          <w:szCs w:val="19"/>
          <w:highlight w:val="none"/>
        </w:rPr>
      </w:pPr>
      <w:r>
        <w:rPr>
          <w:color w:val="auto"/>
          <w:spacing w:val="7"/>
          <w:sz w:val="19"/>
          <w:szCs w:val="19"/>
          <w:highlight w:val="none"/>
        </w:rPr>
        <w:t>1.不同投标人的投标文件由同一单位或者个人编制；或者不同投标人报名的</w:t>
      </w:r>
      <w:r>
        <w:rPr>
          <w:color w:val="auto"/>
          <w:spacing w:val="-7"/>
          <w:sz w:val="19"/>
          <w:szCs w:val="19"/>
          <w:highlight w:val="none"/>
        </w:rPr>
        <w:t xml:space="preserve"> </w:t>
      </w:r>
      <w:r>
        <w:rPr>
          <w:color w:val="auto"/>
          <w:sz w:val="19"/>
          <w:szCs w:val="19"/>
          <w:highlight w:val="none"/>
        </w:rPr>
        <w:t>IP</w:t>
      </w:r>
      <w:r>
        <w:rPr>
          <w:color w:val="auto"/>
          <w:spacing w:val="-38"/>
          <w:sz w:val="19"/>
          <w:szCs w:val="19"/>
          <w:highlight w:val="none"/>
        </w:rPr>
        <w:t xml:space="preserve"> </w:t>
      </w:r>
      <w:r>
        <w:rPr>
          <w:color w:val="auto"/>
          <w:spacing w:val="7"/>
          <w:sz w:val="19"/>
          <w:szCs w:val="19"/>
          <w:highlight w:val="none"/>
        </w:rPr>
        <w:t>地址一致的；</w:t>
      </w:r>
      <w:r>
        <w:rPr>
          <w:color w:val="auto"/>
          <w:spacing w:val="8"/>
          <w:sz w:val="19"/>
          <w:szCs w:val="19"/>
          <w:highlight w:val="none"/>
        </w:rPr>
        <w:t>2.不同投标人委托同一单位或者个人办理投标事宜；</w:t>
      </w:r>
    </w:p>
    <w:p w14:paraId="4EA79081">
      <w:pPr>
        <w:pStyle w:val="4"/>
        <w:spacing w:before="28" w:line="228" w:lineRule="auto"/>
        <w:ind w:left="395"/>
        <w:rPr>
          <w:color w:val="auto"/>
          <w:sz w:val="19"/>
          <w:szCs w:val="19"/>
          <w:highlight w:val="none"/>
        </w:rPr>
      </w:pPr>
      <w:r>
        <w:rPr>
          <w:color w:val="auto"/>
          <w:spacing w:val="9"/>
          <w:sz w:val="19"/>
          <w:szCs w:val="19"/>
          <w:highlight w:val="none"/>
        </w:rPr>
        <w:t>3.不同的投标人的投标文件载明的项目管理</w:t>
      </w:r>
      <w:r>
        <w:rPr>
          <w:color w:val="auto"/>
          <w:spacing w:val="8"/>
          <w:sz w:val="19"/>
          <w:szCs w:val="19"/>
          <w:highlight w:val="none"/>
        </w:rPr>
        <w:t>员为同一个人；</w:t>
      </w:r>
    </w:p>
    <w:p w14:paraId="43AF3339">
      <w:pPr>
        <w:pStyle w:val="4"/>
        <w:spacing w:before="273" w:line="480" w:lineRule="auto"/>
        <w:ind w:left="395" w:right="3650" w:hanging="4"/>
        <w:rPr>
          <w:color w:val="auto"/>
          <w:sz w:val="19"/>
          <w:szCs w:val="19"/>
          <w:highlight w:val="none"/>
        </w:rPr>
      </w:pPr>
      <w:r>
        <w:rPr>
          <w:color w:val="auto"/>
          <w:spacing w:val="7"/>
          <w:sz w:val="19"/>
          <w:szCs w:val="19"/>
          <w:highlight w:val="none"/>
        </w:rPr>
        <w:t>4.不同投标人的投标文件异常一致或者投标报价呈规律性差异；</w:t>
      </w:r>
      <w:r>
        <w:rPr>
          <w:color w:val="auto"/>
          <w:spacing w:val="16"/>
          <w:sz w:val="19"/>
          <w:szCs w:val="19"/>
          <w:highlight w:val="none"/>
        </w:rPr>
        <w:t xml:space="preserve"> </w:t>
      </w:r>
      <w:r>
        <w:rPr>
          <w:color w:val="auto"/>
          <w:spacing w:val="7"/>
          <w:sz w:val="19"/>
          <w:szCs w:val="19"/>
          <w:highlight w:val="none"/>
        </w:rPr>
        <w:t>5.不同投标人的投标文件相互混装；</w:t>
      </w:r>
    </w:p>
    <w:p w14:paraId="2413E423">
      <w:pPr>
        <w:pStyle w:val="4"/>
        <w:spacing w:before="30" w:line="228" w:lineRule="auto"/>
        <w:ind w:left="393"/>
        <w:rPr>
          <w:color w:val="auto"/>
          <w:sz w:val="19"/>
          <w:szCs w:val="19"/>
          <w:highlight w:val="none"/>
        </w:rPr>
      </w:pPr>
      <w:r>
        <w:rPr>
          <w:color w:val="auto"/>
          <w:spacing w:val="9"/>
          <w:sz w:val="19"/>
          <w:szCs w:val="19"/>
          <w:highlight w:val="none"/>
        </w:rPr>
        <w:t>6.不同投标人的投标保证金从同一单位或者个人</w:t>
      </w:r>
      <w:r>
        <w:rPr>
          <w:color w:val="auto"/>
          <w:spacing w:val="8"/>
          <w:sz w:val="19"/>
          <w:szCs w:val="19"/>
          <w:highlight w:val="none"/>
        </w:rPr>
        <w:t>账户转出。</w:t>
      </w:r>
    </w:p>
    <w:p w14:paraId="4C08AB63">
      <w:pPr>
        <w:pStyle w:val="4"/>
        <w:spacing w:before="274" w:line="228" w:lineRule="auto"/>
        <w:ind w:left="1"/>
        <w:rPr>
          <w:color w:val="auto"/>
          <w:sz w:val="19"/>
          <w:szCs w:val="19"/>
          <w:highlight w:val="none"/>
        </w:rPr>
      </w:pPr>
      <w:r>
        <w:rPr>
          <w:b/>
          <w:bCs/>
          <w:color w:val="auto"/>
          <w:spacing w:val="7"/>
          <w:sz w:val="19"/>
          <w:szCs w:val="19"/>
          <w:highlight w:val="none"/>
        </w:rPr>
        <w:t>二、我方承诺无下列恶意串通的情形：</w:t>
      </w:r>
    </w:p>
    <w:p w14:paraId="79707352">
      <w:pPr>
        <w:pStyle w:val="4"/>
        <w:spacing w:before="274" w:line="479" w:lineRule="auto"/>
        <w:ind w:left="394" w:right="250" w:firstLine="12"/>
        <w:rPr>
          <w:color w:val="auto"/>
          <w:sz w:val="19"/>
          <w:szCs w:val="19"/>
          <w:highlight w:val="none"/>
        </w:rPr>
      </w:pPr>
      <w:r>
        <w:rPr>
          <w:color w:val="auto"/>
          <w:spacing w:val="8"/>
          <w:sz w:val="19"/>
          <w:szCs w:val="19"/>
          <w:highlight w:val="none"/>
        </w:rPr>
        <w:t>1.投标人直接或者间接从采购单位或者采购代理机构处获得其他投标人的相关信息并修改其投标文件；</w:t>
      </w:r>
      <w:r>
        <w:rPr>
          <w:color w:val="auto"/>
          <w:spacing w:val="9"/>
          <w:sz w:val="19"/>
          <w:szCs w:val="19"/>
          <w:highlight w:val="none"/>
        </w:rPr>
        <w:t>2.投标人按照采购单位或者采购代理机构的授意撤换、修改投标文</w:t>
      </w:r>
      <w:r>
        <w:rPr>
          <w:color w:val="auto"/>
          <w:spacing w:val="8"/>
          <w:sz w:val="19"/>
          <w:szCs w:val="19"/>
          <w:highlight w:val="none"/>
        </w:rPr>
        <w:t>件；</w:t>
      </w:r>
    </w:p>
    <w:p w14:paraId="26D8B056">
      <w:pPr>
        <w:pStyle w:val="4"/>
        <w:spacing w:before="33" w:line="227" w:lineRule="auto"/>
        <w:ind w:left="395"/>
        <w:rPr>
          <w:color w:val="auto"/>
          <w:sz w:val="19"/>
          <w:szCs w:val="19"/>
          <w:highlight w:val="none"/>
        </w:rPr>
      </w:pPr>
      <w:r>
        <w:rPr>
          <w:color w:val="auto"/>
          <w:spacing w:val="9"/>
          <w:sz w:val="19"/>
          <w:szCs w:val="19"/>
          <w:highlight w:val="none"/>
        </w:rPr>
        <w:t>3.投标人之间协商报价、技术方案等投标文件</w:t>
      </w:r>
      <w:r>
        <w:rPr>
          <w:color w:val="auto"/>
          <w:spacing w:val="8"/>
          <w:sz w:val="19"/>
          <w:szCs w:val="19"/>
          <w:highlight w:val="none"/>
        </w:rPr>
        <w:t>的实质性内容；</w:t>
      </w:r>
    </w:p>
    <w:p w14:paraId="0311FFB5">
      <w:pPr>
        <w:pStyle w:val="4"/>
        <w:spacing w:before="276" w:line="227" w:lineRule="auto"/>
        <w:ind w:left="391"/>
        <w:rPr>
          <w:color w:val="auto"/>
          <w:sz w:val="19"/>
          <w:szCs w:val="19"/>
          <w:highlight w:val="none"/>
        </w:rPr>
      </w:pPr>
      <w:r>
        <w:rPr>
          <w:color w:val="auto"/>
          <w:spacing w:val="9"/>
          <w:sz w:val="19"/>
          <w:szCs w:val="19"/>
          <w:highlight w:val="none"/>
        </w:rPr>
        <w:t>4.属于同一集团、协会、商会等组织成员的投标人按照该组织要求协同参加政府采购活动；</w:t>
      </w:r>
    </w:p>
    <w:p w14:paraId="45996B77">
      <w:pPr>
        <w:pStyle w:val="4"/>
        <w:spacing w:before="275" w:line="363" w:lineRule="auto"/>
        <w:ind w:left="17" w:firstLine="378"/>
        <w:rPr>
          <w:color w:val="auto"/>
          <w:sz w:val="19"/>
          <w:szCs w:val="19"/>
          <w:highlight w:val="none"/>
        </w:rPr>
      </w:pPr>
      <w:r>
        <w:rPr>
          <w:color w:val="auto"/>
          <w:spacing w:val="10"/>
          <w:sz w:val="19"/>
          <w:szCs w:val="19"/>
          <w:highlight w:val="none"/>
        </w:rPr>
        <w:t>5.投标人之间事先约定一致抬高或者压低投标报</w:t>
      </w:r>
      <w:r>
        <w:rPr>
          <w:color w:val="auto"/>
          <w:spacing w:val="9"/>
          <w:sz w:val="19"/>
          <w:szCs w:val="19"/>
          <w:highlight w:val="none"/>
        </w:rPr>
        <w:t>价，或者在招标项目中事先约定轮流以高价位或者低价位</w:t>
      </w:r>
      <w:r>
        <w:rPr>
          <w:color w:val="auto"/>
          <w:sz w:val="19"/>
          <w:szCs w:val="19"/>
          <w:highlight w:val="none"/>
        </w:rPr>
        <w:t xml:space="preserve"> </w:t>
      </w:r>
      <w:r>
        <w:rPr>
          <w:color w:val="auto"/>
          <w:spacing w:val="8"/>
          <w:sz w:val="19"/>
          <w:szCs w:val="19"/>
          <w:highlight w:val="none"/>
        </w:rPr>
        <w:t>中标，或者事先约定由某一特定投标人中标，然后再参加投标；</w:t>
      </w:r>
    </w:p>
    <w:p w14:paraId="3247A3D8">
      <w:pPr>
        <w:pStyle w:val="4"/>
        <w:spacing w:before="151" w:line="227" w:lineRule="auto"/>
        <w:ind w:left="393"/>
        <w:rPr>
          <w:color w:val="auto"/>
          <w:sz w:val="19"/>
          <w:szCs w:val="19"/>
          <w:highlight w:val="none"/>
        </w:rPr>
      </w:pPr>
      <w:r>
        <w:rPr>
          <w:color w:val="auto"/>
          <w:spacing w:val="9"/>
          <w:sz w:val="19"/>
          <w:szCs w:val="19"/>
          <w:highlight w:val="none"/>
        </w:rPr>
        <w:t>6.投标人之间商定部分投标人放弃参加政府采购活动或者放弃中</w:t>
      </w:r>
      <w:r>
        <w:rPr>
          <w:color w:val="auto"/>
          <w:spacing w:val="8"/>
          <w:sz w:val="19"/>
          <w:szCs w:val="19"/>
          <w:highlight w:val="none"/>
        </w:rPr>
        <w:t>标；</w:t>
      </w:r>
    </w:p>
    <w:p w14:paraId="5CC2DCDC">
      <w:pPr>
        <w:pStyle w:val="4"/>
        <w:spacing w:before="275" w:line="363" w:lineRule="auto"/>
        <w:ind w:firstLine="396"/>
        <w:rPr>
          <w:color w:val="auto"/>
          <w:sz w:val="19"/>
          <w:szCs w:val="19"/>
          <w:highlight w:val="none"/>
        </w:rPr>
      </w:pPr>
      <w:r>
        <w:rPr>
          <w:color w:val="auto"/>
          <w:spacing w:val="10"/>
          <w:sz w:val="19"/>
          <w:szCs w:val="19"/>
          <w:highlight w:val="none"/>
        </w:rPr>
        <w:t>7.投标人与采购单位或者采购代理机构之间、投</w:t>
      </w:r>
      <w:r>
        <w:rPr>
          <w:color w:val="auto"/>
          <w:spacing w:val="9"/>
          <w:sz w:val="19"/>
          <w:szCs w:val="19"/>
          <w:highlight w:val="none"/>
        </w:rPr>
        <w:t>标人相互之间，为谋求特定投标人中标或者排斥其他投标</w:t>
      </w:r>
      <w:r>
        <w:rPr>
          <w:color w:val="auto"/>
          <w:sz w:val="19"/>
          <w:szCs w:val="19"/>
          <w:highlight w:val="none"/>
        </w:rPr>
        <w:t xml:space="preserve"> </w:t>
      </w:r>
      <w:r>
        <w:rPr>
          <w:color w:val="auto"/>
          <w:spacing w:val="7"/>
          <w:sz w:val="19"/>
          <w:szCs w:val="19"/>
          <w:highlight w:val="none"/>
        </w:rPr>
        <w:t>人的其他串通行为。</w:t>
      </w:r>
    </w:p>
    <w:p w14:paraId="6556F5D7">
      <w:pPr>
        <w:pStyle w:val="4"/>
        <w:spacing w:before="150" w:line="363" w:lineRule="auto"/>
        <w:ind w:left="3" w:right="12" w:firstLine="411"/>
        <w:rPr>
          <w:color w:val="auto"/>
          <w:sz w:val="19"/>
          <w:szCs w:val="19"/>
          <w:highlight w:val="none"/>
        </w:rPr>
      </w:pPr>
      <w:r>
        <w:rPr>
          <w:b/>
          <w:bCs/>
          <w:color w:val="auto"/>
          <w:spacing w:val="7"/>
          <w:sz w:val="19"/>
          <w:szCs w:val="19"/>
          <w:highlight w:val="none"/>
        </w:rPr>
        <w:t>以上情形一经核查属实，接受政府采购监管部门对我方认定存在围标串标行为，我方愿意承担一切后果，</w:t>
      </w:r>
      <w:r>
        <w:rPr>
          <w:color w:val="auto"/>
          <w:sz w:val="19"/>
          <w:szCs w:val="19"/>
          <w:highlight w:val="none"/>
        </w:rPr>
        <w:t xml:space="preserve"> </w:t>
      </w:r>
      <w:r>
        <w:rPr>
          <w:b/>
          <w:bCs/>
          <w:color w:val="auto"/>
          <w:spacing w:val="7"/>
          <w:sz w:val="19"/>
          <w:szCs w:val="19"/>
          <w:highlight w:val="none"/>
        </w:rPr>
        <w:t>并不再寻求任何旨在减轻或者免除法律责任的辩解。</w:t>
      </w:r>
    </w:p>
    <w:p w14:paraId="0BC2B8A5">
      <w:pPr>
        <w:spacing w:line="265" w:lineRule="auto"/>
        <w:rPr>
          <w:rFonts w:ascii="Arial"/>
          <w:color w:val="auto"/>
          <w:sz w:val="21"/>
          <w:highlight w:val="none"/>
        </w:rPr>
      </w:pPr>
    </w:p>
    <w:p w14:paraId="3744F10F">
      <w:pPr>
        <w:pStyle w:val="4"/>
        <w:spacing w:before="78" w:line="219" w:lineRule="auto"/>
        <w:ind w:left="4802"/>
        <w:rPr>
          <w:color w:val="auto"/>
          <w:sz w:val="24"/>
          <w:szCs w:val="24"/>
          <w:highlight w:val="none"/>
        </w:rPr>
      </w:pPr>
      <w:r>
        <w:rPr>
          <w:color w:val="auto"/>
          <w:spacing w:val="-2"/>
          <w:sz w:val="24"/>
          <w:szCs w:val="24"/>
          <w:highlight w:val="none"/>
        </w:rPr>
        <w:t>投标人名称(电子签章)：</w:t>
      </w:r>
    </w:p>
    <w:p w14:paraId="2EA0B67F">
      <w:pPr>
        <w:spacing w:line="262" w:lineRule="auto"/>
        <w:rPr>
          <w:rFonts w:ascii="Arial"/>
          <w:color w:val="auto"/>
          <w:sz w:val="21"/>
          <w:highlight w:val="none"/>
        </w:rPr>
      </w:pPr>
    </w:p>
    <w:p w14:paraId="07D40B23">
      <w:pPr>
        <w:pStyle w:val="4"/>
        <w:spacing w:before="79" w:line="219" w:lineRule="auto"/>
        <w:ind w:left="2400"/>
        <w:rPr>
          <w:color w:val="auto"/>
          <w:sz w:val="24"/>
          <w:szCs w:val="24"/>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584B373C">
      <w:pPr>
        <w:spacing w:line="441" w:lineRule="auto"/>
        <w:rPr>
          <w:rFonts w:ascii="Arial"/>
          <w:color w:val="auto"/>
          <w:sz w:val="21"/>
          <w:highlight w:val="none"/>
        </w:rPr>
      </w:pPr>
    </w:p>
    <w:p w14:paraId="7715C0AB">
      <w:pPr>
        <w:pStyle w:val="4"/>
        <w:spacing w:before="78" w:line="219" w:lineRule="auto"/>
        <w:ind w:left="5201"/>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253CD472">
      <w:pPr>
        <w:pStyle w:val="4"/>
        <w:spacing w:before="48" w:line="219" w:lineRule="auto"/>
        <w:ind w:left="357"/>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三、技术文件格式</w:t>
      </w:r>
    </w:p>
    <w:p w14:paraId="2FFB395C">
      <w:pPr>
        <w:spacing w:line="426" w:lineRule="auto"/>
        <w:rPr>
          <w:rFonts w:ascii="Arial"/>
          <w:color w:val="auto"/>
          <w:sz w:val="21"/>
          <w:highlight w:val="none"/>
        </w:rPr>
      </w:pPr>
    </w:p>
    <w:p w14:paraId="03BAF806">
      <w:pPr>
        <w:spacing w:line="295" w:lineRule="auto"/>
        <w:rPr>
          <w:rFonts w:ascii="Arial"/>
          <w:color w:val="auto"/>
          <w:sz w:val="21"/>
          <w:highlight w:val="none"/>
        </w:rPr>
      </w:pPr>
    </w:p>
    <w:p w14:paraId="3FA7F000">
      <w:pPr>
        <w:spacing w:line="295" w:lineRule="auto"/>
        <w:rPr>
          <w:rFonts w:ascii="Arial"/>
          <w:color w:val="auto"/>
          <w:sz w:val="21"/>
          <w:highlight w:val="none"/>
        </w:rPr>
      </w:pPr>
    </w:p>
    <w:p w14:paraId="1BB85B7A">
      <w:pPr>
        <w:spacing w:line="295" w:lineRule="auto"/>
        <w:rPr>
          <w:rFonts w:ascii="Arial"/>
          <w:color w:val="auto"/>
          <w:sz w:val="21"/>
          <w:highlight w:val="none"/>
        </w:rPr>
      </w:pPr>
    </w:p>
    <w:p w14:paraId="2113023F">
      <w:pPr>
        <w:spacing w:line="295" w:lineRule="auto"/>
        <w:rPr>
          <w:rFonts w:ascii="Arial"/>
          <w:color w:val="auto"/>
          <w:sz w:val="21"/>
          <w:highlight w:val="none"/>
        </w:rPr>
      </w:pPr>
    </w:p>
    <w:p w14:paraId="218886D3">
      <w:pPr>
        <w:pStyle w:val="4"/>
        <w:spacing w:before="78" w:line="219" w:lineRule="auto"/>
        <w:ind w:left="4152"/>
        <w:rPr>
          <w:color w:val="auto"/>
          <w:sz w:val="24"/>
          <w:szCs w:val="24"/>
          <w:highlight w:val="none"/>
        </w:rPr>
      </w:pPr>
      <w:r>
        <w:rPr>
          <w:b/>
          <w:bCs/>
          <w:color w:val="auto"/>
          <w:spacing w:val="-11"/>
          <w:sz w:val="24"/>
          <w:szCs w:val="24"/>
          <w:highlight w:val="none"/>
        </w:rPr>
        <w:t>技</w:t>
      </w:r>
      <w:r>
        <w:rPr>
          <w:color w:val="auto"/>
          <w:spacing w:val="13"/>
          <w:sz w:val="24"/>
          <w:szCs w:val="24"/>
          <w:highlight w:val="none"/>
        </w:rPr>
        <w:t xml:space="preserve"> </w:t>
      </w:r>
      <w:r>
        <w:rPr>
          <w:b/>
          <w:bCs/>
          <w:color w:val="auto"/>
          <w:spacing w:val="-11"/>
          <w:sz w:val="24"/>
          <w:szCs w:val="24"/>
          <w:highlight w:val="none"/>
        </w:rPr>
        <w:t>术</w:t>
      </w:r>
      <w:r>
        <w:rPr>
          <w:color w:val="auto"/>
          <w:spacing w:val="12"/>
          <w:sz w:val="24"/>
          <w:szCs w:val="24"/>
          <w:highlight w:val="none"/>
        </w:rPr>
        <w:t xml:space="preserve"> </w:t>
      </w:r>
      <w:r>
        <w:rPr>
          <w:b/>
          <w:bCs/>
          <w:color w:val="auto"/>
          <w:spacing w:val="-11"/>
          <w:sz w:val="24"/>
          <w:szCs w:val="24"/>
          <w:highlight w:val="none"/>
        </w:rPr>
        <w:t>文</w:t>
      </w:r>
      <w:r>
        <w:rPr>
          <w:color w:val="auto"/>
          <w:spacing w:val="10"/>
          <w:sz w:val="24"/>
          <w:szCs w:val="24"/>
          <w:highlight w:val="none"/>
        </w:rPr>
        <w:t xml:space="preserve"> </w:t>
      </w:r>
      <w:r>
        <w:rPr>
          <w:b/>
          <w:bCs/>
          <w:color w:val="auto"/>
          <w:spacing w:val="-11"/>
          <w:sz w:val="24"/>
          <w:szCs w:val="24"/>
          <w:highlight w:val="none"/>
        </w:rPr>
        <w:t>件</w:t>
      </w:r>
    </w:p>
    <w:p w14:paraId="6F4AC9A1">
      <w:pPr>
        <w:spacing w:line="296" w:lineRule="auto"/>
        <w:rPr>
          <w:rFonts w:ascii="Arial"/>
          <w:color w:val="auto"/>
          <w:sz w:val="21"/>
          <w:highlight w:val="none"/>
        </w:rPr>
      </w:pPr>
    </w:p>
    <w:p w14:paraId="755D8584">
      <w:pPr>
        <w:spacing w:line="296" w:lineRule="auto"/>
        <w:rPr>
          <w:rFonts w:ascii="Arial"/>
          <w:color w:val="auto"/>
          <w:sz w:val="21"/>
          <w:highlight w:val="none"/>
        </w:rPr>
      </w:pPr>
    </w:p>
    <w:p w14:paraId="5D1B03C3">
      <w:pPr>
        <w:spacing w:line="297" w:lineRule="auto"/>
        <w:rPr>
          <w:rFonts w:ascii="Arial"/>
          <w:color w:val="auto"/>
          <w:sz w:val="21"/>
          <w:highlight w:val="none"/>
        </w:rPr>
      </w:pPr>
    </w:p>
    <w:p w14:paraId="18DA2722">
      <w:pPr>
        <w:pStyle w:val="4"/>
        <w:spacing w:before="78" w:line="220" w:lineRule="auto"/>
        <w:ind w:left="719"/>
        <w:rPr>
          <w:color w:val="auto"/>
          <w:sz w:val="24"/>
          <w:szCs w:val="24"/>
          <w:highlight w:val="none"/>
        </w:rPr>
      </w:pPr>
      <w:r>
        <w:rPr>
          <w:color w:val="auto"/>
          <w:spacing w:val="-3"/>
          <w:sz w:val="24"/>
          <w:szCs w:val="24"/>
          <w:highlight w:val="none"/>
        </w:rPr>
        <w:t>项目名称：</w:t>
      </w:r>
    </w:p>
    <w:p w14:paraId="4F6AB64C">
      <w:pPr>
        <w:pStyle w:val="4"/>
        <w:spacing w:before="275" w:line="219" w:lineRule="auto"/>
        <w:ind w:left="719"/>
        <w:rPr>
          <w:color w:val="auto"/>
          <w:sz w:val="24"/>
          <w:szCs w:val="24"/>
          <w:highlight w:val="none"/>
        </w:rPr>
      </w:pPr>
      <w:r>
        <w:rPr>
          <w:color w:val="auto"/>
          <w:spacing w:val="-3"/>
          <w:sz w:val="24"/>
          <w:szCs w:val="24"/>
          <w:highlight w:val="none"/>
        </w:rPr>
        <w:t>项目编号：</w:t>
      </w:r>
    </w:p>
    <w:p w14:paraId="00D533B9">
      <w:pPr>
        <w:pStyle w:val="4"/>
        <w:spacing w:before="275" w:line="417" w:lineRule="auto"/>
        <w:ind w:left="718" w:right="6886"/>
        <w:rPr>
          <w:color w:val="auto"/>
          <w:sz w:val="24"/>
          <w:szCs w:val="24"/>
          <w:highlight w:val="none"/>
        </w:rPr>
      </w:pPr>
      <w:r>
        <w:rPr>
          <w:color w:val="auto"/>
          <w:spacing w:val="-13"/>
          <w:sz w:val="24"/>
          <w:szCs w:val="24"/>
          <w:highlight w:val="none"/>
        </w:rPr>
        <w:t>投标人名称：</w:t>
      </w:r>
      <w:r>
        <w:rPr>
          <w:color w:val="auto"/>
          <w:spacing w:val="4"/>
          <w:sz w:val="24"/>
          <w:szCs w:val="24"/>
          <w:highlight w:val="none"/>
        </w:rPr>
        <w:t xml:space="preserve"> </w:t>
      </w:r>
      <w:r>
        <w:rPr>
          <w:color w:val="auto"/>
          <w:spacing w:val="-13"/>
          <w:sz w:val="24"/>
          <w:szCs w:val="24"/>
          <w:highlight w:val="none"/>
        </w:rPr>
        <w:t>投标人地址：</w:t>
      </w:r>
    </w:p>
    <w:p w14:paraId="23922A24">
      <w:pPr>
        <w:spacing w:line="340" w:lineRule="auto"/>
        <w:rPr>
          <w:rFonts w:ascii="Arial"/>
          <w:color w:val="auto"/>
          <w:sz w:val="21"/>
          <w:highlight w:val="none"/>
        </w:rPr>
      </w:pPr>
    </w:p>
    <w:p w14:paraId="49EB204D">
      <w:pPr>
        <w:spacing w:line="340" w:lineRule="auto"/>
        <w:rPr>
          <w:rFonts w:ascii="Arial"/>
          <w:color w:val="auto"/>
          <w:sz w:val="21"/>
          <w:highlight w:val="none"/>
        </w:rPr>
      </w:pPr>
    </w:p>
    <w:p w14:paraId="675EBAF8">
      <w:pPr>
        <w:pStyle w:val="4"/>
        <w:spacing w:before="79" w:line="219" w:lineRule="auto"/>
        <w:ind w:left="5979"/>
        <w:rPr>
          <w:color w:val="auto"/>
          <w:sz w:val="24"/>
          <w:szCs w:val="24"/>
          <w:highlight w:val="none"/>
        </w:rPr>
      </w:pPr>
      <w:r>
        <w:rPr>
          <w:color w:val="auto"/>
          <w:spacing w:val="-9"/>
          <w:sz w:val="24"/>
          <w:szCs w:val="24"/>
          <w:highlight w:val="none"/>
        </w:rPr>
        <w:t>年</w:t>
      </w:r>
      <w:r>
        <w:rPr>
          <w:color w:val="auto"/>
          <w:spacing w:val="7"/>
          <w:sz w:val="24"/>
          <w:szCs w:val="24"/>
          <w:highlight w:val="none"/>
        </w:rPr>
        <w:t xml:space="preserve">  </w:t>
      </w:r>
      <w:r>
        <w:rPr>
          <w:color w:val="auto"/>
          <w:spacing w:val="-9"/>
          <w:sz w:val="24"/>
          <w:szCs w:val="24"/>
          <w:highlight w:val="none"/>
        </w:rPr>
        <w:t>月</w:t>
      </w:r>
      <w:r>
        <w:rPr>
          <w:color w:val="auto"/>
          <w:spacing w:val="26"/>
          <w:sz w:val="24"/>
          <w:szCs w:val="24"/>
          <w:highlight w:val="none"/>
        </w:rPr>
        <w:t xml:space="preserve">  </w:t>
      </w:r>
      <w:r>
        <w:rPr>
          <w:color w:val="auto"/>
          <w:spacing w:val="-9"/>
          <w:sz w:val="24"/>
          <w:szCs w:val="24"/>
          <w:highlight w:val="none"/>
        </w:rPr>
        <w:t>日</w:t>
      </w:r>
    </w:p>
    <w:p w14:paraId="2B18B359">
      <w:pPr>
        <w:pStyle w:val="4"/>
        <w:spacing w:before="48" w:line="219" w:lineRule="auto"/>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3.2</w:t>
      </w:r>
      <w:r>
        <w:rPr>
          <w:color w:val="auto"/>
          <w:spacing w:val="-3"/>
          <w:sz w:val="24"/>
          <w:szCs w:val="24"/>
          <w:highlight w:val="none"/>
        </w:rPr>
        <w:t xml:space="preserve"> </w:t>
      </w:r>
      <w:r>
        <w:rPr>
          <w:b/>
          <w:bCs/>
          <w:color w:val="auto"/>
          <w:spacing w:val="-3"/>
          <w:sz w:val="24"/>
          <w:szCs w:val="24"/>
          <w:highlight w:val="none"/>
        </w:rPr>
        <w:t>技术文件目录</w:t>
      </w:r>
    </w:p>
    <w:p w14:paraId="092AA764">
      <w:pPr>
        <w:pStyle w:val="4"/>
        <w:spacing w:before="151" w:line="219" w:lineRule="auto"/>
        <w:ind w:left="606"/>
        <w:rPr>
          <w:color w:val="auto"/>
          <w:sz w:val="24"/>
          <w:szCs w:val="24"/>
          <w:highlight w:val="none"/>
        </w:rPr>
      </w:pPr>
      <w:r>
        <w:rPr>
          <w:color w:val="auto"/>
          <w:spacing w:val="-1"/>
          <w:sz w:val="24"/>
          <w:szCs w:val="24"/>
          <w:highlight w:val="none"/>
        </w:rPr>
        <w:t>（根据招标文件规定及投标人提供的材料自行编写目录（部分格式后附）。</w:t>
      </w:r>
    </w:p>
    <w:p w14:paraId="0C535CA5">
      <w:pPr>
        <w:pStyle w:val="4"/>
        <w:spacing w:before="113" w:line="219" w:lineRule="auto"/>
        <w:ind w:left="372"/>
        <w:rPr>
          <w:color w:val="auto"/>
          <w:sz w:val="24"/>
          <w:szCs w:val="24"/>
          <w:highlight w:val="none"/>
        </w:rPr>
      </w:pPr>
      <w:r>
        <w:rPr>
          <w:color w:val="auto"/>
          <w:sz w:val="24"/>
          <w:szCs w:val="24"/>
          <w:highlight w:val="none"/>
        </w:rPr>
        <w:t>1、服务要求偏离表（格式后附</w:t>
      </w:r>
      <w:r>
        <w:rPr>
          <w:color w:val="auto"/>
          <w:spacing w:val="-10"/>
          <w:sz w:val="24"/>
          <w:szCs w:val="24"/>
          <w:highlight w:val="none"/>
        </w:rPr>
        <w:t>）；（</w:t>
      </w:r>
      <w:r>
        <w:rPr>
          <w:color w:val="auto"/>
          <w:sz w:val="24"/>
          <w:szCs w:val="24"/>
          <w:highlight w:val="none"/>
        </w:rPr>
        <w:t>必须提供，否则作无效投标处理）</w:t>
      </w:r>
    </w:p>
    <w:p w14:paraId="745799C5">
      <w:pPr>
        <w:pStyle w:val="4"/>
        <w:spacing w:before="113" w:line="219" w:lineRule="auto"/>
        <w:ind w:left="358"/>
        <w:rPr>
          <w:color w:val="auto"/>
          <w:sz w:val="24"/>
          <w:szCs w:val="24"/>
          <w:highlight w:val="none"/>
        </w:rPr>
      </w:pPr>
      <w:r>
        <w:rPr>
          <w:color w:val="auto"/>
          <w:spacing w:val="-1"/>
          <w:sz w:val="24"/>
          <w:szCs w:val="24"/>
          <w:highlight w:val="none"/>
        </w:rPr>
        <w:t>2、服务实施方案（格式自拟</w:t>
      </w:r>
      <w:r>
        <w:rPr>
          <w:color w:val="auto"/>
          <w:sz w:val="24"/>
          <w:szCs w:val="24"/>
          <w:highlight w:val="none"/>
        </w:rPr>
        <w:t>）；</w:t>
      </w:r>
    </w:p>
    <w:p w14:paraId="06775B25">
      <w:pPr>
        <w:pStyle w:val="4"/>
        <w:spacing w:before="113" w:line="219" w:lineRule="auto"/>
        <w:ind w:left="360"/>
        <w:rPr>
          <w:color w:val="auto"/>
          <w:sz w:val="24"/>
          <w:szCs w:val="24"/>
          <w:highlight w:val="none"/>
        </w:rPr>
      </w:pPr>
      <w:r>
        <w:rPr>
          <w:color w:val="auto"/>
          <w:spacing w:val="-2"/>
          <w:sz w:val="24"/>
          <w:szCs w:val="24"/>
          <w:highlight w:val="none"/>
        </w:rPr>
        <w:t>3、管理制度（格式自拟</w:t>
      </w:r>
      <w:r>
        <w:rPr>
          <w:color w:val="auto"/>
          <w:spacing w:val="3"/>
          <w:sz w:val="24"/>
          <w:szCs w:val="24"/>
          <w:highlight w:val="none"/>
        </w:rPr>
        <w:t>）；</w:t>
      </w:r>
    </w:p>
    <w:p w14:paraId="063D9AF9">
      <w:pPr>
        <w:pStyle w:val="4"/>
        <w:spacing w:before="114" w:line="219" w:lineRule="auto"/>
        <w:jc w:val="right"/>
        <w:rPr>
          <w:color w:val="auto"/>
          <w:sz w:val="24"/>
          <w:szCs w:val="24"/>
          <w:highlight w:val="none"/>
        </w:rPr>
      </w:pPr>
      <w:r>
        <w:rPr>
          <w:color w:val="auto"/>
          <w:spacing w:val="-1"/>
          <w:sz w:val="24"/>
          <w:szCs w:val="24"/>
          <w:highlight w:val="none"/>
        </w:rPr>
        <w:t>4、除招标文件规定必须提供以外，投标人需要说明的其他</w:t>
      </w:r>
      <w:r>
        <w:rPr>
          <w:color w:val="auto"/>
          <w:spacing w:val="-2"/>
          <w:sz w:val="24"/>
          <w:szCs w:val="24"/>
          <w:highlight w:val="none"/>
        </w:rPr>
        <w:t>文件和说明（格式自拟）。</w:t>
      </w:r>
    </w:p>
    <w:p w14:paraId="65A1FAB8">
      <w:pPr>
        <w:pStyle w:val="4"/>
        <w:spacing w:before="56" w:line="220" w:lineRule="auto"/>
        <w:ind w:left="309"/>
        <w:rPr>
          <w:color w:val="auto"/>
          <w:highlight w:val="none"/>
        </w:rPr>
      </w:pPr>
      <w:r>
        <w:rPr>
          <w:b/>
          <w:bCs/>
          <w:color w:val="auto"/>
          <w:spacing w:val="-5"/>
          <w:highlight w:val="none"/>
        </w:rPr>
        <w:br w:type="page"/>
      </w:r>
      <w:r>
        <w:rPr>
          <w:b/>
          <w:bCs/>
          <w:color w:val="auto"/>
          <w:spacing w:val="-5"/>
          <w:highlight w:val="none"/>
        </w:rPr>
        <w:t>1.服务要求偏离表的格式：</w:t>
      </w:r>
    </w:p>
    <w:p w14:paraId="4FFB4870">
      <w:pPr>
        <w:pStyle w:val="4"/>
        <w:spacing w:before="130" w:line="219" w:lineRule="auto"/>
        <w:ind w:left="4054"/>
        <w:rPr>
          <w:color w:val="auto"/>
          <w:sz w:val="30"/>
          <w:szCs w:val="30"/>
          <w:highlight w:val="none"/>
        </w:rPr>
      </w:pPr>
      <w:r>
        <w:rPr>
          <w:b/>
          <w:bCs/>
          <w:color w:val="auto"/>
          <w:spacing w:val="-5"/>
          <w:sz w:val="30"/>
          <w:szCs w:val="30"/>
          <w:highlight w:val="none"/>
        </w:rPr>
        <w:t>服务要求偏离表</w:t>
      </w:r>
    </w:p>
    <w:p w14:paraId="0DD37A8B">
      <w:pPr>
        <w:spacing w:line="395" w:lineRule="auto"/>
        <w:rPr>
          <w:rFonts w:ascii="Arial"/>
          <w:color w:val="auto"/>
          <w:sz w:val="21"/>
          <w:highlight w:val="none"/>
        </w:rPr>
      </w:pPr>
    </w:p>
    <w:p w14:paraId="04DA386D">
      <w:pPr>
        <w:pStyle w:val="4"/>
        <w:spacing w:line="240" w:lineRule="auto"/>
        <w:ind w:left="0" w:right="0"/>
        <w:rPr>
          <w:color w:val="auto"/>
          <w:sz w:val="24"/>
          <w:szCs w:val="24"/>
          <w:highlight w:val="none"/>
        </w:rPr>
      </w:pPr>
      <w:r>
        <w:rPr>
          <w:color w:val="auto"/>
          <w:spacing w:val="-15"/>
          <w:sz w:val="24"/>
          <w:szCs w:val="24"/>
          <w:highlight w:val="none"/>
        </w:rPr>
        <w:t>项目名称：</w:t>
      </w:r>
      <w:r>
        <w:rPr>
          <w:color w:val="auto"/>
          <w:sz w:val="24"/>
          <w:szCs w:val="24"/>
          <w:highlight w:val="none"/>
        </w:rPr>
        <w:t xml:space="preserve"> </w:t>
      </w:r>
    </w:p>
    <w:p w14:paraId="53E8DCE1">
      <w:pPr>
        <w:pStyle w:val="4"/>
        <w:spacing w:line="240" w:lineRule="auto"/>
        <w:ind w:left="0" w:right="0"/>
        <w:rPr>
          <w:color w:val="auto"/>
          <w:sz w:val="24"/>
          <w:szCs w:val="24"/>
          <w:highlight w:val="none"/>
        </w:rPr>
      </w:pPr>
      <w:r>
        <w:rPr>
          <w:color w:val="auto"/>
          <w:spacing w:val="-15"/>
          <w:sz w:val="24"/>
          <w:szCs w:val="24"/>
          <w:highlight w:val="none"/>
        </w:rPr>
        <w:t>项目编号：</w:t>
      </w:r>
    </w:p>
    <w:p w14:paraId="0D41E540">
      <w:pPr>
        <w:spacing w:line="126" w:lineRule="exact"/>
        <w:rPr>
          <w:color w:val="auto"/>
          <w:highlight w:val="none"/>
        </w:rPr>
      </w:pPr>
    </w:p>
    <w:tbl>
      <w:tblPr>
        <w:tblStyle w:val="18"/>
        <w:tblW w:w="101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7"/>
        <w:gridCol w:w="1262"/>
        <w:gridCol w:w="3423"/>
        <w:gridCol w:w="3475"/>
        <w:gridCol w:w="1172"/>
      </w:tblGrid>
      <w:tr w14:paraId="75E24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9" w:hRule="atLeast"/>
        </w:trPr>
        <w:tc>
          <w:tcPr>
            <w:tcW w:w="857" w:type="dxa"/>
            <w:vAlign w:val="top"/>
          </w:tcPr>
          <w:p w14:paraId="46698F6B">
            <w:pPr>
              <w:spacing w:line="370" w:lineRule="auto"/>
              <w:rPr>
                <w:rFonts w:ascii="Arial"/>
                <w:color w:val="auto"/>
                <w:sz w:val="21"/>
                <w:highlight w:val="none"/>
              </w:rPr>
            </w:pPr>
          </w:p>
          <w:p w14:paraId="0A55A7ED">
            <w:pPr>
              <w:pStyle w:val="19"/>
              <w:spacing w:before="62" w:line="229" w:lineRule="auto"/>
              <w:ind w:left="117"/>
              <w:rPr>
                <w:color w:val="auto"/>
                <w:sz w:val="19"/>
                <w:szCs w:val="19"/>
                <w:highlight w:val="none"/>
              </w:rPr>
            </w:pPr>
            <w:r>
              <w:rPr>
                <w:color w:val="auto"/>
                <w:spacing w:val="3"/>
                <w:sz w:val="19"/>
                <w:szCs w:val="19"/>
                <w:highlight w:val="none"/>
              </w:rPr>
              <w:t>项号</w:t>
            </w:r>
          </w:p>
        </w:tc>
        <w:tc>
          <w:tcPr>
            <w:tcW w:w="1262" w:type="dxa"/>
            <w:vAlign w:val="top"/>
          </w:tcPr>
          <w:p w14:paraId="7210C6E5">
            <w:pPr>
              <w:spacing w:line="370" w:lineRule="auto"/>
              <w:rPr>
                <w:rFonts w:ascii="Arial"/>
                <w:color w:val="auto"/>
                <w:sz w:val="21"/>
                <w:highlight w:val="none"/>
              </w:rPr>
            </w:pPr>
          </w:p>
          <w:p w14:paraId="2DCE04E7">
            <w:pPr>
              <w:pStyle w:val="19"/>
              <w:spacing w:before="62" w:line="229" w:lineRule="auto"/>
              <w:ind w:left="235"/>
              <w:rPr>
                <w:color w:val="auto"/>
                <w:sz w:val="19"/>
                <w:szCs w:val="19"/>
                <w:highlight w:val="none"/>
              </w:rPr>
            </w:pPr>
            <w:r>
              <w:rPr>
                <w:color w:val="auto"/>
                <w:spacing w:val="7"/>
                <w:sz w:val="19"/>
                <w:szCs w:val="19"/>
                <w:highlight w:val="none"/>
              </w:rPr>
              <w:t>标的名称</w:t>
            </w:r>
          </w:p>
        </w:tc>
        <w:tc>
          <w:tcPr>
            <w:tcW w:w="3423" w:type="dxa"/>
            <w:vAlign w:val="top"/>
          </w:tcPr>
          <w:p w14:paraId="5933EBB3">
            <w:pPr>
              <w:spacing w:line="371" w:lineRule="auto"/>
              <w:rPr>
                <w:rFonts w:ascii="Arial"/>
                <w:color w:val="auto"/>
                <w:sz w:val="21"/>
                <w:highlight w:val="none"/>
              </w:rPr>
            </w:pPr>
          </w:p>
          <w:p w14:paraId="209DBC09">
            <w:pPr>
              <w:pStyle w:val="19"/>
              <w:spacing w:before="62" w:line="227" w:lineRule="auto"/>
              <w:ind w:left="317"/>
              <w:rPr>
                <w:color w:val="auto"/>
                <w:sz w:val="19"/>
                <w:szCs w:val="19"/>
                <w:highlight w:val="none"/>
              </w:rPr>
            </w:pPr>
            <w:r>
              <w:rPr>
                <w:color w:val="auto"/>
                <w:spacing w:val="9"/>
                <w:sz w:val="19"/>
                <w:szCs w:val="19"/>
                <w:highlight w:val="none"/>
              </w:rPr>
              <w:t>招标文件采购需求中的服务内容</w:t>
            </w:r>
          </w:p>
        </w:tc>
        <w:tc>
          <w:tcPr>
            <w:tcW w:w="3475" w:type="dxa"/>
            <w:vAlign w:val="top"/>
          </w:tcPr>
          <w:p w14:paraId="6D5FEFD9">
            <w:pPr>
              <w:spacing w:line="371" w:lineRule="auto"/>
              <w:rPr>
                <w:rFonts w:ascii="Arial"/>
                <w:color w:val="auto"/>
                <w:sz w:val="21"/>
                <w:highlight w:val="none"/>
              </w:rPr>
            </w:pPr>
          </w:p>
          <w:p w14:paraId="2702DAA8">
            <w:pPr>
              <w:pStyle w:val="19"/>
              <w:spacing w:before="61" w:line="228" w:lineRule="auto"/>
              <w:ind w:left="644"/>
              <w:rPr>
                <w:color w:val="auto"/>
                <w:sz w:val="19"/>
                <w:szCs w:val="19"/>
                <w:highlight w:val="none"/>
              </w:rPr>
            </w:pPr>
            <w:r>
              <w:rPr>
                <w:color w:val="auto"/>
                <w:spacing w:val="9"/>
                <w:sz w:val="19"/>
                <w:szCs w:val="19"/>
                <w:highlight w:val="none"/>
              </w:rPr>
              <w:t>投标文件响应的服务内容</w:t>
            </w:r>
          </w:p>
        </w:tc>
        <w:tc>
          <w:tcPr>
            <w:tcW w:w="1172" w:type="dxa"/>
            <w:vAlign w:val="top"/>
          </w:tcPr>
          <w:p w14:paraId="446C3C32">
            <w:pPr>
              <w:spacing w:line="371" w:lineRule="auto"/>
              <w:rPr>
                <w:rFonts w:ascii="Arial"/>
                <w:color w:val="auto"/>
                <w:sz w:val="21"/>
                <w:highlight w:val="none"/>
              </w:rPr>
            </w:pPr>
          </w:p>
          <w:p w14:paraId="304E6585">
            <w:pPr>
              <w:pStyle w:val="19"/>
              <w:spacing w:before="61" w:line="228" w:lineRule="auto"/>
              <w:ind w:left="114"/>
              <w:rPr>
                <w:color w:val="auto"/>
                <w:sz w:val="19"/>
                <w:szCs w:val="19"/>
                <w:highlight w:val="none"/>
              </w:rPr>
            </w:pPr>
            <w:r>
              <w:rPr>
                <w:color w:val="auto"/>
                <w:spacing w:val="7"/>
                <w:sz w:val="19"/>
                <w:szCs w:val="19"/>
                <w:highlight w:val="none"/>
              </w:rPr>
              <w:t>偏离说明</w:t>
            </w:r>
          </w:p>
        </w:tc>
      </w:tr>
      <w:tr w14:paraId="644FF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857" w:type="dxa"/>
            <w:vAlign w:val="top"/>
          </w:tcPr>
          <w:p w14:paraId="2ECB599A">
            <w:pPr>
              <w:pStyle w:val="19"/>
              <w:spacing w:before="262" w:line="190" w:lineRule="auto"/>
              <w:ind w:left="129"/>
              <w:rPr>
                <w:color w:val="auto"/>
                <w:sz w:val="19"/>
                <w:szCs w:val="19"/>
                <w:highlight w:val="none"/>
              </w:rPr>
            </w:pPr>
            <w:r>
              <w:rPr>
                <w:color w:val="auto"/>
                <w:sz w:val="19"/>
                <w:szCs w:val="19"/>
                <w:highlight w:val="none"/>
              </w:rPr>
              <w:t>1</w:t>
            </w:r>
          </w:p>
        </w:tc>
        <w:tc>
          <w:tcPr>
            <w:tcW w:w="1262" w:type="dxa"/>
            <w:vAlign w:val="top"/>
          </w:tcPr>
          <w:p w14:paraId="765A77ED">
            <w:pPr>
              <w:rPr>
                <w:rFonts w:ascii="Arial"/>
                <w:color w:val="auto"/>
                <w:sz w:val="21"/>
                <w:highlight w:val="none"/>
              </w:rPr>
            </w:pPr>
          </w:p>
        </w:tc>
        <w:tc>
          <w:tcPr>
            <w:tcW w:w="3423" w:type="dxa"/>
            <w:vAlign w:val="top"/>
          </w:tcPr>
          <w:p w14:paraId="5F8CB0DD">
            <w:pPr>
              <w:rPr>
                <w:rFonts w:ascii="Arial"/>
                <w:color w:val="auto"/>
                <w:sz w:val="21"/>
                <w:highlight w:val="none"/>
              </w:rPr>
            </w:pPr>
          </w:p>
        </w:tc>
        <w:tc>
          <w:tcPr>
            <w:tcW w:w="3475" w:type="dxa"/>
            <w:vAlign w:val="top"/>
          </w:tcPr>
          <w:p w14:paraId="0B45D4DD">
            <w:pPr>
              <w:rPr>
                <w:rFonts w:ascii="Arial"/>
                <w:color w:val="auto"/>
                <w:sz w:val="21"/>
                <w:highlight w:val="none"/>
              </w:rPr>
            </w:pPr>
          </w:p>
        </w:tc>
        <w:tc>
          <w:tcPr>
            <w:tcW w:w="1172" w:type="dxa"/>
            <w:vAlign w:val="top"/>
          </w:tcPr>
          <w:p w14:paraId="691FE720">
            <w:pPr>
              <w:rPr>
                <w:rFonts w:ascii="Arial"/>
                <w:color w:val="auto"/>
                <w:sz w:val="21"/>
                <w:highlight w:val="none"/>
              </w:rPr>
            </w:pPr>
          </w:p>
        </w:tc>
      </w:tr>
      <w:tr w14:paraId="027F0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857" w:type="dxa"/>
            <w:vAlign w:val="top"/>
          </w:tcPr>
          <w:p w14:paraId="17D6A6D9">
            <w:pPr>
              <w:pStyle w:val="19"/>
              <w:spacing w:before="265" w:line="189" w:lineRule="auto"/>
              <w:ind w:left="117"/>
              <w:rPr>
                <w:color w:val="auto"/>
                <w:sz w:val="19"/>
                <w:szCs w:val="19"/>
                <w:highlight w:val="none"/>
              </w:rPr>
            </w:pPr>
            <w:r>
              <w:rPr>
                <w:color w:val="auto"/>
                <w:sz w:val="19"/>
                <w:szCs w:val="19"/>
                <w:highlight w:val="none"/>
              </w:rPr>
              <w:t>2</w:t>
            </w:r>
          </w:p>
        </w:tc>
        <w:tc>
          <w:tcPr>
            <w:tcW w:w="1262" w:type="dxa"/>
            <w:vAlign w:val="top"/>
          </w:tcPr>
          <w:p w14:paraId="208F43DA">
            <w:pPr>
              <w:rPr>
                <w:rFonts w:ascii="Arial"/>
                <w:color w:val="auto"/>
                <w:sz w:val="21"/>
                <w:highlight w:val="none"/>
              </w:rPr>
            </w:pPr>
          </w:p>
        </w:tc>
        <w:tc>
          <w:tcPr>
            <w:tcW w:w="3423" w:type="dxa"/>
            <w:vAlign w:val="top"/>
          </w:tcPr>
          <w:p w14:paraId="52BE976B">
            <w:pPr>
              <w:rPr>
                <w:rFonts w:ascii="Arial"/>
                <w:color w:val="auto"/>
                <w:sz w:val="21"/>
                <w:highlight w:val="none"/>
              </w:rPr>
            </w:pPr>
          </w:p>
        </w:tc>
        <w:tc>
          <w:tcPr>
            <w:tcW w:w="3475" w:type="dxa"/>
            <w:vAlign w:val="top"/>
          </w:tcPr>
          <w:p w14:paraId="3229DBE2">
            <w:pPr>
              <w:rPr>
                <w:rFonts w:ascii="Arial"/>
                <w:color w:val="auto"/>
                <w:sz w:val="21"/>
                <w:highlight w:val="none"/>
              </w:rPr>
            </w:pPr>
          </w:p>
        </w:tc>
        <w:tc>
          <w:tcPr>
            <w:tcW w:w="1172" w:type="dxa"/>
            <w:vAlign w:val="top"/>
          </w:tcPr>
          <w:p w14:paraId="2A11BE1C">
            <w:pPr>
              <w:rPr>
                <w:rFonts w:ascii="Arial"/>
                <w:color w:val="auto"/>
                <w:sz w:val="21"/>
                <w:highlight w:val="none"/>
              </w:rPr>
            </w:pPr>
          </w:p>
        </w:tc>
      </w:tr>
      <w:tr w14:paraId="14412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857" w:type="dxa"/>
            <w:vAlign w:val="top"/>
          </w:tcPr>
          <w:p w14:paraId="2C0E737A">
            <w:pPr>
              <w:spacing w:line="316" w:lineRule="auto"/>
              <w:rPr>
                <w:rFonts w:ascii="Arial"/>
                <w:color w:val="auto"/>
                <w:sz w:val="21"/>
                <w:highlight w:val="none"/>
              </w:rPr>
            </w:pPr>
          </w:p>
          <w:p w14:paraId="5259F769">
            <w:pPr>
              <w:pStyle w:val="19"/>
              <w:spacing w:before="61" w:line="80" w:lineRule="exact"/>
              <w:ind w:left="120"/>
              <w:rPr>
                <w:color w:val="auto"/>
                <w:sz w:val="19"/>
                <w:szCs w:val="19"/>
                <w:highlight w:val="none"/>
              </w:rPr>
            </w:pPr>
            <w:r>
              <w:rPr>
                <w:color w:val="auto"/>
                <w:spacing w:val="3"/>
                <w:position w:val="1"/>
                <w:sz w:val="19"/>
                <w:szCs w:val="19"/>
                <w:highlight w:val="none"/>
              </w:rPr>
              <w:t>...</w:t>
            </w:r>
          </w:p>
        </w:tc>
        <w:tc>
          <w:tcPr>
            <w:tcW w:w="1262" w:type="dxa"/>
            <w:vAlign w:val="top"/>
          </w:tcPr>
          <w:p w14:paraId="20C2199E">
            <w:pPr>
              <w:rPr>
                <w:rFonts w:ascii="Arial"/>
                <w:color w:val="auto"/>
                <w:sz w:val="21"/>
                <w:highlight w:val="none"/>
              </w:rPr>
            </w:pPr>
          </w:p>
        </w:tc>
        <w:tc>
          <w:tcPr>
            <w:tcW w:w="3423" w:type="dxa"/>
            <w:vAlign w:val="top"/>
          </w:tcPr>
          <w:p w14:paraId="689A9F5C">
            <w:pPr>
              <w:rPr>
                <w:rFonts w:ascii="Arial"/>
                <w:color w:val="auto"/>
                <w:sz w:val="21"/>
                <w:highlight w:val="none"/>
              </w:rPr>
            </w:pPr>
          </w:p>
        </w:tc>
        <w:tc>
          <w:tcPr>
            <w:tcW w:w="3475" w:type="dxa"/>
            <w:vAlign w:val="top"/>
          </w:tcPr>
          <w:p w14:paraId="60ECCC9B">
            <w:pPr>
              <w:rPr>
                <w:rFonts w:ascii="Arial"/>
                <w:color w:val="auto"/>
                <w:sz w:val="21"/>
                <w:highlight w:val="none"/>
              </w:rPr>
            </w:pPr>
          </w:p>
        </w:tc>
        <w:tc>
          <w:tcPr>
            <w:tcW w:w="1172" w:type="dxa"/>
            <w:vAlign w:val="top"/>
          </w:tcPr>
          <w:p w14:paraId="674D4173">
            <w:pPr>
              <w:rPr>
                <w:rFonts w:ascii="Arial"/>
                <w:color w:val="auto"/>
                <w:sz w:val="21"/>
                <w:highlight w:val="none"/>
              </w:rPr>
            </w:pPr>
          </w:p>
        </w:tc>
      </w:tr>
    </w:tbl>
    <w:p w14:paraId="6A10FBCF">
      <w:pPr>
        <w:spacing w:line="372" w:lineRule="auto"/>
        <w:rPr>
          <w:rFonts w:ascii="Arial"/>
          <w:color w:val="auto"/>
          <w:sz w:val="21"/>
          <w:highlight w:val="none"/>
        </w:rPr>
      </w:pPr>
    </w:p>
    <w:p w14:paraId="4991383F">
      <w:pPr>
        <w:pStyle w:val="4"/>
        <w:spacing w:before="65" w:line="232" w:lineRule="auto"/>
        <w:ind w:left="705"/>
        <w:rPr>
          <w:color w:val="auto"/>
          <w:sz w:val="20"/>
          <w:szCs w:val="20"/>
          <w:highlight w:val="none"/>
        </w:rPr>
      </w:pPr>
      <w:r>
        <w:rPr>
          <w:color w:val="auto"/>
          <w:sz w:val="20"/>
          <w:szCs w:val="20"/>
          <w:highlight w:val="none"/>
        </w:rPr>
        <w:t>注：</w:t>
      </w:r>
    </w:p>
    <w:p w14:paraId="1434A8F3">
      <w:pPr>
        <w:pStyle w:val="4"/>
        <w:spacing w:before="157" w:line="227" w:lineRule="auto"/>
        <w:ind w:left="721"/>
        <w:rPr>
          <w:color w:val="auto"/>
          <w:sz w:val="20"/>
          <w:szCs w:val="20"/>
          <w:highlight w:val="none"/>
        </w:rPr>
      </w:pPr>
      <w:r>
        <w:rPr>
          <w:color w:val="auto"/>
          <w:spacing w:val="8"/>
          <w:sz w:val="20"/>
          <w:szCs w:val="20"/>
          <w:highlight w:val="none"/>
        </w:rPr>
        <w:t>1.表格内容均需按要求填写并加盖投标人公章。</w:t>
      </w:r>
    </w:p>
    <w:p w14:paraId="0C9C076E">
      <w:pPr>
        <w:pStyle w:val="4"/>
        <w:spacing w:before="163" w:line="368" w:lineRule="auto"/>
        <w:ind w:left="286" w:right="280" w:firstLine="421"/>
        <w:rPr>
          <w:color w:val="auto"/>
          <w:sz w:val="20"/>
          <w:szCs w:val="20"/>
          <w:highlight w:val="none"/>
        </w:rPr>
      </w:pPr>
      <w:r>
        <w:rPr>
          <w:color w:val="auto"/>
          <w:spacing w:val="10"/>
          <w:sz w:val="20"/>
          <w:szCs w:val="20"/>
          <w:highlight w:val="none"/>
        </w:rPr>
        <w:t>2.请根据所投服务内容，逐条对应本项目招标文件“第二章 采购需求”中</w:t>
      </w:r>
      <w:r>
        <w:rPr>
          <w:color w:val="auto"/>
          <w:spacing w:val="9"/>
          <w:sz w:val="20"/>
          <w:szCs w:val="20"/>
          <w:highlight w:val="none"/>
        </w:rPr>
        <w:t>“服务要求”的服务内容</w:t>
      </w:r>
      <w:r>
        <w:rPr>
          <w:color w:val="auto"/>
          <w:spacing w:val="7"/>
          <w:sz w:val="20"/>
          <w:szCs w:val="20"/>
          <w:highlight w:val="none"/>
        </w:rPr>
        <w:t>作出明确响应，并作出偏离说明。“偏离说明”一栏应当选择“正偏离”</w:t>
      </w:r>
      <w:r>
        <w:rPr>
          <w:color w:val="auto"/>
          <w:spacing w:val="6"/>
          <w:sz w:val="20"/>
          <w:szCs w:val="20"/>
          <w:highlight w:val="none"/>
        </w:rPr>
        <w:t>或“负偏离”或“无偏离”进行</w:t>
      </w:r>
      <w:r>
        <w:rPr>
          <w:color w:val="auto"/>
          <w:spacing w:val="2"/>
          <w:sz w:val="20"/>
          <w:szCs w:val="20"/>
          <w:highlight w:val="none"/>
        </w:rPr>
        <w:t>填写。</w:t>
      </w:r>
    </w:p>
    <w:p w14:paraId="3CD54501">
      <w:pPr>
        <w:pStyle w:val="4"/>
        <w:spacing w:before="29" w:line="228" w:lineRule="auto"/>
        <w:ind w:left="709"/>
        <w:rPr>
          <w:color w:val="auto"/>
          <w:sz w:val="20"/>
          <w:szCs w:val="20"/>
          <w:highlight w:val="none"/>
        </w:rPr>
      </w:pPr>
      <w:r>
        <w:rPr>
          <w:color w:val="auto"/>
          <w:spacing w:val="9"/>
          <w:sz w:val="20"/>
          <w:szCs w:val="20"/>
          <w:highlight w:val="none"/>
        </w:rPr>
        <w:t>3.当投标文件的服务内容低于招标文件要求时，投标人应当如实写明“负偏离”。</w:t>
      </w:r>
    </w:p>
    <w:p w14:paraId="66DB6ACB">
      <w:pPr>
        <w:spacing w:line="255" w:lineRule="auto"/>
        <w:rPr>
          <w:rFonts w:ascii="Arial"/>
          <w:color w:val="auto"/>
          <w:sz w:val="21"/>
          <w:highlight w:val="none"/>
        </w:rPr>
      </w:pPr>
    </w:p>
    <w:p w14:paraId="23E3A583">
      <w:pPr>
        <w:spacing w:line="255" w:lineRule="auto"/>
        <w:rPr>
          <w:rFonts w:ascii="Arial"/>
          <w:color w:val="auto"/>
          <w:sz w:val="21"/>
          <w:highlight w:val="none"/>
        </w:rPr>
      </w:pPr>
    </w:p>
    <w:p w14:paraId="1E973C97">
      <w:pPr>
        <w:spacing w:line="255" w:lineRule="auto"/>
        <w:rPr>
          <w:rFonts w:ascii="Arial"/>
          <w:color w:val="auto"/>
          <w:sz w:val="21"/>
          <w:highlight w:val="none"/>
        </w:rPr>
      </w:pPr>
    </w:p>
    <w:p w14:paraId="16C1DFEB">
      <w:pPr>
        <w:spacing w:line="255" w:lineRule="auto"/>
        <w:rPr>
          <w:rFonts w:ascii="Arial"/>
          <w:color w:val="auto"/>
          <w:sz w:val="21"/>
          <w:highlight w:val="none"/>
        </w:rPr>
      </w:pPr>
    </w:p>
    <w:p w14:paraId="58968D03">
      <w:pPr>
        <w:pStyle w:val="4"/>
        <w:spacing w:before="79" w:line="468" w:lineRule="auto"/>
        <w:ind w:right="1937"/>
        <w:rPr>
          <w:color w:val="auto"/>
          <w:spacing w:val="-7"/>
          <w:sz w:val="24"/>
          <w:szCs w:val="24"/>
          <w:highlight w:val="none"/>
        </w:rPr>
      </w:pPr>
      <w:r>
        <w:rPr>
          <w:color w:val="auto"/>
          <w:spacing w:val="-7"/>
          <w:sz w:val="24"/>
          <w:szCs w:val="24"/>
          <w:highlight w:val="none"/>
        </w:rPr>
        <w:t>投标人名称(盖公章)：</w:t>
      </w:r>
    </w:p>
    <w:p w14:paraId="0DC7AB93">
      <w:pPr>
        <w:pStyle w:val="4"/>
        <w:spacing w:before="79" w:line="468" w:lineRule="auto"/>
        <w:ind w:right="1937"/>
        <w:rPr>
          <w:color w:val="auto"/>
          <w:sz w:val="24"/>
          <w:szCs w:val="24"/>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p>
    <w:p w14:paraId="72C0B0AD">
      <w:pPr>
        <w:pStyle w:val="4"/>
        <w:spacing w:before="218" w:line="219" w:lineRule="auto"/>
        <w:ind w:left="5968"/>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14:paraId="3B8D608D">
      <w:pPr>
        <w:pStyle w:val="4"/>
        <w:spacing w:before="47" w:line="219" w:lineRule="auto"/>
        <w:rPr>
          <w:color w:val="auto"/>
          <w:sz w:val="24"/>
          <w:szCs w:val="24"/>
          <w:highlight w:val="none"/>
        </w:rPr>
      </w:pPr>
      <w:r>
        <w:rPr>
          <w:color w:val="auto"/>
          <w:spacing w:val="-1"/>
          <w:sz w:val="24"/>
          <w:szCs w:val="24"/>
          <w:highlight w:val="none"/>
        </w:rPr>
        <w:br w:type="page"/>
      </w:r>
      <w:r>
        <w:rPr>
          <w:color w:val="auto"/>
          <w:spacing w:val="-1"/>
          <w:sz w:val="24"/>
          <w:szCs w:val="24"/>
          <w:highlight w:val="none"/>
        </w:rPr>
        <w:t>2、服务实施方案（格式自拟</w:t>
      </w:r>
      <w:r>
        <w:rPr>
          <w:color w:val="auto"/>
          <w:sz w:val="24"/>
          <w:szCs w:val="24"/>
          <w:highlight w:val="none"/>
        </w:rPr>
        <w:t>）；</w:t>
      </w:r>
    </w:p>
    <w:p w14:paraId="26B6D73A">
      <w:pPr>
        <w:pStyle w:val="4"/>
        <w:spacing w:before="144" w:line="219" w:lineRule="auto"/>
        <w:ind w:left="39"/>
        <w:rPr>
          <w:color w:val="auto"/>
          <w:sz w:val="24"/>
          <w:szCs w:val="24"/>
          <w:highlight w:val="none"/>
        </w:rPr>
      </w:pPr>
      <w:r>
        <w:rPr>
          <w:color w:val="auto"/>
          <w:spacing w:val="-2"/>
          <w:sz w:val="24"/>
          <w:szCs w:val="24"/>
          <w:highlight w:val="none"/>
        </w:rPr>
        <w:t>(由投标人根据《招标项目采购需求》和评定成交的标准自行填写)</w:t>
      </w:r>
    </w:p>
    <w:p w14:paraId="211615E3">
      <w:pPr>
        <w:spacing w:line="327" w:lineRule="auto"/>
        <w:rPr>
          <w:rFonts w:ascii="Arial"/>
          <w:color w:val="auto"/>
          <w:sz w:val="21"/>
          <w:highlight w:val="none"/>
        </w:rPr>
      </w:pPr>
    </w:p>
    <w:p w14:paraId="001EA5D4">
      <w:pPr>
        <w:spacing w:line="328" w:lineRule="auto"/>
        <w:rPr>
          <w:rFonts w:ascii="Arial"/>
          <w:color w:val="auto"/>
          <w:sz w:val="21"/>
          <w:highlight w:val="none"/>
        </w:rPr>
      </w:pPr>
    </w:p>
    <w:p w14:paraId="7606487D">
      <w:pPr>
        <w:pStyle w:val="4"/>
        <w:spacing w:before="78" w:line="219" w:lineRule="auto"/>
        <w:ind w:left="1"/>
        <w:rPr>
          <w:color w:val="auto"/>
          <w:sz w:val="24"/>
          <w:szCs w:val="24"/>
          <w:highlight w:val="none"/>
        </w:rPr>
      </w:pPr>
      <w:r>
        <w:rPr>
          <w:color w:val="auto"/>
          <w:spacing w:val="-2"/>
          <w:sz w:val="24"/>
          <w:szCs w:val="24"/>
          <w:highlight w:val="none"/>
        </w:rPr>
        <w:t>3、管理制度（格式自拟</w:t>
      </w:r>
      <w:r>
        <w:rPr>
          <w:color w:val="auto"/>
          <w:spacing w:val="3"/>
          <w:sz w:val="24"/>
          <w:szCs w:val="24"/>
          <w:highlight w:val="none"/>
        </w:rPr>
        <w:t>）；</w:t>
      </w:r>
    </w:p>
    <w:p w14:paraId="1F4BB4E0">
      <w:pPr>
        <w:pStyle w:val="4"/>
        <w:spacing w:before="147" w:line="219" w:lineRule="auto"/>
        <w:ind w:left="39"/>
        <w:rPr>
          <w:color w:val="auto"/>
          <w:sz w:val="24"/>
          <w:szCs w:val="24"/>
          <w:highlight w:val="none"/>
        </w:rPr>
      </w:pPr>
      <w:r>
        <w:rPr>
          <w:color w:val="auto"/>
          <w:spacing w:val="-2"/>
          <w:sz w:val="24"/>
          <w:szCs w:val="24"/>
          <w:highlight w:val="none"/>
        </w:rPr>
        <w:t>(由投标人根据《招标项目采购需求》和评定成交的标准自行填写)</w:t>
      </w:r>
    </w:p>
    <w:p w14:paraId="592CDE57">
      <w:pPr>
        <w:spacing w:line="298" w:lineRule="auto"/>
        <w:rPr>
          <w:rFonts w:ascii="Arial"/>
          <w:color w:val="auto"/>
          <w:sz w:val="21"/>
          <w:highlight w:val="none"/>
        </w:rPr>
      </w:pPr>
    </w:p>
    <w:p w14:paraId="1BA98376">
      <w:pPr>
        <w:spacing w:line="298" w:lineRule="auto"/>
        <w:rPr>
          <w:rFonts w:ascii="Arial"/>
          <w:color w:val="auto"/>
          <w:sz w:val="21"/>
          <w:highlight w:val="none"/>
        </w:rPr>
      </w:pPr>
    </w:p>
    <w:p w14:paraId="2F53E421">
      <w:pPr>
        <w:spacing w:line="298" w:lineRule="auto"/>
        <w:rPr>
          <w:rFonts w:ascii="Arial"/>
          <w:color w:val="auto"/>
          <w:sz w:val="21"/>
          <w:highlight w:val="none"/>
        </w:rPr>
      </w:pPr>
    </w:p>
    <w:p w14:paraId="1DEE1D55">
      <w:pPr>
        <w:spacing w:line="298" w:lineRule="auto"/>
        <w:rPr>
          <w:rFonts w:ascii="Arial"/>
          <w:color w:val="auto"/>
          <w:sz w:val="21"/>
          <w:highlight w:val="none"/>
        </w:rPr>
      </w:pPr>
    </w:p>
    <w:p w14:paraId="21BB86B9">
      <w:pPr>
        <w:pStyle w:val="4"/>
        <w:spacing w:before="78" w:line="219" w:lineRule="auto"/>
        <w:jc w:val="right"/>
        <w:rPr>
          <w:color w:val="auto"/>
          <w:sz w:val="24"/>
          <w:szCs w:val="24"/>
          <w:highlight w:val="none"/>
        </w:rPr>
      </w:pPr>
      <w:r>
        <w:rPr>
          <w:color w:val="auto"/>
          <w:spacing w:val="-1"/>
          <w:sz w:val="24"/>
          <w:szCs w:val="24"/>
          <w:highlight w:val="none"/>
        </w:rPr>
        <w:t>4、除招标文件规定必须提供以外，投标人需要说明的其他</w:t>
      </w:r>
      <w:r>
        <w:rPr>
          <w:color w:val="auto"/>
          <w:spacing w:val="-2"/>
          <w:sz w:val="24"/>
          <w:szCs w:val="24"/>
          <w:highlight w:val="none"/>
        </w:rPr>
        <w:t>文件和说明（格式自拟）。</w:t>
      </w:r>
    </w:p>
    <w:p w14:paraId="5392D904">
      <w:pPr>
        <w:pStyle w:val="4"/>
        <w:spacing w:before="271" w:line="223" w:lineRule="auto"/>
        <w:ind w:left="3569"/>
        <w:rPr>
          <w:color w:val="auto"/>
          <w:sz w:val="31"/>
          <w:szCs w:val="31"/>
          <w:highlight w:val="none"/>
        </w:rPr>
      </w:pPr>
      <w:r>
        <w:rPr>
          <w:b/>
          <w:bCs/>
          <w:color w:val="auto"/>
          <w:spacing w:val="2"/>
          <w:sz w:val="31"/>
          <w:szCs w:val="31"/>
          <w:highlight w:val="none"/>
        </w:rPr>
        <w:br w:type="page"/>
      </w:r>
      <w:r>
        <w:rPr>
          <w:b/>
          <w:bCs/>
          <w:color w:val="auto"/>
          <w:spacing w:val="2"/>
          <w:sz w:val="31"/>
          <w:szCs w:val="31"/>
          <w:highlight w:val="none"/>
        </w:rPr>
        <w:t>四、报价文件格式</w:t>
      </w:r>
    </w:p>
    <w:p w14:paraId="72131906">
      <w:pPr>
        <w:spacing w:line="296" w:lineRule="auto"/>
        <w:rPr>
          <w:rFonts w:ascii="Arial"/>
          <w:color w:val="auto"/>
          <w:sz w:val="21"/>
          <w:highlight w:val="none"/>
        </w:rPr>
      </w:pPr>
    </w:p>
    <w:p w14:paraId="777ECD69">
      <w:pPr>
        <w:spacing w:line="296" w:lineRule="auto"/>
        <w:rPr>
          <w:rFonts w:ascii="Arial"/>
          <w:color w:val="auto"/>
          <w:sz w:val="21"/>
          <w:highlight w:val="none"/>
        </w:rPr>
      </w:pPr>
    </w:p>
    <w:p w14:paraId="7E5C616E">
      <w:pPr>
        <w:spacing w:line="296" w:lineRule="auto"/>
        <w:rPr>
          <w:rFonts w:ascii="Arial"/>
          <w:color w:val="auto"/>
          <w:sz w:val="21"/>
          <w:highlight w:val="none"/>
        </w:rPr>
      </w:pPr>
    </w:p>
    <w:p w14:paraId="1D2914CA">
      <w:pPr>
        <w:spacing w:line="296" w:lineRule="auto"/>
        <w:rPr>
          <w:rFonts w:ascii="Arial"/>
          <w:color w:val="auto"/>
          <w:sz w:val="21"/>
          <w:highlight w:val="none"/>
        </w:rPr>
      </w:pPr>
    </w:p>
    <w:p w14:paraId="388AC473">
      <w:pPr>
        <w:pStyle w:val="4"/>
        <w:spacing w:before="78" w:line="218" w:lineRule="auto"/>
        <w:ind w:left="4155"/>
        <w:rPr>
          <w:color w:val="auto"/>
          <w:sz w:val="24"/>
          <w:szCs w:val="24"/>
          <w:highlight w:val="none"/>
        </w:rPr>
      </w:pPr>
      <w:r>
        <w:rPr>
          <w:b/>
          <w:bCs/>
          <w:color w:val="auto"/>
          <w:spacing w:val="-10"/>
          <w:sz w:val="24"/>
          <w:szCs w:val="24"/>
          <w:highlight w:val="none"/>
        </w:rPr>
        <w:t>报</w:t>
      </w:r>
      <w:r>
        <w:rPr>
          <w:color w:val="auto"/>
          <w:spacing w:val="12"/>
          <w:sz w:val="24"/>
          <w:szCs w:val="24"/>
          <w:highlight w:val="none"/>
        </w:rPr>
        <w:t xml:space="preserve"> </w:t>
      </w:r>
      <w:r>
        <w:rPr>
          <w:b/>
          <w:bCs/>
          <w:color w:val="auto"/>
          <w:spacing w:val="-10"/>
          <w:sz w:val="24"/>
          <w:szCs w:val="24"/>
          <w:highlight w:val="none"/>
        </w:rPr>
        <w:t>价</w:t>
      </w:r>
      <w:r>
        <w:rPr>
          <w:color w:val="auto"/>
          <w:spacing w:val="11"/>
          <w:sz w:val="24"/>
          <w:szCs w:val="24"/>
          <w:highlight w:val="none"/>
        </w:rPr>
        <w:t xml:space="preserve"> </w:t>
      </w:r>
      <w:r>
        <w:rPr>
          <w:b/>
          <w:bCs/>
          <w:color w:val="auto"/>
          <w:spacing w:val="-10"/>
          <w:sz w:val="24"/>
          <w:szCs w:val="24"/>
          <w:highlight w:val="none"/>
        </w:rPr>
        <w:t>文</w:t>
      </w:r>
      <w:r>
        <w:rPr>
          <w:color w:val="auto"/>
          <w:spacing w:val="11"/>
          <w:sz w:val="24"/>
          <w:szCs w:val="24"/>
          <w:highlight w:val="none"/>
        </w:rPr>
        <w:t xml:space="preserve"> </w:t>
      </w:r>
      <w:r>
        <w:rPr>
          <w:b/>
          <w:bCs/>
          <w:color w:val="auto"/>
          <w:spacing w:val="-10"/>
          <w:sz w:val="24"/>
          <w:szCs w:val="24"/>
          <w:highlight w:val="none"/>
        </w:rPr>
        <w:t>件</w:t>
      </w:r>
    </w:p>
    <w:p w14:paraId="57DFDE23">
      <w:pPr>
        <w:spacing w:line="296" w:lineRule="auto"/>
        <w:rPr>
          <w:rFonts w:ascii="Arial"/>
          <w:color w:val="auto"/>
          <w:sz w:val="21"/>
          <w:highlight w:val="none"/>
        </w:rPr>
      </w:pPr>
    </w:p>
    <w:p w14:paraId="097F86CD">
      <w:pPr>
        <w:spacing w:line="297" w:lineRule="auto"/>
        <w:rPr>
          <w:rFonts w:ascii="Arial"/>
          <w:color w:val="auto"/>
          <w:sz w:val="21"/>
          <w:highlight w:val="none"/>
        </w:rPr>
      </w:pPr>
    </w:p>
    <w:p w14:paraId="19371B26">
      <w:pPr>
        <w:spacing w:line="297" w:lineRule="auto"/>
        <w:rPr>
          <w:rFonts w:ascii="Arial"/>
          <w:color w:val="auto"/>
          <w:sz w:val="21"/>
          <w:highlight w:val="none"/>
        </w:rPr>
      </w:pPr>
    </w:p>
    <w:p w14:paraId="47E16C41">
      <w:pPr>
        <w:pStyle w:val="4"/>
        <w:spacing w:before="78" w:line="220" w:lineRule="auto"/>
        <w:ind w:left="724"/>
        <w:rPr>
          <w:color w:val="auto"/>
          <w:sz w:val="24"/>
          <w:szCs w:val="24"/>
          <w:highlight w:val="none"/>
        </w:rPr>
      </w:pPr>
      <w:r>
        <w:rPr>
          <w:color w:val="auto"/>
          <w:spacing w:val="-3"/>
          <w:sz w:val="24"/>
          <w:szCs w:val="24"/>
          <w:highlight w:val="none"/>
        </w:rPr>
        <w:t>项目名称：</w:t>
      </w:r>
    </w:p>
    <w:p w14:paraId="65F47D1D">
      <w:pPr>
        <w:pStyle w:val="4"/>
        <w:spacing w:before="273" w:line="219" w:lineRule="auto"/>
        <w:ind w:left="724"/>
        <w:rPr>
          <w:color w:val="auto"/>
          <w:sz w:val="24"/>
          <w:szCs w:val="24"/>
          <w:highlight w:val="none"/>
        </w:rPr>
      </w:pPr>
      <w:r>
        <w:rPr>
          <w:color w:val="auto"/>
          <w:spacing w:val="-3"/>
          <w:sz w:val="24"/>
          <w:szCs w:val="24"/>
          <w:highlight w:val="none"/>
        </w:rPr>
        <w:t>项目编号：</w:t>
      </w:r>
    </w:p>
    <w:p w14:paraId="6EEB878C">
      <w:pPr>
        <w:pStyle w:val="4"/>
        <w:spacing w:before="275" w:line="419" w:lineRule="auto"/>
        <w:ind w:left="723" w:right="6886"/>
        <w:rPr>
          <w:color w:val="auto"/>
          <w:spacing w:val="4"/>
          <w:sz w:val="24"/>
          <w:szCs w:val="24"/>
          <w:highlight w:val="none"/>
        </w:rPr>
      </w:pPr>
      <w:r>
        <w:rPr>
          <w:color w:val="auto"/>
          <w:spacing w:val="-13"/>
          <w:sz w:val="24"/>
          <w:szCs w:val="24"/>
          <w:highlight w:val="none"/>
        </w:rPr>
        <w:t>投标人名称：</w:t>
      </w:r>
      <w:r>
        <w:rPr>
          <w:color w:val="auto"/>
          <w:spacing w:val="4"/>
          <w:sz w:val="24"/>
          <w:szCs w:val="24"/>
          <w:highlight w:val="none"/>
        </w:rPr>
        <w:t xml:space="preserve"> </w:t>
      </w:r>
    </w:p>
    <w:p w14:paraId="530C01C1">
      <w:pPr>
        <w:pStyle w:val="4"/>
        <w:spacing w:before="275" w:line="419" w:lineRule="auto"/>
        <w:ind w:left="723" w:right="6886"/>
        <w:rPr>
          <w:color w:val="auto"/>
          <w:sz w:val="24"/>
          <w:szCs w:val="24"/>
          <w:highlight w:val="none"/>
        </w:rPr>
      </w:pPr>
      <w:r>
        <w:rPr>
          <w:color w:val="auto"/>
          <w:spacing w:val="-13"/>
          <w:sz w:val="24"/>
          <w:szCs w:val="24"/>
          <w:highlight w:val="none"/>
        </w:rPr>
        <w:t>投标人地址：</w:t>
      </w:r>
    </w:p>
    <w:p w14:paraId="1D2FDAF6">
      <w:pPr>
        <w:spacing w:line="341" w:lineRule="auto"/>
        <w:rPr>
          <w:rFonts w:ascii="Arial"/>
          <w:color w:val="auto"/>
          <w:sz w:val="21"/>
          <w:highlight w:val="none"/>
        </w:rPr>
      </w:pPr>
    </w:p>
    <w:p w14:paraId="76349858">
      <w:pPr>
        <w:spacing w:line="342" w:lineRule="auto"/>
        <w:rPr>
          <w:rFonts w:ascii="Arial"/>
          <w:color w:val="auto"/>
          <w:sz w:val="21"/>
          <w:highlight w:val="none"/>
        </w:rPr>
      </w:pPr>
    </w:p>
    <w:p w14:paraId="3E4898C2">
      <w:pPr>
        <w:pStyle w:val="4"/>
        <w:spacing w:before="78" w:line="219" w:lineRule="auto"/>
        <w:ind w:left="5985"/>
        <w:rPr>
          <w:color w:val="auto"/>
          <w:sz w:val="24"/>
          <w:szCs w:val="24"/>
          <w:highlight w:val="none"/>
        </w:rPr>
      </w:pPr>
      <w:r>
        <w:rPr>
          <w:color w:val="auto"/>
          <w:spacing w:val="-9"/>
          <w:sz w:val="24"/>
          <w:szCs w:val="24"/>
          <w:highlight w:val="none"/>
        </w:rPr>
        <w:t>年</w:t>
      </w:r>
      <w:r>
        <w:rPr>
          <w:color w:val="auto"/>
          <w:spacing w:val="7"/>
          <w:sz w:val="24"/>
          <w:szCs w:val="24"/>
          <w:highlight w:val="none"/>
        </w:rPr>
        <w:t xml:space="preserve">  </w:t>
      </w:r>
      <w:r>
        <w:rPr>
          <w:color w:val="auto"/>
          <w:spacing w:val="-9"/>
          <w:sz w:val="24"/>
          <w:szCs w:val="24"/>
          <w:highlight w:val="none"/>
        </w:rPr>
        <w:t>月</w:t>
      </w:r>
      <w:r>
        <w:rPr>
          <w:color w:val="auto"/>
          <w:spacing w:val="26"/>
          <w:sz w:val="24"/>
          <w:szCs w:val="24"/>
          <w:highlight w:val="none"/>
        </w:rPr>
        <w:t xml:space="preserve">  </w:t>
      </w:r>
      <w:r>
        <w:rPr>
          <w:color w:val="auto"/>
          <w:spacing w:val="-9"/>
          <w:sz w:val="24"/>
          <w:szCs w:val="24"/>
          <w:highlight w:val="none"/>
        </w:rPr>
        <w:t>日</w:t>
      </w:r>
    </w:p>
    <w:p w14:paraId="01F5363A">
      <w:pPr>
        <w:pStyle w:val="4"/>
        <w:spacing w:before="48" w:line="221" w:lineRule="auto"/>
        <w:ind w:left="110"/>
        <w:rPr>
          <w:color w:val="auto"/>
          <w:sz w:val="24"/>
          <w:szCs w:val="24"/>
          <w:highlight w:val="none"/>
        </w:rPr>
      </w:pPr>
      <w:r>
        <w:rPr>
          <w:b/>
          <w:bCs/>
          <w:color w:val="auto"/>
          <w:spacing w:val="-31"/>
          <w:sz w:val="24"/>
          <w:szCs w:val="24"/>
          <w:highlight w:val="none"/>
        </w:rPr>
        <w:br w:type="page"/>
      </w:r>
      <w:r>
        <w:rPr>
          <w:b/>
          <w:bCs/>
          <w:color w:val="auto"/>
          <w:spacing w:val="-31"/>
          <w:sz w:val="24"/>
          <w:szCs w:val="24"/>
          <w:highlight w:val="none"/>
        </w:rPr>
        <w:t>目录</w:t>
      </w:r>
    </w:p>
    <w:p w14:paraId="67E2B72B">
      <w:pPr>
        <w:pStyle w:val="4"/>
        <w:spacing w:before="270" w:line="219" w:lineRule="auto"/>
        <w:ind w:left="87"/>
        <w:rPr>
          <w:color w:val="auto"/>
          <w:sz w:val="24"/>
          <w:szCs w:val="24"/>
          <w:highlight w:val="none"/>
        </w:rPr>
      </w:pPr>
      <w:r>
        <w:rPr>
          <w:color w:val="auto"/>
          <w:spacing w:val="-2"/>
          <w:sz w:val="24"/>
          <w:szCs w:val="24"/>
          <w:highlight w:val="none"/>
        </w:rPr>
        <w:t>（1）投标函（格式见附件</w:t>
      </w:r>
      <w:r>
        <w:rPr>
          <w:color w:val="auto"/>
          <w:spacing w:val="1"/>
          <w:sz w:val="24"/>
          <w:szCs w:val="24"/>
          <w:highlight w:val="none"/>
        </w:rPr>
        <w:t>）；</w:t>
      </w:r>
    </w:p>
    <w:p w14:paraId="42BEBDD3">
      <w:pPr>
        <w:pStyle w:val="4"/>
        <w:spacing w:before="276" w:line="219" w:lineRule="auto"/>
        <w:ind w:left="87"/>
        <w:rPr>
          <w:color w:val="auto"/>
          <w:sz w:val="24"/>
          <w:szCs w:val="24"/>
          <w:highlight w:val="none"/>
        </w:rPr>
      </w:pPr>
      <w:r>
        <w:rPr>
          <w:color w:val="auto"/>
          <w:spacing w:val="-2"/>
          <w:sz w:val="24"/>
          <w:szCs w:val="24"/>
          <w:highlight w:val="none"/>
        </w:rPr>
        <w:t>（2）开标一览表（格式见附件</w:t>
      </w:r>
      <w:r>
        <w:rPr>
          <w:color w:val="auto"/>
          <w:spacing w:val="3"/>
          <w:sz w:val="24"/>
          <w:szCs w:val="24"/>
          <w:highlight w:val="none"/>
        </w:rPr>
        <w:t>）；</w:t>
      </w:r>
    </w:p>
    <w:p w14:paraId="4EDC54A3">
      <w:pPr>
        <w:pStyle w:val="4"/>
        <w:spacing w:before="275" w:line="219" w:lineRule="auto"/>
        <w:ind w:left="87"/>
        <w:rPr>
          <w:color w:val="auto"/>
          <w:sz w:val="24"/>
          <w:szCs w:val="24"/>
          <w:highlight w:val="none"/>
        </w:rPr>
      </w:pPr>
      <w:r>
        <w:rPr>
          <w:color w:val="auto"/>
          <w:spacing w:val="-2"/>
          <w:sz w:val="24"/>
          <w:szCs w:val="24"/>
          <w:highlight w:val="none"/>
        </w:rPr>
        <w:t>（3）中小企业声明函；</w:t>
      </w:r>
    </w:p>
    <w:p w14:paraId="7DDC9105">
      <w:pPr>
        <w:pStyle w:val="4"/>
        <w:spacing w:before="274" w:line="218" w:lineRule="auto"/>
        <w:ind w:left="87"/>
        <w:rPr>
          <w:color w:val="auto"/>
          <w:sz w:val="24"/>
          <w:szCs w:val="24"/>
          <w:highlight w:val="none"/>
        </w:rPr>
      </w:pPr>
      <w:r>
        <w:rPr>
          <w:color w:val="auto"/>
          <w:spacing w:val="-1"/>
          <w:sz w:val="24"/>
          <w:szCs w:val="24"/>
          <w:highlight w:val="none"/>
        </w:rPr>
        <w:t>（4）投标人针对报价需要说明的其他文件和说明（格式自拟）。</w:t>
      </w:r>
    </w:p>
    <w:p w14:paraId="5CA6E6E1">
      <w:pPr>
        <w:pStyle w:val="4"/>
        <w:spacing w:before="48" w:line="219" w:lineRule="auto"/>
        <w:ind w:left="20"/>
        <w:rPr>
          <w:color w:val="auto"/>
          <w:sz w:val="24"/>
          <w:szCs w:val="24"/>
          <w:highlight w:val="none"/>
        </w:rPr>
      </w:pPr>
      <w:r>
        <w:rPr>
          <w:b/>
          <w:bCs/>
          <w:color w:val="auto"/>
          <w:spacing w:val="-6"/>
          <w:sz w:val="24"/>
          <w:szCs w:val="24"/>
          <w:highlight w:val="none"/>
        </w:rPr>
        <w:br w:type="page"/>
      </w:r>
      <w:r>
        <w:rPr>
          <w:b/>
          <w:bCs/>
          <w:color w:val="auto"/>
          <w:spacing w:val="-6"/>
          <w:sz w:val="24"/>
          <w:szCs w:val="24"/>
          <w:highlight w:val="none"/>
        </w:rPr>
        <w:t>1.投标函格式：</w:t>
      </w:r>
    </w:p>
    <w:p w14:paraId="6E7E4AE2">
      <w:pPr>
        <w:pStyle w:val="4"/>
        <w:spacing w:before="283" w:line="220" w:lineRule="auto"/>
        <w:ind w:left="4342"/>
        <w:rPr>
          <w:color w:val="auto"/>
          <w:sz w:val="24"/>
          <w:szCs w:val="24"/>
          <w:highlight w:val="none"/>
        </w:rPr>
      </w:pPr>
      <w:r>
        <w:rPr>
          <w:b/>
          <w:bCs/>
          <w:color w:val="auto"/>
          <w:spacing w:val="-11"/>
          <w:sz w:val="24"/>
          <w:szCs w:val="24"/>
          <w:highlight w:val="none"/>
        </w:rPr>
        <w:t>投</w:t>
      </w:r>
      <w:r>
        <w:rPr>
          <w:color w:val="auto"/>
          <w:spacing w:val="14"/>
          <w:sz w:val="24"/>
          <w:szCs w:val="24"/>
          <w:highlight w:val="none"/>
        </w:rPr>
        <w:t xml:space="preserve"> </w:t>
      </w:r>
      <w:r>
        <w:rPr>
          <w:b/>
          <w:bCs/>
          <w:color w:val="auto"/>
          <w:spacing w:val="-11"/>
          <w:sz w:val="24"/>
          <w:szCs w:val="24"/>
          <w:highlight w:val="none"/>
        </w:rPr>
        <w:t>标</w:t>
      </w:r>
      <w:r>
        <w:rPr>
          <w:color w:val="auto"/>
          <w:spacing w:val="25"/>
          <w:sz w:val="24"/>
          <w:szCs w:val="24"/>
          <w:highlight w:val="none"/>
        </w:rPr>
        <w:t xml:space="preserve"> </w:t>
      </w:r>
      <w:r>
        <w:rPr>
          <w:b/>
          <w:bCs/>
          <w:color w:val="auto"/>
          <w:spacing w:val="-11"/>
          <w:sz w:val="24"/>
          <w:szCs w:val="24"/>
          <w:highlight w:val="none"/>
        </w:rPr>
        <w:t>函</w:t>
      </w:r>
    </w:p>
    <w:p w14:paraId="1AD509C9">
      <w:pPr>
        <w:spacing w:line="257" w:lineRule="auto"/>
        <w:rPr>
          <w:rFonts w:ascii="Arial"/>
          <w:color w:val="auto"/>
          <w:sz w:val="21"/>
          <w:highlight w:val="none"/>
        </w:rPr>
      </w:pPr>
    </w:p>
    <w:p w14:paraId="7A0764EA">
      <w:pPr>
        <w:spacing w:line="257" w:lineRule="auto"/>
        <w:rPr>
          <w:rFonts w:ascii="Arial"/>
          <w:color w:val="auto"/>
          <w:sz w:val="21"/>
          <w:highlight w:val="none"/>
        </w:rPr>
      </w:pPr>
    </w:p>
    <w:p w14:paraId="016F1D45">
      <w:pPr>
        <w:spacing w:line="258" w:lineRule="auto"/>
        <w:rPr>
          <w:rFonts w:ascii="Arial"/>
          <w:color w:val="auto"/>
          <w:sz w:val="21"/>
          <w:highlight w:val="none"/>
        </w:rPr>
      </w:pPr>
    </w:p>
    <w:p w14:paraId="7398FA53">
      <w:pPr>
        <w:pStyle w:val="4"/>
        <w:spacing w:before="62" w:line="227" w:lineRule="auto"/>
        <w:ind w:left="1"/>
        <w:rPr>
          <w:color w:val="auto"/>
          <w:sz w:val="19"/>
          <w:szCs w:val="19"/>
          <w:highlight w:val="none"/>
        </w:rPr>
      </w:pPr>
      <w:r>
        <w:rPr>
          <w:color w:val="auto"/>
          <w:spacing w:val="15"/>
          <w:sz w:val="19"/>
          <w:szCs w:val="19"/>
          <w:highlight w:val="none"/>
        </w:rPr>
        <w:t>致</w:t>
      </w:r>
      <w:r>
        <w:rPr>
          <w:color w:val="auto"/>
          <w:spacing w:val="-9"/>
          <w:sz w:val="19"/>
          <w:szCs w:val="19"/>
          <w:highlight w:val="none"/>
        </w:rPr>
        <w:t>：</w:t>
      </w:r>
      <w:r>
        <w:rPr>
          <w:color w:val="auto"/>
          <w:spacing w:val="5"/>
          <w:sz w:val="19"/>
          <w:szCs w:val="19"/>
          <w:highlight w:val="none"/>
          <w:u w:val="single" w:color="auto"/>
        </w:rPr>
        <w:t xml:space="preserve">                </w:t>
      </w:r>
      <w:r>
        <w:rPr>
          <w:color w:val="auto"/>
          <w:spacing w:val="-9"/>
          <w:sz w:val="19"/>
          <w:szCs w:val="19"/>
          <w:highlight w:val="none"/>
        </w:rPr>
        <w:t>（</w:t>
      </w:r>
      <w:r>
        <w:rPr>
          <w:color w:val="auto"/>
          <w:spacing w:val="15"/>
          <w:sz w:val="19"/>
          <w:szCs w:val="19"/>
          <w:highlight w:val="none"/>
        </w:rPr>
        <w:t>招标采购单位名称</w:t>
      </w:r>
      <w:r>
        <w:rPr>
          <w:rFonts w:hint="eastAsia"/>
          <w:color w:val="auto"/>
          <w:spacing w:val="15"/>
          <w:sz w:val="19"/>
          <w:szCs w:val="19"/>
          <w:highlight w:val="none"/>
          <w:lang w:val="en-US" w:eastAsia="zh-CN"/>
        </w:rPr>
        <w:t>或招标代理机构</w:t>
      </w:r>
      <w:r>
        <w:rPr>
          <w:color w:val="auto"/>
          <w:spacing w:val="-9"/>
          <w:sz w:val="19"/>
          <w:szCs w:val="19"/>
          <w:highlight w:val="none"/>
        </w:rPr>
        <w:t>）：</w:t>
      </w:r>
    </w:p>
    <w:p w14:paraId="15277214">
      <w:pPr>
        <w:pStyle w:val="4"/>
        <w:spacing w:before="224" w:line="438" w:lineRule="auto"/>
        <w:ind w:firstLine="480"/>
        <w:rPr>
          <w:color w:val="auto"/>
          <w:sz w:val="19"/>
          <w:szCs w:val="19"/>
          <w:highlight w:val="none"/>
        </w:rPr>
      </w:pPr>
      <w:r>
        <w:rPr>
          <w:color w:val="auto"/>
          <w:spacing w:val="7"/>
          <w:sz w:val="19"/>
          <w:szCs w:val="19"/>
          <w:highlight w:val="none"/>
        </w:rPr>
        <w:t>根据贵方为</w:t>
      </w:r>
      <w:r>
        <w:rPr>
          <w:color w:val="auto"/>
          <w:spacing w:val="-93"/>
          <w:sz w:val="19"/>
          <w:szCs w:val="19"/>
          <w:highlight w:val="none"/>
        </w:rPr>
        <w:t xml:space="preserve"> </w:t>
      </w:r>
      <w:r>
        <w:rPr>
          <w:color w:val="auto"/>
          <w:spacing w:val="5"/>
          <w:sz w:val="19"/>
          <w:szCs w:val="19"/>
          <w:highlight w:val="none"/>
          <w:u w:val="single" w:color="auto"/>
        </w:rPr>
        <w:t xml:space="preserve"> </w:t>
      </w:r>
      <w:r>
        <w:rPr>
          <w:rFonts w:hint="eastAsia"/>
          <w:color w:val="auto"/>
          <w:spacing w:val="5"/>
          <w:sz w:val="19"/>
          <w:szCs w:val="19"/>
          <w:highlight w:val="none"/>
          <w:u w:val="single" w:color="auto"/>
          <w:lang w:val="en-US" w:eastAsia="zh-CN"/>
        </w:rPr>
        <w:t xml:space="preserve"> （项目名称） </w:t>
      </w:r>
      <w:r>
        <w:rPr>
          <w:color w:val="auto"/>
          <w:spacing w:val="-83"/>
          <w:sz w:val="19"/>
          <w:szCs w:val="19"/>
          <w:highlight w:val="none"/>
        </w:rPr>
        <w:t xml:space="preserve"> </w:t>
      </w:r>
      <w:r>
        <w:rPr>
          <w:color w:val="auto"/>
          <w:spacing w:val="7"/>
          <w:sz w:val="19"/>
          <w:szCs w:val="19"/>
          <w:highlight w:val="none"/>
        </w:rPr>
        <w:t>项目的招标公告/投标邀请书（项目编号</w:t>
      </w:r>
      <w:r>
        <w:rPr>
          <w:color w:val="auto"/>
          <w:spacing w:val="2"/>
          <w:sz w:val="19"/>
          <w:szCs w:val="19"/>
          <w:highlight w:val="none"/>
        </w:rPr>
        <w:t>：</w:t>
      </w:r>
      <w:r>
        <w:rPr>
          <w:color w:val="auto"/>
          <w:spacing w:val="4"/>
          <w:sz w:val="19"/>
          <w:szCs w:val="19"/>
          <w:highlight w:val="none"/>
          <w:u w:val="single" w:color="auto"/>
        </w:rPr>
        <w:t xml:space="preserve"> </w:t>
      </w:r>
      <w:r>
        <w:rPr>
          <w:rFonts w:hint="eastAsia"/>
          <w:color w:val="auto"/>
          <w:spacing w:val="4"/>
          <w:sz w:val="19"/>
          <w:szCs w:val="19"/>
          <w:highlight w:val="none"/>
          <w:u w:val="single" w:color="auto"/>
          <w:lang w:val="en-US" w:eastAsia="zh-CN"/>
        </w:rPr>
        <w:t xml:space="preserve">         </w:t>
      </w:r>
      <w:r>
        <w:rPr>
          <w:color w:val="auto"/>
          <w:spacing w:val="4"/>
          <w:sz w:val="19"/>
          <w:szCs w:val="19"/>
          <w:highlight w:val="none"/>
          <w:u w:val="single" w:color="auto"/>
        </w:rPr>
        <w:t xml:space="preserve"> </w:t>
      </w:r>
      <w:r>
        <w:rPr>
          <w:color w:val="auto"/>
          <w:spacing w:val="-65"/>
          <w:sz w:val="19"/>
          <w:szCs w:val="19"/>
          <w:highlight w:val="none"/>
        </w:rPr>
        <w:t xml:space="preserve"> </w:t>
      </w:r>
      <w:r>
        <w:rPr>
          <w:color w:val="auto"/>
          <w:spacing w:val="2"/>
          <w:sz w:val="19"/>
          <w:szCs w:val="19"/>
          <w:highlight w:val="none"/>
        </w:rPr>
        <w:t>），</w:t>
      </w:r>
      <w:r>
        <w:rPr>
          <w:color w:val="auto"/>
          <w:spacing w:val="7"/>
          <w:sz w:val="19"/>
          <w:szCs w:val="19"/>
          <w:highlight w:val="none"/>
        </w:rPr>
        <w:t>签字代表</w:t>
      </w:r>
      <w:r>
        <w:rPr>
          <w:color w:val="auto"/>
          <w:spacing w:val="7"/>
          <w:sz w:val="19"/>
          <w:szCs w:val="19"/>
          <w:highlight w:val="none"/>
          <w:u w:val="single" w:color="auto"/>
        </w:rPr>
        <w:t xml:space="preserve">              </w:t>
      </w:r>
      <w:r>
        <w:rPr>
          <w:color w:val="auto"/>
          <w:spacing w:val="7"/>
          <w:sz w:val="19"/>
          <w:szCs w:val="19"/>
          <w:highlight w:val="none"/>
        </w:rPr>
        <w:t>（全名）经正式授权并代表投标人</w:t>
      </w:r>
      <w:r>
        <w:rPr>
          <w:color w:val="auto"/>
          <w:spacing w:val="-93"/>
          <w:sz w:val="19"/>
          <w:szCs w:val="19"/>
          <w:highlight w:val="none"/>
        </w:rPr>
        <w:t xml:space="preserve"> </w:t>
      </w:r>
      <w:r>
        <w:rPr>
          <w:color w:val="auto"/>
          <w:spacing w:val="7"/>
          <w:sz w:val="19"/>
          <w:szCs w:val="19"/>
          <w:highlight w:val="none"/>
          <w:u w:val="single" w:color="auto"/>
        </w:rPr>
        <w:t xml:space="preserve">                </w:t>
      </w:r>
      <w:r>
        <w:rPr>
          <w:color w:val="auto"/>
          <w:spacing w:val="7"/>
          <w:sz w:val="19"/>
          <w:szCs w:val="19"/>
          <w:highlight w:val="none"/>
        </w:rPr>
        <w:t>（投标人</w:t>
      </w:r>
      <w:r>
        <w:rPr>
          <w:color w:val="auto"/>
          <w:spacing w:val="6"/>
          <w:sz w:val="19"/>
          <w:szCs w:val="19"/>
          <w:highlight w:val="none"/>
        </w:rPr>
        <w:t>名称）提交资信/商务文件、技术文件、报价文件电子</w:t>
      </w:r>
      <w:r>
        <w:rPr>
          <w:color w:val="auto"/>
          <w:spacing w:val="2"/>
          <w:sz w:val="19"/>
          <w:szCs w:val="19"/>
          <w:highlight w:val="none"/>
        </w:rPr>
        <w:t>文版</w:t>
      </w:r>
      <w:r>
        <w:rPr>
          <w:color w:val="auto"/>
          <w:spacing w:val="9"/>
          <w:sz w:val="19"/>
          <w:szCs w:val="19"/>
          <w:highlight w:val="none"/>
          <w:u w:val="single" w:color="auto"/>
        </w:rPr>
        <w:t xml:space="preserve">    </w:t>
      </w:r>
      <w:r>
        <w:rPr>
          <w:color w:val="auto"/>
          <w:spacing w:val="2"/>
          <w:sz w:val="19"/>
          <w:szCs w:val="19"/>
          <w:highlight w:val="none"/>
          <w:u w:val="single" w:color="auto"/>
        </w:rPr>
        <w:t xml:space="preserve">一  </w:t>
      </w:r>
      <w:r>
        <w:rPr>
          <w:color w:val="auto"/>
          <w:spacing w:val="-84"/>
          <w:sz w:val="19"/>
          <w:szCs w:val="19"/>
          <w:highlight w:val="none"/>
        </w:rPr>
        <w:t xml:space="preserve"> </w:t>
      </w:r>
      <w:r>
        <w:rPr>
          <w:color w:val="auto"/>
          <w:spacing w:val="2"/>
          <w:sz w:val="19"/>
          <w:szCs w:val="19"/>
          <w:highlight w:val="none"/>
        </w:rPr>
        <w:t>份。</w:t>
      </w:r>
    </w:p>
    <w:p w14:paraId="50AD2CCA">
      <w:pPr>
        <w:pStyle w:val="4"/>
        <w:spacing w:before="28" w:line="227" w:lineRule="auto"/>
        <w:ind w:left="401"/>
        <w:rPr>
          <w:color w:val="auto"/>
          <w:sz w:val="19"/>
          <w:szCs w:val="19"/>
          <w:highlight w:val="none"/>
        </w:rPr>
      </w:pPr>
      <w:r>
        <w:rPr>
          <w:color w:val="auto"/>
          <w:spacing w:val="8"/>
          <w:sz w:val="19"/>
          <w:szCs w:val="19"/>
          <w:highlight w:val="none"/>
        </w:rPr>
        <w:t>据此函，签字代表宣布同意如下：</w:t>
      </w:r>
    </w:p>
    <w:p w14:paraId="1AA5BB33">
      <w:pPr>
        <w:pStyle w:val="4"/>
        <w:spacing w:before="226" w:line="433" w:lineRule="auto"/>
        <w:ind w:right="2" w:firstLine="416"/>
        <w:rPr>
          <w:color w:val="auto"/>
          <w:sz w:val="19"/>
          <w:szCs w:val="19"/>
          <w:highlight w:val="none"/>
        </w:rPr>
      </w:pPr>
      <w:r>
        <w:rPr>
          <w:color w:val="auto"/>
          <w:spacing w:val="9"/>
          <w:sz w:val="19"/>
          <w:szCs w:val="19"/>
          <w:highlight w:val="none"/>
        </w:rPr>
        <w:t>1.投标人已详细审查全部</w:t>
      </w:r>
      <w:r>
        <w:rPr>
          <w:rFonts w:ascii="Times New Roman" w:hAnsi="Times New Roman" w:eastAsia="Times New Roman" w:cs="Times New Roman"/>
          <w:color w:val="auto"/>
          <w:spacing w:val="9"/>
          <w:sz w:val="19"/>
          <w:szCs w:val="19"/>
          <w:highlight w:val="none"/>
        </w:rPr>
        <w:t>“</w:t>
      </w:r>
      <w:r>
        <w:rPr>
          <w:color w:val="auto"/>
          <w:spacing w:val="9"/>
          <w:sz w:val="19"/>
          <w:szCs w:val="19"/>
          <w:highlight w:val="none"/>
        </w:rPr>
        <w:t>招标文件</w:t>
      </w:r>
      <w:r>
        <w:rPr>
          <w:rFonts w:ascii="Times New Roman" w:hAnsi="Times New Roman" w:eastAsia="Times New Roman" w:cs="Times New Roman"/>
          <w:color w:val="auto"/>
          <w:spacing w:val="9"/>
          <w:sz w:val="19"/>
          <w:szCs w:val="19"/>
          <w:highlight w:val="none"/>
        </w:rPr>
        <w:t>”</w:t>
      </w:r>
      <w:r>
        <w:rPr>
          <w:rFonts w:ascii="Times New Roman" w:hAnsi="Times New Roman" w:eastAsia="Times New Roman" w:cs="Times New Roman"/>
          <w:color w:val="auto"/>
          <w:spacing w:val="-22"/>
          <w:sz w:val="19"/>
          <w:szCs w:val="19"/>
          <w:highlight w:val="none"/>
        </w:rPr>
        <w:t xml:space="preserve"> </w:t>
      </w:r>
      <w:r>
        <w:rPr>
          <w:color w:val="auto"/>
          <w:spacing w:val="9"/>
          <w:sz w:val="19"/>
          <w:szCs w:val="19"/>
          <w:highlight w:val="none"/>
        </w:rPr>
        <w:t>，包括修改文件（如有的话）</w:t>
      </w:r>
      <w:r>
        <w:rPr>
          <w:color w:val="auto"/>
          <w:spacing w:val="-53"/>
          <w:sz w:val="19"/>
          <w:szCs w:val="19"/>
          <w:highlight w:val="none"/>
        </w:rPr>
        <w:t xml:space="preserve"> </w:t>
      </w:r>
      <w:r>
        <w:rPr>
          <w:color w:val="auto"/>
          <w:spacing w:val="9"/>
          <w:sz w:val="19"/>
          <w:szCs w:val="19"/>
          <w:highlight w:val="none"/>
        </w:rPr>
        <w:t>以及全部参考资料和有</w:t>
      </w:r>
      <w:r>
        <w:rPr>
          <w:color w:val="auto"/>
          <w:spacing w:val="8"/>
          <w:sz w:val="19"/>
          <w:szCs w:val="19"/>
          <w:highlight w:val="none"/>
        </w:rPr>
        <w:t>关附件，已经了</w:t>
      </w:r>
      <w:r>
        <w:rPr>
          <w:color w:val="auto"/>
          <w:spacing w:val="10"/>
          <w:sz w:val="19"/>
          <w:szCs w:val="19"/>
          <w:highlight w:val="none"/>
        </w:rPr>
        <w:t>解我方对于招标文件、采购过程、采购结果有依法进行</w:t>
      </w:r>
      <w:r>
        <w:rPr>
          <w:color w:val="auto"/>
          <w:spacing w:val="9"/>
          <w:sz w:val="19"/>
          <w:szCs w:val="19"/>
          <w:highlight w:val="none"/>
        </w:rPr>
        <w:t>询问、质疑、投诉的权利及相关渠道和要求。</w:t>
      </w:r>
    </w:p>
    <w:p w14:paraId="2749E006">
      <w:pPr>
        <w:pStyle w:val="4"/>
        <w:spacing w:before="28" w:line="433" w:lineRule="auto"/>
        <w:ind w:left="3" w:right="2" w:firstLine="401"/>
        <w:rPr>
          <w:color w:val="auto"/>
          <w:sz w:val="19"/>
          <w:szCs w:val="19"/>
          <w:highlight w:val="none"/>
        </w:rPr>
      </w:pPr>
      <w:r>
        <w:rPr>
          <w:color w:val="auto"/>
          <w:spacing w:val="10"/>
          <w:sz w:val="19"/>
          <w:szCs w:val="19"/>
          <w:highlight w:val="none"/>
        </w:rPr>
        <w:t>2.投标人在投标之前已经与贵方进行了充分的沟通，完全理解并接受招标文件的各项规定和要求，对招标</w:t>
      </w:r>
      <w:r>
        <w:rPr>
          <w:color w:val="auto"/>
          <w:spacing w:val="8"/>
          <w:sz w:val="19"/>
          <w:szCs w:val="19"/>
          <w:highlight w:val="none"/>
        </w:rPr>
        <w:t>文件的合理性、合法性不再有异议。</w:t>
      </w:r>
    </w:p>
    <w:p w14:paraId="5FC417DB">
      <w:pPr>
        <w:pStyle w:val="4"/>
        <w:spacing w:before="31" w:line="227" w:lineRule="auto"/>
        <w:ind w:left="406"/>
        <w:rPr>
          <w:color w:val="auto"/>
          <w:sz w:val="19"/>
          <w:szCs w:val="19"/>
          <w:highlight w:val="none"/>
        </w:rPr>
      </w:pPr>
      <w:r>
        <w:rPr>
          <w:color w:val="auto"/>
          <w:spacing w:val="6"/>
          <w:sz w:val="19"/>
          <w:szCs w:val="19"/>
          <w:highlight w:val="none"/>
        </w:rPr>
        <w:t>3.本投标有效期自开标日起</w:t>
      </w:r>
      <w:r>
        <w:rPr>
          <w:color w:val="auto"/>
          <w:spacing w:val="6"/>
          <w:sz w:val="19"/>
          <w:szCs w:val="19"/>
          <w:highlight w:val="none"/>
          <w:u w:val="single" w:color="auto"/>
        </w:rPr>
        <w:t xml:space="preserve">   90    </w:t>
      </w:r>
      <w:r>
        <w:rPr>
          <w:color w:val="auto"/>
          <w:spacing w:val="-75"/>
          <w:sz w:val="19"/>
          <w:szCs w:val="19"/>
          <w:highlight w:val="none"/>
        </w:rPr>
        <w:t xml:space="preserve"> </w:t>
      </w:r>
      <w:r>
        <w:rPr>
          <w:color w:val="auto"/>
          <w:spacing w:val="6"/>
          <w:sz w:val="19"/>
          <w:szCs w:val="19"/>
          <w:highlight w:val="none"/>
        </w:rPr>
        <w:t>个日。</w:t>
      </w:r>
    </w:p>
    <w:p w14:paraId="01B1B548">
      <w:pPr>
        <w:pStyle w:val="4"/>
        <w:spacing w:before="224" w:line="433" w:lineRule="auto"/>
        <w:ind w:left="2" w:right="35" w:firstLine="399"/>
        <w:rPr>
          <w:color w:val="auto"/>
          <w:sz w:val="19"/>
          <w:szCs w:val="19"/>
          <w:highlight w:val="none"/>
        </w:rPr>
      </w:pPr>
      <w:r>
        <w:rPr>
          <w:color w:val="auto"/>
          <w:spacing w:val="10"/>
          <w:sz w:val="19"/>
          <w:szCs w:val="19"/>
          <w:highlight w:val="none"/>
        </w:rPr>
        <w:t>4.如中标，本投标文件至本项目合同履行完毕止均保持有效，本投标人将按</w:t>
      </w:r>
      <w:r>
        <w:rPr>
          <w:rFonts w:ascii="Times New Roman" w:hAnsi="Times New Roman" w:eastAsia="Times New Roman" w:cs="Times New Roman"/>
          <w:color w:val="auto"/>
          <w:spacing w:val="10"/>
          <w:sz w:val="19"/>
          <w:szCs w:val="19"/>
          <w:highlight w:val="none"/>
        </w:rPr>
        <w:t>“</w:t>
      </w:r>
      <w:r>
        <w:rPr>
          <w:color w:val="auto"/>
          <w:spacing w:val="10"/>
          <w:sz w:val="19"/>
          <w:szCs w:val="19"/>
          <w:highlight w:val="none"/>
        </w:rPr>
        <w:t>招标文件</w:t>
      </w:r>
      <w:r>
        <w:rPr>
          <w:rFonts w:ascii="Times New Roman" w:hAnsi="Times New Roman" w:eastAsia="Times New Roman" w:cs="Times New Roman"/>
          <w:color w:val="auto"/>
          <w:spacing w:val="10"/>
          <w:sz w:val="19"/>
          <w:szCs w:val="19"/>
          <w:highlight w:val="none"/>
        </w:rPr>
        <w:t>”</w:t>
      </w:r>
      <w:r>
        <w:rPr>
          <w:color w:val="auto"/>
          <w:spacing w:val="10"/>
          <w:sz w:val="19"/>
          <w:szCs w:val="19"/>
          <w:highlight w:val="none"/>
        </w:rPr>
        <w:t>及政</w:t>
      </w:r>
      <w:r>
        <w:rPr>
          <w:color w:val="auto"/>
          <w:spacing w:val="9"/>
          <w:sz w:val="19"/>
          <w:szCs w:val="19"/>
          <w:highlight w:val="none"/>
        </w:rPr>
        <w:t>府采购法律、</w:t>
      </w:r>
      <w:r>
        <w:rPr>
          <w:color w:val="auto"/>
          <w:spacing w:val="8"/>
          <w:sz w:val="19"/>
          <w:szCs w:val="19"/>
          <w:highlight w:val="none"/>
        </w:rPr>
        <w:t>法规的规定履行合同责任和义务。</w:t>
      </w:r>
    </w:p>
    <w:p w14:paraId="373E3445">
      <w:pPr>
        <w:pStyle w:val="4"/>
        <w:spacing w:before="31" w:line="430" w:lineRule="auto"/>
        <w:ind w:left="403" w:right="3671" w:firstLine="2"/>
        <w:rPr>
          <w:color w:val="auto"/>
          <w:sz w:val="19"/>
          <w:szCs w:val="19"/>
          <w:highlight w:val="none"/>
        </w:rPr>
      </w:pPr>
      <w:r>
        <w:rPr>
          <w:color w:val="auto"/>
          <w:spacing w:val="8"/>
          <w:sz w:val="19"/>
          <w:szCs w:val="19"/>
          <w:highlight w:val="none"/>
        </w:rPr>
        <w:t>5.投标人同意按照贵方要求提供与投标有关的一切数据或资料。</w:t>
      </w:r>
      <w:r>
        <w:rPr>
          <w:color w:val="auto"/>
          <w:sz w:val="19"/>
          <w:szCs w:val="19"/>
          <w:highlight w:val="none"/>
        </w:rPr>
        <w:t xml:space="preserve"> </w:t>
      </w:r>
      <w:r>
        <w:rPr>
          <w:color w:val="auto"/>
          <w:spacing w:val="8"/>
          <w:sz w:val="19"/>
          <w:szCs w:val="19"/>
          <w:highlight w:val="none"/>
        </w:rPr>
        <w:t>6.与本投标有关的一切正式往来信函请寄：</w:t>
      </w:r>
    </w:p>
    <w:p w14:paraId="17A0A2E8">
      <w:pPr>
        <w:pStyle w:val="4"/>
        <w:spacing w:before="32" w:line="437" w:lineRule="auto"/>
        <w:ind w:right="4588" w:firstLine="1"/>
        <w:jc w:val="both"/>
        <w:rPr>
          <w:color w:val="auto"/>
          <w:sz w:val="19"/>
          <w:szCs w:val="19"/>
          <w:highlight w:val="none"/>
        </w:rPr>
      </w:pPr>
      <w:r>
        <w:rPr>
          <w:color w:val="auto"/>
          <w:spacing w:val="-3"/>
          <w:sz w:val="19"/>
          <w:szCs w:val="19"/>
          <w:highlight w:val="none"/>
        </w:rPr>
        <w:t>地址：</w:t>
      </w:r>
      <w:r>
        <w:rPr>
          <w:color w:val="auto"/>
          <w:sz w:val="19"/>
          <w:szCs w:val="19"/>
          <w:highlight w:val="none"/>
          <w:u w:val="single" w:color="auto"/>
        </w:rPr>
        <w:t xml:space="preserve">                       </w:t>
      </w:r>
      <w:r>
        <w:rPr>
          <w:color w:val="auto"/>
          <w:spacing w:val="-54"/>
          <w:sz w:val="19"/>
          <w:szCs w:val="19"/>
          <w:highlight w:val="none"/>
        </w:rPr>
        <w:t xml:space="preserve"> </w:t>
      </w:r>
      <w:r>
        <w:rPr>
          <w:color w:val="auto"/>
          <w:spacing w:val="-3"/>
          <w:sz w:val="19"/>
          <w:szCs w:val="19"/>
          <w:highlight w:val="none"/>
        </w:rPr>
        <w:t>邮编：</w:t>
      </w:r>
      <w:r>
        <w:rPr>
          <w:color w:val="auto"/>
          <w:spacing w:val="5"/>
          <w:sz w:val="19"/>
          <w:szCs w:val="19"/>
          <w:highlight w:val="none"/>
          <w:u w:val="single" w:color="auto"/>
        </w:rPr>
        <w:t xml:space="preserve">         </w:t>
      </w:r>
      <w:r>
        <w:rPr>
          <w:color w:val="auto"/>
          <w:spacing w:val="20"/>
          <w:sz w:val="19"/>
          <w:szCs w:val="19"/>
          <w:highlight w:val="none"/>
        </w:rPr>
        <w:t xml:space="preserve">  </w:t>
      </w:r>
      <w:r>
        <w:rPr>
          <w:color w:val="auto"/>
          <w:spacing w:val="-3"/>
          <w:sz w:val="19"/>
          <w:szCs w:val="19"/>
          <w:highlight w:val="none"/>
        </w:rPr>
        <w:t>电话：</w:t>
      </w:r>
      <w:r>
        <w:rPr>
          <w:color w:val="auto"/>
          <w:spacing w:val="1"/>
          <w:sz w:val="19"/>
          <w:szCs w:val="19"/>
          <w:highlight w:val="none"/>
        </w:rPr>
        <w:t xml:space="preserve"> </w:t>
      </w:r>
      <w:r>
        <w:rPr>
          <w:color w:val="auto"/>
          <w:spacing w:val="6"/>
          <w:sz w:val="19"/>
          <w:szCs w:val="19"/>
          <w:highlight w:val="none"/>
        </w:rPr>
        <w:t>传真：</w:t>
      </w:r>
      <w:r>
        <w:rPr>
          <w:color w:val="auto"/>
          <w:spacing w:val="6"/>
          <w:sz w:val="19"/>
          <w:szCs w:val="19"/>
          <w:highlight w:val="none"/>
          <w:u w:val="single" w:color="auto"/>
        </w:rPr>
        <w:t xml:space="preserve">           </w:t>
      </w:r>
      <w:r>
        <w:rPr>
          <w:color w:val="auto"/>
          <w:spacing w:val="6"/>
          <w:sz w:val="19"/>
          <w:szCs w:val="19"/>
          <w:highlight w:val="none"/>
        </w:rPr>
        <w:t xml:space="preserve">  投标人代表姓名</w:t>
      </w:r>
      <w:r>
        <w:rPr>
          <w:color w:val="auto"/>
          <w:spacing w:val="6"/>
          <w:sz w:val="19"/>
          <w:szCs w:val="19"/>
          <w:highlight w:val="none"/>
          <w:u w:val="single" w:color="auto"/>
        </w:rPr>
        <w:t xml:space="preserve">         </w:t>
      </w:r>
      <w:r>
        <w:rPr>
          <w:color w:val="auto"/>
          <w:spacing w:val="11"/>
          <w:sz w:val="19"/>
          <w:szCs w:val="19"/>
          <w:highlight w:val="none"/>
        </w:rPr>
        <w:t xml:space="preserve">  </w:t>
      </w:r>
      <w:r>
        <w:rPr>
          <w:color w:val="auto"/>
          <w:spacing w:val="6"/>
          <w:sz w:val="19"/>
          <w:szCs w:val="19"/>
          <w:highlight w:val="none"/>
        </w:rPr>
        <w:t>职务：</w:t>
      </w:r>
      <w:r>
        <w:rPr>
          <w:color w:val="auto"/>
          <w:sz w:val="19"/>
          <w:szCs w:val="19"/>
          <w:highlight w:val="none"/>
        </w:rPr>
        <w:t xml:space="preserve"> </w:t>
      </w:r>
      <w:r>
        <w:rPr>
          <w:color w:val="auto"/>
          <w:spacing w:val="7"/>
          <w:sz w:val="19"/>
          <w:szCs w:val="19"/>
          <w:highlight w:val="none"/>
        </w:rPr>
        <w:t>投标人名称(公章)：</w:t>
      </w:r>
    </w:p>
    <w:p w14:paraId="4C6B0230">
      <w:pPr>
        <w:pStyle w:val="4"/>
        <w:spacing w:before="33" w:line="372" w:lineRule="auto"/>
        <w:ind w:left="2" w:right="5188"/>
        <w:rPr>
          <w:color w:val="auto"/>
          <w:sz w:val="19"/>
          <w:szCs w:val="19"/>
          <w:highlight w:val="none"/>
        </w:rPr>
      </w:pPr>
      <w:r>
        <w:rPr>
          <w:color w:val="auto"/>
          <w:spacing w:val="4"/>
          <w:sz w:val="19"/>
          <w:szCs w:val="19"/>
          <w:highlight w:val="none"/>
        </w:rPr>
        <w:t>开户银行：</w:t>
      </w:r>
      <w:r>
        <w:rPr>
          <w:color w:val="auto"/>
          <w:sz w:val="19"/>
          <w:szCs w:val="19"/>
          <w:highlight w:val="none"/>
          <w:u w:val="single" w:color="auto"/>
        </w:rPr>
        <w:t xml:space="preserve">                       </w:t>
      </w:r>
      <w:r>
        <w:rPr>
          <w:color w:val="auto"/>
          <w:spacing w:val="4"/>
          <w:sz w:val="19"/>
          <w:szCs w:val="19"/>
          <w:highlight w:val="none"/>
        </w:rPr>
        <w:t xml:space="preserve">   银行帐号：</w:t>
      </w:r>
      <w:r>
        <w:rPr>
          <w:color w:val="auto"/>
          <w:spacing w:val="17"/>
          <w:sz w:val="19"/>
          <w:szCs w:val="19"/>
          <w:highlight w:val="none"/>
        </w:rPr>
        <w:t xml:space="preserve"> </w:t>
      </w:r>
      <w:r>
        <w:rPr>
          <w:color w:val="auto"/>
          <w:spacing w:val="9"/>
          <w:sz w:val="19"/>
          <w:szCs w:val="19"/>
          <w:highlight w:val="none"/>
        </w:rPr>
        <w:t>法定代表人或授权委托代理人（签字</w:t>
      </w:r>
      <w:r>
        <w:rPr>
          <w:color w:val="auto"/>
          <w:spacing w:val="2"/>
          <w:sz w:val="19"/>
          <w:szCs w:val="19"/>
          <w:highlight w:val="none"/>
        </w:rPr>
        <w:t>）：</w:t>
      </w:r>
    </w:p>
    <w:p w14:paraId="17620857">
      <w:pPr>
        <w:pStyle w:val="4"/>
        <w:spacing w:before="115" w:line="228" w:lineRule="auto"/>
        <w:ind w:left="35"/>
        <w:rPr>
          <w:color w:val="auto"/>
          <w:sz w:val="19"/>
          <w:szCs w:val="19"/>
          <w:highlight w:val="none"/>
        </w:rPr>
      </w:pPr>
      <w:r>
        <w:rPr>
          <w:color w:val="auto"/>
          <w:spacing w:val="-5"/>
          <w:sz w:val="19"/>
          <w:szCs w:val="19"/>
          <w:highlight w:val="none"/>
        </w:rPr>
        <w:t>日</w:t>
      </w:r>
      <w:r>
        <w:rPr>
          <w:color w:val="auto"/>
          <w:spacing w:val="19"/>
          <w:sz w:val="19"/>
          <w:szCs w:val="19"/>
          <w:highlight w:val="none"/>
        </w:rPr>
        <w:t xml:space="preserve"> </w:t>
      </w:r>
      <w:r>
        <w:rPr>
          <w:color w:val="auto"/>
          <w:spacing w:val="-5"/>
          <w:sz w:val="19"/>
          <w:szCs w:val="19"/>
          <w:highlight w:val="none"/>
        </w:rPr>
        <w:t>期：</w:t>
      </w:r>
      <w:r>
        <w:rPr>
          <w:color w:val="auto"/>
          <w:spacing w:val="5"/>
          <w:sz w:val="19"/>
          <w:szCs w:val="19"/>
          <w:highlight w:val="none"/>
          <w:u w:val="single" w:color="auto"/>
        </w:rPr>
        <w:t xml:space="preserve">      </w:t>
      </w:r>
      <w:r>
        <w:rPr>
          <w:color w:val="auto"/>
          <w:spacing w:val="-86"/>
          <w:sz w:val="19"/>
          <w:szCs w:val="19"/>
          <w:highlight w:val="none"/>
        </w:rPr>
        <w:t xml:space="preserve"> </w:t>
      </w:r>
      <w:r>
        <w:rPr>
          <w:color w:val="auto"/>
          <w:spacing w:val="-5"/>
          <w:sz w:val="19"/>
          <w:szCs w:val="19"/>
          <w:highlight w:val="none"/>
        </w:rPr>
        <w:t>年</w:t>
      </w:r>
      <w:r>
        <w:rPr>
          <w:color w:val="auto"/>
          <w:spacing w:val="5"/>
          <w:sz w:val="19"/>
          <w:szCs w:val="19"/>
          <w:highlight w:val="none"/>
          <w:u w:val="single" w:color="auto"/>
        </w:rPr>
        <w:t xml:space="preserve">    </w:t>
      </w:r>
      <w:r>
        <w:rPr>
          <w:color w:val="auto"/>
          <w:spacing w:val="-82"/>
          <w:sz w:val="19"/>
          <w:szCs w:val="19"/>
          <w:highlight w:val="none"/>
        </w:rPr>
        <w:t xml:space="preserve"> </w:t>
      </w:r>
      <w:r>
        <w:rPr>
          <w:color w:val="auto"/>
          <w:spacing w:val="-5"/>
          <w:sz w:val="19"/>
          <w:szCs w:val="19"/>
          <w:highlight w:val="none"/>
        </w:rPr>
        <w:t>月</w:t>
      </w:r>
      <w:r>
        <w:rPr>
          <w:color w:val="auto"/>
          <w:spacing w:val="5"/>
          <w:sz w:val="19"/>
          <w:szCs w:val="19"/>
          <w:highlight w:val="none"/>
          <w:u w:val="single" w:color="auto"/>
        </w:rPr>
        <w:t xml:space="preserve">   </w:t>
      </w:r>
      <w:r>
        <w:rPr>
          <w:color w:val="auto"/>
          <w:spacing w:val="-52"/>
          <w:sz w:val="19"/>
          <w:szCs w:val="19"/>
          <w:highlight w:val="none"/>
        </w:rPr>
        <w:t xml:space="preserve"> </w:t>
      </w:r>
      <w:r>
        <w:rPr>
          <w:color w:val="auto"/>
          <w:spacing w:val="-5"/>
          <w:sz w:val="19"/>
          <w:szCs w:val="19"/>
          <w:highlight w:val="none"/>
        </w:rPr>
        <w:t>日</w:t>
      </w:r>
    </w:p>
    <w:p w14:paraId="08BB113F">
      <w:pPr>
        <w:pStyle w:val="4"/>
        <w:spacing w:before="48" w:line="220" w:lineRule="auto"/>
        <w:ind w:left="4"/>
        <w:rPr>
          <w:color w:val="auto"/>
          <w:sz w:val="24"/>
          <w:szCs w:val="24"/>
          <w:highlight w:val="none"/>
        </w:rPr>
      </w:pPr>
      <w:r>
        <w:rPr>
          <w:b/>
          <w:bCs/>
          <w:color w:val="auto"/>
          <w:spacing w:val="-3"/>
          <w:sz w:val="24"/>
          <w:szCs w:val="24"/>
          <w:highlight w:val="none"/>
        </w:rPr>
        <w:br w:type="page"/>
      </w:r>
      <w:r>
        <w:rPr>
          <w:b/>
          <w:bCs/>
          <w:color w:val="auto"/>
          <w:spacing w:val="-3"/>
          <w:sz w:val="24"/>
          <w:szCs w:val="24"/>
          <w:highlight w:val="none"/>
        </w:rPr>
        <w:t>2.</w:t>
      </w:r>
      <w:r>
        <w:rPr>
          <w:color w:val="auto"/>
          <w:spacing w:val="-3"/>
          <w:sz w:val="24"/>
          <w:szCs w:val="24"/>
          <w:highlight w:val="none"/>
        </w:rPr>
        <w:t xml:space="preserve"> </w:t>
      </w:r>
      <w:r>
        <w:rPr>
          <w:b/>
          <w:bCs/>
          <w:color w:val="auto"/>
          <w:spacing w:val="-3"/>
          <w:sz w:val="24"/>
          <w:szCs w:val="24"/>
          <w:highlight w:val="none"/>
        </w:rPr>
        <w:t>开标一览表</w:t>
      </w:r>
    </w:p>
    <w:p w14:paraId="32E28211">
      <w:pPr>
        <w:pStyle w:val="4"/>
        <w:spacing w:before="94" w:line="220" w:lineRule="auto"/>
        <w:ind w:left="4070"/>
        <w:rPr>
          <w:color w:val="auto"/>
          <w:sz w:val="30"/>
          <w:szCs w:val="30"/>
          <w:highlight w:val="none"/>
        </w:rPr>
      </w:pPr>
      <w:r>
        <w:rPr>
          <w:b/>
          <w:bCs/>
          <w:color w:val="auto"/>
          <w:spacing w:val="-5"/>
          <w:sz w:val="30"/>
          <w:szCs w:val="30"/>
          <w:highlight w:val="none"/>
        </w:rPr>
        <w:t>开标一览表</w:t>
      </w:r>
    </w:p>
    <w:p w14:paraId="38FF1D44">
      <w:pPr>
        <w:pStyle w:val="4"/>
        <w:spacing w:before="265" w:line="384" w:lineRule="auto"/>
        <w:ind w:left="5" w:right="8496"/>
        <w:rPr>
          <w:color w:val="auto"/>
          <w:sz w:val="24"/>
          <w:szCs w:val="24"/>
          <w:highlight w:val="none"/>
        </w:rPr>
      </w:pPr>
      <w:r>
        <w:rPr>
          <w:color w:val="auto"/>
          <w:spacing w:val="-15"/>
          <w:sz w:val="24"/>
          <w:szCs w:val="24"/>
          <w:highlight w:val="none"/>
        </w:rPr>
        <w:t>项目名称：</w:t>
      </w:r>
      <w:r>
        <w:rPr>
          <w:color w:val="auto"/>
          <w:sz w:val="24"/>
          <w:szCs w:val="24"/>
          <w:highlight w:val="none"/>
        </w:rPr>
        <w:t xml:space="preserve"> </w:t>
      </w:r>
      <w:r>
        <w:rPr>
          <w:color w:val="auto"/>
          <w:spacing w:val="-15"/>
          <w:sz w:val="24"/>
          <w:szCs w:val="24"/>
          <w:highlight w:val="none"/>
        </w:rPr>
        <w:t>项目编号：</w:t>
      </w:r>
    </w:p>
    <w:tbl>
      <w:tblPr>
        <w:tblStyle w:val="18"/>
        <w:tblW w:w="9271" w:type="dxa"/>
        <w:tblInd w:w="17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78"/>
        <w:gridCol w:w="2411"/>
        <w:gridCol w:w="2403"/>
        <w:gridCol w:w="1079"/>
      </w:tblGrid>
      <w:tr w14:paraId="51135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3378" w:type="dxa"/>
            <w:vAlign w:val="top"/>
          </w:tcPr>
          <w:p w14:paraId="74E25F15">
            <w:pPr>
              <w:pStyle w:val="19"/>
              <w:spacing w:before="163" w:line="219" w:lineRule="auto"/>
              <w:ind w:left="974"/>
              <w:rPr>
                <w:color w:val="auto"/>
                <w:sz w:val="24"/>
                <w:szCs w:val="24"/>
                <w:highlight w:val="none"/>
              </w:rPr>
            </w:pPr>
            <w:r>
              <w:rPr>
                <w:color w:val="auto"/>
                <w:spacing w:val="-2"/>
                <w:sz w:val="24"/>
                <w:szCs w:val="24"/>
                <w:highlight w:val="none"/>
              </w:rPr>
              <w:t>服务项目名称</w:t>
            </w:r>
          </w:p>
        </w:tc>
        <w:tc>
          <w:tcPr>
            <w:tcW w:w="2411" w:type="dxa"/>
            <w:vAlign w:val="top"/>
          </w:tcPr>
          <w:p w14:paraId="03596589">
            <w:pPr>
              <w:pStyle w:val="19"/>
              <w:spacing w:before="162" w:line="220" w:lineRule="auto"/>
              <w:ind w:left="732"/>
              <w:rPr>
                <w:color w:val="auto"/>
                <w:sz w:val="24"/>
                <w:szCs w:val="24"/>
                <w:highlight w:val="none"/>
              </w:rPr>
            </w:pPr>
            <w:r>
              <w:rPr>
                <w:color w:val="auto"/>
                <w:spacing w:val="-3"/>
                <w:sz w:val="24"/>
                <w:szCs w:val="24"/>
                <w:highlight w:val="none"/>
              </w:rPr>
              <w:t>标的名称</w:t>
            </w:r>
          </w:p>
        </w:tc>
        <w:tc>
          <w:tcPr>
            <w:tcW w:w="2403" w:type="dxa"/>
            <w:vAlign w:val="top"/>
          </w:tcPr>
          <w:p w14:paraId="5D023436">
            <w:pPr>
              <w:pStyle w:val="19"/>
              <w:spacing w:before="156" w:line="219" w:lineRule="auto"/>
              <w:ind w:left="612"/>
              <w:rPr>
                <w:color w:val="auto"/>
                <w:sz w:val="24"/>
                <w:szCs w:val="24"/>
                <w:highlight w:val="none"/>
              </w:rPr>
            </w:pPr>
            <w:r>
              <w:rPr>
                <w:color w:val="auto"/>
                <w:spacing w:val="-3"/>
                <w:sz w:val="24"/>
                <w:szCs w:val="24"/>
                <w:highlight w:val="none"/>
              </w:rPr>
              <w:t>投标折扣率</w:t>
            </w:r>
          </w:p>
        </w:tc>
        <w:tc>
          <w:tcPr>
            <w:tcW w:w="1079" w:type="dxa"/>
            <w:vAlign w:val="top"/>
          </w:tcPr>
          <w:p w14:paraId="3409B35F">
            <w:pPr>
              <w:pStyle w:val="19"/>
              <w:spacing w:before="162" w:line="221" w:lineRule="auto"/>
              <w:ind w:left="309"/>
              <w:rPr>
                <w:color w:val="auto"/>
                <w:sz w:val="24"/>
                <w:szCs w:val="24"/>
                <w:highlight w:val="none"/>
              </w:rPr>
            </w:pPr>
            <w:r>
              <w:rPr>
                <w:color w:val="auto"/>
                <w:spacing w:val="-7"/>
                <w:sz w:val="24"/>
                <w:szCs w:val="24"/>
                <w:highlight w:val="none"/>
              </w:rPr>
              <w:t>备注</w:t>
            </w:r>
          </w:p>
        </w:tc>
      </w:tr>
      <w:tr w14:paraId="46CDA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3378" w:type="dxa"/>
            <w:vAlign w:val="top"/>
          </w:tcPr>
          <w:p w14:paraId="69AA56A8">
            <w:pPr>
              <w:pStyle w:val="19"/>
              <w:spacing w:before="99" w:line="229" w:lineRule="auto"/>
              <w:ind w:left="376" w:right="127" w:hanging="243"/>
              <w:rPr>
                <w:rFonts w:hint="eastAsia" w:eastAsia="宋体"/>
                <w:color w:val="auto"/>
                <w:sz w:val="24"/>
                <w:szCs w:val="24"/>
                <w:highlight w:val="none"/>
                <w:lang w:eastAsia="zh-CN"/>
              </w:rPr>
            </w:pPr>
            <w:r>
              <w:rPr>
                <w:rFonts w:hint="eastAsia"/>
                <w:color w:val="auto"/>
                <w:sz w:val="24"/>
                <w:szCs w:val="24"/>
                <w:highlight w:val="none"/>
                <w:lang w:eastAsia="zh-CN"/>
              </w:rPr>
              <w:t>平南县上渡街道大成第二初级中学学生食堂食材采购</w:t>
            </w:r>
          </w:p>
        </w:tc>
        <w:tc>
          <w:tcPr>
            <w:tcW w:w="2411" w:type="dxa"/>
            <w:vAlign w:val="top"/>
          </w:tcPr>
          <w:p w14:paraId="2232EB35">
            <w:pPr>
              <w:rPr>
                <w:rFonts w:ascii="Arial"/>
                <w:color w:val="auto"/>
                <w:sz w:val="21"/>
                <w:highlight w:val="none"/>
              </w:rPr>
            </w:pPr>
          </w:p>
        </w:tc>
        <w:tc>
          <w:tcPr>
            <w:tcW w:w="2403" w:type="dxa"/>
            <w:vAlign w:val="top"/>
          </w:tcPr>
          <w:p w14:paraId="544CEA3C">
            <w:pPr>
              <w:pStyle w:val="19"/>
              <w:spacing w:before="294"/>
              <w:ind w:left="1143"/>
              <w:rPr>
                <w:color w:val="auto"/>
                <w:sz w:val="24"/>
                <w:szCs w:val="24"/>
                <w:highlight w:val="none"/>
              </w:rPr>
            </w:pPr>
            <w:r>
              <w:rPr>
                <w:color w:val="auto"/>
                <w:sz w:val="24"/>
                <w:szCs w:val="24"/>
                <w:highlight w:val="none"/>
              </w:rPr>
              <w:t>%</w:t>
            </w:r>
          </w:p>
        </w:tc>
        <w:tc>
          <w:tcPr>
            <w:tcW w:w="1079" w:type="dxa"/>
            <w:vAlign w:val="top"/>
          </w:tcPr>
          <w:p w14:paraId="6FD1FE18">
            <w:pPr>
              <w:rPr>
                <w:rFonts w:ascii="Arial"/>
                <w:color w:val="auto"/>
                <w:sz w:val="21"/>
                <w:highlight w:val="none"/>
              </w:rPr>
            </w:pPr>
          </w:p>
        </w:tc>
      </w:tr>
      <w:tr w14:paraId="4E9B50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271" w:type="dxa"/>
            <w:gridSpan w:val="4"/>
            <w:vAlign w:val="top"/>
          </w:tcPr>
          <w:p w14:paraId="5BFCCD2E">
            <w:pPr>
              <w:pStyle w:val="19"/>
              <w:spacing w:before="156" w:line="219" w:lineRule="auto"/>
              <w:ind w:left="121"/>
              <w:rPr>
                <w:color w:val="auto"/>
                <w:sz w:val="24"/>
                <w:szCs w:val="24"/>
                <w:highlight w:val="none"/>
              </w:rPr>
            </w:pPr>
            <w:r>
              <w:rPr>
                <w:color w:val="auto"/>
                <w:spacing w:val="-13"/>
                <w:sz w:val="24"/>
                <w:szCs w:val="24"/>
                <w:highlight w:val="none"/>
              </w:rPr>
              <w:t>投标折扣率：</w:t>
            </w:r>
            <w:r>
              <w:rPr>
                <w:color w:val="auto"/>
                <w:sz w:val="24"/>
                <w:szCs w:val="24"/>
                <w:highlight w:val="none"/>
                <w:u w:val="single" w:color="auto"/>
              </w:rPr>
              <w:t xml:space="preserve">         </w:t>
            </w:r>
            <w:r>
              <w:rPr>
                <w:color w:val="auto"/>
                <w:spacing w:val="-112"/>
                <w:sz w:val="24"/>
                <w:szCs w:val="24"/>
                <w:highlight w:val="none"/>
              </w:rPr>
              <w:t xml:space="preserve"> </w:t>
            </w:r>
            <w:r>
              <w:rPr>
                <w:color w:val="auto"/>
                <w:spacing w:val="-13"/>
                <w:sz w:val="24"/>
                <w:szCs w:val="24"/>
                <w:highlight w:val="none"/>
              </w:rPr>
              <w:t>%</w:t>
            </w:r>
          </w:p>
        </w:tc>
      </w:tr>
      <w:tr w14:paraId="61FABD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271" w:type="dxa"/>
            <w:gridSpan w:val="4"/>
            <w:vAlign w:val="top"/>
          </w:tcPr>
          <w:p w14:paraId="7BF9A5ED">
            <w:pPr>
              <w:pStyle w:val="19"/>
              <w:spacing w:before="102" w:line="220" w:lineRule="auto"/>
              <w:ind w:left="119"/>
              <w:rPr>
                <w:color w:val="auto"/>
                <w:sz w:val="24"/>
                <w:szCs w:val="24"/>
                <w:highlight w:val="none"/>
              </w:rPr>
            </w:pPr>
            <w:r>
              <w:rPr>
                <w:color w:val="auto"/>
                <w:spacing w:val="-11"/>
                <w:sz w:val="24"/>
                <w:szCs w:val="24"/>
                <w:highlight w:val="none"/>
              </w:rPr>
              <w:t>合同履行期限：</w:t>
            </w:r>
          </w:p>
        </w:tc>
      </w:tr>
      <w:tr w14:paraId="32D72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6" w:hRule="atLeast"/>
        </w:trPr>
        <w:tc>
          <w:tcPr>
            <w:tcW w:w="9271" w:type="dxa"/>
            <w:gridSpan w:val="4"/>
            <w:vAlign w:val="top"/>
          </w:tcPr>
          <w:p w14:paraId="2B6BBC64">
            <w:pPr>
              <w:pStyle w:val="19"/>
              <w:spacing w:before="142" w:line="219" w:lineRule="auto"/>
              <w:ind w:left="535"/>
              <w:rPr>
                <w:color w:val="auto"/>
                <w:sz w:val="22"/>
                <w:szCs w:val="22"/>
                <w:highlight w:val="none"/>
              </w:rPr>
            </w:pPr>
            <w:r>
              <w:rPr>
                <w:b/>
                <w:bCs/>
                <w:color w:val="auto"/>
                <w:spacing w:val="-13"/>
                <w:sz w:val="22"/>
                <w:szCs w:val="22"/>
                <w:highlight w:val="none"/>
              </w:rPr>
              <w:t>投标人须就第二章《招标项目服务需求》中所响应内容作完整唯一</w:t>
            </w:r>
            <w:r>
              <w:rPr>
                <w:b/>
                <w:bCs/>
                <w:color w:val="auto"/>
                <w:spacing w:val="-14"/>
                <w:sz w:val="22"/>
                <w:szCs w:val="22"/>
                <w:highlight w:val="none"/>
              </w:rPr>
              <w:t>报价。</w:t>
            </w:r>
          </w:p>
          <w:p w14:paraId="0C7E66BD">
            <w:pPr>
              <w:pStyle w:val="19"/>
              <w:spacing w:before="27" w:line="339" w:lineRule="auto"/>
              <w:ind w:left="116" w:right="38" w:firstLine="437"/>
              <w:rPr>
                <w:color w:val="auto"/>
                <w:highlight w:val="none"/>
              </w:rPr>
            </w:pPr>
            <w:r>
              <w:rPr>
                <w:rFonts w:ascii="Times New Roman" w:hAnsi="Times New Roman" w:eastAsia="Times New Roman" w:cs="Times New Roman"/>
                <w:color w:val="auto"/>
                <w:spacing w:val="7"/>
                <w:highlight w:val="none"/>
              </w:rPr>
              <w:t>1</w:t>
            </w:r>
            <w:r>
              <w:rPr>
                <w:rFonts w:ascii="Times New Roman" w:hAnsi="Times New Roman" w:eastAsia="Times New Roman" w:cs="Times New Roman"/>
                <w:color w:val="auto"/>
                <w:spacing w:val="-29"/>
                <w:highlight w:val="none"/>
              </w:rPr>
              <w:t xml:space="preserve"> </w:t>
            </w:r>
            <w:r>
              <w:rPr>
                <w:color w:val="auto"/>
                <w:spacing w:val="7"/>
                <w:highlight w:val="none"/>
              </w:rPr>
              <w:t>、投标报价是履行合同的最终价格，必须包含满足本次投标全部</w:t>
            </w:r>
            <w:r>
              <w:rPr>
                <w:color w:val="auto"/>
                <w:spacing w:val="6"/>
                <w:highlight w:val="none"/>
              </w:rPr>
              <w:t>采购需求所应提供的服务，以</w:t>
            </w:r>
            <w:r>
              <w:rPr>
                <w:color w:val="auto"/>
                <w:spacing w:val="7"/>
                <w:highlight w:val="none"/>
              </w:rPr>
              <w:t>及伴随的货物的价格；包含投标服务、货物成本、运输（含保险）装卸、搬运、检验、保险、利润、</w:t>
            </w:r>
            <w:r>
              <w:rPr>
                <w:color w:val="auto"/>
                <w:spacing w:val="10"/>
                <w:highlight w:val="none"/>
              </w:rPr>
              <w:t>税费、质保期售后服务、雇员费、合同实施过程中的应预见和或不可预见等费用总和。所产生的费</w:t>
            </w:r>
            <w:r>
              <w:rPr>
                <w:color w:val="auto"/>
                <w:spacing w:val="7"/>
                <w:highlight w:val="none"/>
              </w:rPr>
              <w:t>用由中标人负责。</w:t>
            </w:r>
          </w:p>
          <w:p w14:paraId="581CDC5F">
            <w:pPr>
              <w:pStyle w:val="19"/>
              <w:spacing w:before="162" w:line="301" w:lineRule="auto"/>
              <w:ind w:left="118" w:right="38" w:firstLine="420"/>
              <w:rPr>
                <w:color w:val="auto"/>
                <w:highlight w:val="none"/>
              </w:rPr>
            </w:pPr>
            <w:r>
              <w:rPr>
                <w:color w:val="auto"/>
                <w:spacing w:val="7"/>
                <w:highlight w:val="none"/>
              </w:rPr>
              <w:t>2、（1）本项目采用价格折扣率报价。（以%表示，折扣率报价精确到个位数）。响应报价最高</w:t>
            </w:r>
            <w:r>
              <w:rPr>
                <w:color w:val="auto"/>
                <w:spacing w:val="8"/>
                <w:highlight w:val="none"/>
              </w:rPr>
              <w:t>上限为 93%</w:t>
            </w:r>
            <w:r>
              <w:rPr>
                <w:color w:val="auto"/>
                <w:spacing w:val="-11"/>
                <w:highlight w:val="none"/>
              </w:rPr>
              <w:t>，（</w:t>
            </w:r>
            <w:r>
              <w:rPr>
                <w:color w:val="auto"/>
                <w:spacing w:val="8"/>
                <w:highlight w:val="none"/>
              </w:rPr>
              <w:t>如：供货产品打九三折即价格折扣率为 93%，以此类推</w:t>
            </w:r>
            <w:r>
              <w:rPr>
                <w:color w:val="auto"/>
                <w:spacing w:val="-11"/>
                <w:highlight w:val="none"/>
              </w:rPr>
              <w:t>），</w:t>
            </w:r>
            <w:r>
              <w:rPr>
                <w:color w:val="auto"/>
                <w:spacing w:val="8"/>
                <w:highlight w:val="none"/>
              </w:rPr>
              <w:t>否则，作无效报价处理。</w:t>
            </w:r>
          </w:p>
          <w:p w14:paraId="5901ADB3">
            <w:pPr>
              <w:pStyle w:val="19"/>
              <w:spacing w:before="165" w:line="226" w:lineRule="auto"/>
              <w:ind w:left="547"/>
              <w:rPr>
                <w:color w:val="auto"/>
                <w:highlight w:val="none"/>
              </w:rPr>
            </w:pPr>
            <w:r>
              <w:rPr>
                <w:color w:val="auto"/>
                <w:spacing w:val="7"/>
                <w:highlight w:val="none"/>
              </w:rPr>
              <w:t>（2）报价必须含以下部分，包括：</w:t>
            </w:r>
          </w:p>
          <w:p w14:paraId="689207B5">
            <w:pPr>
              <w:pStyle w:val="19"/>
              <w:spacing w:before="163" w:line="225" w:lineRule="auto"/>
              <w:ind w:left="536"/>
              <w:rPr>
                <w:color w:val="auto"/>
                <w:highlight w:val="none"/>
              </w:rPr>
            </w:pPr>
            <w:r>
              <w:rPr>
                <w:color w:val="auto"/>
                <w:spacing w:val="7"/>
                <w:highlight w:val="none"/>
              </w:rPr>
              <w:t>①货物、服务的价格；</w:t>
            </w:r>
          </w:p>
          <w:p w14:paraId="735F02D3">
            <w:pPr>
              <w:pStyle w:val="19"/>
              <w:spacing w:before="164" w:line="225" w:lineRule="auto"/>
              <w:ind w:left="535"/>
              <w:rPr>
                <w:color w:val="auto"/>
                <w:highlight w:val="none"/>
              </w:rPr>
            </w:pPr>
            <w:r>
              <w:rPr>
                <w:color w:val="auto"/>
                <w:spacing w:val="8"/>
                <w:highlight w:val="none"/>
              </w:rPr>
              <w:t>②必要的保险费用和各项税金；</w:t>
            </w:r>
          </w:p>
          <w:p w14:paraId="4B6FA6AA">
            <w:pPr>
              <w:pStyle w:val="19"/>
              <w:spacing w:before="164" w:line="225" w:lineRule="auto"/>
              <w:ind w:left="535"/>
              <w:rPr>
                <w:color w:val="auto"/>
                <w:highlight w:val="none"/>
              </w:rPr>
            </w:pPr>
            <w:r>
              <w:rPr>
                <w:color w:val="auto"/>
                <w:spacing w:val="9"/>
                <w:highlight w:val="none"/>
              </w:rPr>
              <w:t>③包装、运输、搬运、深加工、检验检测、售后服务等相关费用。</w:t>
            </w:r>
          </w:p>
          <w:p w14:paraId="7CE95201">
            <w:pPr>
              <w:pStyle w:val="19"/>
              <w:spacing w:before="167" w:line="226" w:lineRule="auto"/>
              <w:ind w:left="541"/>
              <w:rPr>
                <w:color w:val="auto"/>
                <w:highlight w:val="none"/>
              </w:rPr>
            </w:pPr>
            <w:r>
              <w:rPr>
                <w:color w:val="auto"/>
                <w:spacing w:val="7"/>
                <w:highlight w:val="none"/>
              </w:rPr>
              <w:t>3、采购价格约定</w:t>
            </w:r>
          </w:p>
          <w:p w14:paraId="20AFDB2A">
            <w:pPr>
              <w:pStyle w:val="19"/>
              <w:spacing w:before="165" w:line="371" w:lineRule="auto"/>
              <w:ind w:left="116" w:right="106" w:firstLine="440"/>
              <w:rPr>
                <w:color w:val="auto"/>
                <w:highlight w:val="none"/>
              </w:rPr>
            </w:pPr>
            <w:r>
              <w:rPr>
                <w:color w:val="auto"/>
                <w:spacing w:val="10"/>
                <w:highlight w:val="none"/>
              </w:rPr>
              <w:t>中标供应商配送食品原材料价格</w:t>
            </w:r>
            <w:r>
              <w:rPr>
                <w:b/>
                <w:bCs/>
                <w:color w:val="auto"/>
                <w:spacing w:val="10"/>
                <w:highlight w:val="none"/>
              </w:rPr>
              <w:t>不高于当月当地物价部门提供的同类产品市场价格</w:t>
            </w:r>
            <w:r>
              <w:rPr>
                <w:b/>
                <w:bCs/>
                <w:color w:val="auto"/>
                <w:spacing w:val="-21"/>
                <w:highlight w:val="none"/>
              </w:rPr>
              <w:t xml:space="preserve"> </w:t>
            </w:r>
            <w:r>
              <w:rPr>
                <w:b/>
                <w:bCs/>
                <w:color w:val="auto"/>
                <w:spacing w:val="10"/>
                <w:highlight w:val="none"/>
              </w:rPr>
              <w:t>93%，</w:t>
            </w:r>
            <w:r>
              <w:rPr>
                <w:color w:val="auto"/>
                <w:spacing w:val="10"/>
                <w:highlight w:val="none"/>
              </w:rPr>
              <w:t>如在</w:t>
            </w:r>
            <w:r>
              <w:rPr>
                <w:color w:val="auto"/>
                <w:spacing w:val="11"/>
                <w:highlight w:val="none"/>
              </w:rPr>
              <w:t>物价部门物价报表中没有价格的商品，必须是在当月县城两大超市同类产品平均价格</w:t>
            </w:r>
            <w:r>
              <w:rPr>
                <w:color w:val="auto"/>
                <w:spacing w:val="-38"/>
                <w:highlight w:val="none"/>
              </w:rPr>
              <w:t xml:space="preserve"> </w:t>
            </w:r>
            <w:r>
              <w:rPr>
                <w:color w:val="auto"/>
                <w:spacing w:val="10"/>
                <w:highlight w:val="none"/>
              </w:rPr>
              <w:t>93%以下（由教育局、中标供应商和学校代表每月联合询价确认</w:t>
            </w:r>
            <w:r>
              <w:rPr>
                <w:color w:val="auto"/>
                <w:spacing w:val="16"/>
                <w:highlight w:val="none"/>
              </w:rPr>
              <w:t>），</w:t>
            </w:r>
            <w:r>
              <w:rPr>
                <w:color w:val="auto"/>
                <w:spacing w:val="10"/>
                <w:highlight w:val="none"/>
              </w:rPr>
              <w:t>特价及促销价除外，且实行全县统一价格。对于质量有问题的食品要保证退货，并及时更换符合质量标准的食品。要努力提高有关工作人员的服务水平，不得强制向学校配送不符合质量标准的食品，对出现有关质量问题的按合同相关事宜处</w:t>
            </w:r>
            <w:r>
              <w:rPr>
                <w:color w:val="auto"/>
                <w:highlight w:val="none"/>
              </w:rPr>
              <w:t>理。</w:t>
            </w:r>
          </w:p>
        </w:tc>
      </w:tr>
    </w:tbl>
    <w:p w14:paraId="27C99E41">
      <w:pPr>
        <w:pStyle w:val="4"/>
        <w:spacing w:before="81" w:line="232" w:lineRule="auto"/>
        <w:ind w:left="419"/>
        <w:rPr>
          <w:color w:val="auto"/>
          <w:sz w:val="20"/>
          <w:szCs w:val="20"/>
          <w:highlight w:val="none"/>
        </w:rPr>
      </w:pPr>
      <w:r>
        <w:rPr>
          <w:color w:val="auto"/>
          <w:sz w:val="20"/>
          <w:szCs w:val="20"/>
          <w:highlight w:val="none"/>
        </w:rPr>
        <w:t>注：</w:t>
      </w:r>
    </w:p>
    <w:p w14:paraId="567BEABC">
      <w:pPr>
        <w:pStyle w:val="4"/>
        <w:spacing w:before="69"/>
        <w:ind w:right="81" w:firstLine="435"/>
        <w:rPr>
          <w:color w:val="auto"/>
          <w:sz w:val="20"/>
          <w:szCs w:val="20"/>
          <w:highlight w:val="none"/>
        </w:rPr>
      </w:pPr>
      <w:r>
        <w:rPr>
          <w:color w:val="auto"/>
          <w:spacing w:val="9"/>
          <w:sz w:val="20"/>
          <w:szCs w:val="20"/>
          <w:highlight w:val="none"/>
        </w:rPr>
        <w:t>1、投标人需按本表格式填写，不得自行更改，也不得留空（备注除外）,按提供开标一览表，必须</w:t>
      </w:r>
      <w:r>
        <w:rPr>
          <w:color w:val="auto"/>
          <w:spacing w:val="8"/>
          <w:sz w:val="20"/>
          <w:szCs w:val="20"/>
          <w:highlight w:val="none"/>
        </w:rPr>
        <w:t>加盖投标人有效公章，</w:t>
      </w:r>
      <w:r>
        <w:rPr>
          <w:b/>
          <w:bCs/>
          <w:color w:val="auto"/>
          <w:spacing w:val="8"/>
          <w:sz w:val="20"/>
          <w:szCs w:val="20"/>
          <w:highlight w:val="none"/>
        </w:rPr>
        <w:t>否则其投标作无效标处理。</w:t>
      </w:r>
    </w:p>
    <w:p w14:paraId="3D50AA60">
      <w:pPr>
        <w:pStyle w:val="4"/>
        <w:spacing w:before="75" w:line="227" w:lineRule="auto"/>
        <w:ind w:left="422"/>
        <w:rPr>
          <w:color w:val="auto"/>
          <w:sz w:val="20"/>
          <w:szCs w:val="20"/>
          <w:highlight w:val="none"/>
        </w:rPr>
      </w:pPr>
      <w:r>
        <w:rPr>
          <w:color w:val="auto"/>
          <w:spacing w:val="8"/>
          <w:sz w:val="20"/>
          <w:szCs w:val="20"/>
          <w:highlight w:val="none"/>
        </w:rPr>
        <w:t>2、本表内容均不能涂改，</w:t>
      </w:r>
      <w:r>
        <w:rPr>
          <w:b/>
          <w:bCs/>
          <w:color w:val="auto"/>
          <w:spacing w:val="8"/>
          <w:sz w:val="20"/>
          <w:szCs w:val="20"/>
          <w:highlight w:val="none"/>
        </w:rPr>
        <w:t>否则其投标作无效标处理。</w:t>
      </w:r>
    </w:p>
    <w:p w14:paraId="3DA30F9C">
      <w:pPr>
        <w:pStyle w:val="4"/>
        <w:spacing w:before="78" w:line="239" w:lineRule="auto"/>
        <w:ind w:left="25" w:firstLine="398"/>
        <w:rPr>
          <w:color w:val="auto"/>
          <w:sz w:val="20"/>
          <w:szCs w:val="20"/>
          <w:highlight w:val="none"/>
        </w:rPr>
      </w:pPr>
      <w:r>
        <w:rPr>
          <w:color w:val="auto"/>
          <w:spacing w:val="8"/>
          <w:sz w:val="20"/>
          <w:szCs w:val="20"/>
          <w:highlight w:val="none"/>
        </w:rPr>
        <w:t>3、请根据所投服务内容，逐条对应本项目招标文件“第二章 采购需求</w:t>
      </w:r>
      <w:r>
        <w:rPr>
          <w:color w:val="auto"/>
          <w:spacing w:val="-58"/>
          <w:sz w:val="20"/>
          <w:szCs w:val="20"/>
          <w:highlight w:val="none"/>
        </w:rPr>
        <w:t xml:space="preserve"> </w:t>
      </w:r>
      <w:r>
        <w:rPr>
          <w:color w:val="auto"/>
          <w:spacing w:val="8"/>
          <w:sz w:val="20"/>
          <w:szCs w:val="20"/>
          <w:highlight w:val="none"/>
        </w:rPr>
        <w:t>”的内容详细填写相应的具体</w:t>
      </w:r>
      <w:r>
        <w:rPr>
          <w:color w:val="auto"/>
          <w:spacing w:val="-6"/>
          <w:sz w:val="20"/>
          <w:szCs w:val="20"/>
          <w:highlight w:val="none"/>
        </w:rPr>
        <w:t>内容。</w:t>
      </w:r>
    </w:p>
    <w:p w14:paraId="63D64077">
      <w:pPr>
        <w:pStyle w:val="4"/>
        <w:spacing w:before="27" w:line="227" w:lineRule="auto"/>
        <w:ind w:left="4413"/>
        <w:rPr>
          <w:color w:val="auto"/>
          <w:sz w:val="20"/>
          <w:szCs w:val="20"/>
          <w:highlight w:val="none"/>
        </w:rPr>
      </w:pPr>
      <w:r>
        <w:rPr>
          <w:color w:val="auto"/>
          <w:spacing w:val="7"/>
          <w:sz w:val="20"/>
          <w:szCs w:val="20"/>
          <w:highlight w:val="none"/>
        </w:rPr>
        <w:t>投标人名称(盖公章)：</w:t>
      </w:r>
    </w:p>
    <w:p w14:paraId="428E0188">
      <w:pPr>
        <w:pStyle w:val="4"/>
        <w:spacing w:before="31" w:line="232" w:lineRule="auto"/>
        <w:ind w:left="4552" w:right="1716" w:hanging="2150"/>
        <w:rPr>
          <w:color w:val="auto"/>
          <w:sz w:val="20"/>
          <w:szCs w:val="20"/>
          <w:highlight w:val="none"/>
        </w:rPr>
      </w:pPr>
      <w:r>
        <w:rPr>
          <w:color w:val="auto"/>
          <w:spacing w:val="1"/>
          <w:sz w:val="24"/>
          <w:szCs w:val="24"/>
          <w:highlight w:val="none"/>
        </w:rPr>
        <w:t>法定代表人（或授权委托代理人</w:t>
      </w:r>
      <w:r>
        <w:rPr>
          <w:color w:val="auto"/>
          <w:spacing w:val="-11"/>
          <w:sz w:val="24"/>
          <w:szCs w:val="24"/>
          <w:highlight w:val="none"/>
        </w:rPr>
        <w:t>）：</w:t>
      </w:r>
      <w:r>
        <w:rPr>
          <w:color w:val="auto"/>
          <w:spacing w:val="-11"/>
          <w:sz w:val="24"/>
          <w:szCs w:val="24"/>
          <w:highlight w:val="none"/>
          <w:u w:val="single" w:color="auto"/>
        </w:rPr>
        <w:t>（</w:t>
      </w:r>
      <w:r>
        <w:rPr>
          <w:color w:val="auto"/>
          <w:spacing w:val="1"/>
          <w:sz w:val="24"/>
          <w:szCs w:val="24"/>
          <w:highlight w:val="none"/>
          <w:u w:val="single" w:color="auto"/>
        </w:rPr>
        <w:t>签字或盖章）</w:t>
      </w:r>
      <w:r>
        <w:rPr>
          <w:color w:val="auto"/>
          <w:sz w:val="24"/>
          <w:szCs w:val="24"/>
          <w:highlight w:val="none"/>
        </w:rPr>
        <w:t xml:space="preserve"> </w:t>
      </w:r>
      <w:r>
        <w:rPr>
          <w:color w:val="auto"/>
          <w:spacing w:val="-6"/>
          <w:sz w:val="20"/>
          <w:szCs w:val="20"/>
          <w:highlight w:val="none"/>
        </w:rPr>
        <w:t>日期：</w:t>
      </w:r>
      <w:r>
        <w:rPr>
          <w:color w:val="auto"/>
          <w:spacing w:val="17"/>
          <w:sz w:val="20"/>
          <w:szCs w:val="20"/>
          <w:highlight w:val="none"/>
        </w:rPr>
        <w:t xml:space="preserve">  </w:t>
      </w:r>
      <w:r>
        <w:rPr>
          <w:color w:val="auto"/>
          <w:spacing w:val="-6"/>
          <w:sz w:val="20"/>
          <w:szCs w:val="20"/>
          <w:highlight w:val="none"/>
        </w:rPr>
        <w:t>年</w:t>
      </w:r>
      <w:r>
        <w:rPr>
          <w:color w:val="auto"/>
          <w:spacing w:val="12"/>
          <w:sz w:val="20"/>
          <w:szCs w:val="20"/>
          <w:highlight w:val="none"/>
        </w:rPr>
        <w:t xml:space="preserve">  </w:t>
      </w:r>
      <w:r>
        <w:rPr>
          <w:color w:val="auto"/>
          <w:spacing w:val="-6"/>
          <w:sz w:val="20"/>
          <w:szCs w:val="20"/>
          <w:highlight w:val="none"/>
        </w:rPr>
        <w:t>月</w:t>
      </w:r>
      <w:r>
        <w:rPr>
          <w:color w:val="auto"/>
          <w:spacing w:val="20"/>
          <w:sz w:val="20"/>
          <w:szCs w:val="20"/>
          <w:highlight w:val="none"/>
        </w:rPr>
        <w:t xml:space="preserve">   </w:t>
      </w:r>
      <w:r>
        <w:rPr>
          <w:color w:val="auto"/>
          <w:spacing w:val="-6"/>
          <w:sz w:val="20"/>
          <w:szCs w:val="20"/>
          <w:highlight w:val="none"/>
        </w:rPr>
        <w:t>日</w:t>
      </w:r>
    </w:p>
    <w:p w14:paraId="0393BB7D">
      <w:pPr>
        <w:spacing w:line="291" w:lineRule="auto"/>
        <w:rPr>
          <w:rFonts w:hint="eastAsia" w:ascii="Arial" w:eastAsia="宋体"/>
          <w:color w:val="auto"/>
          <w:sz w:val="21"/>
          <w:highlight w:val="none"/>
          <w:lang w:eastAsia="zh-CN"/>
        </w:rPr>
      </w:pPr>
      <w:r>
        <w:rPr>
          <w:rFonts w:hint="eastAsia" w:ascii="Arial" w:eastAsia="宋体"/>
          <w:color w:val="auto"/>
          <w:sz w:val="21"/>
          <w:highlight w:val="none"/>
          <w:lang w:eastAsia="zh-CN"/>
        </w:rPr>
        <w:br w:type="page"/>
      </w:r>
    </w:p>
    <w:p w14:paraId="6AC8EFE3">
      <w:pPr>
        <w:spacing w:line="291" w:lineRule="auto"/>
        <w:rPr>
          <w:rFonts w:ascii="Arial"/>
          <w:color w:val="auto"/>
          <w:sz w:val="21"/>
          <w:highlight w:val="none"/>
        </w:rPr>
      </w:pPr>
    </w:p>
    <w:p w14:paraId="561DD6E5">
      <w:pPr>
        <w:spacing w:line="291" w:lineRule="auto"/>
        <w:rPr>
          <w:rFonts w:ascii="Arial"/>
          <w:color w:val="auto"/>
          <w:sz w:val="21"/>
          <w:highlight w:val="none"/>
        </w:rPr>
      </w:pPr>
    </w:p>
    <w:p w14:paraId="095E5C03">
      <w:pPr>
        <w:pStyle w:val="4"/>
        <w:spacing w:before="78" w:line="219" w:lineRule="auto"/>
        <w:ind w:left="9"/>
        <w:rPr>
          <w:color w:val="auto"/>
          <w:sz w:val="24"/>
          <w:szCs w:val="24"/>
          <w:highlight w:val="none"/>
        </w:rPr>
      </w:pPr>
      <w:r>
        <w:rPr>
          <w:rFonts w:hint="eastAsia"/>
          <w:b/>
          <w:bCs/>
          <w:color w:val="auto"/>
          <w:spacing w:val="-3"/>
          <w:sz w:val="24"/>
          <w:szCs w:val="24"/>
          <w:highlight w:val="none"/>
          <w:lang w:val="en-US" w:eastAsia="zh-CN"/>
        </w:rPr>
        <w:t>3</w:t>
      </w:r>
      <w:r>
        <w:rPr>
          <w:b/>
          <w:bCs/>
          <w:color w:val="auto"/>
          <w:spacing w:val="-3"/>
          <w:sz w:val="24"/>
          <w:szCs w:val="24"/>
          <w:highlight w:val="none"/>
        </w:rPr>
        <w:t>.中小企业声明函</w:t>
      </w:r>
    </w:p>
    <w:p w14:paraId="47D20F55">
      <w:pPr>
        <w:pStyle w:val="4"/>
        <w:spacing w:before="176" w:line="219" w:lineRule="auto"/>
        <w:ind w:left="4064"/>
        <w:rPr>
          <w:color w:val="auto"/>
          <w:sz w:val="24"/>
          <w:szCs w:val="24"/>
          <w:highlight w:val="none"/>
        </w:rPr>
      </w:pPr>
      <w:r>
        <w:rPr>
          <w:b/>
          <w:bCs/>
          <w:color w:val="auto"/>
          <w:spacing w:val="-7"/>
          <w:sz w:val="24"/>
          <w:szCs w:val="24"/>
          <w:highlight w:val="none"/>
        </w:rPr>
        <w:t>中小企业声明函</w:t>
      </w:r>
    </w:p>
    <w:p w14:paraId="140470A8">
      <w:pPr>
        <w:spacing w:line="248" w:lineRule="auto"/>
        <w:rPr>
          <w:rFonts w:ascii="Arial"/>
          <w:color w:val="auto"/>
          <w:sz w:val="21"/>
          <w:highlight w:val="none"/>
        </w:rPr>
      </w:pPr>
    </w:p>
    <w:p w14:paraId="7B131057">
      <w:pPr>
        <w:pStyle w:val="4"/>
        <w:spacing w:before="78" w:line="229" w:lineRule="auto"/>
        <w:ind w:left="29" w:firstLine="461"/>
        <w:rPr>
          <w:color w:val="auto"/>
          <w:sz w:val="24"/>
          <w:szCs w:val="24"/>
          <w:highlight w:val="none"/>
        </w:rPr>
      </w:pPr>
      <w:r>
        <w:rPr>
          <w:color w:val="auto"/>
          <w:spacing w:val="-2"/>
          <w:sz w:val="24"/>
          <w:szCs w:val="24"/>
          <w:highlight w:val="none"/>
        </w:rPr>
        <w:t>本公司郑重声明，根据《政府采购促进中小企业发展管理办法》（财库【2020】46</w:t>
      </w:r>
      <w:r>
        <w:rPr>
          <w:color w:val="auto"/>
          <w:spacing w:val="-37"/>
          <w:sz w:val="24"/>
          <w:szCs w:val="24"/>
          <w:highlight w:val="none"/>
        </w:rPr>
        <w:t xml:space="preserve"> </w:t>
      </w:r>
      <w:r>
        <w:rPr>
          <w:color w:val="auto"/>
          <w:spacing w:val="-2"/>
          <w:sz w:val="24"/>
          <w:szCs w:val="24"/>
          <w:highlight w:val="none"/>
        </w:rPr>
        <w:t>号文）</w:t>
      </w:r>
      <w:r>
        <w:rPr>
          <w:color w:val="auto"/>
          <w:spacing w:val="-6"/>
          <w:sz w:val="24"/>
          <w:szCs w:val="24"/>
          <w:highlight w:val="none"/>
        </w:rPr>
        <w:t>的规定，本公司为</w:t>
      </w:r>
      <w:r>
        <w:rPr>
          <w:color w:val="auto"/>
          <w:spacing w:val="-6"/>
          <w:sz w:val="24"/>
          <w:szCs w:val="24"/>
          <w:highlight w:val="none"/>
          <w:u w:val="single" w:color="auto"/>
        </w:rPr>
        <w:t xml:space="preserve">      </w:t>
      </w:r>
      <w:r>
        <w:rPr>
          <w:color w:val="auto"/>
          <w:spacing w:val="-6"/>
          <w:sz w:val="24"/>
          <w:szCs w:val="24"/>
          <w:highlight w:val="none"/>
        </w:rPr>
        <w:t>（请填写：中</w:t>
      </w:r>
      <w:r>
        <w:rPr>
          <w:color w:val="auto"/>
          <w:spacing w:val="-7"/>
          <w:sz w:val="24"/>
          <w:szCs w:val="24"/>
          <w:highlight w:val="none"/>
        </w:rPr>
        <w:t>型、小型、微型）企业。即，本公司同时满足以下条件：</w:t>
      </w:r>
    </w:p>
    <w:p w14:paraId="65463CA1">
      <w:pPr>
        <w:spacing w:line="260" w:lineRule="auto"/>
        <w:rPr>
          <w:rFonts w:ascii="Arial"/>
          <w:color w:val="auto"/>
          <w:sz w:val="21"/>
          <w:highlight w:val="none"/>
        </w:rPr>
      </w:pPr>
    </w:p>
    <w:p w14:paraId="26A4CD24">
      <w:pPr>
        <w:pStyle w:val="4"/>
        <w:spacing w:before="78" w:line="233" w:lineRule="auto"/>
        <w:ind w:left="9" w:right="99" w:firstLine="498"/>
        <w:jc w:val="both"/>
        <w:rPr>
          <w:color w:val="auto"/>
          <w:sz w:val="24"/>
          <w:szCs w:val="24"/>
          <w:highlight w:val="none"/>
        </w:rPr>
      </w:pPr>
      <w:r>
        <w:rPr>
          <w:color w:val="auto"/>
          <w:spacing w:val="-3"/>
          <w:sz w:val="24"/>
          <w:szCs w:val="24"/>
          <w:highlight w:val="none"/>
        </w:rPr>
        <w:t>1.根据《工业和信息化部、国家统计局、国家发展和改革委员会、财政部关于印发中小企</w:t>
      </w:r>
      <w:r>
        <w:rPr>
          <w:color w:val="auto"/>
          <w:spacing w:val="-6"/>
          <w:sz w:val="24"/>
          <w:szCs w:val="24"/>
          <w:highlight w:val="none"/>
        </w:rPr>
        <w:t>业划型标准规定的通知》（工信部联企业[2011]300</w:t>
      </w:r>
      <w:r>
        <w:rPr>
          <w:color w:val="auto"/>
          <w:spacing w:val="-45"/>
          <w:sz w:val="24"/>
          <w:szCs w:val="24"/>
          <w:highlight w:val="none"/>
        </w:rPr>
        <w:t xml:space="preserve"> </w:t>
      </w:r>
      <w:r>
        <w:rPr>
          <w:color w:val="auto"/>
          <w:spacing w:val="-6"/>
          <w:sz w:val="24"/>
          <w:szCs w:val="24"/>
          <w:highlight w:val="none"/>
        </w:rPr>
        <w:t>号）规定的划分标准，本公司为</w:t>
      </w:r>
      <w:r>
        <w:rPr>
          <w:color w:val="auto"/>
          <w:spacing w:val="-6"/>
          <w:sz w:val="24"/>
          <w:szCs w:val="24"/>
          <w:highlight w:val="none"/>
          <w:u w:val="single" w:color="auto"/>
        </w:rPr>
        <w:t xml:space="preserve">      </w:t>
      </w:r>
      <w:r>
        <w:rPr>
          <w:color w:val="auto"/>
          <w:spacing w:val="-6"/>
          <w:sz w:val="24"/>
          <w:szCs w:val="24"/>
          <w:highlight w:val="none"/>
        </w:rPr>
        <w:t>（请</w:t>
      </w:r>
      <w:r>
        <w:rPr>
          <w:color w:val="auto"/>
          <w:spacing w:val="-1"/>
          <w:sz w:val="24"/>
          <w:szCs w:val="24"/>
          <w:highlight w:val="none"/>
        </w:rPr>
        <w:t>填写：中型、小型、微型）企业。</w:t>
      </w:r>
    </w:p>
    <w:p w14:paraId="3B38FEF9">
      <w:pPr>
        <w:pStyle w:val="4"/>
        <w:spacing w:before="26" w:line="233" w:lineRule="auto"/>
        <w:ind w:left="9" w:right="99" w:firstLine="483"/>
        <w:jc w:val="both"/>
        <w:rPr>
          <w:color w:val="auto"/>
          <w:sz w:val="24"/>
          <w:szCs w:val="24"/>
          <w:highlight w:val="none"/>
        </w:rPr>
      </w:pPr>
      <w:r>
        <w:rPr>
          <w:color w:val="auto"/>
          <w:spacing w:val="-3"/>
          <w:sz w:val="24"/>
          <w:szCs w:val="24"/>
          <w:highlight w:val="none"/>
        </w:rPr>
        <w:t>2.本公司参加</w:t>
      </w:r>
      <w:r>
        <w:rPr>
          <w:color w:val="auto"/>
          <w:spacing w:val="-3"/>
          <w:sz w:val="24"/>
          <w:szCs w:val="24"/>
          <w:highlight w:val="none"/>
          <w:u w:val="single" w:color="auto"/>
        </w:rPr>
        <w:t xml:space="preserve">      </w:t>
      </w:r>
      <w:r>
        <w:rPr>
          <w:color w:val="auto"/>
          <w:spacing w:val="-98"/>
          <w:sz w:val="24"/>
          <w:szCs w:val="24"/>
          <w:highlight w:val="none"/>
        </w:rPr>
        <w:t xml:space="preserve"> </w:t>
      </w:r>
      <w:r>
        <w:rPr>
          <w:color w:val="auto"/>
          <w:spacing w:val="-3"/>
          <w:sz w:val="24"/>
          <w:szCs w:val="24"/>
          <w:highlight w:val="none"/>
        </w:rPr>
        <w:t>单位的</w:t>
      </w:r>
      <w:r>
        <w:rPr>
          <w:color w:val="auto"/>
          <w:spacing w:val="-3"/>
          <w:sz w:val="24"/>
          <w:szCs w:val="24"/>
          <w:highlight w:val="none"/>
          <w:u w:val="single" w:color="auto"/>
        </w:rPr>
        <w:t xml:space="preserve">      </w:t>
      </w:r>
      <w:r>
        <w:rPr>
          <w:color w:val="auto"/>
          <w:spacing w:val="-107"/>
          <w:sz w:val="24"/>
          <w:szCs w:val="24"/>
          <w:highlight w:val="none"/>
        </w:rPr>
        <w:t xml:space="preserve"> </w:t>
      </w:r>
      <w:r>
        <w:rPr>
          <w:color w:val="auto"/>
          <w:spacing w:val="-3"/>
          <w:sz w:val="24"/>
          <w:szCs w:val="24"/>
          <w:highlight w:val="none"/>
        </w:rPr>
        <w:t>项目采购活动提供本企业制造的货物，由本企业承担工</w:t>
      </w:r>
      <w:r>
        <w:rPr>
          <w:color w:val="auto"/>
          <w:spacing w:val="-2"/>
          <w:sz w:val="24"/>
          <w:szCs w:val="24"/>
          <w:highlight w:val="none"/>
        </w:rPr>
        <w:t>程、提供服务，或者提供其他</w:t>
      </w:r>
      <w:r>
        <w:rPr>
          <w:color w:val="auto"/>
          <w:spacing w:val="-2"/>
          <w:sz w:val="24"/>
          <w:szCs w:val="24"/>
          <w:highlight w:val="none"/>
          <w:u w:val="single" w:color="auto"/>
        </w:rPr>
        <w:t xml:space="preserve">      </w:t>
      </w:r>
      <w:r>
        <w:rPr>
          <w:color w:val="auto"/>
          <w:spacing w:val="-2"/>
          <w:sz w:val="24"/>
          <w:szCs w:val="24"/>
          <w:highlight w:val="none"/>
        </w:rPr>
        <w:t>（请填写：中型、小型、微型）</w:t>
      </w:r>
      <w:r>
        <w:rPr>
          <w:color w:val="auto"/>
          <w:spacing w:val="-3"/>
          <w:sz w:val="24"/>
          <w:szCs w:val="24"/>
          <w:highlight w:val="none"/>
        </w:rPr>
        <w:t>企业制造的货物。本条所</w:t>
      </w:r>
      <w:r>
        <w:rPr>
          <w:color w:val="auto"/>
          <w:spacing w:val="-1"/>
          <w:sz w:val="24"/>
          <w:szCs w:val="24"/>
          <w:highlight w:val="none"/>
        </w:rPr>
        <w:t>称货物不包括使用大型企业注册商标的货物。</w:t>
      </w:r>
    </w:p>
    <w:p w14:paraId="428990B1">
      <w:pPr>
        <w:pStyle w:val="4"/>
        <w:spacing w:before="27" w:line="219" w:lineRule="auto"/>
        <w:ind w:left="490"/>
        <w:rPr>
          <w:color w:val="auto"/>
          <w:sz w:val="24"/>
          <w:szCs w:val="24"/>
          <w:highlight w:val="none"/>
        </w:rPr>
      </w:pPr>
      <w:r>
        <w:rPr>
          <w:color w:val="auto"/>
          <w:spacing w:val="-1"/>
          <w:sz w:val="24"/>
          <w:szCs w:val="24"/>
          <w:highlight w:val="none"/>
        </w:rPr>
        <w:t>本公司对上述声明的真实性负责。如有虚假，将依法承担相应责任。</w:t>
      </w:r>
    </w:p>
    <w:p w14:paraId="302EAF53">
      <w:pPr>
        <w:pStyle w:val="4"/>
        <w:spacing w:before="306" w:line="230" w:lineRule="auto"/>
        <w:ind w:left="6036" w:right="1824" w:hanging="97"/>
        <w:rPr>
          <w:color w:val="auto"/>
          <w:sz w:val="24"/>
          <w:szCs w:val="24"/>
          <w:highlight w:val="none"/>
        </w:rPr>
      </w:pPr>
      <w:r>
        <w:rPr>
          <w:color w:val="auto"/>
          <w:spacing w:val="-2"/>
          <w:sz w:val="24"/>
          <w:szCs w:val="24"/>
          <w:highlight w:val="none"/>
        </w:rPr>
        <w:t>企业名称（盖章</w:t>
      </w:r>
      <w:r>
        <w:rPr>
          <w:color w:val="auto"/>
          <w:spacing w:val="-31"/>
          <w:sz w:val="24"/>
          <w:szCs w:val="24"/>
          <w:highlight w:val="none"/>
        </w:rPr>
        <w:t>）：</w:t>
      </w:r>
      <w:r>
        <w:rPr>
          <w:color w:val="auto"/>
          <w:spacing w:val="1"/>
          <w:sz w:val="24"/>
          <w:szCs w:val="24"/>
          <w:highlight w:val="none"/>
        </w:rPr>
        <w:t xml:space="preserve"> </w:t>
      </w:r>
      <w:r>
        <w:rPr>
          <w:color w:val="auto"/>
          <w:spacing w:val="-13"/>
          <w:sz w:val="24"/>
          <w:szCs w:val="24"/>
          <w:highlight w:val="none"/>
        </w:rPr>
        <w:t>日           期：</w:t>
      </w:r>
    </w:p>
    <w:p w14:paraId="17D5D7C6">
      <w:pPr>
        <w:spacing w:line="271" w:lineRule="auto"/>
        <w:rPr>
          <w:rFonts w:ascii="Arial"/>
          <w:color w:val="auto"/>
          <w:sz w:val="21"/>
          <w:highlight w:val="none"/>
        </w:rPr>
      </w:pPr>
    </w:p>
    <w:p w14:paraId="2868D30A">
      <w:pPr>
        <w:spacing w:line="271" w:lineRule="auto"/>
        <w:rPr>
          <w:rFonts w:ascii="Arial"/>
          <w:color w:val="auto"/>
          <w:sz w:val="21"/>
          <w:highlight w:val="none"/>
        </w:rPr>
      </w:pPr>
    </w:p>
    <w:p w14:paraId="4CDFB30F">
      <w:pPr>
        <w:spacing w:line="272" w:lineRule="auto"/>
        <w:rPr>
          <w:rFonts w:ascii="Arial"/>
          <w:color w:val="auto"/>
          <w:sz w:val="21"/>
          <w:highlight w:val="none"/>
        </w:rPr>
      </w:pPr>
    </w:p>
    <w:p w14:paraId="2F0BD049">
      <w:pPr>
        <w:pStyle w:val="4"/>
        <w:spacing w:before="79" w:line="236" w:lineRule="auto"/>
        <w:ind w:left="8" w:right="519" w:firstLine="4"/>
        <w:jc w:val="both"/>
        <w:rPr>
          <w:color w:val="auto"/>
          <w:sz w:val="24"/>
          <w:szCs w:val="24"/>
          <w:highlight w:val="none"/>
        </w:rPr>
      </w:pPr>
      <w:r>
        <w:rPr>
          <w:b/>
          <w:bCs/>
          <w:color w:val="auto"/>
          <w:spacing w:val="-10"/>
          <w:sz w:val="24"/>
          <w:szCs w:val="24"/>
          <w:highlight w:val="none"/>
        </w:rPr>
        <w:t>说明：《中小企业声明函》为参加政府采购活动的中小企业应当提供，同时需提供符合《工</w:t>
      </w:r>
      <w:r>
        <w:rPr>
          <w:b/>
          <w:bCs/>
          <w:color w:val="auto"/>
          <w:spacing w:val="-4"/>
          <w:sz w:val="24"/>
          <w:szCs w:val="24"/>
          <w:highlight w:val="none"/>
        </w:rPr>
        <w:t>业和信息化部、国家统计局、国家发展和改革委员会、财政部关于印发中小企业划型标准</w:t>
      </w:r>
      <w:r>
        <w:rPr>
          <w:b/>
          <w:bCs/>
          <w:color w:val="auto"/>
          <w:spacing w:val="-3"/>
          <w:sz w:val="24"/>
          <w:szCs w:val="24"/>
          <w:highlight w:val="none"/>
        </w:rPr>
        <w:t>规定的通知》（工信部联企业[2011]300</w:t>
      </w:r>
      <w:r>
        <w:rPr>
          <w:color w:val="auto"/>
          <w:spacing w:val="-32"/>
          <w:sz w:val="24"/>
          <w:szCs w:val="24"/>
          <w:highlight w:val="none"/>
        </w:rPr>
        <w:t xml:space="preserve"> </w:t>
      </w:r>
      <w:r>
        <w:rPr>
          <w:b/>
          <w:bCs/>
          <w:color w:val="auto"/>
          <w:spacing w:val="-3"/>
          <w:sz w:val="24"/>
          <w:szCs w:val="24"/>
          <w:highlight w:val="none"/>
        </w:rPr>
        <w:t>号）规定划分标准的证明材料（如</w:t>
      </w:r>
      <w:r>
        <w:rPr>
          <w:color w:val="auto"/>
          <w:spacing w:val="-45"/>
          <w:sz w:val="24"/>
          <w:szCs w:val="24"/>
          <w:highlight w:val="none"/>
        </w:rPr>
        <w:t xml:space="preserve"> </w:t>
      </w:r>
      <w:r>
        <w:rPr>
          <w:b/>
          <w:bCs/>
          <w:color w:val="auto"/>
          <w:spacing w:val="-3"/>
          <w:sz w:val="24"/>
          <w:szCs w:val="24"/>
          <w:highlight w:val="none"/>
        </w:rPr>
        <w:t>2011</w:t>
      </w:r>
      <w:r>
        <w:rPr>
          <w:color w:val="auto"/>
          <w:spacing w:val="-50"/>
          <w:sz w:val="24"/>
          <w:szCs w:val="24"/>
          <w:highlight w:val="none"/>
        </w:rPr>
        <w:t xml:space="preserve"> </w:t>
      </w:r>
      <w:r>
        <w:rPr>
          <w:b/>
          <w:bCs/>
          <w:color w:val="auto"/>
          <w:spacing w:val="-3"/>
          <w:sz w:val="24"/>
          <w:szCs w:val="24"/>
          <w:highlight w:val="none"/>
        </w:rPr>
        <w:t>年财务报表、社保证明材料等，投标人非生产厂家时</w:t>
      </w:r>
      <w:r>
        <w:rPr>
          <w:b/>
          <w:bCs/>
          <w:color w:val="auto"/>
          <w:spacing w:val="-4"/>
          <w:sz w:val="24"/>
          <w:szCs w:val="24"/>
          <w:highlight w:val="none"/>
        </w:rPr>
        <w:t>还需提供生产厂家符合上述划分标准的证明</w:t>
      </w:r>
      <w:r>
        <w:rPr>
          <w:b/>
          <w:bCs/>
          <w:color w:val="auto"/>
          <w:spacing w:val="-5"/>
          <w:sz w:val="24"/>
          <w:szCs w:val="24"/>
          <w:highlight w:val="none"/>
        </w:rPr>
        <w:t>材料）。</w:t>
      </w:r>
    </w:p>
    <w:p w14:paraId="779DC928">
      <w:pPr>
        <w:spacing w:line="265" w:lineRule="auto"/>
        <w:rPr>
          <w:rFonts w:hint="eastAsia" w:ascii="Arial" w:eastAsia="宋体"/>
          <w:color w:val="auto"/>
          <w:sz w:val="21"/>
          <w:highlight w:val="none"/>
          <w:lang w:eastAsia="zh-CN"/>
        </w:rPr>
      </w:pPr>
      <w:r>
        <w:rPr>
          <w:rFonts w:hint="eastAsia" w:ascii="Arial" w:eastAsia="宋体"/>
          <w:color w:val="auto"/>
          <w:sz w:val="21"/>
          <w:highlight w:val="none"/>
          <w:lang w:eastAsia="zh-CN"/>
        </w:rPr>
        <w:br w:type="page"/>
      </w:r>
    </w:p>
    <w:p w14:paraId="473B3100">
      <w:pPr>
        <w:pStyle w:val="4"/>
        <w:spacing w:before="101" w:line="225" w:lineRule="auto"/>
        <w:ind w:left="3056"/>
        <w:rPr>
          <w:color w:val="auto"/>
          <w:sz w:val="31"/>
          <w:szCs w:val="31"/>
          <w:highlight w:val="none"/>
        </w:rPr>
      </w:pPr>
      <w:r>
        <w:rPr>
          <w:b/>
          <w:bCs/>
          <w:color w:val="auto"/>
          <w:spacing w:val="17"/>
          <w:sz w:val="31"/>
          <w:szCs w:val="31"/>
          <w:highlight w:val="none"/>
        </w:rPr>
        <w:t>残疾人福利性单位声明函</w:t>
      </w:r>
    </w:p>
    <w:p w14:paraId="064B071B">
      <w:pPr>
        <w:spacing w:line="260" w:lineRule="auto"/>
        <w:rPr>
          <w:rFonts w:ascii="Arial"/>
          <w:color w:val="auto"/>
          <w:sz w:val="21"/>
          <w:highlight w:val="none"/>
        </w:rPr>
      </w:pPr>
    </w:p>
    <w:p w14:paraId="7A0D38D0">
      <w:pPr>
        <w:spacing w:line="261" w:lineRule="auto"/>
        <w:rPr>
          <w:rFonts w:ascii="Arial"/>
          <w:color w:val="auto"/>
          <w:sz w:val="21"/>
          <w:highlight w:val="none"/>
        </w:rPr>
      </w:pPr>
    </w:p>
    <w:p w14:paraId="13908B04">
      <w:pPr>
        <w:spacing w:line="261" w:lineRule="auto"/>
        <w:rPr>
          <w:rFonts w:ascii="Arial"/>
          <w:color w:val="auto"/>
          <w:sz w:val="21"/>
          <w:highlight w:val="none"/>
        </w:rPr>
      </w:pPr>
    </w:p>
    <w:p w14:paraId="12D24AEC">
      <w:pPr>
        <w:pStyle w:val="4"/>
        <w:spacing w:before="78" w:line="447" w:lineRule="auto"/>
        <w:ind w:left="8" w:firstLine="506"/>
        <w:jc w:val="both"/>
        <w:rPr>
          <w:color w:val="auto"/>
          <w:sz w:val="24"/>
          <w:szCs w:val="24"/>
          <w:highlight w:val="none"/>
        </w:rPr>
      </w:pPr>
      <w:r>
        <w:rPr>
          <w:color w:val="auto"/>
          <w:spacing w:val="9"/>
          <w:sz w:val="24"/>
          <w:szCs w:val="24"/>
          <w:highlight w:val="none"/>
        </w:rPr>
        <w:t>本单位郑重声明，根据《财政部民政部中国残疾人联合会关于促进残疾人就业政府采</w:t>
      </w:r>
      <w:r>
        <w:rPr>
          <w:color w:val="auto"/>
          <w:spacing w:val="3"/>
          <w:sz w:val="24"/>
          <w:szCs w:val="24"/>
          <w:highlight w:val="none"/>
        </w:rPr>
        <w:t>购政策的通知》（财库〔2017〕141号）的规定，本单位为符合条件的残</w:t>
      </w:r>
      <w:r>
        <w:rPr>
          <w:color w:val="auto"/>
          <w:spacing w:val="2"/>
          <w:sz w:val="24"/>
          <w:szCs w:val="24"/>
          <w:highlight w:val="none"/>
        </w:rPr>
        <w:t>疾人福利性单位，</w:t>
      </w:r>
      <w:r>
        <w:rPr>
          <w:color w:val="auto"/>
          <w:spacing w:val="8"/>
          <w:sz w:val="24"/>
          <w:szCs w:val="24"/>
          <w:highlight w:val="none"/>
        </w:rPr>
        <w:t>且本单位参加</w:t>
      </w:r>
      <w:r>
        <w:rPr>
          <w:color w:val="auto"/>
          <w:spacing w:val="-108"/>
          <w:sz w:val="24"/>
          <w:szCs w:val="24"/>
          <w:highlight w:val="none"/>
        </w:rPr>
        <w:t xml:space="preserve"> </w:t>
      </w:r>
      <w:r>
        <w:rPr>
          <w:color w:val="auto"/>
          <w:spacing w:val="4"/>
          <w:sz w:val="24"/>
          <w:szCs w:val="24"/>
          <w:highlight w:val="none"/>
          <w:u w:val="single" w:color="auto"/>
        </w:rPr>
        <w:t xml:space="preserve">      </w:t>
      </w:r>
      <w:r>
        <w:rPr>
          <w:color w:val="auto"/>
          <w:spacing w:val="-97"/>
          <w:sz w:val="24"/>
          <w:szCs w:val="24"/>
          <w:highlight w:val="none"/>
        </w:rPr>
        <w:t xml:space="preserve"> </w:t>
      </w:r>
      <w:r>
        <w:rPr>
          <w:color w:val="auto"/>
          <w:spacing w:val="8"/>
          <w:sz w:val="24"/>
          <w:szCs w:val="24"/>
          <w:highlight w:val="none"/>
        </w:rPr>
        <w:t>单位的</w:t>
      </w:r>
      <w:r>
        <w:rPr>
          <w:color w:val="auto"/>
          <w:spacing w:val="-108"/>
          <w:sz w:val="24"/>
          <w:szCs w:val="24"/>
          <w:highlight w:val="none"/>
        </w:rPr>
        <w:t xml:space="preserve"> </w:t>
      </w:r>
      <w:r>
        <w:rPr>
          <w:color w:val="auto"/>
          <w:spacing w:val="4"/>
          <w:sz w:val="24"/>
          <w:szCs w:val="24"/>
          <w:highlight w:val="none"/>
          <w:u w:val="single" w:color="auto"/>
        </w:rPr>
        <w:t xml:space="preserve">      </w:t>
      </w:r>
      <w:r>
        <w:rPr>
          <w:color w:val="auto"/>
          <w:spacing w:val="-95"/>
          <w:sz w:val="24"/>
          <w:szCs w:val="24"/>
          <w:highlight w:val="none"/>
        </w:rPr>
        <w:t xml:space="preserve"> </w:t>
      </w:r>
      <w:r>
        <w:rPr>
          <w:color w:val="auto"/>
          <w:spacing w:val="8"/>
          <w:sz w:val="24"/>
          <w:szCs w:val="24"/>
          <w:highlight w:val="none"/>
        </w:rPr>
        <w:t>项目采购活动提供本单</w:t>
      </w:r>
      <w:r>
        <w:rPr>
          <w:color w:val="auto"/>
          <w:spacing w:val="7"/>
          <w:sz w:val="24"/>
          <w:szCs w:val="24"/>
          <w:highlight w:val="none"/>
        </w:rPr>
        <w:t>位制造的货物（由本单位承担工</w:t>
      </w:r>
      <w:r>
        <w:rPr>
          <w:color w:val="auto"/>
          <w:spacing w:val="12"/>
          <w:sz w:val="24"/>
          <w:szCs w:val="24"/>
          <w:highlight w:val="none"/>
        </w:rPr>
        <w:t>程/提供服务</w:t>
      </w:r>
      <w:r>
        <w:rPr>
          <w:color w:val="auto"/>
          <w:spacing w:val="-2"/>
          <w:sz w:val="24"/>
          <w:szCs w:val="24"/>
          <w:highlight w:val="none"/>
        </w:rPr>
        <w:t>），</w:t>
      </w:r>
      <w:r>
        <w:rPr>
          <w:color w:val="auto"/>
          <w:spacing w:val="12"/>
          <w:sz w:val="24"/>
          <w:szCs w:val="24"/>
          <w:highlight w:val="none"/>
        </w:rPr>
        <w:t>或者提供其他残疾人福利性单位制造的货物（不包括使用非</w:t>
      </w:r>
      <w:r>
        <w:rPr>
          <w:color w:val="auto"/>
          <w:spacing w:val="11"/>
          <w:sz w:val="24"/>
          <w:szCs w:val="24"/>
          <w:highlight w:val="none"/>
        </w:rPr>
        <w:t>残疾人福利</w:t>
      </w:r>
      <w:r>
        <w:rPr>
          <w:color w:val="auto"/>
          <w:spacing w:val="10"/>
          <w:sz w:val="24"/>
          <w:szCs w:val="24"/>
          <w:highlight w:val="none"/>
        </w:rPr>
        <w:t>性单位注册商标的货物）。</w:t>
      </w:r>
    </w:p>
    <w:p w14:paraId="484DA8D9">
      <w:pPr>
        <w:pStyle w:val="4"/>
        <w:spacing w:before="34" w:line="219" w:lineRule="auto"/>
        <w:ind w:left="514"/>
        <w:rPr>
          <w:color w:val="auto"/>
          <w:sz w:val="24"/>
          <w:szCs w:val="24"/>
          <w:highlight w:val="none"/>
        </w:rPr>
      </w:pPr>
      <w:r>
        <w:rPr>
          <w:color w:val="auto"/>
          <w:spacing w:val="11"/>
          <w:sz w:val="24"/>
          <w:szCs w:val="24"/>
          <w:highlight w:val="none"/>
        </w:rPr>
        <w:t>本单位对上述声明的真实性负责。如有虚假，将依法承</w:t>
      </w:r>
      <w:r>
        <w:rPr>
          <w:color w:val="auto"/>
          <w:spacing w:val="10"/>
          <w:sz w:val="24"/>
          <w:szCs w:val="24"/>
          <w:highlight w:val="none"/>
        </w:rPr>
        <w:t>担相应责任。</w:t>
      </w:r>
    </w:p>
    <w:p w14:paraId="2C111EA3">
      <w:pPr>
        <w:spacing w:line="278" w:lineRule="auto"/>
        <w:rPr>
          <w:rFonts w:ascii="Arial"/>
          <w:color w:val="auto"/>
          <w:sz w:val="21"/>
          <w:highlight w:val="none"/>
        </w:rPr>
      </w:pPr>
    </w:p>
    <w:p w14:paraId="7E00FD04">
      <w:pPr>
        <w:spacing w:line="278" w:lineRule="auto"/>
        <w:rPr>
          <w:rFonts w:ascii="Arial"/>
          <w:color w:val="auto"/>
          <w:sz w:val="21"/>
          <w:highlight w:val="none"/>
        </w:rPr>
      </w:pPr>
    </w:p>
    <w:p w14:paraId="7FBB2AD0">
      <w:pPr>
        <w:spacing w:line="278" w:lineRule="auto"/>
        <w:rPr>
          <w:rFonts w:ascii="Arial"/>
          <w:color w:val="auto"/>
          <w:sz w:val="21"/>
          <w:highlight w:val="none"/>
        </w:rPr>
      </w:pPr>
    </w:p>
    <w:p w14:paraId="2C588F57">
      <w:pPr>
        <w:spacing w:line="279" w:lineRule="auto"/>
        <w:rPr>
          <w:rFonts w:ascii="Arial"/>
          <w:color w:val="auto"/>
          <w:sz w:val="21"/>
          <w:highlight w:val="none"/>
        </w:rPr>
      </w:pPr>
    </w:p>
    <w:p w14:paraId="6D6EE5AB">
      <w:pPr>
        <w:spacing w:line="279" w:lineRule="auto"/>
        <w:rPr>
          <w:rFonts w:ascii="Arial"/>
          <w:color w:val="auto"/>
          <w:sz w:val="21"/>
          <w:highlight w:val="none"/>
        </w:rPr>
      </w:pPr>
    </w:p>
    <w:p w14:paraId="5F6FBEE7">
      <w:pPr>
        <w:pStyle w:val="4"/>
        <w:spacing w:before="78" w:line="219" w:lineRule="auto"/>
        <w:ind w:left="4168"/>
        <w:rPr>
          <w:color w:val="auto"/>
          <w:sz w:val="24"/>
          <w:szCs w:val="24"/>
          <w:highlight w:val="none"/>
        </w:rPr>
      </w:pPr>
      <w:r>
        <w:rPr>
          <w:color w:val="auto"/>
          <w:spacing w:val="8"/>
          <w:sz w:val="24"/>
          <w:szCs w:val="24"/>
          <w:highlight w:val="none"/>
        </w:rPr>
        <w:t>单位名称（盖章</w:t>
      </w:r>
      <w:r>
        <w:rPr>
          <w:color w:val="auto"/>
          <w:spacing w:val="-14"/>
          <w:sz w:val="24"/>
          <w:szCs w:val="24"/>
          <w:highlight w:val="none"/>
        </w:rPr>
        <w:t>）：</w:t>
      </w:r>
      <w:r>
        <w:rPr>
          <w:color w:val="auto"/>
          <w:spacing w:val="6"/>
          <w:sz w:val="24"/>
          <w:szCs w:val="24"/>
          <w:highlight w:val="none"/>
        </w:rPr>
        <w:t xml:space="preserve">  </w:t>
      </w:r>
      <w:r>
        <w:rPr>
          <w:color w:val="auto"/>
          <w:sz w:val="24"/>
          <w:szCs w:val="24"/>
          <w:highlight w:val="none"/>
          <w:u w:val="single" w:color="auto"/>
        </w:rPr>
        <w:t xml:space="preserve">        </w:t>
      </w:r>
    </w:p>
    <w:p w14:paraId="6B3AD3CC">
      <w:pPr>
        <w:pStyle w:val="4"/>
        <w:spacing w:before="117" w:line="220" w:lineRule="auto"/>
        <w:ind w:left="4296"/>
        <w:rPr>
          <w:color w:val="auto"/>
          <w:sz w:val="24"/>
          <w:szCs w:val="24"/>
          <w:highlight w:val="none"/>
        </w:rPr>
      </w:pPr>
      <w:r>
        <w:rPr>
          <w:color w:val="auto"/>
          <w:spacing w:val="-13"/>
          <w:sz w:val="24"/>
          <w:szCs w:val="24"/>
          <w:highlight w:val="none"/>
        </w:rPr>
        <w:t>日期：</w:t>
      </w:r>
      <w:r>
        <w:rPr>
          <w:color w:val="auto"/>
          <w:spacing w:val="-97"/>
          <w:sz w:val="24"/>
          <w:szCs w:val="24"/>
          <w:highlight w:val="none"/>
        </w:rPr>
        <w:t xml:space="preserve"> </w:t>
      </w:r>
      <w:r>
        <w:rPr>
          <w:color w:val="auto"/>
          <w:sz w:val="24"/>
          <w:szCs w:val="24"/>
          <w:highlight w:val="none"/>
          <w:u w:val="single" w:color="auto"/>
        </w:rPr>
        <w:t xml:space="preserve">        </w:t>
      </w:r>
    </w:p>
    <w:p w14:paraId="244FA741">
      <w:pPr>
        <w:rPr>
          <w:rFonts w:ascii="Arial"/>
          <w:color w:val="auto"/>
          <w:sz w:val="21"/>
          <w:highlight w:val="none"/>
        </w:rPr>
      </w:pPr>
    </w:p>
    <w:p w14:paraId="7578EC55">
      <w:pPr>
        <w:rPr>
          <w:rFonts w:ascii="Arial"/>
          <w:color w:val="auto"/>
          <w:sz w:val="21"/>
          <w:highlight w:val="none"/>
        </w:rPr>
      </w:pPr>
    </w:p>
    <w:p w14:paraId="40FF2BC5">
      <w:pPr>
        <w:rPr>
          <w:rFonts w:ascii="Arial"/>
          <w:color w:val="auto"/>
          <w:sz w:val="21"/>
          <w:highlight w:val="none"/>
        </w:rPr>
      </w:pPr>
    </w:p>
    <w:p w14:paraId="5C8B01C4">
      <w:pPr>
        <w:rPr>
          <w:rFonts w:ascii="Arial"/>
          <w:color w:val="auto"/>
          <w:sz w:val="21"/>
          <w:highlight w:val="none"/>
        </w:rPr>
      </w:pPr>
    </w:p>
    <w:p w14:paraId="0561E334">
      <w:pPr>
        <w:rPr>
          <w:rFonts w:ascii="Arial"/>
          <w:color w:val="auto"/>
          <w:sz w:val="21"/>
          <w:highlight w:val="none"/>
        </w:rPr>
      </w:pPr>
      <w:r>
        <w:rPr>
          <w:rFonts w:ascii="Arial"/>
          <w:color w:val="auto"/>
          <w:sz w:val="21"/>
          <w:highlight w:val="none"/>
        </w:rPr>
        <w:br w:type="page"/>
      </w:r>
    </w:p>
    <w:p w14:paraId="63A1DC1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sz w:val="28"/>
          <w:szCs w:val="28"/>
          <w:highlight w:val="none"/>
        </w:rPr>
      </w:pPr>
      <w:r>
        <w:rPr>
          <w:rStyle w:val="15"/>
          <w:rFonts w:hint="eastAsia" w:ascii="宋体" w:hAnsi="宋体" w:eastAsia="宋体" w:cs="宋体"/>
          <w:i w:val="0"/>
          <w:iCs w:val="0"/>
          <w:caps w:val="0"/>
          <w:color w:val="auto"/>
          <w:spacing w:val="0"/>
          <w:sz w:val="28"/>
          <w:szCs w:val="28"/>
          <w:highlight w:val="none"/>
          <w:shd w:val="clear" w:fill="FFFFFF"/>
        </w:rPr>
        <w:t>关于符合本国产品标准的声明函</w:t>
      </w:r>
    </w:p>
    <w:p w14:paraId="7E12BC68">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highlight w:val="none"/>
        </w:rPr>
      </w:pPr>
    </w:p>
    <w:p w14:paraId="274BE86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本公司（单位）郑重声明，根据《国务院办公厅关于在政府采购中实施本国产品标准及相关政策的通知》（国办发〔2025〕34号）的规定，本公司（单位）提供的以下产品属于本国产品。具体情况如下：</w:t>
      </w:r>
    </w:p>
    <w:p w14:paraId="0EC61C8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1.</w:t>
      </w:r>
      <w:r>
        <w:rPr>
          <w:rStyle w:val="17"/>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，生产厂为</w:t>
      </w:r>
      <w:r>
        <w:rPr>
          <w:rStyle w:val="17"/>
          <w:rFonts w:hint="eastAsia" w:ascii="宋体" w:hAnsi="宋体" w:eastAsia="宋体" w:cs="宋体"/>
          <w:i w:val="0"/>
          <w:iCs w:val="0"/>
          <w:caps w:val="0"/>
          <w:color w:val="auto"/>
          <w:spacing w:val="0"/>
          <w:sz w:val="21"/>
          <w:szCs w:val="21"/>
          <w:highlight w:val="none"/>
          <w:u w:val="single"/>
          <w:shd w:val="clear" w:fill="FFFFFF"/>
        </w:rPr>
        <w:t>（厂名）</w:t>
      </w:r>
      <w:r>
        <w:rPr>
          <w:rFonts w:hint="eastAsia" w:ascii="宋体" w:hAnsi="宋体" w:eastAsia="宋体" w:cs="宋体"/>
          <w:i w:val="0"/>
          <w:iCs w:val="0"/>
          <w:caps w:val="0"/>
          <w:color w:val="auto"/>
          <w:spacing w:val="0"/>
          <w:sz w:val="21"/>
          <w:szCs w:val="21"/>
          <w:highlight w:val="none"/>
          <w:shd w:val="clear" w:fill="FFFFFF"/>
        </w:rPr>
        <w:t>，厂址为</w:t>
      </w:r>
      <w:r>
        <w:rPr>
          <w:rStyle w:val="17"/>
          <w:rFonts w:hint="eastAsia" w:ascii="宋体" w:hAnsi="宋体" w:eastAsia="宋体" w:cs="宋体"/>
          <w:i w:val="0"/>
          <w:iCs w:val="0"/>
          <w:caps w:val="0"/>
          <w:color w:val="auto"/>
          <w:spacing w:val="0"/>
          <w:sz w:val="21"/>
          <w:szCs w:val="21"/>
          <w:highlight w:val="none"/>
          <w:u w:val="single"/>
          <w:shd w:val="clear" w:fill="FFFFFF"/>
        </w:rPr>
        <w:t>（生产厂址）</w:t>
      </w:r>
      <w:r>
        <w:rPr>
          <w:rFonts w:hint="eastAsia" w:ascii="宋体" w:hAnsi="宋体" w:eastAsia="宋体" w:cs="宋体"/>
          <w:i w:val="0"/>
          <w:iCs w:val="0"/>
          <w:caps w:val="0"/>
          <w:color w:val="auto"/>
          <w:spacing w:val="0"/>
          <w:sz w:val="21"/>
          <w:szCs w:val="21"/>
          <w:highlight w:val="none"/>
          <w:shd w:val="clear" w:fill="FFFFFF"/>
        </w:rPr>
        <w:t>。</w:t>
      </w:r>
      <w:r>
        <w:rPr>
          <w:rStyle w:val="17"/>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的中国境内生产的组件成本占比≥</w:t>
      </w:r>
      <w:r>
        <w:rPr>
          <w:rStyle w:val="17"/>
          <w:rFonts w:hint="eastAsia" w:ascii="宋体" w:hAnsi="宋体" w:eastAsia="宋体" w:cs="宋体"/>
          <w:i w:val="0"/>
          <w:iCs w:val="0"/>
          <w:caps w:val="0"/>
          <w:color w:val="auto"/>
          <w:spacing w:val="0"/>
          <w:sz w:val="21"/>
          <w:szCs w:val="21"/>
          <w:highlight w:val="none"/>
          <w:u w:val="single"/>
          <w:shd w:val="clear" w:fill="FFFFFF"/>
        </w:rPr>
        <w:t>（规定比例）</w:t>
      </w:r>
      <w:r>
        <w:rPr>
          <w:rFonts w:hint="eastAsia" w:ascii="宋体" w:hAnsi="宋体" w:eastAsia="宋体" w:cs="宋体"/>
          <w:i w:val="0"/>
          <w:iCs w:val="0"/>
          <w:caps w:val="0"/>
          <w:color w:val="auto"/>
          <w:spacing w:val="0"/>
          <w:sz w:val="21"/>
          <w:szCs w:val="21"/>
          <w:highlight w:val="none"/>
          <w:shd w:val="clear" w:fill="FFFFFF"/>
        </w:rPr>
        <w:t>。</w:t>
      </w:r>
      <w:r>
        <w:rPr>
          <w:rStyle w:val="17"/>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的</w:t>
      </w:r>
      <w:r>
        <w:rPr>
          <w:rStyle w:val="17"/>
          <w:rFonts w:hint="eastAsia" w:ascii="宋体" w:hAnsi="宋体" w:eastAsia="宋体" w:cs="宋体"/>
          <w:i w:val="0"/>
          <w:iCs w:val="0"/>
          <w:caps w:val="0"/>
          <w:color w:val="auto"/>
          <w:spacing w:val="0"/>
          <w:sz w:val="21"/>
          <w:szCs w:val="21"/>
          <w:highlight w:val="none"/>
          <w:u w:val="single"/>
          <w:shd w:val="clear" w:fill="FFFFFF"/>
        </w:rPr>
        <w:t>（关键组件）</w:t>
      </w:r>
      <w:r>
        <w:rPr>
          <w:rFonts w:hint="eastAsia" w:ascii="宋体" w:hAnsi="宋体" w:eastAsia="宋体" w:cs="宋体"/>
          <w:i w:val="0"/>
          <w:iCs w:val="0"/>
          <w:caps w:val="0"/>
          <w:color w:val="auto"/>
          <w:spacing w:val="0"/>
          <w:sz w:val="21"/>
          <w:szCs w:val="21"/>
          <w:highlight w:val="none"/>
          <w:shd w:val="clear" w:fill="FFFFFF"/>
        </w:rPr>
        <w:t>在中国境内生产。</w:t>
      </w:r>
      <w:r>
        <w:rPr>
          <w:rStyle w:val="17"/>
          <w:rFonts w:hint="eastAsia" w:ascii="宋体" w:hAnsi="宋体" w:eastAsia="宋体" w:cs="宋体"/>
          <w:i w:val="0"/>
          <w:iCs w:val="0"/>
          <w:caps w:val="0"/>
          <w:color w:val="auto"/>
          <w:spacing w:val="0"/>
          <w:sz w:val="21"/>
          <w:szCs w:val="21"/>
          <w:highlight w:val="none"/>
          <w:u w:val="single"/>
          <w:shd w:val="clear" w:fill="FFFFFF"/>
        </w:rPr>
        <w:t>（产品名称1）</w:t>
      </w:r>
      <w:r>
        <w:rPr>
          <w:rFonts w:hint="eastAsia" w:ascii="宋体" w:hAnsi="宋体" w:eastAsia="宋体" w:cs="宋体"/>
          <w:i w:val="0"/>
          <w:iCs w:val="0"/>
          <w:caps w:val="0"/>
          <w:color w:val="auto"/>
          <w:spacing w:val="0"/>
          <w:sz w:val="21"/>
          <w:szCs w:val="21"/>
          <w:highlight w:val="none"/>
          <w:shd w:val="clear" w:fill="FFFFFF"/>
        </w:rPr>
        <w:t>的</w:t>
      </w:r>
      <w:r>
        <w:rPr>
          <w:rStyle w:val="17"/>
          <w:rFonts w:hint="eastAsia" w:ascii="宋体" w:hAnsi="宋体" w:eastAsia="宋体" w:cs="宋体"/>
          <w:i w:val="0"/>
          <w:iCs w:val="0"/>
          <w:caps w:val="0"/>
          <w:color w:val="auto"/>
          <w:spacing w:val="0"/>
          <w:sz w:val="21"/>
          <w:szCs w:val="21"/>
          <w:highlight w:val="none"/>
          <w:u w:val="single"/>
          <w:shd w:val="clear" w:fill="FFFFFF"/>
        </w:rPr>
        <w:t>（关键工序）</w:t>
      </w:r>
      <w:r>
        <w:rPr>
          <w:rFonts w:hint="eastAsia" w:ascii="宋体" w:hAnsi="宋体" w:eastAsia="宋体" w:cs="宋体"/>
          <w:i w:val="0"/>
          <w:iCs w:val="0"/>
          <w:caps w:val="0"/>
          <w:color w:val="auto"/>
          <w:spacing w:val="0"/>
          <w:sz w:val="21"/>
          <w:szCs w:val="21"/>
          <w:highlight w:val="none"/>
          <w:shd w:val="clear" w:fill="FFFFFF"/>
        </w:rPr>
        <w:t>在中国境内完成。</w:t>
      </w:r>
    </w:p>
    <w:p w14:paraId="76B2EA20">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2.</w:t>
      </w:r>
      <w:r>
        <w:rPr>
          <w:rStyle w:val="17"/>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，生产厂为</w:t>
      </w:r>
      <w:r>
        <w:rPr>
          <w:rStyle w:val="17"/>
          <w:rFonts w:hint="eastAsia" w:ascii="宋体" w:hAnsi="宋体" w:eastAsia="宋体" w:cs="宋体"/>
          <w:i w:val="0"/>
          <w:iCs w:val="0"/>
          <w:caps w:val="0"/>
          <w:color w:val="auto"/>
          <w:spacing w:val="0"/>
          <w:sz w:val="21"/>
          <w:szCs w:val="21"/>
          <w:highlight w:val="none"/>
          <w:u w:val="single"/>
          <w:shd w:val="clear" w:fill="FFFFFF"/>
        </w:rPr>
        <w:t>（厂名）</w:t>
      </w:r>
      <w:r>
        <w:rPr>
          <w:rFonts w:hint="eastAsia" w:ascii="宋体" w:hAnsi="宋体" w:eastAsia="宋体" w:cs="宋体"/>
          <w:i w:val="0"/>
          <w:iCs w:val="0"/>
          <w:caps w:val="0"/>
          <w:color w:val="auto"/>
          <w:spacing w:val="0"/>
          <w:sz w:val="21"/>
          <w:szCs w:val="21"/>
          <w:highlight w:val="none"/>
          <w:shd w:val="clear" w:fill="FFFFFF"/>
        </w:rPr>
        <w:t>，厂址为</w:t>
      </w:r>
      <w:r>
        <w:rPr>
          <w:rStyle w:val="17"/>
          <w:rFonts w:hint="eastAsia" w:ascii="宋体" w:hAnsi="宋体" w:eastAsia="宋体" w:cs="宋体"/>
          <w:i w:val="0"/>
          <w:iCs w:val="0"/>
          <w:caps w:val="0"/>
          <w:color w:val="auto"/>
          <w:spacing w:val="0"/>
          <w:sz w:val="21"/>
          <w:szCs w:val="21"/>
          <w:highlight w:val="none"/>
          <w:u w:val="single"/>
          <w:shd w:val="clear" w:fill="FFFFFF"/>
        </w:rPr>
        <w:t>（生产厂址）</w:t>
      </w:r>
      <w:r>
        <w:rPr>
          <w:rFonts w:hint="eastAsia" w:ascii="宋体" w:hAnsi="宋体" w:eastAsia="宋体" w:cs="宋体"/>
          <w:i w:val="0"/>
          <w:iCs w:val="0"/>
          <w:caps w:val="0"/>
          <w:color w:val="auto"/>
          <w:spacing w:val="0"/>
          <w:sz w:val="21"/>
          <w:szCs w:val="21"/>
          <w:highlight w:val="none"/>
          <w:shd w:val="clear" w:fill="FFFFFF"/>
        </w:rPr>
        <w:t>。</w:t>
      </w:r>
      <w:r>
        <w:rPr>
          <w:rStyle w:val="17"/>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的中国境内生产的组件成本占比≥</w:t>
      </w:r>
      <w:r>
        <w:rPr>
          <w:rStyle w:val="17"/>
          <w:rFonts w:hint="eastAsia" w:ascii="宋体" w:hAnsi="宋体" w:eastAsia="宋体" w:cs="宋体"/>
          <w:i w:val="0"/>
          <w:iCs w:val="0"/>
          <w:caps w:val="0"/>
          <w:color w:val="auto"/>
          <w:spacing w:val="0"/>
          <w:sz w:val="21"/>
          <w:szCs w:val="21"/>
          <w:highlight w:val="none"/>
          <w:u w:val="single"/>
          <w:shd w:val="clear" w:fill="FFFFFF"/>
        </w:rPr>
        <w:t>（规定比例）</w:t>
      </w:r>
      <w:r>
        <w:rPr>
          <w:rFonts w:hint="eastAsia" w:ascii="宋体" w:hAnsi="宋体" w:eastAsia="宋体" w:cs="宋体"/>
          <w:i w:val="0"/>
          <w:iCs w:val="0"/>
          <w:caps w:val="0"/>
          <w:color w:val="auto"/>
          <w:spacing w:val="0"/>
          <w:sz w:val="21"/>
          <w:szCs w:val="21"/>
          <w:highlight w:val="none"/>
          <w:shd w:val="clear" w:fill="FFFFFF"/>
        </w:rPr>
        <w:t>。</w:t>
      </w:r>
      <w:r>
        <w:rPr>
          <w:rStyle w:val="17"/>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的</w:t>
      </w:r>
      <w:r>
        <w:rPr>
          <w:rStyle w:val="17"/>
          <w:rFonts w:hint="eastAsia" w:ascii="宋体" w:hAnsi="宋体" w:eastAsia="宋体" w:cs="宋体"/>
          <w:i w:val="0"/>
          <w:iCs w:val="0"/>
          <w:caps w:val="0"/>
          <w:color w:val="auto"/>
          <w:spacing w:val="0"/>
          <w:sz w:val="21"/>
          <w:szCs w:val="21"/>
          <w:highlight w:val="none"/>
          <w:u w:val="single"/>
          <w:shd w:val="clear" w:fill="FFFFFF"/>
        </w:rPr>
        <w:t>（关键组件）</w:t>
      </w:r>
      <w:r>
        <w:rPr>
          <w:rFonts w:hint="eastAsia" w:ascii="宋体" w:hAnsi="宋体" w:eastAsia="宋体" w:cs="宋体"/>
          <w:i w:val="0"/>
          <w:iCs w:val="0"/>
          <w:caps w:val="0"/>
          <w:color w:val="auto"/>
          <w:spacing w:val="0"/>
          <w:sz w:val="21"/>
          <w:szCs w:val="21"/>
          <w:highlight w:val="none"/>
          <w:shd w:val="clear" w:fill="FFFFFF"/>
        </w:rPr>
        <w:t>在中国境内生产。</w:t>
      </w:r>
      <w:r>
        <w:rPr>
          <w:rStyle w:val="17"/>
          <w:rFonts w:hint="eastAsia" w:ascii="宋体" w:hAnsi="宋体" w:eastAsia="宋体" w:cs="宋体"/>
          <w:i w:val="0"/>
          <w:iCs w:val="0"/>
          <w:caps w:val="0"/>
          <w:color w:val="auto"/>
          <w:spacing w:val="0"/>
          <w:sz w:val="21"/>
          <w:szCs w:val="21"/>
          <w:highlight w:val="none"/>
          <w:u w:val="single"/>
          <w:shd w:val="clear" w:fill="FFFFFF"/>
        </w:rPr>
        <w:t>（产品名称2）</w:t>
      </w:r>
      <w:r>
        <w:rPr>
          <w:rFonts w:hint="eastAsia" w:ascii="宋体" w:hAnsi="宋体" w:eastAsia="宋体" w:cs="宋体"/>
          <w:i w:val="0"/>
          <w:iCs w:val="0"/>
          <w:caps w:val="0"/>
          <w:color w:val="auto"/>
          <w:spacing w:val="0"/>
          <w:sz w:val="21"/>
          <w:szCs w:val="21"/>
          <w:highlight w:val="none"/>
          <w:shd w:val="clear" w:fill="FFFFFF"/>
        </w:rPr>
        <w:t>的</w:t>
      </w:r>
      <w:r>
        <w:rPr>
          <w:rStyle w:val="17"/>
          <w:rFonts w:hint="eastAsia" w:ascii="宋体" w:hAnsi="宋体" w:eastAsia="宋体" w:cs="宋体"/>
          <w:i w:val="0"/>
          <w:iCs w:val="0"/>
          <w:caps w:val="0"/>
          <w:color w:val="auto"/>
          <w:spacing w:val="0"/>
          <w:sz w:val="21"/>
          <w:szCs w:val="21"/>
          <w:highlight w:val="none"/>
          <w:u w:val="single"/>
          <w:shd w:val="clear" w:fill="FFFFFF"/>
        </w:rPr>
        <w:t>（关键工序）</w:t>
      </w:r>
      <w:r>
        <w:rPr>
          <w:rFonts w:hint="eastAsia" w:ascii="宋体" w:hAnsi="宋体" w:eastAsia="宋体" w:cs="宋体"/>
          <w:i w:val="0"/>
          <w:iCs w:val="0"/>
          <w:caps w:val="0"/>
          <w:color w:val="auto"/>
          <w:spacing w:val="0"/>
          <w:sz w:val="21"/>
          <w:szCs w:val="21"/>
          <w:highlight w:val="none"/>
          <w:shd w:val="clear" w:fill="FFFFFF"/>
        </w:rPr>
        <w:t>在中国境内完成。</w:t>
      </w:r>
    </w:p>
    <w:p w14:paraId="13BEBD42">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w:t>
      </w:r>
    </w:p>
    <w:p w14:paraId="12C98FB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本公司（单位）对上述声明内容的真实性负责。如有虚假，愿承担相应法律责任。</w:t>
      </w:r>
    </w:p>
    <w:p w14:paraId="07E46CA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rPr>
          <w:rFonts w:hint="eastAsia" w:ascii="宋体" w:hAnsi="宋体" w:eastAsia="宋体" w:cs="宋体"/>
          <w:i w:val="0"/>
          <w:iCs w:val="0"/>
          <w:caps w:val="0"/>
          <w:color w:val="auto"/>
          <w:spacing w:val="0"/>
          <w:sz w:val="21"/>
          <w:szCs w:val="21"/>
          <w:highlight w:val="none"/>
        </w:rPr>
      </w:pPr>
    </w:p>
    <w:p w14:paraId="2DFAE9EA">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公司（单位）名称（盖章）：　        </w:t>
      </w:r>
    </w:p>
    <w:p w14:paraId="6BE9C375">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日期：　     年　  月　  日         </w:t>
      </w:r>
    </w:p>
    <w:p w14:paraId="390E2CAA">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shd w:val="clear" w:fill="FFFFFF"/>
        </w:rPr>
      </w:pPr>
    </w:p>
    <w:p w14:paraId="13CA3239">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1.产品如有型号，请在“产品名称”栏一并填写。</w:t>
      </w:r>
    </w:p>
    <w:p w14:paraId="7FB1D894">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2.生产厂名与厂址应与生产厂营业执照载明的相关信息保持一致。</w:t>
      </w:r>
    </w:p>
    <w:p w14:paraId="2E717C76">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3.该产品的中国境内生产的组件成本占比相关要求实施前，“规定比例”栏可不填，下同。</w:t>
      </w:r>
    </w:p>
    <w:p w14:paraId="4FF9233E">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shd w:val="clear" w:fill="FFFFFF"/>
        </w:rPr>
      </w:pPr>
      <w:r>
        <w:rPr>
          <w:rFonts w:hint="eastAsia" w:ascii="宋体" w:hAnsi="宋体" w:eastAsia="宋体" w:cs="宋体"/>
          <w:i w:val="0"/>
          <w:iCs w:val="0"/>
          <w:caps w:val="0"/>
          <w:color w:val="auto"/>
          <w:spacing w:val="0"/>
          <w:sz w:val="21"/>
          <w:szCs w:val="21"/>
          <w:highlight w:val="none"/>
          <w:shd w:val="clear" w:fill="FFFFFF"/>
        </w:rPr>
        <w:t>4.该产品的关键组件要求实施前，“关键组件”栏可不填，下同。</w:t>
      </w:r>
    </w:p>
    <w:p w14:paraId="2FF68F9B">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fill="FFFFFF"/>
        </w:rPr>
        <w:t>5.该产品的关键工序要求实施前，“关键工序”栏可不填，下同。</w:t>
      </w:r>
    </w:p>
    <w:p w14:paraId="2A6944EC">
      <w:pPr>
        <w:numPr>
          <w:ilvl w:val="0"/>
          <w:numId w:val="0"/>
        </w:numPr>
        <w:spacing w:before="263" w:line="360" w:lineRule="auto"/>
        <w:ind w:right="49" w:rightChars="0" w:firstLine="420" w:firstLineChars="200"/>
        <w:jc w:val="left"/>
        <w:rPr>
          <w:rStyle w:val="15"/>
          <w:rFonts w:hint="default" w:ascii="宋体" w:hAnsi="宋体" w:eastAsia="宋体" w:cs="宋体"/>
          <w:b w:val="0"/>
          <w:bCs/>
          <w:i w:val="0"/>
          <w:iCs w:val="0"/>
          <w:caps w:val="0"/>
          <w:color w:val="auto"/>
          <w:spacing w:val="0"/>
          <w:sz w:val="21"/>
          <w:szCs w:val="21"/>
          <w:highlight w:val="none"/>
          <w:shd w:val="clear" w:fill="FFFFFF"/>
          <w:lang w:val="en-US" w:eastAsia="zh-CN"/>
        </w:rPr>
      </w:pPr>
    </w:p>
    <w:p w14:paraId="553AB48C">
      <w:pPr>
        <w:rPr>
          <w:rFonts w:ascii="Arial"/>
          <w:color w:val="auto"/>
          <w:sz w:val="21"/>
          <w:highlight w:val="none"/>
        </w:rPr>
      </w:pPr>
    </w:p>
    <w:p w14:paraId="76F28928">
      <w:pPr>
        <w:spacing w:line="241" w:lineRule="auto"/>
        <w:rPr>
          <w:rFonts w:ascii="Arial"/>
          <w:color w:val="auto"/>
          <w:sz w:val="21"/>
          <w:highlight w:val="none"/>
        </w:rPr>
      </w:pPr>
    </w:p>
    <w:p w14:paraId="1BDB3A61">
      <w:pPr>
        <w:rPr>
          <w:b/>
          <w:bCs/>
          <w:color w:val="auto"/>
          <w:spacing w:val="-2"/>
          <w:sz w:val="24"/>
          <w:szCs w:val="24"/>
          <w:highlight w:val="none"/>
        </w:rPr>
      </w:pPr>
      <w:bookmarkStart w:id="30" w:name="_Toc27745"/>
      <w:r>
        <w:rPr>
          <w:b/>
          <w:bCs/>
          <w:color w:val="auto"/>
          <w:spacing w:val="-2"/>
          <w:sz w:val="24"/>
          <w:szCs w:val="24"/>
          <w:highlight w:val="none"/>
        </w:rPr>
        <w:br w:type="page"/>
      </w:r>
    </w:p>
    <w:p w14:paraId="7D4062AD">
      <w:pPr>
        <w:pStyle w:val="4"/>
        <w:spacing w:before="78" w:line="218" w:lineRule="auto"/>
        <w:ind w:left="9"/>
        <w:outlineLvl w:val="0"/>
        <w:rPr>
          <w:color w:val="auto"/>
          <w:sz w:val="24"/>
          <w:szCs w:val="24"/>
          <w:highlight w:val="none"/>
        </w:rPr>
      </w:pPr>
      <w:r>
        <w:rPr>
          <w:b/>
          <w:bCs/>
          <w:color w:val="auto"/>
          <w:spacing w:val="-2"/>
          <w:sz w:val="24"/>
          <w:szCs w:val="24"/>
          <w:highlight w:val="none"/>
        </w:rPr>
        <w:t>4.投标人针对报价需要说明的其他文件和说明（格式自</w:t>
      </w:r>
      <w:r>
        <w:rPr>
          <w:b/>
          <w:bCs/>
          <w:color w:val="auto"/>
          <w:spacing w:val="-3"/>
          <w:sz w:val="24"/>
          <w:szCs w:val="24"/>
          <w:highlight w:val="none"/>
        </w:rPr>
        <w:t>拟）</w:t>
      </w:r>
      <w:bookmarkEnd w:id="30"/>
    </w:p>
    <w:p w14:paraId="33FC5521">
      <w:pPr>
        <w:pStyle w:val="4"/>
        <w:spacing w:before="318" w:line="219" w:lineRule="auto"/>
        <w:ind w:left="4164"/>
        <w:rPr>
          <w:color w:val="auto"/>
          <w:sz w:val="24"/>
          <w:szCs w:val="24"/>
          <w:highlight w:val="none"/>
        </w:rPr>
      </w:pPr>
      <w:r>
        <w:rPr>
          <w:color w:val="auto"/>
          <w:spacing w:val="-8"/>
          <w:sz w:val="24"/>
          <w:szCs w:val="24"/>
          <w:highlight w:val="none"/>
        </w:rPr>
        <w:br w:type="page"/>
      </w:r>
      <w:r>
        <w:rPr>
          <w:color w:val="auto"/>
          <w:spacing w:val="-8"/>
          <w:sz w:val="24"/>
          <w:szCs w:val="24"/>
          <w:highlight w:val="none"/>
        </w:rPr>
        <w:t>第七章</w:t>
      </w:r>
      <w:r>
        <w:rPr>
          <w:color w:val="auto"/>
          <w:spacing w:val="14"/>
          <w:sz w:val="24"/>
          <w:szCs w:val="24"/>
          <w:highlight w:val="none"/>
        </w:rPr>
        <w:t xml:space="preserve">  </w:t>
      </w:r>
      <w:r>
        <w:rPr>
          <w:color w:val="auto"/>
          <w:spacing w:val="-8"/>
          <w:sz w:val="24"/>
          <w:szCs w:val="24"/>
          <w:highlight w:val="none"/>
        </w:rPr>
        <w:t>附件</w:t>
      </w:r>
    </w:p>
    <w:sectPr>
      <w:headerReference r:id="rId5" w:type="default"/>
      <w:footerReference r:id="rId6" w:type="default"/>
      <w:pgSz w:w="11906" w:h="16839"/>
      <w:pgMar w:top="961" w:right="1076" w:bottom="897" w:left="1076" w:header="728" w:footer="719"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7DEAD">
    <w:pPr>
      <w:pStyle w:val="4"/>
      <w:spacing w:line="172" w:lineRule="auto"/>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4EDC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84EDC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0F8E1">
    <w:pPr>
      <w:pStyle w:val="4"/>
      <w:spacing w:before="13" w:line="231" w:lineRule="auto"/>
      <w:ind w:left="8562"/>
      <w:rPr>
        <w:sz w:val="14"/>
        <w:szCs w:val="14"/>
      </w:rPr>
    </w:pPr>
    <w:r>
      <w:pict>
        <v:shape id="_x0000_s2051" o:spid="_x0000_s2051" style="position:absolute;left:0pt;margin-left:53.85pt;margin-top:46.7pt;height:0.75pt;width:487.65pt;mso-position-horizontal-relative:page;mso-position-vertical-relative:page;z-index:251660288;mso-width-relative:page;mso-height-relative:page;" fillcolor="#000000" filled="t" stroked="f" coordsize="9752,15" o:allowincell="f" path="m0,0l9752,0,9752,14,0,14,0,0xe">
          <v:path/>
          <v:fill on="t" focussize="0,0"/>
          <v:stroke on="f"/>
          <v:imagedata o:title=""/>
          <o:lock v:ext="edit"/>
        </v:shape>
      </w:pict>
    </w:r>
    <w:r>
      <w:rPr>
        <w:spacing w:val="7"/>
        <w:sz w:val="14"/>
        <w:szCs w:val="14"/>
      </w:rPr>
      <w:t>公开招标文件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5F037B"/>
    <w:rsid w:val="00C50B26"/>
    <w:rsid w:val="00FE7656"/>
    <w:rsid w:val="019329D2"/>
    <w:rsid w:val="02E80AFB"/>
    <w:rsid w:val="03280EF8"/>
    <w:rsid w:val="036A3B19"/>
    <w:rsid w:val="03AF28F1"/>
    <w:rsid w:val="03BB6210"/>
    <w:rsid w:val="04AE7B23"/>
    <w:rsid w:val="04E83035"/>
    <w:rsid w:val="04F45F62"/>
    <w:rsid w:val="04FC43EA"/>
    <w:rsid w:val="05665D07"/>
    <w:rsid w:val="059E280D"/>
    <w:rsid w:val="067A6DC9"/>
    <w:rsid w:val="06887047"/>
    <w:rsid w:val="078E561F"/>
    <w:rsid w:val="07E9590B"/>
    <w:rsid w:val="089112ED"/>
    <w:rsid w:val="095B5453"/>
    <w:rsid w:val="09C851E3"/>
    <w:rsid w:val="0A5146BA"/>
    <w:rsid w:val="0A5A0A4F"/>
    <w:rsid w:val="0A982E07"/>
    <w:rsid w:val="0C7543BD"/>
    <w:rsid w:val="0CC954FA"/>
    <w:rsid w:val="0D7149AD"/>
    <w:rsid w:val="0E456580"/>
    <w:rsid w:val="0E71409B"/>
    <w:rsid w:val="0F136F00"/>
    <w:rsid w:val="0F1A64A4"/>
    <w:rsid w:val="10F6044E"/>
    <w:rsid w:val="115C4694"/>
    <w:rsid w:val="115E7176"/>
    <w:rsid w:val="129C545E"/>
    <w:rsid w:val="12F232D0"/>
    <w:rsid w:val="12FE1A4A"/>
    <w:rsid w:val="13855EF2"/>
    <w:rsid w:val="13F64D38"/>
    <w:rsid w:val="143A4F2F"/>
    <w:rsid w:val="14C75E31"/>
    <w:rsid w:val="14CA526D"/>
    <w:rsid w:val="14CD5DA3"/>
    <w:rsid w:val="166B5873"/>
    <w:rsid w:val="16A3500D"/>
    <w:rsid w:val="16D779BD"/>
    <w:rsid w:val="17A821AF"/>
    <w:rsid w:val="17AF1790"/>
    <w:rsid w:val="180C0000"/>
    <w:rsid w:val="196C5B8A"/>
    <w:rsid w:val="1A085187"/>
    <w:rsid w:val="1A0F6516"/>
    <w:rsid w:val="1A9D6217"/>
    <w:rsid w:val="1C197B20"/>
    <w:rsid w:val="1D124075"/>
    <w:rsid w:val="1D750D86"/>
    <w:rsid w:val="1D8611E5"/>
    <w:rsid w:val="1E2A7DC2"/>
    <w:rsid w:val="1E870D71"/>
    <w:rsid w:val="1ED63AA6"/>
    <w:rsid w:val="1F185E6D"/>
    <w:rsid w:val="1F8D1B58"/>
    <w:rsid w:val="1FC63FF1"/>
    <w:rsid w:val="202525BC"/>
    <w:rsid w:val="202D1DEC"/>
    <w:rsid w:val="202F6602"/>
    <w:rsid w:val="20E43BBA"/>
    <w:rsid w:val="21353F88"/>
    <w:rsid w:val="21534B94"/>
    <w:rsid w:val="217F0425"/>
    <w:rsid w:val="22271441"/>
    <w:rsid w:val="227710FC"/>
    <w:rsid w:val="22F4274D"/>
    <w:rsid w:val="238938A1"/>
    <w:rsid w:val="2469451B"/>
    <w:rsid w:val="247A6A25"/>
    <w:rsid w:val="24BE3012"/>
    <w:rsid w:val="24E32A79"/>
    <w:rsid w:val="253003BA"/>
    <w:rsid w:val="25583467"/>
    <w:rsid w:val="257A6C3C"/>
    <w:rsid w:val="26A82B26"/>
    <w:rsid w:val="28681C13"/>
    <w:rsid w:val="28B74948"/>
    <w:rsid w:val="292412F2"/>
    <w:rsid w:val="299B11E3"/>
    <w:rsid w:val="29A053DC"/>
    <w:rsid w:val="2A3A75DF"/>
    <w:rsid w:val="2AC670C5"/>
    <w:rsid w:val="2BC37160"/>
    <w:rsid w:val="2C250E33"/>
    <w:rsid w:val="2D96734F"/>
    <w:rsid w:val="2E111133"/>
    <w:rsid w:val="2E9D7FB7"/>
    <w:rsid w:val="2FAA0D63"/>
    <w:rsid w:val="313E4873"/>
    <w:rsid w:val="32851613"/>
    <w:rsid w:val="328533C1"/>
    <w:rsid w:val="32C1089D"/>
    <w:rsid w:val="3305677F"/>
    <w:rsid w:val="348C0A37"/>
    <w:rsid w:val="34C8246B"/>
    <w:rsid w:val="35E93C67"/>
    <w:rsid w:val="35F44AE6"/>
    <w:rsid w:val="36282B3B"/>
    <w:rsid w:val="36346AB6"/>
    <w:rsid w:val="36F01751"/>
    <w:rsid w:val="37353608"/>
    <w:rsid w:val="37A239BE"/>
    <w:rsid w:val="37B3277F"/>
    <w:rsid w:val="37D708A0"/>
    <w:rsid w:val="382B40BE"/>
    <w:rsid w:val="384003B0"/>
    <w:rsid w:val="391D3E19"/>
    <w:rsid w:val="397F500E"/>
    <w:rsid w:val="3A934B86"/>
    <w:rsid w:val="3B1B48C3"/>
    <w:rsid w:val="3BAA5C47"/>
    <w:rsid w:val="3CAD1E92"/>
    <w:rsid w:val="3CB054DF"/>
    <w:rsid w:val="3CCA2A44"/>
    <w:rsid w:val="3CDC1FB7"/>
    <w:rsid w:val="3D4D2D2E"/>
    <w:rsid w:val="3DE240EF"/>
    <w:rsid w:val="3E0D42AB"/>
    <w:rsid w:val="3E35373D"/>
    <w:rsid w:val="3EE665CE"/>
    <w:rsid w:val="3EFE4C27"/>
    <w:rsid w:val="3FEF631E"/>
    <w:rsid w:val="40414DCB"/>
    <w:rsid w:val="40597ACC"/>
    <w:rsid w:val="41432DC5"/>
    <w:rsid w:val="418238EE"/>
    <w:rsid w:val="42E10F40"/>
    <w:rsid w:val="43236A0A"/>
    <w:rsid w:val="44DC10C9"/>
    <w:rsid w:val="45513D03"/>
    <w:rsid w:val="457816F1"/>
    <w:rsid w:val="46166F98"/>
    <w:rsid w:val="477171F4"/>
    <w:rsid w:val="47AA594C"/>
    <w:rsid w:val="488A0FAF"/>
    <w:rsid w:val="49297DF7"/>
    <w:rsid w:val="499612E8"/>
    <w:rsid w:val="4A9A1CA8"/>
    <w:rsid w:val="4AD30D16"/>
    <w:rsid w:val="4BB03E9C"/>
    <w:rsid w:val="4C46376A"/>
    <w:rsid w:val="4D3F05B0"/>
    <w:rsid w:val="4DDA23BB"/>
    <w:rsid w:val="4E7D7917"/>
    <w:rsid w:val="4E9613E1"/>
    <w:rsid w:val="4EDF1751"/>
    <w:rsid w:val="4F151835"/>
    <w:rsid w:val="4F1F09CE"/>
    <w:rsid w:val="4F622668"/>
    <w:rsid w:val="50BD32E9"/>
    <w:rsid w:val="50CF01D2"/>
    <w:rsid w:val="50EA6DB9"/>
    <w:rsid w:val="51360251"/>
    <w:rsid w:val="516923D4"/>
    <w:rsid w:val="516C762A"/>
    <w:rsid w:val="51D05FAF"/>
    <w:rsid w:val="51F223CA"/>
    <w:rsid w:val="522D51B0"/>
    <w:rsid w:val="523C3645"/>
    <w:rsid w:val="52A47972"/>
    <w:rsid w:val="52D25D57"/>
    <w:rsid w:val="5322283B"/>
    <w:rsid w:val="53EE6BC1"/>
    <w:rsid w:val="53F92F28"/>
    <w:rsid w:val="55863368"/>
    <w:rsid w:val="558772CD"/>
    <w:rsid w:val="56312D95"/>
    <w:rsid w:val="56756317"/>
    <w:rsid w:val="56B334DA"/>
    <w:rsid w:val="58022C3B"/>
    <w:rsid w:val="59017396"/>
    <w:rsid w:val="59232E69"/>
    <w:rsid w:val="5937785E"/>
    <w:rsid w:val="59535659"/>
    <w:rsid w:val="59633BAD"/>
    <w:rsid w:val="59C06909"/>
    <w:rsid w:val="5A0B64B3"/>
    <w:rsid w:val="5A6000EC"/>
    <w:rsid w:val="5B554840"/>
    <w:rsid w:val="5C207B33"/>
    <w:rsid w:val="5C6A2B81"/>
    <w:rsid w:val="5DE70A4B"/>
    <w:rsid w:val="5E1D07CE"/>
    <w:rsid w:val="5E9448CB"/>
    <w:rsid w:val="5FE1582B"/>
    <w:rsid w:val="60B62814"/>
    <w:rsid w:val="60D37589"/>
    <w:rsid w:val="62127F1E"/>
    <w:rsid w:val="6256784F"/>
    <w:rsid w:val="634B49DA"/>
    <w:rsid w:val="63BD3EBA"/>
    <w:rsid w:val="64786EB7"/>
    <w:rsid w:val="653B3C30"/>
    <w:rsid w:val="66430FEE"/>
    <w:rsid w:val="66B51082"/>
    <w:rsid w:val="672C7CD4"/>
    <w:rsid w:val="6789357A"/>
    <w:rsid w:val="67D31EFE"/>
    <w:rsid w:val="69623539"/>
    <w:rsid w:val="6A5437CA"/>
    <w:rsid w:val="6ABD1CED"/>
    <w:rsid w:val="6B415118"/>
    <w:rsid w:val="6B6317EA"/>
    <w:rsid w:val="6C924135"/>
    <w:rsid w:val="6C953C26"/>
    <w:rsid w:val="6CC87B57"/>
    <w:rsid w:val="6E3556C0"/>
    <w:rsid w:val="6E3F3C6F"/>
    <w:rsid w:val="6E5813AF"/>
    <w:rsid w:val="6E9879FD"/>
    <w:rsid w:val="703E5658"/>
    <w:rsid w:val="7089584F"/>
    <w:rsid w:val="70A97C9F"/>
    <w:rsid w:val="70B04237"/>
    <w:rsid w:val="712C1E83"/>
    <w:rsid w:val="71416736"/>
    <w:rsid w:val="721B2E1F"/>
    <w:rsid w:val="721B4C5E"/>
    <w:rsid w:val="722001A9"/>
    <w:rsid w:val="72361A07"/>
    <w:rsid w:val="72B648F6"/>
    <w:rsid w:val="72BF19FC"/>
    <w:rsid w:val="73B250BD"/>
    <w:rsid w:val="745D771F"/>
    <w:rsid w:val="746F3388"/>
    <w:rsid w:val="74D6127F"/>
    <w:rsid w:val="752F7B48"/>
    <w:rsid w:val="75660855"/>
    <w:rsid w:val="758C6257"/>
    <w:rsid w:val="75FC529B"/>
    <w:rsid w:val="76CE0460"/>
    <w:rsid w:val="76D87530"/>
    <w:rsid w:val="76FC1DA9"/>
    <w:rsid w:val="770420D4"/>
    <w:rsid w:val="770C0F88"/>
    <w:rsid w:val="77204A34"/>
    <w:rsid w:val="772C460D"/>
    <w:rsid w:val="77BA294E"/>
    <w:rsid w:val="78A43B6E"/>
    <w:rsid w:val="7A277E9D"/>
    <w:rsid w:val="7A460C55"/>
    <w:rsid w:val="7AD718AD"/>
    <w:rsid w:val="7B4C246F"/>
    <w:rsid w:val="7BEB0E13"/>
    <w:rsid w:val="7C112E25"/>
    <w:rsid w:val="7C305719"/>
    <w:rsid w:val="7C5F1B5A"/>
    <w:rsid w:val="7FAB5082"/>
    <w:rsid w:val="7FF816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next w:val="1"/>
    <w:semiHidden/>
    <w:qFormat/>
    <w:uiPriority w:val="0"/>
    <w:rPr>
      <w:rFonts w:ascii="宋体" w:hAnsi="宋体" w:eastAsia="宋体" w:cs="宋体"/>
      <w:sz w:val="28"/>
      <w:szCs w:val="28"/>
      <w:lang w:val="en-US" w:eastAsia="en-US" w:bidi="ar-SA"/>
    </w:rPr>
  </w:style>
  <w:style w:type="paragraph" w:styleId="5">
    <w:name w:val="toc 3"/>
    <w:basedOn w:val="1"/>
    <w:next w:val="1"/>
    <w:qFormat/>
    <w:uiPriority w:val="0"/>
    <w:pPr>
      <w:ind w:left="840" w:leftChars="400"/>
    </w:pPr>
  </w:style>
  <w:style w:type="paragraph" w:styleId="6">
    <w:name w:val="Plain Text"/>
    <w:basedOn w:val="1"/>
    <w:next w:val="1"/>
    <w:qFormat/>
    <w:uiPriority w:val="99"/>
    <w:rPr>
      <w:rFonts w:ascii="宋体" w:hAnsi="Courier New"/>
      <w:kern w:val="0"/>
      <w:szCs w:val="20"/>
    </w:rPr>
  </w:style>
  <w:style w:type="paragraph" w:styleId="7">
    <w:name w:val="footer"/>
    <w:basedOn w:val="1"/>
    <w:unhideWhenUsed/>
    <w:qFormat/>
    <w:uiPriority w:val="99"/>
    <w:pPr>
      <w:tabs>
        <w:tab w:val="center" w:pos="4153"/>
        <w:tab w:val="right" w:pos="8306"/>
      </w:tabs>
      <w:snapToGrid w:val="0"/>
      <w:jc w:val="left"/>
    </w:pPr>
    <w:rPr>
      <w:kern w:val="0"/>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Normal (Web)"/>
    <w:basedOn w:val="1"/>
    <w:unhideWhenUsed/>
    <w:qFormat/>
    <w:uiPriority w:val="99"/>
    <w:pPr>
      <w:spacing w:before="75" w:after="75"/>
      <w:jc w:val="left"/>
    </w:pPr>
    <w:rPr>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qFormat/>
    <w:uiPriority w:val="0"/>
  </w:style>
  <w:style w:type="character" w:styleId="17">
    <w:name w:val="Emphasis"/>
    <w:basedOn w:val="14"/>
    <w:qFormat/>
    <w:uiPriority w:val="0"/>
    <w:rPr>
      <w:i/>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0"/>
      <w:szCs w:val="20"/>
      <w:lang w:val="en-US" w:eastAsia="en-US" w:bidi="ar-SA"/>
    </w:rPr>
  </w:style>
  <w:style w:type="character" w:customStyle="1" w:styleId="20">
    <w:name w:val="NormalCharacter"/>
    <w:link w:val="21"/>
    <w:autoRedefine/>
    <w:qFormat/>
    <w:uiPriority w:val="0"/>
  </w:style>
  <w:style w:type="paragraph" w:customStyle="1" w:styleId="21">
    <w:name w:val="样式"/>
    <w:basedOn w:val="1"/>
    <w:link w:val="20"/>
    <w:qFormat/>
    <w:uiPriority w:val="0"/>
    <w:pPr>
      <w:widowControl/>
      <w:spacing w:after="160" w:line="240" w:lineRule="exact"/>
      <w:jc w:val="left"/>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https://www.gov.cn/zhengce/content/202509/W020250930645245947614.png" TargetMode="Externa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74</Pages>
  <Words>29994</Words>
  <Characters>32096</Characters>
  <TotalTime>10</TotalTime>
  <ScaleCrop>false</ScaleCrop>
  <LinksUpToDate>false</LinksUpToDate>
  <CharactersWithSpaces>32372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2025-01-09T10:03:00Z</dcterms:created>
  <dc:creator>kw</dc:creator>
  <cp:lastModifiedBy>小贾</cp:lastModifiedBy>
  <dcterms:modified xsi:type="dcterms:W3CDTF">2026-08-04T02:46:52Z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2025-02-22T18:10:48Z</vt:filetime>
  </property>
  <property fmtid="{D5CDD505-2E9C-101B-9397-08002B2CF9AE}" pid="4" name="KSOTemplateDocerSaveRecord">
    <vt:lpwstr>eyJoZGlkIjoiNDgzMTYxMjQ1YmE4ODI4OTUyZGFiYTYwZTcyYzFhZmIiLCJ1c2VySWQiOiI0ODA1NjE1MTUifQ==</vt:lpwstr>
  </property>
  <property fmtid="{D5CDD505-2E9C-101B-9397-08002B2CF9AE}" pid="5" name="KSOProductBuildVer">
    <vt:lpwstr>2052-12.1.0.26895</vt:lpwstr>
  </property>
  <property fmtid="{D5CDD505-2E9C-101B-9397-08002B2CF9AE}" pid="6" name="ICV">
    <vt:lpwstr>9399A18396D14B1D8DD15FA24419BFDF_13</vt:lpwstr>
  </property>
</Properties>
</file>