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07FDC7"/>
    <w:p w14:paraId="541758C4">
      <w:pPr>
        <w:jc w:val="center"/>
        <w:rPr>
          <w:rFonts w:ascii="华文新魏" w:eastAsia="华文新魏"/>
          <w:sz w:val="84"/>
          <w:u w:val="single"/>
        </w:rPr>
      </w:pPr>
      <w:r>
        <w:rPr>
          <w:rFonts w:hint="eastAsia" w:ascii="方正美黑简体" w:eastAsia="方正美黑简体"/>
          <w:sz w:val="52"/>
          <w:u w:val="single"/>
        </w:rPr>
        <w:cr/>
      </w:r>
    </w:p>
    <w:p w14:paraId="137A6545">
      <w:pPr>
        <w:jc w:val="center"/>
        <w:rPr>
          <w:rFonts w:hint="eastAsia" w:ascii="汉仪魏碑简" w:eastAsia="汉仪魏碑简"/>
          <w:sz w:val="84"/>
          <w:szCs w:val="84"/>
        </w:rPr>
      </w:pPr>
      <w:r>
        <w:rPr>
          <w:rFonts w:hint="eastAsia" w:ascii="汉仪魏碑简" w:eastAsia="汉仪魏碑简"/>
          <w:sz w:val="84"/>
          <w:szCs w:val="84"/>
        </w:rPr>
        <w:t xml:space="preserve">  </w:t>
      </w:r>
    </w:p>
    <w:p w14:paraId="60DBCC37">
      <w:pPr>
        <w:jc w:val="center"/>
        <w:rPr>
          <w:rFonts w:hint="eastAsia" w:ascii="汉仪魏碑简" w:eastAsia="汉仪魏碑简"/>
          <w:sz w:val="86"/>
          <w:szCs w:val="86"/>
        </w:rPr>
      </w:pPr>
    </w:p>
    <w:p w14:paraId="32D8FFB6">
      <w:pPr>
        <w:jc w:val="center"/>
        <w:rPr>
          <w:rFonts w:ascii="汉仪魏碑简" w:eastAsia="汉仪魏碑简"/>
          <w:sz w:val="86"/>
          <w:szCs w:val="86"/>
        </w:rPr>
      </w:pPr>
      <w:r>
        <w:rPr>
          <w:rFonts w:hint="eastAsia" w:ascii="汉仪魏碑简" w:eastAsia="汉仪魏碑简"/>
          <w:sz w:val="72"/>
          <w:szCs w:val="72"/>
        </w:rPr>
        <w:t>竞争性谈判采购文件</w:t>
      </w:r>
    </w:p>
    <w:p w14:paraId="11925CEC">
      <w:pPr>
        <w:jc w:val="center"/>
      </w:pPr>
    </w:p>
    <w:p w14:paraId="49ACB0B1">
      <w:pPr>
        <w:rPr>
          <w:sz w:val="24"/>
        </w:rPr>
      </w:pPr>
    </w:p>
    <w:p w14:paraId="0D8A293E"/>
    <w:p w14:paraId="625315D8"/>
    <w:p w14:paraId="5538547B"/>
    <w:p w14:paraId="7EB49A14">
      <w:pPr>
        <w:ind w:right="22" w:firstLine="964" w:firstLineChars="300"/>
        <w:jc w:val="left"/>
        <w:rPr>
          <w:rFonts w:hint="eastAsia" w:ascii="宋体" w:hAnsi="宋体" w:cs="宋体"/>
          <w:b/>
          <w:bCs/>
          <w:sz w:val="32"/>
          <w:szCs w:val="32"/>
          <w:lang w:eastAsia="zh-CN"/>
        </w:rPr>
      </w:pPr>
      <w:r>
        <w:rPr>
          <w:rFonts w:hint="eastAsia" w:ascii="宋体" w:hAnsi="宋体" w:cs="宋体"/>
          <w:b/>
          <w:sz w:val="32"/>
          <w:szCs w:val="32"/>
        </w:rPr>
        <w:t>项目名</w:t>
      </w:r>
      <w:r>
        <w:rPr>
          <w:rFonts w:hint="eastAsia" w:ascii="宋体" w:hAnsi="宋体" w:cs="宋体"/>
          <w:b/>
          <w:bCs/>
          <w:sz w:val="32"/>
          <w:szCs w:val="32"/>
        </w:rPr>
        <w:t>称：贵港市市场监管重点领域工业产品质量监管检验检测设备更新专项建设项目</w:t>
      </w:r>
    </w:p>
    <w:p w14:paraId="0BE9BBDA">
      <w:pPr>
        <w:pStyle w:val="11"/>
        <w:ind w:firstLine="964" w:firstLineChars="300"/>
        <w:rPr>
          <w:rFonts w:hint="eastAsia" w:eastAsia="宋体"/>
          <w:lang w:eastAsia="zh-CN"/>
        </w:rPr>
      </w:pPr>
      <w:r>
        <w:rPr>
          <w:rFonts w:hint="eastAsia" w:ascii="宋体" w:hAnsi="宋体" w:cs="宋体"/>
          <w:b/>
          <w:sz w:val="32"/>
          <w:szCs w:val="32"/>
        </w:rPr>
        <w:t>项目编号</w:t>
      </w:r>
      <w:r>
        <w:rPr>
          <w:rFonts w:hint="eastAsia" w:ascii="宋体" w:hAnsi="宋体" w:cs="宋体"/>
          <w:b/>
          <w:sz w:val="32"/>
          <w:szCs w:val="32"/>
          <w:highlight w:val="none"/>
        </w:rPr>
        <w:t>：</w:t>
      </w:r>
      <w:r>
        <w:rPr>
          <w:rFonts w:hint="eastAsia" w:hAnsi="宋体" w:cs="宋体"/>
          <w:b/>
          <w:sz w:val="32"/>
          <w:szCs w:val="32"/>
          <w:highlight w:val="none"/>
          <w:lang w:eastAsia="zh-CN"/>
        </w:rPr>
        <w:t>GGZC2026-J1-990320-ZYXG</w:t>
      </w:r>
    </w:p>
    <w:p w14:paraId="2D35F900"/>
    <w:p w14:paraId="7B7DEB8E">
      <w:pPr>
        <w:pStyle w:val="11"/>
      </w:pPr>
    </w:p>
    <w:p w14:paraId="6830770E"/>
    <w:p w14:paraId="69626B74">
      <w:pPr>
        <w:spacing w:line="460" w:lineRule="exact"/>
        <w:rPr>
          <w:rFonts w:ascii="黑体" w:hAnsi="黑体"/>
          <w:b/>
          <w:sz w:val="30"/>
          <w:szCs w:val="30"/>
        </w:rPr>
      </w:pPr>
    </w:p>
    <w:p w14:paraId="39AA237E">
      <w:pPr>
        <w:spacing w:line="460" w:lineRule="exact"/>
        <w:rPr>
          <w:rFonts w:ascii="黑体" w:hAnsi="黑体"/>
          <w:b/>
          <w:sz w:val="30"/>
          <w:szCs w:val="30"/>
        </w:rPr>
      </w:pPr>
    </w:p>
    <w:p w14:paraId="40666A01">
      <w:pPr>
        <w:spacing w:line="460" w:lineRule="exact"/>
        <w:rPr>
          <w:rFonts w:ascii="黑体" w:hAnsi="黑体"/>
          <w:b/>
          <w:sz w:val="30"/>
          <w:szCs w:val="30"/>
        </w:rPr>
      </w:pPr>
    </w:p>
    <w:p w14:paraId="3948293D">
      <w:pPr>
        <w:pStyle w:val="11"/>
      </w:pPr>
    </w:p>
    <w:p w14:paraId="7B7FD86D">
      <w:pPr>
        <w:pStyle w:val="7"/>
      </w:pPr>
    </w:p>
    <w:p w14:paraId="109D71FC">
      <w:pPr>
        <w:spacing w:line="480" w:lineRule="auto"/>
        <w:jc w:val="center"/>
        <w:rPr>
          <w:rFonts w:hint="eastAsia" w:ascii="黑体" w:hAnsi="黑体"/>
          <w:b/>
          <w:sz w:val="30"/>
          <w:szCs w:val="30"/>
          <w:lang w:eastAsia="zh-CN"/>
        </w:rPr>
      </w:pPr>
      <w:r>
        <w:rPr>
          <w:rFonts w:ascii="黑体" w:hAnsi="黑体"/>
          <w:b/>
          <w:sz w:val="30"/>
          <w:szCs w:val="30"/>
        </w:rPr>
        <mc:AlternateContent>
          <mc:Choice Requires="wps">
            <w:drawing>
              <wp:anchor distT="0" distB="0" distL="114300" distR="114300" simplePos="0" relativeHeight="251659264" behindDoc="0" locked="0" layoutInCell="1" allowOverlap="1">
                <wp:simplePos x="0" y="0"/>
                <wp:positionH relativeFrom="column">
                  <wp:posOffset>228600</wp:posOffset>
                </wp:positionH>
                <wp:positionV relativeFrom="paragraph">
                  <wp:posOffset>30480</wp:posOffset>
                </wp:positionV>
                <wp:extent cx="5257800" cy="2540"/>
                <wp:effectExtent l="0" t="0" r="0" b="0"/>
                <wp:wrapNone/>
                <wp:docPr id="2" name="直接连接符 2"/>
                <wp:cNvGraphicFramePr/>
                <a:graphic xmlns:a="http://schemas.openxmlformats.org/drawingml/2006/main">
                  <a:graphicData uri="http://schemas.microsoft.com/office/word/2010/wordprocessingShape">
                    <wps:wsp>
                      <wps:cNvCnPr/>
                      <wps:spPr>
                        <a:xfrm>
                          <a:off x="0" y="0"/>
                          <a:ext cx="5257800" cy="254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18pt;margin-top:2.4pt;height:0.2pt;width:414pt;z-index:251659264;mso-width-relative:page;mso-height-relative:page;" filled="f" stroked="t" coordsize="21600,21600" o:gfxdata="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S&#10;tWjf1AAAAAYBAAAPAAAAAAAAAAEAIAAAACIAAABkcnMvZG93bnJldi54bWxQSwECFAAUAAAACACH&#10;TuJAEG5WZu8BAADbAwAADgAAAAAAAAABACAAAAAjAQAAZHJzL2Uyb0RvYy54bWxQSwUGAAAAAAYA&#10;BgBZAQAAhAUAAAAA&#10;">
                <v:fill on="f" focussize="0,0"/>
                <v:stroke color="#000000" joinstyle="round"/>
                <v:imagedata o:title=""/>
                <o:lock v:ext="edit" aspectratio="f"/>
              </v:line>
            </w:pict>
          </mc:Fallback>
        </mc:AlternateContent>
      </w:r>
      <w:r>
        <w:rPr>
          <w:rFonts w:hint="eastAsia" w:ascii="黑体" w:hAnsi="黑体"/>
          <w:b/>
          <w:sz w:val="30"/>
          <w:szCs w:val="30"/>
        </w:rPr>
        <w:t>采购单位：</w:t>
      </w:r>
      <w:r>
        <w:rPr>
          <w:rFonts w:hint="eastAsia" w:ascii="黑体" w:hAnsi="黑体"/>
          <w:b/>
          <w:sz w:val="30"/>
          <w:szCs w:val="30"/>
          <w:lang w:val="en-US" w:eastAsia="zh-CN"/>
        </w:rPr>
        <w:t>贵港市公共检验检测中心</w:t>
      </w:r>
    </w:p>
    <w:p w14:paraId="6315F4E5">
      <w:pPr>
        <w:spacing w:line="480" w:lineRule="auto"/>
        <w:jc w:val="center"/>
        <w:rPr>
          <w:rFonts w:hint="eastAsia" w:ascii="黑体" w:hAnsi="黑体"/>
          <w:b/>
          <w:sz w:val="30"/>
          <w:szCs w:val="30"/>
          <w:lang w:eastAsia="zh-CN"/>
        </w:rPr>
      </w:pPr>
      <w:r>
        <w:rPr>
          <w:rFonts w:ascii="黑体" w:hAnsi="黑体"/>
          <w:b/>
          <w:sz w:val="30"/>
          <w:szCs w:val="30"/>
        </w:rPr>
        <w:t>采购代理机构：</w:t>
      </w:r>
      <w:r>
        <w:rPr>
          <w:rFonts w:hint="eastAsia" w:ascii="黑体" w:hAnsi="黑体"/>
          <w:b/>
          <w:sz w:val="30"/>
          <w:szCs w:val="30"/>
          <w:lang w:eastAsia="zh-CN"/>
        </w:rPr>
        <w:t>中禹鑫工程项目管理有限公司</w:t>
      </w:r>
    </w:p>
    <w:p w14:paraId="6D0C97A2">
      <w:pPr>
        <w:spacing w:line="480" w:lineRule="auto"/>
        <w:jc w:val="center"/>
        <w:rPr>
          <w:rFonts w:ascii="黑体" w:hAnsi="黑体"/>
          <w:b/>
          <w:sz w:val="30"/>
          <w:szCs w:val="30"/>
        </w:rPr>
      </w:pPr>
      <w:r>
        <w:rPr>
          <w:rFonts w:hint="eastAsia" w:ascii="黑体" w:hAnsi="黑体"/>
          <w:b/>
          <w:sz w:val="30"/>
          <w:szCs w:val="30"/>
          <w:lang w:val="en-US" w:eastAsia="zh-CN"/>
        </w:rPr>
        <w:t>2026</w:t>
      </w:r>
      <w:r>
        <w:rPr>
          <w:rFonts w:hint="eastAsia" w:ascii="黑体" w:hAnsi="黑体"/>
          <w:b/>
          <w:sz w:val="30"/>
          <w:szCs w:val="30"/>
        </w:rPr>
        <w:t>年</w:t>
      </w:r>
      <w:r>
        <w:rPr>
          <w:rFonts w:hint="eastAsia" w:ascii="黑体" w:hAnsi="黑体"/>
          <w:b/>
          <w:sz w:val="30"/>
          <w:szCs w:val="30"/>
          <w:lang w:val="en-US" w:eastAsia="zh-CN"/>
        </w:rPr>
        <w:t>9</w:t>
      </w:r>
      <w:r>
        <w:rPr>
          <w:rFonts w:hint="eastAsia" w:ascii="黑体" w:hAnsi="黑体"/>
          <w:b/>
          <w:sz w:val="30"/>
          <w:szCs w:val="30"/>
        </w:rPr>
        <w:t>月</w:t>
      </w:r>
    </w:p>
    <w:p w14:paraId="3FF23A34">
      <w:pPr>
        <w:rPr>
          <w:rFonts w:ascii="宋体"/>
        </w:rPr>
        <w:sectPr>
          <w:footerReference r:id="rId5" w:type="first"/>
          <w:footerReference r:id="rId3" w:type="default"/>
          <w:footerReference r:id="rId4" w:type="even"/>
          <w:pgSz w:w="11906" w:h="16838"/>
          <w:pgMar w:top="1134" w:right="1531" w:bottom="1134" w:left="1587" w:header="720" w:footer="300" w:gutter="0"/>
          <w:pgNumType w:start="1"/>
          <w:cols w:space="720" w:num="1"/>
          <w:titlePg/>
          <w:docGrid w:type="lines" w:linePitch="312" w:charSpace="0"/>
        </w:sectPr>
      </w:pPr>
    </w:p>
    <w:p w14:paraId="5D5F9796">
      <w:pPr>
        <w:pStyle w:val="25"/>
        <w:jc w:val="center"/>
        <w:rPr>
          <w:rFonts w:ascii="宋体" w:hAnsi="宋体"/>
          <w:color w:val="auto"/>
          <w:sz w:val="44"/>
          <w:szCs w:val="44"/>
        </w:rPr>
      </w:pPr>
      <w:r>
        <w:rPr>
          <w:rFonts w:ascii="宋体" w:hAnsi="宋体"/>
          <w:color w:val="auto"/>
          <w:sz w:val="44"/>
          <w:szCs w:val="44"/>
          <w:lang w:val="zh-CN"/>
        </w:rPr>
        <w:t>目录</w:t>
      </w:r>
    </w:p>
    <w:p w14:paraId="0973A607">
      <w:pPr>
        <w:pStyle w:val="13"/>
        <w:tabs>
          <w:tab w:val="right" w:leader="dot" w:pos="8647"/>
        </w:tabs>
        <w:rPr>
          <w:rFonts w:ascii="宋体" w:hAnsi="宋体"/>
          <w:sz w:val="28"/>
          <w:szCs w:val="28"/>
        </w:rPr>
      </w:pPr>
      <w:r>
        <w:rPr>
          <w:rFonts w:ascii="宋体" w:hAnsi="宋体"/>
          <w:sz w:val="28"/>
          <w:szCs w:val="28"/>
        </w:rPr>
        <w:fldChar w:fldCharType="begin"/>
      </w:r>
      <w:r>
        <w:rPr>
          <w:rFonts w:ascii="宋体" w:hAnsi="宋体"/>
          <w:sz w:val="28"/>
          <w:szCs w:val="28"/>
        </w:rPr>
        <w:instrText xml:space="preserve"> TOC \o "1-3" \h \z \u </w:instrText>
      </w:r>
      <w:r>
        <w:rPr>
          <w:rFonts w:ascii="宋体" w:hAnsi="宋体"/>
          <w:sz w:val="28"/>
          <w:szCs w:val="28"/>
        </w:rPr>
        <w:fldChar w:fldCharType="separate"/>
      </w:r>
      <w:r>
        <w:fldChar w:fldCharType="begin"/>
      </w:r>
      <w:r>
        <w:instrText xml:space="preserve"> HYPERLINK \l "_Toc119076878" </w:instrText>
      </w:r>
      <w:r>
        <w:fldChar w:fldCharType="separate"/>
      </w:r>
      <w:r>
        <w:rPr>
          <w:rStyle w:val="24"/>
          <w:rFonts w:hint="eastAsia" w:ascii="宋体" w:hAnsi="宋体"/>
          <w:color w:val="auto"/>
          <w:sz w:val="28"/>
          <w:szCs w:val="28"/>
        </w:rPr>
        <w:t>第一章</w:t>
      </w:r>
      <w:r>
        <w:rPr>
          <w:rStyle w:val="24"/>
          <w:rFonts w:ascii="宋体" w:hAnsi="宋体"/>
          <w:color w:val="auto"/>
          <w:sz w:val="28"/>
          <w:szCs w:val="28"/>
        </w:rPr>
        <w:t xml:space="preserve">  </w:t>
      </w:r>
      <w:r>
        <w:rPr>
          <w:rStyle w:val="24"/>
          <w:rFonts w:hint="eastAsia" w:ascii="宋体" w:hAnsi="宋体"/>
          <w:color w:val="auto"/>
          <w:sz w:val="28"/>
          <w:szCs w:val="28"/>
        </w:rPr>
        <w:t>竞争性谈判采购公告</w:t>
      </w:r>
      <w:r>
        <w:rPr>
          <w:rFonts w:ascii="宋体" w:hAnsi="宋体"/>
          <w:sz w:val="28"/>
          <w:szCs w:val="28"/>
        </w:rPr>
        <w:tab/>
      </w:r>
      <w:r>
        <w:rPr>
          <w:rFonts w:ascii="宋体" w:hAnsi="宋体"/>
          <w:sz w:val="28"/>
          <w:szCs w:val="28"/>
        </w:rPr>
        <w:fldChar w:fldCharType="begin"/>
      </w:r>
      <w:r>
        <w:rPr>
          <w:rFonts w:ascii="宋体" w:hAnsi="宋体"/>
          <w:sz w:val="28"/>
          <w:szCs w:val="28"/>
        </w:rPr>
        <w:instrText xml:space="preserve"> PAGEREF _Toc119076878 \h </w:instrText>
      </w:r>
      <w:r>
        <w:rPr>
          <w:rFonts w:ascii="宋体" w:hAnsi="宋体"/>
          <w:sz w:val="28"/>
          <w:szCs w:val="28"/>
        </w:rPr>
        <w:fldChar w:fldCharType="separate"/>
      </w:r>
      <w:r>
        <w:rPr>
          <w:rFonts w:ascii="宋体" w:hAnsi="宋体"/>
          <w:sz w:val="28"/>
          <w:szCs w:val="28"/>
        </w:rPr>
        <w:t>3</w:t>
      </w:r>
      <w:r>
        <w:rPr>
          <w:rFonts w:ascii="宋体" w:hAnsi="宋体"/>
          <w:sz w:val="28"/>
          <w:szCs w:val="28"/>
        </w:rPr>
        <w:fldChar w:fldCharType="end"/>
      </w:r>
      <w:r>
        <w:rPr>
          <w:rFonts w:ascii="宋体" w:hAnsi="宋体"/>
          <w:sz w:val="28"/>
          <w:szCs w:val="28"/>
        </w:rPr>
        <w:fldChar w:fldCharType="end"/>
      </w:r>
    </w:p>
    <w:p w14:paraId="7043626F">
      <w:pPr>
        <w:pStyle w:val="13"/>
        <w:tabs>
          <w:tab w:val="right" w:leader="dot" w:pos="8647"/>
        </w:tabs>
        <w:rPr>
          <w:rFonts w:ascii="宋体" w:hAnsi="宋体"/>
          <w:sz w:val="28"/>
          <w:szCs w:val="28"/>
        </w:rPr>
      </w:pPr>
      <w:r>
        <w:fldChar w:fldCharType="begin"/>
      </w:r>
      <w:r>
        <w:instrText xml:space="preserve"> HYPERLINK \l "_Toc119076879" </w:instrText>
      </w:r>
      <w:r>
        <w:fldChar w:fldCharType="separate"/>
      </w:r>
      <w:r>
        <w:rPr>
          <w:rStyle w:val="24"/>
          <w:rFonts w:hint="eastAsia" w:ascii="宋体" w:hAnsi="宋体"/>
          <w:color w:val="auto"/>
          <w:sz w:val="28"/>
          <w:szCs w:val="28"/>
        </w:rPr>
        <w:t>第二章</w:t>
      </w:r>
      <w:r>
        <w:rPr>
          <w:rStyle w:val="24"/>
          <w:rFonts w:ascii="宋体" w:hAnsi="宋体"/>
          <w:color w:val="auto"/>
          <w:sz w:val="28"/>
          <w:szCs w:val="28"/>
        </w:rPr>
        <w:t xml:space="preserve">  </w:t>
      </w:r>
      <w:r>
        <w:rPr>
          <w:rStyle w:val="24"/>
          <w:rFonts w:hint="eastAsia" w:ascii="宋体" w:hAnsi="宋体"/>
          <w:color w:val="auto"/>
          <w:sz w:val="28"/>
          <w:szCs w:val="28"/>
        </w:rPr>
        <w:t>供应商须知及前附表</w:t>
      </w:r>
      <w:r>
        <w:rPr>
          <w:rFonts w:ascii="宋体" w:hAnsi="宋体"/>
          <w:sz w:val="28"/>
          <w:szCs w:val="28"/>
        </w:rPr>
        <w:tab/>
      </w:r>
      <w:r>
        <w:rPr>
          <w:rFonts w:hint="eastAsia" w:ascii="宋体" w:hAnsi="宋体"/>
          <w:sz w:val="28"/>
          <w:szCs w:val="28"/>
        </w:rPr>
        <w:t>6</w:t>
      </w:r>
      <w:r>
        <w:rPr>
          <w:rFonts w:hint="eastAsia" w:ascii="宋体" w:hAnsi="宋体"/>
          <w:sz w:val="28"/>
          <w:szCs w:val="28"/>
        </w:rPr>
        <w:fldChar w:fldCharType="end"/>
      </w:r>
    </w:p>
    <w:p w14:paraId="6C77E430">
      <w:pPr>
        <w:pStyle w:val="15"/>
        <w:tabs>
          <w:tab w:val="right" w:leader="dot" w:pos="8647"/>
        </w:tabs>
        <w:rPr>
          <w:rFonts w:ascii="宋体" w:hAnsi="宋体"/>
          <w:sz w:val="28"/>
          <w:szCs w:val="28"/>
        </w:rPr>
      </w:pPr>
      <w:r>
        <w:fldChar w:fldCharType="begin"/>
      </w:r>
      <w:r>
        <w:instrText xml:space="preserve"> HYPERLINK \l "_Toc119076880" </w:instrText>
      </w:r>
      <w:r>
        <w:fldChar w:fldCharType="separate"/>
      </w:r>
      <w:r>
        <w:rPr>
          <w:rStyle w:val="24"/>
          <w:rFonts w:hint="eastAsia" w:ascii="宋体" w:hAnsi="宋体"/>
          <w:color w:val="auto"/>
          <w:sz w:val="28"/>
          <w:szCs w:val="28"/>
        </w:rPr>
        <w:t>供应商须知前附表</w:t>
      </w:r>
      <w:r>
        <w:rPr>
          <w:rFonts w:ascii="宋体" w:hAnsi="宋体"/>
          <w:sz w:val="28"/>
          <w:szCs w:val="28"/>
        </w:rPr>
        <w:tab/>
      </w:r>
      <w:r>
        <w:rPr>
          <w:rFonts w:hint="eastAsia" w:ascii="宋体" w:hAnsi="宋体"/>
          <w:sz w:val="28"/>
          <w:szCs w:val="28"/>
        </w:rPr>
        <w:t>6</w:t>
      </w:r>
      <w:r>
        <w:rPr>
          <w:rFonts w:hint="eastAsia" w:ascii="宋体" w:hAnsi="宋体"/>
          <w:sz w:val="28"/>
          <w:szCs w:val="28"/>
        </w:rPr>
        <w:fldChar w:fldCharType="end"/>
      </w:r>
    </w:p>
    <w:p w14:paraId="78EF35BD">
      <w:pPr>
        <w:pStyle w:val="15"/>
        <w:tabs>
          <w:tab w:val="right" w:leader="dot" w:pos="8647"/>
        </w:tabs>
        <w:rPr>
          <w:rFonts w:ascii="宋体" w:hAnsi="宋体"/>
          <w:sz w:val="28"/>
          <w:szCs w:val="28"/>
        </w:rPr>
      </w:pPr>
      <w:r>
        <w:fldChar w:fldCharType="begin"/>
      </w:r>
      <w:r>
        <w:instrText xml:space="preserve"> HYPERLINK \l "_Toc119076881" </w:instrText>
      </w:r>
      <w:r>
        <w:fldChar w:fldCharType="separate"/>
      </w:r>
      <w:r>
        <w:rPr>
          <w:rStyle w:val="24"/>
          <w:rFonts w:hint="eastAsia" w:ascii="宋体" w:hAnsi="宋体"/>
          <w:color w:val="auto"/>
          <w:sz w:val="28"/>
          <w:szCs w:val="28"/>
        </w:rPr>
        <w:t>供应商须知正文</w:t>
      </w:r>
      <w:r>
        <w:rPr>
          <w:rFonts w:ascii="宋体" w:hAnsi="宋体"/>
          <w:sz w:val="28"/>
          <w:szCs w:val="28"/>
        </w:rPr>
        <w:tab/>
      </w:r>
      <w:r>
        <w:rPr>
          <w:rFonts w:hint="eastAsia" w:ascii="宋体" w:hAnsi="宋体"/>
          <w:sz w:val="28"/>
          <w:szCs w:val="28"/>
        </w:rPr>
        <w:t>1</w:t>
      </w:r>
      <w:r>
        <w:rPr>
          <w:rFonts w:hint="eastAsia" w:ascii="宋体" w:hAnsi="宋体"/>
          <w:sz w:val="28"/>
          <w:szCs w:val="28"/>
        </w:rPr>
        <w:fldChar w:fldCharType="end"/>
      </w:r>
      <w:r>
        <w:rPr>
          <w:rFonts w:hint="eastAsia" w:ascii="宋体" w:hAnsi="宋体"/>
          <w:sz w:val="28"/>
          <w:szCs w:val="28"/>
        </w:rPr>
        <w:t>0</w:t>
      </w:r>
    </w:p>
    <w:p w14:paraId="2520ECFE">
      <w:pPr>
        <w:pStyle w:val="13"/>
        <w:tabs>
          <w:tab w:val="right" w:leader="dot" w:pos="8647"/>
        </w:tabs>
        <w:rPr>
          <w:rFonts w:ascii="宋体" w:hAnsi="宋体"/>
          <w:sz w:val="28"/>
          <w:szCs w:val="28"/>
        </w:rPr>
      </w:pPr>
      <w:r>
        <w:fldChar w:fldCharType="begin"/>
      </w:r>
      <w:r>
        <w:instrText xml:space="preserve"> HYPERLINK \l "_Toc119076882" </w:instrText>
      </w:r>
      <w:r>
        <w:fldChar w:fldCharType="separate"/>
      </w:r>
      <w:r>
        <w:rPr>
          <w:rStyle w:val="24"/>
          <w:rFonts w:hint="eastAsia" w:ascii="宋体" w:hAnsi="宋体"/>
          <w:color w:val="auto"/>
          <w:sz w:val="28"/>
          <w:szCs w:val="28"/>
        </w:rPr>
        <w:t>第三章</w:t>
      </w:r>
      <w:r>
        <w:rPr>
          <w:rStyle w:val="24"/>
          <w:rFonts w:ascii="宋体" w:hAnsi="宋体"/>
          <w:color w:val="auto"/>
          <w:sz w:val="28"/>
          <w:szCs w:val="28"/>
        </w:rPr>
        <w:t xml:space="preserve">  </w:t>
      </w:r>
      <w:r>
        <w:rPr>
          <w:rStyle w:val="24"/>
          <w:rFonts w:hint="eastAsia" w:ascii="宋体" w:hAnsi="宋体"/>
          <w:color w:val="auto"/>
          <w:sz w:val="28"/>
          <w:szCs w:val="28"/>
        </w:rPr>
        <w:t>采购需求</w:t>
      </w:r>
      <w:r>
        <w:rPr>
          <w:rFonts w:ascii="宋体" w:hAnsi="宋体"/>
          <w:sz w:val="28"/>
          <w:szCs w:val="28"/>
        </w:rPr>
        <w:tab/>
      </w:r>
      <w:r>
        <w:rPr>
          <w:rFonts w:ascii="宋体" w:hAnsi="宋体"/>
          <w:sz w:val="28"/>
          <w:szCs w:val="28"/>
        </w:rPr>
        <w:fldChar w:fldCharType="begin"/>
      </w:r>
      <w:r>
        <w:rPr>
          <w:rFonts w:ascii="宋体" w:hAnsi="宋体"/>
          <w:sz w:val="28"/>
          <w:szCs w:val="28"/>
        </w:rPr>
        <w:instrText xml:space="preserve"> PAGEREF _Toc119076882 \h </w:instrText>
      </w:r>
      <w:r>
        <w:rPr>
          <w:rFonts w:ascii="宋体" w:hAnsi="宋体"/>
          <w:sz w:val="28"/>
          <w:szCs w:val="28"/>
        </w:rPr>
        <w:fldChar w:fldCharType="separate"/>
      </w:r>
      <w:r>
        <w:rPr>
          <w:rFonts w:ascii="宋体" w:hAnsi="宋体"/>
          <w:sz w:val="28"/>
          <w:szCs w:val="28"/>
        </w:rPr>
        <w:t>22</w:t>
      </w:r>
      <w:r>
        <w:rPr>
          <w:rFonts w:ascii="宋体" w:hAnsi="宋体"/>
          <w:sz w:val="28"/>
          <w:szCs w:val="28"/>
        </w:rPr>
        <w:fldChar w:fldCharType="end"/>
      </w:r>
      <w:r>
        <w:rPr>
          <w:rFonts w:ascii="宋体" w:hAnsi="宋体"/>
          <w:sz w:val="28"/>
          <w:szCs w:val="28"/>
        </w:rPr>
        <w:fldChar w:fldCharType="end"/>
      </w:r>
    </w:p>
    <w:p w14:paraId="4C858E98">
      <w:pPr>
        <w:pStyle w:val="13"/>
        <w:tabs>
          <w:tab w:val="right" w:leader="dot" w:pos="8647"/>
        </w:tabs>
        <w:rPr>
          <w:rStyle w:val="24"/>
          <w:rFonts w:hint="default" w:eastAsia="宋体"/>
          <w:color w:val="auto"/>
          <w:lang w:val="en-US" w:eastAsia="zh-CN"/>
        </w:rPr>
      </w:pPr>
      <w:r>
        <w:fldChar w:fldCharType="begin"/>
      </w:r>
      <w:r>
        <w:instrText xml:space="preserve"> HYPERLINK \l "_Toc119076883" </w:instrText>
      </w:r>
      <w:r>
        <w:fldChar w:fldCharType="separate"/>
      </w:r>
      <w:r>
        <w:rPr>
          <w:rStyle w:val="24"/>
          <w:rFonts w:hint="eastAsia" w:ascii="宋体" w:hAnsi="宋体"/>
          <w:color w:val="auto"/>
          <w:sz w:val="28"/>
          <w:szCs w:val="28"/>
        </w:rPr>
        <w:t>第四章</w:t>
      </w:r>
      <w:r>
        <w:rPr>
          <w:rStyle w:val="24"/>
          <w:rFonts w:ascii="宋体" w:hAnsi="宋体"/>
          <w:color w:val="auto"/>
          <w:sz w:val="28"/>
          <w:szCs w:val="28"/>
        </w:rPr>
        <w:t xml:space="preserve">  </w:t>
      </w:r>
      <w:r>
        <w:rPr>
          <w:rStyle w:val="24"/>
          <w:rFonts w:hint="eastAsia" w:ascii="宋体" w:hAnsi="宋体"/>
          <w:color w:val="auto"/>
          <w:sz w:val="28"/>
          <w:szCs w:val="28"/>
        </w:rPr>
        <w:t>评审程序和评定成交的标准</w:t>
      </w:r>
      <w:r>
        <w:rPr>
          <w:rFonts w:ascii="宋体" w:hAnsi="宋体"/>
          <w:sz w:val="28"/>
          <w:szCs w:val="28"/>
        </w:rPr>
        <w:tab/>
      </w:r>
      <w:r>
        <w:rPr>
          <w:rFonts w:ascii="宋体" w:hAnsi="宋体"/>
          <w:sz w:val="28"/>
          <w:szCs w:val="28"/>
        </w:rPr>
        <w:fldChar w:fldCharType="end"/>
      </w:r>
      <w:r>
        <w:rPr>
          <w:rStyle w:val="24"/>
          <w:rFonts w:hint="eastAsia" w:ascii="宋体" w:hAnsi="宋体"/>
          <w:color w:val="auto"/>
          <w:sz w:val="28"/>
          <w:szCs w:val="28"/>
          <w:lang w:val="en-US" w:eastAsia="zh-CN"/>
        </w:rPr>
        <w:t>42</w:t>
      </w:r>
    </w:p>
    <w:p w14:paraId="5D03655B">
      <w:pPr>
        <w:pStyle w:val="13"/>
        <w:tabs>
          <w:tab w:val="right" w:leader="dot" w:pos="8647"/>
        </w:tabs>
        <w:rPr>
          <w:rFonts w:hint="eastAsia" w:ascii="宋体" w:hAnsi="宋体" w:eastAsia="宋体"/>
          <w:sz w:val="28"/>
          <w:szCs w:val="28"/>
          <w:lang w:eastAsia="zh-CN"/>
        </w:rPr>
      </w:pPr>
      <w:r>
        <w:fldChar w:fldCharType="begin"/>
      </w:r>
      <w:r>
        <w:instrText xml:space="preserve"> HYPERLINK \l "_Toc119076884" </w:instrText>
      </w:r>
      <w:r>
        <w:fldChar w:fldCharType="separate"/>
      </w:r>
      <w:r>
        <w:rPr>
          <w:rStyle w:val="24"/>
          <w:rFonts w:hint="eastAsia" w:ascii="宋体" w:hAnsi="宋体"/>
          <w:color w:val="auto"/>
          <w:sz w:val="28"/>
          <w:szCs w:val="28"/>
        </w:rPr>
        <w:t>第五章</w:t>
      </w:r>
      <w:r>
        <w:rPr>
          <w:rStyle w:val="24"/>
          <w:rFonts w:ascii="宋体" w:hAnsi="宋体"/>
          <w:color w:val="auto"/>
          <w:sz w:val="28"/>
          <w:szCs w:val="28"/>
        </w:rPr>
        <w:t xml:space="preserve">  </w:t>
      </w:r>
      <w:r>
        <w:rPr>
          <w:rStyle w:val="24"/>
          <w:rFonts w:hint="eastAsia" w:ascii="宋体" w:hAnsi="宋体"/>
          <w:color w:val="auto"/>
          <w:sz w:val="28"/>
          <w:szCs w:val="28"/>
        </w:rPr>
        <w:t>响应文件格式</w:t>
      </w:r>
      <w:r>
        <w:rPr>
          <w:rFonts w:ascii="宋体" w:hAnsi="宋体"/>
          <w:sz w:val="28"/>
          <w:szCs w:val="28"/>
        </w:rPr>
        <w:tab/>
      </w:r>
      <w:r>
        <w:rPr>
          <w:rFonts w:ascii="宋体" w:hAnsi="宋体"/>
          <w:sz w:val="28"/>
          <w:szCs w:val="28"/>
        </w:rPr>
        <w:fldChar w:fldCharType="end"/>
      </w:r>
      <w:r>
        <w:rPr>
          <w:rFonts w:ascii="宋体" w:hAnsi="宋体"/>
          <w:sz w:val="28"/>
          <w:szCs w:val="28"/>
        </w:rPr>
        <w:t>4</w:t>
      </w:r>
      <w:r>
        <w:rPr>
          <w:rFonts w:hint="eastAsia" w:ascii="宋体" w:hAnsi="宋体"/>
          <w:sz w:val="28"/>
          <w:szCs w:val="28"/>
          <w:lang w:val="en-US" w:eastAsia="zh-CN"/>
        </w:rPr>
        <w:t>8</w:t>
      </w:r>
    </w:p>
    <w:p w14:paraId="59DEF691">
      <w:pPr>
        <w:pStyle w:val="15"/>
        <w:tabs>
          <w:tab w:val="right" w:leader="dot" w:pos="8647"/>
        </w:tabs>
        <w:rPr>
          <w:rFonts w:hint="eastAsia" w:ascii="宋体" w:hAnsi="宋体" w:eastAsia="宋体"/>
          <w:sz w:val="28"/>
          <w:szCs w:val="28"/>
          <w:lang w:val="en-US" w:eastAsia="zh-CN"/>
        </w:rPr>
      </w:pPr>
      <w:r>
        <w:fldChar w:fldCharType="begin"/>
      </w:r>
      <w:r>
        <w:instrText xml:space="preserve"> HYPERLINK \l "_Toc119076886" </w:instrText>
      </w:r>
      <w:r>
        <w:fldChar w:fldCharType="separate"/>
      </w:r>
      <w:r>
        <w:rPr>
          <w:rStyle w:val="24"/>
          <w:rFonts w:hint="eastAsia" w:ascii="宋体" w:hAnsi="宋体"/>
          <w:color w:val="auto"/>
          <w:sz w:val="28"/>
          <w:szCs w:val="28"/>
        </w:rPr>
        <w:t>资格证明文件</w:t>
      </w:r>
      <w:r>
        <w:rPr>
          <w:rFonts w:ascii="宋体" w:hAnsi="宋体"/>
          <w:sz w:val="28"/>
          <w:szCs w:val="28"/>
        </w:rPr>
        <w:tab/>
      </w:r>
      <w:r>
        <w:rPr>
          <w:rFonts w:hint="eastAsia" w:ascii="宋体" w:hAnsi="宋体"/>
          <w:sz w:val="28"/>
          <w:szCs w:val="28"/>
          <w:lang w:val="en-US" w:eastAsia="zh-CN"/>
        </w:rPr>
        <w:t>4</w:t>
      </w:r>
      <w:r>
        <w:rPr>
          <w:rFonts w:ascii="宋体" w:hAnsi="宋体"/>
          <w:sz w:val="28"/>
          <w:szCs w:val="28"/>
        </w:rPr>
        <w:fldChar w:fldCharType="end"/>
      </w:r>
      <w:r>
        <w:rPr>
          <w:rFonts w:hint="eastAsia" w:ascii="宋体" w:hAnsi="宋体"/>
          <w:sz w:val="28"/>
          <w:szCs w:val="28"/>
          <w:lang w:val="en-US" w:eastAsia="zh-CN"/>
        </w:rPr>
        <w:t>8</w:t>
      </w:r>
    </w:p>
    <w:p w14:paraId="6D8252A7">
      <w:pPr>
        <w:pStyle w:val="15"/>
        <w:tabs>
          <w:tab w:val="right" w:leader="dot" w:pos="8647"/>
        </w:tabs>
        <w:rPr>
          <w:rFonts w:ascii="宋体" w:hAnsi="宋体"/>
          <w:sz w:val="28"/>
          <w:szCs w:val="28"/>
        </w:rPr>
      </w:pPr>
      <w:r>
        <w:fldChar w:fldCharType="begin"/>
      </w:r>
      <w:r>
        <w:instrText xml:space="preserve"> HYPERLINK \l "_Toc119076887" </w:instrText>
      </w:r>
      <w:r>
        <w:fldChar w:fldCharType="separate"/>
      </w:r>
      <w:r>
        <w:rPr>
          <w:rStyle w:val="24"/>
          <w:rFonts w:hint="eastAsia" w:ascii="宋体" w:hAnsi="宋体"/>
          <w:color w:val="auto"/>
          <w:sz w:val="28"/>
          <w:szCs w:val="28"/>
        </w:rPr>
        <w:t>报价商务技术文件</w:t>
      </w:r>
      <w:r>
        <w:rPr>
          <w:rFonts w:ascii="宋体" w:hAnsi="宋体"/>
          <w:sz w:val="28"/>
          <w:szCs w:val="28"/>
        </w:rPr>
        <w:tab/>
      </w:r>
      <w:r>
        <w:rPr>
          <w:rFonts w:hint="eastAsia" w:ascii="宋体" w:hAnsi="宋体"/>
          <w:sz w:val="28"/>
          <w:szCs w:val="28"/>
          <w:lang w:val="en-US" w:eastAsia="zh-CN"/>
        </w:rPr>
        <w:t>5</w:t>
      </w:r>
      <w:r>
        <w:rPr>
          <w:rFonts w:hint="eastAsia" w:ascii="宋体" w:hAnsi="宋体"/>
          <w:sz w:val="28"/>
          <w:szCs w:val="28"/>
        </w:rPr>
        <w:fldChar w:fldCharType="end"/>
      </w:r>
      <w:r>
        <w:rPr>
          <w:rFonts w:hint="eastAsia" w:ascii="宋体" w:hAnsi="宋体"/>
          <w:sz w:val="28"/>
          <w:szCs w:val="28"/>
          <w:lang w:val="en-US" w:eastAsia="zh-CN"/>
        </w:rPr>
        <w:t>6</w:t>
      </w:r>
    </w:p>
    <w:p w14:paraId="6A447D5D">
      <w:pPr>
        <w:pStyle w:val="13"/>
        <w:tabs>
          <w:tab w:val="right" w:leader="dot" w:pos="8647"/>
        </w:tabs>
        <w:rPr>
          <w:rFonts w:ascii="宋体" w:hAnsi="宋体"/>
          <w:sz w:val="28"/>
          <w:szCs w:val="28"/>
        </w:rPr>
      </w:pPr>
      <w:r>
        <w:fldChar w:fldCharType="begin"/>
      </w:r>
      <w:r>
        <w:instrText xml:space="preserve"> HYPERLINK \l "_Toc119076888" </w:instrText>
      </w:r>
      <w:r>
        <w:fldChar w:fldCharType="separate"/>
      </w:r>
      <w:r>
        <w:rPr>
          <w:rStyle w:val="24"/>
          <w:rFonts w:hint="eastAsia" w:ascii="宋体" w:hAnsi="宋体"/>
          <w:color w:val="auto"/>
          <w:sz w:val="28"/>
          <w:szCs w:val="28"/>
        </w:rPr>
        <w:t>第六章</w:t>
      </w:r>
      <w:r>
        <w:rPr>
          <w:rStyle w:val="24"/>
          <w:rFonts w:ascii="宋体" w:hAnsi="宋体"/>
          <w:color w:val="auto"/>
          <w:sz w:val="28"/>
          <w:szCs w:val="28"/>
        </w:rPr>
        <w:t xml:space="preserve">  </w:t>
      </w:r>
      <w:r>
        <w:rPr>
          <w:rStyle w:val="24"/>
          <w:rFonts w:hint="eastAsia" w:ascii="宋体" w:hAnsi="宋体"/>
          <w:color w:val="auto"/>
          <w:sz w:val="28"/>
          <w:szCs w:val="28"/>
        </w:rPr>
        <w:t>合同主要条款</w:t>
      </w:r>
      <w:r>
        <w:rPr>
          <w:rFonts w:ascii="宋体" w:hAnsi="宋体"/>
          <w:sz w:val="28"/>
          <w:szCs w:val="28"/>
        </w:rPr>
        <w:tab/>
      </w:r>
      <w:r>
        <w:rPr>
          <w:rFonts w:ascii="宋体" w:hAnsi="宋体"/>
          <w:sz w:val="28"/>
          <w:szCs w:val="28"/>
        </w:rPr>
        <w:t>6</w:t>
      </w:r>
      <w:r>
        <w:rPr>
          <w:rFonts w:hint="eastAsia" w:ascii="宋体" w:hAnsi="宋体"/>
          <w:sz w:val="28"/>
          <w:szCs w:val="28"/>
          <w:lang w:val="en-US" w:eastAsia="zh-CN"/>
        </w:rPr>
        <w:t>8</w:t>
      </w:r>
      <w:r>
        <w:rPr>
          <w:rFonts w:ascii="宋体" w:hAnsi="宋体"/>
          <w:sz w:val="28"/>
          <w:szCs w:val="28"/>
        </w:rPr>
        <w:fldChar w:fldCharType="end"/>
      </w:r>
    </w:p>
    <w:p w14:paraId="16328BD9">
      <w:pPr>
        <w:spacing w:line="360" w:lineRule="auto"/>
      </w:pPr>
      <w:r>
        <w:rPr>
          <w:rFonts w:ascii="宋体" w:hAnsi="宋体"/>
          <w:sz w:val="28"/>
          <w:szCs w:val="28"/>
        </w:rPr>
        <w:fldChar w:fldCharType="end"/>
      </w:r>
    </w:p>
    <w:p w14:paraId="3174E248">
      <w:pPr>
        <w:pStyle w:val="3"/>
        <w:spacing w:line="460" w:lineRule="exact"/>
        <w:rPr>
          <w:rFonts w:ascii="宋体" w:hAnsi="宋体"/>
          <w:bCs w:val="0"/>
          <w:sz w:val="36"/>
          <w:szCs w:val="36"/>
        </w:rPr>
      </w:pPr>
      <w:r>
        <w:rPr>
          <w:rStyle w:val="22"/>
          <w:rFonts w:cs="Arial"/>
          <w:b w:val="0"/>
          <w:bCs w:val="0"/>
          <w:sz w:val="30"/>
          <w:szCs w:val="30"/>
        </w:rPr>
        <w:br w:type="page"/>
      </w:r>
      <w:bookmarkStart w:id="0" w:name="_Toc119076878"/>
      <w:r>
        <w:rPr>
          <w:rFonts w:hint="eastAsia" w:ascii="宋体" w:hAnsi="宋体"/>
          <w:bCs w:val="0"/>
          <w:sz w:val="36"/>
          <w:szCs w:val="36"/>
        </w:rPr>
        <w:t>第一章  竞争性谈判采购公告</w:t>
      </w:r>
      <w:bookmarkEnd w:id="0"/>
    </w:p>
    <w:p w14:paraId="1D149243">
      <w:pPr>
        <w:spacing w:line="460" w:lineRule="exact"/>
        <w:ind w:right="22"/>
        <w:jc w:val="center"/>
        <w:rPr>
          <w:rFonts w:ascii="宋体" w:hAnsi="宋体"/>
          <w:b/>
          <w:bCs/>
          <w:sz w:val="28"/>
          <w:szCs w:val="28"/>
          <w:highlight w:val="none"/>
        </w:rPr>
      </w:pPr>
      <w:r>
        <w:rPr>
          <w:rFonts w:hint="eastAsia" w:ascii="宋体" w:hAnsi="宋体"/>
          <w:b/>
          <w:bCs/>
          <w:sz w:val="28"/>
          <w:szCs w:val="28"/>
          <w:highlight w:val="none"/>
          <w:lang w:eastAsia="zh-CN"/>
        </w:rPr>
        <w:t>中禹鑫工程项目管理有限公司</w:t>
      </w:r>
      <w:r>
        <w:rPr>
          <w:rFonts w:hint="eastAsia" w:ascii="宋体" w:hAnsi="宋体"/>
          <w:b/>
          <w:bCs/>
          <w:sz w:val="28"/>
          <w:szCs w:val="28"/>
          <w:highlight w:val="none"/>
        </w:rPr>
        <w:t>关于贵港市市场监管重点领域工业产品质量监管检验检测设备更新专项建设项目（</w:t>
      </w:r>
      <w:r>
        <w:rPr>
          <w:rFonts w:hint="eastAsia" w:ascii="宋体" w:hAnsi="宋体"/>
          <w:b/>
          <w:bCs/>
          <w:sz w:val="28"/>
          <w:szCs w:val="28"/>
          <w:highlight w:val="none"/>
          <w:lang w:eastAsia="zh-CN"/>
        </w:rPr>
        <w:t>GGZC2026-J1-990320-ZYXG</w:t>
      </w:r>
      <w:r>
        <w:rPr>
          <w:rFonts w:ascii="宋体" w:hAnsi="宋体"/>
          <w:b/>
          <w:bCs/>
          <w:sz w:val="28"/>
          <w:szCs w:val="28"/>
          <w:highlight w:val="none"/>
        </w:rPr>
        <w:t>)</w:t>
      </w:r>
    </w:p>
    <w:p w14:paraId="76DB29BB">
      <w:pPr>
        <w:spacing w:line="460" w:lineRule="exact"/>
        <w:ind w:right="22"/>
        <w:jc w:val="center"/>
        <w:rPr>
          <w:rFonts w:ascii="宋体" w:hAnsi="宋体"/>
          <w:b/>
          <w:bCs/>
          <w:sz w:val="28"/>
          <w:szCs w:val="28"/>
          <w:highlight w:val="none"/>
        </w:rPr>
      </w:pPr>
      <w:r>
        <w:rPr>
          <w:rFonts w:hint="eastAsia" w:ascii="宋体" w:hAnsi="宋体"/>
          <w:b/>
          <w:bCs/>
          <w:sz w:val="28"/>
          <w:szCs w:val="28"/>
          <w:highlight w:val="none"/>
        </w:rPr>
        <w:t>竞争性谈判采购公告</w:t>
      </w:r>
    </w:p>
    <w:p w14:paraId="7B3F2D9D">
      <w:pPr>
        <w:pBdr>
          <w:top w:val="single" w:color="auto" w:sz="4" w:space="1"/>
          <w:left w:val="single" w:color="auto" w:sz="4" w:space="4"/>
          <w:bottom w:val="single" w:color="auto" w:sz="4" w:space="7"/>
          <w:right w:val="single" w:color="auto" w:sz="4" w:space="4"/>
        </w:pBdr>
        <w:ind w:firstLine="420" w:firstLineChars="200"/>
        <w:rPr>
          <w:rFonts w:ascii="宋体" w:hAnsi="宋体" w:cs="宋体"/>
          <w:color w:val="auto"/>
          <w:szCs w:val="21"/>
          <w:highlight w:val="none"/>
        </w:rPr>
      </w:pPr>
      <w:r>
        <w:rPr>
          <w:rFonts w:hint="eastAsia" w:ascii="宋体" w:hAnsi="宋体" w:cs="宋体"/>
          <w:color w:val="auto"/>
          <w:szCs w:val="21"/>
          <w:highlight w:val="none"/>
        </w:rPr>
        <w:t>项目概况</w:t>
      </w:r>
    </w:p>
    <w:p w14:paraId="513B8142">
      <w:pPr>
        <w:pBdr>
          <w:top w:val="single" w:color="auto" w:sz="4" w:space="1"/>
          <w:left w:val="single" w:color="auto" w:sz="4" w:space="4"/>
          <w:bottom w:val="single" w:color="auto" w:sz="4" w:space="7"/>
          <w:right w:val="single" w:color="auto" w:sz="4" w:space="4"/>
        </w:pBdr>
        <w:ind w:firstLine="422" w:firstLineChars="200"/>
        <w:rPr>
          <w:rFonts w:ascii="宋体" w:hAnsi="宋体" w:cs="宋体"/>
          <w:color w:val="auto"/>
          <w:szCs w:val="21"/>
          <w:highlight w:val="none"/>
        </w:rPr>
      </w:pPr>
      <w:r>
        <w:rPr>
          <w:rFonts w:hint="eastAsia" w:ascii="宋体" w:hAnsi="宋体" w:cs="宋体"/>
          <w:b/>
          <w:bCs/>
          <w:color w:val="auto"/>
          <w:szCs w:val="21"/>
          <w:highlight w:val="none"/>
          <w:u w:val="single"/>
          <w:lang w:eastAsia="zh-CN"/>
        </w:rPr>
        <w:t>贵港市市场监管重点领域工业产品质量监管检验检测设备更新专项建设项目</w:t>
      </w:r>
      <w:r>
        <w:rPr>
          <w:rFonts w:hint="eastAsia" w:ascii="宋体" w:hAnsi="宋体" w:cs="宋体"/>
          <w:color w:val="auto"/>
          <w:szCs w:val="21"/>
          <w:highlight w:val="none"/>
        </w:rPr>
        <w:t>项目的潜在供应商应在广西政府采购云平台（https://www.gcy.zfcg.gxzf.gov.cn/）</w:t>
      </w:r>
      <w:r>
        <w:rPr>
          <w:rFonts w:ascii="宋体" w:hAnsi="宋体" w:cs="宋体"/>
          <w:color w:val="auto"/>
          <w:szCs w:val="21"/>
          <w:highlight w:val="none"/>
        </w:rPr>
        <w:t>获取</w:t>
      </w:r>
      <w:r>
        <w:rPr>
          <w:rFonts w:hint="eastAsia" w:ascii="宋体" w:hAnsi="宋体" w:cs="宋体"/>
          <w:color w:val="auto"/>
          <w:szCs w:val="21"/>
          <w:highlight w:val="none"/>
        </w:rPr>
        <w:t>采购</w:t>
      </w:r>
      <w:r>
        <w:rPr>
          <w:rFonts w:ascii="宋体" w:hAnsi="宋体" w:cs="宋体"/>
          <w:color w:val="auto"/>
          <w:szCs w:val="21"/>
          <w:highlight w:val="none"/>
        </w:rPr>
        <w:t>文件，并于</w:t>
      </w:r>
      <w:r>
        <w:rPr>
          <w:rFonts w:hint="eastAsia" w:ascii="宋体" w:hAnsi="宋体" w:cs="宋体"/>
          <w:b/>
          <w:bCs/>
          <w:color w:val="auto"/>
          <w:szCs w:val="21"/>
          <w:highlight w:val="none"/>
          <w:lang w:eastAsia="zh-CN"/>
        </w:rPr>
        <w:t>2026年</w:t>
      </w:r>
      <w:r>
        <w:rPr>
          <w:rFonts w:hint="eastAsia" w:ascii="宋体" w:hAnsi="宋体" w:cs="宋体"/>
          <w:b/>
          <w:bCs/>
          <w:color w:val="auto"/>
          <w:szCs w:val="21"/>
          <w:highlight w:val="none"/>
          <w:lang w:val="en-US" w:eastAsia="zh-CN"/>
        </w:rPr>
        <w:t>9</w:t>
      </w:r>
      <w:r>
        <w:rPr>
          <w:rFonts w:hint="eastAsia" w:ascii="宋体" w:hAnsi="宋体" w:cs="宋体"/>
          <w:b/>
          <w:bCs/>
          <w:color w:val="auto"/>
          <w:szCs w:val="21"/>
          <w:highlight w:val="none"/>
          <w:lang w:eastAsia="zh-CN"/>
        </w:rPr>
        <w:t>月</w:t>
      </w:r>
      <w:r>
        <w:rPr>
          <w:rFonts w:hint="eastAsia" w:ascii="宋体" w:hAnsi="宋体" w:cs="宋体"/>
          <w:b/>
          <w:bCs/>
          <w:color w:val="auto"/>
          <w:szCs w:val="21"/>
          <w:highlight w:val="none"/>
          <w:lang w:val="en-US" w:eastAsia="zh-CN"/>
        </w:rPr>
        <w:t>30</w:t>
      </w:r>
      <w:r>
        <w:rPr>
          <w:rFonts w:hint="eastAsia" w:ascii="宋体" w:hAnsi="宋体" w:cs="宋体"/>
          <w:b/>
          <w:bCs/>
          <w:color w:val="auto"/>
          <w:szCs w:val="21"/>
          <w:highlight w:val="none"/>
          <w:lang w:eastAsia="zh-CN"/>
        </w:rPr>
        <w:t>日9:00</w:t>
      </w:r>
      <w:r>
        <w:rPr>
          <w:rFonts w:hint="eastAsia"/>
          <w:b/>
          <w:bCs/>
          <w:color w:val="auto"/>
          <w:szCs w:val="21"/>
          <w:highlight w:val="none"/>
        </w:rPr>
        <w:t>（北京时间）</w:t>
      </w:r>
      <w:r>
        <w:rPr>
          <w:rFonts w:hint="eastAsia"/>
          <w:color w:val="auto"/>
          <w:szCs w:val="21"/>
          <w:highlight w:val="none"/>
        </w:rPr>
        <w:t>前提交响应文件。</w:t>
      </w:r>
    </w:p>
    <w:p w14:paraId="21FCAB54">
      <w:pPr>
        <w:pStyle w:val="11"/>
        <w:rPr>
          <w:highlight w:val="none"/>
        </w:rPr>
      </w:pPr>
    </w:p>
    <w:p w14:paraId="13CB25A5">
      <w:pPr>
        <w:pStyle w:val="16"/>
        <w:spacing w:before="0" w:beforeAutospacing="0" w:after="0" w:afterAutospacing="0" w:line="276" w:lineRule="auto"/>
        <w:rPr>
          <w:rFonts w:ascii="宋体" w:hAnsi="宋体" w:cs="宋体"/>
          <w:sz w:val="21"/>
          <w:szCs w:val="21"/>
          <w:highlight w:val="none"/>
        </w:rPr>
      </w:pPr>
      <w:r>
        <w:rPr>
          <w:rStyle w:val="22"/>
          <w:rFonts w:hint="eastAsia" w:ascii="宋体" w:hAnsi="宋体" w:cs="宋体"/>
          <w:sz w:val="21"/>
          <w:szCs w:val="21"/>
          <w:highlight w:val="none"/>
        </w:rPr>
        <w:t>一、项目基本情况</w:t>
      </w:r>
    </w:p>
    <w:p w14:paraId="2E8992C8">
      <w:pPr>
        <w:pStyle w:val="16"/>
        <w:spacing w:before="0" w:beforeAutospacing="0" w:after="0" w:afterAutospacing="0" w:line="276" w:lineRule="auto"/>
        <w:ind w:firstLine="420" w:firstLineChars="200"/>
        <w:rPr>
          <w:rFonts w:hint="eastAsia" w:ascii="宋体" w:hAnsi="宋体" w:cs="宋体"/>
          <w:bCs/>
          <w:sz w:val="21"/>
          <w:szCs w:val="21"/>
          <w:highlight w:val="none"/>
          <w:lang w:eastAsia="zh-CN"/>
        </w:rPr>
      </w:pPr>
      <w:r>
        <w:rPr>
          <w:rFonts w:hint="eastAsia" w:ascii="宋体" w:hAnsi="宋体" w:cs="宋体"/>
          <w:sz w:val="21"/>
          <w:szCs w:val="21"/>
          <w:highlight w:val="none"/>
        </w:rPr>
        <w:t>项目编号：</w:t>
      </w:r>
      <w:r>
        <w:rPr>
          <w:rFonts w:hint="eastAsia" w:ascii="宋体" w:hAnsi="宋体" w:cs="宋体"/>
          <w:bCs/>
          <w:sz w:val="21"/>
          <w:szCs w:val="21"/>
          <w:highlight w:val="none"/>
          <w:lang w:eastAsia="zh-CN"/>
        </w:rPr>
        <w:t>GGZC2026-J1-990320-ZYXG</w:t>
      </w:r>
    </w:p>
    <w:p w14:paraId="33F83F01">
      <w:pPr>
        <w:pStyle w:val="16"/>
        <w:spacing w:before="0" w:beforeAutospacing="0" w:after="0" w:afterAutospacing="0" w:line="276" w:lineRule="auto"/>
        <w:ind w:firstLine="420" w:firstLineChars="200"/>
        <w:rPr>
          <w:rFonts w:hint="eastAsia" w:ascii="宋体" w:hAnsi="宋体" w:cs="宋体"/>
          <w:bCs/>
          <w:sz w:val="21"/>
          <w:szCs w:val="21"/>
          <w:highlight w:val="none"/>
          <w:lang w:eastAsia="zh-CN"/>
        </w:rPr>
      </w:pPr>
      <w:r>
        <w:rPr>
          <w:rFonts w:hint="eastAsia" w:ascii="宋体" w:hAnsi="宋体" w:cs="宋体"/>
          <w:sz w:val="21"/>
          <w:szCs w:val="21"/>
          <w:highlight w:val="none"/>
        </w:rPr>
        <w:t>项目名称：</w:t>
      </w:r>
      <w:r>
        <w:rPr>
          <w:rFonts w:hint="eastAsia" w:ascii="宋体" w:hAnsi="宋体" w:cs="宋体"/>
          <w:bCs/>
          <w:sz w:val="21"/>
          <w:szCs w:val="21"/>
          <w:highlight w:val="none"/>
          <w:lang w:eastAsia="zh-CN"/>
        </w:rPr>
        <w:t>贵港市市场监管重点领域工业产品质量监管检验检测设备更新专项建设项目</w:t>
      </w:r>
    </w:p>
    <w:p w14:paraId="7A5701D9">
      <w:pPr>
        <w:pStyle w:val="16"/>
        <w:spacing w:before="0" w:beforeAutospacing="0" w:after="0" w:afterAutospacing="0" w:line="276" w:lineRule="auto"/>
        <w:ind w:firstLine="420" w:firstLineChars="200"/>
        <w:rPr>
          <w:rFonts w:ascii="宋体" w:hAnsi="宋体" w:cs="宋体"/>
          <w:sz w:val="21"/>
          <w:szCs w:val="21"/>
          <w:highlight w:val="none"/>
        </w:rPr>
      </w:pPr>
      <w:r>
        <w:rPr>
          <w:rFonts w:hint="eastAsia" w:ascii="宋体" w:hAnsi="宋体" w:cs="宋体"/>
          <w:sz w:val="21"/>
          <w:szCs w:val="21"/>
          <w:highlight w:val="none"/>
        </w:rPr>
        <w:t>采购方式：竞争性谈判</w:t>
      </w:r>
    </w:p>
    <w:p w14:paraId="08EE79F4">
      <w:pPr>
        <w:pStyle w:val="16"/>
        <w:spacing w:before="0" w:beforeAutospacing="0" w:after="0" w:afterAutospacing="0" w:line="276" w:lineRule="auto"/>
        <w:ind w:firstLine="420" w:firstLineChars="200"/>
        <w:rPr>
          <w:rFonts w:hint="eastAsia" w:ascii="宋体" w:hAnsi="宋体" w:cs="宋体"/>
          <w:sz w:val="21"/>
          <w:szCs w:val="21"/>
          <w:highlight w:val="none"/>
        </w:rPr>
      </w:pPr>
      <w:r>
        <w:rPr>
          <w:rFonts w:hint="eastAsia" w:ascii="宋体" w:hAnsi="宋体" w:cs="宋体"/>
          <w:sz w:val="21"/>
          <w:szCs w:val="21"/>
          <w:highlight w:val="none"/>
        </w:rPr>
        <w:t>预算总金额（元）：</w:t>
      </w:r>
      <w:r>
        <w:rPr>
          <w:rFonts w:hint="eastAsia" w:ascii="宋体" w:hAnsi="宋体" w:cs="宋体"/>
          <w:sz w:val="21"/>
          <w:szCs w:val="21"/>
          <w:highlight w:val="none"/>
          <w:lang w:val="en-US" w:eastAsia="zh-CN"/>
        </w:rPr>
        <w:t>1090000.00</w:t>
      </w:r>
    </w:p>
    <w:p w14:paraId="231B7D53">
      <w:pPr>
        <w:pStyle w:val="16"/>
        <w:spacing w:before="0" w:beforeAutospacing="0" w:after="0" w:afterAutospacing="0" w:line="276" w:lineRule="auto"/>
        <w:ind w:firstLine="420" w:firstLineChars="200"/>
        <w:rPr>
          <w:rFonts w:ascii="宋体" w:hAnsi="宋体" w:cs="宋体"/>
          <w:sz w:val="21"/>
          <w:szCs w:val="21"/>
          <w:highlight w:val="none"/>
        </w:rPr>
      </w:pPr>
      <w:r>
        <w:rPr>
          <w:rFonts w:hint="eastAsia" w:ascii="宋体" w:hAnsi="宋体" w:cs="宋体"/>
          <w:sz w:val="21"/>
          <w:szCs w:val="21"/>
          <w:highlight w:val="none"/>
        </w:rPr>
        <w:t>采购需求：</w:t>
      </w:r>
    </w:p>
    <w:p w14:paraId="20CBFA14">
      <w:pPr>
        <w:pStyle w:val="16"/>
        <w:spacing w:before="0" w:beforeAutospacing="0" w:after="0" w:afterAutospacing="0" w:line="276" w:lineRule="auto"/>
        <w:ind w:firstLine="420" w:firstLineChars="200"/>
        <w:rPr>
          <w:rFonts w:hint="eastAsia" w:ascii="宋体" w:hAnsi="宋体" w:cs="宋体"/>
          <w:bCs/>
          <w:sz w:val="21"/>
          <w:szCs w:val="21"/>
          <w:highlight w:val="none"/>
          <w:lang w:eastAsia="zh-CN"/>
        </w:rPr>
      </w:pPr>
      <w:r>
        <w:rPr>
          <w:rFonts w:hint="eastAsia" w:ascii="宋体" w:hAnsi="宋体" w:cs="宋体"/>
          <w:sz w:val="21"/>
          <w:szCs w:val="21"/>
          <w:highlight w:val="none"/>
        </w:rPr>
        <w:t>标项名称：</w:t>
      </w:r>
      <w:r>
        <w:rPr>
          <w:rFonts w:hint="eastAsia" w:ascii="宋体" w:hAnsi="宋体" w:cs="宋体"/>
          <w:bCs/>
          <w:sz w:val="21"/>
          <w:szCs w:val="21"/>
          <w:highlight w:val="none"/>
          <w:lang w:eastAsia="zh-CN"/>
        </w:rPr>
        <w:t>贵港市市场监管重点领域工业产品质量监管检验检测设备更新专项建设项目</w:t>
      </w:r>
    </w:p>
    <w:p w14:paraId="13627E4C">
      <w:pPr>
        <w:pStyle w:val="16"/>
        <w:spacing w:before="0" w:beforeAutospacing="0" w:after="0" w:afterAutospacing="0" w:line="276" w:lineRule="auto"/>
        <w:ind w:firstLine="420" w:firstLineChars="200"/>
        <w:rPr>
          <w:rFonts w:ascii="宋体" w:hAnsi="宋体" w:cs="宋体"/>
          <w:sz w:val="21"/>
          <w:szCs w:val="21"/>
          <w:highlight w:val="none"/>
        </w:rPr>
      </w:pPr>
      <w:r>
        <w:rPr>
          <w:rFonts w:hint="eastAsia" w:ascii="宋体" w:hAnsi="宋体" w:cs="宋体"/>
          <w:bCs/>
          <w:sz w:val="21"/>
          <w:szCs w:val="21"/>
          <w:highlight w:val="none"/>
          <w:lang w:eastAsia="zh-CN"/>
        </w:rPr>
        <w:t>采购</w:t>
      </w:r>
      <w:r>
        <w:rPr>
          <w:rFonts w:hint="eastAsia" w:ascii="宋体" w:hAnsi="宋体" w:cs="宋体"/>
          <w:sz w:val="21"/>
          <w:szCs w:val="21"/>
          <w:highlight w:val="none"/>
        </w:rPr>
        <w:t>数量：1批</w:t>
      </w:r>
    </w:p>
    <w:p w14:paraId="3BED4BE6">
      <w:pPr>
        <w:pStyle w:val="16"/>
        <w:spacing w:before="0" w:beforeAutospacing="0" w:after="0" w:afterAutospacing="0" w:line="276" w:lineRule="auto"/>
        <w:ind w:firstLine="420" w:firstLineChars="200"/>
        <w:rPr>
          <w:rFonts w:hint="eastAsia" w:ascii="宋体" w:hAnsi="宋体" w:eastAsia="宋体" w:cs="宋体"/>
          <w:sz w:val="21"/>
          <w:szCs w:val="21"/>
          <w:highlight w:val="none"/>
          <w:lang w:eastAsia="zh-CN"/>
        </w:rPr>
      </w:pPr>
      <w:r>
        <w:rPr>
          <w:rFonts w:hint="eastAsia" w:ascii="宋体" w:hAnsi="宋体" w:cs="宋体"/>
          <w:sz w:val="21"/>
          <w:szCs w:val="21"/>
          <w:highlight w:val="none"/>
        </w:rPr>
        <w:t>预算金额（元）：</w:t>
      </w:r>
      <w:r>
        <w:rPr>
          <w:rFonts w:hint="eastAsia" w:ascii="宋体" w:hAnsi="宋体" w:cs="宋体"/>
          <w:sz w:val="21"/>
          <w:szCs w:val="21"/>
          <w:highlight w:val="none"/>
          <w:lang w:val="en-US" w:eastAsia="zh-CN"/>
        </w:rPr>
        <w:t>1090000.00</w:t>
      </w:r>
      <w:r>
        <w:rPr>
          <w:rFonts w:hint="eastAsia" w:ascii="宋体" w:hAnsi="宋体" w:cs="宋体"/>
          <w:sz w:val="21"/>
          <w:szCs w:val="21"/>
          <w:highlight w:val="none"/>
        </w:rPr>
        <w:tab/>
      </w:r>
    </w:p>
    <w:p w14:paraId="77C23497">
      <w:pPr>
        <w:pStyle w:val="16"/>
        <w:spacing w:before="0" w:beforeAutospacing="0" w:after="0" w:afterAutospacing="0" w:line="276" w:lineRule="auto"/>
        <w:ind w:firstLine="420" w:firstLineChars="200"/>
        <w:rPr>
          <w:rFonts w:ascii="宋体" w:hAnsi="宋体" w:cs="宋体"/>
          <w:color w:val="auto"/>
          <w:sz w:val="21"/>
          <w:szCs w:val="21"/>
          <w:highlight w:val="none"/>
        </w:rPr>
      </w:pPr>
      <w:r>
        <w:rPr>
          <w:rFonts w:hint="eastAsia" w:ascii="宋体" w:hAnsi="宋体" w:cs="宋体"/>
          <w:sz w:val="21"/>
          <w:szCs w:val="21"/>
          <w:highlight w:val="none"/>
        </w:rPr>
        <w:t>简要规格描述或项目基</w:t>
      </w:r>
      <w:r>
        <w:rPr>
          <w:rFonts w:hint="eastAsia" w:ascii="宋体" w:hAnsi="宋体" w:cs="宋体"/>
          <w:color w:val="auto"/>
          <w:sz w:val="21"/>
          <w:szCs w:val="21"/>
          <w:highlight w:val="none"/>
        </w:rPr>
        <w:t>本概况介绍、用途：</w:t>
      </w:r>
      <w:r>
        <w:rPr>
          <w:rFonts w:hint="eastAsia" w:ascii="宋体" w:hAnsi="宋体" w:cs="宋体"/>
          <w:color w:val="auto"/>
          <w:sz w:val="21"/>
          <w:szCs w:val="21"/>
          <w:highlight w:val="none"/>
          <w:lang w:eastAsia="zh-CN"/>
        </w:rPr>
        <w:t>贵港市市场监管重点领域工业产品质量监管检验检测设备更新专项建设项目</w:t>
      </w:r>
      <w:r>
        <w:rPr>
          <w:rFonts w:hint="eastAsia" w:ascii="宋体" w:hAnsi="宋体" w:cs="宋体"/>
          <w:color w:val="auto"/>
          <w:sz w:val="21"/>
          <w:szCs w:val="21"/>
          <w:highlight w:val="none"/>
        </w:rPr>
        <w:t>一批</w:t>
      </w:r>
      <w:r>
        <w:rPr>
          <w:rFonts w:ascii="宋体" w:hAnsi="宋体" w:cs="宋体"/>
          <w:bCs/>
          <w:color w:val="auto"/>
          <w:sz w:val="21"/>
          <w:szCs w:val="21"/>
          <w:highlight w:val="none"/>
        </w:rPr>
        <w:t>；具体详</w:t>
      </w:r>
      <w:r>
        <w:rPr>
          <w:rFonts w:hint="eastAsia" w:asciiTheme="minorEastAsia" w:hAnsiTheme="minorEastAsia" w:eastAsiaTheme="minorEastAsia"/>
          <w:color w:val="auto"/>
          <w:sz w:val="21"/>
          <w:szCs w:val="21"/>
          <w:highlight w:val="none"/>
        </w:rPr>
        <w:t>见竞争性谈判采购文件</w:t>
      </w:r>
      <w:r>
        <w:rPr>
          <w:rFonts w:hint="eastAsia" w:ascii="宋体" w:hAnsi="宋体" w:cs="宋体"/>
          <w:color w:val="auto"/>
          <w:sz w:val="21"/>
          <w:szCs w:val="21"/>
          <w:highlight w:val="none"/>
        </w:rPr>
        <w:t>。</w:t>
      </w:r>
    </w:p>
    <w:p w14:paraId="44FE8A04">
      <w:pPr>
        <w:pStyle w:val="16"/>
        <w:spacing w:before="0" w:beforeAutospacing="0" w:after="0" w:afterAutospacing="0" w:line="276"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最高限价（如有）：</w:t>
      </w:r>
      <w:r>
        <w:rPr>
          <w:rFonts w:hint="eastAsia" w:ascii="宋体" w:hAnsi="宋体" w:cs="宋体"/>
          <w:color w:val="auto"/>
          <w:sz w:val="21"/>
          <w:szCs w:val="21"/>
          <w:highlight w:val="none"/>
          <w:lang w:val="en-US" w:eastAsia="zh-CN"/>
        </w:rPr>
        <w:t>1090000.00</w:t>
      </w:r>
      <w:r>
        <w:rPr>
          <w:rFonts w:hint="eastAsia" w:ascii="宋体" w:hAnsi="宋体" w:cs="宋体"/>
          <w:color w:val="auto"/>
          <w:sz w:val="21"/>
          <w:szCs w:val="21"/>
          <w:highlight w:val="none"/>
        </w:rPr>
        <w:tab/>
      </w:r>
    </w:p>
    <w:p w14:paraId="5CF788C1">
      <w:pPr>
        <w:pStyle w:val="16"/>
        <w:spacing w:before="0" w:beforeAutospacing="0" w:after="0" w:afterAutospacing="0" w:line="276" w:lineRule="auto"/>
        <w:ind w:firstLine="420" w:firstLineChars="200"/>
        <w:rPr>
          <w:rFonts w:hint="default" w:ascii="宋体" w:hAnsi="宋体" w:eastAsia="宋体" w:cs="宋体"/>
          <w:b/>
          <w:bCs/>
          <w:color w:val="auto"/>
          <w:sz w:val="21"/>
          <w:szCs w:val="21"/>
          <w:highlight w:val="none"/>
          <w:lang w:val="en-US" w:eastAsia="zh-CN"/>
        </w:rPr>
      </w:pPr>
      <w:r>
        <w:rPr>
          <w:rFonts w:hint="eastAsia" w:ascii="宋体" w:hAnsi="宋体" w:cs="宋体"/>
          <w:color w:val="auto"/>
          <w:sz w:val="21"/>
          <w:szCs w:val="21"/>
          <w:highlight w:val="none"/>
        </w:rPr>
        <w:t>合同履约期限：合同签订之日起60个日历日内</w:t>
      </w:r>
      <w:r>
        <w:rPr>
          <w:rFonts w:hint="eastAsia" w:ascii="宋体" w:hAnsi="宋体" w:cs="宋体"/>
          <w:color w:val="auto"/>
          <w:sz w:val="21"/>
          <w:szCs w:val="21"/>
          <w:highlight w:val="none"/>
          <w:lang w:val="en-US" w:eastAsia="zh-CN"/>
        </w:rPr>
        <w:t>完成设备到货、安装、调试。</w:t>
      </w:r>
    </w:p>
    <w:p w14:paraId="31710E3A">
      <w:pPr>
        <w:pStyle w:val="16"/>
        <w:spacing w:before="0" w:beforeAutospacing="0" w:after="0" w:afterAutospacing="0" w:line="276"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本标项（否）接受联合体投标</w:t>
      </w:r>
    </w:p>
    <w:p w14:paraId="2F09AC15">
      <w:pPr>
        <w:pStyle w:val="16"/>
        <w:spacing w:before="0" w:beforeAutospacing="0" w:after="0" w:afterAutospacing="0" w:line="276"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备注：</w:t>
      </w:r>
    </w:p>
    <w:p w14:paraId="582E330E">
      <w:pPr>
        <w:pStyle w:val="16"/>
        <w:spacing w:before="0" w:beforeAutospacing="0" w:after="0" w:afterAutospacing="0" w:line="276" w:lineRule="auto"/>
        <w:rPr>
          <w:rFonts w:ascii="宋体" w:hAnsi="宋体" w:cs="宋体"/>
          <w:color w:val="auto"/>
          <w:sz w:val="21"/>
          <w:szCs w:val="21"/>
          <w:highlight w:val="none"/>
        </w:rPr>
      </w:pPr>
      <w:r>
        <w:rPr>
          <w:rStyle w:val="22"/>
          <w:rFonts w:hint="eastAsia" w:ascii="宋体" w:hAnsi="宋体" w:cs="宋体"/>
          <w:color w:val="auto"/>
          <w:sz w:val="21"/>
          <w:szCs w:val="21"/>
          <w:highlight w:val="none"/>
        </w:rPr>
        <w:t>二、申请人的资格要求：</w:t>
      </w:r>
    </w:p>
    <w:p w14:paraId="41E176ED">
      <w:pPr>
        <w:pStyle w:val="16"/>
        <w:spacing w:before="0" w:beforeAutospacing="0" w:after="0" w:afterAutospacing="0" w:line="276" w:lineRule="auto"/>
        <w:ind w:firstLine="420" w:firstLineChars="200"/>
        <w:rPr>
          <w:rFonts w:ascii="宋体" w:hAnsi="宋体" w:cs="宋体"/>
          <w:color w:val="auto"/>
          <w:sz w:val="21"/>
          <w:szCs w:val="21"/>
          <w:highlight w:val="none"/>
        </w:rPr>
      </w:pPr>
      <w:r>
        <w:rPr>
          <w:rFonts w:ascii="宋体" w:hAnsi="宋体" w:cs="宋体"/>
          <w:color w:val="auto"/>
          <w:sz w:val="21"/>
          <w:szCs w:val="21"/>
          <w:highlight w:val="none"/>
        </w:rPr>
        <w:t>1.满足《中华人民共和国政府采购法》第二十二条规定；</w:t>
      </w:r>
    </w:p>
    <w:p w14:paraId="496E09FA">
      <w:pPr>
        <w:pStyle w:val="16"/>
        <w:spacing w:before="0" w:beforeAutospacing="0" w:after="0" w:afterAutospacing="0" w:line="276" w:lineRule="auto"/>
        <w:ind w:firstLine="420" w:firstLineChars="200"/>
        <w:rPr>
          <w:rFonts w:hint="default" w:ascii="宋体" w:hAnsi="宋体" w:eastAsia="宋体" w:cs="宋体"/>
          <w:color w:val="auto"/>
          <w:sz w:val="21"/>
          <w:szCs w:val="21"/>
          <w:highlight w:val="none"/>
          <w:lang w:val="en-US" w:eastAsia="zh-CN"/>
        </w:rPr>
      </w:pPr>
      <w:r>
        <w:rPr>
          <w:rFonts w:ascii="宋体" w:hAnsi="宋体" w:cs="宋体"/>
          <w:color w:val="auto"/>
          <w:sz w:val="21"/>
          <w:szCs w:val="21"/>
          <w:highlight w:val="none"/>
        </w:rPr>
        <w:t>2.落实政府采购政策需满足的资格要求：</w:t>
      </w:r>
      <w:r>
        <w:rPr>
          <w:rFonts w:hint="eastAsia" w:ascii="宋体" w:hAnsi="宋体" w:cs="宋体"/>
          <w:color w:val="auto"/>
          <w:sz w:val="21"/>
          <w:szCs w:val="21"/>
          <w:highlight w:val="none"/>
          <w:lang w:val="en-US" w:eastAsia="zh-CN"/>
        </w:rPr>
        <w:t>无</w:t>
      </w:r>
    </w:p>
    <w:p w14:paraId="7E858484">
      <w:pPr>
        <w:pStyle w:val="16"/>
        <w:spacing w:before="0" w:beforeAutospacing="0" w:after="0" w:afterAutospacing="0" w:line="276" w:lineRule="auto"/>
        <w:ind w:firstLine="420" w:firstLineChars="200"/>
        <w:jc w:val="both"/>
        <w:rPr>
          <w:rFonts w:hint="eastAsia" w:ascii="宋体" w:hAnsi="宋体" w:eastAsia="宋体" w:cs="宋体"/>
          <w:color w:val="auto"/>
          <w:sz w:val="21"/>
          <w:szCs w:val="21"/>
          <w:highlight w:val="none"/>
          <w:lang w:val="en-US" w:eastAsia="zh-CN"/>
        </w:rPr>
      </w:pPr>
      <w:r>
        <w:rPr>
          <w:rFonts w:ascii="宋体" w:hAnsi="宋体" w:cs="宋体"/>
          <w:color w:val="auto"/>
          <w:sz w:val="21"/>
          <w:szCs w:val="21"/>
          <w:highlight w:val="none"/>
        </w:rPr>
        <w:t>3.本项目的特定资格要求：</w:t>
      </w:r>
      <w:r>
        <w:rPr>
          <w:rFonts w:hint="eastAsia" w:ascii="宋体" w:hAnsi="宋体" w:cs="宋体"/>
          <w:color w:val="auto"/>
          <w:sz w:val="21"/>
          <w:szCs w:val="21"/>
          <w:highlight w:val="none"/>
          <w:lang w:val="en-US" w:eastAsia="zh-CN"/>
        </w:rPr>
        <w:t>无</w:t>
      </w:r>
    </w:p>
    <w:p w14:paraId="3B1FBB29">
      <w:pPr>
        <w:pStyle w:val="16"/>
        <w:spacing w:before="0" w:beforeAutospacing="0" w:after="0" w:afterAutospacing="0" w:line="276" w:lineRule="auto"/>
        <w:ind w:firstLine="422" w:firstLineChars="200"/>
        <w:jc w:val="both"/>
        <w:rPr>
          <w:rFonts w:ascii="宋体" w:hAnsi="宋体" w:cs="宋体"/>
          <w:b/>
          <w:bCs/>
          <w:color w:val="auto"/>
          <w:sz w:val="21"/>
          <w:szCs w:val="21"/>
          <w:highlight w:val="none"/>
        </w:rPr>
      </w:pPr>
      <w:r>
        <w:rPr>
          <w:rFonts w:hint="eastAsia" w:ascii="宋体" w:hAnsi="宋体" w:cs="宋体"/>
          <w:b/>
          <w:bCs/>
          <w:color w:val="auto"/>
          <w:sz w:val="21"/>
          <w:szCs w:val="21"/>
          <w:highlight w:val="none"/>
        </w:rPr>
        <w:t>三、获取</w:t>
      </w:r>
      <w:r>
        <w:rPr>
          <w:rFonts w:hint="eastAsia" w:ascii="宋体" w:hAnsi="宋体" w:cs="宋体"/>
          <w:b/>
          <w:bCs/>
          <w:color w:val="auto"/>
          <w:sz w:val="21"/>
          <w:szCs w:val="21"/>
          <w:highlight w:val="none"/>
          <w:lang w:val="en-US" w:eastAsia="zh-CN"/>
        </w:rPr>
        <w:t>采购</w:t>
      </w:r>
      <w:r>
        <w:rPr>
          <w:rFonts w:hint="eastAsia" w:ascii="宋体" w:hAnsi="宋体" w:cs="宋体"/>
          <w:b/>
          <w:bCs/>
          <w:color w:val="auto"/>
          <w:sz w:val="21"/>
          <w:szCs w:val="21"/>
          <w:highlight w:val="none"/>
        </w:rPr>
        <w:t>文件</w:t>
      </w:r>
    </w:p>
    <w:p w14:paraId="595EB66C">
      <w:pPr>
        <w:pStyle w:val="16"/>
        <w:spacing w:before="0" w:beforeAutospacing="0" w:after="0" w:afterAutospacing="0" w:line="276"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时间：</w:t>
      </w:r>
      <w:r>
        <w:rPr>
          <w:rFonts w:hint="eastAsia" w:ascii="宋体" w:hAnsi="宋体" w:cs="宋体"/>
          <w:color w:val="auto"/>
          <w:sz w:val="21"/>
          <w:szCs w:val="21"/>
          <w:highlight w:val="none"/>
          <w:lang w:eastAsia="zh-CN"/>
        </w:rPr>
        <w:t>2026</w:t>
      </w:r>
      <w:r>
        <w:rPr>
          <w:rFonts w:hint="eastAsia" w:ascii="宋体" w:hAnsi="宋体" w:cs="宋体"/>
          <w:color w:val="auto"/>
          <w:sz w:val="21"/>
          <w:szCs w:val="21"/>
          <w:highlight w:val="none"/>
        </w:rPr>
        <w:t>年</w:t>
      </w:r>
      <w:r>
        <w:rPr>
          <w:rFonts w:hint="eastAsia" w:ascii="宋体" w:hAnsi="宋体" w:cs="宋体"/>
          <w:color w:val="auto"/>
          <w:sz w:val="21"/>
          <w:szCs w:val="21"/>
          <w:highlight w:val="none"/>
          <w:lang w:val="en-US" w:eastAsia="zh-CN"/>
        </w:rPr>
        <w:t>9</w:t>
      </w:r>
      <w:r>
        <w:rPr>
          <w:rFonts w:hint="eastAsia" w:ascii="宋体" w:hAnsi="宋体" w:cs="宋体"/>
          <w:color w:val="auto"/>
          <w:sz w:val="21"/>
          <w:szCs w:val="21"/>
          <w:highlight w:val="none"/>
        </w:rPr>
        <w:t>月</w:t>
      </w:r>
      <w:r>
        <w:rPr>
          <w:rFonts w:hint="eastAsia" w:ascii="宋体" w:hAnsi="宋体" w:cs="宋体"/>
          <w:color w:val="auto"/>
          <w:sz w:val="21"/>
          <w:szCs w:val="21"/>
          <w:highlight w:val="none"/>
          <w:lang w:val="en-US" w:eastAsia="zh-CN"/>
        </w:rPr>
        <w:t>23</w:t>
      </w:r>
      <w:r>
        <w:rPr>
          <w:rFonts w:hint="eastAsia" w:ascii="宋体" w:hAnsi="宋体" w:cs="宋体"/>
          <w:color w:val="auto"/>
          <w:sz w:val="21"/>
          <w:szCs w:val="21"/>
          <w:highlight w:val="none"/>
        </w:rPr>
        <w:t>日至</w:t>
      </w:r>
      <w:r>
        <w:rPr>
          <w:rFonts w:hint="eastAsia" w:ascii="宋体" w:hAnsi="宋体" w:cs="宋体"/>
          <w:color w:val="auto"/>
          <w:sz w:val="21"/>
          <w:szCs w:val="21"/>
          <w:highlight w:val="none"/>
          <w:lang w:eastAsia="zh-CN"/>
        </w:rPr>
        <w:t>2026</w:t>
      </w:r>
      <w:r>
        <w:rPr>
          <w:rFonts w:hint="eastAsia" w:ascii="宋体" w:hAnsi="宋体" w:cs="宋体"/>
          <w:color w:val="auto"/>
          <w:sz w:val="21"/>
          <w:szCs w:val="21"/>
          <w:highlight w:val="none"/>
        </w:rPr>
        <w:t>年</w:t>
      </w:r>
      <w:r>
        <w:rPr>
          <w:rFonts w:hint="eastAsia" w:ascii="宋体" w:hAnsi="宋体" w:cs="宋体"/>
          <w:color w:val="auto"/>
          <w:sz w:val="21"/>
          <w:szCs w:val="21"/>
          <w:highlight w:val="none"/>
          <w:lang w:val="en-US" w:eastAsia="zh-CN"/>
        </w:rPr>
        <w:t>9</w:t>
      </w:r>
      <w:r>
        <w:rPr>
          <w:rFonts w:hint="eastAsia" w:ascii="宋体" w:hAnsi="宋体" w:cs="宋体"/>
          <w:color w:val="auto"/>
          <w:sz w:val="21"/>
          <w:szCs w:val="21"/>
          <w:highlight w:val="none"/>
        </w:rPr>
        <w:t>月</w:t>
      </w:r>
      <w:r>
        <w:rPr>
          <w:rFonts w:hint="eastAsia" w:ascii="宋体" w:hAnsi="宋体" w:cs="宋体"/>
          <w:color w:val="auto"/>
          <w:sz w:val="21"/>
          <w:szCs w:val="21"/>
          <w:highlight w:val="none"/>
          <w:lang w:val="en-US" w:eastAsia="zh-CN"/>
        </w:rPr>
        <w:t>30</w:t>
      </w:r>
      <w:r>
        <w:rPr>
          <w:rFonts w:hint="eastAsia" w:ascii="宋体" w:hAnsi="宋体" w:cs="宋体"/>
          <w:color w:val="auto"/>
          <w:sz w:val="21"/>
          <w:szCs w:val="21"/>
          <w:highlight w:val="none"/>
        </w:rPr>
        <w:t>日，每天上午</w:t>
      </w:r>
      <w:r>
        <w:rPr>
          <w:rFonts w:ascii="宋体" w:hAnsi="宋体" w:cs="宋体"/>
          <w:color w:val="auto"/>
          <w:sz w:val="21"/>
          <w:szCs w:val="21"/>
          <w:highlight w:val="none"/>
        </w:rPr>
        <w:t>00:00至12:00，下午12:00至23:59（北京时间，法定节假日除外）</w:t>
      </w:r>
    </w:p>
    <w:p w14:paraId="58861DE5">
      <w:pPr>
        <w:pStyle w:val="16"/>
        <w:wordWrap w:val="0"/>
        <w:spacing w:before="0" w:beforeAutospacing="0" w:after="0" w:afterAutospacing="0" w:line="276"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地点（网址）：广西政府采购云平台（https://www.gcy.zfcg.gxzf.gov.cn/）</w:t>
      </w:r>
    </w:p>
    <w:p w14:paraId="756FB195">
      <w:pPr>
        <w:pStyle w:val="16"/>
        <w:wordWrap w:val="0"/>
        <w:spacing w:before="0" w:beforeAutospacing="0" w:after="0" w:afterAutospacing="0" w:line="276" w:lineRule="auto"/>
        <w:ind w:firstLine="420" w:firstLineChars="200"/>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方式：供应商登录广西政府采购云平台https://www.gcy.zfcg.gxzf.gov.cn/在线申请获取采购文件（进入“项目采购”应用，在获取采购文件菜单中选择项目，申请获取采购文件）</w:t>
      </w:r>
      <w:r>
        <w:rPr>
          <w:rFonts w:hint="eastAsia" w:ascii="宋体" w:hAnsi="宋体" w:cs="宋体"/>
          <w:color w:val="auto"/>
          <w:sz w:val="21"/>
          <w:szCs w:val="21"/>
          <w:highlight w:val="none"/>
          <w:lang w:eastAsia="zh-CN"/>
        </w:rPr>
        <w:t>。</w:t>
      </w:r>
    </w:p>
    <w:p w14:paraId="2730DBAC">
      <w:pPr>
        <w:pStyle w:val="16"/>
        <w:spacing w:before="0" w:beforeAutospacing="0" w:after="0" w:afterAutospacing="0" w:line="276"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售价（元）：</w:t>
      </w:r>
      <w:r>
        <w:rPr>
          <w:rFonts w:ascii="宋体" w:hAnsi="宋体" w:cs="宋体"/>
          <w:color w:val="auto"/>
          <w:sz w:val="21"/>
          <w:szCs w:val="21"/>
          <w:highlight w:val="none"/>
        </w:rPr>
        <w:t>0 </w:t>
      </w:r>
    </w:p>
    <w:p w14:paraId="2F8C6D05">
      <w:pPr>
        <w:pStyle w:val="16"/>
        <w:spacing w:before="0" w:beforeAutospacing="0" w:after="0" w:afterAutospacing="0" w:line="276" w:lineRule="auto"/>
        <w:jc w:val="both"/>
        <w:rPr>
          <w:rFonts w:ascii="宋体" w:hAnsi="宋体" w:cs="宋体"/>
          <w:color w:val="auto"/>
          <w:sz w:val="21"/>
          <w:szCs w:val="21"/>
          <w:highlight w:val="none"/>
        </w:rPr>
      </w:pPr>
      <w:r>
        <w:rPr>
          <w:rStyle w:val="22"/>
          <w:rFonts w:hint="eastAsia" w:ascii="宋体" w:hAnsi="宋体" w:cs="宋体"/>
          <w:color w:val="auto"/>
          <w:sz w:val="21"/>
          <w:szCs w:val="21"/>
          <w:highlight w:val="none"/>
        </w:rPr>
        <w:t>四、响应文件提交</w:t>
      </w:r>
    </w:p>
    <w:p w14:paraId="2B14E2EB">
      <w:pPr>
        <w:pStyle w:val="16"/>
        <w:spacing w:before="0" w:beforeAutospacing="0" w:after="0" w:afterAutospacing="0" w:line="276"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截止时间：</w:t>
      </w:r>
      <w:r>
        <w:rPr>
          <w:rFonts w:hint="eastAsia" w:ascii="宋体" w:hAnsi="宋体" w:cs="宋体"/>
          <w:b/>
          <w:bCs/>
          <w:color w:val="auto"/>
          <w:sz w:val="21"/>
          <w:szCs w:val="21"/>
          <w:highlight w:val="none"/>
          <w:lang w:eastAsia="zh-CN"/>
        </w:rPr>
        <w:t>2026年</w:t>
      </w:r>
      <w:r>
        <w:rPr>
          <w:rFonts w:hint="eastAsia" w:ascii="宋体" w:hAnsi="宋体" w:cs="宋体"/>
          <w:b/>
          <w:bCs/>
          <w:color w:val="auto"/>
          <w:sz w:val="21"/>
          <w:szCs w:val="21"/>
          <w:highlight w:val="none"/>
          <w:lang w:val="en-US" w:eastAsia="zh-CN"/>
        </w:rPr>
        <w:t>9</w:t>
      </w:r>
      <w:r>
        <w:rPr>
          <w:rFonts w:hint="eastAsia" w:ascii="宋体" w:hAnsi="宋体" w:cs="宋体"/>
          <w:b/>
          <w:bCs/>
          <w:color w:val="auto"/>
          <w:sz w:val="21"/>
          <w:szCs w:val="21"/>
          <w:highlight w:val="none"/>
          <w:lang w:eastAsia="zh-CN"/>
        </w:rPr>
        <w:t>月</w:t>
      </w:r>
      <w:r>
        <w:rPr>
          <w:rFonts w:hint="eastAsia" w:ascii="宋体" w:hAnsi="宋体" w:cs="宋体"/>
          <w:b/>
          <w:bCs/>
          <w:color w:val="auto"/>
          <w:sz w:val="21"/>
          <w:szCs w:val="21"/>
          <w:highlight w:val="none"/>
          <w:lang w:val="en-US" w:eastAsia="zh-CN"/>
        </w:rPr>
        <w:t>30</w:t>
      </w:r>
      <w:r>
        <w:rPr>
          <w:rFonts w:hint="eastAsia" w:ascii="宋体" w:hAnsi="宋体" w:cs="宋体"/>
          <w:b/>
          <w:bCs/>
          <w:color w:val="auto"/>
          <w:sz w:val="21"/>
          <w:szCs w:val="21"/>
          <w:highlight w:val="none"/>
          <w:lang w:eastAsia="zh-CN"/>
        </w:rPr>
        <w:t>日9:00</w:t>
      </w:r>
      <w:r>
        <w:rPr>
          <w:rFonts w:ascii="宋体" w:hAnsi="宋体" w:cs="宋体"/>
          <w:b/>
          <w:bCs/>
          <w:color w:val="auto"/>
          <w:sz w:val="21"/>
          <w:szCs w:val="21"/>
          <w:highlight w:val="none"/>
        </w:rPr>
        <w:t>（北京时间）</w:t>
      </w:r>
    </w:p>
    <w:p w14:paraId="388D6C29">
      <w:pPr>
        <w:pStyle w:val="16"/>
        <w:spacing w:before="0" w:beforeAutospacing="0" w:after="0" w:afterAutospacing="0" w:line="276" w:lineRule="auto"/>
        <w:ind w:firstLine="420" w:firstLineChars="200"/>
        <w:rPr>
          <w:rFonts w:ascii="宋体" w:hAnsi="宋体" w:cs="宋体"/>
          <w:sz w:val="21"/>
          <w:szCs w:val="21"/>
          <w:highlight w:val="none"/>
        </w:rPr>
      </w:pPr>
      <w:r>
        <w:rPr>
          <w:rFonts w:hint="eastAsia" w:ascii="宋体" w:hAnsi="宋体" w:cs="宋体"/>
          <w:color w:val="auto"/>
          <w:sz w:val="21"/>
          <w:szCs w:val="21"/>
          <w:highlight w:val="none"/>
        </w:rPr>
        <w:t>地点（网址）：请登录广西政府采</w:t>
      </w:r>
      <w:r>
        <w:rPr>
          <w:rFonts w:hint="eastAsia" w:ascii="宋体" w:hAnsi="宋体" w:cs="宋体"/>
          <w:sz w:val="21"/>
          <w:szCs w:val="21"/>
          <w:highlight w:val="none"/>
        </w:rPr>
        <w:t>购云平台投标客户端投标。</w:t>
      </w:r>
    </w:p>
    <w:p w14:paraId="08EE88C1">
      <w:pPr>
        <w:pStyle w:val="16"/>
        <w:spacing w:before="0" w:beforeAutospacing="0" w:after="0" w:afterAutospacing="0" w:line="276" w:lineRule="auto"/>
        <w:rPr>
          <w:rStyle w:val="22"/>
          <w:rFonts w:ascii="宋体" w:hAnsi="宋体" w:cs="宋体"/>
          <w:color w:val="auto"/>
          <w:sz w:val="21"/>
          <w:szCs w:val="21"/>
          <w:highlight w:val="none"/>
        </w:rPr>
      </w:pPr>
      <w:r>
        <w:rPr>
          <w:rStyle w:val="22"/>
          <w:rFonts w:hint="eastAsia" w:ascii="宋体" w:hAnsi="宋体" w:cs="宋体"/>
          <w:sz w:val="21"/>
          <w:szCs w:val="21"/>
          <w:highlight w:val="none"/>
        </w:rPr>
        <w:t>五、响应文</w:t>
      </w:r>
      <w:r>
        <w:rPr>
          <w:rStyle w:val="22"/>
          <w:rFonts w:hint="eastAsia" w:ascii="宋体" w:hAnsi="宋体" w:cs="宋体"/>
          <w:color w:val="auto"/>
          <w:sz w:val="21"/>
          <w:szCs w:val="21"/>
          <w:highlight w:val="none"/>
        </w:rPr>
        <w:t>件开启</w:t>
      </w:r>
    </w:p>
    <w:p w14:paraId="1553F93A">
      <w:pPr>
        <w:pStyle w:val="16"/>
        <w:spacing w:before="0" w:beforeAutospacing="0" w:after="0" w:afterAutospacing="0" w:line="276"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开启时间：</w:t>
      </w:r>
      <w:r>
        <w:rPr>
          <w:rFonts w:hint="eastAsia" w:ascii="宋体" w:hAnsi="宋体" w:cs="宋体"/>
          <w:b/>
          <w:bCs/>
          <w:color w:val="auto"/>
          <w:sz w:val="21"/>
          <w:szCs w:val="21"/>
          <w:highlight w:val="none"/>
          <w:lang w:eastAsia="zh-CN"/>
        </w:rPr>
        <w:t>2026年</w:t>
      </w:r>
      <w:r>
        <w:rPr>
          <w:rFonts w:hint="eastAsia" w:ascii="宋体" w:hAnsi="宋体" w:cs="宋体"/>
          <w:b/>
          <w:bCs/>
          <w:color w:val="auto"/>
          <w:sz w:val="21"/>
          <w:szCs w:val="21"/>
          <w:highlight w:val="none"/>
          <w:lang w:val="en-US" w:eastAsia="zh-CN"/>
        </w:rPr>
        <w:t>9</w:t>
      </w:r>
      <w:r>
        <w:rPr>
          <w:rFonts w:hint="eastAsia" w:ascii="宋体" w:hAnsi="宋体" w:cs="宋体"/>
          <w:b/>
          <w:bCs/>
          <w:color w:val="auto"/>
          <w:sz w:val="21"/>
          <w:szCs w:val="21"/>
          <w:highlight w:val="none"/>
          <w:lang w:eastAsia="zh-CN"/>
        </w:rPr>
        <w:t>月</w:t>
      </w:r>
      <w:r>
        <w:rPr>
          <w:rFonts w:hint="eastAsia" w:ascii="宋体" w:hAnsi="宋体" w:cs="宋体"/>
          <w:b/>
          <w:bCs/>
          <w:color w:val="auto"/>
          <w:sz w:val="21"/>
          <w:szCs w:val="21"/>
          <w:highlight w:val="none"/>
          <w:lang w:val="en-US" w:eastAsia="zh-CN"/>
        </w:rPr>
        <w:t>30</w:t>
      </w:r>
      <w:r>
        <w:rPr>
          <w:rFonts w:hint="eastAsia" w:ascii="宋体" w:hAnsi="宋体" w:cs="宋体"/>
          <w:b/>
          <w:bCs/>
          <w:color w:val="auto"/>
          <w:sz w:val="21"/>
          <w:szCs w:val="21"/>
          <w:highlight w:val="none"/>
          <w:lang w:eastAsia="zh-CN"/>
        </w:rPr>
        <w:t>日9:00</w:t>
      </w:r>
      <w:r>
        <w:rPr>
          <w:rFonts w:ascii="宋体" w:hAnsi="宋体" w:cs="宋体"/>
          <w:b/>
          <w:bCs/>
          <w:color w:val="auto"/>
          <w:sz w:val="21"/>
          <w:szCs w:val="21"/>
          <w:highlight w:val="none"/>
        </w:rPr>
        <w:t>（北京时间）</w:t>
      </w:r>
    </w:p>
    <w:p w14:paraId="0A2037DD">
      <w:pPr>
        <w:pStyle w:val="16"/>
        <w:spacing w:before="0" w:beforeAutospacing="0" w:after="0" w:afterAutospacing="0" w:line="276" w:lineRule="auto"/>
        <w:ind w:firstLine="420" w:firstLineChars="200"/>
        <w:rPr>
          <w:rFonts w:ascii="宋体" w:hAnsi="宋体"/>
          <w:b/>
          <w:bCs/>
          <w:color w:val="auto"/>
          <w:sz w:val="21"/>
          <w:szCs w:val="21"/>
          <w:highlight w:val="none"/>
        </w:rPr>
      </w:pPr>
      <w:r>
        <w:rPr>
          <w:rFonts w:hint="eastAsia" w:ascii="宋体" w:hAnsi="宋体" w:cs="宋体"/>
          <w:color w:val="auto"/>
          <w:sz w:val="21"/>
          <w:szCs w:val="21"/>
          <w:highlight w:val="none"/>
        </w:rPr>
        <w:t>地点（网址）：通过广西政府采购云平台实行在线解密开启。</w:t>
      </w:r>
    </w:p>
    <w:p w14:paraId="1346138D">
      <w:pPr>
        <w:pStyle w:val="16"/>
        <w:spacing w:before="0" w:beforeAutospacing="0" w:after="0" w:afterAutospacing="0" w:line="276" w:lineRule="auto"/>
        <w:jc w:val="both"/>
        <w:rPr>
          <w:rFonts w:ascii="宋体" w:hAnsi="宋体" w:cs="宋体"/>
          <w:color w:val="auto"/>
          <w:sz w:val="21"/>
          <w:szCs w:val="21"/>
          <w:highlight w:val="none"/>
        </w:rPr>
      </w:pPr>
      <w:r>
        <w:rPr>
          <w:rStyle w:val="22"/>
          <w:rFonts w:hint="eastAsia" w:ascii="宋体" w:hAnsi="宋体" w:cs="宋体"/>
          <w:color w:val="auto"/>
          <w:sz w:val="21"/>
          <w:szCs w:val="21"/>
          <w:highlight w:val="none"/>
        </w:rPr>
        <w:t>六、公告期限</w:t>
      </w:r>
      <w:r>
        <w:rPr>
          <w:rFonts w:hint="eastAsia" w:ascii="宋体" w:hAnsi="宋体" w:cs="宋体"/>
          <w:color w:val="auto"/>
          <w:sz w:val="21"/>
          <w:szCs w:val="21"/>
          <w:highlight w:val="none"/>
        </w:rPr>
        <w:t> </w:t>
      </w:r>
    </w:p>
    <w:p w14:paraId="1F14EAE5">
      <w:pPr>
        <w:pStyle w:val="16"/>
        <w:spacing w:before="0" w:beforeAutospacing="0" w:after="0" w:afterAutospacing="0" w:line="276" w:lineRule="auto"/>
        <w:ind w:firstLine="420" w:firstLineChars="200"/>
        <w:rPr>
          <w:rFonts w:ascii="宋体" w:hAnsi="宋体" w:cs="宋体"/>
          <w:sz w:val="21"/>
          <w:szCs w:val="21"/>
          <w:highlight w:val="none"/>
        </w:rPr>
      </w:pPr>
      <w:r>
        <w:rPr>
          <w:rFonts w:hint="eastAsia" w:ascii="宋体" w:hAnsi="宋体" w:cs="宋体"/>
          <w:color w:val="auto"/>
          <w:sz w:val="21"/>
          <w:szCs w:val="21"/>
          <w:highlight w:val="none"/>
        </w:rPr>
        <w:t>自本公告发布之日起3</w:t>
      </w:r>
      <w:r>
        <w:rPr>
          <w:rFonts w:hint="eastAsia" w:ascii="宋体" w:hAnsi="宋体" w:cs="宋体"/>
          <w:sz w:val="21"/>
          <w:szCs w:val="21"/>
          <w:highlight w:val="none"/>
        </w:rPr>
        <w:t>个工作日。</w:t>
      </w:r>
    </w:p>
    <w:p w14:paraId="285B1ADA">
      <w:pPr>
        <w:pStyle w:val="16"/>
        <w:spacing w:before="0" w:beforeAutospacing="0" w:after="0" w:afterAutospacing="0" w:line="276" w:lineRule="auto"/>
        <w:jc w:val="both"/>
        <w:rPr>
          <w:rFonts w:ascii="宋体" w:hAnsi="宋体" w:cs="宋体"/>
          <w:sz w:val="21"/>
          <w:szCs w:val="21"/>
          <w:highlight w:val="none"/>
        </w:rPr>
      </w:pPr>
      <w:r>
        <w:rPr>
          <w:rStyle w:val="22"/>
          <w:rFonts w:hint="eastAsia" w:ascii="宋体" w:hAnsi="宋体" w:cs="宋体"/>
          <w:sz w:val="21"/>
          <w:szCs w:val="21"/>
          <w:highlight w:val="none"/>
        </w:rPr>
        <w:t>七、其他补充事宜</w:t>
      </w:r>
    </w:p>
    <w:p w14:paraId="6DA15E6C">
      <w:pPr>
        <w:pStyle w:val="16"/>
        <w:spacing w:before="0" w:beforeAutospacing="0" w:after="0" w:afterAutospacing="0" w:line="276" w:lineRule="auto"/>
        <w:ind w:firstLine="420" w:firstLineChars="200"/>
        <w:rPr>
          <w:rFonts w:ascii="宋体" w:hAnsi="宋体" w:cs="宋体"/>
          <w:sz w:val="21"/>
          <w:szCs w:val="21"/>
          <w:highlight w:val="none"/>
        </w:rPr>
      </w:pPr>
      <w:r>
        <w:rPr>
          <w:rFonts w:hint="eastAsia" w:ascii="宋体" w:hAnsi="宋体" w:cs="宋体"/>
          <w:sz w:val="21"/>
          <w:szCs w:val="21"/>
          <w:highlight w:val="none"/>
        </w:rPr>
        <w:t>1、</w:t>
      </w:r>
      <w:r>
        <w:rPr>
          <w:rFonts w:hint="eastAsia" w:ascii="宋体" w:hAnsi="宋体"/>
          <w:sz w:val="21"/>
          <w:szCs w:val="21"/>
          <w:highlight w:val="none"/>
        </w:rPr>
        <w:t>竞标</w:t>
      </w:r>
      <w:r>
        <w:rPr>
          <w:rFonts w:ascii="宋体" w:hAnsi="宋体"/>
          <w:sz w:val="21"/>
          <w:szCs w:val="21"/>
          <w:highlight w:val="none"/>
        </w:rPr>
        <w:t>保证金：本项目不收取</w:t>
      </w:r>
      <w:r>
        <w:rPr>
          <w:rFonts w:hint="eastAsia" w:ascii="宋体" w:hAnsi="宋体"/>
          <w:sz w:val="21"/>
          <w:szCs w:val="21"/>
          <w:highlight w:val="none"/>
        </w:rPr>
        <w:t>竞标</w:t>
      </w:r>
      <w:r>
        <w:rPr>
          <w:rFonts w:ascii="宋体" w:hAnsi="宋体"/>
          <w:sz w:val="21"/>
          <w:szCs w:val="21"/>
          <w:highlight w:val="none"/>
        </w:rPr>
        <w:t>保证金</w:t>
      </w:r>
      <w:r>
        <w:rPr>
          <w:rFonts w:hint="eastAsia" w:ascii="宋体" w:hAnsi="宋体" w:cs="宋体"/>
          <w:sz w:val="21"/>
          <w:szCs w:val="21"/>
          <w:highlight w:val="none"/>
        </w:rPr>
        <w:t>。</w:t>
      </w:r>
    </w:p>
    <w:p w14:paraId="3EF63D39">
      <w:pPr>
        <w:spacing w:line="276" w:lineRule="auto"/>
        <w:ind w:firstLine="420" w:firstLineChars="200"/>
        <w:rPr>
          <w:rFonts w:ascii="宋体" w:hAnsi="宋体" w:cs="宋体"/>
          <w:szCs w:val="21"/>
          <w:highlight w:val="none"/>
        </w:rPr>
      </w:pPr>
      <w:r>
        <w:rPr>
          <w:rFonts w:hint="eastAsia" w:ascii="宋体" w:hAnsi="宋体" w:cs="宋体"/>
          <w:szCs w:val="21"/>
          <w:highlight w:val="none"/>
        </w:rPr>
        <w:t>2. 本项目需要落实的政府采购政策：</w:t>
      </w:r>
    </w:p>
    <w:p w14:paraId="350D987B">
      <w:pPr>
        <w:spacing w:line="276" w:lineRule="auto"/>
        <w:ind w:firstLine="420" w:firstLineChars="200"/>
        <w:rPr>
          <w:rFonts w:ascii="宋体" w:hAnsi="宋体" w:cs="宋体"/>
          <w:szCs w:val="21"/>
          <w:highlight w:val="none"/>
        </w:rPr>
      </w:pPr>
      <w:r>
        <w:rPr>
          <w:rFonts w:hint="eastAsia" w:ascii="宋体" w:hAnsi="宋体" w:cs="宋体"/>
          <w:szCs w:val="21"/>
          <w:highlight w:val="none"/>
        </w:rPr>
        <w:t>（1）政府采购促进中小企业发展。</w:t>
      </w:r>
    </w:p>
    <w:p w14:paraId="043F4D1C">
      <w:pPr>
        <w:spacing w:line="276" w:lineRule="auto"/>
        <w:ind w:firstLine="420" w:firstLineChars="200"/>
        <w:rPr>
          <w:rFonts w:ascii="宋体" w:hAnsi="宋体" w:cs="宋体"/>
          <w:szCs w:val="21"/>
          <w:highlight w:val="none"/>
        </w:rPr>
      </w:pPr>
      <w:r>
        <w:rPr>
          <w:rFonts w:hint="eastAsia" w:ascii="宋体" w:hAnsi="宋体" w:cs="宋体"/>
          <w:szCs w:val="21"/>
          <w:highlight w:val="none"/>
        </w:rPr>
        <w:t>（2）政府采购支持采用本国产品的政策。</w:t>
      </w:r>
    </w:p>
    <w:p w14:paraId="6C3144EB">
      <w:pPr>
        <w:spacing w:line="276" w:lineRule="auto"/>
        <w:ind w:firstLine="420" w:firstLineChars="200"/>
        <w:rPr>
          <w:rFonts w:ascii="宋体" w:hAnsi="宋体" w:cs="宋体"/>
          <w:szCs w:val="21"/>
          <w:highlight w:val="none"/>
        </w:rPr>
      </w:pPr>
      <w:r>
        <w:rPr>
          <w:rFonts w:hint="eastAsia" w:ascii="宋体" w:hAnsi="宋体" w:cs="宋体"/>
          <w:szCs w:val="21"/>
          <w:highlight w:val="none"/>
        </w:rPr>
        <w:t>（3）强制采购节能产品；优先采购节能产品、环境标志产品。</w:t>
      </w:r>
    </w:p>
    <w:p w14:paraId="7C4F0D0E">
      <w:pPr>
        <w:spacing w:line="276" w:lineRule="auto"/>
        <w:ind w:firstLine="420" w:firstLineChars="200"/>
        <w:rPr>
          <w:rFonts w:ascii="宋体" w:hAnsi="宋体" w:cs="宋体"/>
          <w:szCs w:val="21"/>
          <w:highlight w:val="none"/>
        </w:rPr>
      </w:pPr>
      <w:r>
        <w:rPr>
          <w:rFonts w:hint="eastAsia" w:ascii="宋体" w:hAnsi="宋体" w:cs="宋体"/>
          <w:szCs w:val="21"/>
          <w:highlight w:val="none"/>
        </w:rPr>
        <w:t>（4）政府采购促进残疾人就业政策。</w:t>
      </w:r>
    </w:p>
    <w:p w14:paraId="01113280">
      <w:pPr>
        <w:spacing w:line="276" w:lineRule="auto"/>
        <w:ind w:firstLine="420" w:firstLineChars="200"/>
        <w:rPr>
          <w:rFonts w:ascii="宋体" w:hAnsi="宋体" w:cs="宋体"/>
          <w:szCs w:val="21"/>
          <w:highlight w:val="none"/>
        </w:rPr>
      </w:pPr>
      <w:r>
        <w:rPr>
          <w:rFonts w:hint="eastAsia" w:ascii="宋体" w:hAnsi="宋体" w:cs="宋体"/>
          <w:szCs w:val="21"/>
          <w:highlight w:val="none"/>
        </w:rPr>
        <w:t>（5）政府采购支持监狱企业发展。</w:t>
      </w:r>
    </w:p>
    <w:p w14:paraId="65254AC4">
      <w:pPr>
        <w:spacing w:line="276" w:lineRule="auto"/>
        <w:ind w:firstLine="420" w:firstLineChars="200"/>
        <w:rPr>
          <w:rFonts w:ascii="宋体" w:hAnsi="宋体" w:cs="宋体"/>
          <w:szCs w:val="21"/>
          <w:highlight w:val="none"/>
        </w:rPr>
      </w:pPr>
      <w:r>
        <w:rPr>
          <w:rFonts w:hint="eastAsia" w:ascii="宋体" w:hAnsi="宋体" w:cs="宋体"/>
          <w:szCs w:val="21"/>
          <w:highlight w:val="none"/>
        </w:rPr>
        <w:t>3. 单位负责人为同一人或者存在直接控股、管理关系的不同供应商，不得参加同一合同项下的政府采购活动。</w:t>
      </w:r>
      <w:r>
        <w:rPr>
          <w:rFonts w:hint="eastAsia" w:ascii="宋体" w:hAnsi="宋体" w:cs="宋体"/>
          <w:kern w:val="0"/>
          <w:szCs w:val="21"/>
          <w:highlight w:val="none"/>
        </w:rPr>
        <w:t>除单一来源采购项目外，</w:t>
      </w:r>
      <w:r>
        <w:rPr>
          <w:rFonts w:hint="eastAsia" w:ascii="宋体" w:hAnsi="宋体" w:cs="宋体"/>
          <w:szCs w:val="21"/>
          <w:highlight w:val="none"/>
        </w:rPr>
        <w:t>为本项目提供过整体设计、规范编制或者项目管理、监理、检测等服务的供应商，不得再参加本项目的其他采购活动。</w:t>
      </w:r>
    </w:p>
    <w:p w14:paraId="3C970C69">
      <w:pPr>
        <w:spacing w:line="276" w:lineRule="auto"/>
        <w:ind w:firstLine="420" w:firstLineChars="200"/>
        <w:rPr>
          <w:rFonts w:ascii="宋体" w:hAnsi="宋体" w:cs="宋体"/>
          <w:kern w:val="0"/>
          <w:szCs w:val="21"/>
          <w:highlight w:val="none"/>
        </w:rPr>
      </w:pPr>
      <w:r>
        <w:rPr>
          <w:rFonts w:hint="eastAsia" w:ascii="宋体" w:hAnsi="宋体" w:cs="宋体"/>
          <w:kern w:val="0"/>
          <w:szCs w:val="21"/>
          <w:highlight w:val="none"/>
        </w:rPr>
        <w:t>4. 对在“信用中国”网站、中国政府采购网等渠道列入失信被执行人、重大税收违法失信主体、政府采购严重违法失信行为记录名单及其他不符合《中华人民共和国政府采购法》第二十二条规定条件的供应商，不得参与政府采购活动。</w:t>
      </w:r>
    </w:p>
    <w:p w14:paraId="2F518F41">
      <w:pPr>
        <w:spacing w:line="276" w:lineRule="auto"/>
        <w:ind w:firstLine="420" w:firstLineChars="200"/>
        <w:rPr>
          <w:rFonts w:ascii="宋体" w:hAnsi="宋体" w:cs="宋体"/>
          <w:szCs w:val="21"/>
          <w:highlight w:val="none"/>
        </w:rPr>
      </w:pPr>
      <w:r>
        <w:rPr>
          <w:rFonts w:hint="eastAsia" w:ascii="宋体" w:hAnsi="宋体" w:cs="宋体"/>
          <w:szCs w:val="21"/>
          <w:highlight w:val="none"/>
        </w:rPr>
        <w:t>5.在线竞标响应（电子投标）说明</w:t>
      </w:r>
    </w:p>
    <w:p w14:paraId="24E2D880">
      <w:pPr>
        <w:spacing w:line="276" w:lineRule="auto"/>
        <w:ind w:firstLine="420" w:firstLineChars="200"/>
        <w:rPr>
          <w:rFonts w:ascii="宋体" w:hAnsi="宋体" w:cs="宋体"/>
          <w:kern w:val="0"/>
          <w:szCs w:val="21"/>
          <w:highlight w:val="none"/>
        </w:rPr>
      </w:pPr>
      <w:r>
        <w:rPr>
          <w:rFonts w:hint="eastAsia" w:ascii="宋体" w:hAnsi="宋体" w:cs="宋体"/>
          <w:kern w:val="0"/>
          <w:szCs w:val="21"/>
          <w:highlight w:val="none"/>
        </w:rPr>
        <w:t>（1）本项目为全流程电子化采购项目，通过“广西政府采购云平台”（https://www.gcy.zfcg.gxzf.gov.cn）实行在线电子竞标，供应商应先安装“广西政府采购云平台客户端”（请自行前往“广西政府采购网—办事服务—下载专区”进行下载），并按照本项目竞争性采购文件和“广西政府采购云平台”的要求编制、加密后在提交响应文件截止时间前通过网络上传至 “广西政府采购云平台”（加密的电子响应文件是指后缀名为“jmbs”的文件），供应商在“广西政府采购云平台”提交电子响应文件时，请填写参加远程采购活动经办人联系方式。供应商登录“广西政府采购云平台”，依次进入“服务中心-项目采购-操作流程-电子招投标-政府采购项目电子交易管理操作指南-供应商”查看电子竞标具体操作流程。</w:t>
      </w:r>
    </w:p>
    <w:p w14:paraId="59B17E96">
      <w:pPr>
        <w:spacing w:line="276" w:lineRule="auto"/>
        <w:ind w:firstLine="420" w:firstLineChars="200"/>
        <w:rPr>
          <w:rFonts w:ascii="宋体" w:hAnsi="宋体" w:cs="宋体"/>
          <w:kern w:val="0"/>
          <w:szCs w:val="21"/>
          <w:highlight w:val="none"/>
        </w:rPr>
      </w:pPr>
      <w:r>
        <w:rPr>
          <w:rFonts w:hint="eastAsia" w:ascii="宋体" w:hAnsi="宋体" w:cs="宋体"/>
          <w:kern w:val="0"/>
          <w:szCs w:val="21"/>
          <w:highlight w:val="none"/>
        </w:rPr>
        <w:t>（2）未进行网上注册并办理数字证书（CA认证）的供应商将无法参与本项目政府采购活动，供应商应当在提交响应文件截止时间前，完成电子交易平台上的CA数字证书办理及响应文件的提交（供应商可登录“广西政府采购网”，依次进入“办事服务-下载专区”或者登陆“广西政府采购云平台”，依次进入“服务中心-入驻与配置”中查看CA数字证书办理操作流程。如在操作过程中遇到问题或者需要技术支持，请致电广西政府采购云客服热线：95763）。</w:t>
      </w:r>
    </w:p>
    <w:p w14:paraId="2D8E8F4E">
      <w:pPr>
        <w:spacing w:line="276" w:lineRule="auto"/>
        <w:ind w:firstLine="420" w:firstLineChars="200"/>
        <w:rPr>
          <w:rFonts w:ascii="宋体" w:hAnsi="宋体" w:cs="宋体"/>
          <w:kern w:val="0"/>
          <w:szCs w:val="21"/>
          <w:highlight w:val="none"/>
        </w:rPr>
      </w:pPr>
      <w:r>
        <w:rPr>
          <w:rFonts w:hint="eastAsia" w:ascii="宋体" w:hAnsi="宋体" w:cs="宋体"/>
          <w:kern w:val="0"/>
          <w:szCs w:val="21"/>
          <w:highlight w:val="none"/>
        </w:rPr>
        <w:t>（3）CA证书在线解密：首次响应文件开启时，需携带制作响应文件时用来加密的有效数字证书（CA认证）登录“广西政府采购云平台”电子开标大厅现场按规定时间对加密的响应文件进行解密，否则后果自负。</w:t>
      </w:r>
    </w:p>
    <w:p w14:paraId="7378BE0E">
      <w:pPr>
        <w:spacing w:line="276" w:lineRule="auto"/>
        <w:ind w:firstLine="420" w:firstLineChars="200"/>
        <w:rPr>
          <w:rFonts w:ascii="宋体" w:hAnsi="宋体" w:cs="宋体"/>
          <w:kern w:val="0"/>
          <w:szCs w:val="21"/>
          <w:highlight w:val="none"/>
        </w:rPr>
      </w:pPr>
      <w:r>
        <w:rPr>
          <w:rFonts w:hint="eastAsia" w:ascii="宋体" w:hAnsi="宋体" w:cs="宋体"/>
          <w:kern w:val="0"/>
          <w:szCs w:val="21"/>
          <w:highlight w:val="none"/>
        </w:rPr>
        <w:t>注：1）为确保网上操作合法、有效和安全，请供应商确保在电子竞标过程中能够对相关数据电文进行加密和使用电子签章，妥善保管CA数字证书并使用有效的CA数字证书参与整个采购活动。2）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广西政府采购云平台”将予以拒收。</w:t>
      </w:r>
    </w:p>
    <w:p w14:paraId="22AD4847">
      <w:pPr>
        <w:spacing w:line="276" w:lineRule="auto"/>
        <w:ind w:firstLine="420" w:firstLineChars="200"/>
        <w:rPr>
          <w:rFonts w:ascii="宋体" w:hAnsi="宋体" w:cs="宋体"/>
          <w:szCs w:val="21"/>
          <w:highlight w:val="none"/>
        </w:rPr>
      </w:pPr>
      <w:r>
        <w:rPr>
          <w:rFonts w:hint="eastAsia" w:ascii="宋体" w:hAnsi="宋体" w:cs="宋体"/>
          <w:kern w:val="0"/>
          <w:szCs w:val="21"/>
          <w:highlight w:val="none"/>
        </w:rPr>
        <w:t>6.网上查询地址：http://www.ccgp.gov.cn（中国政府采购网）、</w:t>
      </w:r>
      <w:r>
        <w:rPr>
          <w:rFonts w:hint="eastAsia" w:ascii="宋体" w:hAnsi="宋体" w:cs="宋体"/>
          <w:sz w:val="21"/>
          <w:szCs w:val="21"/>
          <w:highlight w:val="none"/>
        </w:rPr>
        <w:t>https://www.gcy.zfcg.gxzf.gov.cn/</w:t>
      </w:r>
      <w:r>
        <w:rPr>
          <w:rFonts w:hint="eastAsia" w:ascii="宋体" w:hAnsi="宋体" w:cs="宋体"/>
          <w:kern w:val="0"/>
          <w:szCs w:val="21"/>
          <w:highlight w:val="none"/>
        </w:rPr>
        <w:t>（广西壮族自治区政府采购网）、http://ggzy.jgswj.gxzf.gov.cn/ggggzy/全国公共资源交易平台(广西.贵港)。</w:t>
      </w:r>
    </w:p>
    <w:p w14:paraId="7D432D8F">
      <w:pPr>
        <w:spacing w:line="276" w:lineRule="auto"/>
        <w:ind w:firstLine="420" w:firstLineChars="200"/>
        <w:rPr>
          <w:rFonts w:ascii="宋体" w:hAnsi="宋体" w:cs="宋体"/>
          <w:szCs w:val="21"/>
          <w:highlight w:val="none"/>
        </w:rPr>
      </w:pPr>
      <w:r>
        <w:rPr>
          <w:rFonts w:hint="eastAsia" w:ascii="宋体" w:hAnsi="宋体" w:cs="宋体"/>
          <w:szCs w:val="21"/>
          <w:highlight w:val="none"/>
          <w:lang w:val="en-US" w:eastAsia="zh-CN"/>
        </w:rPr>
        <w:t>7</w:t>
      </w:r>
      <w:r>
        <w:rPr>
          <w:rFonts w:hint="eastAsia" w:ascii="宋体" w:hAnsi="宋体" w:cs="宋体"/>
          <w:szCs w:val="21"/>
          <w:highlight w:val="none"/>
        </w:rPr>
        <w:t>.采购监督管理部门：贵港市财政局政府采购监督管理科，电话：0775-4555290、0775-4564649</w:t>
      </w:r>
    </w:p>
    <w:p w14:paraId="3111F008">
      <w:pPr>
        <w:spacing w:line="276" w:lineRule="auto"/>
        <w:ind w:firstLine="420" w:firstLineChars="200"/>
        <w:rPr>
          <w:rFonts w:ascii="宋体" w:hAnsi="宋体" w:cs="宋体"/>
          <w:szCs w:val="21"/>
          <w:highlight w:val="none"/>
        </w:rPr>
      </w:pPr>
      <w:r>
        <w:rPr>
          <w:rFonts w:hint="eastAsia" w:ascii="宋体" w:hAnsi="宋体" w:cs="宋体"/>
          <w:szCs w:val="21"/>
          <w:highlight w:val="none"/>
          <w:lang w:val="en-US" w:eastAsia="zh-CN"/>
        </w:rPr>
        <w:t>8</w:t>
      </w:r>
      <w:r>
        <w:rPr>
          <w:rFonts w:hint="eastAsia" w:ascii="宋体" w:hAnsi="宋体" w:cs="宋体"/>
          <w:szCs w:val="21"/>
          <w:highlight w:val="none"/>
        </w:rPr>
        <w:t>.广西政府采购云客服热线：95763。</w:t>
      </w:r>
    </w:p>
    <w:p w14:paraId="7AA0C9B6">
      <w:pPr>
        <w:pStyle w:val="16"/>
        <w:spacing w:before="0" w:beforeAutospacing="0" w:after="0" w:afterAutospacing="0" w:line="276" w:lineRule="auto"/>
        <w:jc w:val="both"/>
        <w:rPr>
          <w:rFonts w:ascii="宋体" w:hAnsi="宋体" w:cs="宋体"/>
          <w:sz w:val="21"/>
          <w:szCs w:val="21"/>
          <w:highlight w:val="none"/>
        </w:rPr>
      </w:pPr>
      <w:r>
        <w:rPr>
          <w:rStyle w:val="22"/>
          <w:rFonts w:hint="eastAsia" w:ascii="宋体" w:hAnsi="宋体" w:cs="宋体"/>
          <w:sz w:val="21"/>
          <w:szCs w:val="21"/>
          <w:highlight w:val="none"/>
        </w:rPr>
        <w:t>八、凡对本次招标提出询问，请按以下方式联系</w:t>
      </w:r>
    </w:p>
    <w:p w14:paraId="536E12E9">
      <w:pPr>
        <w:pStyle w:val="16"/>
        <w:spacing w:before="0" w:beforeAutospacing="0" w:after="0" w:afterAutospacing="0" w:line="276" w:lineRule="auto"/>
        <w:ind w:firstLine="210" w:firstLineChars="100"/>
        <w:rPr>
          <w:rFonts w:ascii="宋体" w:hAnsi="宋体" w:cs="宋体"/>
          <w:sz w:val="21"/>
          <w:szCs w:val="21"/>
          <w:highlight w:val="none"/>
        </w:rPr>
      </w:pPr>
      <w:r>
        <w:rPr>
          <w:rFonts w:hint="eastAsia" w:ascii="宋体" w:hAnsi="宋体" w:cs="宋体"/>
          <w:sz w:val="21"/>
          <w:szCs w:val="21"/>
          <w:highlight w:val="none"/>
        </w:rPr>
        <w:t>1、采购人信息</w:t>
      </w:r>
    </w:p>
    <w:p w14:paraId="1721CBC7">
      <w:pPr>
        <w:pStyle w:val="16"/>
        <w:spacing w:before="0" w:beforeAutospacing="0" w:after="0" w:afterAutospacing="0" w:line="276" w:lineRule="auto"/>
        <w:ind w:firstLine="420" w:firstLineChars="200"/>
        <w:rPr>
          <w:rFonts w:hint="default" w:ascii="宋体" w:hAnsi="宋体" w:cs="宋体"/>
          <w:sz w:val="21"/>
          <w:szCs w:val="21"/>
          <w:highlight w:val="none"/>
          <w:lang w:val="en-US" w:eastAsia="zh-CN"/>
        </w:rPr>
      </w:pPr>
      <w:r>
        <w:rPr>
          <w:rFonts w:hint="eastAsia" w:ascii="宋体" w:hAnsi="宋体" w:cs="宋体"/>
          <w:sz w:val="21"/>
          <w:szCs w:val="21"/>
          <w:highlight w:val="none"/>
        </w:rPr>
        <w:t>名 称：贵港市公共检验检测中心</w:t>
      </w:r>
    </w:p>
    <w:p w14:paraId="04BAAEAB">
      <w:pPr>
        <w:pStyle w:val="16"/>
        <w:spacing w:before="0" w:beforeAutospacing="0" w:after="0" w:afterAutospacing="0" w:line="276" w:lineRule="auto"/>
        <w:ind w:firstLine="420" w:firstLineChars="200"/>
        <w:rPr>
          <w:rFonts w:ascii="宋体" w:hAnsi="宋体" w:cs="宋体"/>
          <w:sz w:val="21"/>
          <w:szCs w:val="21"/>
          <w:highlight w:val="none"/>
        </w:rPr>
      </w:pPr>
      <w:r>
        <w:rPr>
          <w:rFonts w:hint="eastAsia" w:ascii="宋体" w:hAnsi="宋体" w:cs="宋体"/>
          <w:sz w:val="21"/>
          <w:szCs w:val="21"/>
          <w:highlight w:val="none"/>
        </w:rPr>
        <w:t>地 址：贵港市港北区修正大道2269号 </w:t>
      </w:r>
    </w:p>
    <w:p w14:paraId="5CD76D33">
      <w:pPr>
        <w:pStyle w:val="16"/>
        <w:spacing w:before="0" w:beforeAutospacing="0" w:after="0" w:afterAutospacing="0" w:line="276" w:lineRule="auto"/>
        <w:ind w:firstLine="420" w:firstLineChars="200"/>
        <w:rPr>
          <w:rFonts w:hint="eastAsia" w:ascii="宋体" w:hAnsi="宋体" w:eastAsia="宋体" w:cs="宋体"/>
          <w:sz w:val="21"/>
          <w:szCs w:val="21"/>
          <w:highlight w:val="none"/>
          <w:lang w:eastAsia="zh-CN"/>
        </w:rPr>
      </w:pPr>
      <w:r>
        <w:rPr>
          <w:rFonts w:hint="eastAsia" w:ascii="宋体" w:hAnsi="宋体" w:cs="宋体"/>
          <w:sz w:val="21"/>
          <w:szCs w:val="21"/>
          <w:highlight w:val="none"/>
        </w:rPr>
        <w:t>项目联系人：</w:t>
      </w:r>
      <w:r>
        <w:rPr>
          <w:rFonts w:hint="eastAsia" w:ascii="宋体" w:hAnsi="宋体" w:cs="宋体"/>
          <w:sz w:val="21"/>
          <w:szCs w:val="21"/>
          <w:highlight w:val="none"/>
          <w:lang w:eastAsia="zh-CN"/>
        </w:rPr>
        <w:t>李工</w:t>
      </w:r>
    </w:p>
    <w:p w14:paraId="0F614A27">
      <w:pPr>
        <w:pStyle w:val="16"/>
        <w:spacing w:before="0" w:beforeAutospacing="0" w:after="0" w:afterAutospacing="0" w:line="276" w:lineRule="auto"/>
        <w:ind w:firstLine="420" w:firstLineChars="200"/>
        <w:rPr>
          <w:rFonts w:hint="default" w:ascii="宋体" w:hAnsi="宋体" w:eastAsia="宋体" w:cs="宋体"/>
          <w:sz w:val="21"/>
          <w:szCs w:val="21"/>
          <w:highlight w:val="none"/>
          <w:lang w:val="en-US" w:eastAsia="zh-CN"/>
        </w:rPr>
      </w:pPr>
      <w:r>
        <w:rPr>
          <w:rFonts w:hint="eastAsia" w:ascii="宋体" w:hAnsi="宋体" w:cs="宋体"/>
          <w:sz w:val="21"/>
          <w:szCs w:val="21"/>
          <w:highlight w:val="none"/>
        </w:rPr>
        <w:t>项目联系方式：</w:t>
      </w:r>
      <w:r>
        <w:rPr>
          <w:rFonts w:hint="eastAsia" w:ascii="宋体" w:hAnsi="宋体" w:cs="宋体"/>
          <w:sz w:val="21"/>
          <w:szCs w:val="21"/>
          <w:highlight w:val="none"/>
          <w:lang w:val="en-US" w:eastAsia="zh-CN"/>
        </w:rPr>
        <w:t>0775-2918123</w:t>
      </w:r>
    </w:p>
    <w:p w14:paraId="75749982">
      <w:pPr>
        <w:pStyle w:val="16"/>
        <w:spacing w:before="0" w:beforeAutospacing="0" w:after="0" w:afterAutospacing="0" w:line="276" w:lineRule="auto"/>
        <w:ind w:firstLine="210" w:firstLineChars="100"/>
        <w:rPr>
          <w:rFonts w:ascii="宋体" w:hAnsi="宋体" w:cs="宋体"/>
          <w:sz w:val="21"/>
          <w:szCs w:val="21"/>
          <w:highlight w:val="none"/>
        </w:rPr>
      </w:pPr>
      <w:r>
        <w:rPr>
          <w:rFonts w:hint="eastAsia" w:ascii="宋体" w:hAnsi="宋体" w:cs="宋体"/>
          <w:sz w:val="21"/>
          <w:szCs w:val="21"/>
          <w:highlight w:val="none"/>
        </w:rPr>
        <w:t>2、采购代理机构信息</w:t>
      </w:r>
    </w:p>
    <w:p w14:paraId="75117DA8">
      <w:pPr>
        <w:spacing w:line="276" w:lineRule="auto"/>
        <w:ind w:firstLine="420" w:firstLineChars="200"/>
        <w:rPr>
          <w:rFonts w:hint="eastAsia" w:ascii="宋体" w:hAnsi="宋体" w:cs="宋体"/>
          <w:szCs w:val="21"/>
          <w:highlight w:val="none"/>
          <w:lang w:eastAsia="zh-CN"/>
        </w:rPr>
      </w:pPr>
      <w:r>
        <w:rPr>
          <w:rFonts w:hint="eastAsia" w:ascii="宋体" w:hAnsi="宋体" w:cs="宋体"/>
          <w:szCs w:val="21"/>
          <w:highlight w:val="none"/>
        </w:rPr>
        <w:t>名  称：</w:t>
      </w:r>
      <w:r>
        <w:rPr>
          <w:rFonts w:hint="eastAsia" w:ascii="宋体" w:hAnsi="宋体" w:cs="宋体"/>
          <w:szCs w:val="21"/>
          <w:highlight w:val="none"/>
          <w:lang w:eastAsia="zh-CN"/>
        </w:rPr>
        <w:t>中禹鑫工程项目管理有限公司</w:t>
      </w:r>
    </w:p>
    <w:p w14:paraId="56A455B7">
      <w:pPr>
        <w:spacing w:line="276" w:lineRule="auto"/>
        <w:ind w:firstLine="420" w:firstLineChars="200"/>
        <w:rPr>
          <w:rFonts w:hint="eastAsia" w:ascii="宋体" w:hAnsi="宋体" w:eastAsia="宋体" w:cs="宋体"/>
          <w:szCs w:val="21"/>
          <w:highlight w:val="none"/>
          <w:lang w:eastAsia="zh-CN"/>
        </w:rPr>
      </w:pPr>
      <w:r>
        <w:rPr>
          <w:rFonts w:hint="eastAsia" w:ascii="宋体" w:hAnsi="宋体" w:cs="宋体"/>
          <w:szCs w:val="21"/>
          <w:highlight w:val="none"/>
        </w:rPr>
        <w:t>地　址：</w:t>
      </w:r>
      <w:r>
        <w:rPr>
          <w:rFonts w:hint="eastAsia" w:cs="宋体" w:asciiTheme="minorEastAsia" w:hAnsiTheme="minorEastAsia" w:eastAsiaTheme="minorEastAsia"/>
          <w:bCs/>
          <w:kern w:val="0"/>
          <w:szCs w:val="21"/>
        </w:rPr>
        <w:t>贵港市覃塘区覃塘镇中山大道9号向南居·汉唐世家二组团8幢1层8803号</w:t>
      </w:r>
    </w:p>
    <w:p w14:paraId="347D2B9D">
      <w:pPr>
        <w:spacing w:line="276" w:lineRule="auto"/>
        <w:ind w:firstLine="420" w:firstLineChars="200"/>
        <w:rPr>
          <w:rFonts w:hint="eastAsia" w:ascii="宋体" w:hAnsi="宋体" w:cs="宋体"/>
          <w:szCs w:val="21"/>
          <w:highlight w:val="none"/>
          <w:lang w:val="en-US" w:eastAsia="zh-CN"/>
        </w:rPr>
      </w:pPr>
      <w:r>
        <w:rPr>
          <w:rFonts w:ascii="宋体" w:hAnsi="宋体" w:cs="宋体"/>
          <w:szCs w:val="21"/>
          <w:highlight w:val="none"/>
        </w:rPr>
        <w:t>项目联系人</w:t>
      </w:r>
      <w:r>
        <w:rPr>
          <w:rFonts w:hint="eastAsia" w:ascii="宋体" w:hAnsi="宋体" w:cs="宋体"/>
          <w:szCs w:val="21"/>
          <w:highlight w:val="none"/>
        </w:rPr>
        <w:t>：</w:t>
      </w:r>
      <w:r>
        <w:rPr>
          <w:rFonts w:hint="eastAsia" w:ascii="宋体" w:hAnsi="宋体" w:cs="宋体"/>
          <w:szCs w:val="21"/>
          <w:highlight w:val="none"/>
          <w:lang w:eastAsia="zh-CN"/>
        </w:rPr>
        <w:t>林</w:t>
      </w:r>
      <w:r>
        <w:rPr>
          <w:rFonts w:hint="eastAsia" w:ascii="宋体" w:hAnsi="宋体" w:cs="宋体"/>
          <w:szCs w:val="21"/>
          <w:highlight w:val="none"/>
          <w:lang w:val="en-US" w:eastAsia="zh-CN"/>
        </w:rPr>
        <w:t>工</w:t>
      </w:r>
    </w:p>
    <w:p w14:paraId="30371824">
      <w:pPr>
        <w:spacing w:line="276" w:lineRule="auto"/>
        <w:ind w:firstLine="420" w:firstLineChars="200"/>
        <w:rPr>
          <w:rFonts w:hint="default" w:ascii="宋体" w:hAnsi="宋体" w:cs="宋体"/>
          <w:szCs w:val="21"/>
          <w:highlight w:val="none"/>
          <w:lang w:val="en-US"/>
        </w:rPr>
      </w:pPr>
      <w:r>
        <w:rPr>
          <w:rFonts w:ascii="宋体" w:hAnsi="宋体" w:cs="宋体"/>
          <w:szCs w:val="21"/>
          <w:highlight w:val="none"/>
        </w:rPr>
        <w:t>联系方式</w:t>
      </w:r>
      <w:r>
        <w:rPr>
          <w:rFonts w:hint="eastAsia" w:ascii="宋体" w:hAnsi="宋体" w:cs="宋体"/>
          <w:szCs w:val="21"/>
          <w:highlight w:val="none"/>
        </w:rPr>
        <w:t>：</w:t>
      </w:r>
      <w:r>
        <w:rPr>
          <w:rFonts w:hint="eastAsia" w:ascii="宋体" w:hAnsi="宋体" w:cs="宋体"/>
          <w:szCs w:val="21"/>
          <w:highlight w:val="none"/>
          <w:lang w:val="en-US" w:eastAsia="zh-CN"/>
        </w:rPr>
        <w:t>13471575057</w:t>
      </w:r>
    </w:p>
    <w:p w14:paraId="68C435F0">
      <w:pPr>
        <w:spacing w:line="276" w:lineRule="auto"/>
        <w:ind w:firstLine="420" w:firstLineChars="200"/>
        <w:rPr>
          <w:rFonts w:hint="eastAsia" w:ascii="宋体" w:hAnsi="宋体" w:eastAsia="宋体" w:cs="宋体"/>
          <w:color w:val="auto"/>
          <w:szCs w:val="21"/>
          <w:highlight w:val="none"/>
          <w:lang w:eastAsia="zh-CN"/>
        </w:rPr>
      </w:pPr>
    </w:p>
    <w:p w14:paraId="60E9F5BC">
      <w:pPr>
        <w:ind w:firstLine="5040" w:firstLineChars="2400"/>
        <w:rPr>
          <w:rFonts w:hint="eastAsia" w:ascii="宋体" w:hAnsi="宋体" w:cs="宋体"/>
          <w:color w:val="auto"/>
          <w:szCs w:val="21"/>
          <w:highlight w:val="none"/>
          <w:lang w:val="en-US" w:eastAsia="zh-CN"/>
        </w:rPr>
      </w:pPr>
      <w:bookmarkStart w:id="1" w:name="_Toc119076879"/>
      <w:r>
        <w:rPr>
          <w:rFonts w:hint="eastAsia" w:ascii="宋体" w:hAnsi="宋体" w:cs="宋体"/>
          <w:color w:val="auto"/>
          <w:szCs w:val="21"/>
          <w:highlight w:val="none"/>
          <w:lang w:eastAsia="zh-CN"/>
        </w:rPr>
        <w:t>中禹鑫工程项目管理有限公司</w:t>
      </w:r>
      <w:r>
        <w:rPr>
          <w:rFonts w:hint="eastAsia" w:ascii="宋体" w:hAnsi="宋体" w:cs="宋体"/>
          <w:color w:val="auto"/>
          <w:szCs w:val="21"/>
          <w:highlight w:val="none"/>
          <w:lang w:val="en-US" w:eastAsia="zh-CN"/>
        </w:rPr>
        <w:t xml:space="preserve"> </w:t>
      </w:r>
    </w:p>
    <w:p w14:paraId="3CB83607">
      <w:pPr>
        <w:ind w:firstLine="5880" w:firstLineChars="2800"/>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 xml:space="preserve"> 2026年9月23日</w:t>
      </w:r>
    </w:p>
    <w:p w14:paraId="59B7DC03">
      <w:pPr>
        <w:pStyle w:val="3"/>
        <w:spacing w:line="240" w:lineRule="auto"/>
        <w:rPr>
          <w:rFonts w:hint="eastAsia"/>
          <w:color w:val="auto"/>
          <w:szCs w:val="30"/>
          <w:highlight w:val="none"/>
        </w:rPr>
      </w:pPr>
    </w:p>
    <w:p w14:paraId="36914D42">
      <w:pPr>
        <w:pStyle w:val="3"/>
        <w:spacing w:line="240" w:lineRule="auto"/>
        <w:rPr>
          <w:rFonts w:hint="eastAsia"/>
          <w:szCs w:val="30"/>
          <w:highlight w:val="none"/>
        </w:rPr>
      </w:pPr>
    </w:p>
    <w:p w14:paraId="1AE21E70">
      <w:pPr>
        <w:pStyle w:val="3"/>
        <w:spacing w:line="240" w:lineRule="auto"/>
        <w:jc w:val="both"/>
        <w:rPr>
          <w:rFonts w:hint="eastAsia"/>
          <w:szCs w:val="30"/>
          <w:highlight w:val="none"/>
        </w:rPr>
      </w:pPr>
    </w:p>
    <w:p w14:paraId="04AAC492">
      <w:pPr>
        <w:rPr>
          <w:rFonts w:hint="eastAsia"/>
          <w:szCs w:val="30"/>
          <w:highlight w:val="none"/>
        </w:rPr>
      </w:pPr>
    </w:p>
    <w:p w14:paraId="3456C8B3">
      <w:pPr>
        <w:rPr>
          <w:rFonts w:hint="eastAsia"/>
          <w:szCs w:val="30"/>
          <w:highlight w:val="none"/>
        </w:rPr>
      </w:pPr>
    </w:p>
    <w:p w14:paraId="1802CD7B">
      <w:pPr>
        <w:rPr>
          <w:rFonts w:hint="eastAsia"/>
          <w:szCs w:val="30"/>
          <w:highlight w:val="none"/>
        </w:rPr>
      </w:pPr>
    </w:p>
    <w:p w14:paraId="3BF9D656">
      <w:pPr>
        <w:rPr>
          <w:rFonts w:hint="eastAsia"/>
          <w:szCs w:val="30"/>
          <w:highlight w:val="none"/>
        </w:rPr>
      </w:pPr>
    </w:p>
    <w:p w14:paraId="1AF99B07">
      <w:pPr>
        <w:rPr>
          <w:rFonts w:hint="eastAsia"/>
          <w:szCs w:val="30"/>
          <w:highlight w:val="none"/>
        </w:rPr>
      </w:pPr>
    </w:p>
    <w:p w14:paraId="3B14D1D7">
      <w:pPr>
        <w:rPr>
          <w:rFonts w:hint="eastAsia"/>
          <w:szCs w:val="30"/>
          <w:highlight w:val="none"/>
        </w:rPr>
      </w:pPr>
    </w:p>
    <w:p w14:paraId="497F0241">
      <w:pPr>
        <w:rPr>
          <w:rFonts w:hint="eastAsia"/>
          <w:szCs w:val="30"/>
          <w:highlight w:val="none"/>
        </w:rPr>
      </w:pPr>
    </w:p>
    <w:p w14:paraId="5414CB55">
      <w:pPr>
        <w:rPr>
          <w:rFonts w:hint="eastAsia"/>
          <w:szCs w:val="30"/>
          <w:highlight w:val="none"/>
        </w:rPr>
      </w:pPr>
    </w:p>
    <w:p w14:paraId="343D4872">
      <w:pPr>
        <w:rPr>
          <w:rFonts w:hint="eastAsia"/>
          <w:szCs w:val="30"/>
          <w:highlight w:val="none"/>
        </w:rPr>
      </w:pPr>
    </w:p>
    <w:p w14:paraId="113DDEDA">
      <w:pPr>
        <w:rPr>
          <w:rFonts w:hint="eastAsia"/>
          <w:szCs w:val="30"/>
          <w:highlight w:val="none"/>
        </w:rPr>
      </w:pPr>
    </w:p>
    <w:p w14:paraId="0B37EDE0">
      <w:pPr>
        <w:rPr>
          <w:rFonts w:hint="eastAsia"/>
          <w:szCs w:val="30"/>
          <w:highlight w:val="none"/>
        </w:rPr>
      </w:pPr>
    </w:p>
    <w:p w14:paraId="35FBFD4E">
      <w:pPr>
        <w:pStyle w:val="3"/>
        <w:spacing w:line="240" w:lineRule="auto"/>
        <w:jc w:val="center"/>
        <w:rPr>
          <w:szCs w:val="30"/>
          <w:highlight w:val="none"/>
        </w:rPr>
      </w:pPr>
      <w:r>
        <w:rPr>
          <w:rFonts w:hint="eastAsia"/>
          <w:szCs w:val="30"/>
          <w:highlight w:val="none"/>
        </w:rPr>
        <w:t>第二章  供应商须知及前附表</w:t>
      </w:r>
      <w:bookmarkEnd w:id="1"/>
    </w:p>
    <w:p w14:paraId="38BE30B7">
      <w:pPr>
        <w:pStyle w:val="4"/>
        <w:spacing w:before="0" w:after="0" w:line="240" w:lineRule="auto"/>
        <w:rPr>
          <w:highlight w:val="none"/>
        </w:rPr>
      </w:pPr>
      <w:bookmarkStart w:id="2" w:name="_Toc119076880"/>
      <w:r>
        <w:rPr>
          <w:rFonts w:hint="eastAsia"/>
          <w:highlight w:val="none"/>
        </w:rPr>
        <w:t>供应商须知前附表</w:t>
      </w:r>
      <w:bookmarkEnd w:id="2"/>
    </w:p>
    <w:tbl>
      <w:tblPr>
        <w:tblStyle w:val="19"/>
        <w:tblW w:w="93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4"/>
        <w:gridCol w:w="8355"/>
      </w:tblGrid>
      <w:tr w14:paraId="593DC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954" w:type="dxa"/>
            <w:vAlign w:val="center"/>
          </w:tcPr>
          <w:p w14:paraId="2FF31107">
            <w:pPr>
              <w:spacing w:line="400" w:lineRule="exact"/>
              <w:jc w:val="center"/>
              <w:rPr>
                <w:rFonts w:ascii="宋体" w:hAnsi="宋体"/>
                <w:szCs w:val="21"/>
                <w:highlight w:val="none"/>
              </w:rPr>
            </w:pPr>
            <w:r>
              <w:rPr>
                <w:rFonts w:hint="eastAsia" w:ascii="宋体" w:hAnsi="宋体"/>
                <w:szCs w:val="21"/>
                <w:highlight w:val="none"/>
              </w:rPr>
              <w:t>条款号</w:t>
            </w:r>
          </w:p>
        </w:tc>
        <w:tc>
          <w:tcPr>
            <w:tcW w:w="8355" w:type="dxa"/>
            <w:vAlign w:val="center"/>
          </w:tcPr>
          <w:p w14:paraId="04240FC6">
            <w:pPr>
              <w:spacing w:line="400" w:lineRule="exact"/>
              <w:jc w:val="center"/>
              <w:rPr>
                <w:rFonts w:ascii="宋体" w:hAnsi="宋体"/>
                <w:szCs w:val="21"/>
                <w:highlight w:val="none"/>
              </w:rPr>
            </w:pPr>
            <w:r>
              <w:rPr>
                <w:rFonts w:hint="eastAsia" w:ascii="宋体" w:hAnsi="宋体"/>
                <w:szCs w:val="21"/>
                <w:highlight w:val="none"/>
              </w:rPr>
              <w:t>内    容</w:t>
            </w:r>
          </w:p>
        </w:tc>
      </w:tr>
      <w:tr w14:paraId="29F0B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54" w:type="dxa"/>
            <w:vAlign w:val="center"/>
          </w:tcPr>
          <w:p w14:paraId="41803B9F">
            <w:pPr>
              <w:spacing w:line="400" w:lineRule="exact"/>
              <w:jc w:val="center"/>
              <w:rPr>
                <w:rFonts w:ascii="宋体" w:hAnsi="宋体"/>
                <w:szCs w:val="21"/>
                <w:highlight w:val="none"/>
              </w:rPr>
            </w:pPr>
            <w:r>
              <w:rPr>
                <w:rFonts w:hint="eastAsia" w:ascii="宋体" w:hAnsi="宋体"/>
                <w:szCs w:val="21"/>
                <w:highlight w:val="none"/>
              </w:rPr>
              <w:t>3</w:t>
            </w:r>
          </w:p>
        </w:tc>
        <w:tc>
          <w:tcPr>
            <w:tcW w:w="8355" w:type="dxa"/>
            <w:vAlign w:val="center"/>
          </w:tcPr>
          <w:p w14:paraId="51B101C0">
            <w:pPr>
              <w:spacing w:line="360" w:lineRule="exact"/>
              <w:jc w:val="left"/>
              <w:rPr>
                <w:rFonts w:ascii="宋体" w:hAnsi="宋体"/>
                <w:szCs w:val="21"/>
                <w:highlight w:val="none"/>
              </w:rPr>
            </w:pPr>
            <w:r>
              <w:rPr>
                <w:rFonts w:hint="eastAsia" w:ascii="宋体" w:hAnsi="宋体"/>
                <w:szCs w:val="21"/>
                <w:highlight w:val="none"/>
              </w:rPr>
              <w:t>供应商资格条件：详见竞争性谈判采购公告。</w:t>
            </w:r>
          </w:p>
        </w:tc>
      </w:tr>
      <w:tr w14:paraId="1A3D0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954" w:type="dxa"/>
            <w:vAlign w:val="center"/>
          </w:tcPr>
          <w:p w14:paraId="25EEA315">
            <w:pPr>
              <w:spacing w:line="400" w:lineRule="exact"/>
              <w:jc w:val="center"/>
              <w:rPr>
                <w:rFonts w:ascii="宋体" w:hAnsi="宋体"/>
                <w:szCs w:val="21"/>
                <w:highlight w:val="none"/>
              </w:rPr>
            </w:pPr>
            <w:r>
              <w:rPr>
                <w:rFonts w:hint="eastAsia" w:ascii="宋体" w:hAnsi="宋体"/>
                <w:szCs w:val="21"/>
                <w:highlight w:val="none"/>
              </w:rPr>
              <w:t>5.1</w:t>
            </w:r>
          </w:p>
        </w:tc>
        <w:tc>
          <w:tcPr>
            <w:tcW w:w="8355" w:type="dxa"/>
            <w:vAlign w:val="center"/>
          </w:tcPr>
          <w:p w14:paraId="058154BD">
            <w:pPr>
              <w:spacing w:line="360" w:lineRule="exact"/>
              <w:rPr>
                <w:rFonts w:ascii="宋体" w:hAnsi="宋体"/>
                <w:szCs w:val="21"/>
                <w:highlight w:val="none"/>
              </w:rPr>
            </w:pPr>
            <w:r>
              <w:rPr>
                <w:rFonts w:hint="eastAsia" w:ascii="宋体" w:hAnsi="宋体" w:cs="宋体"/>
                <w:szCs w:val="21"/>
                <w:highlight w:val="none"/>
              </w:rPr>
              <w:t>是否接受联合体竞标: 详见竞争性谈判采购公告。</w:t>
            </w:r>
          </w:p>
        </w:tc>
      </w:tr>
      <w:tr w14:paraId="6879F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954" w:type="dxa"/>
            <w:vAlign w:val="center"/>
          </w:tcPr>
          <w:p w14:paraId="45F93353">
            <w:pPr>
              <w:spacing w:line="400" w:lineRule="exact"/>
              <w:jc w:val="center"/>
              <w:rPr>
                <w:rFonts w:ascii="宋体" w:hAnsi="宋体"/>
                <w:szCs w:val="21"/>
                <w:highlight w:val="none"/>
              </w:rPr>
            </w:pPr>
            <w:r>
              <w:rPr>
                <w:rFonts w:hint="eastAsia" w:ascii="宋体" w:hAnsi="宋体"/>
                <w:szCs w:val="21"/>
                <w:highlight w:val="none"/>
              </w:rPr>
              <w:t>6.2</w:t>
            </w:r>
          </w:p>
        </w:tc>
        <w:tc>
          <w:tcPr>
            <w:tcW w:w="8355" w:type="dxa"/>
            <w:vAlign w:val="center"/>
          </w:tcPr>
          <w:p w14:paraId="7D444A51">
            <w:pPr>
              <w:spacing w:line="360" w:lineRule="exact"/>
              <w:ind w:left="2"/>
              <w:rPr>
                <w:rFonts w:ascii="宋体" w:hAnsi="宋体" w:cs="宋体"/>
                <w:szCs w:val="21"/>
                <w:highlight w:val="none"/>
              </w:rPr>
            </w:pPr>
            <w:r>
              <w:rPr>
                <w:rFonts w:hint="eastAsia" w:ascii="宋体" w:hAnsi="宋体" w:cs="宋体"/>
                <w:szCs w:val="21"/>
                <w:highlight w:val="none"/>
              </w:rPr>
              <w:t>是否允许分包：不允许</w:t>
            </w:r>
          </w:p>
          <w:p w14:paraId="1F316564">
            <w:pPr>
              <w:spacing w:line="360" w:lineRule="exact"/>
              <w:ind w:left="2"/>
              <w:rPr>
                <w:rFonts w:ascii="宋体" w:hAnsi="宋体" w:cs="宋体"/>
                <w:szCs w:val="21"/>
                <w:highlight w:val="none"/>
              </w:rPr>
            </w:pPr>
            <w:r>
              <w:rPr>
                <w:rFonts w:hint="eastAsia" w:ascii="宋体" w:hAnsi="宋体" w:cs="宋体"/>
                <w:szCs w:val="21"/>
                <w:highlight w:val="none"/>
              </w:rPr>
              <w:t>分包内容：</w:t>
            </w:r>
            <w:r>
              <w:rPr>
                <w:rFonts w:hint="eastAsia" w:ascii="宋体" w:hAnsi="宋体" w:cs="宋体"/>
                <w:szCs w:val="21"/>
                <w:highlight w:val="none"/>
                <w:u w:val="single"/>
              </w:rPr>
              <w:t xml:space="preserve">   /   </w:t>
            </w:r>
            <w:r>
              <w:rPr>
                <w:rFonts w:hint="eastAsia" w:ascii="宋体" w:hAnsi="宋体" w:cs="宋体"/>
                <w:szCs w:val="21"/>
                <w:highlight w:val="none"/>
              </w:rPr>
              <w:t>。</w:t>
            </w:r>
          </w:p>
          <w:p w14:paraId="545ED59C">
            <w:pPr>
              <w:spacing w:line="360" w:lineRule="exact"/>
              <w:ind w:left="2"/>
              <w:rPr>
                <w:highlight w:val="none"/>
              </w:rPr>
            </w:pPr>
            <w:r>
              <w:rPr>
                <w:rFonts w:hint="eastAsia" w:ascii="宋体" w:hAnsi="宋体" w:cs="宋体"/>
                <w:szCs w:val="21"/>
                <w:highlight w:val="none"/>
              </w:rPr>
              <w:t>分包金额或者比例：</w:t>
            </w:r>
            <w:r>
              <w:rPr>
                <w:rFonts w:hint="eastAsia" w:ascii="宋体" w:hAnsi="宋体" w:cs="宋体"/>
                <w:szCs w:val="21"/>
                <w:highlight w:val="none"/>
                <w:u w:val="single"/>
              </w:rPr>
              <w:t xml:space="preserve">   /  </w:t>
            </w:r>
            <w:r>
              <w:rPr>
                <w:rFonts w:hint="eastAsia" w:ascii="宋体" w:hAnsi="宋体" w:cs="宋体"/>
                <w:szCs w:val="21"/>
                <w:highlight w:val="none"/>
              </w:rPr>
              <w:t>。</w:t>
            </w:r>
          </w:p>
        </w:tc>
      </w:tr>
      <w:tr w14:paraId="17BCD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954" w:type="dxa"/>
            <w:vAlign w:val="center"/>
          </w:tcPr>
          <w:p w14:paraId="73D7DBBC">
            <w:pPr>
              <w:spacing w:line="400" w:lineRule="exact"/>
              <w:jc w:val="center"/>
              <w:rPr>
                <w:rFonts w:ascii="宋体" w:hAnsi="宋体"/>
                <w:szCs w:val="21"/>
                <w:highlight w:val="none"/>
              </w:rPr>
            </w:pPr>
            <w:r>
              <w:rPr>
                <w:rFonts w:hint="eastAsia" w:ascii="宋体" w:hAnsi="宋体"/>
                <w:szCs w:val="21"/>
                <w:highlight w:val="none"/>
              </w:rPr>
              <w:t>12.1.1</w:t>
            </w:r>
          </w:p>
        </w:tc>
        <w:tc>
          <w:tcPr>
            <w:tcW w:w="8355" w:type="dxa"/>
            <w:vAlign w:val="center"/>
          </w:tcPr>
          <w:p w14:paraId="49A50BB4">
            <w:pPr>
              <w:spacing w:line="360" w:lineRule="exact"/>
              <w:rPr>
                <w:rFonts w:ascii="宋体" w:hAnsi="宋体"/>
                <w:b/>
                <w:szCs w:val="21"/>
                <w:highlight w:val="none"/>
              </w:rPr>
            </w:pPr>
            <w:r>
              <w:rPr>
                <w:rFonts w:hint="eastAsia" w:ascii="宋体" w:hAnsi="宋体"/>
                <w:b/>
                <w:szCs w:val="21"/>
                <w:highlight w:val="none"/>
              </w:rPr>
              <w:t>资格证明文件：</w:t>
            </w:r>
          </w:p>
          <w:p w14:paraId="17EAD694">
            <w:pPr>
              <w:spacing w:line="360" w:lineRule="exact"/>
              <w:ind w:firstLine="457" w:firstLineChars="218"/>
              <w:rPr>
                <w:rFonts w:ascii="宋体" w:hAnsi="宋体"/>
                <w:szCs w:val="21"/>
                <w:highlight w:val="none"/>
              </w:rPr>
            </w:pPr>
            <w:r>
              <w:rPr>
                <w:rFonts w:hint="eastAsia" w:ascii="宋体" w:hAnsi="宋体"/>
                <w:szCs w:val="21"/>
                <w:highlight w:val="none"/>
              </w:rPr>
              <w:t>1.供应商为法人或者其他组织的营业执照等证明文件（如营业执照或事业单位法人证书或执业许可证等），供应商为自然人的，证明文件为其身份证复印件；（必须提供，否则按无效响应处理）</w:t>
            </w:r>
          </w:p>
          <w:p w14:paraId="78765AD1">
            <w:pPr>
              <w:spacing w:line="360" w:lineRule="exact"/>
              <w:ind w:firstLine="457" w:firstLineChars="218"/>
              <w:rPr>
                <w:rFonts w:ascii="宋体" w:hAnsi="宋体"/>
                <w:szCs w:val="21"/>
                <w:highlight w:val="none"/>
              </w:rPr>
            </w:pPr>
            <w:r>
              <w:rPr>
                <w:rFonts w:hint="eastAsia" w:ascii="宋体" w:hAnsi="宋体"/>
                <w:szCs w:val="21"/>
                <w:highlight w:val="none"/>
              </w:rPr>
              <w:t>2.贵港市政府采购项目竞标资格承诺函（格式后附）；（必须提供，否则按无效响应处理）</w:t>
            </w:r>
          </w:p>
          <w:p w14:paraId="27D2B8C7">
            <w:pPr>
              <w:spacing w:line="360" w:lineRule="exact"/>
              <w:ind w:firstLine="457" w:firstLineChars="218"/>
              <w:rPr>
                <w:rFonts w:ascii="宋体" w:hAnsi="宋体"/>
                <w:szCs w:val="21"/>
                <w:highlight w:val="none"/>
              </w:rPr>
            </w:pPr>
            <w:r>
              <w:rPr>
                <w:rFonts w:hint="eastAsia" w:ascii="宋体" w:hAnsi="宋体"/>
                <w:szCs w:val="21"/>
                <w:highlight w:val="none"/>
              </w:rPr>
              <w:t>3.供应商直接控股、管理关系信息表（格式后附）；（必须提供，否则按无效响应处理）</w:t>
            </w:r>
          </w:p>
          <w:p w14:paraId="355515FE">
            <w:pPr>
              <w:spacing w:line="360" w:lineRule="exact"/>
              <w:ind w:firstLine="457" w:firstLineChars="218"/>
              <w:rPr>
                <w:rFonts w:ascii="宋体" w:hAnsi="宋体"/>
                <w:szCs w:val="21"/>
                <w:highlight w:val="none"/>
              </w:rPr>
            </w:pPr>
            <w:r>
              <w:rPr>
                <w:rFonts w:hint="eastAsia" w:ascii="宋体" w:hAnsi="宋体"/>
                <w:szCs w:val="21"/>
                <w:highlight w:val="none"/>
              </w:rPr>
              <w:t>4.竞标声明（格式后附）；（必须提供，否则按无效响应处理）</w:t>
            </w:r>
          </w:p>
          <w:p w14:paraId="33272B93">
            <w:pPr>
              <w:spacing w:line="360" w:lineRule="exact"/>
              <w:ind w:firstLine="457" w:firstLineChars="218"/>
              <w:rPr>
                <w:rFonts w:hint="eastAsia" w:ascii="宋体" w:hAnsi="宋体"/>
                <w:szCs w:val="21"/>
                <w:highlight w:val="none"/>
                <w:lang w:val="en-US" w:eastAsia="zh-CN"/>
              </w:rPr>
            </w:pPr>
            <w:r>
              <w:rPr>
                <w:rFonts w:hint="eastAsia" w:ascii="宋体" w:hAnsi="宋体"/>
                <w:szCs w:val="21"/>
                <w:highlight w:val="none"/>
              </w:rPr>
              <w:t>5.中小企业声明函或者残疾人福利性单位声明函或者供应商属于监狱企业的证明材料</w:t>
            </w:r>
            <w:r>
              <w:rPr>
                <w:rFonts w:hint="eastAsia" w:ascii="宋体" w:hAnsi="宋体"/>
                <w:szCs w:val="21"/>
                <w:highlight w:val="none"/>
                <w:lang w:val="en-US" w:eastAsia="zh-CN"/>
              </w:rPr>
              <w:t>或《关于符合本国产品标准的声明函》或者财政部会同有关部门规定的有关证明文件</w:t>
            </w:r>
          </w:p>
          <w:p w14:paraId="239EC965">
            <w:pPr>
              <w:spacing w:line="360" w:lineRule="exact"/>
              <w:ind w:firstLine="460" w:firstLineChars="218"/>
              <w:rPr>
                <w:rFonts w:hint="eastAsia" w:ascii="宋体" w:hAnsi="宋体"/>
                <w:szCs w:val="21"/>
                <w:highlight w:val="none"/>
              </w:rPr>
            </w:pPr>
            <w:r>
              <w:rPr>
                <w:rFonts w:hint="eastAsia"/>
                <w:b/>
                <w:bCs/>
                <w:szCs w:val="21"/>
                <w:highlight w:val="none"/>
              </w:rPr>
              <w:t>（</w:t>
            </w:r>
            <w:r>
              <w:rPr>
                <w:rFonts w:hint="eastAsia" w:ascii="宋体" w:hAnsi="宋体"/>
                <w:b/>
                <w:bCs/>
                <w:szCs w:val="21"/>
                <w:highlight w:val="none"/>
                <w:lang w:val="en-US" w:eastAsia="zh-CN"/>
              </w:rPr>
              <w:t>如有请提供</w:t>
            </w:r>
            <w:r>
              <w:rPr>
                <w:rFonts w:hint="eastAsia" w:ascii="宋体" w:hAnsi="宋体"/>
                <w:b/>
                <w:bCs/>
                <w:szCs w:val="21"/>
                <w:highlight w:val="none"/>
              </w:rPr>
              <w:t>）；</w:t>
            </w:r>
          </w:p>
          <w:p w14:paraId="1F450EA3">
            <w:pPr>
              <w:spacing w:line="360" w:lineRule="exact"/>
              <w:ind w:firstLine="457" w:firstLineChars="218"/>
              <w:rPr>
                <w:rFonts w:ascii="宋体" w:hAnsi="宋体"/>
                <w:szCs w:val="21"/>
                <w:highlight w:val="none"/>
              </w:rPr>
            </w:pPr>
            <w:r>
              <w:rPr>
                <w:rFonts w:hint="eastAsia" w:ascii="宋体" w:hAnsi="宋体"/>
                <w:szCs w:val="21"/>
                <w:highlight w:val="none"/>
                <w:lang w:val="en-US" w:eastAsia="zh-CN"/>
              </w:rPr>
              <w:t>6</w:t>
            </w:r>
            <w:r>
              <w:rPr>
                <w:rFonts w:hint="eastAsia" w:ascii="宋体" w:hAnsi="宋体"/>
                <w:szCs w:val="21"/>
                <w:highlight w:val="none"/>
              </w:rPr>
              <w:t>.除采购文件规定必须提供以外，供应商认为需要提供的其他证明材料。</w:t>
            </w:r>
          </w:p>
          <w:p w14:paraId="23A9BE73">
            <w:pPr>
              <w:spacing w:line="360" w:lineRule="exact"/>
              <w:ind w:firstLine="460" w:firstLineChars="218"/>
              <w:rPr>
                <w:rFonts w:ascii="宋体" w:hAnsi="宋体"/>
                <w:b/>
                <w:szCs w:val="21"/>
                <w:highlight w:val="none"/>
              </w:rPr>
            </w:pPr>
            <w:r>
              <w:rPr>
                <w:rFonts w:hint="eastAsia" w:ascii="宋体" w:hAnsi="宋体"/>
                <w:b/>
                <w:szCs w:val="21"/>
                <w:highlight w:val="none"/>
              </w:rPr>
              <w:t>注：</w:t>
            </w:r>
          </w:p>
          <w:p w14:paraId="45102C4E">
            <w:pPr>
              <w:spacing w:line="360" w:lineRule="exact"/>
              <w:ind w:firstLine="457" w:firstLineChars="218"/>
              <w:rPr>
                <w:rFonts w:ascii="宋体" w:hAnsi="宋体"/>
                <w:szCs w:val="21"/>
                <w:highlight w:val="none"/>
              </w:rPr>
            </w:pPr>
            <w:r>
              <w:rPr>
                <w:rFonts w:hint="eastAsia" w:ascii="宋体" w:hAnsi="宋体"/>
                <w:szCs w:val="21"/>
                <w:highlight w:val="none"/>
              </w:rPr>
              <w:t>（1）以上标明“必须提供”的材料属于复印件的，必须加盖供应商公章或电子签章，否则响应文件按无效响应处理。</w:t>
            </w:r>
          </w:p>
          <w:p w14:paraId="2CA87A09">
            <w:pPr>
              <w:spacing w:line="360" w:lineRule="exact"/>
              <w:ind w:firstLine="457" w:firstLineChars="218"/>
              <w:rPr>
                <w:rFonts w:ascii="宋体" w:hAnsi="宋体"/>
                <w:szCs w:val="21"/>
                <w:highlight w:val="none"/>
              </w:rPr>
            </w:pPr>
            <w:r>
              <w:rPr>
                <w:rFonts w:hint="eastAsia" w:ascii="宋体" w:hAnsi="宋体"/>
                <w:szCs w:val="21"/>
                <w:highlight w:val="none"/>
              </w:rPr>
              <w:t>（2）竞标声明必须由法定代表人在规定签章处签字（或电子签名）并加盖供应商公章或电子签章，否则响应文件按无效响应处理。</w:t>
            </w:r>
          </w:p>
          <w:p w14:paraId="7FB956D0">
            <w:pPr>
              <w:spacing w:line="360" w:lineRule="exact"/>
              <w:ind w:firstLine="457" w:firstLineChars="218"/>
              <w:rPr>
                <w:rFonts w:ascii="宋体" w:hAnsi="宋体"/>
                <w:szCs w:val="21"/>
                <w:highlight w:val="none"/>
              </w:rPr>
            </w:pPr>
            <w:r>
              <w:rPr>
                <w:rFonts w:hint="eastAsia" w:ascii="宋体" w:hAnsi="宋体"/>
                <w:szCs w:val="21"/>
                <w:highlight w:val="none"/>
              </w:rPr>
              <w:t>（3）供应商直接控股、管理关系信息表必须由法定代表人或委托代理人在规定签章处签字（或电子签名）并加盖供应商公章或电子签章，否则响应文件按无效响应处理。</w:t>
            </w:r>
          </w:p>
          <w:p w14:paraId="0AD3984C">
            <w:pPr>
              <w:spacing w:line="360" w:lineRule="exact"/>
              <w:ind w:firstLine="457" w:firstLineChars="218"/>
              <w:rPr>
                <w:rFonts w:ascii="宋体" w:hAnsi="宋体" w:cs="宋体"/>
                <w:b/>
                <w:szCs w:val="21"/>
                <w:highlight w:val="none"/>
              </w:rPr>
            </w:pPr>
            <w:r>
              <w:rPr>
                <w:rFonts w:hint="eastAsia" w:ascii="宋体" w:hAnsi="宋体"/>
                <w:szCs w:val="21"/>
                <w:highlight w:val="none"/>
              </w:rPr>
              <w:t>（4）以上材料未附格式的，由供应商自行拟定。</w:t>
            </w:r>
          </w:p>
        </w:tc>
      </w:tr>
      <w:tr w14:paraId="5DE5F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954" w:type="dxa"/>
            <w:vAlign w:val="center"/>
          </w:tcPr>
          <w:p w14:paraId="2C3D223B">
            <w:pPr>
              <w:spacing w:line="400" w:lineRule="exact"/>
              <w:jc w:val="center"/>
              <w:rPr>
                <w:rFonts w:ascii="宋体" w:hAnsi="宋体"/>
                <w:szCs w:val="21"/>
                <w:highlight w:val="none"/>
              </w:rPr>
            </w:pPr>
            <w:r>
              <w:rPr>
                <w:rFonts w:hint="eastAsia" w:ascii="宋体" w:hAnsi="宋体"/>
                <w:szCs w:val="21"/>
                <w:highlight w:val="none"/>
              </w:rPr>
              <w:t>12.1.2</w:t>
            </w:r>
          </w:p>
        </w:tc>
        <w:tc>
          <w:tcPr>
            <w:tcW w:w="8355" w:type="dxa"/>
            <w:vAlign w:val="center"/>
          </w:tcPr>
          <w:p w14:paraId="4569A2E8">
            <w:pPr>
              <w:spacing w:line="276" w:lineRule="auto"/>
              <w:jc w:val="left"/>
              <w:rPr>
                <w:rFonts w:ascii="宋体" w:hAnsi="宋体" w:cs="宋体"/>
                <w:b/>
                <w:szCs w:val="21"/>
                <w:highlight w:val="none"/>
              </w:rPr>
            </w:pPr>
            <w:r>
              <w:rPr>
                <w:rFonts w:hint="eastAsia" w:ascii="宋体" w:hAnsi="宋体" w:cs="宋体"/>
                <w:b/>
                <w:szCs w:val="21"/>
                <w:highlight w:val="none"/>
              </w:rPr>
              <w:t>报价商务技术文件：</w:t>
            </w:r>
          </w:p>
          <w:p w14:paraId="385943E3">
            <w:pPr>
              <w:spacing w:line="276" w:lineRule="auto"/>
              <w:ind w:firstLine="315" w:firstLineChars="150"/>
              <w:jc w:val="left"/>
              <w:rPr>
                <w:rFonts w:ascii="宋体" w:hAnsi="宋体" w:cs="宋体"/>
                <w:szCs w:val="21"/>
                <w:highlight w:val="none"/>
              </w:rPr>
            </w:pPr>
            <w:r>
              <w:rPr>
                <w:rFonts w:hint="eastAsia" w:ascii="宋体" w:hAnsi="宋体" w:cs="宋体"/>
                <w:szCs w:val="21"/>
                <w:highlight w:val="none"/>
              </w:rPr>
              <w:t>1.竞标报价表（格式后附）；</w:t>
            </w:r>
            <w:r>
              <w:rPr>
                <w:rFonts w:hint="eastAsia" w:ascii="宋体" w:hAnsi="宋体" w:cs="宋体"/>
                <w:b/>
                <w:bCs/>
                <w:szCs w:val="21"/>
                <w:highlight w:val="none"/>
              </w:rPr>
              <w:t>（必须提供，否则按无效响应处理）</w:t>
            </w:r>
          </w:p>
          <w:p w14:paraId="6707BE4D">
            <w:pPr>
              <w:spacing w:line="276" w:lineRule="auto"/>
              <w:ind w:firstLine="315" w:firstLineChars="150"/>
              <w:jc w:val="left"/>
              <w:rPr>
                <w:rFonts w:ascii="宋体" w:hAnsi="宋体" w:cs="宋体"/>
                <w:szCs w:val="21"/>
                <w:highlight w:val="none"/>
              </w:rPr>
            </w:pPr>
            <w:r>
              <w:rPr>
                <w:rFonts w:hint="eastAsia" w:ascii="宋体" w:hAnsi="宋体" w:cs="宋体"/>
                <w:szCs w:val="21"/>
                <w:highlight w:val="none"/>
              </w:rPr>
              <w:t>2.无串通竞标行为的承诺函（格式后附）；</w:t>
            </w:r>
            <w:r>
              <w:rPr>
                <w:rFonts w:hint="eastAsia" w:ascii="宋体" w:hAnsi="宋体" w:cs="宋体"/>
                <w:b/>
                <w:bCs/>
                <w:szCs w:val="21"/>
                <w:highlight w:val="none"/>
              </w:rPr>
              <w:t>（必须提供，否则按无效响应处理）</w:t>
            </w:r>
          </w:p>
          <w:p w14:paraId="5E4D4F1E">
            <w:pPr>
              <w:spacing w:line="276" w:lineRule="auto"/>
              <w:ind w:firstLine="315" w:firstLineChars="150"/>
              <w:jc w:val="left"/>
              <w:rPr>
                <w:rFonts w:ascii="宋体" w:hAnsi="宋体" w:cs="宋体"/>
                <w:b/>
                <w:bCs/>
                <w:szCs w:val="21"/>
                <w:highlight w:val="none"/>
              </w:rPr>
            </w:pPr>
            <w:r>
              <w:rPr>
                <w:rFonts w:hint="eastAsia" w:ascii="宋体" w:hAnsi="宋体" w:cs="宋体"/>
                <w:szCs w:val="21"/>
                <w:highlight w:val="none"/>
              </w:rPr>
              <w:t>3.法定代表人身份证明书及法定代表人有效身份证正反面复印件（格式后附）；</w:t>
            </w:r>
            <w:r>
              <w:rPr>
                <w:rFonts w:hint="eastAsia" w:ascii="宋体" w:hAnsi="宋体" w:cs="宋体"/>
                <w:b/>
                <w:bCs/>
                <w:szCs w:val="21"/>
                <w:highlight w:val="none"/>
              </w:rPr>
              <w:t>（必须提供，否则按无效响应处理）</w:t>
            </w:r>
          </w:p>
          <w:p w14:paraId="1C8CA0BB">
            <w:pPr>
              <w:spacing w:line="276" w:lineRule="auto"/>
              <w:ind w:firstLine="315" w:firstLineChars="150"/>
              <w:jc w:val="left"/>
              <w:rPr>
                <w:rFonts w:ascii="宋体" w:hAnsi="宋体" w:cs="宋体"/>
                <w:szCs w:val="21"/>
                <w:highlight w:val="none"/>
              </w:rPr>
            </w:pPr>
            <w:r>
              <w:rPr>
                <w:rFonts w:hint="eastAsia" w:ascii="宋体" w:hAnsi="宋体" w:cs="宋体"/>
                <w:szCs w:val="21"/>
                <w:highlight w:val="none"/>
              </w:rPr>
              <w:t>4.法定代表人授权委托书及委托代理人有效身份证正反面复印件（格式后附）；（委托时必须提供，否则按无效响应处理）</w:t>
            </w:r>
          </w:p>
          <w:p w14:paraId="29E87D6E">
            <w:pPr>
              <w:spacing w:line="276" w:lineRule="auto"/>
              <w:ind w:firstLine="315" w:firstLineChars="150"/>
              <w:jc w:val="left"/>
              <w:rPr>
                <w:rFonts w:ascii="宋体" w:hAnsi="宋体" w:cs="宋体"/>
                <w:b/>
                <w:bCs/>
                <w:szCs w:val="21"/>
                <w:highlight w:val="none"/>
              </w:rPr>
            </w:pPr>
            <w:r>
              <w:rPr>
                <w:rFonts w:hint="eastAsia" w:ascii="宋体" w:hAnsi="宋体" w:cs="宋体"/>
                <w:szCs w:val="21"/>
                <w:highlight w:val="none"/>
              </w:rPr>
              <w:t>5.商务要求偏离表（格式后附）；</w:t>
            </w:r>
            <w:r>
              <w:rPr>
                <w:rFonts w:hint="eastAsia" w:ascii="宋体" w:hAnsi="宋体" w:cs="宋体"/>
                <w:b/>
                <w:bCs/>
                <w:szCs w:val="21"/>
                <w:highlight w:val="none"/>
              </w:rPr>
              <w:t>（必须提供，否则按无效响应处理）</w:t>
            </w:r>
          </w:p>
          <w:p w14:paraId="68A6C2AB">
            <w:pPr>
              <w:spacing w:line="276" w:lineRule="auto"/>
              <w:ind w:firstLine="315" w:firstLineChars="150"/>
              <w:jc w:val="left"/>
              <w:rPr>
                <w:rFonts w:ascii="宋体" w:hAnsi="宋体" w:cs="宋体"/>
                <w:b/>
                <w:bCs/>
                <w:szCs w:val="21"/>
                <w:highlight w:val="none"/>
              </w:rPr>
            </w:pPr>
            <w:r>
              <w:rPr>
                <w:rFonts w:hint="eastAsia" w:ascii="宋体" w:hAnsi="宋体" w:cs="宋体"/>
                <w:szCs w:val="21"/>
                <w:highlight w:val="none"/>
              </w:rPr>
              <w:t>6.技术要求偏离表（格式后附）；</w:t>
            </w:r>
            <w:r>
              <w:rPr>
                <w:rFonts w:hint="eastAsia" w:ascii="宋体" w:hAnsi="宋体" w:cs="宋体"/>
                <w:b/>
                <w:bCs/>
                <w:szCs w:val="21"/>
                <w:highlight w:val="none"/>
              </w:rPr>
              <w:t>（必须提供，否则按无效响应处理）</w:t>
            </w:r>
          </w:p>
          <w:p w14:paraId="7C6AD594">
            <w:pPr>
              <w:spacing w:line="276" w:lineRule="auto"/>
              <w:ind w:firstLine="315" w:firstLineChars="150"/>
              <w:jc w:val="left"/>
              <w:rPr>
                <w:rFonts w:ascii="宋体" w:hAnsi="宋体" w:cs="宋体"/>
                <w:b/>
                <w:bCs/>
                <w:szCs w:val="21"/>
                <w:highlight w:val="none"/>
              </w:rPr>
            </w:pPr>
            <w:r>
              <w:rPr>
                <w:rFonts w:hint="eastAsia" w:ascii="宋体" w:hAnsi="宋体" w:cs="宋体"/>
                <w:szCs w:val="21"/>
                <w:highlight w:val="none"/>
              </w:rPr>
              <w:t>7.提供项目售后服务方案（格式自拟）；</w:t>
            </w:r>
            <w:r>
              <w:rPr>
                <w:rFonts w:hint="eastAsia" w:ascii="宋体" w:hAnsi="宋体" w:cs="宋体"/>
                <w:b/>
                <w:bCs/>
                <w:szCs w:val="21"/>
                <w:highlight w:val="none"/>
              </w:rPr>
              <w:t>（必须提供，否则按无效响应处理）</w:t>
            </w:r>
          </w:p>
          <w:p w14:paraId="39BEEE7A">
            <w:pPr>
              <w:spacing w:line="276" w:lineRule="auto"/>
              <w:ind w:firstLine="315" w:firstLineChars="150"/>
              <w:jc w:val="left"/>
              <w:rPr>
                <w:rFonts w:ascii="宋体" w:hAnsi="宋体" w:cs="宋体"/>
                <w:szCs w:val="21"/>
                <w:highlight w:val="none"/>
              </w:rPr>
            </w:pPr>
            <w:r>
              <w:rPr>
                <w:rFonts w:hint="eastAsia" w:ascii="宋体" w:hAnsi="宋体" w:cs="宋体"/>
                <w:szCs w:val="21"/>
                <w:highlight w:val="none"/>
              </w:rPr>
              <w:t>8.供应商认为有必要提供的其它文件及资料。</w:t>
            </w:r>
          </w:p>
          <w:p w14:paraId="73E41DB4">
            <w:pPr>
              <w:spacing w:line="276" w:lineRule="auto"/>
              <w:ind w:firstLine="316" w:firstLineChars="150"/>
              <w:jc w:val="left"/>
              <w:rPr>
                <w:rFonts w:ascii="宋体" w:hAnsi="宋体" w:cs="宋体"/>
                <w:b/>
                <w:bCs w:val="0"/>
                <w:szCs w:val="21"/>
                <w:highlight w:val="none"/>
                <w:u w:val="single"/>
              </w:rPr>
            </w:pPr>
            <w:r>
              <w:rPr>
                <w:rFonts w:hint="eastAsia" w:ascii="宋体" w:hAnsi="宋体" w:cs="宋体"/>
                <w:b/>
                <w:bCs w:val="0"/>
                <w:szCs w:val="21"/>
                <w:highlight w:val="none"/>
                <w:u w:val="single"/>
              </w:rPr>
              <w:t>注：（1）法定代表人授权委托书必须由法定代表人及委托代理人签字（或电子签名），并加盖供应商公章或电子签章，否则按无效响应处理。</w:t>
            </w:r>
          </w:p>
          <w:p w14:paraId="16C4C608">
            <w:pPr>
              <w:spacing w:line="276" w:lineRule="auto"/>
              <w:ind w:firstLine="316" w:firstLineChars="150"/>
              <w:jc w:val="left"/>
              <w:rPr>
                <w:rFonts w:ascii="宋体" w:hAnsi="宋体" w:cs="宋体"/>
                <w:b/>
                <w:bCs w:val="0"/>
                <w:szCs w:val="21"/>
                <w:highlight w:val="none"/>
                <w:u w:val="single"/>
              </w:rPr>
            </w:pPr>
            <w:r>
              <w:rPr>
                <w:rFonts w:hint="eastAsia" w:ascii="宋体" w:hAnsi="宋体" w:cs="宋体"/>
                <w:b/>
                <w:bCs w:val="0"/>
                <w:szCs w:val="21"/>
                <w:highlight w:val="none"/>
                <w:u w:val="single"/>
              </w:rPr>
              <w:t>（2）以上标明“必须提供”的材料属于复印件的，必须加盖供应商公章或电子签章，否则响应文件按无效响应处理。</w:t>
            </w:r>
          </w:p>
          <w:p w14:paraId="62482C26">
            <w:pPr>
              <w:spacing w:line="360" w:lineRule="exact"/>
              <w:ind w:firstLine="316" w:firstLineChars="150"/>
              <w:rPr>
                <w:rFonts w:ascii="宋体" w:hAnsi="宋体"/>
                <w:szCs w:val="21"/>
                <w:highlight w:val="none"/>
              </w:rPr>
            </w:pPr>
            <w:r>
              <w:rPr>
                <w:rFonts w:hint="eastAsia" w:ascii="宋体" w:hAnsi="宋体" w:cs="宋体"/>
                <w:b/>
                <w:bCs w:val="0"/>
                <w:szCs w:val="21"/>
                <w:highlight w:val="none"/>
                <w:u w:val="single"/>
              </w:rPr>
              <w:t>（3）以上材料未附格式的，由供应商自行拟定。</w:t>
            </w:r>
          </w:p>
        </w:tc>
      </w:tr>
      <w:tr w14:paraId="3277D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954" w:type="dxa"/>
            <w:vAlign w:val="center"/>
          </w:tcPr>
          <w:p w14:paraId="61B6848A">
            <w:pPr>
              <w:spacing w:line="400" w:lineRule="exact"/>
              <w:jc w:val="center"/>
              <w:rPr>
                <w:rFonts w:ascii="宋体" w:hAnsi="宋体"/>
                <w:szCs w:val="21"/>
                <w:highlight w:val="none"/>
              </w:rPr>
            </w:pPr>
            <w:r>
              <w:rPr>
                <w:rFonts w:hint="eastAsia" w:ascii="宋体" w:hAnsi="宋体"/>
                <w:szCs w:val="21"/>
                <w:highlight w:val="none"/>
              </w:rPr>
              <w:t>15.2</w:t>
            </w:r>
          </w:p>
        </w:tc>
        <w:tc>
          <w:tcPr>
            <w:tcW w:w="8355" w:type="dxa"/>
            <w:vAlign w:val="center"/>
          </w:tcPr>
          <w:p w14:paraId="6BFA411A">
            <w:pPr>
              <w:spacing w:line="360" w:lineRule="exact"/>
              <w:rPr>
                <w:rFonts w:hint="eastAsia" w:hAnsi="Times New Roman" w:cs="宋体"/>
                <w:bCs w:val="0"/>
                <w:color w:val="000000" w:themeColor="text1"/>
                <w:highlight w:val="none"/>
                <w14:textFill>
                  <w14:solidFill>
                    <w14:schemeClr w14:val="tx1"/>
                  </w14:solidFill>
                </w14:textFill>
              </w:rPr>
            </w:pPr>
            <w:r>
              <w:rPr>
                <w:rFonts w:hint="eastAsia" w:hAnsi="Times New Roman" w:cs="宋体"/>
                <w:bCs w:val="0"/>
                <w:color w:val="000000" w:themeColor="text1"/>
                <w:highlight w:val="none"/>
                <w14:textFill>
                  <w14:solidFill>
                    <w14:schemeClr w14:val="tx1"/>
                  </w14:solidFill>
                </w14:textFill>
              </w:rPr>
              <w:t>竞标报价是履行合同的最终价格，即满足全部采购需求所应提供的价格；包括竞标货物服务的成本、运输（含保险）（如有）、技术服务、培训、税费等所有费用。</w:t>
            </w:r>
          </w:p>
          <w:p w14:paraId="1C0A78B3">
            <w:pPr>
              <w:spacing w:line="360" w:lineRule="exact"/>
              <w:rPr>
                <w:rFonts w:ascii="宋体" w:hAnsi="宋体"/>
                <w:szCs w:val="21"/>
                <w:highlight w:val="none"/>
              </w:rPr>
            </w:pPr>
            <w:r>
              <w:rPr>
                <w:rFonts w:hint="eastAsia" w:ascii="宋体" w:hAnsi="宋体" w:cs="宋体"/>
                <w:szCs w:val="21"/>
                <w:highlight w:val="none"/>
              </w:rPr>
              <w:t>（</w:t>
            </w:r>
            <w:bookmarkStart w:id="3" w:name="OLE_LINK1"/>
            <w:r>
              <w:rPr>
                <w:rFonts w:hint="eastAsia" w:ascii="宋体" w:hAnsi="宋体" w:cs="宋体"/>
                <w:szCs w:val="21"/>
                <w:highlight w:val="none"/>
              </w:rPr>
              <w:t>采购需求另有约定的，从其约定。</w:t>
            </w:r>
            <w:bookmarkEnd w:id="3"/>
            <w:r>
              <w:rPr>
                <w:rFonts w:hint="eastAsia" w:ascii="宋体" w:hAnsi="宋体" w:cs="宋体"/>
                <w:szCs w:val="21"/>
                <w:highlight w:val="none"/>
              </w:rPr>
              <w:t>）</w:t>
            </w:r>
          </w:p>
        </w:tc>
      </w:tr>
      <w:tr w14:paraId="3A64A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954" w:type="dxa"/>
            <w:vAlign w:val="center"/>
          </w:tcPr>
          <w:p w14:paraId="761C1454">
            <w:pPr>
              <w:spacing w:line="400" w:lineRule="exact"/>
              <w:jc w:val="center"/>
              <w:rPr>
                <w:rFonts w:ascii="宋体" w:hAnsi="宋体"/>
                <w:szCs w:val="21"/>
                <w:highlight w:val="none"/>
              </w:rPr>
            </w:pPr>
            <w:r>
              <w:rPr>
                <w:rFonts w:hint="eastAsia" w:ascii="宋体" w:hAnsi="宋体"/>
                <w:szCs w:val="21"/>
                <w:highlight w:val="none"/>
              </w:rPr>
              <w:t>16.2</w:t>
            </w:r>
          </w:p>
        </w:tc>
        <w:tc>
          <w:tcPr>
            <w:tcW w:w="8355" w:type="dxa"/>
            <w:vAlign w:val="center"/>
          </w:tcPr>
          <w:p w14:paraId="4A4CF300">
            <w:pPr>
              <w:spacing w:line="360" w:lineRule="exact"/>
              <w:rPr>
                <w:rFonts w:ascii="宋体" w:hAnsi="宋体"/>
                <w:szCs w:val="21"/>
                <w:highlight w:val="none"/>
              </w:rPr>
            </w:pPr>
            <w:r>
              <w:rPr>
                <w:rFonts w:hint="eastAsia" w:ascii="宋体" w:hAnsi="宋体" w:cs="宋体"/>
                <w:szCs w:val="21"/>
                <w:highlight w:val="none"/>
              </w:rPr>
              <w:t>竞标有效期：自首次响应文件提交截止之日起 60日。</w:t>
            </w:r>
          </w:p>
        </w:tc>
      </w:tr>
      <w:tr w14:paraId="5F144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954" w:type="dxa"/>
            <w:vAlign w:val="center"/>
          </w:tcPr>
          <w:p w14:paraId="574939D5">
            <w:pPr>
              <w:spacing w:line="400" w:lineRule="exact"/>
              <w:jc w:val="center"/>
              <w:rPr>
                <w:rFonts w:ascii="宋体" w:hAnsi="宋体"/>
                <w:szCs w:val="21"/>
                <w:highlight w:val="none"/>
              </w:rPr>
            </w:pPr>
            <w:r>
              <w:rPr>
                <w:rFonts w:hint="eastAsia" w:ascii="宋体" w:hAnsi="宋体"/>
                <w:szCs w:val="21"/>
                <w:highlight w:val="none"/>
              </w:rPr>
              <w:t>17.1</w:t>
            </w:r>
          </w:p>
        </w:tc>
        <w:tc>
          <w:tcPr>
            <w:tcW w:w="8355" w:type="dxa"/>
            <w:vAlign w:val="center"/>
          </w:tcPr>
          <w:p w14:paraId="265FBB40">
            <w:pPr>
              <w:spacing w:line="360" w:lineRule="exact"/>
              <w:rPr>
                <w:rFonts w:ascii="宋体" w:hAnsi="宋体"/>
                <w:szCs w:val="21"/>
                <w:highlight w:val="none"/>
              </w:rPr>
            </w:pPr>
            <w:r>
              <w:rPr>
                <w:rFonts w:hint="eastAsia" w:ascii="宋体" w:hAnsi="宋体"/>
                <w:szCs w:val="21"/>
                <w:highlight w:val="none"/>
              </w:rPr>
              <w:t>竞标保证金：详见竞争性谈判采购公告。</w:t>
            </w:r>
          </w:p>
        </w:tc>
      </w:tr>
      <w:tr w14:paraId="08F38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954" w:type="dxa"/>
            <w:vAlign w:val="center"/>
          </w:tcPr>
          <w:p w14:paraId="51E23E16">
            <w:pPr>
              <w:spacing w:line="400" w:lineRule="exact"/>
              <w:jc w:val="center"/>
              <w:rPr>
                <w:rFonts w:ascii="宋体" w:hAnsi="宋体"/>
                <w:szCs w:val="21"/>
                <w:highlight w:val="none"/>
              </w:rPr>
            </w:pPr>
            <w:r>
              <w:rPr>
                <w:rFonts w:hint="eastAsia" w:ascii="宋体" w:hAnsi="宋体"/>
                <w:szCs w:val="21"/>
                <w:highlight w:val="none"/>
              </w:rPr>
              <w:t>20</w:t>
            </w:r>
          </w:p>
        </w:tc>
        <w:tc>
          <w:tcPr>
            <w:tcW w:w="8355" w:type="dxa"/>
            <w:vAlign w:val="center"/>
          </w:tcPr>
          <w:p w14:paraId="271895CD">
            <w:pPr>
              <w:pStyle w:val="17"/>
              <w:spacing w:line="276" w:lineRule="auto"/>
              <w:ind w:firstLine="29" w:firstLineChars="16"/>
              <w:jc w:val="left"/>
              <w:rPr>
                <w:rFonts w:hAnsi="宋体"/>
                <w:sz w:val="21"/>
                <w:szCs w:val="21"/>
                <w:highlight w:val="none"/>
              </w:rPr>
            </w:pPr>
            <w:r>
              <w:rPr>
                <w:rStyle w:val="26"/>
                <w:rFonts w:hint="eastAsia"/>
                <w:b/>
                <w:szCs w:val="21"/>
                <w:highlight w:val="none"/>
              </w:rPr>
              <w:t>响应文件的递交：</w:t>
            </w:r>
          </w:p>
          <w:p w14:paraId="69B134C0">
            <w:pPr>
              <w:pStyle w:val="17"/>
              <w:spacing w:line="276" w:lineRule="auto"/>
              <w:ind w:firstLine="218" w:firstLineChars="104"/>
              <w:jc w:val="left"/>
              <w:rPr>
                <w:rFonts w:hAnsi="宋体"/>
                <w:sz w:val="21"/>
                <w:szCs w:val="21"/>
                <w:highlight w:val="none"/>
              </w:rPr>
            </w:pPr>
            <w:r>
              <w:rPr>
                <w:rFonts w:hint="eastAsia" w:hAnsi="宋体"/>
                <w:sz w:val="21"/>
                <w:szCs w:val="21"/>
                <w:highlight w:val="none"/>
              </w:rPr>
              <w:t>首次响应文件提交截止时间：详见竞争性谈判采购公告。</w:t>
            </w:r>
          </w:p>
          <w:p w14:paraId="1453B946">
            <w:pPr>
              <w:pStyle w:val="17"/>
              <w:spacing w:line="276" w:lineRule="auto"/>
              <w:ind w:firstLine="218" w:firstLineChars="104"/>
              <w:jc w:val="left"/>
              <w:rPr>
                <w:highlight w:val="none"/>
              </w:rPr>
            </w:pPr>
            <w:r>
              <w:rPr>
                <w:rFonts w:hint="eastAsia" w:hAnsi="宋体"/>
                <w:sz w:val="21"/>
                <w:szCs w:val="21"/>
                <w:highlight w:val="none"/>
              </w:rPr>
              <w:t>首次响应文件提交地点：详见竞争性谈判采购公告。</w:t>
            </w:r>
          </w:p>
        </w:tc>
      </w:tr>
      <w:tr w14:paraId="0988D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954" w:type="dxa"/>
            <w:vAlign w:val="center"/>
          </w:tcPr>
          <w:p w14:paraId="25287A9C">
            <w:pPr>
              <w:spacing w:line="400" w:lineRule="exact"/>
              <w:jc w:val="center"/>
              <w:rPr>
                <w:rFonts w:ascii="宋体" w:hAnsi="宋体"/>
                <w:szCs w:val="21"/>
                <w:highlight w:val="none"/>
              </w:rPr>
            </w:pPr>
            <w:r>
              <w:rPr>
                <w:rFonts w:hint="eastAsia" w:ascii="宋体" w:hAnsi="宋体"/>
                <w:szCs w:val="21"/>
                <w:highlight w:val="none"/>
              </w:rPr>
              <w:t>24.1</w:t>
            </w:r>
          </w:p>
        </w:tc>
        <w:tc>
          <w:tcPr>
            <w:tcW w:w="8355" w:type="dxa"/>
            <w:vAlign w:val="center"/>
          </w:tcPr>
          <w:p w14:paraId="7395677B">
            <w:pPr>
              <w:spacing w:line="360" w:lineRule="exact"/>
              <w:rPr>
                <w:rFonts w:ascii="宋体" w:hAnsi="宋体"/>
                <w:szCs w:val="21"/>
                <w:highlight w:val="none"/>
              </w:rPr>
            </w:pPr>
            <w:r>
              <w:rPr>
                <w:rFonts w:hint="eastAsia" w:ascii="宋体" w:hAnsi="宋体"/>
                <w:szCs w:val="21"/>
                <w:highlight w:val="none"/>
              </w:rPr>
              <w:t>采购小组的人数： 3人。</w:t>
            </w:r>
            <w:r>
              <w:rPr>
                <w:rFonts w:hint="eastAsia" w:ascii="宋体" w:hAnsi="宋体" w:cs="宋体"/>
                <w:szCs w:val="21"/>
                <w:highlight w:val="none"/>
              </w:rPr>
              <w:t>（达到公开数额的应为5人或以上的单数）</w:t>
            </w:r>
          </w:p>
        </w:tc>
      </w:tr>
      <w:tr w14:paraId="59934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954" w:type="dxa"/>
            <w:vAlign w:val="center"/>
          </w:tcPr>
          <w:p w14:paraId="71822035">
            <w:pPr>
              <w:spacing w:line="400" w:lineRule="exact"/>
              <w:jc w:val="center"/>
              <w:rPr>
                <w:rFonts w:ascii="宋体" w:hAnsi="宋体"/>
                <w:szCs w:val="21"/>
                <w:highlight w:val="none"/>
              </w:rPr>
            </w:pPr>
            <w:r>
              <w:rPr>
                <w:rFonts w:hint="eastAsia" w:ascii="宋体" w:hAnsi="宋体"/>
                <w:szCs w:val="21"/>
                <w:highlight w:val="none"/>
              </w:rPr>
              <w:t>25.2</w:t>
            </w:r>
          </w:p>
        </w:tc>
        <w:tc>
          <w:tcPr>
            <w:tcW w:w="8355" w:type="dxa"/>
            <w:vAlign w:val="center"/>
          </w:tcPr>
          <w:p w14:paraId="34839114">
            <w:pPr>
              <w:spacing w:line="360" w:lineRule="exact"/>
              <w:rPr>
                <w:rFonts w:ascii="宋体" w:hAnsi="宋体"/>
                <w:szCs w:val="21"/>
                <w:highlight w:val="none"/>
              </w:rPr>
            </w:pPr>
            <w:r>
              <w:rPr>
                <w:rFonts w:hint="eastAsia" w:ascii="宋体" w:hAnsi="宋体" w:cs="宋体"/>
                <w:szCs w:val="21"/>
                <w:highlight w:val="none"/>
              </w:rPr>
              <w:t>采购代理机构将依托电子交易平台发起开始解密指令，供应商的法定代表人或其委托代理人须携带加密时所用的CA锁按平台提示和采购文件的规定登录到“广西政府采购云”平台电子开标大厅签到并在发起解密指令之时起30分钟内完成对电子响应文件在线解密。</w:t>
            </w:r>
            <w:r>
              <w:rPr>
                <w:rFonts w:hint="eastAsia" w:ascii="宋体" w:hAnsi="宋体"/>
                <w:bCs/>
                <w:szCs w:val="21"/>
                <w:highlight w:val="none"/>
              </w:rPr>
              <w:t>响应文件未按时解密的，</w:t>
            </w:r>
            <w:r>
              <w:rPr>
                <w:rFonts w:hint="eastAsia" w:ascii="宋体" w:hAnsi="宋体" w:cs="宋体"/>
                <w:szCs w:val="21"/>
                <w:highlight w:val="none"/>
              </w:rPr>
              <w:t>视为响应</w:t>
            </w:r>
            <w:r>
              <w:rPr>
                <w:rFonts w:hint="eastAsia" w:ascii="宋体" w:hAnsi="宋体"/>
                <w:bCs/>
                <w:szCs w:val="21"/>
                <w:highlight w:val="none"/>
              </w:rPr>
              <w:t>文件无效。</w:t>
            </w:r>
          </w:p>
        </w:tc>
      </w:tr>
      <w:tr w14:paraId="48666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954" w:type="dxa"/>
            <w:vMerge w:val="restart"/>
            <w:vAlign w:val="center"/>
          </w:tcPr>
          <w:p w14:paraId="72B449D7">
            <w:pPr>
              <w:pStyle w:val="17"/>
              <w:spacing w:line="276" w:lineRule="auto"/>
              <w:ind w:firstLine="33" w:firstLineChars="16"/>
              <w:jc w:val="center"/>
              <w:rPr>
                <w:rFonts w:hAnsi="宋体"/>
                <w:szCs w:val="21"/>
                <w:highlight w:val="none"/>
              </w:rPr>
            </w:pPr>
            <w:r>
              <w:rPr>
                <w:rFonts w:hint="eastAsia" w:hAnsi="宋体"/>
                <w:sz w:val="21"/>
                <w:szCs w:val="21"/>
                <w:highlight w:val="none"/>
              </w:rPr>
              <w:t>26</w:t>
            </w:r>
          </w:p>
        </w:tc>
        <w:tc>
          <w:tcPr>
            <w:tcW w:w="8355" w:type="dxa"/>
            <w:vAlign w:val="center"/>
          </w:tcPr>
          <w:p w14:paraId="415A229B">
            <w:pPr>
              <w:pStyle w:val="17"/>
              <w:spacing w:line="276" w:lineRule="auto"/>
              <w:ind w:firstLine="33" w:firstLineChars="16"/>
              <w:jc w:val="left"/>
              <w:rPr>
                <w:rFonts w:hAnsi="宋体"/>
                <w:sz w:val="21"/>
                <w:szCs w:val="21"/>
                <w:highlight w:val="none"/>
              </w:rPr>
            </w:pPr>
            <w:r>
              <w:rPr>
                <w:rFonts w:hint="eastAsia" w:hAnsi="宋体"/>
                <w:sz w:val="21"/>
                <w:szCs w:val="21"/>
                <w:highlight w:val="none"/>
              </w:rPr>
              <w:t>商务条款评审中允许负偏离的条款数为 0 项。</w:t>
            </w:r>
          </w:p>
          <w:p w14:paraId="18B4849C">
            <w:pPr>
              <w:pStyle w:val="17"/>
              <w:spacing w:line="276" w:lineRule="auto"/>
              <w:ind w:firstLine="33" w:firstLineChars="16"/>
              <w:jc w:val="left"/>
              <w:rPr>
                <w:rFonts w:hAnsi="宋体"/>
                <w:sz w:val="21"/>
                <w:szCs w:val="21"/>
                <w:highlight w:val="none"/>
              </w:rPr>
            </w:pPr>
            <w:r>
              <w:rPr>
                <w:rFonts w:hint="eastAsia" w:hAnsi="宋体"/>
                <w:sz w:val="21"/>
                <w:szCs w:val="21"/>
                <w:highlight w:val="none"/>
              </w:rPr>
              <w:t>技术需求评审中允许负偏离的条款数为</w:t>
            </w:r>
            <w:r>
              <w:rPr>
                <w:rFonts w:hint="eastAsia" w:hAnsi="宋体"/>
                <w:b/>
                <w:bCs w:val="0"/>
                <w:sz w:val="21"/>
                <w:szCs w:val="21"/>
                <w:highlight w:val="none"/>
              </w:rPr>
              <w:t xml:space="preserve"> </w:t>
            </w:r>
            <w:r>
              <w:rPr>
                <w:rFonts w:hint="eastAsia" w:hAnsi="宋体"/>
                <w:b/>
                <w:bCs w:val="0"/>
                <w:sz w:val="21"/>
                <w:szCs w:val="21"/>
                <w:highlight w:val="none"/>
                <w:lang w:val="en-US" w:eastAsia="zh-CN"/>
              </w:rPr>
              <w:t>3</w:t>
            </w:r>
            <w:r>
              <w:rPr>
                <w:rFonts w:hint="eastAsia" w:hAnsi="宋体"/>
                <w:b/>
                <w:bCs w:val="0"/>
                <w:sz w:val="21"/>
                <w:szCs w:val="21"/>
                <w:highlight w:val="none"/>
              </w:rPr>
              <w:t>项</w:t>
            </w:r>
            <w:r>
              <w:rPr>
                <w:rFonts w:hint="eastAsia" w:hAnsi="宋体"/>
                <w:sz w:val="21"/>
                <w:szCs w:val="21"/>
                <w:highlight w:val="none"/>
              </w:rPr>
              <w:t>。</w:t>
            </w:r>
          </w:p>
        </w:tc>
      </w:tr>
      <w:tr w14:paraId="05B53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954" w:type="dxa"/>
            <w:vMerge w:val="continue"/>
            <w:vAlign w:val="center"/>
          </w:tcPr>
          <w:p w14:paraId="7D99C6A8">
            <w:pPr>
              <w:spacing w:line="400" w:lineRule="exact"/>
              <w:jc w:val="center"/>
              <w:rPr>
                <w:rFonts w:ascii="宋体" w:hAnsi="宋体"/>
                <w:szCs w:val="21"/>
                <w:highlight w:val="none"/>
              </w:rPr>
            </w:pPr>
          </w:p>
        </w:tc>
        <w:tc>
          <w:tcPr>
            <w:tcW w:w="8355" w:type="dxa"/>
            <w:vAlign w:val="center"/>
          </w:tcPr>
          <w:p w14:paraId="1E1F35FA">
            <w:pPr>
              <w:spacing w:line="276" w:lineRule="auto"/>
              <w:rPr>
                <w:rFonts w:ascii="宋体" w:hAnsi="宋体" w:cs="宋体"/>
                <w:kern w:val="0"/>
                <w:szCs w:val="21"/>
                <w:highlight w:val="none"/>
              </w:rPr>
            </w:pPr>
            <w:r>
              <w:rPr>
                <w:rFonts w:hint="eastAsia" w:ascii="宋体" w:hAnsi="宋体" w:cs="宋体"/>
                <w:kern w:val="0"/>
                <w:szCs w:val="21"/>
                <w:highlight w:val="none"/>
              </w:rPr>
              <w:t>谈判的顺序：</w:t>
            </w:r>
          </w:p>
          <w:p w14:paraId="1F9023B2">
            <w:pPr>
              <w:rPr>
                <w:rFonts w:ascii="宋体" w:hAnsi="宋体" w:cs="宋体"/>
                <w:kern w:val="0"/>
                <w:szCs w:val="21"/>
                <w:highlight w:val="none"/>
              </w:rPr>
            </w:pPr>
            <w:r>
              <w:rPr>
                <w:rFonts w:hint="eastAsia" w:ascii="宋体" w:hAnsi="宋体" w:cs="宋体"/>
                <w:kern w:val="0"/>
                <w:szCs w:val="21"/>
                <w:highlight w:val="none"/>
              </w:rPr>
              <w:t>按“广西政府采购云”系统自动提取的顺序。</w:t>
            </w:r>
          </w:p>
        </w:tc>
      </w:tr>
      <w:tr w14:paraId="28D24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jc w:val="center"/>
        </w:trPr>
        <w:tc>
          <w:tcPr>
            <w:tcW w:w="954" w:type="dxa"/>
            <w:vMerge w:val="continue"/>
            <w:vAlign w:val="center"/>
          </w:tcPr>
          <w:p w14:paraId="741AE0C5">
            <w:pPr>
              <w:spacing w:line="400" w:lineRule="exact"/>
              <w:jc w:val="center"/>
              <w:rPr>
                <w:rFonts w:ascii="宋体" w:hAnsi="宋体"/>
                <w:szCs w:val="21"/>
                <w:highlight w:val="none"/>
              </w:rPr>
            </w:pPr>
          </w:p>
        </w:tc>
        <w:tc>
          <w:tcPr>
            <w:tcW w:w="8355" w:type="dxa"/>
            <w:vAlign w:val="center"/>
          </w:tcPr>
          <w:p w14:paraId="17B77375">
            <w:pPr>
              <w:rPr>
                <w:rFonts w:ascii="宋体" w:hAnsi="宋体"/>
                <w:szCs w:val="21"/>
                <w:highlight w:val="none"/>
              </w:rPr>
            </w:pPr>
            <w:r>
              <w:rPr>
                <w:rFonts w:hint="eastAsia" w:ascii="宋体" w:hAnsi="宋体" w:cs="宋体"/>
                <w:szCs w:val="21"/>
                <w:highlight w:val="none"/>
              </w:rPr>
              <w:t>评标价相同时，按照最后报价由低到高顺序依次推荐；最后报价相同时，按</w:t>
            </w:r>
            <w:r>
              <w:rPr>
                <w:rFonts w:ascii="宋体" w:hAnsi="Courier New"/>
                <w:szCs w:val="21"/>
                <w:highlight w:val="none"/>
              </w:rPr>
              <w:t>节能环保优先、技术指标高优先、质保期长优先、交货期短优先、故障响应时间短优先的</w:t>
            </w:r>
            <w:r>
              <w:rPr>
                <w:rFonts w:hint="eastAsia" w:ascii="宋体" w:hAnsi="宋体" w:cs="宋体"/>
                <w:szCs w:val="21"/>
                <w:highlight w:val="none"/>
              </w:rPr>
              <w:t>顺序依次推荐。</w:t>
            </w:r>
          </w:p>
        </w:tc>
      </w:tr>
      <w:tr w14:paraId="05FF5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954" w:type="dxa"/>
            <w:vAlign w:val="center"/>
          </w:tcPr>
          <w:p w14:paraId="280E1DE4">
            <w:pPr>
              <w:jc w:val="center"/>
              <w:rPr>
                <w:rFonts w:ascii="宋体" w:hAnsi="宋体"/>
                <w:szCs w:val="21"/>
                <w:highlight w:val="none"/>
              </w:rPr>
            </w:pPr>
            <w:r>
              <w:rPr>
                <w:rFonts w:hint="eastAsia" w:ascii="宋体" w:hAnsi="宋体"/>
                <w:szCs w:val="21"/>
                <w:highlight w:val="none"/>
              </w:rPr>
              <w:t>28.1</w:t>
            </w:r>
          </w:p>
        </w:tc>
        <w:tc>
          <w:tcPr>
            <w:tcW w:w="8355" w:type="dxa"/>
            <w:vAlign w:val="center"/>
          </w:tcPr>
          <w:p w14:paraId="20725D41">
            <w:pPr>
              <w:spacing w:line="400" w:lineRule="exact"/>
              <w:rPr>
                <w:rFonts w:ascii="宋体" w:hAnsi="宋体"/>
              </w:rPr>
            </w:pPr>
            <w:r>
              <w:rPr>
                <w:rFonts w:hint="eastAsia" w:ascii="宋体" w:hAnsi="宋体"/>
              </w:rPr>
              <w:t>履约保证金交纳金额：无。</w:t>
            </w:r>
          </w:p>
          <w:p w14:paraId="12C1687E">
            <w:pPr>
              <w:jc w:val="left"/>
            </w:pPr>
            <w:r>
              <w:rPr>
                <w:rFonts w:hint="eastAsia" w:ascii="宋体" w:hAnsi="宋体"/>
              </w:rPr>
              <w:t>履约保证金缴纳方式：无。</w:t>
            </w:r>
          </w:p>
        </w:tc>
      </w:tr>
      <w:tr w14:paraId="1B142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954" w:type="dxa"/>
            <w:vAlign w:val="center"/>
          </w:tcPr>
          <w:p w14:paraId="2657DCD3">
            <w:pPr>
              <w:spacing w:line="400" w:lineRule="exact"/>
              <w:jc w:val="center"/>
              <w:rPr>
                <w:rFonts w:ascii="宋体" w:hAnsi="宋体"/>
                <w:szCs w:val="21"/>
                <w:highlight w:val="none"/>
              </w:rPr>
            </w:pPr>
            <w:r>
              <w:rPr>
                <w:rFonts w:hint="eastAsia" w:ascii="宋体" w:hAnsi="宋体"/>
                <w:szCs w:val="21"/>
                <w:highlight w:val="none"/>
              </w:rPr>
              <w:t>29.1</w:t>
            </w:r>
          </w:p>
        </w:tc>
        <w:tc>
          <w:tcPr>
            <w:tcW w:w="8355" w:type="dxa"/>
            <w:vAlign w:val="center"/>
          </w:tcPr>
          <w:p w14:paraId="491FA4EF">
            <w:pPr>
              <w:spacing w:line="276" w:lineRule="auto"/>
              <w:ind w:firstLine="317" w:firstLineChars="151"/>
              <w:rPr>
                <w:rFonts w:ascii="宋体" w:hAnsi="宋体"/>
                <w:szCs w:val="21"/>
                <w:highlight w:val="none"/>
              </w:rPr>
            </w:pPr>
            <w:r>
              <w:rPr>
                <w:rFonts w:hint="eastAsia" w:ascii="宋体" w:hAnsi="宋体"/>
                <w:szCs w:val="21"/>
                <w:highlight w:val="none"/>
              </w:rPr>
              <w:t>签订合同携带的证明材料：营业执照副本原件、法定代表人授权委托书及被授权人身份证原件等其它证明材料。</w:t>
            </w:r>
          </w:p>
          <w:p w14:paraId="6A6806C8">
            <w:pPr>
              <w:pStyle w:val="17"/>
              <w:spacing w:line="276" w:lineRule="auto"/>
              <w:ind w:firstLine="317" w:firstLineChars="151"/>
              <w:jc w:val="left"/>
              <w:rPr>
                <w:rFonts w:hAnsi="宋体"/>
                <w:sz w:val="21"/>
                <w:szCs w:val="21"/>
                <w:highlight w:val="none"/>
              </w:rPr>
            </w:pPr>
            <w:r>
              <w:rPr>
                <w:rFonts w:hint="eastAsia" w:hAnsi="宋体"/>
                <w:sz w:val="21"/>
                <w:szCs w:val="21"/>
                <w:highlight w:val="none"/>
              </w:rPr>
              <w:t>合同签订时间：</w:t>
            </w:r>
          </w:p>
          <w:p w14:paraId="04744963">
            <w:pPr>
              <w:pStyle w:val="17"/>
              <w:spacing w:line="276" w:lineRule="auto"/>
              <w:ind w:firstLine="317" w:firstLineChars="151"/>
              <w:jc w:val="left"/>
              <w:rPr>
                <w:rFonts w:hAnsi="宋体"/>
                <w:sz w:val="21"/>
                <w:szCs w:val="21"/>
                <w:highlight w:val="none"/>
              </w:rPr>
            </w:pPr>
            <w:r>
              <w:rPr>
                <w:rFonts w:hint="eastAsia" w:hAnsi="宋体"/>
                <w:sz w:val="21"/>
                <w:szCs w:val="21"/>
                <w:highlight w:val="none"/>
              </w:rPr>
              <w:t>1、自成交通知书发出之日起 20 日内。</w:t>
            </w:r>
          </w:p>
          <w:p w14:paraId="5F8A9E97">
            <w:pPr>
              <w:spacing w:line="360" w:lineRule="exact"/>
              <w:ind w:firstLine="317" w:firstLineChars="151"/>
              <w:rPr>
                <w:rFonts w:ascii="宋体" w:hAnsi="宋体"/>
                <w:szCs w:val="21"/>
                <w:highlight w:val="none"/>
              </w:rPr>
            </w:pPr>
            <w:r>
              <w:rPr>
                <w:rFonts w:hint="eastAsia" w:ascii="宋体" w:hAnsi="宋体"/>
                <w:szCs w:val="21"/>
                <w:highlight w:val="none"/>
              </w:rPr>
              <w:t>2、成交供应商应当自采购合同签订之日起 2 日内，递交一份政府采购合同原件给代理机构，按规定将政府采购合同在相关网上公告。</w:t>
            </w:r>
          </w:p>
        </w:tc>
      </w:tr>
      <w:tr w14:paraId="67674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954" w:type="dxa"/>
            <w:vAlign w:val="center"/>
          </w:tcPr>
          <w:p w14:paraId="1B947976">
            <w:pPr>
              <w:spacing w:line="400" w:lineRule="exact"/>
              <w:jc w:val="center"/>
              <w:rPr>
                <w:rFonts w:ascii="宋体" w:hAnsi="宋体"/>
                <w:szCs w:val="21"/>
                <w:highlight w:val="none"/>
              </w:rPr>
            </w:pPr>
            <w:r>
              <w:rPr>
                <w:rFonts w:hint="eastAsia" w:ascii="宋体" w:hAnsi="宋体"/>
                <w:szCs w:val="21"/>
                <w:highlight w:val="none"/>
              </w:rPr>
              <w:t>31.2</w:t>
            </w:r>
          </w:p>
        </w:tc>
        <w:tc>
          <w:tcPr>
            <w:tcW w:w="8355" w:type="dxa"/>
            <w:vAlign w:val="center"/>
          </w:tcPr>
          <w:p w14:paraId="3ABE5F23">
            <w:pPr>
              <w:spacing w:line="276" w:lineRule="auto"/>
              <w:ind w:firstLine="174" w:firstLineChars="83"/>
              <w:rPr>
                <w:rFonts w:ascii="宋体" w:hAnsi="宋体"/>
                <w:szCs w:val="21"/>
                <w:highlight w:val="none"/>
              </w:rPr>
            </w:pPr>
            <w:r>
              <w:rPr>
                <w:rFonts w:hint="eastAsia" w:ascii="宋体" w:hAnsi="宋体"/>
                <w:szCs w:val="21"/>
                <w:highlight w:val="none"/>
              </w:rPr>
              <w:t>接收质疑函方式：以书面形式（原件递交）。</w:t>
            </w:r>
          </w:p>
          <w:p w14:paraId="7C61EE7B">
            <w:pPr>
              <w:spacing w:line="276" w:lineRule="auto"/>
              <w:ind w:firstLine="174" w:firstLineChars="83"/>
              <w:rPr>
                <w:rFonts w:hint="default" w:ascii="宋体" w:hAnsi="宋体"/>
                <w:szCs w:val="21"/>
                <w:highlight w:val="none"/>
                <w:lang w:val="en-US" w:eastAsia="zh-CN"/>
              </w:rPr>
            </w:pPr>
            <w:r>
              <w:rPr>
                <w:rFonts w:hint="eastAsia" w:ascii="宋体" w:hAnsi="宋体"/>
                <w:szCs w:val="21"/>
                <w:highlight w:val="none"/>
              </w:rPr>
              <w:t>质疑联系部门：</w:t>
            </w:r>
            <w:r>
              <w:rPr>
                <w:rFonts w:hint="eastAsia" w:ascii="宋体" w:hAnsi="宋体"/>
                <w:szCs w:val="21"/>
                <w:highlight w:val="none"/>
                <w:lang w:eastAsia="zh-CN"/>
              </w:rPr>
              <w:t>中禹鑫工程项目管理有限公司</w:t>
            </w:r>
            <w:r>
              <w:rPr>
                <w:rFonts w:hint="eastAsia" w:ascii="宋体" w:hAnsi="宋体"/>
                <w:szCs w:val="21"/>
                <w:highlight w:val="none"/>
              </w:rPr>
              <w:t>联系人及联系电话：</w:t>
            </w:r>
            <w:r>
              <w:rPr>
                <w:rFonts w:hint="eastAsia" w:ascii="宋体" w:hAnsi="宋体"/>
                <w:szCs w:val="21"/>
                <w:highlight w:val="none"/>
                <w:lang w:val="en-US" w:eastAsia="zh-CN"/>
              </w:rPr>
              <w:t>林工</w:t>
            </w:r>
            <w:r>
              <w:rPr>
                <w:rFonts w:hint="eastAsia" w:ascii="宋体" w:hAnsi="宋体"/>
                <w:szCs w:val="21"/>
                <w:highlight w:val="none"/>
              </w:rPr>
              <w:t xml:space="preserve">  </w:t>
            </w:r>
            <w:r>
              <w:rPr>
                <w:rFonts w:hint="eastAsia" w:ascii="宋体" w:hAnsi="宋体" w:cs="宋体"/>
                <w:szCs w:val="21"/>
                <w:highlight w:val="none"/>
                <w:lang w:val="en-US" w:eastAsia="zh-CN"/>
              </w:rPr>
              <w:t>13471575057</w:t>
            </w:r>
          </w:p>
          <w:p w14:paraId="09ECE653">
            <w:pPr>
              <w:spacing w:line="276" w:lineRule="auto"/>
              <w:ind w:firstLine="174" w:firstLineChars="83"/>
              <w:rPr>
                <w:rFonts w:hint="eastAsia" w:ascii="宋体" w:hAnsi="宋体"/>
                <w:szCs w:val="21"/>
                <w:highlight w:val="none"/>
                <w:lang w:eastAsia="zh-CN"/>
              </w:rPr>
            </w:pPr>
            <w:r>
              <w:rPr>
                <w:rFonts w:hint="eastAsia" w:ascii="宋体" w:hAnsi="宋体"/>
                <w:szCs w:val="21"/>
                <w:highlight w:val="none"/>
              </w:rPr>
              <w:t>通讯地址：贵港市覃塘区覃塘镇中山大道9号向南居·汉唐世家二组团8幢1层8803号</w:t>
            </w:r>
          </w:p>
          <w:p w14:paraId="73078D72">
            <w:pPr>
              <w:pStyle w:val="10"/>
              <w:spacing w:line="276" w:lineRule="auto"/>
              <w:jc w:val="left"/>
              <w:rPr>
                <w:rFonts w:hAnsi="宋体"/>
                <w:szCs w:val="21"/>
                <w:highlight w:val="none"/>
              </w:rPr>
            </w:pPr>
            <w:r>
              <w:rPr>
                <w:rFonts w:hint="eastAsia" w:hAnsi="宋体"/>
                <w:szCs w:val="21"/>
                <w:highlight w:val="none"/>
              </w:rPr>
              <w:t>业务办理时间：行政时间，双休日和法定节假日不办理业务。</w:t>
            </w:r>
          </w:p>
        </w:tc>
      </w:tr>
      <w:tr w14:paraId="28CF5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954" w:type="dxa"/>
            <w:vAlign w:val="center"/>
          </w:tcPr>
          <w:p w14:paraId="3D355C64">
            <w:pPr>
              <w:spacing w:line="400" w:lineRule="exact"/>
              <w:jc w:val="center"/>
              <w:rPr>
                <w:rFonts w:ascii="宋体" w:hAnsi="宋体"/>
                <w:szCs w:val="21"/>
                <w:highlight w:val="none"/>
              </w:rPr>
            </w:pPr>
            <w:r>
              <w:rPr>
                <w:rFonts w:hint="eastAsia" w:ascii="宋体" w:hAnsi="宋体"/>
                <w:szCs w:val="21"/>
                <w:highlight w:val="none"/>
              </w:rPr>
              <w:t>32.1</w:t>
            </w:r>
          </w:p>
        </w:tc>
        <w:tc>
          <w:tcPr>
            <w:tcW w:w="8355" w:type="dxa"/>
            <w:vAlign w:val="center"/>
          </w:tcPr>
          <w:p w14:paraId="644B56F3">
            <w:pPr>
              <w:pStyle w:val="17"/>
              <w:spacing w:line="276" w:lineRule="auto"/>
              <w:ind w:firstLine="175" w:firstLineChars="83"/>
              <w:jc w:val="left"/>
              <w:rPr>
                <w:rFonts w:hAnsi="宋体" w:cs="宋体"/>
                <w:sz w:val="21"/>
                <w:szCs w:val="21"/>
                <w:highlight w:val="none"/>
              </w:rPr>
            </w:pPr>
            <w:r>
              <w:rPr>
                <w:rFonts w:hint="eastAsia" w:hAnsi="宋体"/>
                <w:b/>
                <w:bCs w:val="0"/>
                <w:sz w:val="21"/>
                <w:szCs w:val="21"/>
                <w:highlight w:val="none"/>
              </w:rPr>
              <w:t>招标代理服务费收取方式：</w:t>
            </w:r>
          </w:p>
          <w:p w14:paraId="6A4C3338">
            <w:pPr>
              <w:pStyle w:val="17"/>
              <w:spacing w:line="276" w:lineRule="auto"/>
              <w:ind w:firstLine="210" w:firstLineChars="100"/>
              <w:jc w:val="left"/>
              <w:rPr>
                <w:rFonts w:hAnsi="宋体" w:cs="宋体"/>
                <w:sz w:val="21"/>
                <w:szCs w:val="21"/>
                <w:highlight w:val="none"/>
              </w:rPr>
            </w:pPr>
            <w:r>
              <w:rPr>
                <w:rFonts w:hint="eastAsia" w:hAnsi="宋体"/>
                <w:sz w:val="21"/>
                <w:szCs w:val="21"/>
                <w:highlight w:val="none"/>
              </w:rPr>
              <w:t>1、不论竞标结果如何，供应商均应自行承担所有与竞标有关的全部费用；</w:t>
            </w:r>
          </w:p>
          <w:p w14:paraId="3796385A">
            <w:pPr>
              <w:pStyle w:val="17"/>
              <w:spacing w:line="276" w:lineRule="auto"/>
              <w:ind w:firstLine="174" w:firstLineChars="83"/>
              <w:jc w:val="left"/>
              <w:rPr>
                <w:rFonts w:hAnsi="宋体"/>
                <w:sz w:val="21"/>
                <w:szCs w:val="21"/>
                <w:highlight w:val="none"/>
              </w:rPr>
            </w:pPr>
            <w:r>
              <w:rPr>
                <w:rFonts w:hint="eastAsia" w:hAnsi="宋体"/>
                <w:sz w:val="21"/>
                <w:szCs w:val="21"/>
                <w:highlight w:val="none"/>
              </w:rPr>
              <w:t>2、本项目代理服务费由</w:t>
            </w:r>
            <w:r>
              <w:rPr>
                <w:rFonts w:hint="eastAsia" w:hAnsi="宋体"/>
                <w:sz w:val="21"/>
                <w:szCs w:val="21"/>
                <w:highlight w:val="none"/>
                <w:u w:val="single"/>
              </w:rPr>
              <w:t>成交供应商</w:t>
            </w:r>
            <w:r>
              <w:rPr>
                <w:rFonts w:hint="eastAsia" w:hAnsi="宋体"/>
                <w:sz w:val="21"/>
                <w:szCs w:val="21"/>
                <w:highlight w:val="none"/>
              </w:rPr>
              <w:t>领取成交通知书前，一次性向采购代理机构支付。</w:t>
            </w:r>
          </w:p>
          <w:p w14:paraId="43C1A8BD">
            <w:pPr>
              <w:pStyle w:val="17"/>
              <w:spacing w:line="276" w:lineRule="auto"/>
              <w:ind w:firstLine="174" w:firstLineChars="83"/>
              <w:jc w:val="left"/>
              <w:rPr>
                <w:rFonts w:hAnsi="宋体"/>
                <w:sz w:val="21"/>
                <w:szCs w:val="21"/>
                <w:highlight w:val="red"/>
              </w:rPr>
            </w:pPr>
            <w:r>
              <w:rPr>
                <w:rFonts w:hint="eastAsia" w:hAnsi="宋体"/>
                <w:sz w:val="21"/>
                <w:szCs w:val="21"/>
                <w:highlight w:val="none"/>
              </w:rPr>
              <w:t>3、成交服务费为：本项目招标代理服务费按国家发展改革委《关于进一步放开建设项目专业服务价格的通知》发改价格〔2015〕299号文执行，金额为人民币：</w:t>
            </w:r>
            <w:r>
              <w:rPr>
                <w:rFonts w:hint="eastAsia" w:hAnsi="宋体"/>
                <w:sz w:val="21"/>
                <w:szCs w:val="21"/>
                <w:highlight w:val="none"/>
                <w:lang w:val="en-US" w:eastAsia="zh-CN"/>
              </w:rPr>
              <w:t>壹万伍仟元整</w:t>
            </w:r>
            <w:r>
              <w:rPr>
                <w:rFonts w:hint="eastAsia" w:hAnsi="宋体"/>
                <w:sz w:val="21"/>
                <w:szCs w:val="21"/>
                <w:highlight w:val="none"/>
              </w:rPr>
              <w:t>（￥</w:t>
            </w:r>
            <w:r>
              <w:rPr>
                <w:rFonts w:hint="eastAsia" w:hAnsi="宋体"/>
                <w:sz w:val="21"/>
                <w:szCs w:val="21"/>
                <w:highlight w:val="none"/>
                <w:lang w:val="en-US" w:eastAsia="zh-CN"/>
              </w:rPr>
              <w:t>15000.00</w:t>
            </w:r>
            <w:r>
              <w:rPr>
                <w:rFonts w:hint="eastAsia" w:hAnsi="宋体"/>
                <w:sz w:val="21"/>
                <w:szCs w:val="21"/>
                <w:highlight w:val="none"/>
              </w:rPr>
              <w:t>元）</w:t>
            </w:r>
            <w:r>
              <w:rPr>
                <w:rFonts w:hint="eastAsia" w:hAnsi="宋体"/>
                <w:sz w:val="21"/>
                <w:szCs w:val="21"/>
                <w:highlight w:val="none"/>
                <w:lang w:eastAsia="zh-CN"/>
              </w:rPr>
              <w:t>（</w:t>
            </w:r>
            <w:r>
              <w:rPr>
                <w:rFonts w:hint="eastAsia" w:hAnsi="宋体"/>
                <w:sz w:val="21"/>
                <w:szCs w:val="21"/>
                <w:highlight w:val="none"/>
                <w:lang w:val="en-US" w:eastAsia="zh-CN"/>
              </w:rPr>
              <w:t>按中介超市中选金额</w:t>
            </w:r>
            <w:r>
              <w:rPr>
                <w:rFonts w:hint="eastAsia" w:hAnsi="宋体"/>
                <w:sz w:val="21"/>
                <w:szCs w:val="21"/>
                <w:highlight w:val="none"/>
                <w:lang w:eastAsia="zh-CN"/>
              </w:rPr>
              <w:t>），</w:t>
            </w:r>
            <w:r>
              <w:rPr>
                <w:rFonts w:hint="eastAsia" w:hAnsi="宋体"/>
                <w:sz w:val="21"/>
                <w:szCs w:val="21"/>
                <w:highlight w:val="none"/>
              </w:rPr>
              <w:t>方式为由成交</w:t>
            </w:r>
            <w:r>
              <w:rPr>
                <w:rFonts w:hint="eastAsia" w:hAnsi="宋体"/>
                <w:sz w:val="21"/>
                <w:szCs w:val="21"/>
                <w:highlight w:val="none"/>
                <w:lang w:eastAsia="zh-CN"/>
              </w:rPr>
              <w:t>供应商</w:t>
            </w:r>
            <w:r>
              <w:rPr>
                <w:rFonts w:hint="eastAsia" w:hAnsi="宋体"/>
                <w:sz w:val="21"/>
                <w:szCs w:val="21"/>
                <w:highlight w:val="none"/>
              </w:rPr>
              <w:t>向采购代理机构支付。代理服务费请转到以下账户：</w:t>
            </w:r>
          </w:p>
          <w:p w14:paraId="7AFC7B8E">
            <w:pPr>
              <w:pStyle w:val="17"/>
              <w:spacing w:line="276" w:lineRule="auto"/>
              <w:ind w:firstLine="420" w:firstLineChars="200"/>
              <w:jc w:val="left"/>
              <w:rPr>
                <w:rFonts w:hAnsi="宋体" w:cs="宋体"/>
                <w:sz w:val="21"/>
                <w:szCs w:val="21"/>
                <w:highlight w:val="none"/>
              </w:rPr>
            </w:pPr>
            <w:r>
              <w:rPr>
                <w:rFonts w:hint="eastAsia" w:hAnsi="宋体" w:cs="宋体"/>
                <w:sz w:val="21"/>
                <w:szCs w:val="21"/>
                <w:highlight w:val="none"/>
              </w:rPr>
              <w:t>代理成交服务费缴纳帐户如下：</w:t>
            </w:r>
          </w:p>
          <w:p w14:paraId="34CCF8A0">
            <w:pPr>
              <w:pStyle w:val="10"/>
              <w:snapToGrid w:val="0"/>
              <w:spacing w:line="360" w:lineRule="auto"/>
              <w:ind w:firstLine="420" w:firstLineChars="200"/>
              <w:rPr>
                <w:rFonts w:hAnsi="宋体" w:cs="宋体"/>
              </w:rPr>
            </w:pPr>
            <w:r>
              <w:rPr>
                <w:rFonts w:hint="eastAsia" w:hAnsi="宋体" w:cs="宋体"/>
              </w:rPr>
              <w:t>账户名称：</w:t>
            </w:r>
            <w:r>
              <w:rPr>
                <w:rStyle w:val="29"/>
                <w:rFonts w:hint="eastAsia" w:ascii="宋体" w:hAnsi="宋体"/>
                <w:color w:val="auto"/>
                <w:szCs w:val="21"/>
                <w:highlight w:val="none"/>
                <w:lang w:eastAsia="zh-CN"/>
              </w:rPr>
              <w:t>中禹鑫工程项目管理有限公司贵港分公司</w:t>
            </w:r>
            <w:r>
              <w:rPr>
                <w:rFonts w:hint="eastAsia" w:hAnsi="宋体" w:cs="宋体"/>
              </w:rPr>
              <w:t xml:space="preserve"> </w:t>
            </w:r>
          </w:p>
          <w:p w14:paraId="25D3E86A">
            <w:pPr>
              <w:pStyle w:val="10"/>
              <w:snapToGrid w:val="0"/>
              <w:spacing w:line="360" w:lineRule="auto"/>
              <w:ind w:firstLine="420" w:firstLineChars="200"/>
              <w:rPr>
                <w:rFonts w:hAnsi="宋体" w:cs="宋体"/>
              </w:rPr>
            </w:pPr>
            <w:r>
              <w:rPr>
                <w:rFonts w:hint="eastAsia" w:hAnsi="宋体" w:cs="宋体"/>
              </w:rPr>
              <w:t>开户银行：</w:t>
            </w:r>
            <w:r>
              <w:rPr>
                <w:rFonts w:hint="eastAsia" w:ascii="宋体" w:hAnsi="宋体"/>
                <w:color w:val="auto"/>
                <w:szCs w:val="21"/>
                <w:lang w:val="en-US" w:eastAsia="zh-CN"/>
              </w:rPr>
              <w:t>广西贵港农村商业银行股份有限公司广场支行</w:t>
            </w:r>
          </w:p>
          <w:p w14:paraId="60C996BD">
            <w:pPr>
              <w:pStyle w:val="10"/>
              <w:spacing w:line="276" w:lineRule="auto"/>
              <w:ind w:firstLine="420" w:firstLineChars="200"/>
              <w:jc w:val="left"/>
              <w:rPr>
                <w:rFonts w:hAnsi="宋体"/>
                <w:szCs w:val="21"/>
                <w:highlight w:val="none"/>
              </w:rPr>
            </w:pPr>
            <w:r>
              <w:rPr>
                <w:rFonts w:hint="eastAsia" w:hAnsi="宋体" w:cs="宋体"/>
              </w:rPr>
              <w:t>银行账号：</w:t>
            </w:r>
            <w:r>
              <w:rPr>
                <w:rStyle w:val="29"/>
                <w:rFonts w:hint="eastAsia" w:ascii="宋体" w:hAnsi="宋体"/>
                <w:color w:val="auto"/>
                <w:szCs w:val="21"/>
                <w:highlight w:val="none"/>
              </w:rPr>
              <w:t>915212010111388090</w:t>
            </w:r>
          </w:p>
        </w:tc>
      </w:tr>
      <w:tr w14:paraId="66ADD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954" w:type="dxa"/>
            <w:vAlign w:val="center"/>
          </w:tcPr>
          <w:p w14:paraId="497914ED">
            <w:pPr>
              <w:spacing w:line="400" w:lineRule="exact"/>
              <w:jc w:val="center"/>
              <w:rPr>
                <w:rFonts w:ascii="宋体" w:hAnsi="宋体"/>
                <w:szCs w:val="21"/>
                <w:highlight w:val="none"/>
              </w:rPr>
            </w:pPr>
            <w:r>
              <w:rPr>
                <w:rFonts w:hint="eastAsia" w:ascii="宋体" w:hAnsi="宋体"/>
                <w:szCs w:val="21"/>
                <w:highlight w:val="none"/>
              </w:rPr>
              <w:t>32.3</w:t>
            </w:r>
          </w:p>
        </w:tc>
        <w:tc>
          <w:tcPr>
            <w:tcW w:w="8355" w:type="dxa"/>
            <w:vAlign w:val="center"/>
          </w:tcPr>
          <w:p w14:paraId="1BDB8CC8">
            <w:pPr>
              <w:keepNext w:val="0"/>
              <w:keepLines w:val="0"/>
              <w:pageBreakBefore w:val="0"/>
              <w:widowControl w:val="0"/>
              <w:kinsoku/>
              <w:wordWrap/>
              <w:overflowPunct/>
              <w:topLinePunct w:val="0"/>
              <w:autoSpaceDE/>
              <w:autoSpaceDN/>
              <w:bidi w:val="0"/>
              <w:adjustRightInd/>
              <w:snapToGrid/>
              <w:spacing w:line="300" w:lineRule="exact"/>
              <w:ind w:firstLine="317" w:firstLineChars="151"/>
              <w:textAlignment w:val="auto"/>
              <w:rPr>
                <w:rFonts w:ascii="宋体" w:hAnsi="宋体"/>
                <w:szCs w:val="21"/>
                <w:highlight w:val="none"/>
              </w:rPr>
            </w:pPr>
            <w:r>
              <w:rPr>
                <w:rFonts w:hint="eastAsia" w:ascii="宋体" w:hAnsi="宋体"/>
                <w:szCs w:val="21"/>
                <w:highlight w:val="none"/>
              </w:rPr>
              <w:t>解释：构成本谈判文件的各个组成文件应互为解释，互为说明；除谈判文件中有特别规定外，仅适用于竞标阶段的规定，按更正公告（澄清公告）、竞争性谈判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谈判文件不一致时以更正公告（澄清公告）为准。按本款前述规定仍不能形成结论的，由采购人或者采购代理机构负责解释。</w:t>
            </w:r>
          </w:p>
        </w:tc>
      </w:tr>
      <w:tr w14:paraId="1C183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4" w:hRule="atLeast"/>
          <w:jc w:val="center"/>
        </w:trPr>
        <w:tc>
          <w:tcPr>
            <w:tcW w:w="954" w:type="dxa"/>
            <w:vAlign w:val="center"/>
          </w:tcPr>
          <w:p w14:paraId="4DE11E31">
            <w:pPr>
              <w:spacing w:line="400" w:lineRule="exact"/>
              <w:jc w:val="center"/>
              <w:rPr>
                <w:rFonts w:ascii="宋体" w:hAnsi="宋体"/>
                <w:szCs w:val="21"/>
                <w:highlight w:val="none"/>
              </w:rPr>
            </w:pPr>
            <w:r>
              <w:rPr>
                <w:rFonts w:hint="eastAsia" w:ascii="宋体" w:hAnsi="宋体"/>
                <w:szCs w:val="21"/>
                <w:highlight w:val="none"/>
              </w:rPr>
              <w:t>32.4</w:t>
            </w:r>
          </w:p>
        </w:tc>
        <w:tc>
          <w:tcPr>
            <w:tcW w:w="8355" w:type="dxa"/>
            <w:vAlign w:val="center"/>
          </w:tcPr>
          <w:p w14:paraId="57C30F2C">
            <w:pPr>
              <w:spacing w:line="276" w:lineRule="auto"/>
              <w:ind w:firstLine="317" w:firstLineChars="151"/>
              <w:rPr>
                <w:rFonts w:ascii="宋体" w:hAnsi="宋体"/>
                <w:szCs w:val="21"/>
                <w:highlight w:val="none"/>
              </w:rPr>
            </w:pPr>
            <w:r>
              <w:rPr>
                <w:rFonts w:hint="eastAsia" w:ascii="宋体" w:hAnsi="宋体"/>
                <w:szCs w:val="21"/>
                <w:highlight w:val="none"/>
              </w:rPr>
              <w:t>1.电子响应文件中须加盖供应商公章部分均采用 CA 签章，并根据“政府采购项目电子交易管理操作指南-供应商” 及本竞争性谈判文件规定的格式和顺序编制电子响应文件并进行关联定位，以便谈判小组在评审时，点击评分项可直接定位到该评分项内容。如对竞争性谈判文件的某项要求，供应商的电子响应文件未能关联定位提供相应的内容与其对应，则谈判小组在评审时如做出对供应商不利的评审由供应商自行承担。电子响应文件如内容不完整、编排混乱导致响应文件被误读、 漏读，或者在按采购文件规定的部位查找不到相关内容的，由供应商自行承担。</w:t>
            </w:r>
          </w:p>
          <w:p w14:paraId="0AEAA21A">
            <w:pPr>
              <w:spacing w:line="276" w:lineRule="auto"/>
              <w:ind w:firstLine="317" w:firstLineChars="151"/>
              <w:rPr>
                <w:rFonts w:ascii="宋体" w:hAnsi="宋体"/>
                <w:szCs w:val="21"/>
                <w:highlight w:val="none"/>
              </w:rPr>
            </w:pPr>
            <w:r>
              <w:rPr>
                <w:rFonts w:hint="eastAsia" w:ascii="宋体" w:hAnsi="宋体"/>
                <w:szCs w:val="21"/>
                <w:highlight w:val="none"/>
              </w:rPr>
              <w:t>2.CA签章上目前没有法人（负责人）或授权代表签字信息，供应商在响应文件中涉及到签字的位置线下签好字然后扫描或者拍照做成 PDF 的格式亦可。响应文件中涉及到签字的位置未按要求签字的，提供的材料视为无效。</w:t>
            </w:r>
          </w:p>
          <w:p w14:paraId="2E080CF0">
            <w:pPr>
              <w:spacing w:line="276" w:lineRule="auto"/>
              <w:ind w:firstLine="317" w:firstLineChars="151"/>
              <w:rPr>
                <w:rFonts w:ascii="宋体" w:hAnsi="宋体"/>
                <w:szCs w:val="21"/>
                <w:highlight w:val="none"/>
              </w:rPr>
            </w:pPr>
            <w:r>
              <w:rPr>
                <w:rFonts w:hint="eastAsia" w:ascii="宋体" w:hAnsi="宋体"/>
                <w:szCs w:val="21"/>
                <w:highlight w:val="none"/>
              </w:rPr>
              <w:t>3.本竞争性谈判文件中描述供应商的“签字”是指供应商的法定代表人或被授权人亲自在竞争性谈判文件规定签署处签名（含电子签名、电子签章）的行为。</w:t>
            </w:r>
          </w:p>
          <w:p w14:paraId="7AF0BA8A">
            <w:pPr>
              <w:spacing w:line="276" w:lineRule="auto"/>
              <w:ind w:firstLine="317" w:firstLineChars="151"/>
              <w:rPr>
                <w:rFonts w:ascii="宋体" w:hAnsi="宋体"/>
                <w:szCs w:val="21"/>
                <w:highlight w:val="none"/>
              </w:rPr>
            </w:pPr>
            <w:r>
              <w:rPr>
                <w:rFonts w:hint="eastAsia" w:ascii="宋体" w:hAnsi="宋体"/>
                <w:szCs w:val="21"/>
                <w:highlight w:val="none"/>
              </w:rPr>
              <w:t>4.</w:t>
            </w:r>
            <w:r>
              <w:rPr>
                <w:rFonts w:hint="eastAsia" w:ascii="宋体" w:hAnsi="宋体" w:cs="宋体"/>
                <w:szCs w:val="21"/>
                <w:highlight w:val="none"/>
              </w:rPr>
              <w:t>自然人竞标的，谈判文件规定盖公章处由自然人摁手指指印。</w:t>
            </w:r>
          </w:p>
          <w:p w14:paraId="6AB7F72C">
            <w:pPr>
              <w:spacing w:line="276" w:lineRule="auto"/>
              <w:ind w:firstLine="317" w:firstLineChars="151"/>
              <w:rPr>
                <w:rFonts w:ascii="宋体" w:hAnsi="宋体"/>
                <w:szCs w:val="21"/>
                <w:highlight w:val="none"/>
              </w:rPr>
            </w:pPr>
            <w:r>
              <w:rPr>
                <w:rFonts w:hint="eastAsia" w:ascii="宋体" w:hAnsi="宋体"/>
                <w:szCs w:val="21"/>
                <w:highlight w:val="none"/>
              </w:rPr>
              <w:t>5.本竞争性谈判文件所称的“以上”“以下”“以内”“届满”，包括本数；所称的“不满”“超过”“以外”，不包括本数。</w:t>
            </w:r>
          </w:p>
        </w:tc>
      </w:tr>
      <w:tr w14:paraId="0EC3C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954" w:type="dxa"/>
            <w:vAlign w:val="center"/>
          </w:tcPr>
          <w:p w14:paraId="47075ED8">
            <w:pPr>
              <w:spacing w:line="400" w:lineRule="exact"/>
              <w:jc w:val="center"/>
              <w:rPr>
                <w:rFonts w:ascii="宋体" w:hAnsi="宋体"/>
                <w:szCs w:val="21"/>
                <w:highlight w:val="none"/>
              </w:rPr>
            </w:pPr>
          </w:p>
        </w:tc>
        <w:tc>
          <w:tcPr>
            <w:tcW w:w="8355" w:type="dxa"/>
            <w:vAlign w:val="center"/>
          </w:tcPr>
          <w:p w14:paraId="05CC3383">
            <w:pPr>
              <w:spacing w:line="276" w:lineRule="auto"/>
              <w:ind w:firstLine="315" w:firstLineChars="150"/>
              <w:rPr>
                <w:rFonts w:ascii="宋体" w:hAnsi="宋体"/>
                <w:szCs w:val="21"/>
                <w:highlight w:val="none"/>
              </w:rPr>
            </w:pPr>
            <w:r>
              <w:rPr>
                <w:rFonts w:hint="eastAsia" w:ascii="宋体" w:hAnsi="宋体"/>
                <w:szCs w:val="21"/>
                <w:highlight w:val="none"/>
              </w:rPr>
              <w:t>本谈判采购文件所述招标人等同于采购人，投标人等同于供应商，评标等同于评审，投标等同于谈判或响应，中标等同于成交。</w:t>
            </w:r>
          </w:p>
        </w:tc>
      </w:tr>
      <w:tr w14:paraId="57AED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954" w:type="dxa"/>
            <w:vAlign w:val="center"/>
          </w:tcPr>
          <w:p w14:paraId="5021824A">
            <w:pPr>
              <w:spacing w:line="400" w:lineRule="exact"/>
              <w:jc w:val="center"/>
              <w:rPr>
                <w:rFonts w:ascii="宋体" w:hAnsi="宋体"/>
                <w:szCs w:val="21"/>
                <w:highlight w:val="none"/>
              </w:rPr>
            </w:pPr>
          </w:p>
        </w:tc>
        <w:tc>
          <w:tcPr>
            <w:tcW w:w="8355" w:type="dxa"/>
            <w:vAlign w:val="center"/>
          </w:tcPr>
          <w:p w14:paraId="102C11FD">
            <w:pPr>
              <w:spacing w:line="276" w:lineRule="auto"/>
              <w:ind w:firstLine="218" w:firstLineChars="104"/>
              <w:rPr>
                <w:rFonts w:ascii="宋体" w:hAnsi="宋体"/>
                <w:szCs w:val="21"/>
                <w:highlight w:val="none"/>
              </w:rPr>
            </w:pPr>
            <w:r>
              <w:rPr>
                <w:rFonts w:hint="eastAsia" w:ascii="宋体" w:hAnsi="宋体"/>
                <w:color w:val="000000" w:themeColor="text1"/>
                <w:szCs w:val="21"/>
                <w:highlight w:val="none"/>
                <w14:textFill>
                  <w14:solidFill>
                    <w14:schemeClr w14:val="tx1"/>
                  </w14:solidFill>
                </w14:textFill>
              </w:rPr>
              <w:t>质量要求：符合现行国家相关标准、行业标准、地方标准或者其他标准、规范等要求。</w:t>
            </w:r>
          </w:p>
        </w:tc>
      </w:tr>
      <w:tr w14:paraId="17F0B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954" w:type="dxa"/>
            <w:vAlign w:val="center"/>
          </w:tcPr>
          <w:p w14:paraId="21C07C1E">
            <w:pPr>
              <w:spacing w:line="400" w:lineRule="exact"/>
              <w:jc w:val="center"/>
              <w:rPr>
                <w:rFonts w:ascii="宋体" w:hAnsi="宋体"/>
                <w:szCs w:val="21"/>
                <w:highlight w:val="none"/>
              </w:rPr>
            </w:pPr>
          </w:p>
        </w:tc>
        <w:tc>
          <w:tcPr>
            <w:tcW w:w="8355" w:type="dxa"/>
            <w:vAlign w:val="center"/>
          </w:tcPr>
          <w:p w14:paraId="086D5DDB">
            <w:pPr>
              <w:spacing w:line="276" w:lineRule="auto"/>
              <w:ind w:firstLine="210" w:firstLineChars="100"/>
              <w:jc w:val="left"/>
              <w:rPr>
                <w:rFonts w:ascii="宋体" w:hAnsi="宋体"/>
                <w:szCs w:val="21"/>
                <w:highlight w:val="none"/>
              </w:rPr>
            </w:pPr>
            <w:r>
              <w:rPr>
                <w:rFonts w:ascii="宋体" w:hAnsi="宋体"/>
                <w:szCs w:val="21"/>
                <w:highlight w:val="none"/>
              </w:rPr>
              <w:t>本采购标的所属行业：</w:t>
            </w:r>
            <w:r>
              <w:rPr>
                <w:rFonts w:hint="eastAsia" w:ascii="宋体" w:hAnsi="宋体"/>
                <w:b/>
                <w:bCs/>
                <w:szCs w:val="21"/>
                <w:highlight w:val="none"/>
                <w:lang w:val="en-US" w:eastAsia="zh-CN"/>
              </w:rPr>
              <w:t>工业</w:t>
            </w:r>
            <w:r>
              <w:rPr>
                <w:rFonts w:ascii="宋体" w:hAnsi="宋体"/>
                <w:b/>
                <w:bCs/>
                <w:szCs w:val="21"/>
                <w:highlight w:val="none"/>
              </w:rPr>
              <w:t>。</w:t>
            </w:r>
          </w:p>
        </w:tc>
      </w:tr>
    </w:tbl>
    <w:p w14:paraId="6196252C">
      <w:pPr>
        <w:rPr>
          <w:highlight w:val="none"/>
        </w:rPr>
      </w:pPr>
      <w:bookmarkStart w:id="4" w:name="_Toc119076881"/>
      <w:r>
        <w:rPr>
          <w:highlight w:val="none"/>
        </w:rPr>
        <w:br w:type="page"/>
      </w:r>
    </w:p>
    <w:p w14:paraId="173A3E16">
      <w:pPr>
        <w:pStyle w:val="4"/>
        <w:spacing w:line="380" w:lineRule="exact"/>
        <w:rPr>
          <w:highlight w:val="none"/>
        </w:rPr>
      </w:pPr>
      <w:r>
        <w:rPr>
          <w:rFonts w:hint="eastAsia"/>
          <w:highlight w:val="none"/>
        </w:rPr>
        <w:t>供应商须知正文</w:t>
      </w:r>
      <w:bookmarkEnd w:id="4"/>
    </w:p>
    <w:p w14:paraId="386546E5">
      <w:pPr>
        <w:spacing w:line="380" w:lineRule="exact"/>
        <w:ind w:firstLine="482" w:firstLineChars="200"/>
        <w:jc w:val="center"/>
        <w:rPr>
          <w:rFonts w:ascii="宋体" w:hAnsi="宋体"/>
          <w:b/>
          <w:sz w:val="24"/>
          <w:highlight w:val="none"/>
        </w:rPr>
      </w:pPr>
      <w:r>
        <w:rPr>
          <w:rFonts w:hint="eastAsia" w:ascii="宋体" w:hAnsi="宋体"/>
          <w:b/>
          <w:sz w:val="24"/>
          <w:highlight w:val="none"/>
        </w:rPr>
        <w:t>一、总　则</w:t>
      </w:r>
    </w:p>
    <w:p w14:paraId="35C665C1">
      <w:pPr>
        <w:spacing w:line="380" w:lineRule="exact"/>
        <w:ind w:firstLine="482" w:firstLineChars="200"/>
        <w:rPr>
          <w:rFonts w:ascii="宋体" w:hAnsi="宋体"/>
          <w:b/>
          <w:sz w:val="24"/>
          <w:highlight w:val="none"/>
        </w:rPr>
      </w:pPr>
      <w:r>
        <w:rPr>
          <w:rFonts w:hint="eastAsia" w:ascii="宋体" w:hAnsi="宋体"/>
          <w:b/>
          <w:sz w:val="24"/>
          <w:highlight w:val="none"/>
        </w:rPr>
        <w:t>1. 适用范围</w:t>
      </w:r>
    </w:p>
    <w:p w14:paraId="46E50E65">
      <w:pPr>
        <w:spacing w:line="380" w:lineRule="exact"/>
        <w:ind w:firstLine="420" w:firstLineChars="200"/>
        <w:rPr>
          <w:rFonts w:ascii="宋体" w:hAnsi="宋体" w:cs="宋体"/>
          <w:szCs w:val="21"/>
          <w:highlight w:val="none"/>
        </w:rPr>
      </w:pPr>
      <w:r>
        <w:rPr>
          <w:rFonts w:hint="eastAsia" w:ascii="宋体" w:hAnsi="宋体" w:cs="宋体"/>
          <w:szCs w:val="21"/>
          <w:highlight w:val="none"/>
        </w:rPr>
        <w:t>1.1适用法律：本项目采购人、采购代理机构、供应商、谈判小组的相关行为均受《中华人民共和国政府采购法》《中华人民共和国政府采购法实施条例》《政府采购非招标采购方式管理办法》及本项目本级和上级财政部门政府采购有关规定的约束和保护。</w:t>
      </w:r>
    </w:p>
    <w:p w14:paraId="40352BD5">
      <w:pPr>
        <w:spacing w:line="380" w:lineRule="exact"/>
        <w:ind w:firstLine="420" w:firstLineChars="200"/>
        <w:rPr>
          <w:rFonts w:ascii="宋体" w:hAnsi="宋体" w:cs="宋体"/>
          <w:szCs w:val="21"/>
          <w:highlight w:val="none"/>
        </w:rPr>
      </w:pPr>
      <w:r>
        <w:rPr>
          <w:rFonts w:hint="eastAsia" w:ascii="宋体" w:hAnsi="宋体" w:cs="宋体"/>
          <w:szCs w:val="21"/>
          <w:highlight w:val="none"/>
        </w:rPr>
        <w:t>1.2</w:t>
      </w:r>
      <w:r>
        <w:rPr>
          <w:rFonts w:hint="eastAsia" w:ascii="宋体" w:hAnsi="宋体" w:cs="宋体"/>
          <w:spacing w:val="-6"/>
          <w:szCs w:val="21"/>
          <w:highlight w:val="none"/>
        </w:rPr>
        <w:t>本竞争性谈判文件（以下简称谈判文件）适用于本项目的所有采购程序和环节（法律、法规另有规定的，从其规定）。</w:t>
      </w:r>
    </w:p>
    <w:p w14:paraId="6525E802">
      <w:pPr>
        <w:spacing w:line="380" w:lineRule="exact"/>
        <w:ind w:firstLine="482" w:firstLineChars="200"/>
        <w:rPr>
          <w:rFonts w:ascii="宋体" w:hAnsi="宋体"/>
          <w:b/>
          <w:sz w:val="24"/>
          <w:highlight w:val="none"/>
        </w:rPr>
      </w:pPr>
      <w:r>
        <w:rPr>
          <w:rFonts w:hint="eastAsia" w:ascii="宋体" w:hAnsi="宋体"/>
          <w:b/>
          <w:sz w:val="24"/>
          <w:highlight w:val="none"/>
        </w:rPr>
        <w:t>2. 定义</w:t>
      </w:r>
    </w:p>
    <w:p w14:paraId="674A0EBC">
      <w:pPr>
        <w:spacing w:line="380" w:lineRule="exact"/>
        <w:ind w:firstLine="420" w:firstLineChars="200"/>
        <w:rPr>
          <w:rFonts w:ascii="宋体" w:hAnsi="宋体" w:cs="宋体"/>
          <w:szCs w:val="21"/>
          <w:highlight w:val="none"/>
        </w:rPr>
      </w:pPr>
      <w:r>
        <w:rPr>
          <w:rFonts w:hint="eastAsia" w:ascii="宋体" w:hAnsi="宋体" w:cs="宋体"/>
          <w:szCs w:val="21"/>
          <w:highlight w:val="none"/>
        </w:rPr>
        <w:t>2.1“采购人”是指依法进行采购的国家机关、事业单位、团体组织。</w:t>
      </w:r>
    </w:p>
    <w:p w14:paraId="02A171C6">
      <w:pPr>
        <w:spacing w:line="380" w:lineRule="exact"/>
        <w:ind w:firstLine="420" w:firstLineChars="200"/>
        <w:rPr>
          <w:rFonts w:ascii="宋体" w:hAnsi="宋体"/>
          <w:szCs w:val="21"/>
          <w:highlight w:val="none"/>
        </w:rPr>
      </w:pPr>
      <w:r>
        <w:rPr>
          <w:rFonts w:hint="eastAsia" w:ascii="宋体" w:hAnsi="宋体" w:cs="宋体"/>
          <w:szCs w:val="21"/>
          <w:highlight w:val="none"/>
        </w:rPr>
        <w:t>2.2“采购代理机构”</w:t>
      </w:r>
      <w:r>
        <w:rPr>
          <w:rFonts w:hint="eastAsia" w:ascii="宋体" w:hAnsi="宋体"/>
          <w:szCs w:val="21"/>
          <w:highlight w:val="none"/>
        </w:rPr>
        <w:t>是指政府采购集中采购机构和集中采购机构以外的采购代理机构。</w:t>
      </w:r>
    </w:p>
    <w:p w14:paraId="0DEF3FA3">
      <w:pPr>
        <w:spacing w:line="380" w:lineRule="exact"/>
        <w:ind w:firstLine="420" w:firstLineChars="200"/>
        <w:rPr>
          <w:rFonts w:ascii="宋体" w:hAnsi="宋体" w:cs="宋体"/>
          <w:szCs w:val="21"/>
          <w:highlight w:val="none"/>
        </w:rPr>
      </w:pPr>
      <w:r>
        <w:rPr>
          <w:rFonts w:hint="eastAsia" w:ascii="宋体" w:hAnsi="宋体" w:cs="宋体"/>
          <w:szCs w:val="21"/>
          <w:highlight w:val="none"/>
        </w:rPr>
        <w:t>2.3“供应商”是指向采购人提供货物、工程或者服务的法人、其他组织或者自然人。</w:t>
      </w:r>
    </w:p>
    <w:p w14:paraId="1F4180D0">
      <w:pPr>
        <w:spacing w:line="380" w:lineRule="exact"/>
        <w:ind w:firstLine="420" w:firstLineChars="200"/>
        <w:rPr>
          <w:rFonts w:ascii="宋体" w:hAnsi="宋体" w:cs="宋体"/>
          <w:szCs w:val="21"/>
          <w:highlight w:val="none"/>
        </w:rPr>
      </w:pPr>
      <w:r>
        <w:rPr>
          <w:rFonts w:hint="eastAsia" w:ascii="宋体" w:hAnsi="宋体" w:cs="宋体"/>
          <w:szCs w:val="21"/>
          <w:highlight w:val="none"/>
        </w:rPr>
        <w:t>2.4“货物”是指各种形态和种类的物品，包括原材料、燃料、设备、产品等。</w:t>
      </w:r>
    </w:p>
    <w:p w14:paraId="29C4DD93">
      <w:pPr>
        <w:spacing w:line="380" w:lineRule="exact"/>
        <w:ind w:firstLine="420" w:firstLineChars="200"/>
        <w:rPr>
          <w:rFonts w:ascii="宋体" w:hAnsi="宋体"/>
          <w:szCs w:val="21"/>
          <w:highlight w:val="none"/>
        </w:rPr>
      </w:pPr>
      <w:r>
        <w:rPr>
          <w:rFonts w:hint="eastAsia" w:ascii="宋体" w:hAnsi="宋体"/>
          <w:szCs w:val="21"/>
          <w:highlight w:val="none"/>
        </w:rPr>
        <w:t>2.5“服务”是指除货物和工程以外的其他政府采购对象。</w:t>
      </w:r>
    </w:p>
    <w:p w14:paraId="0B023ECE">
      <w:pPr>
        <w:spacing w:line="380" w:lineRule="exact"/>
        <w:ind w:firstLine="420" w:firstLineChars="200"/>
        <w:rPr>
          <w:rFonts w:ascii="宋体" w:hAnsi="宋体" w:cs="宋体"/>
          <w:szCs w:val="21"/>
          <w:highlight w:val="none"/>
        </w:rPr>
      </w:pPr>
      <w:r>
        <w:rPr>
          <w:rFonts w:hint="eastAsia" w:ascii="宋体" w:hAnsi="宋体"/>
          <w:szCs w:val="21"/>
          <w:highlight w:val="none"/>
        </w:rPr>
        <w:t>2.6</w:t>
      </w:r>
      <w:r>
        <w:rPr>
          <w:rFonts w:hint="eastAsia" w:ascii="宋体" w:hAnsi="宋体" w:cs="宋体"/>
          <w:szCs w:val="21"/>
          <w:highlight w:val="none"/>
        </w:rPr>
        <w:t>“竞标”是指按照本项目竞争性谈判公告或者邀请函规定的方式供应商获取谈判文件、提交响应文件并希望获得标的的行为。</w:t>
      </w:r>
    </w:p>
    <w:p w14:paraId="4BBC7039">
      <w:pPr>
        <w:spacing w:line="380" w:lineRule="exact"/>
        <w:ind w:firstLine="420" w:firstLineChars="200"/>
        <w:rPr>
          <w:rFonts w:ascii="宋体" w:hAnsi="宋体" w:cs="宋体"/>
          <w:szCs w:val="21"/>
          <w:highlight w:val="none"/>
        </w:rPr>
      </w:pPr>
      <w:r>
        <w:rPr>
          <w:rFonts w:hint="eastAsia" w:ascii="宋体" w:hAnsi="宋体" w:cs="宋体"/>
          <w:szCs w:val="21"/>
          <w:highlight w:val="none"/>
        </w:rPr>
        <w:t>2.</w:t>
      </w:r>
      <w:r>
        <w:rPr>
          <w:rFonts w:ascii="宋体" w:hAnsi="宋体" w:cs="宋体"/>
          <w:szCs w:val="21"/>
          <w:highlight w:val="none"/>
        </w:rPr>
        <w:t>7</w:t>
      </w:r>
      <w:r>
        <w:rPr>
          <w:rFonts w:hint="eastAsia" w:ascii="宋体" w:hAnsi="宋体" w:cs="宋体"/>
          <w:szCs w:val="21"/>
          <w:highlight w:val="none"/>
        </w:rPr>
        <w:t>“售后服务” 是指包含但不限于供应商须承担的备品备件、包装、运输、装卸、保险、货到就位以及安装、调试、培训、保修和其他类似的义务。</w:t>
      </w:r>
    </w:p>
    <w:p w14:paraId="334E2298">
      <w:pPr>
        <w:spacing w:line="380" w:lineRule="exact"/>
        <w:ind w:firstLine="420" w:firstLineChars="200"/>
        <w:rPr>
          <w:rFonts w:ascii="宋体" w:hAnsi="宋体" w:cs="宋体"/>
          <w:szCs w:val="21"/>
          <w:highlight w:val="none"/>
        </w:rPr>
      </w:pPr>
      <w:r>
        <w:rPr>
          <w:rFonts w:hint="eastAsia" w:ascii="宋体" w:hAnsi="宋体" w:cs="宋体"/>
          <w:szCs w:val="21"/>
          <w:highlight w:val="none"/>
        </w:rPr>
        <w:t>2.8“书面形式”是指合同书、信件和数据电文（包括电报、电传、传真、电子数据交换和电子邮件）等可以有形地表现所载内容的形式。</w:t>
      </w:r>
    </w:p>
    <w:p w14:paraId="42BE94B5">
      <w:pPr>
        <w:spacing w:line="380" w:lineRule="exact"/>
        <w:ind w:firstLine="420" w:firstLineChars="200"/>
        <w:rPr>
          <w:rFonts w:ascii="宋体" w:hAnsi="宋体" w:cs="宋体"/>
          <w:szCs w:val="21"/>
          <w:highlight w:val="none"/>
        </w:rPr>
      </w:pPr>
      <w:r>
        <w:rPr>
          <w:rFonts w:hint="eastAsia" w:ascii="宋体" w:hAnsi="宋体" w:cs="宋体"/>
          <w:szCs w:val="21"/>
          <w:highlight w:val="none"/>
        </w:rPr>
        <w:t>2.</w:t>
      </w:r>
      <w:r>
        <w:rPr>
          <w:rFonts w:ascii="宋体" w:hAnsi="宋体" w:cs="宋体"/>
          <w:szCs w:val="21"/>
          <w:highlight w:val="none"/>
        </w:rPr>
        <w:t>9</w:t>
      </w:r>
      <w:r>
        <w:rPr>
          <w:rFonts w:hint="eastAsia" w:ascii="宋体" w:hAnsi="宋体" w:cs="宋体"/>
          <w:szCs w:val="21"/>
          <w:highlight w:val="none"/>
        </w:rPr>
        <w:t>“响应文件”</w:t>
      </w:r>
      <w:r>
        <w:rPr>
          <w:rFonts w:hint="eastAsia" w:ascii="宋体" w:hAnsi="宋体" w:cs="宋体"/>
          <w:spacing w:val="-6"/>
          <w:szCs w:val="21"/>
          <w:highlight w:val="none"/>
        </w:rPr>
        <w:t>是指：供应商根据本谈判文件要求，编制包含报价、技术和服务等所有内容的文件。</w:t>
      </w:r>
    </w:p>
    <w:p w14:paraId="722A2E2D">
      <w:pPr>
        <w:spacing w:line="380" w:lineRule="exact"/>
        <w:ind w:firstLine="420" w:firstLineChars="200"/>
        <w:rPr>
          <w:rFonts w:ascii="宋体" w:hAnsi="宋体" w:cs="宋体"/>
          <w:b/>
          <w:bCs/>
          <w:szCs w:val="21"/>
          <w:highlight w:val="none"/>
        </w:rPr>
      </w:pPr>
      <w:r>
        <w:rPr>
          <w:rFonts w:hint="eastAsia" w:ascii="宋体" w:hAnsi="宋体" w:cs="宋体"/>
          <w:szCs w:val="21"/>
          <w:highlight w:val="none"/>
        </w:rPr>
        <w:t>2.</w:t>
      </w:r>
      <w:r>
        <w:rPr>
          <w:rFonts w:ascii="宋体" w:hAnsi="宋体" w:cs="宋体"/>
          <w:szCs w:val="21"/>
          <w:highlight w:val="none"/>
        </w:rPr>
        <w:t>10</w:t>
      </w:r>
      <w:r>
        <w:rPr>
          <w:rFonts w:hint="eastAsia" w:ascii="宋体" w:hAnsi="宋体" w:cs="宋体"/>
          <w:szCs w:val="21"/>
          <w:highlight w:val="none"/>
        </w:rPr>
        <w:t xml:space="preserve"> </w:t>
      </w:r>
      <w:r>
        <w:rPr>
          <w:rFonts w:hint="eastAsia" w:ascii="宋体" w:hAnsi="宋体" w:cs="宋体"/>
          <w:b/>
          <w:bCs/>
          <w:szCs w:val="21"/>
          <w:highlight w:val="none"/>
        </w:rPr>
        <w:t>“实质性要求”是指采购需求中带“▲”的条款或者不能负偏离的条款或者已经指明不满足按响应文件按无效响应处理的条款。</w:t>
      </w:r>
    </w:p>
    <w:p w14:paraId="1F5698F3">
      <w:pPr>
        <w:spacing w:line="380" w:lineRule="exact"/>
        <w:ind w:firstLine="420" w:firstLineChars="200"/>
        <w:rPr>
          <w:rFonts w:ascii="宋体" w:hAnsi="宋体" w:cs="宋体"/>
          <w:szCs w:val="21"/>
          <w:highlight w:val="none"/>
        </w:rPr>
      </w:pPr>
      <w:r>
        <w:rPr>
          <w:rFonts w:hint="eastAsia" w:ascii="宋体" w:hAnsi="宋体" w:cs="宋体"/>
          <w:szCs w:val="21"/>
          <w:highlight w:val="none"/>
        </w:rPr>
        <w:t>2.</w:t>
      </w:r>
      <w:r>
        <w:rPr>
          <w:rFonts w:ascii="宋体" w:hAnsi="宋体" w:cs="宋体"/>
          <w:szCs w:val="21"/>
          <w:highlight w:val="none"/>
        </w:rPr>
        <w:t>11</w:t>
      </w:r>
      <w:r>
        <w:rPr>
          <w:rFonts w:hint="eastAsia" w:ascii="宋体" w:hAnsi="宋体" w:cs="宋体"/>
          <w:szCs w:val="21"/>
          <w:highlight w:val="none"/>
        </w:rPr>
        <w:t>“正偏离”，是指响应文件对谈判文件“采购需求”中有关条款作出优于条款要求并有利于采购人的响应情形；</w:t>
      </w:r>
    </w:p>
    <w:p w14:paraId="31DE49FB">
      <w:pPr>
        <w:spacing w:line="380" w:lineRule="exact"/>
        <w:ind w:firstLine="420" w:firstLineChars="200"/>
        <w:rPr>
          <w:rFonts w:ascii="宋体" w:hAnsi="宋体" w:cs="宋体"/>
          <w:szCs w:val="21"/>
          <w:highlight w:val="none"/>
        </w:rPr>
      </w:pPr>
      <w:r>
        <w:rPr>
          <w:rFonts w:hint="eastAsia" w:ascii="宋体" w:hAnsi="宋体" w:cs="宋体"/>
          <w:szCs w:val="21"/>
          <w:highlight w:val="none"/>
        </w:rPr>
        <w:t>2.</w:t>
      </w:r>
      <w:r>
        <w:rPr>
          <w:rFonts w:ascii="宋体" w:hAnsi="宋体" w:cs="宋体"/>
          <w:szCs w:val="21"/>
          <w:highlight w:val="none"/>
        </w:rPr>
        <w:t>12</w:t>
      </w:r>
      <w:r>
        <w:rPr>
          <w:rFonts w:hint="eastAsia" w:ascii="宋体" w:hAnsi="宋体" w:cs="宋体"/>
          <w:szCs w:val="21"/>
          <w:highlight w:val="none"/>
        </w:rPr>
        <w:t>“负偏离”，是指响应文件对谈判文件“采购需求”中有关条款作出的响应不满足条款要求，导致采购人要求不能得到满足的情形。</w:t>
      </w:r>
    </w:p>
    <w:p w14:paraId="7D321AF2">
      <w:pPr>
        <w:spacing w:line="380" w:lineRule="exact"/>
        <w:ind w:firstLine="420" w:firstLineChars="200"/>
        <w:rPr>
          <w:rFonts w:ascii="宋体" w:hAnsi="宋体" w:cs="宋体"/>
          <w:szCs w:val="21"/>
          <w:highlight w:val="none"/>
        </w:rPr>
      </w:pPr>
      <w:r>
        <w:rPr>
          <w:rFonts w:hint="eastAsia" w:ascii="宋体" w:hAnsi="宋体" w:cs="宋体"/>
          <w:szCs w:val="21"/>
          <w:highlight w:val="none"/>
        </w:rPr>
        <w:t>2.</w:t>
      </w:r>
      <w:r>
        <w:rPr>
          <w:rFonts w:ascii="宋体" w:hAnsi="宋体" w:cs="宋体"/>
          <w:szCs w:val="21"/>
          <w:highlight w:val="none"/>
        </w:rPr>
        <w:t>13</w:t>
      </w:r>
      <w:r>
        <w:rPr>
          <w:rFonts w:hint="eastAsia" w:ascii="宋体" w:hAnsi="宋体" w:cs="宋体"/>
          <w:szCs w:val="21"/>
          <w:highlight w:val="none"/>
        </w:rPr>
        <w:t>“允许负偏离的条款”是指采购需求中的不属于“实质性要求”的条款。</w:t>
      </w:r>
    </w:p>
    <w:p w14:paraId="603E4533">
      <w:pPr>
        <w:spacing w:line="380" w:lineRule="exact"/>
        <w:ind w:firstLine="420" w:firstLineChars="200"/>
        <w:rPr>
          <w:rFonts w:ascii="宋体" w:hAnsi="宋体" w:cs="宋体"/>
          <w:szCs w:val="21"/>
          <w:highlight w:val="none"/>
        </w:rPr>
      </w:pPr>
      <w:r>
        <w:rPr>
          <w:rFonts w:hint="eastAsia" w:ascii="宋体" w:hAnsi="宋体" w:cs="宋体"/>
          <w:szCs w:val="21"/>
          <w:highlight w:val="none"/>
        </w:rPr>
        <w:t>2.</w:t>
      </w:r>
      <w:r>
        <w:rPr>
          <w:rFonts w:ascii="宋体" w:hAnsi="宋体" w:cs="宋体"/>
          <w:szCs w:val="21"/>
          <w:highlight w:val="none"/>
        </w:rPr>
        <w:t>14</w:t>
      </w:r>
      <w:r>
        <w:rPr>
          <w:rFonts w:hint="eastAsia" w:ascii="宋体" w:hAnsi="宋体" w:cs="宋体"/>
          <w:szCs w:val="21"/>
          <w:highlight w:val="none"/>
        </w:rPr>
        <w:t>“首次报价”是指供应商提交的首次响应文件中的竞标报价。</w:t>
      </w:r>
    </w:p>
    <w:p w14:paraId="389758AD">
      <w:pPr>
        <w:spacing w:line="380" w:lineRule="exact"/>
        <w:ind w:firstLine="422" w:firstLineChars="200"/>
        <w:rPr>
          <w:rFonts w:ascii="宋体" w:hAnsi="宋体"/>
          <w:b/>
          <w:bCs/>
          <w:szCs w:val="21"/>
          <w:highlight w:val="none"/>
        </w:rPr>
      </w:pPr>
      <w:r>
        <w:rPr>
          <w:rFonts w:hint="eastAsia" w:ascii="宋体" w:hAnsi="宋体"/>
          <w:b/>
          <w:bCs/>
          <w:szCs w:val="21"/>
          <w:highlight w:val="none"/>
        </w:rPr>
        <w:t>2.15</w:t>
      </w:r>
      <w:r>
        <w:rPr>
          <w:rFonts w:hint="eastAsia" w:hAnsi="宋体" w:cs="宋体"/>
          <w:b/>
          <w:bCs/>
          <w:szCs w:val="21"/>
          <w:highlight w:val="none"/>
        </w:rPr>
        <w:t>“评审报价”是指供应商提交的最后报价并经修正（如有）和政策功能价格扣除（如有）后的价格</w:t>
      </w:r>
      <w:r>
        <w:rPr>
          <w:rFonts w:hint="eastAsia" w:ascii="宋体" w:hAnsi="宋体"/>
          <w:b/>
          <w:bCs/>
          <w:szCs w:val="21"/>
          <w:highlight w:val="none"/>
        </w:rPr>
        <w:t>。</w:t>
      </w:r>
    </w:p>
    <w:p w14:paraId="5FB423D3">
      <w:pPr>
        <w:spacing w:line="380" w:lineRule="exact"/>
        <w:ind w:firstLine="482" w:firstLineChars="200"/>
        <w:contextualSpacing/>
        <w:rPr>
          <w:rFonts w:ascii="黑体" w:hAnsi="黑体" w:eastAsia="黑体" w:cs="宋体"/>
          <w:b/>
          <w:bCs/>
          <w:sz w:val="24"/>
          <w:highlight w:val="none"/>
        </w:rPr>
      </w:pPr>
      <w:r>
        <w:rPr>
          <w:rFonts w:hint="eastAsia" w:ascii="宋体" w:hAnsi="宋体"/>
          <w:b/>
          <w:sz w:val="24"/>
          <w:highlight w:val="none"/>
        </w:rPr>
        <w:t xml:space="preserve">3. </w:t>
      </w:r>
      <w:r>
        <w:rPr>
          <w:rFonts w:hint="eastAsia" w:ascii="黑体" w:hAnsi="黑体" w:eastAsia="黑体" w:cs="宋体"/>
          <w:b/>
          <w:bCs/>
          <w:sz w:val="24"/>
          <w:highlight w:val="none"/>
        </w:rPr>
        <w:t>供应商的资格条件</w:t>
      </w:r>
    </w:p>
    <w:p w14:paraId="3A369729">
      <w:pPr>
        <w:spacing w:line="380" w:lineRule="exact"/>
        <w:ind w:firstLine="420" w:firstLineChars="200"/>
        <w:contextualSpacing/>
        <w:rPr>
          <w:rFonts w:ascii="宋体" w:hAnsi="宋体" w:cs="宋体"/>
          <w:szCs w:val="21"/>
          <w:highlight w:val="none"/>
        </w:rPr>
      </w:pPr>
      <w:r>
        <w:rPr>
          <w:rFonts w:hint="eastAsia" w:ascii="宋体" w:hAnsi="宋体" w:cs="宋体"/>
          <w:szCs w:val="21"/>
          <w:highlight w:val="none"/>
        </w:rPr>
        <w:t>供应商的资格条件详见“供应商须知前附表”。</w:t>
      </w:r>
    </w:p>
    <w:p w14:paraId="05A35CF3">
      <w:pPr>
        <w:spacing w:line="380" w:lineRule="exact"/>
        <w:ind w:firstLine="482" w:firstLineChars="200"/>
        <w:rPr>
          <w:rFonts w:ascii="宋体" w:hAnsi="宋体" w:cs="宋体"/>
          <w:b/>
          <w:bCs/>
          <w:sz w:val="24"/>
          <w:highlight w:val="none"/>
        </w:rPr>
      </w:pPr>
      <w:r>
        <w:rPr>
          <w:rFonts w:hint="eastAsia" w:ascii="宋体" w:hAnsi="宋体" w:cs="宋体"/>
          <w:b/>
          <w:bCs/>
          <w:sz w:val="24"/>
          <w:highlight w:val="none"/>
        </w:rPr>
        <w:t>4. 竞标费用</w:t>
      </w:r>
    </w:p>
    <w:p w14:paraId="15F098F5">
      <w:pPr>
        <w:spacing w:line="380" w:lineRule="exact"/>
        <w:ind w:firstLine="420" w:firstLineChars="200"/>
        <w:rPr>
          <w:rFonts w:ascii="宋体" w:hAnsi="宋体" w:cs="宋体"/>
          <w:szCs w:val="21"/>
          <w:highlight w:val="none"/>
        </w:rPr>
      </w:pPr>
      <w:r>
        <w:rPr>
          <w:rFonts w:hint="eastAsia" w:ascii="宋体" w:hAnsi="宋体" w:cs="宋体"/>
          <w:szCs w:val="21"/>
          <w:highlight w:val="none"/>
        </w:rPr>
        <w:t>供应商应承担参与本次采购活动有关的所有费用，包括但不限于获取谈判文件、勘查现场、编制和提交响应文件、参加谈判与应答、签订合同等，不论竞标结果如何，均应自行承担。</w:t>
      </w:r>
    </w:p>
    <w:p w14:paraId="116B511F">
      <w:pPr>
        <w:spacing w:line="380" w:lineRule="exact"/>
        <w:ind w:firstLine="482" w:firstLineChars="200"/>
        <w:rPr>
          <w:rFonts w:ascii="宋体" w:hAnsi="宋体" w:cs="宋体"/>
          <w:b/>
          <w:bCs/>
          <w:sz w:val="24"/>
          <w:highlight w:val="none"/>
        </w:rPr>
      </w:pPr>
      <w:r>
        <w:rPr>
          <w:rFonts w:hint="eastAsia" w:ascii="宋体" w:hAnsi="宋体" w:cs="宋体"/>
          <w:b/>
          <w:bCs/>
          <w:sz w:val="24"/>
          <w:highlight w:val="none"/>
        </w:rPr>
        <w:t>5.联合体竞标</w:t>
      </w:r>
    </w:p>
    <w:p w14:paraId="4A33A18C">
      <w:pPr>
        <w:spacing w:line="380" w:lineRule="exact"/>
        <w:ind w:firstLine="420" w:firstLineChars="200"/>
        <w:rPr>
          <w:rFonts w:ascii="宋体" w:hAnsi="宋体" w:cs="宋体"/>
          <w:szCs w:val="21"/>
          <w:highlight w:val="none"/>
        </w:rPr>
      </w:pPr>
      <w:r>
        <w:rPr>
          <w:rFonts w:hint="eastAsia" w:ascii="宋体" w:hAnsi="宋体" w:cs="宋体"/>
          <w:szCs w:val="21"/>
          <w:highlight w:val="none"/>
        </w:rPr>
        <w:t>5.1</w:t>
      </w:r>
      <w:r>
        <w:rPr>
          <w:rFonts w:hint="eastAsia" w:ascii="宋体" w:hAnsi="宋体"/>
          <w:szCs w:val="21"/>
          <w:highlight w:val="none"/>
        </w:rPr>
        <w:t>本</w:t>
      </w:r>
      <w:r>
        <w:rPr>
          <w:rFonts w:hint="eastAsia" w:ascii="宋体" w:hAnsi="宋体" w:cs="宋体"/>
          <w:szCs w:val="21"/>
          <w:highlight w:val="none"/>
        </w:rPr>
        <w:t>项目是否接受联合体投标，详见“投标人须知前附表”。</w:t>
      </w:r>
    </w:p>
    <w:p w14:paraId="2E7B7A38">
      <w:pPr>
        <w:spacing w:line="380" w:lineRule="exact"/>
        <w:ind w:firstLine="420" w:firstLineChars="200"/>
        <w:rPr>
          <w:rFonts w:ascii="宋体" w:hAnsi="宋体" w:cs="宋体"/>
          <w:szCs w:val="21"/>
          <w:highlight w:val="none"/>
        </w:rPr>
      </w:pPr>
      <w:r>
        <w:rPr>
          <w:rFonts w:hint="eastAsia" w:ascii="宋体" w:hAnsi="宋体" w:cs="宋体"/>
          <w:szCs w:val="21"/>
          <w:highlight w:val="none"/>
        </w:rPr>
        <w:t>5.2如接受联合体竞标，联合体竞标要求如下：</w:t>
      </w:r>
    </w:p>
    <w:p w14:paraId="48176210">
      <w:pPr>
        <w:autoSpaceDE w:val="0"/>
        <w:autoSpaceDN w:val="0"/>
        <w:snapToGrid w:val="0"/>
        <w:spacing w:line="380" w:lineRule="exact"/>
        <w:ind w:firstLine="424" w:firstLineChars="202"/>
        <w:textAlignment w:val="bottom"/>
        <w:rPr>
          <w:rFonts w:ascii="宋体" w:hAnsi="宋体" w:cs="宋体"/>
          <w:szCs w:val="21"/>
          <w:highlight w:val="none"/>
        </w:rPr>
      </w:pPr>
      <w:r>
        <w:rPr>
          <w:rFonts w:hint="eastAsia" w:ascii="宋体" w:hAnsi="宋体" w:cs="宋体"/>
          <w:szCs w:val="21"/>
          <w:highlight w:val="none"/>
        </w:rPr>
        <w:t>5.2.1 两个以上供应商可以组成一个竞标联合体，以一个供应商的身份共同参加竞标，联合体供应商的名称应统一按“XXX 公司与 XXX 公司的联合体”的规则填写。</w:t>
      </w:r>
    </w:p>
    <w:p w14:paraId="30588516">
      <w:pPr>
        <w:autoSpaceDE w:val="0"/>
        <w:autoSpaceDN w:val="0"/>
        <w:snapToGrid w:val="0"/>
        <w:spacing w:line="380" w:lineRule="exact"/>
        <w:ind w:firstLine="424" w:firstLineChars="202"/>
        <w:textAlignment w:val="bottom"/>
        <w:rPr>
          <w:rFonts w:ascii="宋体" w:hAnsi="宋体" w:cs="宋体"/>
          <w:szCs w:val="21"/>
          <w:highlight w:val="none"/>
        </w:rPr>
      </w:pPr>
      <w:r>
        <w:rPr>
          <w:rFonts w:hint="eastAsia" w:ascii="宋体" w:hAnsi="宋体" w:cs="宋体"/>
          <w:szCs w:val="21"/>
          <w:highlight w:val="none"/>
        </w:rPr>
        <w:t>5.2.2 以联合体形式参加竞标的，联合体各方均必须具备《中华人民共和国政府采购法》第二十二条第一款规定的基本条件（涉及行政许可范围的内容，联合体各方均应具备相应资质）。本项目有特殊要求规定供应商特定条件的，联合体各方中至少有一方必须符合本项目竞争性谈判公告“申请人的资格条件”第3点 “本项目的特定资格要求”的要求。</w:t>
      </w:r>
    </w:p>
    <w:p w14:paraId="772FFD2F">
      <w:pPr>
        <w:autoSpaceDE w:val="0"/>
        <w:autoSpaceDN w:val="0"/>
        <w:snapToGrid w:val="0"/>
        <w:spacing w:line="380" w:lineRule="exact"/>
        <w:ind w:firstLine="424" w:firstLineChars="202"/>
        <w:textAlignment w:val="bottom"/>
        <w:rPr>
          <w:rFonts w:ascii="宋体" w:hAnsi="宋体" w:cs="宋体"/>
          <w:szCs w:val="21"/>
          <w:highlight w:val="none"/>
        </w:rPr>
      </w:pPr>
      <w:r>
        <w:rPr>
          <w:rFonts w:hint="eastAsia" w:ascii="宋体" w:hAnsi="宋体" w:cs="宋体"/>
          <w:szCs w:val="21"/>
          <w:highlight w:val="none"/>
        </w:rPr>
        <w:t>5.2.3 联合体竞标的，须提供《联合体竞标协议书》（格式后附），协议书必须明确主体方（或者牵头方）并明确约定联合体各方承担的工作和相应的责任（各方承担责任与义务的分工必须符合采购需求，否则，联合体响应无效），并将联合竞标协议放入响应文件。联合体各方必须共同与采购人签订采购合同，就采购合同约定的事项对采购人承担连带责任。</w:t>
      </w:r>
    </w:p>
    <w:p w14:paraId="174F33E0">
      <w:pPr>
        <w:autoSpaceDE w:val="0"/>
        <w:autoSpaceDN w:val="0"/>
        <w:snapToGrid w:val="0"/>
        <w:spacing w:line="380" w:lineRule="exact"/>
        <w:ind w:firstLine="424" w:firstLineChars="202"/>
        <w:textAlignment w:val="bottom"/>
        <w:rPr>
          <w:rFonts w:ascii="宋体" w:hAnsi="宋体" w:cs="宋体"/>
          <w:szCs w:val="21"/>
          <w:highlight w:val="none"/>
        </w:rPr>
      </w:pPr>
      <w:r>
        <w:rPr>
          <w:rFonts w:hint="eastAsia" w:ascii="宋体" w:hAnsi="宋体" w:cs="宋体"/>
          <w:szCs w:val="21"/>
          <w:highlight w:val="none"/>
        </w:rPr>
        <w:t>5.2.4 以联合体形式参加政府采购活动的，联合体各方不得再单独参加或者与其他供应商另外组成联合体参加同一合同项下的政府采购活动，否则与之相关的响应文件作废。</w:t>
      </w:r>
    </w:p>
    <w:p w14:paraId="35342152">
      <w:pPr>
        <w:autoSpaceDE w:val="0"/>
        <w:autoSpaceDN w:val="0"/>
        <w:snapToGrid w:val="0"/>
        <w:spacing w:line="380" w:lineRule="exact"/>
        <w:ind w:firstLine="424" w:firstLineChars="202"/>
        <w:textAlignment w:val="bottom"/>
        <w:rPr>
          <w:rFonts w:ascii="宋体" w:hAnsi="宋体" w:cs="宋体"/>
          <w:szCs w:val="21"/>
          <w:highlight w:val="none"/>
        </w:rPr>
      </w:pPr>
      <w:r>
        <w:rPr>
          <w:rFonts w:hint="eastAsia" w:ascii="宋体" w:hAnsi="宋体" w:cs="宋体"/>
          <w:szCs w:val="21"/>
          <w:highlight w:val="none"/>
        </w:rPr>
        <w:t>5.2.5 联合体中有同类资质的供应商按照联合体分工承担相同工作的，应当按照资质等级较低的供应商确定资质等级。</w:t>
      </w:r>
    </w:p>
    <w:p w14:paraId="53DACC6C">
      <w:pPr>
        <w:autoSpaceDE w:val="0"/>
        <w:autoSpaceDN w:val="0"/>
        <w:snapToGrid w:val="0"/>
        <w:spacing w:line="380" w:lineRule="exact"/>
        <w:ind w:firstLine="424" w:firstLineChars="202"/>
        <w:textAlignment w:val="bottom"/>
        <w:rPr>
          <w:rFonts w:ascii="宋体" w:hAnsi="宋体" w:cs="宋体"/>
          <w:szCs w:val="21"/>
          <w:highlight w:val="none"/>
        </w:rPr>
      </w:pPr>
      <w:r>
        <w:rPr>
          <w:rFonts w:hint="eastAsia" w:ascii="宋体" w:hAnsi="宋体" w:cs="宋体"/>
          <w:szCs w:val="21"/>
          <w:highlight w:val="none"/>
        </w:rPr>
        <w:t>5.2.6 联合体竞标业绩、履约能力按照联合体各方其中较高的一方认定并计算（竞争性谈判文件另有规定的除外）。</w:t>
      </w:r>
    </w:p>
    <w:p w14:paraId="11B2AAE0">
      <w:pPr>
        <w:autoSpaceDE w:val="0"/>
        <w:autoSpaceDN w:val="0"/>
        <w:snapToGrid w:val="0"/>
        <w:spacing w:line="380" w:lineRule="exact"/>
        <w:ind w:firstLine="424" w:firstLineChars="202"/>
        <w:textAlignment w:val="bottom"/>
        <w:rPr>
          <w:rFonts w:ascii="宋体" w:hAnsi="宋体" w:cs="宋体"/>
          <w:szCs w:val="21"/>
          <w:highlight w:val="none"/>
        </w:rPr>
      </w:pPr>
      <w:r>
        <w:rPr>
          <w:rFonts w:hint="eastAsia" w:ascii="宋体" w:hAnsi="宋体" w:cs="宋体"/>
          <w:szCs w:val="21"/>
          <w:highlight w:val="none"/>
        </w:rPr>
        <w:t>5.2.7 联合体各方均应按照竞争性谈判文件的规定提交资格证明文件。</w:t>
      </w:r>
    </w:p>
    <w:p w14:paraId="4D95CC71">
      <w:pPr>
        <w:autoSpaceDE w:val="0"/>
        <w:autoSpaceDN w:val="0"/>
        <w:snapToGrid w:val="0"/>
        <w:spacing w:line="380" w:lineRule="exact"/>
        <w:ind w:firstLine="424" w:firstLineChars="202"/>
        <w:textAlignment w:val="bottom"/>
        <w:rPr>
          <w:rFonts w:ascii="宋体" w:hAnsi="宋体" w:cs="宋体"/>
          <w:szCs w:val="21"/>
          <w:highlight w:val="none"/>
        </w:rPr>
      </w:pPr>
      <w:r>
        <w:rPr>
          <w:rFonts w:hint="eastAsia" w:ascii="宋体" w:hAnsi="宋体" w:cs="宋体"/>
          <w:szCs w:val="21"/>
          <w:highlight w:val="none"/>
        </w:rPr>
        <w:t>5.3 根据《政府采购促进中小企业发展管理办法》（财库[2020]46号）第九条规定、《广西壮族自治区财政厅关于持续优化政府采购营商环境推动高质量发展的通知》（桂财采〔2024〕55号）及《广西壮族自治区财政厅 广西壮族自治区工业和信息化厅转发财政部 工业和信息化部政府采购促进中小企业发展管理办法的通知》（桂财采〔2021〕70号）规定，接受大中型企业与小微企业组成联合体的采购项目，对于联合协议约定小微企业的合同份额占到合同总金额 30%以上的，采购人、采购代理机构应当对联合体的报价给予4%-6%（工程项目为 1%—2%）的扣除，用扣除后的价格参加评审。组成联合体的小微企业与联合体内其他企业、分包企业之间存在直接控股、管理关系的，不享受价格扣除优惠政策。</w:t>
      </w:r>
    </w:p>
    <w:p w14:paraId="003F173D">
      <w:pPr>
        <w:spacing w:line="380" w:lineRule="exact"/>
        <w:ind w:firstLine="422" w:firstLineChars="175"/>
        <w:rPr>
          <w:rFonts w:ascii="宋体" w:hAnsi="宋体" w:cs="宋体"/>
          <w:b/>
          <w:bCs/>
          <w:sz w:val="24"/>
          <w:highlight w:val="none"/>
        </w:rPr>
      </w:pPr>
      <w:r>
        <w:rPr>
          <w:rFonts w:hint="eastAsia" w:ascii="宋体" w:hAnsi="宋体" w:cs="宋体"/>
          <w:b/>
          <w:bCs/>
          <w:sz w:val="24"/>
          <w:highlight w:val="none"/>
        </w:rPr>
        <w:t xml:space="preserve">6.转包与分包 </w:t>
      </w:r>
    </w:p>
    <w:p w14:paraId="2AD460EE">
      <w:pPr>
        <w:spacing w:line="380" w:lineRule="exact"/>
        <w:ind w:left="420" w:leftChars="200"/>
        <w:outlineLvl w:val="4"/>
        <w:rPr>
          <w:rFonts w:ascii="宋体" w:hAnsi="宋体"/>
          <w:bCs/>
          <w:szCs w:val="21"/>
          <w:highlight w:val="none"/>
        </w:rPr>
      </w:pPr>
      <w:r>
        <w:rPr>
          <w:rFonts w:hint="eastAsia" w:ascii="宋体" w:hAnsi="宋体"/>
          <w:bCs/>
          <w:szCs w:val="21"/>
          <w:highlight w:val="none"/>
        </w:rPr>
        <w:t>6.1本项目不允许转包。</w:t>
      </w:r>
    </w:p>
    <w:p w14:paraId="58DCCC8C">
      <w:pPr>
        <w:spacing w:line="380" w:lineRule="exact"/>
        <w:ind w:firstLine="420" w:firstLineChars="200"/>
        <w:outlineLvl w:val="4"/>
        <w:rPr>
          <w:rFonts w:ascii="宋体" w:hAnsi="宋体"/>
          <w:bCs/>
          <w:szCs w:val="21"/>
          <w:highlight w:val="none"/>
        </w:rPr>
      </w:pPr>
      <w:r>
        <w:rPr>
          <w:rFonts w:hint="eastAsia" w:ascii="宋体" w:hAnsi="宋体"/>
          <w:bCs/>
          <w:szCs w:val="21"/>
          <w:highlight w:val="none"/>
        </w:rPr>
        <w:t>6.2本项目是否允许分包详见“供应商须知前附表”。允许分包的非主体、非关键性工作，根据法律法规规定承担该工作需要行政许可的，如该工作由供应商自行承担，供应商应具备相应的行政许可，如供应商不具备相应的行政许可必须采用分包的方式，但分包供应商应具备相应行政许可。</w:t>
      </w:r>
    </w:p>
    <w:p w14:paraId="40331991">
      <w:pPr>
        <w:spacing w:line="380" w:lineRule="exact"/>
        <w:ind w:firstLine="420" w:firstLineChars="200"/>
        <w:outlineLvl w:val="4"/>
        <w:rPr>
          <w:rFonts w:ascii="宋体" w:hAnsi="宋体"/>
          <w:bCs/>
          <w:szCs w:val="21"/>
          <w:highlight w:val="none"/>
        </w:rPr>
      </w:pPr>
      <w:r>
        <w:rPr>
          <w:rFonts w:hint="eastAsia" w:ascii="宋体" w:hAnsi="宋体"/>
          <w:bCs/>
          <w:szCs w:val="21"/>
          <w:highlight w:val="none"/>
        </w:rPr>
        <w:t xml:space="preserve"> 6.3供应商根据谈判文件的规定和采购项目的实际情况，拟在成交后将成交项目的非主体、非关键性工作分包的，应当在响应文件中载明分包承担主体，分包承担主体应当具备相应资质条件且不得再次分包。</w:t>
      </w:r>
    </w:p>
    <w:p w14:paraId="3EE006F0">
      <w:pPr>
        <w:spacing w:line="380" w:lineRule="exact"/>
        <w:ind w:firstLine="422" w:firstLineChars="175"/>
        <w:rPr>
          <w:rFonts w:ascii="宋体" w:hAnsi="宋体" w:cs="宋体"/>
          <w:b/>
          <w:bCs/>
          <w:sz w:val="24"/>
          <w:highlight w:val="none"/>
        </w:rPr>
      </w:pPr>
      <w:r>
        <w:rPr>
          <w:rFonts w:hint="eastAsia" w:ascii="宋体" w:hAnsi="宋体" w:cs="宋体"/>
          <w:b/>
          <w:bCs/>
          <w:sz w:val="24"/>
          <w:highlight w:val="none"/>
        </w:rPr>
        <w:t>7.特别说明</w:t>
      </w:r>
    </w:p>
    <w:p w14:paraId="598467E9">
      <w:pPr>
        <w:spacing w:line="380" w:lineRule="exact"/>
        <w:ind w:firstLine="420" w:firstLineChars="200"/>
        <w:rPr>
          <w:rFonts w:ascii="宋体" w:hAnsi="宋体" w:cs="宋体"/>
          <w:szCs w:val="21"/>
          <w:highlight w:val="none"/>
        </w:rPr>
      </w:pPr>
      <w:bookmarkStart w:id="5" w:name="_8.1提供相同品牌产品且通过资格审查、符合性审查的不同投标人参加同一合"/>
      <w:bookmarkEnd w:id="5"/>
      <w:r>
        <w:rPr>
          <w:rFonts w:hint="eastAsia" w:ascii="宋体" w:hAnsi="宋体" w:cs="宋体"/>
          <w:szCs w:val="21"/>
          <w:highlight w:val="none"/>
        </w:rPr>
        <w:t>7.1</w:t>
      </w:r>
      <w:r>
        <w:rPr>
          <w:rFonts w:hint="eastAsia" w:ascii="宋体" w:hAnsi="宋体"/>
          <w:szCs w:val="21"/>
          <w:highlight w:val="none"/>
        </w:rPr>
        <w:t>如果本谈判文件要求提供供应商或制造商的资格、信誉、荣誉、业绩与企业认证等材料的，资格、信誉、荣誉、业绩与企业认证等必须为供应商或者制造商所拥有或自身获得</w:t>
      </w:r>
      <w:r>
        <w:rPr>
          <w:rFonts w:hint="eastAsia" w:ascii="宋体" w:hAnsi="宋体" w:cs="宋体"/>
          <w:szCs w:val="21"/>
          <w:highlight w:val="none"/>
        </w:rPr>
        <w:t>。</w:t>
      </w:r>
    </w:p>
    <w:p w14:paraId="4C3744FA">
      <w:pPr>
        <w:spacing w:line="380" w:lineRule="exact"/>
        <w:ind w:firstLine="420" w:firstLineChars="200"/>
        <w:rPr>
          <w:rFonts w:ascii="宋体" w:hAnsi="宋体" w:cs="宋体"/>
          <w:szCs w:val="21"/>
          <w:highlight w:val="none"/>
        </w:rPr>
      </w:pPr>
      <w:r>
        <w:rPr>
          <w:rFonts w:hint="eastAsia" w:ascii="宋体" w:hAnsi="宋体" w:cs="宋体"/>
          <w:szCs w:val="21"/>
          <w:highlight w:val="none"/>
        </w:rPr>
        <w:t>7.2供应商应仔细阅读谈判文件的所有内容，按照谈判文件的要求提交响应文件，并对所提供的全部资料的真实性承担法律责任。</w:t>
      </w:r>
    </w:p>
    <w:p w14:paraId="7A475F57">
      <w:pPr>
        <w:spacing w:line="380" w:lineRule="exact"/>
        <w:ind w:firstLine="420" w:firstLineChars="200"/>
        <w:rPr>
          <w:rFonts w:ascii="宋体" w:hAnsi="宋体" w:cs="宋体"/>
          <w:szCs w:val="21"/>
          <w:highlight w:val="none"/>
        </w:rPr>
      </w:pPr>
      <w:r>
        <w:rPr>
          <w:rFonts w:hint="eastAsia" w:ascii="宋体" w:hAnsi="宋体" w:cs="宋体"/>
          <w:szCs w:val="21"/>
          <w:highlight w:val="none"/>
        </w:rPr>
        <w:t>7.3供应商在竞标活动中提供任何虚假材料,其响应文件按无效响应处理，并报监管部门查处；签订合同后发现的,成交供应商须依法赔偿采购人，且民事赔偿并不免除违法供应商的行政与刑事责任。</w:t>
      </w:r>
    </w:p>
    <w:p w14:paraId="23C13302">
      <w:pPr>
        <w:spacing w:line="380" w:lineRule="exact"/>
        <w:ind w:firstLine="420" w:firstLineChars="200"/>
        <w:rPr>
          <w:rFonts w:ascii="宋体" w:hAnsi="宋体" w:cs="宋体"/>
          <w:szCs w:val="21"/>
          <w:highlight w:val="none"/>
        </w:rPr>
      </w:pPr>
      <w:r>
        <w:rPr>
          <w:rFonts w:hint="eastAsia" w:ascii="宋体" w:hAnsi="宋体" w:cs="宋体"/>
          <w:szCs w:val="21"/>
          <w:highlight w:val="none"/>
        </w:rPr>
        <w:t>7.4在政府采购活动中，采购人员及相关人员与供应商有下列利害关系之一的，应当回避：</w:t>
      </w:r>
    </w:p>
    <w:p w14:paraId="21838A75">
      <w:pPr>
        <w:spacing w:line="380" w:lineRule="exact"/>
        <w:ind w:firstLine="420" w:firstLineChars="200"/>
        <w:rPr>
          <w:rFonts w:ascii="宋体" w:hAnsi="宋体" w:cs="宋体"/>
          <w:szCs w:val="21"/>
          <w:highlight w:val="none"/>
        </w:rPr>
      </w:pPr>
      <w:r>
        <w:rPr>
          <w:rFonts w:hint="eastAsia" w:ascii="宋体" w:hAnsi="宋体" w:cs="宋体"/>
          <w:szCs w:val="21"/>
          <w:highlight w:val="none"/>
        </w:rPr>
        <w:t>（1）参加采购活动前3年内与供应商存在劳动关系；</w:t>
      </w:r>
    </w:p>
    <w:p w14:paraId="0CE4D55B">
      <w:pPr>
        <w:spacing w:line="380" w:lineRule="exact"/>
        <w:ind w:firstLine="420" w:firstLineChars="200"/>
        <w:rPr>
          <w:rFonts w:ascii="宋体" w:hAnsi="宋体" w:cs="宋体"/>
          <w:szCs w:val="21"/>
          <w:highlight w:val="none"/>
        </w:rPr>
      </w:pPr>
      <w:r>
        <w:rPr>
          <w:rFonts w:hint="eastAsia" w:ascii="宋体" w:hAnsi="宋体" w:cs="宋体"/>
          <w:szCs w:val="21"/>
          <w:highlight w:val="none"/>
        </w:rPr>
        <w:t>（2）参加采购活动前3年内担任供应商的董事、监事；</w:t>
      </w:r>
    </w:p>
    <w:p w14:paraId="6967E2C7">
      <w:pPr>
        <w:spacing w:line="380" w:lineRule="exact"/>
        <w:ind w:firstLine="420" w:firstLineChars="200"/>
        <w:rPr>
          <w:rFonts w:ascii="宋体" w:hAnsi="宋体" w:cs="宋体"/>
          <w:szCs w:val="21"/>
          <w:highlight w:val="none"/>
        </w:rPr>
      </w:pPr>
      <w:r>
        <w:rPr>
          <w:rFonts w:hint="eastAsia" w:ascii="宋体" w:hAnsi="宋体" w:cs="宋体"/>
          <w:szCs w:val="21"/>
          <w:highlight w:val="none"/>
        </w:rPr>
        <w:t>（3）参加采购活动前3年内是供应商的控股股东或者实际控制人；</w:t>
      </w:r>
    </w:p>
    <w:p w14:paraId="581AC795">
      <w:pPr>
        <w:spacing w:line="380" w:lineRule="exact"/>
        <w:ind w:firstLine="420" w:firstLineChars="200"/>
        <w:rPr>
          <w:rFonts w:ascii="宋体" w:hAnsi="宋体" w:cs="宋体"/>
          <w:szCs w:val="21"/>
          <w:highlight w:val="none"/>
        </w:rPr>
      </w:pPr>
      <w:r>
        <w:rPr>
          <w:rFonts w:hint="eastAsia" w:ascii="宋体" w:hAnsi="宋体" w:cs="宋体"/>
          <w:szCs w:val="21"/>
          <w:highlight w:val="none"/>
        </w:rPr>
        <w:t>（4）与供应商的法定代表人或者负责人有夫妻、直系血亲、三代以内旁系血亲或者近姻亲关系；</w:t>
      </w:r>
    </w:p>
    <w:p w14:paraId="43481873">
      <w:pPr>
        <w:spacing w:line="380" w:lineRule="exact"/>
        <w:ind w:firstLine="420" w:firstLineChars="200"/>
        <w:rPr>
          <w:rFonts w:ascii="宋体" w:hAnsi="宋体" w:cs="宋体"/>
          <w:szCs w:val="21"/>
          <w:highlight w:val="none"/>
        </w:rPr>
      </w:pPr>
      <w:r>
        <w:rPr>
          <w:rFonts w:hint="eastAsia" w:ascii="宋体" w:hAnsi="宋体" w:cs="宋体"/>
          <w:szCs w:val="21"/>
          <w:highlight w:val="none"/>
        </w:rPr>
        <w:t>（5）与供应商有其他可能影响政府采购活动公平、公正进行的关系。</w:t>
      </w:r>
    </w:p>
    <w:p w14:paraId="039BBD17">
      <w:pPr>
        <w:spacing w:line="380" w:lineRule="exact"/>
        <w:ind w:firstLine="420" w:firstLineChars="200"/>
        <w:rPr>
          <w:rFonts w:ascii="宋体" w:hAnsi="宋体" w:cs="宋体"/>
          <w:szCs w:val="21"/>
          <w:highlight w:val="none"/>
        </w:rPr>
      </w:pPr>
      <w:r>
        <w:rPr>
          <w:rFonts w:hint="eastAsia" w:ascii="宋体" w:hAnsi="宋体" w:cs="宋体"/>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5F3021AD">
      <w:pPr>
        <w:spacing w:line="380" w:lineRule="exact"/>
        <w:ind w:firstLine="420" w:firstLineChars="200"/>
        <w:rPr>
          <w:rFonts w:ascii="宋体" w:hAnsi="宋体" w:cs="宋体"/>
          <w:szCs w:val="21"/>
          <w:highlight w:val="none"/>
        </w:rPr>
      </w:pPr>
      <w:r>
        <w:rPr>
          <w:rFonts w:hint="eastAsia" w:ascii="宋体" w:hAnsi="宋体" w:cs="宋体"/>
          <w:szCs w:val="21"/>
          <w:highlight w:val="none"/>
        </w:rPr>
        <w:t>7.5有下列情形之一的视为供应商相互串通竞标，响应文件将被视为无效：</w:t>
      </w:r>
    </w:p>
    <w:p w14:paraId="4194A57C">
      <w:pPr>
        <w:spacing w:line="380" w:lineRule="exact"/>
        <w:ind w:firstLine="420" w:firstLineChars="200"/>
        <w:rPr>
          <w:rFonts w:ascii="宋体" w:hAnsi="宋体" w:cs="宋体"/>
          <w:szCs w:val="21"/>
          <w:highlight w:val="none"/>
        </w:rPr>
      </w:pPr>
      <w:r>
        <w:rPr>
          <w:rFonts w:hint="eastAsia" w:ascii="宋体" w:hAnsi="宋体" w:cs="宋体"/>
          <w:szCs w:val="21"/>
          <w:highlight w:val="none"/>
        </w:rPr>
        <w:t>（1）不同供应商的响应文件由同一单位或者个人编制；</w:t>
      </w:r>
    </w:p>
    <w:p w14:paraId="1AB397C4">
      <w:pPr>
        <w:spacing w:line="380" w:lineRule="exact"/>
        <w:ind w:firstLine="420" w:firstLineChars="200"/>
        <w:rPr>
          <w:rFonts w:ascii="宋体" w:hAnsi="宋体" w:cs="宋体"/>
          <w:szCs w:val="21"/>
          <w:highlight w:val="none"/>
        </w:rPr>
      </w:pPr>
      <w:r>
        <w:rPr>
          <w:rFonts w:hint="eastAsia" w:ascii="宋体" w:hAnsi="宋体" w:cs="宋体"/>
          <w:szCs w:val="21"/>
          <w:highlight w:val="none"/>
        </w:rPr>
        <w:t>（2）不同供应商委托同一单位或者个人办理竞标事宜；</w:t>
      </w:r>
    </w:p>
    <w:p w14:paraId="0DEFD07E">
      <w:pPr>
        <w:spacing w:line="380" w:lineRule="exact"/>
        <w:ind w:firstLine="420" w:firstLineChars="200"/>
        <w:rPr>
          <w:rFonts w:ascii="宋体" w:hAnsi="宋体" w:cs="宋体"/>
          <w:szCs w:val="21"/>
          <w:highlight w:val="none"/>
        </w:rPr>
      </w:pPr>
      <w:r>
        <w:rPr>
          <w:rFonts w:hint="eastAsia" w:ascii="宋体" w:hAnsi="宋体" w:cs="宋体"/>
          <w:szCs w:val="21"/>
          <w:highlight w:val="none"/>
        </w:rPr>
        <w:t>（3）不同的供应商的响应文件载明的项目管理员为同一个人；</w:t>
      </w:r>
    </w:p>
    <w:p w14:paraId="53FFA0F2">
      <w:pPr>
        <w:spacing w:line="380" w:lineRule="exact"/>
        <w:ind w:firstLine="420" w:firstLineChars="200"/>
        <w:rPr>
          <w:rFonts w:ascii="宋体" w:hAnsi="宋体" w:cs="宋体"/>
          <w:szCs w:val="21"/>
          <w:highlight w:val="none"/>
        </w:rPr>
      </w:pPr>
      <w:r>
        <w:rPr>
          <w:rFonts w:hint="eastAsia" w:ascii="宋体" w:hAnsi="宋体" w:cs="宋体"/>
          <w:szCs w:val="21"/>
          <w:highlight w:val="none"/>
        </w:rPr>
        <w:t>（4）不同供应商的响应文件异常一致或者报价呈规律性差异；</w:t>
      </w:r>
    </w:p>
    <w:p w14:paraId="32EAD619">
      <w:pPr>
        <w:spacing w:line="380" w:lineRule="exact"/>
        <w:ind w:firstLine="420" w:firstLineChars="200"/>
        <w:rPr>
          <w:rFonts w:ascii="宋体" w:hAnsi="宋体" w:cs="宋体"/>
          <w:szCs w:val="21"/>
          <w:highlight w:val="none"/>
        </w:rPr>
      </w:pPr>
      <w:r>
        <w:rPr>
          <w:rFonts w:hint="eastAsia" w:ascii="宋体" w:hAnsi="宋体" w:cs="宋体"/>
          <w:szCs w:val="21"/>
          <w:highlight w:val="none"/>
        </w:rPr>
        <w:t>（5）不同供应商的响应文件相互混装；</w:t>
      </w:r>
    </w:p>
    <w:p w14:paraId="2003CDBE">
      <w:pPr>
        <w:spacing w:line="380" w:lineRule="exact"/>
        <w:ind w:firstLine="420" w:firstLineChars="200"/>
        <w:rPr>
          <w:rFonts w:ascii="宋体" w:hAnsi="宋体" w:cs="宋体"/>
          <w:szCs w:val="21"/>
          <w:highlight w:val="none"/>
        </w:rPr>
      </w:pPr>
      <w:r>
        <w:rPr>
          <w:rFonts w:hint="eastAsia" w:ascii="宋体" w:hAnsi="宋体" w:cs="宋体"/>
          <w:szCs w:val="21"/>
          <w:highlight w:val="none"/>
        </w:rPr>
        <w:t>（6）不同供应商的竞标保证金从同一单位或者个人账户转出。</w:t>
      </w:r>
    </w:p>
    <w:p w14:paraId="0C1E46D6">
      <w:pPr>
        <w:spacing w:line="380" w:lineRule="exact"/>
        <w:ind w:firstLine="420" w:firstLineChars="200"/>
        <w:rPr>
          <w:rFonts w:ascii="宋体" w:hAnsi="宋体" w:cs="宋体"/>
          <w:szCs w:val="21"/>
          <w:highlight w:val="none"/>
        </w:rPr>
      </w:pPr>
      <w:r>
        <w:rPr>
          <w:rFonts w:hint="eastAsia" w:ascii="宋体" w:hAnsi="宋体" w:cs="宋体"/>
          <w:szCs w:val="21"/>
          <w:highlight w:val="none"/>
        </w:rPr>
        <w:t>7.6供应商有下列情形之一的，属于恶意串通行为</w:t>
      </w:r>
      <w:bookmarkStart w:id="6" w:name="_Hlk54682620"/>
      <w:r>
        <w:rPr>
          <w:rFonts w:hint="eastAsia" w:ascii="宋体" w:hAnsi="宋体" w:cs="宋体"/>
          <w:szCs w:val="21"/>
          <w:highlight w:val="none"/>
        </w:rPr>
        <w:t>，将报同级监督管理部门</w:t>
      </w:r>
      <w:bookmarkEnd w:id="6"/>
      <w:r>
        <w:rPr>
          <w:rFonts w:hint="eastAsia" w:ascii="宋体" w:hAnsi="宋体" w:cs="宋体"/>
          <w:szCs w:val="21"/>
          <w:highlight w:val="none"/>
        </w:rPr>
        <w:t>：</w:t>
      </w:r>
    </w:p>
    <w:p w14:paraId="1AE9BC7C">
      <w:pPr>
        <w:spacing w:line="380" w:lineRule="exact"/>
        <w:ind w:firstLine="420" w:firstLineChars="200"/>
        <w:rPr>
          <w:rFonts w:ascii="宋体" w:hAnsi="宋体" w:cs="宋体"/>
          <w:szCs w:val="21"/>
          <w:highlight w:val="none"/>
        </w:rPr>
      </w:pPr>
      <w:r>
        <w:rPr>
          <w:rFonts w:hint="eastAsia" w:ascii="宋体" w:hAnsi="宋体" w:cs="宋体"/>
          <w:szCs w:val="21"/>
          <w:highlight w:val="none"/>
        </w:rPr>
        <w:t>（1）供应商直接或者间接从采购人或者采购代理机构处获得其他供应商的相关信息并修改其响应文件；</w:t>
      </w:r>
    </w:p>
    <w:p w14:paraId="51B58D6C">
      <w:pPr>
        <w:spacing w:line="380" w:lineRule="exact"/>
        <w:ind w:firstLine="420" w:firstLineChars="200"/>
        <w:rPr>
          <w:rFonts w:ascii="宋体" w:hAnsi="宋体" w:cs="宋体"/>
          <w:szCs w:val="21"/>
          <w:highlight w:val="none"/>
        </w:rPr>
      </w:pPr>
      <w:r>
        <w:rPr>
          <w:rFonts w:hint="eastAsia" w:ascii="宋体" w:hAnsi="宋体" w:cs="宋体"/>
          <w:szCs w:val="21"/>
          <w:highlight w:val="none"/>
        </w:rPr>
        <w:t>（2）供应商按照采购人或者采购代理机构的授意撤换、修改响应文件；</w:t>
      </w:r>
    </w:p>
    <w:p w14:paraId="3D08E2AA">
      <w:pPr>
        <w:spacing w:line="380" w:lineRule="exact"/>
        <w:ind w:firstLine="420" w:firstLineChars="200"/>
        <w:rPr>
          <w:rFonts w:ascii="宋体" w:hAnsi="宋体" w:cs="宋体"/>
          <w:szCs w:val="21"/>
          <w:highlight w:val="none"/>
        </w:rPr>
      </w:pPr>
      <w:r>
        <w:rPr>
          <w:rFonts w:hint="eastAsia" w:ascii="宋体" w:hAnsi="宋体" w:cs="宋体"/>
          <w:szCs w:val="21"/>
          <w:highlight w:val="none"/>
        </w:rPr>
        <w:t>（3）供应商之间协商报价、技术方案等响应文件或者响应文件的实质性内容；</w:t>
      </w:r>
    </w:p>
    <w:p w14:paraId="3D51ABFB">
      <w:pPr>
        <w:spacing w:line="380" w:lineRule="exact"/>
        <w:ind w:firstLine="420" w:firstLineChars="200"/>
        <w:rPr>
          <w:rFonts w:ascii="宋体" w:hAnsi="宋体" w:cs="宋体"/>
          <w:szCs w:val="21"/>
          <w:highlight w:val="none"/>
        </w:rPr>
      </w:pPr>
      <w:r>
        <w:rPr>
          <w:rFonts w:hint="eastAsia" w:ascii="宋体" w:hAnsi="宋体" w:cs="宋体"/>
          <w:szCs w:val="21"/>
          <w:highlight w:val="none"/>
        </w:rPr>
        <w:t>（4）属于同一集团、协会、商会等组织成员的供应商按照该组织要求协同参加政府采购活动；</w:t>
      </w:r>
    </w:p>
    <w:p w14:paraId="49E2FA00">
      <w:pPr>
        <w:spacing w:line="380" w:lineRule="exact"/>
        <w:ind w:firstLine="420" w:firstLineChars="200"/>
        <w:rPr>
          <w:rFonts w:ascii="宋体" w:hAnsi="宋体" w:cs="宋体"/>
          <w:szCs w:val="21"/>
          <w:highlight w:val="none"/>
        </w:rPr>
      </w:pPr>
      <w:r>
        <w:rPr>
          <w:rFonts w:hint="eastAsia" w:ascii="宋体" w:hAnsi="宋体" w:cs="宋体"/>
          <w:szCs w:val="21"/>
          <w:highlight w:val="none"/>
        </w:rPr>
        <w:t>（5）供应商之间事先约定一致抬高或者压低报价,或者在政府采购活动中事先约定轮流以高价位或者低价位成交,或者事先约定由某一特定供应商成交,然后再参加竞标；</w:t>
      </w:r>
    </w:p>
    <w:p w14:paraId="781A868E">
      <w:pPr>
        <w:spacing w:line="380" w:lineRule="exact"/>
        <w:ind w:firstLine="420" w:firstLineChars="200"/>
        <w:rPr>
          <w:rFonts w:ascii="宋体" w:hAnsi="宋体" w:cs="宋体"/>
          <w:szCs w:val="21"/>
          <w:highlight w:val="none"/>
        </w:rPr>
      </w:pPr>
      <w:r>
        <w:rPr>
          <w:rFonts w:hint="eastAsia" w:ascii="宋体" w:hAnsi="宋体" w:cs="宋体"/>
          <w:szCs w:val="21"/>
          <w:highlight w:val="none"/>
        </w:rPr>
        <w:t>（6）供应商之间商定部分供应商放弃参加政府采购活动或者放弃成交；</w:t>
      </w:r>
    </w:p>
    <w:p w14:paraId="51DAB2B0">
      <w:pPr>
        <w:spacing w:line="380" w:lineRule="exact"/>
        <w:ind w:firstLine="420" w:firstLineChars="200"/>
        <w:rPr>
          <w:rFonts w:ascii="宋体" w:hAnsi="宋体" w:cs="宋体"/>
          <w:szCs w:val="21"/>
          <w:highlight w:val="none"/>
        </w:rPr>
      </w:pPr>
      <w:r>
        <w:rPr>
          <w:rFonts w:hint="eastAsia" w:ascii="宋体" w:hAnsi="宋体" w:cs="宋体"/>
          <w:szCs w:val="21"/>
          <w:highlight w:val="none"/>
        </w:rPr>
        <w:t>（7）供应商与采购人或者采购代理机构之间、供应商相互之间，为谋求特定供应商成交或者排斥其他供应商的其他串通行为。</w:t>
      </w:r>
    </w:p>
    <w:p w14:paraId="24B4F363">
      <w:pPr>
        <w:spacing w:line="380" w:lineRule="exact"/>
        <w:ind w:firstLine="420" w:firstLineChars="200"/>
        <w:rPr>
          <w:rFonts w:ascii="宋体" w:hAnsi="宋体" w:cs="宋体"/>
          <w:szCs w:val="21"/>
          <w:highlight w:val="none"/>
        </w:rPr>
      </w:pPr>
      <w:r>
        <w:rPr>
          <w:rFonts w:hint="eastAsia" w:ascii="宋体" w:hAnsi="宋体" w:cs="宋体"/>
          <w:szCs w:val="21"/>
          <w:highlight w:val="none"/>
        </w:rPr>
        <w:t>7.7关联供应商不得参加同一合同项下政府采购活动，否则响应文件将被视为无效：</w:t>
      </w:r>
    </w:p>
    <w:p w14:paraId="38F28DC3">
      <w:pPr>
        <w:spacing w:line="380" w:lineRule="exact"/>
        <w:ind w:firstLine="420" w:firstLineChars="200"/>
        <w:rPr>
          <w:rFonts w:ascii="宋体" w:hAnsi="宋体" w:cs="宋体"/>
          <w:szCs w:val="21"/>
          <w:highlight w:val="none"/>
        </w:rPr>
      </w:pPr>
      <w:r>
        <w:rPr>
          <w:rFonts w:hint="eastAsia" w:ascii="宋体" w:hAnsi="宋体" w:cs="宋体"/>
          <w:szCs w:val="21"/>
          <w:highlight w:val="none"/>
        </w:rPr>
        <w:t>（1）单位负责人为同一人或者存在直接控股、管理关系的不同的供应商，不得参加同一合同项下的政府采购活动；</w:t>
      </w:r>
    </w:p>
    <w:p w14:paraId="626FDED8">
      <w:pPr>
        <w:spacing w:line="380" w:lineRule="exact"/>
        <w:ind w:firstLine="420" w:firstLineChars="200"/>
        <w:rPr>
          <w:rFonts w:ascii="宋体" w:hAnsi="宋体" w:cs="宋体"/>
          <w:szCs w:val="21"/>
          <w:highlight w:val="none"/>
        </w:rPr>
      </w:pPr>
      <w:r>
        <w:rPr>
          <w:rFonts w:hint="eastAsia" w:ascii="宋体" w:hAnsi="宋体" w:cs="宋体"/>
          <w:szCs w:val="21"/>
          <w:highlight w:val="none"/>
        </w:rPr>
        <w:t>（2）生产厂商授权给供应商后自己不得参加同一合同项下的政府采购活动；生产厂商对同一品牌同一型号的货物，仅能委托一个代理商参加竞标。</w:t>
      </w:r>
    </w:p>
    <w:p w14:paraId="4874D632">
      <w:pPr>
        <w:spacing w:line="380" w:lineRule="exact"/>
        <w:ind w:firstLine="420" w:firstLineChars="200"/>
        <w:rPr>
          <w:rFonts w:ascii="宋体" w:hAnsi="宋体" w:cs="宋体"/>
          <w:szCs w:val="21"/>
          <w:highlight w:val="none"/>
        </w:rPr>
      </w:pPr>
      <w:r>
        <w:rPr>
          <w:rFonts w:hint="eastAsia" w:ascii="宋体" w:hAnsi="宋体" w:cs="宋体"/>
          <w:szCs w:val="21"/>
          <w:highlight w:val="none"/>
        </w:rPr>
        <w:t>（3）提供相同品牌产品的不同供应商参加同一合同项下竞标的，以其中通过资格审查、符合性审查且报价最低的参加评标，报价相同的，由采购人自主选择确定一个参加评标的竞标人，其它竞标无效。</w:t>
      </w:r>
    </w:p>
    <w:p w14:paraId="7EA5DF6E">
      <w:pPr>
        <w:spacing w:line="380" w:lineRule="exact"/>
        <w:ind w:firstLine="420" w:firstLineChars="200"/>
        <w:rPr>
          <w:rFonts w:ascii="宋体" w:hAnsi="宋体" w:cs="宋体"/>
          <w:szCs w:val="21"/>
          <w:highlight w:val="none"/>
        </w:rPr>
      </w:pPr>
      <w:r>
        <w:rPr>
          <w:rFonts w:hint="eastAsia" w:ascii="宋体" w:hAnsi="宋体" w:cs="宋体"/>
          <w:szCs w:val="21"/>
          <w:highlight w:val="none"/>
        </w:rPr>
        <w:t>（4）非单一产品采购项目中，多家竞标人提供的核心产品品牌相同的，视为提供相同品牌产品。核心产品的名称应当在采购文件中载明。</w:t>
      </w:r>
    </w:p>
    <w:p w14:paraId="01AD121D">
      <w:pPr>
        <w:spacing w:line="380" w:lineRule="exact"/>
        <w:ind w:firstLine="420" w:firstLineChars="200"/>
        <w:rPr>
          <w:rFonts w:ascii="宋体" w:hAnsi="宋体" w:cs="宋体"/>
          <w:szCs w:val="21"/>
          <w:highlight w:val="none"/>
        </w:rPr>
      </w:pPr>
      <w:r>
        <w:rPr>
          <w:rFonts w:hint="eastAsia" w:ascii="宋体" w:hAnsi="宋体" w:cs="宋体"/>
          <w:szCs w:val="21"/>
          <w:highlight w:val="none"/>
        </w:rPr>
        <w:t>7.8采购人或采购机构在组织政府采购活动中，不得有下列行为：</w:t>
      </w:r>
    </w:p>
    <w:p w14:paraId="0E1E422A">
      <w:pPr>
        <w:spacing w:line="380" w:lineRule="exact"/>
        <w:ind w:firstLine="420" w:firstLineChars="200"/>
        <w:rPr>
          <w:rFonts w:ascii="宋体"/>
          <w:szCs w:val="21"/>
          <w:highlight w:val="none"/>
        </w:rPr>
      </w:pPr>
      <w:r>
        <w:rPr>
          <w:rFonts w:hint="eastAsia" w:ascii="宋体"/>
          <w:szCs w:val="21"/>
          <w:highlight w:val="none"/>
        </w:rPr>
        <w:t>（1）采购需求中技术、服务等要求指向特定供应商、特定产品；以特定行政区域或者特定行业的业绩、奖项作为加分条件或者中标条件；限定或者指定特定的专利、商标、品牌或者供应商；设定供应商准入的歧视性规定、设定苛刻的采购时限要求的条款。</w:t>
      </w:r>
    </w:p>
    <w:p w14:paraId="5F4EB4C2">
      <w:pPr>
        <w:spacing w:line="380" w:lineRule="exact"/>
        <w:ind w:firstLine="420" w:firstLineChars="200"/>
        <w:rPr>
          <w:rFonts w:ascii="宋体"/>
          <w:szCs w:val="21"/>
          <w:highlight w:val="none"/>
        </w:rPr>
      </w:pPr>
      <w:r>
        <w:rPr>
          <w:rFonts w:hint="eastAsia" w:ascii="宋体"/>
          <w:szCs w:val="21"/>
          <w:highlight w:val="none"/>
        </w:rPr>
        <w:t>（2）将竞标人的注册资本、资产总额、营业收入、从业人员、利润、纳税额等指标列为资格要求；将除进口货物外的生产厂家授权作为竞标人的资格要求。</w:t>
      </w:r>
    </w:p>
    <w:p w14:paraId="12E47659">
      <w:pPr>
        <w:spacing w:line="380" w:lineRule="exact"/>
        <w:ind w:firstLine="420" w:firstLineChars="200"/>
        <w:rPr>
          <w:rFonts w:ascii="宋体"/>
          <w:szCs w:val="21"/>
          <w:highlight w:val="none"/>
        </w:rPr>
      </w:pPr>
      <w:r>
        <w:rPr>
          <w:rFonts w:hint="eastAsia" w:ascii="宋体"/>
          <w:szCs w:val="21"/>
          <w:highlight w:val="none"/>
        </w:rPr>
        <w:t>（3）就同一采购项目向特定供应商提供有差别的项目信息；或者在竞标截止时间前，向其他人透露已获取采购文件的潜在竞标人的名称等可能影响公平竞争的有关招标投标的其他信息。</w:t>
      </w:r>
    </w:p>
    <w:p w14:paraId="06700B1A">
      <w:pPr>
        <w:spacing w:line="380" w:lineRule="exact"/>
        <w:ind w:firstLine="420" w:firstLineChars="200"/>
        <w:rPr>
          <w:rFonts w:ascii="宋体"/>
          <w:szCs w:val="21"/>
          <w:highlight w:val="none"/>
        </w:rPr>
      </w:pPr>
      <w:r>
        <w:rPr>
          <w:rFonts w:hint="eastAsia" w:ascii="宋体"/>
          <w:szCs w:val="21"/>
          <w:highlight w:val="none"/>
        </w:rPr>
        <w:t>（4）在规定的竞标截止时间前开启竞标文件，并将报价、方案等有关信息泄露给特定供应商。</w:t>
      </w:r>
    </w:p>
    <w:p w14:paraId="10D2E62D">
      <w:pPr>
        <w:spacing w:line="380" w:lineRule="exact"/>
        <w:ind w:firstLine="420" w:firstLineChars="200"/>
        <w:rPr>
          <w:rFonts w:ascii="宋体"/>
          <w:szCs w:val="21"/>
          <w:highlight w:val="none"/>
        </w:rPr>
      </w:pPr>
      <w:r>
        <w:rPr>
          <w:rFonts w:hint="eastAsia" w:ascii="宋体"/>
          <w:szCs w:val="21"/>
          <w:highlight w:val="none"/>
        </w:rPr>
        <w:t>（5）对投标人采取不同的资格审查或者评审标准，或向竞标利害关系人在泄露评标委员会成员名单（未公开前）、资格审查或者评标情况等应当保密的事项。</w:t>
      </w:r>
    </w:p>
    <w:p w14:paraId="75D4A382">
      <w:pPr>
        <w:spacing w:line="380" w:lineRule="exact"/>
        <w:ind w:firstLine="420" w:firstLineChars="200"/>
        <w:rPr>
          <w:rFonts w:ascii="宋体"/>
          <w:szCs w:val="21"/>
          <w:highlight w:val="none"/>
        </w:rPr>
      </w:pPr>
      <w:r>
        <w:rPr>
          <w:rFonts w:hint="eastAsia" w:ascii="宋体"/>
          <w:szCs w:val="21"/>
          <w:highlight w:val="none"/>
        </w:rPr>
        <w:t>（6）在开标前与竞标人就该采购项目进行实质性谈判，或与竞标人约定压低或者抬高标价，中标后再给竞标人或者采购人额外补偿的。</w:t>
      </w:r>
    </w:p>
    <w:p w14:paraId="5D12F0AD">
      <w:pPr>
        <w:spacing w:line="380" w:lineRule="exact"/>
        <w:ind w:firstLine="420" w:firstLineChars="200"/>
        <w:rPr>
          <w:rFonts w:ascii="宋体"/>
          <w:szCs w:val="21"/>
          <w:highlight w:val="none"/>
        </w:rPr>
      </w:pPr>
      <w:r>
        <w:rPr>
          <w:rFonts w:hint="eastAsia" w:ascii="宋体"/>
          <w:szCs w:val="21"/>
          <w:highlight w:val="none"/>
        </w:rPr>
        <w:t>（7）在评标时，向评标委员会的评审专家作倾向性、误导性的解释或者说明。</w:t>
      </w:r>
    </w:p>
    <w:p w14:paraId="345CE743">
      <w:pPr>
        <w:spacing w:line="380" w:lineRule="exact"/>
        <w:ind w:firstLine="420" w:firstLineChars="200"/>
        <w:rPr>
          <w:rFonts w:ascii="宋体" w:hAnsi="宋体"/>
          <w:bCs/>
          <w:szCs w:val="21"/>
          <w:highlight w:val="none"/>
        </w:rPr>
      </w:pPr>
      <w:r>
        <w:rPr>
          <w:rFonts w:hint="eastAsia" w:ascii="宋体"/>
          <w:szCs w:val="21"/>
          <w:highlight w:val="none"/>
        </w:rPr>
        <w:t>（8）其他协助竞标人违规竞标的行为。</w:t>
      </w:r>
    </w:p>
    <w:p w14:paraId="504925EE">
      <w:pPr>
        <w:spacing w:line="380" w:lineRule="exact"/>
        <w:ind w:firstLine="482" w:firstLineChars="200"/>
        <w:jc w:val="center"/>
        <w:rPr>
          <w:rFonts w:ascii="宋体" w:hAnsi="宋体"/>
          <w:b/>
          <w:sz w:val="24"/>
          <w:highlight w:val="none"/>
        </w:rPr>
      </w:pPr>
    </w:p>
    <w:p w14:paraId="2CB834AD">
      <w:pPr>
        <w:spacing w:line="380" w:lineRule="exact"/>
        <w:ind w:firstLine="482" w:firstLineChars="200"/>
        <w:jc w:val="center"/>
        <w:rPr>
          <w:rFonts w:ascii="宋体" w:hAnsi="宋体"/>
          <w:b/>
          <w:sz w:val="24"/>
          <w:highlight w:val="none"/>
        </w:rPr>
      </w:pPr>
      <w:r>
        <w:rPr>
          <w:rFonts w:hint="eastAsia" w:ascii="宋体" w:hAnsi="宋体"/>
          <w:b/>
          <w:sz w:val="24"/>
          <w:highlight w:val="none"/>
        </w:rPr>
        <w:t>二</w:t>
      </w:r>
      <w:r>
        <w:rPr>
          <w:rFonts w:ascii="宋体" w:hAnsi="宋体"/>
          <w:b/>
          <w:sz w:val="24"/>
          <w:highlight w:val="none"/>
        </w:rPr>
        <w:t>、</w:t>
      </w:r>
      <w:r>
        <w:rPr>
          <w:rFonts w:hint="eastAsia" w:ascii="宋体" w:hAnsi="宋体"/>
          <w:b/>
          <w:sz w:val="24"/>
          <w:highlight w:val="none"/>
        </w:rPr>
        <w:t>谈判文件</w:t>
      </w:r>
    </w:p>
    <w:p w14:paraId="40FCB593">
      <w:pPr>
        <w:spacing w:line="380" w:lineRule="exact"/>
        <w:ind w:firstLine="482" w:firstLineChars="200"/>
        <w:rPr>
          <w:rFonts w:ascii="宋体" w:hAnsi="宋体" w:cs="宋体"/>
          <w:b/>
          <w:bCs/>
          <w:sz w:val="24"/>
          <w:highlight w:val="none"/>
        </w:rPr>
      </w:pPr>
      <w:r>
        <w:rPr>
          <w:rFonts w:hint="eastAsia" w:ascii="宋体" w:hAnsi="宋体" w:cs="宋体"/>
          <w:b/>
          <w:bCs/>
          <w:sz w:val="24"/>
          <w:highlight w:val="none"/>
        </w:rPr>
        <w:t>8.谈判文件的构成</w:t>
      </w:r>
    </w:p>
    <w:p w14:paraId="731DD4AB">
      <w:pPr>
        <w:spacing w:line="380" w:lineRule="exact"/>
        <w:ind w:firstLine="420" w:firstLineChars="200"/>
        <w:jc w:val="left"/>
        <w:rPr>
          <w:rFonts w:ascii="宋体" w:hAnsi="宋体"/>
          <w:szCs w:val="21"/>
          <w:highlight w:val="none"/>
        </w:rPr>
      </w:pPr>
      <w:r>
        <w:rPr>
          <w:rFonts w:hint="eastAsia" w:ascii="宋体" w:hAnsi="宋体"/>
          <w:szCs w:val="21"/>
          <w:highlight w:val="none"/>
        </w:rPr>
        <w:t>（1）竞争性谈判采购公告；</w:t>
      </w:r>
    </w:p>
    <w:p w14:paraId="4995C939">
      <w:pPr>
        <w:spacing w:line="380" w:lineRule="exact"/>
        <w:ind w:firstLine="420" w:firstLineChars="200"/>
        <w:jc w:val="left"/>
        <w:rPr>
          <w:rFonts w:ascii="宋体" w:hAnsi="宋体"/>
          <w:szCs w:val="21"/>
          <w:highlight w:val="none"/>
        </w:rPr>
      </w:pPr>
      <w:r>
        <w:rPr>
          <w:rFonts w:hint="eastAsia" w:ascii="宋体" w:hAnsi="宋体"/>
          <w:szCs w:val="21"/>
          <w:highlight w:val="none"/>
        </w:rPr>
        <w:t>（2）供应商须知及</w:t>
      </w:r>
      <w:r>
        <w:rPr>
          <w:rFonts w:ascii="宋体" w:hAnsi="宋体"/>
          <w:szCs w:val="21"/>
          <w:highlight w:val="none"/>
        </w:rPr>
        <w:t>前附表</w:t>
      </w:r>
      <w:r>
        <w:rPr>
          <w:rFonts w:hint="eastAsia" w:ascii="宋体" w:hAnsi="宋体"/>
          <w:szCs w:val="21"/>
          <w:highlight w:val="none"/>
        </w:rPr>
        <w:t xml:space="preserve">； </w:t>
      </w:r>
    </w:p>
    <w:p w14:paraId="512262F3">
      <w:pPr>
        <w:spacing w:line="380" w:lineRule="exact"/>
        <w:ind w:firstLine="420" w:firstLineChars="200"/>
        <w:jc w:val="left"/>
        <w:rPr>
          <w:rFonts w:ascii="宋体" w:hAnsi="宋体"/>
          <w:szCs w:val="21"/>
          <w:highlight w:val="none"/>
        </w:rPr>
      </w:pPr>
      <w:r>
        <w:rPr>
          <w:rFonts w:hint="eastAsia" w:ascii="宋体" w:hAnsi="宋体"/>
          <w:szCs w:val="21"/>
          <w:highlight w:val="none"/>
        </w:rPr>
        <w:t>（3）采购需求；</w:t>
      </w:r>
    </w:p>
    <w:p w14:paraId="366A9F4C">
      <w:pPr>
        <w:spacing w:line="380" w:lineRule="exact"/>
        <w:ind w:firstLine="420" w:firstLineChars="200"/>
        <w:jc w:val="left"/>
        <w:rPr>
          <w:rFonts w:ascii="宋体" w:hAnsi="宋体"/>
          <w:szCs w:val="21"/>
          <w:highlight w:val="none"/>
        </w:rPr>
      </w:pPr>
      <w:r>
        <w:rPr>
          <w:rFonts w:hint="eastAsia" w:ascii="宋体" w:hAnsi="宋体"/>
          <w:szCs w:val="21"/>
          <w:highlight w:val="none"/>
        </w:rPr>
        <w:t>（4）</w:t>
      </w:r>
      <w:r>
        <w:rPr>
          <w:rFonts w:hint="eastAsia" w:ascii="宋体"/>
          <w:szCs w:val="21"/>
          <w:highlight w:val="none"/>
        </w:rPr>
        <w:t>评审程序、评审方法和评审标准</w:t>
      </w:r>
      <w:r>
        <w:rPr>
          <w:rFonts w:hint="eastAsia" w:ascii="宋体" w:hAnsi="宋体"/>
          <w:szCs w:val="21"/>
          <w:highlight w:val="none"/>
        </w:rPr>
        <w:t>；</w:t>
      </w:r>
    </w:p>
    <w:p w14:paraId="72F78E11">
      <w:pPr>
        <w:spacing w:line="380" w:lineRule="exact"/>
        <w:ind w:firstLine="420" w:firstLineChars="200"/>
        <w:jc w:val="left"/>
        <w:rPr>
          <w:rFonts w:ascii="宋体" w:hAnsi="宋体"/>
          <w:szCs w:val="21"/>
          <w:highlight w:val="none"/>
        </w:rPr>
      </w:pPr>
      <w:r>
        <w:rPr>
          <w:rFonts w:hint="eastAsia" w:ascii="宋体" w:hAnsi="宋体"/>
          <w:szCs w:val="21"/>
          <w:highlight w:val="none"/>
        </w:rPr>
        <w:t>（5）谈判响应</w:t>
      </w:r>
      <w:r>
        <w:rPr>
          <w:rFonts w:ascii="宋体" w:hAnsi="宋体"/>
          <w:szCs w:val="21"/>
          <w:highlight w:val="none"/>
        </w:rPr>
        <w:t>文件基本格式</w:t>
      </w:r>
      <w:r>
        <w:rPr>
          <w:rFonts w:hint="eastAsia" w:ascii="宋体" w:hAnsi="宋体"/>
          <w:szCs w:val="21"/>
          <w:highlight w:val="none"/>
        </w:rPr>
        <w:t>；</w:t>
      </w:r>
    </w:p>
    <w:p w14:paraId="22553A2E">
      <w:pPr>
        <w:spacing w:line="380" w:lineRule="exact"/>
        <w:ind w:firstLine="420" w:firstLineChars="200"/>
        <w:jc w:val="left"/>
        <w:rPr>
          <w:rFonts w:ascii="宋体" w:hAnsi="宋体"/>
          <w:szCs w:val="21"/>
          <w:highlight w:val="none"/>
        </w:rPr>
      </w:pPr>
      <w:r>
        <w:rPr>
          <w:rFonts w:hint="eastAsia" w:ascii="宋体" w:hAnsi="宋体"/>
          <w:szCs w:val="21"/>
          <w:highlight w:val="none"/>
        </w:rPr>
        <w:t>（6）政府采购</w:t>
      </w:r>
      <w:r>
        <w:rPr>
          <w:rFonts w:ascii="宋体" w:hAnsi="宋体"/>
          <w:szCs w:val="21"/>
          <w:highlight w:val="none"/>
        </w:rPr>
        <w:t>合同</w:t>
      </w:r>
      <w:r>
        <w:rPr>
          <w:rFonts w:hint="eastAsia" w:ascii="宋体" w:hAnsi="宋体"/>
          <w:szCs w:val="21"/>
          <w:highlight w:val="none"/>
        </w:rPr>
        <w:t>（</w:t>
      </w:r>
      <w:r>
        <w:rPr>
          <w:rFonts w:ascii="宋体" w:hAnsi="宋体"/>
          <w:szCs w:val="21"/>
          <w:highlight w:val="none"/>
        </w:rPr>
        <w:t>参考格式）</w:t>
      </w:r>
      <w:r>
        <w:rPr>
          <w:rFonts w:hint="eastAsia" w:ascii="宋体" w:hAnsi="宋体"/>
          <w:szCs w:val="21"/>
          <w:highlight w:val="none"/>
        </w:rPr>
        <w:t>。</w:t>
      </w:r>
    </w:p>
    <w:p w14:paraId="76F711E1">
      <w:pPr>
        <w:spacing w:line="380" w:lineRule="exact"/>
        <w:ind w:firstLine="482" w:firstLineChars="200"/>
        <w:rPr>
          <w:rFonts w:ascii="宋体" w:hAnsi="宋体" w:cs="宋体"/>
          <w:b/>
          <w:bCs/>
          <w:sz w:val="24"/>
          <w:highlight w:val="none"/>
        </w:rPr>
      </w:pPr>
      <w:r>
        <w:rPr>
          <w:rFonts w:hint="eastAsia" w:ascii="宋体" w:hAnsi="宋体" w:cs="宋体"/>
          <w:b/>
          <w:bCs/>
          <w:sz w:val="24"/>
          <w:highlight w:val="none"/>
        </w:rPr>
        <w:t>9.供应商的询问</w:t>
      </w:r>
    </w:p>
    <w:p w14:paraId="59598E9B">
      <w:pPr>
        <w:spacing w:line="380" w:lineRule="exact"/>
        <w:ind w:firstLine="420" w:firstLineChars="200"/>
        <w:rPr>
          <w:rFonts w:ascii="宋体" w:hAnsi="宋体" w:cs="宋体"/>
          <w:szCs w:val="21"/>
          <w:highlight w:val="none"/>
        </w:rPr>
      </w:pPr>
      <w:r>
        <w:rPr>
          <w:rFonts w:hint="eastAsia" w:ascii="宋体" w:hAnsi="宋体"/>
          <w:szCs w:val="21"/>
          <w:highlight w:val="none"/>
        </w:rPr>
        <w:t>供应商应认真阅读谈判文件的采购需求，如供应商对谈判文件有疑问的，如要求采购人作出澄清或者修改的，供应商尽可能在</w:t>
      </w:r>
      <w:r>
        <w:rPr>
          <w:rFonts w:ascii="宋体" w:hAnsi="宋体"/>
          <w:szCs w:val="21"/>
          <w:highlight w:val="none"/>
        </w:rPr>
        <w:t>提交首次响应文件截止之日前</w:t>
      </w:r>
      <w:r>
        <w:rPr>
          <w:rFonts w:hint="eastAsia" w:ascii="宋体" w:hAnsi="宋体"/>
          <w:szCs w:val="21"/>
          <w:highlight w:val="none"/>
        </w:rPr>
        <w:t>，以纸质书面形式向</w:t>
      </w:r>
      <w:r>
        <w:rPr>
          <w:rFonts w:ascii="宋体" w:hAnsi="宋体"/>
          <w:szCs w:val="21"/>
          <w:highlight w:val="none"/>
        </w:rPr>
        <w:t>采购人、采购代理机构</w:t>
      </w:r>
      <w:r>
        <w:rPr>
          <w:rFonts w:hint="eastAsia" w:ascii="宋体" w:hAnsi="宋体"/>
          <w:szCs w:val="21"/>
          <w:highlight w:val="none"/>
        </w:rPr>
        <w:t>提出</w:t>
      </w:r>
      <w:r>
        <w:rPr>
          <w:rFonts w:hint="eastAsia" w:ascii="宋体" w:hAnsi="宋体" w:cs="宋体"/>
          <w:szCs w:val="21"/>
          <w:highlight w:val="none"/>
        </w:rPr>
        <w:t>，否则，由此产生的后果由供应商自行负责。</w:t>
      </w:r>
    </w:p>
    <w:p w14:paraId="22E3D977">
      <w:pPr>
        <w:spacing w:line="380" w:lineRule="exact"/>
        <w:ind w:firstLine="482" w:firstLineChars="200"/>
        <w:rPr>
          <w:rFonts w:ascii="宋体" w:hAnsi="宋体" w:cs="宋体"/>
          <w:b/>
          <w:bCs/>
          <w:sz w:val="24"/>
          <w:highlight w:val="none"/>
        </w:rPr>
      </w:pPr>
      <w:r>
        <w:rPr>
          <w:rFonts w:hint="eastAsia" w:ascii="宋体" w:hAnsi="宋体" w:cs="宋体"/>
          <w:b/>
          <w:bCs/>
          <w:sz w:val="24"/>
          <w:highlight w:val="none"/>
        </w:rPr>
        <w:t>10.谈判文件的澄清和修改</w:t>
      </w:r>
    </w:p>
    <w:p w14:paraId="3F01A524">
      <w:pPr>
        <w:spacing w:line="380" w:lineRule="exact"/>
        <w:ind w:firstLine="420" w:firstLineChars="200"/>
        <w:rPr>
          <w:rFonts w:ascii="宋体" w:hAnsi="宋体"/>
          <w:szCs w:val="21"/>
          <w:highlight w:val="none"/>
        </w:rPr>
      </w:pPr>
      <w:r>
        <w:rPr>
          <w:rFonts w:hint="eastAsia" w:ascii="宋体" w:hAnsi="宋体" w:cs="宋体"/>
          <w:szCs w:val="21"/>
          <w:highlight w:val="none"/>
        </w:rPr>
        <w:t>10.1</w:t>
      </w:r>
      <w:r>
        <w:rPr>
          <w:rFonts w:ascii="宋体" w:hAnsi="宋体"/>
          <w:szCs w:val="21"/>
          <w:highlight w:val="none"/>
        </w:rPr>
        <w:t>提交首次响应文件截止之日前，采购人、采购代理机构或者谈判小组可以对已发出的谈判文件进行必要的澄清或者修改，澄清或者修改的内容作为谈判文件的组成部分。</w:t>
      </w:r>
      <w:r>
        <w:rPr>
          <w:rFonts w:hint="eastAsia" w:ascii="宋体" w:hAnsi="宋体" w:cs="宋体"/>
          <w:szCs w:val="21"/>
          <w:highlight w:val="none"/>
        </w:rPr>
        <w:t>澄清或者修改将在原公告发布媒体上发布更正公告。</w:t>
      </w:r>
      <w:r>
        <w:rPr>
          <w:rFonts w:ascii="宋体" w:hAnsi="宋体"/>
          <w:szCs w:val="21"/>
          <w:highlight w:val="none"/>
        </w:rPr>
        <w:t>澄清或者修改的内容可能影响响应文件编制的，采购人、采购代理机构或者谈判小组应当在提交首次响应文件截止之日3个工作日前，</w:t>
      </w:r>
      <w:r>
        <w:rPr>
          <w:rFonts w:hint="eastAsia" w:ascii="宋体" w:hAnsi="宋体" w:cs="宋体"/>
          <w:szCs w:val="21"/>
          <w:highlight w:val="none"/>
        </w:rPr>
        <w:t>在原公告发布媒体上发布更正公告；</w:t>
      </w:r>
      <w:r>
        <w:rPr>
          <w:rFonts w:ascii="宋体" w:hAnsi="宋体"/>
          <w:szCs w:val="21"/>
          <w:highlight w:val="none"/>
        </w:rPr>
        <w:t>不足3个工作日的，应当顺延提交首次响应文件截止之日。</w:t>
      </w:r>
    </w:p>
    <w:p w14:paraId="4A5BE56E">
      <w:pPr>
        <w:spacing w:line="380" w:lineRule="exact"/>
        <w:ind w:firstLine="420" w:firstLineChars="200"/>
        <w:rPr>
          <w:rFonts w:ascii="宋体" w:hAnsi="宋体"/>
          <w:szCs w:val="21"/>
          <w:highlight w:val="none"/>
        </w:rPr>
      </w:pPr>
      <w:r>
        <w:rPr>
          <w:rFonts w:hint="eastAsia" w:ascii="宋体" w:hAnsi="宋体" w:cs="宋体"/>
          <w:highlight w:val="none"/>
        </w:rPr>
        <w:t>10.2采购人和采购代理机构可以视采购具体情况，变更</w:t>
      </w:r>
      <w:r>
        <w:rPr>
          <w:rFonts w:hint="eastAsia" w:ascii="宋体" w:hAnsi="宋体" w:cs="宋体"/>
          <w:szCs w:val="21"/>
          <w:highlight w:val="none"/>
        </w:rPr>
        <w:t>首次响应文件提交截止时间</w:t>
      </w:r>
      <w:r>
        <w:rPr>
          <w:rFonts w:hint="eastAsia" w:ascii="宋体" w:hAnsi="宋体" w:cs="宋体"/>
          <w:highlight w:val="none"/>
        </w:rPr>
        <w:t>，</w:t>
      </w:r>
      <w:r>
        <w:rPr>
          <w:rFonts w:hint="eastAsia" w:ascii="宋体" w:hAnsi="宋体"/>
          <w:highlight w:val="none"/>
        </w:rPr>
        <w:t>并</w:t>
      </w:r>
      <w:r>
        <w:rPr>
          <w:rFonts w:hint="eastAsia" w:ascii="宋体" w:hAnsi="宋体"/>
          <w:szCs w:val="21"/>
          <w:highlight w:val="none"/>
        </w:rPr>
        <w:t>在原公告发布媒体上发布更正公告。</w:t>
      </w:r>
    </w:p>
    <w:p w14:paraId="3DB75D57">
      <w:pPr>
        <w:spacing w:line="380" w:lineRule="exact"/>
        <w:ind w:firstLine="420" w:firstLineChars="200"/>
        <w:rPr>
          <w:rFonts w:ascii="宋体" w:hAnsi="宋体" w:cs="宋体"/>
          <w:highlight w:val="none"/>
        </w:rPr>
      </w:pPr>
      <w:r>
        <w:rPr>
          <w:rFonts w:hint="eastAsia" w:ascii="宋体" w:hAnsi="宋体" w:cs="宋体"/>
          <w:highlight w:val="none"/>
        </w:rPr>
        <w:t>10.3</w:t>
      </w:r>
      <w:r>
        <w:rPr>
          <w:rFonts w:hint="eastAsia" w:ascii="宋体" w:hAnsi="宋体" w:cs="宋体"/>
          <w:szCs w:val="21"/>
          <w:highlight w:val="none"/>
        </w:rPr>
        <w:t>谈判文件</w:t>
      </w:r>
      <w:r>
        <w:rPr>
          <w:rFonts w:hint="eastAsia" w:ascii="宋体" w:hAnsi="宋体"/>
          <w:szCs w:val="21"/>
          <w:highlight w:val="none"/>
        </w:rPr>
        <w:t>澄清、答复、修改、补充的内容为</w:t>
      </w:r>
      <w:r>
        <w:rPr>
          <w:rFonts w:hint="eastAsia" w:ascii="宋体" w:hAnsi="宋体" w:cs="宋体"/>
          <w:szCs w:val="21"/>
          <w:highlight w:val="none"/>
        </w:rPr>
        <w:t>谈判文件</w:t>
      </w:r>
      <w:r>
        <w:rPr>
          <w:rFonts w:hint="eastAsia" w:ascii="宋体" w:hAnsi="宋体"/>
          <w:szCs w:val="21"/>
          <w:highlight w:val="none"/>
        </w:rPr>
        <w:t>的组成部分。当</w:t>
      </w:r>
      <w:r>
        <w:rPr>
          <w:rFonts w:hint="eastAsia" w:ascii="宋体" w:hAnsi="宋体" w:cs="宋体"/>
          <w:szCs w:val="21"/>
          <w:highlight w:val="none"/>
        </w:rPr>
        <w:t>谈判文件</w:t>
      </w:r>
      <w:r>
        <w:rPr>
          <w:rFonts w:hint="eastAsia" w:ascii="宋体" w:hAnsi="宋体"/>
          <w:szCs w:val="21"/>
          <w:highlight w:val="none"/>
        </w:rPr>
        <w:t>与</w:t>
      </w:r>
      <w:r>
        <w:rPr>
          <w:rFonts w:hint="eastAsia" w:ascii="宋体" w:hAnsi="宋体" w:cs="宋体"/>
          <w:szCs w:val="21"/>
          <w:highlight w:val="none"/>
        </w:rPr>
        <w:t>谈判文件</w:t>
      </w:r>
      <w:r>
        <w:rPr>
          <w:rFonts w:hint="eastAsia" w:ascii="宋体" w:hAnsi="宋体"/>
          <w:szCs w:val="21"/>
          <w:highlight w:val="none"/>
        </w:rPr>
        <w:t>的澄清、答复、修改、补充通知就同一内容的表述不一致时，以最后发出的文件为准。</w:t>
      </w:r>
    </w:p>
    <w:p w14:paraId="2BFE9318">
      <w:pPr>
        <w:spacing w:line="380" w:lineRule="exact"/>
        <w:ind w:firstLine="420" w:firstLineChars="200"/>
        <w:rPr>
          <w:rFonts w:ascii="宋体" w:hAnsi="宋体"/>
          <w:szCs w:val="21"/>
          <w:highlight w:val="none"/>
        </w:rPr>
      </w:pPr>
      <w:r>
        <w:rPr>
          <w:rFonts w:hint="eastAsia" w:ascii="宋体" w:hAnsi="宋体" w:cs="宋体"/>
          <w:highlight w:val="none"/>
        </w:rPr>
        <w:t>10.4</w:t>
      </w:r>
      <w:r>
        <w:rPr>
          <w:rFonts w:hint="eastAsia" w:ascii="宋体" w:hAnsi="宋体"/>
          <w:szCs w:val="21"/>
          <w:highlight w:val="none"/>
        </w:rPr>
        <w:t>响应文件未按谈判文件的澄清、修改后的内容编制的，其响应文件作无效响应处理。</w:t>
      </w:r>
    </w:p>
    <w:p w14:paraId="5AC55BB5">
      <w:pPr>
        <w:spacing w:line="380" w:lineRule="exact"/>
        <w:jc w:val="center"/>
        <w:rPr>
          <w:sz w:val="24"/>
          <w:highlight w:val="none"/>
        </w:rPr>
      </w:pPr>
    </w:p>
    <w:p w14:paraId="48EE6190">
      <w:pPr>
        <w:spacing w:line="380" w:lineRule="exact"/>
        <w:jc w:val="center"/>
        <w:rPr>
          <w:rFonts w:ascii="宋体" w:hAnsi="宋体"/>
          <w:b/>
          <w:sz w:val="24"/>
          <w:highlight w:val="none"/>
        </w:rPr>
      </w:pPr>
      <w:r>
        <w:rPr>
          <w:rFonts w:hint="eastAsia"/>
          <w:sz w:val="24"/>
          <w:highlight w:val="none"/>
        </w:rPr>
        <w:t>三</w:t>
      </w:r>
      <w:r>
        <w:rPr>
          <w:sz w:val="24"/>
          <w:highlight w:val="none"/>
        </w:rPr>
        <w:t>、</w:t>
      </w:r>
      <w:r>
        <w:rPr>
          <w:rFonts w:hint="eastAsia" w:ascii="宋体" w:hAnsi="宋体"/>
          <w:b/>
          <w:sz w:val="24"/>
          <w:highlight w:val="none"/>
        </w:rPr>
        <w:t>响应文件的编制</w:t>
      </w:r>
    </w:p>
    <w:p w14:paraId="40C69AB0">
      <w:pPr>
        <w:spacing w:line="380" w:lineRule="exact"/>
        <w:ind w:firstLine="482" w:firstLineChars="200"/>
        <w:rPr>
          <w:rFonts w:ascii="宋体" w:hAnsi="宋体" w:cs="宋体"/>
          <w:b/>
          <w:bCs/>
          <w:sz w:val="24"/>
          <w:highlight w:val="none"/>
        </w:rPr>
      </w:pPr>
      <w:r>
        <w:rPr>
          <w:rFonts w:hint="eastAsia" w:ascii="宋体" w:hAnsi="宋体" w:cs="宋体"/>
          <w:b/>
          <w:bCs/>
          <w:sz w:val="24"/>
          <w:highlight w:val="none"/>
        </w:rPr>
        <w:t>11.响应文件的编制原则</w:t>
      </w:r>
    </w:p>
    <w:p w14:paraId="6473C143">
      <w:pPr>
        <w:spacing w:line="380" w:lineRule="exact"/>
        <w:ind w:firstLine="420" w:firstLineChars="200"/>
        <w:rPr>
          <w:rFonts w:ascii="宋体" w:hAnsi="宋体" w:cs="宋体"/>
          <w:szCs w:val="21"/>
          <w:highlight w:val="none"/>
        </w:rPr>
      </w:pPr>
      <w:r>
        <w:rPr>
          <w:rFonts w:hint="eastAsia" w:ascii="宋体" w:hAnsi="宋体" w:cs="宋体"/>
          <w:szCs w:val="21"/>
          <w:highlight w:val="none"/>
        </w:rPr>
        <w:t>供应商必须按照谈判文件的要求编制响应文件，并对其提交的响应文件的真实性、合法性承担法律责任。响应文件必须对谈判文件作出实质性响应。</w:t>
      </w:r>
    </w:p>
    <w:p w14:paraId="29584E45">
      <w:pPr>
        <w:spacing w:line="380" w:lineRule="exact"/>
        <w:ind w:firstLine="482" w:firstLineChars="200"/>
        <w:rPr>
          <w:rFonts w:ascii="宋体" w:hAnsi="宋体" w:cs="宋体"/>
          <w:b/>
          <w:bCs/>
          <w:sz w:val="24"/>
          <w:highlight w:val="none"/>
        </w:rPr>
      </w:pPr>
      <w:r>
        <w:rPr>
          <w:rFonts w:hint="eastAsia" w:ascii="宋体" w:hAnsi="宋体" w:cs="宋体"/>
          <w:b/>
          <w:bCs/>
          <w:sz w:val="24"/>
          <w:highlight w:val="none"/>
        </w:rPr>
        <w:t>12.响应文件的组成</w:t>
      </w:r>
    </w:p>
    <w:p w14:paraId="53608BE3">
      <w:pPr>
        <w:spacing w:line="380" w:lineRule="exact"/>
        <w:ind w:firstLine="424" w:firstLineChars="202"/>
        <w:rPr>
          <w:rFonts w:ascii="宋体"/>
          <w:szCs w:val="21"/>
          <w:highlight w:val="none"/>
        </w:rPr>
      </w:pPr>
      <w:r>
        <w:rPr>
          <w:rFonts w:hint="eastAsia" w:ascii="宋体"/>
          <w:szCs w:val="21"/>
          <w:highlight w:val="none"/>
        </w:rPr>
        <w:t>12.1响应文件由资格证明文件、报价商务技术文件两部分组成。</w:t>
      </w:r>
    </w:p>
    <w:p w14:paraId="074B3A0E">
      <w:pPr>
        <w:spacing w:line="380" w:lineRule="exact"/>
        <w:ind w:firstLine="424" w:firstLineChars="202"/>
        <w:rPr>
          <w:rFonts w:ascii="宋体"/>
          <w:szCs w:val="21"/>
          <w:highlight w:val="none"/>
        </w:rPr>
      </w:pPr>
      <w:r>
        <w:rPr>
          <w:rFonts w:hint="eastAsia" w:ascii="宋体"/>
          <w:szCs w:val="21"/>
          <w:highlight w:val="none"/>
        </w:rPr>
        <w:t>12.1.1资格证明文件：详见须知前附表</w:t>
      </w:r>
    </w:p>
    <w:p w14:paraId="2FE8D074">
      <w:pPr>
        <w:spacing w:line="380" w:lineRule="exact"/>
        <w:ind w:firstLine="424" w:firstLineChars="202"/>
        <w:rPr>
          <w:rFonts w:ascii="宋体"/>
          <w:szCs w:val="21"/>
          <w:highlight w:val="none"/>
        </w:rPr>
      </w:pPr>
      <w:r>
        <w:rPr>
          <w:rFonts w:hint="eastAsia" w:ascii="宋体"/>
          <w:szCs w:val="21"/>
          <w:highlight w:val="none"/>
        </w:rPr>
        <w:t>12.1.2报价商务技术文件：详见须知前附表</w:t>
      </w:r>
    </w:p>
    <w:p w14:paraId="67106727">
      <w:pPr>
        <w:spacing w:line="380" w:lineRule="exact"/>
        <w:ind w:firstLine="424" w:firstLineChars="202"/>
        <w:rPr>
          <w:rFonts w:ascii="宋体"/>
          <w:szCs w:val="21"/>
          <w:highlight w:val="none"/>
        </w:rPr>
      </w:pPr>
      <w:r>
        <w:rPr>
          <w:rFonts w:hint="eastAsia" w:ascii="宋体"/>
          <w:szCs w:val="21"/>
          <w:highlight w:val="none"/>
        </w:rPr>
        <w:t>12.2响应文件电子版：详见须知前附表</w:t>
      </w:r>
    </w:p>
    <w:p w14:paraId="403C7AB7">
      <w:pPr>
        <w:spacing w:line="380" w:lineRule="exact"/>
        <w:ind w:firstLine="482" w:firstLineChars="200"/>
        <w:rPr>
          <w:rFonts w:ascii="宋体" w:hAnsi="宋体" w:cs="宋体"/>
          <w:b/>
          <w:bCs/>
          <w:sz w:val="24"/>
          <w:highlight w:val="none"/>
        </w:rPr>
      </w:pPr>
      <w:r>
        <w:rPr>
          <w:rFonts w:hint="eastAsia" w:ascii="宋体" w:hAnsi="宋体" w:cs="宋体"/>
          <w:b/>
          <w:bCs/>
          <w:sz w:val="24"/>
          <w:highlight w:val="none"/>
        </w:rPr>
        <w:t>13.计量单位</w:t>
      </w:r>
    </w:p>
    <w:p w14:paraId="5571BEEC">
      <w:pPr>
        <w:spacing w:line="380" w:lineRule="exact"/>
        <w:ind w:firstLine="420" w:firstLineChars="200"/>
        <w:rPr>
          <w:rFonts w:ascii="宋体" w:hAnsi="宋体" w:cs="宋体"/>
          <w:szCs w:val="21"/>
          <w:highlight w:val="none"/>
        </w:rPr>
      </w:pPr>
      <w:r>
        <w:rPr>
          <w:rFonts w:hint="eastAsia" w:ascii="宋体" w:hAnsi="宋体" w:cs="宋体"/>
          <w:szCs w:val="21"/>
          <w:highlight w:val="none"/>
        </w:rPr>
        <w:t>谈判文件已有明确规定的，使用谈判文件规定的计量单位；谈判文件没有规定的，应采用中华人民共和国法定计量单位，货币种类为人民币，否则视同未响应。</w:t>
      </w:r>
    </w:p>
    <w:p w14:paraId="270137E6">
      <w:pPr>
        <w:spacing w:line="380" w:lineRule="exact"/>
        <w:ind w:firstLine="482" w:firstLineChars="200"/>
        <w:rPr>
          <w:rFonts w:ascii="宋体" w:hAnsi="宋体" w:cs="宋体"/>
          <w:b/>
          <w:bCs/>
          <w:sz w:val="24"/>
          <w:highlight w:val="none"/>
        </w:rPr>
      </w:pPr>
      <w:r>
        <w:rPr>
          <w:rFonts w:hint="eastAsia" w:ascii="宋体" w:hAnsi="宋体" w:cs="宋体"/>
          <w:b/>
          <w:bCs/>
          <w:sz w:val="24"/>
          <w:highlight w:val="none"/>
        </w:rPr>
        <w:t>14.竞标的风险</w:t>
      </w:r>
    </w:p>
    <w:p w14:paraId="52E5B656">
      <w:pPr>
        <w:spacing w:line="380" w:lineRule="exact"/>
        <w:ind w:firstLine="420" w:firstLineChars="200"/>
        <w:rPr>
          <w:rFonts w:ascii="宋体" w:hAnsi="宋体" w:cs="宋体"/>
          <w:szCs w:val="21"/>
          <w:highlight w:val="none"/>
        </w:rPr>
      </w:pPr>
      <w:r>
        <w:rPr>
          <w:rFonts w:hint="eastAsia" w:ascii="宋体" w:hAnsi="宋体" w:cs="宋体"/>
          <w:szCs w:val="21"/>
          <w:highlight w:val="none"/>
        </w:rPr>
        <w:t>供应商没有按照谈判文件要求提供全部资料，或者供应商没有对谈判文件在各方面作出实质性响应可能导致其响应文件按无效响应处理，是供应商应当考虑的风险。</w:t>
      </w:r>
    </w:p>
    <w:p w14:paraId="6995C0EF">
      <w:pPr>
        <w:spacing w:line="380" w:lineRule="exact"/>
        <w:ind w:firstLine="482" w:firstLineChars="200"/>
        <w:rPr>
          <w:rFonts w:ascii="宋体" w:hAnsi="宋体" w:cs="宋体"/>
          <w:b/>
          <w:bCs/>
          <w:sz w:val="24"/>
          <w:highlight w:val="none"/>
        </w:rPr>
      </w:pPr>
      <w:r>
        <w:rPr>
          <w:rFonts w:hint="eastAsia" w:ascii="宋体" w:hAnsi="宋体" w:cs="宋体"/>
          <w:b/>
          <w:bCs/>
          <w:sz w:val="24"/>
          <w:highlight w:val="none"/>
        </w:rPr>
        <w:t>15.竞标报价</w:t>
      </w:r>
    </w:p>
    <w:p w14:paraId="556FFFE5">
      <w:pPr>
        <w:spacing w:line="380" w:lineRule="exact"/>
        <w:ind w:firstLine="420" w:firstLineChars="200"/>
        <w:rPr>
          <w:rFonts w:ascii="宋体" w:hAnsi="宋体" w:cs="宋体"/>
          <w:szCs w:val="21"/>
          <w:highlight w:val="none"/>
        </w:rPr>
      </w:pPr>
      <w:r>
        <w:rPr>
          <w:rFonts w:hint="eastAsia" w:ascii="宋体" w:hAnsi="宋体" w:cs="宋体"/>
          <w:szCs w:val="21"/>
          <w:highlight w:val="none"/>
        </w:rPr>
        <w:t>15.1竞标报价应按谈判文件中“谈判报价表”格式填写。</w:t>
      </w:r>
    </w:p>
    <w:p w14:paraId="1CF3EBB4">
      <w:pPr>
        <w:tabs>
          <w:tab w:val="left" w:pos="2492"/>
        </w:tabs>
        <w:spacing w:line="380" w:lineRule="exact"/>
        <w:ind w:firstLine="420" w:firstLineChars="200"/>
        <w:rPr>
          <w:rFonts w:ascii="宋体" w:hAnsi="宋体" w:cs="宋体"/>
          <w:szCs w:val="21"/>
          <w:highlight w:val="none"/>
        </w:rPr>
      </w:pPr>
      <w:r>
        <w:rPr>
          <w:rFonts w:hint="eastAsia" w:ascii="宋体" w:hAnsi="宋体" w:cs="宋体"/>
          <w:szCs w:val="21"/>
          <w:highlight w:val="none"/>
        </w:rPr>
        <w:t>15.2竞标报价的价格</w:t>
      </w:r>
      <w:r>
        <w:rPr>
          <w:rFonts w:ascii="宋体" w:hAnsi="宋体" w:cs="宋体"/>
          <w:szCs w:val="21"/>
          <w:highlight w:val="none"/>
        </w:rPr>
        <w:t>构成</w:t>
      </w:r>
      <w:r>
        <w:rPr>
          <w:rFonts w:hint="eastAsia" w:ascii="宋体" w:hAnsi="宋体" w:cs="宋体"/>
          <w:szCs w:val="21"/>
          <w:highlight w:val="none"/>
        </w:rPr>
        <w:t>详见“供应商须知前附表”。</w:t>
      </w:r>
    </w:p>
    <w:p w14:paraId="462E23A8">
      <w:pPr>
        <w:spacing w:line="380" w:lineRule="exact"/>
        <w:ind w:left="426" w:leftChars="203"/>
        <w:rPr>
          <w:rFonts w:ascii="宋体" w:hAnsi="宋体" w:cs="宋体"/>
          <w:szCs w:val="21"/>
          <w:highlight w:val="none"/>
        </w:rPr>
      </w:pPr>
      <w:r>
        <w:rPr>
          <w:rFonts w:hint="eastAsia" w:ascii="宋体" w:hAnsi="宋体" w:cs="宋体"/>
          <w:szCs w:val="21"/>
          <w:highlight w:val="none"/>
        </w:rPr>
        <w:t>15.3竞标报价要求</w:t>
      </w:r>
    </w:p>
    <w:p w14:paraId="6DACE46F">
      <w:pPr>
        <w:spacing w:line="380" w:lineRule="exact"/>
        <w:ind w:firstLine="420" w:firstLineChars="200"/>
        <w:rPr>
          <w:rFonts w:ascii="宋体" w:hAnsi="宋体" w:cs="宋体"/>
          <w:szCs w:val="21"/>
          <w:highlight w:val="none"/>
        </w:rPr>
      </w:pPr>
      <w:r>
        <w:rPr>
          <w:rFonts w:hint="eastAsia" w:ascii="宋体" w:hAnsi="宋体" w:cs="宋体"/>
          <w:szCs w:val="21"/>
          <w:highlight w:val="none"/>
        </w:rPr>
        <w:t>1</w:t>
      </w:r>
      <w:r>
        <w:rPr>
          <w:rFonts w:ascii="宋体" w:hAnsi="宋体" w:cs="宋体"/>
          <w:szCs w:val="21"/>
          <w:highlight w:val="none"/>
        </w:rPr>
        <w:t>5.3.1</w:t>
      </w:r>
      <w:r>
        <w:rPr>
          <w:rFonts w:hint="eastAsia" w:ascii="宋体" w:hAnsi="宋体" w:cs="宋体"/>
          <w:szCs w:val="21"/>
          <w:highlight w:val="none"/>
        </w:rPr>
        <w:t>供应商的竞标报价应符合以下要求，否则响应文件按无效响应处理：</w:t>
      </w:r>
    </w:p>
    <w:p w14:paraId="25A87BAE">
      <w:pPr>
        <w:spacing w:line="380" w:lineRule="exact"/>
        <w:ind w:firstLine="420" w:firstLineChars="200"/>
        <w:rPr>
          <w:rFonts w:ascii="宋体" w:hAnsi="宋体" w:cs="宋体"/>
          <w:szCs w:val="21"/>
          <w:highlight w:val="none"/>
        </w:rPr>
      </w:pPr>
      <w:r>
        <w:rPr>
          <w:rFonts w:hint="eastAsia" w:ascii="宋体" w:hAnsi="宋体" w:cs="宋体"/>
          <w:szCs w:val="21"/>
          <w:highlight w:val="none"/>
        </w:rPr>
        <w:t>（1）供应商必须就“采购需求”中所竞标的每个分标的全部内容分别作完整唯一总价报价，不得存在漏项报价；</w:t>
      </w:r>
    </w:p>
    <w:p w14:paraId="79DC164C">
      <w:pPr>
        <w:spacing w:line="380" w:lineRule="exact"/>
        <w:ind w:firstLine="420" w:firstLineChars="200"/>
        <w:rPr>
          <w:rFonts w:ascii="宋体" w:hAnsi="宋体" w:cs="宋体"/>
          <w:szCs w:val="21"/>
          <w:highlight w:val="none"/>
        </w:rPr>
      </w:pPr>
      <w:r>
        <w:rPr>
          <w:rFonts w:hint="eastAsia" w:ascii="宋体" w:hAnsi="宋体" w:cs="宋体"/>
          <w:szCs w:val="21"/>
          <w:highlight w:val="none"/>
        </w:rPr>
        <w:t>（2）供应商必须就所竞标的单项内容作唯一报价。</w:t>
      </w:r>
    </w:p>
    <w:p w14:paraId="2C0C65CF">
      <w:pPr>
        <w:spacing w:line="380" w:lineRule="exact"/>
        <w:ind w:firstLine="420" w:firstLineChars="200"/>
        <w:rPr>
          <w:rFonts w:ascii="宋体" w:hAnsi="宋体" w:cs="宋体"/>
          <w:szCs w:val="21"/>
          <w:highlight w:val="none"/>
        </w:rPr>
      </w:pPr>
      <w:r>
        <w:rPr>
          <w:rFonts w:hint="eastAsia" w:ascii="宋体" w:hAnsi="宋体" w:cs="宋体"/>
          <w:szCs w:val="21"/>
          <w:highlight w:val="none"/>
        </w:rPr>
        <w:t>15.3.2供应商报价（包含首次报价、最后报价）超过所竞标规定的采购预算金额或者最高限价的，其电子响应文件将作无效处理。</w:t>
      </w:r>
    </w:p>
    <w:p w14:paraId="082D2D47">
      <w:pPr>
        <w:spacing w:line="380" w:lineRule="exact"/>
        <w:ind w:firstLine="420" w:firstLineChars="200"/>
        <w:rPr>
          <w:rFonts w:hint="eastAsia" w:ascii="宋体" w:hAnsi="宋体" w:cs="宋体"/>
          <w:szCs w:val="21"/>
          <w:highlight w:val="none"/>
        </w:rPr>
      </w:pPr>
      <w:r>
        <w:rPr>
          <w:rFonts w:ascii="宋体" w:hAnsi="宋体" w:cs="宋体"/>
          <w:szCs w:val="21"/>
          <w:highlight w:val="none"/>
        </w:rPr>
        <w:t>15.3.3</w:t>
      </w:r>
      <w:r>
        <w:rPr>
          <w:rFonts w:hint="eastAsia" w:ascii="宋体" w:hAnsi="宋体" w:cs="宋体"/>
          <w:szCs w:val="21"/>
          <w:highlight w:val="none"/>
        </w:rPr>
        <w:t xml:space="preserve"> 供应商应在谈判报价表上标明单价和总价。大写金额和小写金额不一致的，以大写金额为准；总价金额与按单价汇总金额不一致的，以单价金额计算结果为准；单价金额小数点有明显错位的，应以总价为准，并修改单价；对不同文字文本响应文件的解释发生异议的，以中文文本为准。除上述原因以外，如果因供应商原因引起的报价失误，并在谈判时被接受，其后果由供应商自负。</w:t>
      </w:r>
    </w:p>
    <w:p w14:paraId="6C1A6D8D">
      <w:pPr>
        <w:spacing w:line="380" w:lineRule="exact"/>
        <w:ind w:firstLine="420" w:firstLineChars="200"/>
        <w:rPr>
          <w:rFonts w:ascii="宋体" w:hAnsi="宋体" w:cs="宋体"/>
          <w:szCs w:val="21"/>
          <w:highlight w:val="none"/>
        </w:rPr>
      </w:pPr>
      <w:r>
        <w:rPr>
          <w:highlight w:val="none"/>
        </w:rPr>
        <w:t>15.3.4</w:t>
      </w:r>
      <w:r>
        <w:rPr>
          <w:rFonts w:hint="eastAsia"/>
          <w:highlight w:val="none"/>
        </w:rPr>
        <w:t>在</w:t>
      </w:r>
      <w:r>
        <w:rPr>
          <w:rFonts w:hint="eastAsia"/>
          <w:highlight w:val="none"/>
          <w:lang w:val="en-US" w:eastAsia="zh-CN"/>
        </w:rPr>
        <w:t>谈判</w:t>
      </w:r>
      <w:r>
        <w:rPr>
          <w:rFonts w:hint="eastAsia"/>
          <w:highlight w:val="none"/>
        </w:rPr>
        <w:t>过程中，供应商二次及以后报价应采用已标价</w:t>
      </w:r>
      <w:r>
        <w:rPr>
          <w:rFonts w:hint="eastAsia"/>
          <w:highlight w:val="none"/>
          <w:lang w:val="en-US" w:eastAsia="zh-CN"/>
        </w:rPr>
        <w:t>的报价表</w:t>
      </w:r>
      <w:r>
        <w:rPr>
          <w:rFonts w:hint="eastAsia"/>
          <w:highlight w:val="none"/>
        </w:rPr>
        <w:t>方式报价，</w:t>
      </w:r>
      <w:r>
        <w:rPr>
          <w:rFonts w:hint="eastAsia"/>
          <w:highlight w:val="none"/>
          <w:lang w:val="en-US" w:eastAsia="zh-CN"/>
        </w:rPr>
        <w:t>谈判</w:t>
      </w:r>
      <w:r>
        <w:rPr>
          <w:rFonts w:hint="eastAsia"/>
          <w:highlight w:val="none"/>
        </w:rPr>
        <w:t>供应商应预先准备好调整后的已标价</w:t>
      </w:r>
      <w:r>
        <w:rPr>
          <w:rFonts w:hint="eastAsia"/>
          <w:highlight w:val="none"/>
          <w:lang w:val="en-US" w:eastAsia="zh-CN"/>
        </w:rPr>
        <w:t>的报价表</w:t>
      </w:r>
      <w:r>
        <w:rPr>
          <w:rFonts w:hint="eastAsia"/>
          <w:highlight w:val="none"/>
        </w:rPr>
        <w:t>作为应答文件的一部分一并上传递交。</w:t>
      </w:r>
      <w:r>
        <w:rPr>
          <w:rFonts w:hint="eastAsia"/>
          <w:b/>
          <w:bCs/>
          <w:highlight w:val="none"/>
        </w:rPr>
        <w:t>（二次及以后报价总价有变动时须上传调整后的已标价</w:t>
      </w:r>
      <w:r>
        <w:rPr>
          <w:rFonts w:hint="eastAsia"/>
          <w:b/>
          <w:bCs/>
          <w:highlight w:val="none"/>
          <w:lang w:val="en-US" w:eastAsia="zh-CN"/>
        </w:rPr>
        <w:t>的报价表</w:t>
      </w:r>
      <w:r>
        <w:rPr>
          <w:rFonts w:hint="eastAsia"/>
          <w:b/>
          <w:bCs/>
          <w:highlight w:val="none"/>
        </w:rPr>
        <w:t>，否则，该竞标报价将被视为无效。）</w:t>
      </w:r>
    </w:p>
    <w:p w14:paraId="47D35C11">
      <w:pPr>
        <w:spacing w:line="380" w:lineRule="exact"/>
        <w:ind w:firstLine="482" w:firstLineChars="200"/>
        <w:rPr>
          <w:rFonts w:ascii="宋体" w:hAnsi="宋体" w:cs="宋体"/>
          <w:b/>
          <w:bCs/>
          <w:sz w:val="24"/>
          <w:highlight w:val="none"/>
        </w:rPr>
      </w:pPr>
      <w:r>
        <w:rPr>
          <w:rFonts w:hint="eastAsia" w:ascii="宋体" w:hAnsi="宋体" w:cs="宋体"/>
          <w:b/>
          <w:bCs/>
          <w:sz w:val="24"/>
          <w:highlight w:val="none"/>
        </w:rPr>
        <w:t>16.竞标有效期</w:t>
      </w:r>
    </w:p>
    <w:p w14:paraId="4C816BA3">
      <w:pPr>
        <w:spacing w:line="380" w:lineRule="exact"/>
        <w:ind w:firstLine="420" w:firstLineChars="200"/>
        <w:rPr>
          <w:rFonts w:ascii="宋体" w:hAnsi="宋体" w:cs="宋体"/>
          <w:szCs w:val="21"/>
          <w:highlight w:val="none"/>
        </w:rPr>
      </w:pPr>
      <w:r>
        <w:rPr>
          <w:rFonts w:hint="eastAsia" w:ascii="宋体" w:hAnsi="宋体" w:cs="宋体"/>
          <w:szCs w:val="21"/>
          <w:highlight w:val="none"/>
        </w:rPr>
        <w:t>16.1竞标有效期是指为保证采购人有足够的时间在提交响应文件后完成评审、确定成交供应商、合同签订等工作而要求供应商提交的响应文件在一定时间内保持有效的期限。</w:t>
      </w:r>
    </w:p>
    <w:p w14:paraId="2A627C86">
      <w:pPr>
        <w:spacing w:line="380" w:lineRule="exact"/>
        <w:ind w:firstLine="420" w:firstLineChars="200"/>
        <w:rPr>
          <w:rFonts w:ascii="宋体" w:hAnsi="宋体" w:cs="宋体"/>
          <w:szCs w:val="21"/>
          <w:highlight w:val="none"/>
        </w:rPr>
      </w:pPr>
      <w:r>
        <w:rPr>
          <w:rFonts w:hint="eastAsia" w:ascii="宋体" w:hAnsi="宋体" w:cs="宋体"/>
          <w:szCs w:val="21"/>
          <w:highlight w:val="none"/>
        </w:rPr>
        <w:t>16.2 竞标有效期详见 “供应商须知前附表”。</w:t>
      </w:r>
    </w:p>
    <w:p w14:paraId="5444851D">
      <w:pPr>
        <w:spacing w:line="380" w:lineRule="exact"/>
        <w:ind w:firstLine="420" w:firstLineChars="200"/>
        <w:rPr>
          <w:rFonts w:ascii="宋体" w:hAnsi="宋体" w:cs="宋体"/>
          <w:szCs w:val="21"/>
          <w:highlight w:val="none"/>
        </w:rPr>
      </w:pPr>
      <w:r>
        <w:rPr>
          <w:rFonts w:hint="eastAsia" w:ascii="宋体" w:hAnsi="宋体" w:cs="宋体"/>
          <w:szCs w:val="21"/>
          <w:highlight w:val="none"/>
        </w:rPr>
        <w:t>16.3供应商的响应文件在竞标有效期内均保持有效。</w:t>
      </w:r>
    </w:p>
    <w:p w14:paraId="549C4584">
      <w:pPr>
        <w:spacing w:line="380" w:lineRule="exact"/>
        <w:ind w:firstLine="482" w:firstLineChars="200"/>
        <w:rPr>
          <w:rFonts w:ascii="宋体" w:hAnsi="宋体" w:cs="宋体"/>
          <w:b/>
          <w:bCs/>
          <w:sz w:val="24"/>
          <w:highlight w:val="none"/>
        </w:rPr>
      </w:pPr>
      <w:r>
        <w:rPr>
          <w:rFonts w:hint="eastAsia" w:ascii="宋体" w:hAnsi="宋体" w:cs="宋体"/>
          <w:b/>
          <w:bCs/>
          <w:sz w:val="24"/>
          <w:highlight w:val="none"/>
        </w:rPr>
        <w:t>17.竞标保证金</w:t>
      </w:r>
    </w:p>
    <w:p w14:paraId="3A05FAA0">
      <w:pPr>
        <w:spacing w:line="380" w:lineRule="exact"/>
        <w:ind w:left="420" w:leftChars="200"/>
        <w:rPr>
          <w:rFonts w:ascii="宋体" w:hAnsi="宋体" w:cs="宋体"/>
          <w:szCs w:val="21"/>
          <w:highlight w:val="none"/>
        </w:rPr>
      </w:pPr>
      <w:r>
        <w:rPr>
          <w:rFonts w:hint="eastAsia" w:ascii="宋体" w:hAnsi="宋体" w:cs="宋体"/>
          <w:szCs w:val="21"/>
          <w:highlight w:val="none"/>
        </w:rPr>
        <w:t>17.1供应商须按“供应商须知前附表”的规定提交竞标保证金。</w:t>
      </w:r>
    </w:p>
    <w:p w14:paraId="0EC223BC">
      <w:pPr>
        <w:spacing w:line="380" w:lineRule="exact"/>
        <w:ind w:left="420" w:leftChars="200"/>
        <w:rPr>
          <w:rFonts w:ascii="宋体" w:hAnsi="宋体" w:cs="宋体"/>
          <w:szCs w:val="21"/>
          <w:highlight w:val="none"/>
        </w:rPr>
      </w:pPr>
      <w:r>
        <w:rPr>
          <w:rFonts w:hint="eastAsia" w:ascii="宋体" w:hAnsi="宋体" w:cs="宋体"/>
          <w:szCs w:val="21"/>
          <w:highlight w:val="none"/>
        </w:rPr>
        <w:t>17.2竞标保证金的退还</w:t>
      </w:r>
    </w:p>
    <w:p w14:paraId="1A0CE408">
      <w:pPr>
        <w:spacing w:line="380" w:lineRule="exact"/>
        <w:ind w:firstLine="420" w:firstLineChars="200"/>
        <w:rPr>
          <w:rFonts w:ascii="宋体" w:hAnsi="宋体" w:cs="宋体"/>
          <w:szCs w:val="21"/>
          <w:highlight w:val="none"/>
        </w:rPr>
      </w:pPr>
      <w:r>
        <w:rPr>
          <w:rFonts w:hint="eastAsia" w:ascii="宋体" w:hAnsi="宋体" w:cs="宋体"/>
          <w:szCs w:val="21"/>
          <w:highlight w:val="none"/>
        </w:rPr>
        <w:t>未</w:t>
      </w:r>
      <w:r>
        <w:rPr>
          <w:rFonts w:hint="eastAsia" w:ascii="宋体" w:hAnsi="宋体" w:cs="宋体"/>
          <w:spacing w:val="-6"/>
          <w:szCs w:val="21"/>
          <w:highlight w:val="none"/>
        </w:rPr>
        <w:t>成交供应商的竞标保证金自成交通知书发出之日起4个工作日内退还</w:t>
      </w:r>
      <w:r>
        <w:rPr>
          <w:rFonts w:hint="eastAsia" w:ascii="宋体" w:hAnsi="宋体"/>
          <w:szCs w:val="21"/>
          <w:highlight w:val="none"/>
        </w:rPr>
        <w:t>；</w:t>
      </w:r>
      <w:r>
        <w:rPr>
          <w:rFonts w:hint="eastAsia" w:ascii="宋体" w:hAnsi="宋体" w:cs="宋体"/>
          <w:szCs w:val="21"/>
          <w:highlight w:val="none"/>
        </w:rPr>
        <w:t xml:space="preserve">成交供应商的竞标保证金自签订合同之日起4个工作日内退还。 </w:t>
      </w:r>
    </w:p>
    <w:p w14:paraId="728E792C">
      <w:pPr>
        <w:spacing w:line="380" w:lineRule="exact"/>
        <w:ind w:left="420" w:leftChars="200"/>
        <w:rPr>
          <w:rFonts w:ascii="宋体" w:hAnsi="宋体" w:cs="宋体"/>
          <w:szCs w:val="21"/>
          <w:highlight w:val="none"/>
        </w:rPr>
      </w:pPr>
      <w:r>
        <w:rPr>
          <w:rFonts w:hint="eastAsia" w:ascii="宋体" w:hAnsi="宋体" w:cs="宋体"/>
          <w:szCs w:val="21"/>
          <w:highlight w:val="none"/>
        </w:rPr>
        <w:t>17.3竞标保证金不计息。</w:t>
      </w:r>
    </w:p>
    <w:p w14:paraId="47A9CE30">
      <w:pPr>
        <w:spacing w:line="380" w:lineRule="exact"/>
        <w:ind w:left="420" w:leftChars="200"/>
        <w:rPr>
          <w:rFonts w:ascii="宋体" w:hAnsi="宋体" w:cs="宋体"/>
          <w:szCs w:val="21"/>
          <w:highlight w:val="none"/>
        </w:rPr>
      </w:pPr>
      <w:r>
        <w:rPr>
          <w:rFonts w:hint="eastAsia" w:ascii="宋体" w:hAnsi="宋体" w:cs="宋体"/>
          <w:szCs w:val="21"/>
          <w:highlight w:val="none"/>
        </w:rPr>
        <w:t xml:space="preserve">17.4供应商有下列情形之一的，竞标保证金将不予退还： </w:t>
      </w:r>
    </w:p>
    <w:p w14:paraId="145FCA44">
      <w:pPr>
        <w:spacing w:line="380" w:lineRule="exact"/>
        <w:ind w:left="420" w:leftChars="200"/>
        <w:rPr>
          <w:rFonts w:ascii="宋体" w:hAnsi="宋体" w:cs="宋体"/>
          <w:szCs w:val="21"/>
          <w:highlight w:val="none"/>
        </w:rPr>
      </w:pPr>
      <w:r>
        <w:rPr>
          <w:rFonts w:hint="eastAsia" w:ascii="宋体" w:hAnsi="宋体" w:cs="宋体"/>
          <w:szCs w:val="21"/>
          <w:highlight w:val="none"/>
        </w:rPr>
        <w:t>（1）供应商在提交首次响应文件截止时间后撤回响应文件的；</w:t>
      </w:r>
    </w:p>
    <w:p w14:paraId="24110C76">
      <w:pPr>
        <w:spacing w:line="380" w:lineRule="exact"/>
        <w:ind w:left="420" w:leftChars="200"/>
        <w:rPr>
          <w:rFonts w:ascii="宋体" w:hAnsi="宋体" w:cs="宋体"/>
          <w:szCs w:val="21"/>
          <w:highlight w:val="none"/>
        </w:rPr>
      </w:pPr>
      <w:r>
        <w:rPr>
          <w:rFonts w:hint="eastAsia" w:ascii="宋体" w:hAnsi="宋体"/>
          <w:szCs w:val="21"/>
          <w:highlight w:val="none"/>
        </w:rPr>
        <w:t>（2）未按规定提交履约保证金的；</w:t>
      </w:r>
    </w:p>
    <w:p w14:paraId="281AD95D">
      <w:pPr>
        <w:spacing w:line="380" w:lineRule="exact"/>
        <w:ind w:left="420" w:leftChars="200"/>
        <w:rPr>
          <w:rFonts w:ascii="宋体" w:hAnsi="宋体" w:cs="宋体"/>
          <w:szCs w:val="21"/>
          <w:highlight w:val="none"/>
        </w:rPr>
      </w:pPr>
      <w:r>
        <w:rPr>
          <w:rFonts w:hint="eastAsia" w:ascii="宋体" w:hAnsi="宋体" w:cs="宋体"/>
          <w:szCs w:val="21"/>
          <w:highlight w:val="none"/>
        </w:rPr>
        <w:t>（3）供应商在响应文件中提供虚假材料的；</w:t>
      </w:r>
    </w:p>
    <w:p w14:paraId="13158644">
      <w:pPr>
        <w:spacing w:line="380" w:lineRule="exact"/>
        <w:ind w:firstLine="420" w:firstLineChars="200"/>
        <w:rPr>
          <w:rFonts w:ascii="宋体" w:hAnsi="宋体" w:cs="宋体"/>
          <w:szCs w:val="21"/>
          <w:highlight w:val="none"/>
        </w:rPr>
      </w:pPr>
      <w:r>
        <w:rPr>
          <w:rFonts w:hint="eastAsia" w:ascii="宋体" w:hAnsi="宋体" w:cs="宋体"/>
          <w:szCs w:val="21"/>
          <w:highlight w:val="none"/>
        </w:rPr>
        <w:t>（4）除因不可抗力或者谈判文件认可的情形以外，成交供应商不与采购人签订合同的；</w:t>
      </w:r>
    </w:p>
    <w:p w14:paraId="05F7E874">
      <w:pPr>
        <w:spacing w:line="380" w:lineRule="exact"/>
        <w:ind w:left="420" w:leftChars="200"/>
        <w:rPr>
          <w:rFonts w:ascii="宋体" w:hAnsi="宋体" w:cs="宋体"/>
          <w:szCs w:val="21"/>
          <w:highlight w:val="none"/>
        </w:rPr>
      </w:pPr>
      <w:r>
        <w:rPr>
          <w:rFonts w:hint="eastAsia" w:ascii="宋体" w:hAnsi="宋体" w:cs="宋体"/>
          <w:szCs w:val="21"/>
          <w:highlight w:val="none"/>
        </w:rPr>
        <w:t>（5）供应商与采购人、其他供应商或者采购代理机构恶意串通的；</w:t>
      </w:r>
    </w:p>
    <w:p w14:paraId="6D6BF3AA">
      <w:pPr>
        <w:spacing w:line="380" w:lineRule="exact"/>
        <w:ind w:left="420" w:leftChars="200"/>
        <w:rPr>
          <w:rFonts w:ascii="宋体" w:hAnsi="宋体" w:cs="宋体"/>
          <w:szCs w:val="21"/>
          <w:highlight w:val="none"/>
        </w:rPr>
      </w:pPr>
      <w:r>
        <w:rPr>
          <w:rFonts w:hint="eastAsia" w:ascii="宋体" w:hAnsi="宋体" w:cs="宋体"/>
          <w:szCs w:val="21"/>
          <w:highlight w:val="none"/>
        </w:rPr>
        <w:t>（6）法律法规规定的其他情形。</w:t>
      </w:r>
    </w:p>
    <w:p w14:paraId="678E60ED">
      <w:pPr>
        <w:spacing w:line="380" w:lineRule="exact"/>
        <w:ind w:firstLine="482" w:firstLineChars="200"/>
        <w:rPr>
          <w:rFonts w:ascii="宋体" w:hAnsi="宋体" w:cs="宋体"/>
          <w:b/>
          <w:bCs/>
          <w:sz w:val="24"/>
          <w:highlight w:val="none"/>
        </w:rPr>
      </w:pPr>
      <w:r>
        <w:rPr>
          <w:rFonts w:hint="eastAsia" w:ascii="宋体" w:hAnsi="宋体" w:cs="宋体"/>
          <w:b/>
          <w:bCs/>
          <w:sz w:val="24"/>
          <w:highlight w:val="none"/>
        </w:rPr>
        <w:t>18. 响应文件编制的要求</w:t>
      </w:r>
    </w:p>
    <w:p w14:paraId="1A5EE619">
      <w:pPr>
        <w:spacing w:line="380" w:lineRule="exact"/>
        <w:ind w:firstLine="424" w:firstLineChars="202"/>
        <w:rPr>
          <w:rFonts w:ascii="宋体"/>
          <w:szCs w:val="21"/>
          <w:highlight w:val="none"/>
        </w:rPr>
      </w:pPr>
      <w:r>
        <w:rPr>
          <w:rFonts w:hint="eastAsia" w:ascii="宋体"/>
          <w:szCs w:val="21"/>
          <w:highlight w:val="none"/>
        </w:rPr>
        <w:t>18.1电子响应文件中须加盖供应商公章部分均采用 CA 签章，并根据“政府采购项目电子交易管理操作指南-供应商” 及本竞争性采购文件规定的格式和顺序编制电子响应文件并进行关联定位，以便谈判小组在评审时，点击评分项可直接定位到该评分项内容。如对竞争性采购文件的某项要求，供应商的电子响应文件未能关联定位提供相应的内容与其对应，则谈判小组在评审时如做出对供应商不利的评审由供应商自行承担。电子响应文件如内容不完整、编排混乱导致电子响应文件被误读、 漏读，或者在按采购文件规定的部位查找不到相关内容的，由供应商自行承担。</w:t>
      </w:r>
    </w:p>
    <w:p w14:paraId="7C1A20DB">
      <w:pPr>
        <w:spacing w:line="380" w:lineRule="exact"/>
        <w:ind w:firstLine="424" w:firstLineChars="202"/>
        <w:rPr>
          <w:rFonts w:ascii="宋体"/>
          <w:szCs w:val="21"/>
          <w:highlight w:val="none"/>
        </w:rPr>
      </w:pPr>
      <w:r>
        <w:rPr>
          <w:rFonts w:hint="eastAsia" w:ascii="宋体"/>
          <w:szCs w:val="21"/>
          <w:highlight w:val="none"/>
        </w:rPr>
        <w:t>18.2电子响应文件中标注的供应商名称应与主体资格证明（如营业执照、事业单位法人证书、执业许可证、个体工商户营业执照、自然人身份证等）和公章一致，否则其响应文件按无效处理。</w:t>
      </w:r>
    </w:p>
    <w:p w14:paraId="005A44E9">
      <w:pPr>
        <w:spacing w:line="380" w:lineRule="exact"/>
        <w:ind w:firstLine="420" w:firstLineChars="200"/>
        <w:rPr>
          <w:rFonts w:ascii="宋体" w:hAnsi="宋体" w:cs="宋体"/>
          <w:szCs w:val="21"/>
          <w:highlight w:val="none"/>
        </w:rPr>
      </w:pPr>
      <w:r>
        <w:rPr>
          <w:rFonts w:hint="eastAsia" w:ascii="宋体"/>
          <w:szCs w:val="21"/>
          <w:highlight w:val="none"/>
        </w:rPr>
        <w:t>18.3电子响应文件应尽量避免涂改、行间插字或删除。如果出现上述情况，改动之处应由供应商的法定代表人（负责人或自然人）或其委托代理人签字或盖章。电子响应文件因字迹潦草或表达不清所引起的后果由供应商承担。</w:t>
      </w:r>
    </w:p>
    <w:p w14:paraId="2179528B">
      <w:pPr>
        <w:spacing w:line="380" w:lineRule="exact"/>
        <w:ind w:firstLine="480" w:firstLineChars="200"/>
        <w:rPr>
          <w:rFonts w:ascii="黑体" w:hAnsi="黑体" w:eastAsia="黑体" w:cs="宋体"/>
          <w:b/>
          <w:bCs/>
          <w:sz w:val="24"/>
          <w:highlight w:val="none"/>
        </w:rPr>
      </w:pPr>
      <w:r>
        <w:rPr>
          <w:rFonts w:hint="eastAsia" w:ascii="黑体" w:hAnsi="黑体" w:eastAsia="黑体"/>
          <w:sz w:val="24"/>
          <w:highlight w:val="none"/>
        </w:rPr>
        <w:t>19.响应文件的加密、解密</w:t>
      </w:r>
    </w:p>
    <w:p w14:paraId="597B751D">
      <w:pPr>
        <w:spacing w:line="380" w:lineRule="exact"/>
        <w:ind w:firstLine="420" w:firstLineChars="200"/>
        <w:rPr>
          <w:rFonts w:ascii="宋体" w:hAnsi="宋体" w:cs="宋体"/>
          <w:szCs w:val="21"/>
          <w:highlight w:val="none"/>
        </w:rPr>
      </w:pPr>
      <w:r>
        <w:rPr>
          <w:rFonts w:hint="eastAsia" w:ascii="宋体" w:hAnsi="宋体"/>
          <w:szCs w:val="21"/>
          <w:highlight w:val="none"/>
        </w:rPr>
        <w:t>19.1电子</w:t>
      </w:r>
      <w:r>
        <w:rPr>
          <w:rFonts w:hint="eastAsia" w:ascii="宋体" w:hAnsi="宋体" w:cs="宋体"/>
          <w:szCs w:val="21"/>
          <w:highlight w:val="none"/>
        </w:rPr>
        <w:t>响应文件</w:t>
      </w:r>
      <w:r>
        <w:rPr>
          <w:rFonts w:hint="eastAsia" w:ascii="宋体" w:hAnsi="宋体"/>
          <w:szCs w:val="21"/>
          <w:highlight w:val="none"/>
        </w:rPr>
        <w:t>编制完成后，供应商应按“广西政府采购云”平台的要求进行加密，并在规定时间内解密，否则，由此产生的后果由供应商自行负责。</w:t>
      </w:r>
    </w:p>
    <w:p w14:paraId="68B4E32D">
      <w:pPr>
        <w:spacing w:line="380" w:lineRule="exact"/>
        <w:ind w:firstLine="482" w:firstLineChars="200"/>
        <w:rPr>
          <w:rFonts w:ascii="宋体" w:hAnsi="宋体" w:cs="宋体"/>
          <w:b/>
          <w:bCs/>
          <w:sz w:val="24"/>
          <w:highlight w:val="none"/>
        </w:rPr>
      </w:pPr>
      <w:r>
        <w:rPr>
          <w:rFonts w:hint="eastAsia" w:ascii="宋体" w:hAnsi="宋体" w:cs="宋体"/>
          <w:b/>
          <w:bCs/>
          <w:sz w:val="24"/>
          <w:highlight w:val="none"/>
        </w:rPr>
        <w:t>20.响应文件的提交</w:t>
      </w:r>
    </w:p>
    <w:p w14:paraId="7DFF39F2">
      <w:pPr>
        <w:spacing w:line="380" w:lineRule="exact"/>
        <w:ind w:firstLine="420" w:firstLineChars="200"/>
        <w:rPr>
          <w:rFonts w:ascii="宋体" w:hAnsi="宋体" w:cs="宋体"/>
          <w:szCs w:val="21"/>
          <w:highlight w:val="none"/>
        </w:rPr>
      </w:pPr>
      <w:r>
        <w:rPr>
          <w:rFonts w:hint="eastAsia" w:ascii="宋体" w:hAnsi="宋体" w:cs="宋体"/>
          <w:szCs w:val="21"/>
          <w:highlight w:val="none"/>
        </w:rPr>
        <w:t>20.</w:t>
      </w:r>
      <w:r>
        <w:rPr>
          <w:rFonts w:ascii="宋体" w:hAnsi="宋体" w:cs="宋体"/>
          <w:szCs w:val="21"/>
          <w:highlight w:val="none"/>
        </w:rPr>
        <w:t>1</w:t>
      </w:r>
      <w:r>
        <w:rPr>
          <w:rFonts w:hint="eastAsia" w:ascii="宋体" w:hAnsi="宋体" w:cs="宋体"/>
          <w:szCs w:val="21"/>
          <w:highlight w:val="none"/>
        </w:rPr>
        <w:t>本项目为全流程电子化政府采购项目，通过“广西政府采购云”平台（https://www.gcy.zfcg.gxzf.gov.cn/）实行在线电子竞标，各供应商应在截标前确保成为广西政府采购云平台正式注册入库供应商，并完成CA数字证书申领。因未注册入库、未办理CA数字证书等原因造成无法谈判或谈判失败等后果由供应商自行承担。</w:t>
      </w:r>
    </w:p>
    <w:p w14:paraId="7274FA12">
      <w:pPr>
        <w:spacing w:line="380" w:lineRule="exact"/>
        <w:ind w:firstLine="420" w:firstLineChars="200"/>
        <w:rPr>
          <w:rFonts w:ascii="宋体" w:hAnsi="宋体" w:cs="宋体"/>
          <w:szCs w:val="21"/>
          <w:highlight w:val="none"/>
        </w:rPr>
      </w:pPr>
      <w:r>
        <w:rPr>
          <w:rFonts w:ascii="宋体" w:hAnsi="宋体" w:cs="宋体"/>
          <w:szCs w:val="21"/>
          <w:highlight w:val="none"/>
        </w:rPr>
        <w:t>20.2</w:t>
      </w:r>
      <w:r>
        <w:rPr>
          <w:rFonts w:hint="eastAsia" w:ascii="宋体" w:hAnsi="宋体" w:cs="宋体"/>
          <w:szCs w:val="21"/>
          <w:highlight w:val="none"/>
        </w:rPr>
        <w:t xml:space="preserve"> 供应商应先安装“广西政府采购云电子交易客户端”（请自行前往“广西政府采购云”平台进行下载），并按照本项目竞争性谈判文件和“广西政府采购云”平台的要求编制、加密后在首次响应文件提交截止时间前通过网络上传至“广西政府采购云”平台，如有问题可拨打广西政府采购云客户服务热线95763进行咨询。</w:t>
      </w:r>
    </w:p>
    <w:p w14:paraId="52CE393B">
      <w:pPr>
        <w:spacing w:line="380" w:lineRule="exact"/>
        <w:ind w:firstLine="420" w:firstLineChars="200"/>
        <w:jc w:val="left"/>
        <w:outlineLvl w:val="4"/>
        <w:rPr>
          <w:rFonts w:ascii="宋体" w:hAnsi="宋体"/>
          <w:bCs/>
          <w:szCs w:val="21"/>
          <w:highlight w:val="none"/>
        </w:rPr>
      </w:pPr>
      <w:r>
        <w:rPr>
          <w:rFonts w:hint="eastAsia" w:ascii="宋体" w:hAnsi="宋体"/>
          <w:bCs/>
          <w:szCs w:val="21"/>
          <w:highlight w:val="none"/>
        </w:rPr>
        <w:t>20.3未在规定时间内上传或者未按“广西政府采购云”平台的要求编制、加密的电子响应文件，“广西政府采购云”平台将拒收。</w:t>
      </w:r>
    </w:p>
    <w:p w14:paraId="0549AC6F">
      <w:pPr>
        <w:widowControl/>
        <w:spacing w:line="380" w:lineRule="exact"/>
        <w:ind w:firstLine="420" w:firstLineChars="200"/>
        <w:rPr>
          <w:rFonts w:ascii="宋体" w:hAnsi="宋体" w:cs="宋体"/>
          <w:szCs w:val="21"/>
          <w:highlight w:val="none"/>
        </w:rPr>
      </w:pPr>
      <w:r>
        <w:rPr>
          <w:rFonts w:hint="eastAsia" w:ascii="宋体" w:hAnsi="宋体" w:cs="宋体"/>
          <w:szCs w:val="21"/>
          <w:highlight w:val="none"/>
        </w:rPr>
        <w:t>20.4电子响应文件提交方式见“竞争性谈判采购公告”中“四、响应文件提交”。</w:t>
      </w:r>
    </w:p>
    <w:p w14:paraId="171CE0F6">
      <w:pPr>
        <w:spacing w:line="380" w:lineRule="exact"/>
        <w:ind w:firstLine="482" w:firstLineChars="200"/>
        <w:rPr>
          <w:rFonts w:ascii="宋体" w:hAnsi="宋体" w:cs="宋体"/>
          <w:b/>
          <w:bCs/>
          <w:sz w:val="24"/>
          <w:highlight w:val="none"/>
        </w:rPr>
      </w:pPr>
      <w:r>
        <w:rPr>
          <w:rFonts w:hint="eastAsia" w:ascii="宋体" w:hAnsi="宋体" w:cs="宋体"/>
          <w:b/>
          <w:bCs/>
          <w:sz w:val="24"/>
          <w:highlight w:val="none"/>
        </w:rPr>
        <w:t>21.首次响应文件的补充、修改与撤回</w:t>
      </w:r>
    </w:p>
    <w:p w14:paraId="50FABBF0">
      <w:pPr>
        <w:spacing w:line="380" w:lineRule="exact"/>
        <w:ind w:firstLine="420" w:firstLineChars="200"/>
        <w:rPr>
          <w:rFonts w:ascii="宋体" w:hAnsi="宋体" w:cs="宋体"/>
          <w:szCs w:val="21"/>
          <w:highlight w:val="none"/>
        </w:rPr>
      </w:pPr>
      <w:r>
        <w:rPr>
          <w:rFonts w:hint="eastAsia" w:ascii="宋体" w:hAnsi="宋体" w:cs="宋体"/>
          <w:bCs/>
          <w:szCs w:val="21"/>
          <w:highlight w:val="none"/>
        </w:rPr>
        <w:t>21.1供应商应当在首次响应文件提交截止时间前完成电子响应文件的上传、递交，首次响应文件提交截止时间前可以补充、修改或者撤回响应文件。补充或者修改响应文件的，应当先行撤回原文件，补充、修改后重新上传、递交。首次响应文件提交截止时间前未完成上传、递交的，视为撤回响应文件。首次响应文件提交截止时间以后上传递交的响应文件，“广西政府采购云”平台将予以拒收。</w:t>
      </w:r>
    </w:p>
    <w:p w14:paraId="181C6F78">
      <w:pPr>
        <w:spacing w:line="380" w:lineRule="exact"/>
        <w:ind w:firstLine="482" w:firstLineChars="200"/>
        <w:rPr>
          <w:rFonts w:ascii="宋体" w:hAnsi="宋体" w:cs="宋体"/>
          <w:b/>
          <w:bCs/>
          <w:sz w:val="24"/>
          <w:highlight w:val="none"/>
        </w:rPr>
      </w:pPr>
      <w:r>
        <w:rPr>
          <w:rFonts w:hint="eastAsia" w:ascii="宋体" w:hAnsi="宋体" w:cs="宋体"/>
          <w:b/>
          <w:bCs/>
          <w:sz w:val="24"/>
          <w:highlight w:val="none"/>
        </w:rPr>
        <w:t>22.首次响应文件的退回</w:t>
      </w:r>
    </w:p>
    <w:p w14:paraId="746FD4DA">
      <w:pPr>
        <w:spacing w:line="380" w:lineRule="exact"/>
        <w:ind w:firstLine="420" w:firstLineChars="200"/>
        <w:rPr>
          <w:rFonts w:ascii="宋体" w:hAnsi="宋体" w:cs="宋体"/>
          <w:szCs w:val="21"/>
          <w:highlight w:val="none"/>
        </w:rPr>
      </w:pPr>
      <w:r>
        <w:rPr>
          <w:rFonts w:hint="eastAsia" w:ascii="宋体" w:hAnsi="宋体" w:cs="宋体"/>
          <w:szCs w:val="21"/>
          <w:highlight w:val="none"/>
        </w:rPr>
        <w:t>22.1在首次响应文件提交截止时间止提交响应文件的供应商不足3家时，</w:t>
      </w:r>
      <w:r>
        <w:rPr>
          <w:rFonts w:hint="eastAsia" w:ascii="宋体" w:hAnsi="宋体"/>
          <w:szCs w:val="21"/>
          <w:highlight w:val="none"/>
        </w:rPr>
        <w:t>采购代理机构将根据“广西政府采购云”平台的操作将电子版响应文件退回，</w:t>
      </w:r>
      <w:r>
        <w:rPr>
          <w:rFonts w:hint="eastAsia" w:ascii="宋体" w:hAnsi="宋体" w:cs="宋体"/>
          <w:szCs w:val="21"/>
          <w:highlight w:val="none"/>
        </w:rPr>
        <w:t>除此之外采购人和采购代理机构对已提交的电子响应文件概不退回。</w:t>
      </w:r>
    </w:p>
    <w:p w14:paraId="733D6DCA">
      <w:pPr>
        <w:spacing w:line="380" w:lineRule="exact"/>
        <w:ind w:firstLine="482" w:firstLineChars="200"/>
        <w:rPr>
          <w:rFonts w:ascii="宋体" w:hAnsi="宋体" w:cs="宋体"/>
          <w:b/>
          <w:bCs/>
          <w:sz w:val="24"/>
          <w:highlight w:val="none"/>
        </w:rPr>
      </w:pPr>
      <w:r>
        <w:rPr>
          <w:rFonts w:hint="eastAsia" w:ascii="宋体" w:hAnsi="宋体" w:cs="宋体"/>
          <w:b/>
          <w:bCs/>
          <w:sz w:val="24"/>
          <w:highlight w:val="none"/>
        </w:rPr>
        <w:t>23. 截止时间后的撤回</w:t>
      </w:r>
    </w:p>
    <w:p w14:paraId="65A1C974">
      <w:pPr>
        <w:spacing w:line="380" w:lineRule="exact"/>
        <w:ind w:firstLine="420" w:firstLineChars="200"/>
        <w:rPr>
          <w:rFonts w:ascii="宋体" w:hAnsi="宋体" w:cs="宋体"/>
          <w:szCs w:val="21"/>
          <w:highlight w:val="none"/>
        </w:rPr>
      </w:pPr>
      <w:r>
        <w:rPr>
          <w:rFonts w:hint="eastAsia" w:ascii="宋体" w:hAnsi="宋体" w:cs="宋体"/>
          <w:szCs w:val="21"/>
          <w:highlight w:val="none"/>
        </w:rPr>
        <w:t>23.1供应商在首次响应文件提交截止时间后书面通知采购人、采购代理机构书面撤回响应文件的，将根据本须知正文17.4的规定不予退还其竞标保证金。</w:t>
      </w:r>
    </w:p>
    <w:p w14:paraId="5FF8308D">
      <w:pPr>
        <w:spacing w:line="380" w:lineRule="exact"/>
        <w:jc w:val="center"/>
        <w:rPr>
          <w:rFonts w:ascii="宋体" w:hAnsi="宋体"/>
          <w:b/>
          <w:sz w:val="24"/>
          <w:highlight w:val="none"/>
        </w:rPr>
      </w:pPr>
      <w:r>
        <w:rPr>
          <w:rFonts w:hint="eastAsia" w:ascii="宋体" w:hAnsi="宋体"/>
          <w:b/>
          <w:sz w:val="24"/>
          <w:highlight w:val="none"/>
        </w:rPr>
        <w:t>四、评审及谈判</w:t>
      </w:r>
    </w:p>
    <w:p w14:paraId="186CA427">
      <w:pPr>
        <w:spacing w:line="380" w:lineRule="exact"/>
        <w:ind w:firstLine="482" w:firstLineChars="200"/>
        <w:rPr>
          <w:rFonts w:ascii="宋体" w:hAnsi="宋体" w:cs="宋体"/>
          <w:b/>
          <w:bCs/>
          <w:sz w:val="24"/>
          <w:highlight w:val="none"/>
        </w:rPr>
      </w:pPr>
      <w:r>
        <w:rPr>
          <w:rFonts w:hint="eastAsia" w:ascii="宋体" w:hAnsi="宋体" w:cs="宋体"/>
          <w:b/>
          <w:bCs/>
          <w:sz w:val="24"/>
          <w:highlight w:val="none"/>
        </w:rPr>
        <w:t>24.谈判小组成立</w:t>
      </w:r>
    </w:p>
    <w:p w14:paraId="6B2A0D10">
      <w:pPr>
        <w:spacing w:line="380" w:lineRule="exact"/>
        <w:ind w:firstLine="420" w:firstLineChars="200"/>
        <w:rPr>
          <w:rFonts w:ascii="宋体" w:hAnsi="宋体" w:cs="宋体"/>
          <w:szCs w:val="21"/>
          <w:highlight w:val="none"/>
        </w:rPr>
      </w:pPr>
      <w:r>
        <w:rPr>
          <w:rFonts w:hint="eastAsia" w:ascii="宋体" w:hAnsi="宋体" w:cs="宋体"/>
          <w:szCs w:val="21"/>
          <w:highlight w:val="none"/>
        </w:rPr>
        <w:t>24.1竞争性谈判小组成立：谈判小组由采购人代表和评审专家共3人以上单数组成，具体人数详见“供应商须知前附表”，其中评审专家人数不得少于竞争性谈判小组成员总数的2/3。采购人不得以评审专家身份参加本部门或者本单位采购项目的评审。采购代理机构人员不得参加本机构代理的采购项目的评审。达到公开招标数额标准的货物或者服务采购项目，或者达到招标规模标准的政府采购工程，竞争性谈判小组应当由5人以上单数组成。</w:t>
      </w:r>
    </w:p>
    <w:p w14:paraId="7638B04A">
      <w:pPr>
        <w:spacing w:line="380" w:lineRule="exact"/>
        <w:ind w:firstLine="420" w:firstLineChars="200"/>
        <w:rPr>
          <w:rFonts w:ascii="宋体" w:hAnsi="宋体" w:cs="宋体"/>
          <w:szCs w:val="21"/>
          <w:highlight w:val="none"/>
        </w:rPr>
      </w:pPr>
      <w:r>
        <w:rPr>
          <w:rFonts w:hint="eastAsia" w:ascii="宋体" w:hAnsi="宋体" w:cs="宋体"/>
          <w:szCs w:val="21"/>
          <w:highlight w:val="none"/>
        </w:rPr>
        <w:t>24.2评审专家应当从政府采购评审专家库内相关专业的专家名单中随机抽取。技术复杂、专业性强的竞争性谈判采购项目，通过随机方式难以确定合适的评审专家的，经主管预算单位同意，可以自行选定评审专家。技术复杂、专业性强的竞争性谈判采购项目，评审专家中应当包含1名法律专家。</w:t>
      </w:r>
    </w:p>
    <w:p w14:paraId="3AB12535">
      <w:pPr>
        <w:spacing w:line="380" w:lineRule="exact"/>
        <w:ind w:firstLine="482" w:firstLineChars="200"/>
        <w:rPr>
          <w:rFonts w:ascii="黑体" w:hAnsi="黑体" w:eastAsia="黑体" w:cs="宋体"/>
          <w:b/>
          <w:bCs/>
          <w:sz w:val="24"/>
          <w:highlight w:val="none"/>
        </w:rPr>
      </w:pPr>
      <w:r>
        <w:rPr>
          <w:rFonts w:ascii="黑体" w:hAnsi="黑体" w:eastAsia="黑体" w:cs="宋体"/>
          <w:b/>
          <w:bCs/>
          <w:sz w:val="24"/>
          <w:highlight w:val="none"/>
        </w:rPr>
        <w:t>25.</w:t>
      </w:r>
      <w:r>
        <w:rPr>
          <w:rFonts w:hint="eastAsia" w:ascii="黑体" w:hAnsi="黑体" w:eastAsia="黑体" w:cs="宋体"/>
          <w:b/>
          <w:bCs/>
          <w:sz w:val="24"/>
          <w:highlight w:val="none"/>
        </w:rPr>
        <w:t xml:space="preserve"> 首次响应文件的开启</w:t>
      </w:r>
    </w:p>
    <w:p w14:paraId="74D8705D">
      <w:pPr>
        <w:spacing w:line="380" w:lineRule="exact"/>
        <w:ind w:firstLine="420" w:firstLineChars="200"/>
        <w:rPr>
          <w:rFonts w:ascii="宋体" w:hAnsi="宋体" w:cs="宋体"/>
          <w:szCs w:val="21"/>
          <w:highlight w:val="none"/>
        </w:rPr>
      </w:pPr>
      <w:r>
        <w:rPr>
          <w:rFonts w:hint="eastAsia" w:ascii="宋体" w:hAnsi="宋体" w:cs="宋体"/>
          <w:szCs w:val="21"/>
          <w:highlight w:val="none"/>
        </w:rPr>
        <w:t>25.1首次响应文件由谈判小组或者采购代理机构在“供应商须知前附表”规定的时间开启。</w:t>
      </w:r>
    </w:p>
    <w:p w14:paraId="5C39BE9F">
      <w:pPr>
        <w:spacing w:line="380" w:lineRule="exact"/>
        <w:ind w:firstLine="420" w:firstLineChars="200"/>
        <w:rPr>
          <w:rFonts w:ascii="宋体" w:hAnsi="宋体"/>
          <w:b/>
          <w:bCs/>
          <w:szCs w:val="21"/>
          <w:highlight w:val="none"/>
        </w:rPr>
      </w:pPr>
      <w:r>
        <w:rPr>
          <w:rFonts w:hint="eastAsia" w:ascii="宋体" w:hAnsi="宋体" w:cs="宋体"/>
          <w:szCs w:val="21"/>
          <w:highlight w:val="none"/>
        </w:rPr>
        <w:t>25.2 响应文件解密：采购代理机构将在“供应商须知前附表”规定的时间通过电子交易平台组织响应文件开启，采购代理机构将依托电子交易平台发起开始解密指令，</w:t>
      </w:r>
      <w:r>
        <w:rPr>
          <w:rFonts w:hint="eastAsia" w:ascii="宋体" w:hAnsi="宋体" w:cs="宋体"/>
          <w:b/>
          <w:szCs w:val="21"/>
          <w:highlight w:val="none"/>
        </w:rPr>
        <w:t>供应商的法定代表人或其委托代理人须携带加密时所用的CA锁按平台提示和采购文件的规定登录到“广西政府采购云”平台电子开标大厅签到并在发起解密指令之时起30分钟内完成对电子响应文件在线解密。</w:t>
      </w:r>
      <w:r>
        <w:rPr>
          <w:rFonts w:hint="eastAsia" w:ascii="宋体" w:hAnsi="宋体"/>
          <w:b/>
          <w:bCs/>
          <w:szCs w:val="21"/>
          <w:highlight w:val="none"/>
        </w:rPr>
        <w:t>响应文件未按时解密的，视为响应文件无效。</w:t>
      </w:r>
      <w:r>
        <w:rPr>
          <w:rFonts w:hint="eastAsia" w:ascii="宋体" w:hAnsi="宋体" w:cs="宋体"/>
          <w:szCs w:val="21"/>
          <w:highlight w:val="none"/>
        </w:rPr>
        <w:t>（解密异常情况处理：详见本章26.2电子交易活动的中止。）</w:t>
      </w:r>
    </w:p>
    <w:p w14:paraId="4BADB61F">
      <w:pPr>
        <w:spacing w:line="380" w:lineRule="exact"/>
        <w:ind w:firstLine="420" w:firstLineChars="200"/>
        <w:rPr>
          <w:rFonts w:ascii="宋体" w:hAnsi="宋体" w:cs="宋体"/>
          <w:szCs w:val="21"/>
          <w:highlight w:val="none"/>
        </w:rPr>
      </w:pPr>
      <w:r>
        <w:rPr>
          <w:rFonts w:hint="eastAsia" w:ascii="宋体" w:hAnsi="宋体" w:cs="宋体"/>
          <w:szCs w:val="21"/>
          <w:highlight w:val="none"/>
        </w:rPr>
        <w:t>25.3成功解密响应文件的供应商不足3家的，不得谈判。</w:t>
      </w:r>
    </w:p>
    <w:p w14:paraId="7D045E90">
      <w:pPr>
        <w:spacing w:line="380" w:lineRule="exact"/>
        <w:ind w:firstLine="482" w:firstLineChars="200"/>
        <w:rPr>
          <w:rFonts w:ascii="黑体" w:hAnsi="黑体" w:eastAsia="黑体" w:cs="宋体"/>
          <w:b/>
          <w:bCs/>
          <w:sz w:val="24"/>
          <w:highlight w:val="none"/>
        </w:rPr>
      </w:pPr>
      <w:r>
        <w:rPr>
          <w:rFonts w:ascii="黑体" w:hAnsi="黑体" w:eastAsia="黑体" w:cs="宋体"/>
          <w:b/>
          <w:bCs/>
          <w:sz w:val="24"/>
          <w:highlight w:val="none"/>
        </w:rPr>
        <w:t>26</w:t>
      </w:r>
      <w:r>
        <w:rPr>
          <w:rFonts w:hint="eastAsia" w:ascii="黑体" w:hAnsi="黑体" w:eastAsia="黑体" w:cs="宋体"/>
          <w:b/>
          <w:bCs/>
          <w:sz w:val="24"/>
          <w:highlight w:val="none"/>
        </w:rPr>
        <w:t>. 评审程序和评定成交的标准</w:t>
      </w:r>
    </w:p>
    <w:p w14:paraId="0D04E9CE">
      <w:pPr>
        <w:spacing w:line="380" w:lineRule="exact"/>
        <w:ind w:firstLine="420" w:firstLineChars="200"/>
        <w:rPr>
          <w:rFonts w:ascii="宋体" w:hAnsi="宋体" w:cs="宋体"/>
          <w:szCs w:val="21"/>
          <w:highlight w:val="none"/>
        </w:rPr>
      </w:pPr>
      <w:r>
        <w:rPr>
          <w:rFonts w:ascii="宋体" w:hAnsi="宋体" w:cs="宋体"/>
          <w:szCs w:val="21"/>
          <w:highlight w:val="none"/>
        </w:rPr>
        <w:t>26.</w:t>
      </w:r>
      <w:r>
        <w:rPr>
          <w:rFonts w:hint="eastAsia" w:ascii="宋体" w:hAnsi="宋体" w:cs="宋体"/>
          <w:szCs w:val="21"/>
          <w:highlight w:val="none"/>
        </w:rPr>
        <w:t>1</w:t>
      </w:r>
      <w:r>
        <w:rPr>
          <w:rFonts w:ascii="宋体" w:hAnsi="宋体" w:cs="宋体"/>
          <w:szCs w:val="21"/>
          <w:highlight w:val="none"/>
        </w:rPr>
        <w:t xml:space="preserve"> </w:t>
      </w:r>
      <w:r>
        <w:rPr>
          <w:rFonts w:hint="eastAsia" w:ascii="宋体" w:hAnsi="宋体"/>
          <w:bCs/>
          <w:szCs w:val="21"/>
          <w:highlight w:val="none"/>
        </w:rPr>
        <w:t>谈判小组按照“评审程序和评定成交的标准”规定的评审程序对响应文件进行评审，并按照评定成交的标准推荐成交候选供应商。</w:t>
      </w:r>
    </w:p>
    <w:p w14:paraId="5A617A09">
      <w:pPr>
        <w:spacing w:line="380" w:lineRule="exact"/>
        <w:ind w:firstLine="420" w:firstLineChars="200"/>
        <w:rPr>
          <w:rFonts w:ascii="宋体" w:hAnsi="宋体" w:cs="宋体"/>
          <w:szCs w:val="21"/>
          <w:highlight w:val="none"/>
        </w:rPr>
      </w:pPr>
      <w:r>
        <w:rPr>
          <w:rFonts w:hint="eastAsia" w:ascii="宋体" w:hAnsi="宋体" w:cs="宋体"/>
          <w:szCs w:val="21"/>
          <w:highlight w:val="none"/>
        </w:rPr>
        <w:t>26.2电子交易活动的中止。采购过程中出现以下情形，导致电子交易平台无法正常运行，或者无法保证电子交易的公平、公正和安全时，采购机构可中止电子交易活动：</w:t>
      </w:r>
    </w:p>
    <w:p w14:paraId="0A52DD84">
      <w:pPr>
        <w:spacing w:line="380" w:lineRule="exact"/>
        <w:ind w:firstLine="420" w:firstLineChars="200"/>
        <w:rPr>
          <w:rFonts w:ascii="宋体" w:hAnsi="宋体" w:cs="宋体"/>
          <w:szCs w:val="21"/>
          <w:highlight w:val="none"/>
        </w:rPr>
      </w:pPr>
      <w:r>
        <w:rPr>
          <w:rFonts w:hint="eastAsia" w:ascii="宋体" w:hAnsi="宋体" w:cs="宋体"/>
          <w:szCs w:val="21"/>
          <w:highlight w:val="none"/>
        </w:rPr>
        <w:t xml:space="preserve">（1）电子交易平台发生故障而无法登录访问的； </w:t>
      </w:r>
    </w:p>
    <w:p w14:paraId="33E6201F">
      <w:pPr>
        <w:spacing w:line="380" w:lineRule="exact"/>
        <w:ind w:firstLine="420" w:firstLineChars="200"/>
        <w:rPr>
          <w:rFonts w:ascii="宋体" w:hAnsi="宋体" w:cs="宋体"/>
          <w:szCs w:val="21"/>
          <w:highlight w:val="none"/>
        </w:rPr>
      </w:pPr>
      <w:r>
        <w:rPr>
          <w:rFonts w:hint="eastAsia" w:ascii="宋体" w:hAnsi="宋体" w:cs="宋体"/>
          <w:szCs w:val="21"/>
          <w:highlight w:val="none"/>
        </w:rPr>
        <w:t>（2）电子交易平台应用或数据库出现错误，不能进行正常操作的；</w:t>
      </w:r>
    </w:p>
    <w:p w14:paraId="1DB9A6B2">
      <w:pPr>
        <w:spacing w:line="380" w:lineRule="exact"/>
        <w:ind w:firstLine="420" w:firstLineChars="200"/>
        <w:rPr>
          <w:rFonts w:ascii="宋体" w:hAnsi="宋体" w:cs="宋体"/>
          <w:szCs w:val="21"/>
          <w:highlight w:val="none"/>
        </w:rPr>
      </w:pPr>
      <w:r>
        <w:rPr>
          <w:rFonts w:hint="eastAsia" w:ascii="宋体" w:hAnsi="宋体" w:cs="宋体"/>
          <w:szCs w:val="21"/>
          <w:highlight w:val="none"/>
        </w:rPr>
        <w:t>（3）电子交易平台发现严重安全漏洞，有潜在泄密危险的；</w:t>
      </w:r>
    </w:p>
    <w:p w14:paraId="4421F327">
      <w:pPr>
        <w:spacing w:line="380" w:lineRule="exact"/>
        <w:ind w:firstLine="420" w:firstLineChars="200"/>
        <w:rPr>
          <w:rFonts w:ascii="宋体" w:hAnsi="宋体" w:cs="宋体"/>
          <w:szCs w:val="21"/>
          <w:highlight w:val="none"/>
        </w:rPr>
      </w:pPr>
      <w:r>
        <w:rPr>
          <w:rFonts w:hint="eastAsia" w:ascii="宋体" w:hAnsi="宋体" w:cs="宋体"/>
          <w:szCs w:val="21"/>
          <w:highlight w:val="none"/>
        </w:rPr>
        <w:t xml:space="preserve">（4）病毒发作导致不能进行正常操作的； </w:t>
      </w:r>
    </w:p>
    <w:p w14:paraId="4E80C333">
      <w:pPr>
        <w:spacing w:line="380" w:lineRule="exact"/>
        <w:ind w:firstLine="420" w:firstLineChars="200"/>
        <w:rPr>
          <w:rFonts w:ascii="宋体" w:hAnsi="宋体" w:cs="宋体"/>
          <w:szCs w:val="21"/>
          <w:highlight w:val="none"/>
        </w:rPr>
      </w:pPr>
      <w:r>
        <w:rPr>
          <w:rFonts w:hint="eastAsia" w:ascii="宋体" w:hAnsi="宋体" w:cs="宋体"/>
          <w:szCs w:val="21"/>
          <w:highlight w:val="none"/>
        </w:rPr>
        <w:t>（5）其他无法保证电子交易的公平、公正和安全的情况。</w:t>
      </w:r>
    </w:p>
    <w:p w14:paraId="4BA6CCC5">
      <w:pPr>
        <w:spacing w:line="380" w:lineRule="exact"/>
        <w:ind w:firstLine="420" w:firstLineChars="200"/>
        <w:rPr>
          <w:rFonts w:ascii="宋体" w:hAnsi="宋体" w:cs="宋体"/>
          <w:szCs w:val="21"/>
          <w:highlight w:val="none"/>
        </w:rPr>
      </w:pPr>
      <w:r>
        <w:rPr>
          <w:rFonts w:hint="eastAsia" w:ascii="宋体" w:hAnsi="宋体" w:cs="宋体"/>
          <w:szCs w:val="21"/>
          <w:highlight w:val="none"/>
        </w:rPr>
        <w:t>26.3出现以上情形，不影响采购公平、公正性的，采购代理机构可以待上述情形消除后继续组织电子交易活动；影响或可能影响采购公平、公正性的，经采购代理机构确认后，应当重新采购。</w:t>
      </w:r>
    </w:p>
    <w:p w14:paraId="421E7CF1">
      <w:pPr>
        <w:spacing w:line="380" w:lineRule="exact"/>
        <w:ind w:firstLine="422" w:firstLineChars="200"/>
        <w:rPr>
          <w:rFonts w:ascii="黑体" w:hAnsi="黑体" w:eastAsia="黑体" w:cs="宋体"/>
          <w:b/>
          <w:bCs/>
          <w:sz w:val="24"/>
          <w:highlight w:val="none"/>
        </w:rPr>
      </w:pPr>
      <w:r>
        <w:rPr>
          <w:rFonts w:hint="eastAsia" w:ascii="宋体" w:hAnsi="宋体"/>
          <w:b/>
          <w:szCs w:val="21"/>
          <w:highlight w:val="none"/>
        </w:rPr>
        <w:t>27．确定成交供应商办法及结果公告</w:t>
      </w:r>
    </w:p>
    <w:p w14:paraId="5C7938A9">
      <w:pPr>
        <w:spacing w:line="380" w:lineRule="exact"/>
        <w:ind w:firstLine="420" w:firstLineChars="200"/>
        <w:rPr>
          <w:rFonts w:ascii="宋体" w:hAnsi="宋体" w:cs="宋体"/>
          <w:szCs w:val="21"/>
          <w:highlight w:val="none"/>
        </w:rPr>
      </w:pPr>
      <w:r>
        <w:rPr>
          <w:rFonts w:ascii="宋体" w:hAnsi="宋体" w:cs="宋体"/>
          <w:szCs w:val="21"/>
          <w:highlight w:val="none"/>
        </w:rPr>
        <w:t>27</w:t>
      </w:r>
      <w:r>
        <w:rPr>
          <w:rFonts w:hint="eastAsia" w:ascii="宋体" w:hAnsi="宋体" w:cs="宋体"/>
          <w:szCs w:val="21"/>
          <w:highlight w:val="none"/>
        </w:rPr>
        <w:t>.1 采购代理机构应当在评审结束后2个工作日内将评审报告送采购人确认。采购人应当在收到评审报告后2个工作日内，将评审报告提出的排名第一的成交候选人确定为成交供应商，也可以书面授权谈判小组直接确定成交供应商。采购人逾期未确定成交供应商且不提出异议的，视为确定评审报告提出的排名第一的成交候选人为成交供应商。</w:t>
      </w:r>
    </w:p>
    <w:p w14:paraId="2227B64F">
      <w:pPr>
        <w:pStyle w:val="6"/>
        <w:spacing w:line="380" w:lineRule="exact"/>
        <w:ind w:firstLine="420" w:firstLineChars="200"/>
        <w:jc w:val="both"/>
        <w:rPr>
          <w:rFonts w:ascii="宋体" w:hAnsi="宋体" w:cs="宋体"/>
          <w:kern w:val="0"/>
          <w:szCs w:val="21"/>
          <w:highlight w:val="none"/>
        </w:rPr>
      </w:pPr>
      <w:r>
        <w:rPr>
          <w:rFonts w:ascii="宋体" w:hAnsi="宋体" w:cs="宋体"/>
          <w:kern w:val="0"/>
          <w:szCs w:val="21"/>
          <w:highlight w:val="none"/>
        </w:rPr>
        <w:t>27</w:t>
      </w:r>
      <w:r>
        <w:rPr>
          <w:rFonts w:hint="eastAsia" w:ascii="宋体" w:hAnsi="宋体" w:cs="宋体"/>
          <w:kern w:val="0"/>
          <w:szCs w:val="21"/>
          <w:highlight w:val="none"/>
        </w:rPr>
        <w:t>.2采购代理机构应当在成交供应商确定后2个工作日内，在省级以上财政部门指定的媒体上公告成交结果，同时向成交供应商发出成交通知书。</w:t>
      </w:r>
      <w:r>
        <w:rPr>
          <w:rFonts w:hint="eastAsia" w:ascii="宋体" w:hAnsi="宋体" w:cs="宋体"/>
          <w:b/>
          <w:kern w:val="0"/>
          <w:szCs w:val="21"/>
          <w:highlight w:val="none"/>
        </w:rPr>
        <w:t>采购人或者采购代理机构发出成交通知书前，应当对成交供应商信用进行查询，对列入失信被执行人、重大税收违法失信主体、政府采购严重违法失信行为记录名单及其他不符合《中华人民共和国政府采购法》第二十二条规定条件的供应商，取消其成交资格，并确定排名第二的成交候选人为成交供应商。</w:t>
      </w:r>
      <w:r>
        <w:rPr>
          <w:rFonts w:hint="eastAsia" w:ascii="宋体" w:hAnsi="宋体" w:cs="宋体"/>
          <w:kern w:val="0"/>
          <w:szCs w:val="21"/>
          <w:highlight w:val="none"/>
        </w:rPr>
        <w:t>排名第二的成交候选人因上述规定的同样原因被取消成交资格的，采购人可以确定排名第三的成交候选人为成交供应商。以上信息查询记录及相关证据与谈判文件一并保存。</w:t>
      </w:r>
      <w:r>
        <w:rPr>
          <w:rFonts w:hint="eastAsia" w:ascii="宋体" w:hAnsi="宋体" w:cs="Courier New"/>
          <w:szCs w:val="21"/>
          <w:highlight w:val="none"/>
        </w:rPr>
        <w:t>成交供应商享受《政府采购促进中小企业发展管理办法》（财库〔2020〕46号）及《广西壮族自治区财政厅关于持续优化政府采购营商环境推动高质量发展的通知》</w:t>
      </w:r>
      <w:r>
        <w:rPr>
          <w:rFonts w:hint="eastAsia" w:ascii="宋体" w:hAnsi="宋体" w:cs="宋体"/>
          <w:szCs w:val="21"/>
          <w:highlight w:val="none"/>
        </w:rPr>
        <w:t>（桂财采〔2024〕55号）</w:t>
      </w:r>
      <w:r>
        <w:rPr>
          <w:rFonts w:hint="eastAsia" w:ascii="宋体" w:hAnsi="宋体" w:cs="Courier New"/>
          <w:szCs w:val="21"/>
          <w:highlight w:val="none"/>
        </w:rPr>
        <w:t>文规定的中小企业扶持政策的，采购人、采购代理机构应当随成交结果公开成交供应商的《中小企业声明函》。</w:t>
      </w:r>
    </w:p>
    <w:p w14:paraId="01FB526A">
      <w:pPr>
        <w:pStyle w:val="6"/>
        <w:spacing w:line="380" w:lineRule="exact"/>
        <w:ind w:firstLine="420" w:firstLineChars="200"/>
        <w:jc w:val="both"/>
        <w:rPr>
          <w:rFonts w:ascii="宋体" w:hAnsi="宋体" w:cs="Courier New"/>
          <w:szCs w:val="21"/>
          <w:highlight w:val="none"/>
        </w:rPr>
      </w:pPr>
      <w:r>
        <w:rPr>
          <w:rFonts w:hint="eastAsia" w:ascii="宋体" w:hAnsi="宋体" w:cs="Courier New"/>
          <w:szCs w:val="21"/>
          <w:highlight w:val="none"/>
        </w:rPr>
        <w:t>27.3出现下列情形之一的，采购人或者采购代理机构应当终止竞争性谈判采购活动，发布项目终止公告并说明原因，重新开展采购活动：</w:t>
      </w:r>
    </w:p>
    <w:p w14:paraId="42465D86">
      <w:pPr>
        <w:pStyle w:val="6"/>
        <w:spacing w:line="380" w:lineRule="exact"/>
        <w:ind w:firstLine="420" w:firstLineChars="200"/>
        <w:jc w:val="both"/>
        <w:rPr>
          <w:rFonts w:ascii="宋体" w:hAnsi="宋体" w:cs="Courier New"/>
          <w:szCs w:val="21"/>
          <w:highlight w:val="none"/>
        </w:rPr>
      </w:pPr>
      <w:r>
        <w:rPr>
          <w:rFonts w:hint="eastAsia" w:ascii="宋体" w:hAnsi="宋体" w:cs="Courier New"/>
          <w:szCs w:val="21"/>
          <w:highlight w:val="none"/>
        </w:rPr>
        <w:t>（1）因情况变化，不再符合规定的竞争性谈判采购方式适用情形的；</w:t>
      </w:r>
    </w:p>
    <w:p w14:paraId="096E5DFA">
      <w:pPr>
        <w:pStyle w:val="6"/>
        <w:spacing w:line="380" w:lineRule="exact"/>
        <w:ind w:firstLine="420" w:firstLineChars="200"/>
        <w:jc w:val="both"/>
        <w:rPr>
          <w:rFonts w:ascii="宋体" w:hAnsi="宋体" w:cs="Courier New"/>
          <w:szCs w:val="21"/>
          <w:highlight w:val="none"/>
        </w:rPr>
      </w:pPr>
      <w:r>
        <w:rPr>
          <w:rFonts w:hint="eastAsia" w:ascii="宋体" w:hAnsi="宋体" w:cs="Courier New"/>
          <w:szCs w:val="21"/>
          <w:highlight w:val="none"/>
        </w:rPr>
        <w:t>（2）出现影响采购公正的违法、违规行为的；</w:t>
      </w:r>
    </w:p>
    <w:p w14:paraId="7F2BFD2D">
      <w:pPr>
        <w:pStyle w:val="6"/>
        <w:spacing w:line="380" w:lineRule="exact"/>
        <w:ind w:firstLine="420" w:firstLineChars="200"/>
        <w:jc w:val="both"/>
        <w:rPr>
          <w:rFonts w:ascii="宋体" w:hAnsi="宋体" w:cs="Courier New"/>
          <w:szCs w:val="21"/>
          <w:highlight w:val="none"/>
        </w:rPr>
      </w:pPr>
      <w:r>
        <w:rPr>
          <w:rFonts w:hint="eastAsia" w:ascii="宋体" w:hAnsi="宋体" w:cs="Courier New"/>
          <w:szCs w:val="21"/>
          <w:highlight w:val="none"/>
        </w:rPr>
        <w:t>（3）在采购过程中符合竞争要求的供应商或者报价未超过采购预算的供应商不足3家的，但</w:t>
      </w:r>
      <w:r>
        <w:rPr>
          <w:rFonts w:hint="eastAsia" w:ascii="宋体" w:hAnsi="宋体" w:cs="宋体"/>
          <w:szCs w:val="21"/>
          <w:highlight w:val="none"/>
        </w:rPr>
        <w:t>“第四章 评审程序和评定成交的标准”第</w:t>
      </w:r>
      <w:r>
        <w:rPr>
          <w:rFonts w:ascii="宋体" w:hAnsi="宋体" w:cs="宋体"/>
          <w:szCs w:val="21"/>
          <w:highlight w:val="none"/>
        </w:rPr>
        <w:t>3</w:t>
      </w:r>
      <w:r>
        <w:rPr>
          <w:rFonts w:hint="eastAsia" w:ascii="宋体" w:hAnsi="宋体" w:cs="宋体"/>
          <w:szCs w:val="21"/>
          <w:highlight w:val="none"/>
        </w:rPr>
        <w:t>.7条规定的情形除外</w:t>
      </w:r>
      <w:r>
        <w:rPr>
          <w:rFonts w:hint="eastAsia" w:ascii="宋体" w:hAnsi="宋体" w:cs="Courier New"/>
          <w:szCs w:val="21"/>
          <w:highlight w:val="none"/>
        </w:rPr>
        <w:t>。</w:t>
      </w:r>
    </w:p>
    <w:p w14:paraId="44BC587A">
      <w:pPr>
        <w:pStyle w:val="6"/>
        <w:spacing w:line="380" w:lineRule="exact"/>
        <w:ind w:firstLine="420" w:firstLineChars="200"/>
        <w:rPr>
          <w:rFonts w:ascii="宋体" w:hAnsi="宋体" w:cs="Courier New"/>
          <w:szCs w:val="21"/>
          <w:highlight w:val="none"/>
        </w:rPr>
      </w:pPr>
      <w:r>
        <w:rPr>
          <w:rFonts w:hint="eastAsia" w:ascii="宋体" w:hAnsi="宋体" w:cs="Courier New"/>
          <w:szCs w:val="21"/>
          <w:highlight w:val="none"/>
        </w:rPr>
        <w:t>27.4在采购活动中因重大变故，采购任务取消的，采购人或者采购代理机构应当终止采购活动，通知所有参加采购活动的供应商。</w:t>
      </w:r>
    </w:p>
    <w:p w14:paraId="06E849C0">
      <w:pPr>
        <w:pStyle w:val="6"/>
        <w:spacing w:line="380" w:lineRule="exact"/>
        <w:ind w:firstLine="420" w:firstLineChars="200"/>
        <w:rPr>
          <w:rFonts w:ascii="宋体" w:hAnsi="宋体" w:cs="Courier New"/>
          <w:szCs w:val="21"/>
          <w:highlight w:val="none"/>
        </w:rPr>
      </w:pPr>
      <w:r>
        <w:rPr>
          <w:rFonts w:hint="eastAsia" w:ascii="宋体" w:hAnsi="宋体"/>
          <w:bCs/>
          <w:szCs w:val="21"/>
          <w:highlight w:val="none"/>
        </w:rPr>
        <w:t>2</w:t>
      </w:r>
      <w:r>
        <w:rPr>
          <w:rFonts w:ascii="宋体" w:hAnsi="宋体"/>
          <w:bCs/>
          <w:szCs w:val="21"/>
          <w:highlight w:val="none"/>
        </w:rPr>
        <w:t>7.</w:t>
      </w:r>
      <w:r>
        <w:rPr>
          <w:rFonts w:hint="eastAsia" w:ascii="宋体" w:hAnsi="宋体"/>
          <w:bCs/>
          <w:szCs w:val="21"/>
          <w:highlight w:val="none"/>
        </w:rPr>
        <w:t>5</w:t>
      </w:r>
      <w:r>
        <w:rPr>
          <w:rFonts w:hint="eastAsia" w:ascii="宋体" w:hAnsi="宋体" w:cs="Courier New"/>
          <w:szCs w:val="21"/>
          <w:highlight w:val="none"/>
        </w:rPr>
        <w:t>成交供应商拒绝签订政府采购合同（包括但不限于放弃成交、因不可抗力不能履行合同而放弃签订合同），采购人可以按照评审报告推荐的成交候选人名单排序，确定下一候选人为成交供应商，也可以重新开展政府采购活动。</w:t>
      </w:r>
      <w:r>
        <w:rPr>
          <w:rFonts w:ascii="宋体" w:hAnsi="宋体" w:cs="Courier New"/>
          <w:szCs w:val="21"/>
          <w:highlight w:val="none"/>
        </w:rPr>
        <w:t>拒绝签订政府采购合同的成交供应商不得参加对该项目重新开展的采购活动。</w:t>
      </w:r>
    </w:p>
    <w:p w14:paraId="222375E8">
      <w:pPr>
        <w:spacing w:line="380" w:lineRule="exact"/>
        <w:ind w:firstLine="482" w:firstLineChars="200"/>
        <w:rPr>
          <w:rFonts w:hint="default" w:ascii="黑体" w:hAnsi="黑体" w:eastAsia="黑体" w:cs="宋体"/>
          <w:b/>
          <w:bCs/>
          <w:sz w:val="24"/>
          <w:highlight w:val="none"/>
          <w:lang w:val="en-US" w:eastAsia="zh-CN"/>
        </w:rPr>
      </w:pPr>
      <w:r>
        <w:rPr>
          <w:rFonts w:ascii="黑体" w:hAnsi="黑体" w:eastAsia="黑体" w:cs="宋体"/>
          <w:b/>
          <w:bCs/>
          <w:sz w:val="24"/>
          <w:highlight w:val="none"/>
        </w:rPr>
        <w:t>28</w:t>
      </w:r>
      <w:r>
        <w:rPr>
          <w:rFonts w:hint="eastAsia" w:ascii="黑体" w:hAnsi="黑体" w:eastAsia="黑体" w:cs="宋体"/>
          <w:b/>
          <w:bCs/>
          <w:sz w:val="24"/>
          <w:highlight w:val="none"/>
        </w:rPr>
        <w:t>.履约保证金</w:t>
      </w:r>
      <w:r>
        <w:rPr>
          <w:rFonts w:hint="eastAsia" w:ascii="黑体" w:hAnsi="黑体" w:eastAsia="黑体" w:cs="宋体"/>
          <w:b/>
          <w:bCs/>
          <w:sz w:val="24"/>
          <w:highlight w:val="none"/>
          <w:lang w:eastAsia="zh-CN"/>
        </w:rPr>
        <w:t>：</w:t>
      </w:r>
      <w:r>
        <w:rPr>
          <w:rFonts w:hint="eastAsia" w:ascii="黑体" w:hAnsi="黑体" w:eastAsia="黑体" w:cs="宋体"/>
          <w:b/>
          <w:bCs/>
          <w:sz w:val="24"/>
          <w:highlight w:val="none"/>
          <w:lang w:val="en-US" w:eastAsia="zh-CN"/>
        </w:rPr>
        <w:t>无</w:t>
      </w:r>
    </w:p>
    <w:p w14:paraId="27B337DF">
      <w:pPr>
        <w:spacing w:line="380" w:lineRule="exact"/>
        <w:ind w:firstLine="482" w:firstLineChars="200"/>
        <w:rPr>
          <w:rFonts w:ascii="黑体" w:hAnsi="黑体" w:eastAsia="黑体" w:cs="宋体"/>
          <w:b/>
          <w:bCs/>
          <w:sz w:val="24"/>
          <w:highlight w:val="none"/>
        </w:rPr>
      </w:pPr>
      <w:r>
        <w:rPr>
          <w:rFonts w:ascii="黑体" w:hAnsi="黑体" w:eastAsia="黑体" w:cs="宋体"/>
          <w:b/>
          <w:bCs/>
          <w:sz w:val="24"/>
          <w:highlight w:val="none"/>
        </w:rPr>
        <w:t>29</w:t>
      </w:r>
      <w:r>
        <w:rPr>
          <w:rFonts w:hint="eastAsia" w:ascii="黑体" w:hAnsi="黑体" w:eastAsia="黑体" w:cs="宋体"/>
          <w:b/>
          <w:bCs/>
          <w:sz w:val="24"/>
          <w:highlight w:val="none"/>
        </w:rPr>
        <w:t>.签订合同</w:t>
      </w:r>
    </w:p>
    <w:p w14:paraId="21F6A51E">
      <w:pPr>
        <w:spacing w:line="380" w:lineRule="exact"/>
        <w:ind w:firstLine="424" w:firstLineChars="202"/>
        <w:rPr>
          <w:rFonts w:ascii="宋体" w:hAnsi="宋体" w:cs="宋体"/>
          <w:szCs w:val="21"/>
          <w:highlight w:val="none"/>
        </w:rPr>
      </w:pPr>
      <w:r>
        <w:rPr>
          <w:rFonts w:ascii="宋体" w:hAnsi="宋体" w:cs="宋体"/>
          <w:szCs w:val="21"/>
          <w:highlight w:val="none"/>
        </w:rPr>
        <w:t>29</w:t>
      </w:r>
      <w:r>
        <w:rPr>
          <w:rFonts w:hint="eastAsia" w:ascii="宋体" w:hAnsi="宋体" w:cs="宋体"/>
          <w:szCs w:val="21"/>
          <w:highlight w:val="none"/>
        </w:rPr>
        <w:t>.1成交供应商在收到成交通知书</w:t>
      </w:r>
      <w:r>
        <w:rPr>
          <w:rFonts w:hint="eastAsia" w:ascii="宋体" w:hAnsi="宋体"/>
          <w:szCs w:val="21"/>
          <w:highlight w:val="none"/>
        </w:rPr>
        <w:t>（书面或电子）</w:t>
      </w:r>
      <w:r>
        <w:rPr>
          <w:rFonts w:hint="eastAsia" w:ascii="宋体" w:hAnsi="宋体" w:cs="宋体"/>
          <w:szCs w:val="21"/>
          <w:highlight w:val="none"/>
        </w:rPr>
        <w:t>后，按“供应商须知前附表”规定向采购人出示相关证明材料，经采购人核验合格后方可签订合同</w:t>
      </w:r>
      <w:r>
        <w:rPr>
          <w:rFonts w:hint="eastAsia" w:ascii="宋体" w:hAnsi="宋体"/>
          <w:szCs w:val="21"/>
          <w:highlight w:val="none"/>
        </w:rPr>
        <w:t>（书面或电子）</w:t>
      </w:r>
      <w:r>
        <w:rPr>
          <w:rFonts w:hint="eastAsia" w:ascii="宋体" w:hAnsi="宋体" w:cs="宋体"/>
          <w:szCs w:val="21"/>
          <w:highlight w:val="none"/>
        </w:rPr>
        <w:t>。</w:t>
      </w:r>
      <w:r>
        <w:rPr>
          <w:rFonts w:hint="eastAsia" w:ascii="宋体" w:hAnsi="宋体"/>
          <w:szCs w:val="21"/>
          <w:highlight w:val="none"/>
        </w:rPr>
        <w:t>如成交供应商为联合体的，</w:t>
      </w:r>
      <w:r>
        <w:rPr>
          <w:rFonts w:ascii="宋体" w:hAnsi="宋体"/>
          <w:szCs w:val="21"/>
          <w:highlight w:val="none"/>
        </w:rPr>
        <w:t>联合体各方应当共同与采购人签订采购合同，就采购合同约定的事项对采购人承担连带责任。</w:t>
      </w:r>
    </w:p>
    <w:p w14:paraId="60AFB8FC">
      <w:pPr>
        <w:spacing w:line="380" w:lineRule="exact"/>
        <w:ind w:firstLine="424" w:firstLineChars="202"/>
        <w:rPr>
          <w:rFonts w:ascii="宋体" w:hAnsi="宋体" w:cs="宋体"/>
          <w:szCs w:val="21"/>
          <w:highlight w:val="none"/>
        </w:rPr>
      </w:pPr>
      <w:r>
        <w:rPr>
          <w:rFonts w:ascii="宋体" w:hAnsi="宋体" w:cs="宋体"/>
          <w:szCs w:val="21"/>
          <w:highlight w:val="none"/>
        </w:rPr>
        <w:t>29</w:t>
      </w:r>
      <w:r>
        <w:rPr>
          <w:rFonts w:hint="eastAsia" w:ascii="宋体" w:hAnsi="宋体" w:cs="宋体"/>
          <w:szCs w:val="21"/>
          <w:highlight w:val="none"/>
        </w:rPr>
        <w:t>.2 签订合同时间：</w:t>
      </w:r>
      <w:r>
        <w:rPr>
          <w:rFonts w:hint="eastAsia" w:hAnsi="宋体"/>
          <w:sz w:val="21"/>
          <w:szCs w:val="21"/>
          <w:highlight w:val="none"/>
        </w:rPr>
        <w:t>自成交通知书发出之日起 20 日内</w:t>
      </w:r>
      <w:r>
        <w:rPr>
          <w:rFonts w:hint="eastAsia" w:ascii="宋体" w:hAnsi="宋体" w:cs="宋体"/>
          <w:szCs w:val="21"/>
          <w:highlight w:val="none"/>
        </w:rPr>
        <w:t>。</w:t>
      </w:r>
    </w:p>
    <w:p w14:paraId="71CAE200">
      <w:pPr>
        <w:spacing w:line="380" w:lineRule="exact"/>
        <w:ind w:firstLine="424" w:firstLineChars="202"/>
        <w:rPr>
          <w:rFonts w:ascii="宋体" w:hAnsi="宋体" w:cs="宋体"/>
          <w:szCs w:val="21"/>
          <w:highlight w:val="none"/>
        </w:rPr>
      </w:pPr>
      <w:r>
        <w:rPr>
          <w:rFonts w:ascii="宋体" w:hAnsi="宋体" w:cs="宋体"/>
          <w:szCs w:val="21"/>
          <w:highlight w:val="none"/>
        </w:rPr>
        <w:t>29</w:t>
      </w:r>
      <w:r>
        <w:rPr>
          <w:rFonts w:hint="eastAsia" w:ascii="宋体" w:hAnsi="宋体" w:cs="宋体"/>
          <w:szCs w:val="21"/>
          <w:highlight w:val="none"/>
        </w:rPr>
        <w:t>.3</w:t>
      </w:r>
      <w:r>
        <w:rPr>
          <w:rFonts w:hint="eastAsia" w:ascii="宋体" w:hAnsi="宋体"/>
          <w:szCs w:val="21"/>
          <w:highlight w:val="none"/>
        </w:rPr>
        <w:t>成交供应商拒绝与采购人签订合同的，按照本须知正文第</w:t>
      </w:r>
      <w:r>
        <w:rPr>
          <w:rFonts w:ascii="宋体" w:hAnsi="宋体"/>
          <w:szCs w:val="21"/>
          <w:highlight w:val="none"/>
        </w:rPr>
        <w:t>27.</w:t>
      </w:r>
      <w:r>
        <w:rPr>
          <w:rFonts w:hint="eastAsia" w:ascii="宋体" w:hAnsi="宋体"/>
          <w:szCs w:val="21"/>
          <w:highlight w:val="none"/>
        </w:rPr>
        <w:t>5</w:t>
      </w:r>
      <w:r>
        <w:rPr>
          <w:rFonts w:ascii="宋体" w:hAnsi="宋体"/>
          <w:szCs w:val="21"/>
          <w:highlight w:val="none"/>
        </w:rPr>
        <w:t>条的规定</w:t>
      </w:r>
      <w:r>
        <w:rPr>
          <w:rFonts w:hint="eastAsia" w:ascii="宋体" w:hAnsi="宋体"/>
          <w:szCs w:val="21"/>
          <w:highlight w:val="none"/>
        </w:rPr>
        <w:t>执行</w:t>
      </w:r>
      <w:r>
        <w:rPr>
          <w:rFonts w:hint="eastAsia" w:ascii="宋体" w:hAnsi="宋体" w:cs="宋体"/>
          <w:szCs w:val="21"/>
          <w:highlight w:val="none"/>
        </w:rPr>
        <w:t>。</w:t>
      </w:r>
    </w:p>
    <w:p w14:paraId="22E051E7">
      <w:pPr>
        <w:spacing w:line="380" w:lineRule="exact"/>
        <w:ind w:firstLine="482" w:firstLineChars="200"/>
        <w:rPr>
          <w:rFonts w:ascii="黑体" w:hAnsi="黑体" w:eastAsia="黑体" w:cs="宋体"/>
          <w:b/>
          <w:bCs/>
          <w:sz w:val="24"/>
          <w:highlight w:val="none"/>
        </w:rPr>
      </w:pPr>
      <w:r>
        <w:rPr>
          <w:rFonts w:ascii="黑体" w:hAnsi="黑体" w:eastAsia="黑体" w:cs="宋体"/>
          <w:b/>
          <w:bCs/>
          <w:sz w:val="24"/>
          <w:highlight w:val="none"/>
        </w:rPr>
        <w:t>30</w:t>
      </w:r>
      <w:r>
        <w:rPr>
          <w:rFonts w:hint="eastAsia" w:ascii="黑体" w:hAnsi="黑体" w:eastAsia="黑体" w:cs="宋体"/>
          <w:b/>
          <w:bCs/>
          <w:sz w:val="24"/>
          <w:highlight w:val="none"/>
        </w:rPr>
        <w:t>.政府采购合同公告</w:t>
      </w:r>
    </w:p>
    <w:p w14:paraId="06EA1A52">
      <w:pPr>
        <w:spacing w:line="380" w:lineRule="exact"/>
        <w:ind w:firstLine="420" w:firstLineChars="200"/>
        <w:rPr>
          <w:rFonts w:ascii="宋体" w:hAnsi="宋体" w:cs="宋体"/>
          <w:szCs w:val="21"/>
          <w:highlight w:val="none"/>
        </w:rPr>
      </w:pPr>
      <w:r>
        <w:rPr>
          <w:rFonts w:hint="eastAsia" w:ascii="宋体" w:hAnsi="宋体" w:cs="宋体"/>
          <w:szCs w:val="21"/>
          <w:highlight w:val="none"/>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6E028A8C">
      <w:pPr>
        <w:spacing w:line="380" w:lineRule="exact"/>
        <w:ind w:firstLine="482" w:firstLineChars="200"/>
        <w:rPr>
          <w:rFonts w:ascii="黑体" w:hAnsi="黑体" w:eastAsia="黑体" w:cs="宋体"/>
          <w:b/>
          <w:bCs/>
          <w:sz w:val="24"/>
          <w:highlight w:val="none"/>
        </w:rPr>
      </w:pPr>
      <w:r>
        <w:rPr>
          <w:rFonts w:ascii="黑体" w:hAnsi="黑体" w:eastAsia="黑体" w:cs="宋体"/>
          <w:b/>
          <w:bCs/>
          <w:sz w:val="24"/>
          <w:highlight w:val="none"/>
        </w:rPr>
        <w:t>31</w:t>
      </w:r>
      <w:r>
        <w:rPr>
          <w:rFonts w:hint="eastAsia" w:ascii="黑体" w:hAnsi="黑体" w:eastAsia="黑体" w:cs="宋体"/>
          <w:b/>
          <w:bCs/>
          <w:sz w:val="24"/>
          <w:highlight w:val="none"/>
        </w:rPr>
        <w:t>. 询问、质疑和投诉</w:t>
      </w:r>
    </w:p>
    <w:p w14:paraId="65798231">
      <w:pPr>
        <w:pStyle w:val="2"/>
        <w:spacing w:after="120" w:line="380" w:lineRule="exact"/>
        <w:rPr>
          <w:rFonts w:ascii="宋体" w:hAnsi="宋体"/>
          <w:szCs w:val="21"/>
          <w:highlight w:val="none"/>
        </w:rPr>
      </w:pPr>
      <w:r>
        <w:rPr>
          <w:rFonts w:ascii="宋体" w:hAnsi="宋体" w:cs="宋体"/>
          <w:highlight w:val="none"/>
        </w:rPr>
        <w:t>31</w:t>
      </w:r>
      <w:r>
        <w:rPr>
          <w:rFonts w:hint="eastAsia" w:ascii="宋体" w:hAnsi="宋体" w:cs="宋体"/>
          <w:highlight w:val="none"/>
        </w:rPr>
        <w:t>.1供应商对政府采购活动事项有疑问的，可以向采购人、采购代理机构提出询问，采购人或者采购代理机构应当在3个工作日内对供应商依法提出的询问作出答复，</w:t>
      </w:r>
      <w:r>
        <w:rPr>
          <w:rFonts w:hint="eastAsia" w:ascii="宋体" w:hAnsi="宋体"/>
          <w:szCs w:val="21"/>
          <w:highlight w:val="none"/>
        </w:rPr>
        <w:t>但答复的内容不得涉及商业秘密。</w:t>
      </w:r>
    </w:p>
    <w:p w14:paraId="26B82690">
      <w:pPr>
        <w:spacing w:line="380" w:lineRule="exact"/>
        <w:ind w:firstLine="420" w:firstLineChars="200"/>
        <w:rPr>
          <w:rFonts w:ascii="宋体" w:hAnsi="宋体" w:cs="宋体"/>
          <w:highlight w:val="none"/>
        </w:rPr>
      </w:pPr>
      <w:r>
        <w:rPr>
          <w:rFonts w:ascii="宋体" w:hAnsi="宋体" w:cs="宋体"/>
          <w:highlight w:val="none"/>
        </w:rPr>
        <w:t>31</w:t>
      </w:r>
      <w:r>
        <w:rPr>
          <w:rFonts w:hint="eastAsia" w:ascii="宋体" w:hAnsi="宋体" w:cs="宋体"/>
          <w:highlight w:val="none"/>
        </w:rPr>
        <w:t>.2供应商认为谈判文件、采购过程或者成交结果使自己的合法权益受到损害的，应当在知道或者应知其权益受到损害之日起7个工作日内，以纸质书面形式向采购人、采购代理机构提出质疑，</w:t>
      </w:r>
      <w:r>
        <w:rPr>
          <w:rFonts w:ascii="Arial" w:hAnsi="Arial" w:cs="Arial"/>
          <w:highlight w:val="none"/>
          <w:shd w:val="clear" w:color="auto" w:fill="FFFFFF"/>
        </w:rPr>
        <w:t>接收质疑函的方式、联系部门、联系电话和通讯地址等信息</w:t>
      </w:r>
      <w:r>
        <w:rPr>
          <w:rFonts w:hint="eastAsia" w:ascii="宋体" w:hAnsi="宋体" w:cs="宋体"/>
          <w:szCs w:val="21"/>
          <w:highlight w:val="none"/>
        </w:rPr>
        <w:t>详见“供应商须知前附表”</w:t>
      </w:r>
      <w:r>
        <w:rPr>
          <w:rFonts w:hint="eastAsia" w:ascii="宋体" w:hAnsi="宋体" w:cs="宋体"/>
          <w:highlight w:val="none"/>
        </w:rPr>
        <w:t>。具体质疑起算时间如下：</w:t>
      </w:r>
    </w:p>
    <w:p w14:paraId="1D27E4F7">
      <w:pPr>
        <w:spacing w:line="380" w:lineRule="exact"/>
        <w:ind w:firstLine="420" w:firstLineChars="200"/>
        <w:rPr>
          <w:rFonts w:ascii="宋体" w:hAnsi="宋体" w:cs="宋体"/>
          <w:highlight w:val="none"/>
        </w:rPr>
      </w:pPr>
      <w:r>
        <w:rPr>
          <w:rFonts w:hint="eastAsia" w:ascii="宋体" w:hAnsi="宋体" w:cs="宋体"/>
          <w:highlight w:val="none"/>
        </w:rPr>
        <w:t>（1）对可以质疑的谈判文件提出质疑的，为获取谈判文件之日；</w:t>
      </w:r>
    </w:p>
    <w:p w14:paraId="20AB8692">
      <w:pPr>
        <w:spacing w:line="380" w:lineRule="exact"/>
        <w:ind w:firstLine="420" w:firstLineChars="200"/>
        <w:rPr>
          <w:rFonts w:ascii="宋体" w:hAnsi="宋体" w:cs="宋体"/>
          <w:highlight w:val="none"/>
        </w:rPr>
      </w:pPr>
      <w:r>
        <w:rPr>
          <w:rFonts w:hint="eastAsia" w:ascii="宋体" w:hAnsi="宋体" w:cs="宋体"/>
          <w:highlight w:val="none"/>
        </w:rPr>
        <w:t>（2）对采购过程提出质疑的，为各采购程序环节结束之日；</w:t>
      </w:r>
    </w:p>
    <w:p w14:paraId="6CB5EAD2">
      <w:pPr>
        <w:spacing w:line="380" w:lineRule="exact"/>
        <w:ind w:firstLine="420" w:firstLineChars="200"/>
        <w:rPr>
          <w:rFonts w:ascii="宋体" w:hAnsi="宋体" w:cs="宋体"/>
          <w:highlight w:val="none"/>
        </w:rPr>
      </w:pPr>
      <w:r>
        <w:rPr>
          <w:rFonts w:hint="eastAsia" w:ascii="宋体" w:hAnsi="宋体" w:cs="宋体"/>
          <w:highlight w:val="none"/>
        </w:rPr>
        <w:t>（3）对成交结果提出质疑的，为成交结果公告期限届满之日。</w:t>
      </w:r>
    </w:p>
    <w:p w14:paraId="7CE11535">
      <w:pPr>
        <w:spacing w:line="380" w:lineRule="exact"/>
        <w:ind w:firstLine="420" w:firstLineChars="200"/>
        <w:rPr>
          <w:rFonts w:ascii="宋体" w:hAnsi="宋体" w:cs="宋体"/>
          <w:highlight w:val="none"/>
        </w:rPr>
      </w:pPr>
      <w:r>
        <w:rPr>
          <w:rFonts w:ascii="宋体" w:hAnsi="宋体" w:cs="宋体"/>
          <w:highlight w:val="none"/>
        </w:rPr>
        <w:t>31</w:t>
      </w:r>
      <w:r>
        <w:rPr>
          <w:rFonts w:hint="eastAsia" w:ascii="宋体" w:hAnsi="宋体" w:cs="宋体"/>
          <w:highlight w:val="none"/>
        </w:rPr>
        <w:t>.3供应商提出的询问或者质疑超出采购人对采购代理机构委托授权范围的，采购代理机构应当告知供应商向采购人提出。政府采购评审专家应当配合采购人或者采购代理机构答复供应商的询问和质疑。</w:t>
      </w:r>
    </w:p>
    <w:p w14:paraId="01816E52">
      <w:pPr>
        <w:spacing w:line="380" w:lineRule="exact"/>
        <w:ind w:firstLine="420" w:firstLineChars="200"/>
        <w:rPr>
          <w:rFonts w:ascii="宋体" w:hAnsi="宋体" w:cs="宋体"/>
          <w:highlight w:val="none"/>
        </w:rPr>
      </w:pPr>
      <w:r>
        <w:rPr>
          <w:rFonts w:ascii="宋体" w:hAnsi="宋体" w:cs="宋体"/>
          <w:highlight w:val="none"/>
        </w:rPr>
        <w:t>31</w:t>
      </w:r>
      <w:r>
        <w:rPr>
          <w:rFonts w:hint="eastAsia" w:ascii="宋体" w:hAnsi="宋体" w:cs="宋体"/>
          <w:highlight w:val="none"/>
        </w:rPr>
        <w:t>.4</w:t>
      </w:r>
      <w:r>
        <w:rPr>
          <w:rFonts w:hint="eastAsia" w:ascii="宋体" w:hAnsi="宋体" w:cs="宋体"/>
          <w:b/>
          <w:highlight w:val="none"/>
        </w:rPr>
        <w:t>供应商提出质疑应当提交质疑函和必要的证明材料，针对同一采购程序环节的质疑必须在法定质疑期内一次性提出。</w:t>
      </w:r>
      <w:r>
        <w:rPr>
          <w:rFonts w:hint="eastAsia" w:ascii="宋体" w:hAnsi="宋体" w:cs="宋体"/>
          <w:highlight w:val="none"/>
        </w:rPr>
        <w:t>质疑函应当包括下列内容</w:t>
      </w:r>
      <w:r>
        <w:rPr>
          <w:rFonts w:hint="eastAsia" w:hAnsi="宋体"/>
          <w:bCs/>
          <w:highlight w:val="none"/>
        </w:rPr>
        <w:t>（质疑函格式后附）</w:t>
      </w:r>
      <w:r>
        <w:rPr>
          <w:rFonts w:hint="eastAsia" w:ascii="宋体" w:hAnsi="宋体" w:cs="宋体"/>
          <w:highlight w:val="none"/>
        </w:rPr>
        <w:t>：</w:t>
      </w:r>
    </w:p>
    <w:p w14:paraId="2CEA1E58">
      <w:pPr>
        <w:spacing w:line="380" w:lineRule="exact"/>
        <w:ind w:firstLine="420" w:firstLineChars="200"/>
        <w:rPr>
          <w:rFonts w:ascii="宋体" w:hAnsi="宋体" w:cs="宋体"/>
          <w:highlight w:val="none"/>
        </w:rPr>
      </w:pPr>
      <w:r>
        <w:rPr>
          <w:rFonts w:hint="eastAsia" w:ascii="宋体" w:hAnsi="宋体" w:cs="宋体"/>
          <w:highlight w:val="none"/>
        </w:rPr>
        <w:t>（1）供应商的姓名或者名称、地址、邮编、联系人及联系电话；</w:t>
      </w:r>
    </w:p>
    <w:p w14:paraId="1AE27C32">
      <w:pPr>
        <w:spacing w:line="380" w:lineRule="exact"/>
        <w:ind w:firstLine="420" w:firstLineChars="200"/>
        <w:rPr>
          <w:rFonts w:ascii="宋体" w:hAnsi="宋体" w:cs="宋体"/>
          <w:highlight w:val="none"/>
        </w:rPr>
      </w:pPr>
      <w:r>
        <w:rPr>
          <w:rFonts w:hint="eastAsia" w:ascii="宋体" w:hAnsi="宋体" w:cs="宋体"/>
          <w:highlight w:val="none"/>
        </w:rPr>
        <w:t>（2）质疑项目的名称、编号；</w:t>
      </w:r>
    </w:p>
    <w:p w14:paraId="1C2B8770">
      <w:pPr>
        <w:spacing w:line="380" w:lineRule="exact"/>
        <w:ind w:firstLine="420" w:firstLineChars="200"/>
        <w:rPr>
          <w:rFonts w:ascii="宋体" w:hAnsi="宋体" w:cs="宋体"/>
          <w:highlight w:val="none"/>
        </w:rPr>
      </w:pPr>
      <w:r>
        <w:rPr>
          <w:rFonts w:hint="eastAsia" w:ascii="宋体" w:hAnsi="宋体" w:cs="宋体"/>
          <w:highlight w:val="none"/>
        </w:rPr>
        <w:t>（3）具体、明确的质疑事项和与质疑事项相关的请求；</w:t>
      </w:r>
    </w:p>
    <w:p w14:paraId="282F2739">
      <w:pPr>
        <w:spacing w:line="380" w:lineRule="exact"/>
        <w:ind w:firstLine="420" w:firstLineChars="200"/>
        <w:rPr>
          <w:rFonts w:ascii="宋体" w:hAnsi="宋体" w:cs="宋体"/>
          <w:highlight w:val="none"/>
        </w:rPr>
      </w:pPr>
      <w:r>
        <w:rPr>
          <w:rFonts w:hint="eastAsia" w:ascii="宋体" w:hAnsi="宋体" w:cs="宋体"/>
          <w:highlight w:val="none"/>
        </w:rPr>
        <w:t>（4）事实依据；</w:t>
      </w:r>
    </w:p>
    <w:p w14:paraId="265FADEB">
      <w:pPr>
        <w:spacing w:line="380" w:lineRule="exact"/>
        <w:ind w:firstLine="420" w:firstLineChars="200"/>
        <w:rPr>
          <w:rFonts w:ascii="宋体" w:hAnsi="宋体" w:cs="宋体"/>
          <w:highlight w:val="none"/>
        </w:rPr>
      </w:pPr>
      <w:r>
        <w:rPr>
          <w:rFonts w:hint="eastAsia" w:ascii="宋体" w:hAnsi="宋体" w:cs="宋体"/>
          <w:highlight w:val="none"/>
        </w:rPr>
        <w:t>（5）必要的法律依据；</w:t>
      </w:r>
    </w:p>
    <w:p w14:paraId="48562DFE">
      <w:pPr>
        <w:spacing w:line="380" w:lineRule="exact"/>
        <w:ind w:firstLine="420" w:firstLineChars="200"/>
        <w:rPr>
          <w:rFonts w:ascii="宋体" w:hAnsi="宋体" w:cs="宋体"/>
          <w:highlight w:val="none"/>
        </w:rPr>
      </w:pPr>
      <w:r>
        <w:rPr>
          <w:rFonts w:hint="eastAsia" w:ascii="宋体" w:hAnsi="宋体" w:cs="宋体"/>
          <w:highlight w:val="none"/>
        </w:rPr>
        <w:t>（6）提出质疑的日期。</w:t>
      </w:r>
    </w:p>
    <w:p w14:paraId="2F7B9CBB">
      <w:pPr>
        <w:spacing w:line="380" w:lineRule="exact"/>
        <w:ind w:firstLine="420" w:firstLineChars="200"/>
        <w:rPr>
          <w:rFonts w:ascii="宋体" w:hAnsi="宋体" w:cs="宋体"/>
          <w:highlight w:val="none"/>
        </w:rPr>
      </w:pPr>
      <w:r>
        <w:rPr>
          <w:rFonts w:hint="eastAsia" w:ascii="宋体" w:hAnsi="宋体" w:cs="宋体"/>
          <w:highlight w:val="none"/>
        </w:rPr>
        <w:t>供应商为自然人的，应当由本人签字；供应商为法人或者其他组织的，应当由法定代表人、主要负责人，或者其委托代理人签字或者盖章，并加盖公章。</w:t>
      </w:r>
    </w:p>
    <w:p w14:paraId="77EE342A">
      <w:pPr>
        <w:spacing w:line="380" w:lineRule="exact"/>
        <w:ind w:firstLine="420" w:firstLineChars="200"/>
        <w:rPr>
          <w:rFonts w:ascii="宋体" w:hAnsi="宋体" w:cs="宋体"/>
          <w:highlight w:val="none"/>
        </w:rPr>
      </w:pPr>
      <w:r>
        <w:rPr>
          <w:rFonts w:hint="eastAsia" w:ascii="宋体" w:hAnsi="宋体" w:cs="宋体"/>
          <w:highlight w:val="none"/>
        </w:rPr>
        <w:t>3</w:t>
      </w:r>
      <w:r>
        <w:rPr>
          <w:rFonts w:ascii="宋体" w:hAnsi="宋体" w:cs="宋体"/>
          <w:highlight w:val="none"/>
        </w:rPr>
        <w:t>1.5</w:t>
      </w:r>
      <w:r>
        <w:rPr>
          <w:rFonts w:hint="eastAsia" w:ascii="宋体" w:hAnsi="宋体" w:cs="宋体"/>
          <w:highlight w:val="none"/>
        </w:rPr>
        <w:t>采购人、采购代理机构认为供应商质疑不成立，或者成立但未对成交结果构成影响的，继续开展采购活动；认为供应商质疑成立且影响或者可能影响成交结果的，按照下列情况处理：</w:t>
      </w:r>
    </w:p>
    <w:p w14:paraId="6D26D00C">
      <w:pPr>
        <w:spacing w:line="380" w:lineRule="exact"/>
        <w:ind w:firstLine="420" w:firstLineChars="200"/>
        <w:rPr>
          <w:rFonts w:ascii="宋体" w:hAnsi="宋体" w:cs="宋体"/>
          <w:highlight w:val="none"/>
        </w:rPr>
      </w:pPr>
      <w:r>
        <w:rPr>
          <w:rFonts w:hint="eastAsia" w:ascii="宋体" w:hAnsi="宋体" w:cs="宋体"/>
          <w:highlight w:val="none"/>
        </w:rPr>
        <w:t>（1）对采购文件提出的质疑，依法通过澄清或者修改可以继续开展采购活动的，澄清或者修改采购文件后继续开展采购活动；否则应当修改采购文件后重新开展采购活动。</w:t>
      </w:r>
    </w:p>
    <w:p w14:paraId="72C4532B">
      <w:pPr>
        <w:spacing w:line="380" w:lineRule="exact"/>
        <w:ind w:firstLine="420" w:firstLineChars="200"/>
        <w:rPr>
          <w:rFonts w:ascii="宋体" w:hAnsi="宋体" w:cs="宋体"/>
          <w:highlight w:val="none"/>
        </w:rPr>
      </w:pPr>
      <w:r>
        <w:rPr>
          <w:rFonts w:hint="eastAsia" w:ascii="宋体" w:hAnsi="宋体" w:cs="宋体"/>
          <w:highlight w:val="none"/>
        </w:rPr>
        <w:t>（2）对采购过程或者成交结果提出的质疑，合格供应商符合法定数量时，可以从合格的成交候选人中另行确定成交供应商的，应当依法另行确定成交供应商；否则应当重新开展采购活动。</w:t>
      </w:r>
    </w:p>
    <w:p w14:paraId="7AFED160">
      <w:pPr>
        <w:spacing w:line="380" w:lineRule="exact"/>
        <w:ind w:firstLine="420" w:firstLineChars="200"/>
        <w:rPr>
          <w:rFonts w:ascii="宋体" w:hAnsi="宋体" w:cs="宋体"/>
          <w:highlight w:val="none"/>
        </w:rPr>
      </w:pPr>
      <w:r>
        <w:rPr>
          <w:rFonts w:hint="eastAsia" w:ascii="宋体" w:hAnsi="宋体" w:cs="宋体"/>
          <w:highlight w:val="none"/>
        </w:rPr>
        <w:t>质疑答复导致成交结果改变的，采购人或者采购代理机构应当将有关情况书面报告本级财政部门。</w:t>
      </w:r>
    </w:p>
    <w:p w14:paraId="0CCCFE41">
      <w:pPr>
        <w:spacing w:line="380" w:lineRule="exact"/>
        <w:ind w:firstLine="420" w:firstLineChars="200"/>
        <w:rPr>
          <w:rFonts w:ascii="宋体" w:hAnsi="宋体" w:cs="宋体"/>
          <w:b/>
          <w:bCs/>
          <w:szCs w:val="21"/>
          <w:highlight w:val="none"/>
        </w:rPr>
      </w:pPr>
      <w:r>
        <w:rPr>
          <w:rFonts w:ascii="宋体" w:hAnsi="宋体" w:cs="宋体"/>
          <w:highlight w:val="none"/>
        </w:rPr>
        <w:t>31</w:t>
      </w:r>
      <w:r>
        <w:rPr>
          <w:rFonts w:hint="eastAsia" w:ascii="宋体" w:hAnsi="宋体" w:cs="宋体"/>
          <w:highlight w:val="none"/>
        </w:rPr>
        <w:t>.</w:t>
      </w:r>
      <w:r>
        <w:rPr>
          <w:rFonts w:ascii="宋体" w:hAnsi="宋体" w:cs="宋体"/>
          <w:highlight w:val="none"/>
        </w:rPr>
        <w:t>6</w:t>
      </w:r>
      <w:r>
        <w:rPr>
          <w:rFonts w:hint="eastAsia" w:ascii="宋体" w:hAnsi="宋体" w:cs="宋体"/>
          <w:highlight w:val="none"/>
        </w:rPr>
        <w:t>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00F8A992">
      <w:pPr>
        <w:spacing w:line="380" w:lineRule="exact"/>
        <w:ind w:firstLine="422" w:firstLineChars="200"/>
        <w:contextualSpacing/>
        <w:rPr>
          <w:rFonts w:ascii="宋体" w:hAnsi="宋体" w:cs="宋体"/>
          <w:b/>
          <w:bCs/>
          <w:szCs w:val="21"/>
          <w:highlight w:val="none"/>
        </w:rPr>
      </w:pPr>
      <w:r>
        <w:rPr>
          <w:rFonts w:ascii="宋体" w:hAnsi="宋体" w:cs="宋体"/>
          <w:b/>
          <w:bCs/>
          <w:szCs w:val="21"/>
          <w:highlight w:val="none"/>
        </w:rPr>
        <w:t>3</w:t>
      </w:r>
      <w:r>
        <w:rPr>
          <w:rFonts w:hint="eastAsia" w:ascii="宋体" w:hAnsi="宋体" w:cs="宋体"/>
          <w:b/>
          <w:bCs/>
          <w:szCs w:val="21"/>
          <w:highlight w:val="none"/>
        </w:rPr>
        <w:t>2.</w:t>
      </w:r>
      <w:r>
        <w:rPr>
          <w:rFonts w:ascii="宋体" w:hAnsi="宋体" w:cs="宋体"/>
          <w:b/>
          <w:bCs/>
          <w:szCs w:val="21"/>
          <w:highlight w:val="none"/>
        </w:rPr>
        <w:t xml:space="preserve"> 需要补充的其他内容</w:t>
      </w:r>
    </w:p>
    <w:p w14:paraId="393BAB03">
      <w:pPr>
        <w:widowControl/>
        <w:tabs>
          <w:tab w:val="left" w:pos="540"/>
        </w:tabs>
        <w:spacing w:line="380" w:lineRule="exact"/>
        <w:ind w:firstLine="420" w:firstLineChars="200"/>
        <w:jc w:val="left"/>
        <w:rPr>
          <w:rFonts w:ascii="宋体"/>
          <w:szCs w:val="21"/>
          <w:highlight w:val="none"/>
        </w:rPr>
      </w:pPr>
      <w:r>
        <w:rPr>
          <w:rFonts w:ascii="宋体" w:hAnsi="宋体"/>
          <w:kern w:val="0"/>
          <w:szCs w:val="21"/>
          <w:highlight w:val="none"/>
        </w:rPr>
        <w:t>3</w:t>
      </w:r>
      <w:r>
        <w:rPr>
          <w:rFonts w:hint="eastAsia" w:ascii="宋体" w:hAnsi="宋体"/>
          <w:kern w:val="0"/>
          <w:szCs w:val="21"/>
          <w:highlight w:val="none"/>
        </w:rPr>
        <w:t>2</w:t>
      </w:r>
      <w:r>
        <w:rPr>
          <w:rFonts w:ascii="宋体" w:hAnsi="宋体"/>
          <w:kern w:val="0"/>
          <w:szCs w:val="21"/>
          <w:highlight w:val="none"/>
        </w:rPr>
        <w:t>.1</w:t>
      </w:r>
      <w:r>
        <w:rPr>
          <w:rFonts w:hint="eastAsia" w:ascii="宋体"/>
          <w:szCs w:val="21"/>
          <w:highlight w:val="none"/>
        </w:rPr>
        <w:t>代理服务收费标准及缴费账户详见“供应商须知前附表”。</w:t>
      </w:r>
    </w:p>
    <w:p w14:paraId="67588B2E">
      <w:pPr>
        <w:widowControl/>
        <w:tabs>
          <w:tab w:val="left" w:pos="540"/>
        </w:tabs>
        <w:spacing w:line="380" w:lineRule="exact"/>
        <w:ind w:firstLine="420" w:firstLineChars="200"/>
        <w:jc w:val="left"/>
        <w:rPr>
          <w:rFonts w:ascii="宋体"/>
          <w:szCs w:val="21"/>
          <w:highlight w:val="none"/>
        </w:rPr>
      </w:pPr>
      <w:r>
        <w:rPr>
          <w:rFonts w:hint="eastAsia" w:ascii="宋体"/>
          <w:szCs w:val="21"/>
          <w:highlight w:val="none"/>
        </w:rPr>
        <w:t>32.2代理服务费收费计算标准：</w:t>
      </w:r>
    </w:p>
    <w:tbl>
      <w:tblPr>
        <w:tblStyle w:val="19"/>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05"/>
        <w:gridCol w:w="1659"/>
        <w:gridCol w:w="1532"/>
        <w:gridCol w:w="1546"/>
      </w:tblGrid>
      <w:tr w14:paraId="3F52B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5" w:type="dxa"/>
            <w:tcBorders>
              <w:tl2br w:val="single" w:color="auto" w:sz="4" w:space="0"/>
            </w:tcBorders>
          </w:tcPr>
          <w:p w14:paraId="3F1A4E9B">
            <w:pPr>
              <w:spacing w:line="380" w:lineRule="exact"/>
              <w:rPr>
                <w:rFonts w:ascii="宋体" w:hAnsi="宋体" w:cs="宋体"/>
                <w:szCs w:val="21"/>
                <w:highlight w:val="none"/>
              </w:rPr>
            </w:pPr>
            <w:r>
              <w:rPr>
                <w:rFonts w:hint="eastAsia" w:ascii="宋体" w:hAnsi="宋体" w:cs="宋体"/>
                <w:szCs w:val="21"/>
                <w:highlight w:val="none"/>
              </w:rPr>
              <w:t xml:space="preserve">               费率</w:t>
            </w:r>
          </w:p>
          <w:p w14:paraId="27B1D696">
            <w:pPr>
              <w:spacing w:line="380" w:lineRule="exact"/>
              <w:rPr>
                <w:rFonts w:ascii="宋体" w:hAnsi="宋体" w:cs="宋体"/>
                <w:szCs w:val="21"/>
                <w:highlight w:val="none"/>
              </w:rPr>
            </w:pPr>
            <w:r>
              <w:rPr>
                <w:rFonts w:hint="eastAsia" w:ascii="宋体" w:hAnsi="宋体" w:cs="宋体"/>
                <w:szCs w:val="21"/>
                <w:highlight w:val="none"/>
              </w:rPr>
              <w:t>金额</w:t>
            </w:r>
          </w:p>
        </w:tc>
        <w:tc>
          <w:tcPr>
            <w:tcW w:w="1659" w:type="dxa"/>
            <w:vAlign w:val="center"/>
          </w:tcPr>
          <w:p w14:paraId="66C90472">
            <w:pPr>
              <w:spacing w:line="380" w:lineRule="exact"/>
              <w:ind w:firstLine="105" w:firstLineChars="50"/>
              <w:jc w:val="center"/>
              <w:rPr>
                <w:rFonts w:ascii="宋体" w:hAnsi="宋体" w:cs="宋体"/>
                <w:szCs w:val="21"/>
                <w:highlight w:val="none"/>
              </w:rPr>
            </w:pPr>
            <w:r>
              <w:rPr>
                <w:rFonts w:hint="eastAsia" w:ascii="宋体" w:hAnsi="宋体" w:cs="宋体"/>
                <w:szCs w:val="21"/>
                <w:highlight w:val="none"/>
              </w:rPr>
              <w:t>货物类</w:t>
            </w:r>
          </w:p>
        </w:tc>
        <w:tc>
          <w:tcPr>
            <w:tcW w:w="1532" w:type="dxa"/>
            <w:vAlign w:val="center"/>
          </w:tcPr>
          <w:p w14:paraId="39D704A8">
            <w:pPr>
              <w:spacing w:line="380" w:lineRule="exact"/>
              <w:jc w:val="center"/>
              <w:rPr>
                <w:rFonts w:ascii="宋体" w:hAnsi="宋体" w:cs="宋体"/>
                <w:szCs w:val="21"/>
                <w:highlight w:val="none"/>
              </w:rPr>
            </w:pPr>
            <w:r>
              <w:rPr>
                <w:rFonts w:hint="eastAsia" w:ascii="宋体" w:hAnsi="宋体" w:cs="宋体"/>
                <w:szCs w:val="21"/>
                <w:highlight w:val="none"/>
              </w:rPr>
              <w:t>服务类</w:t>
            </w:r>
          </w:p>
        </w:tc>
        <w:tc>
          <w:tcPr>
            <w:tcW w:w="1546" w:type="dxa"/>
            <w:vAlign w:val="center"/>
          </w:tcPr>
          <w:p w14:paraId="057EBE71">
            <w:pPr>
              <w:spacing w:line="380" w:lineRule="exact"/>
              <w:jc w:val="center"/>
              <w:rPr>
                <w:rFonts w:ascii="宋体" w:hAnsi="宋体" w:cs="宋体"/>
                <w:szCs w:val="21"/>
                <w:highlight w:val="none"/>
              </w:rPr>
            </w:pPr>
            <w:r>
              <w:rPr>
                <w:rFonts w:hint="eastAsia" w:ascii="宋体" w:hAnsi="宋体" w:cs="宋体"/>
                <w:szCs w:val="21"/>
                <w:highlight w:val="none"/>
              </w:rPr>
              <w:t>工程类</w:t>
            </w:r>
          </w:p>
        </w:tc>
      </w:tr>
      <w:tr w14:paraId="2C7BE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5" w:type="dxa"/>
          </w:tcPr>
          <w:p w14:paraId="3E8C92DF">
            <w:pPr>
              <w:spacing w:line="380" w:lineRule="exact"/>
              <w:rPr>
                <w:rFonts w:ascii="宋体" w:hAnsi="宋体" w:cs="宋体"/>
                <w:szCs w:val="21"/>
                <w:highlight w:val="none"/>
              </w:rPr>
            </w:pPr>
            <w:r>
              <w:rPr>
                <w:rFonts w:hint="eastAsia" w:ascii="宋体" w:hAnsi="宋体" w:cs="宋体"/>
                <w:szCs w:val="21"/>
                <w:highlight w:val="none"/>
              </w:rPr>
              <w:t>100万元以下</w:t>
            </w:r>
          </w:p>
        </w:tc>
        <w:tc>
          <w:tcPr>
            <w:tcW w:w="1659" w:type="dxa"/>
          </w:tcPr>
          <w:p w14:paraId="6A51DADB">
            <w:pPr>
              <w:spacing w:line="380" w:lineRule="exact"/>
              <w:rPr>
                <w:rFonts w:ascii="宋体" w:hAnsi="宋体" w:cs="宋体"/>
                <w:szCs w:val="21"/>
                <w:highlight w:val="none"/>
              </w:rPr>
            </w:pPr>
            <w:r>
              <w:rPr>
                <w:rFonts w:hint="eastAsia" w:ascii="宋体" w:hAnsi="宋体" w:cs="宋体"/>
                <w:kern w:val="0"/>
                <w:szCs w:val="21"/>
                <w:highlight w:val="none"/>
              </w:rPr>
              <w:t xml:space="preserve">  1.5%                </w:t>
            </w:r>
          </w:p>
        </w:tc>
        <w:tc>
          <w:tcPr>
            <w:tcW w:w="1532" w:type="dxa"/>
          </w:tcPr>
          <w:p w14:paraId="4A7A5BC9">
            <w:pPr>
              <w:spacing w:line="380" w:lineRule="exact"/>
              <w:ind w:firstLine="210" w:firstLineChars="100"/>
              <w:rPr>
                <w:rFonts w:ascii="宋体" w:hAnsi="宋体" w:cs="宋体"/>
                <w:szCs w:val="21"/>
                <w:highlight w:val="none"/>
              </w:rPr>
            </w:pPr>
            <w:r>
              <w:rPr>
                <w:rFonts w:hint="eastAsia" w:ascii="宋体" w:hAnsi="宋体" w:cs="宋体"/>
                <w:kern w:val="0"/>
                <w:szCs w:val="21"/>
                <w:highlight w:val="none"/>
              </w:rPr>
              <w:t>1.5%</w:t>
            </w:r>
          </w:p>
        </w:tc>
        <w:tc>
          <w:tcPr>
            <w:tcW w:w="1546" w:type="dxa"/>
          </w:tcPr>
          <w:p w14:paraId="1E0C87B6">
            <w:pPr>
              <w:spacing w:line="380" w:lineRule="exact"/>
              <w:ind w:firstLine="210" w:firstLineChars="100"/>
              <w:rPr>
                <w:rFonts w:ascii="宋体" w:hAnsi="宋体" w:cs="宋体"/>
                <w:szCs w:val="21"/>
                <w:highlight w:val="none"/>
              </w:rPr>
            </w:pPr>
            <w:r>
              <w:rPr>
                <w:rFonts w:hint="eastAsia" w:ascii="宋体" w:hAnsi="宋体" w:cs="宋体"/>
                <w:kern w:val="0"/>
                <w:szCs w:val="21"/>
                <w:highlight w:val="none"/>
              </w:rPr>
              <w:t xml:space="preserve">1.0% </w:t>
            </w:r>
          </w:p>
        </w:tc>
      </w:tr>
      <w:tr w14:paraId="05658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5" w:type="dxa"/>
          </w:tcPr>
          <w:p w14:paraId="1CDF7F7A">
            <w:pPr>
              <w:spacing w:line="380" w:lineRule="exact"/>
              <w:rPr>
                <w:rFonts w:ascii="宋体" w:hAnsi="宋体" w:cs="宋体"/>
                <w:szCs w:val="21"/>
                <w:highlight w:val="none"/>
              </w:rPr>
            </w:pPr>
            <w:r>
              <w:rPr>
                <w:rFonts w:hint="eastAsia" w:ascii="宋体" w:hAnsi="宋体" w:cs="宋体"/>
                <w:szCs w:val="21"/>
                <w:highlight w:val="none"/>
              </w:rPr>
              <w:t>100～500万元</w:t>
            </w:r>
          </w:p>
        </w:tc>
        <w:tc>
          <w:tcPr>
            <w:tcW w:w="1659" w:type="dxa"/>
          </w:tcPr>
          <w:p w14:paraId="629E6D3D">
            <w:pPr>
              <w:spacing w:line="380" w:lineRule="exact"/>
              <w:ind w:firstLine="210" w:firstLineChars="100"/>
              <w:rPr>
                <w:rFonts w:ascii="宋体" w:hAnsi="宋体" w:cs="宋体"/>
                <w:szCs w:val="21"/>
                <w:highlight w:val="none"/>
              </w:rPr>
            </w:pPr>
            <w:r>
              <w:rPr>
                <w:rFonts w:hint="eastAsia" w:ascii="宋体" w:hAnsi="宋体" w:cs="宋体"/>
                <w:kern w:val="0"/>
                <w:szCs w:val="21"/>
                <w:highlight w:val="none"/>
              </w:rPr>
              <w:t xml:space="preserve">1.1%                 </w:t>
            </w:r>
          </w:p>
        </w:tc>
        <w:tc>
          <w:tcPr>
            <w:tcW w:w="1532" w:type="dxa"/>
          </w:tcPr>
          <w:p w14:paraId="790B5E2A">
            <w:pPr>
              <w:spacing w:line="380" w:lineRule="exact"/>
              <w:ind w:firstLine="210" w:firstLineChars="100"/>
              <w:rPr>
                <w:rFonts w:ascii="宋体" w:hAnsi="宋体" w:cs="宋体"/>
                <w:szCs w:val="21"/>
                <w:highlight w:val="none"/>
              </w:rPr>
            </w:pPr>
            <w:r>
              <w:rPr>
                <w:rFonts w:hint="eastAsia" w:ascii="宋体" w:hAnsi="宋体" w:cs="宋体"/>
                <w:kern w:val="0"/>
                <w:szCs w:val="21"/>
                <w:highlight w:val="none"/>
              </w:rPr>
              <w:t>0.8%</w:t>
            </w:r>
          </w:p>
        </w:tc>
        <w:tc>
          <w:tcPr>
            <w:tcW w:w="1546" w:type="dxa"/>
          </w:tcPr>
          <w:p w14:paraId="279331FB">
            <w:pPr>
              <w:spacing w:line="380" w:lineRule="exact"/>
              <w:ind w:firstLine="210" w:firstLineChars="100"/>
              <w:rPr>
                <w:rFonts w:ascii="宋体" w:hAnsi="宋体" w:cs="宋体"/>
                <w:szCs w:val="21"/>
                <w:highlight w:val="none"/>
              </w:rPr>
            </w:pPr>
            <w:r>
              <w:rPr>
                <w:rFonts w:hint="eastAsia" w:ascii="宋体" w:hAnsi="宋体" w:cs="宋体"/>
                <w:kern w:val="0"/>
                <w:szCs w:val="21"/>
                <w:highlight w:val="none"/>
              </w:rPr>
              <w:t xml:space="preserve">0.7% </w:t>
            </w:r>
          </w:p>
        </w:tc>
      </w:tr>
      <w:tr w14:paraId="50ADB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5" w:type="dxa"/>
          </w:tcPr>
          <w:p w14:paraId="07902E90">
            <w:pPr>
              <w:spacing w:line="380" w:lineRule="exact"/>
              <w:rPr>
                <w:rFonts w:ascii="宋体" w:hAnsi="宋体" w:cs="宋体"/>
                <w:szCs w:val="21"/>
                <w:highlight w:val="none"/>
              </w:rPr>
            </w:pPr>
            <w:r>
              <w:rPr>
                <w:rFonts w:hint="eastAsia" w:ascii="宋体" w:hAnsi="宋体" w:cs="宋体"/>
                <w:szCs w:val="21"/>
                <w:highlight w:val="none"/>
              </w:rPr>
              <w:t>500～1000万元</w:t>
            </w:r>
          </w:p>
        </w:tc>
        <w:tc>
          <w:tcPr>
            <w:tcW w:w="1659" w:type="dxa"/>
          </w:tcPr>
          <w:p w14:paraId="080DB77C">
            <w:pPr>
              <w:spacing w:line="380" w:lineRule="exact"/>
              <w:rPr>
                <w:rFonts w:ascii="宋体" w:hAnsi="宋体" w:cs="宋体"/>
                <w:szCs w:val="21"/>
                <w:highlight w:val="none"/>
              </w:rPr>
            </w:pPr>
            <w:r>
              <w:rPr>
                <w:rFonts w:hint="eastAsia" w:ascii="宋体" w:hAnsi="宋体" w:cs="宋体"/>
                <w:kern w:val="0"/>
                <w:szCs w:val="21"/>
                <w:highlight w:val="none"/>
              </w:rPr>
              <w:t xml:space="preserve">  0.8%                </w:t>
            </w:r>
          </w:p>
        </w:tc>
        <w:tc>
          <w:tcPr>
            <w:tcW w:w="1532" w:type="dxa"/>
          </w:tcPr>
          <w:p w14:paraId="207B8950">
            <w:pPr>
              <w:spacing w:line="380" w:lineRule="exact"/>
              <w:ind w:firstLine="210" w:firstLineChars="100"/>
              <w:rPr>
                <w:rFonts w:ascii="宋体" w:hAnsi="宋体" w:cs="宋体"/>
                <w:szCs w:val="21"/>
                <w:highlight w:val="none"/>
              </w:rPr>
            </w:pPr>
            <w:r>
              <w:rPr>
                <w:rFonts w:hint="eastAsia" w:ascii="宋体" w:hAnsi="宋体" w:cs="宋体"/>
                <w:kern w:val="0"/>
                <w:szCs w:val="21"/>
                <w:highlight w:val="none"/>
              </w:rPr>
              <w:t>0.45%</w:t>
            </w:r>
          </w:p>
        </w:tc>
        <w:tc>
          <w:tcPr>
            <w:tcW w:w="1546" w:type="dxa"/>
          </w:tcPr>
          <w:p w14:paraId="7D8F88A1">
            <w:pPr>
              <w:spacing w:line="380" w:lineRule="exact"/>
              <w:ind w:firstLine="210" w:firstLineChars="100"/>
              <w:rPr>
                <w:rFonts w:ascii="宋体" w:hAnsi="宋体" w:cs="宋体"/>
                <w:szCs w:val="21"/>
                <w:highlight w:val="none"/>
              </w:rPr>
            </w:pPr>
            <w:r>
              <w:rPr>
                <w:rFonts w:hint="eastAsia" w:ascii="宋体" w:hAnsi="宋体" w:cs="宋体"/>
                <w:kern w:val="0"/>
                <w:szCs w:val="21"/>
                <w:highlight w:val="none"/>
              </w:rPr>
              <w:t>0.55%</w:t>
            </w:r>
          </w:p>
        </w:tc>
      </w:tr>
      <w:tr w14:paraId="44401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5" w:type="dxa"/>
          </w:tcPr>
          <w:p w14:paraId="3ABA790D">
            <w:pPr>
              <w:spacing w:line="380" w:lineRule="exact"/>
              <w:rPr>
                <w:rFonts w:ascii="宋体" w:hAnsi="宋体" w:cs="宋体"/>
                <w:szCs w:val="21"/>
                <w:highlight w:val="none"/>
              </w:rPr>
            </w:pPr>
            <w:r>
              <w:rPr>
                <w:rFonts w:hint="eastAsia" w:ascii="宋体" w:hAnsi="宋体" w:cs="宋体"/>
                <w:szCs w:val="21"/>
                <w:highlight w:val="none"/>
              </w:rPr>
              <w:t>1000～5000万元</w:t>
            </w:r>
          </w:p>
        </w:tc>
        <w:tc>
          <w:tcPr>
            <w:tcW w:w="1659" w:type="dxa"/>
          </w:tcPr>
          <w:p w14:paraId="621422F8">
            <w:pPr>
              <w:spacing w:line="380" w:lineRule="exact"/>
              <w:ind w:firstLine="210" w:firstLineChars="100"/>
              <w:rPr>
                <w:rFonts w:ascii="宋体" w:hAnsi="宋体" w:cs="宋体"/>
                <w:szCs w:val="21"/>
                <w:highlight w:val="none"/>
              </w:rPr>
            </w:pPr>
            <w:r>
              <w:rPr>
                <w:rFonts w:hint="eastAsia" w:ascii="宋体" w:hAnsi="宋体" w:cs="宋体"/>
                <w:kern w:val="0"/>
                <w:szCs w:val="21"/>
                <w:highlight w:val="none"/>
              </w:rPr>
              <w:t xml:space="preserve">0.5%                </w:t>
            </w:r>
          </w:p>
        </w:tc>
        <w:tc>
          <w:tcPr>
            <w:tcW w:w="1532" w:type="dxa"/>
          </w:tcPr>
          <w:p w14:paraId="68193E53">
            <w:pPr>
              <w:spacing w:line="380" w:lineRule="exact"/>
              <w:ind w:firstLine="210" w:firstLineChars="100"/>
              <w:rPr>
                <w:rFonts w:ascii="宋体" w:hAnsi="宋体" w:cs="宋体"/>
                <w:szCs w:val="21"/>
                <w:highlight w:val="none"/>
              </w:rPr>
            </w:pPr>
            <w:r>
              <w:rPr>
                <w:rFonts w:hint="eastAsia" w:ascii="宋体" w:hAnsi="宋体" w:cs="宋体"/>
                <w:kern w:val="0"/>
                <w:szCs w:val="21"/>
                <w:highlight w:val="none"/>
              </w:rPr>
              <w:t>0.25%</w:t>
            </w:r>
          </w:p>
        </w:tc>
        <w:tc>
          <w:tcPr>
            <w:tcW w:w="1546" w:type="dxa"/>
          </w:tcPr>
          <w:p w14:paraId="53127CF2">
            <w:pPr>
              <w:spacing w:line="380" w:lineRule="exact"/>
              <w:ind w:firstLine="210" w:firstLineChars="100"/>
              <w:rPr>
                <w:rFonts w:ascii="宋体" w:hAnsi="宋体" w:cs="宋体"/>
                <w:szCs w:val="21"/>
                <w:highlight w:val="none"/>
              </w:rPr>
            </w:pPr>
            <w:r>
              <w:rPr>
                <w:rFonts w:hint="eastAsia" w:ascii="宋体" w:hAnsi="宋体" w:cs="宋体"/>
                <w:kern w:val="0"/>
                <w:szCs w:val="21"/>
                <w:highlight w:val="none"/>
              </w:rPr>
              <w:t xml:space="preserve">0.35% </w:t>
            </w:r>
          </w:p>
        </w:tc>
      </w:tr>
      <w:tr w14:paraId="5A936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5" w:type="dxa"/>
          </w:tcPr>
          <w:p w14:paraId="4CCCA114">
            <w:pPr>
              <w:spacing w:line="380" w:lineRule="exact"/>
              <w:rPr>
                <w:rFonts w:ascii="宋体" w:hAnsi="宋体" w:cs="宋体"/>
                <w:szCs w:val="21"/>
                <w:highlight w:val="none"/>
              </w:rPr>
            </w:pPr>
            <w:r>
              <w:rPr>
                <w:rFonts w:hint="eastAsia" w:ascii="宋体" w:hAnsi="宋体" w:cs="宋体"/>
                <w:szCs w:val="21"/>
                <w:highlight w:val="none"/>
              </w:rPr>
              <w:t>5000万元～1亿元</w:t>
            </w:r>
          </w:p>
        </w:tc>
        <w:tc>
          <w:tcPr>
            <w:tcW w:w="1659" w:type="dxa"/>
          </w:tcPr>
          <w:p w14:paraId="10A6E1D8">
            <w:pPr>
              <w:spacing w:line="380" w:lineRule="exact"/>
              <w:ind w:firstLine="210" w:firstLineChars="100"/>
              <w:rPr>
                <w:rFonts w:ascii="宋体" w:hAnsi="宋体" w:cs="宋体"/>
                <w:szCs w:val="21"/>
                <w:highlight w:val="none"/>
              </w:rPr>
            </w:pPr>
            <w:r>
              <w:rPr>
                <w:rFonts w:hint="eastAsia" w:ascii="宋体" w:hAnsi="宋体" w:cs="宋体"/>
                <w:kern w:val="0"/>
                <w:szCs w:val="21"/>
                <w:highlight w:val="none"/>
              </w:rPr>
              <w:t xml:space="preserve">0.25%                 </w:t>
            </w:r>
          </w:p>
        </w:tc>
        <w:tc>
          <w:tcPr>
            <w:tcW w:w="1532" w:type="dxa"/>
          </w:tcPr>
          <w:p w14:paraId="50B7ADCB">
            <w:pPr>
              <w:spacing w:line="380" w:lineRule="exact"/>
              <w:ind w:firstLine="210" w:firstLineChars="100"/>
              <w:rPr>
                <w:rFonts w:ascii="宋体" w:hAnsi="宋体" w:cs="宋体"/>
                <w:szCs w:val="21"/>
                <w:highlight w:val="none"/>
              </w:rPr>
            </w:pPr>
            <w:r>
              <w:rPr>
                <w:rFonts w:hint="eastAsia" w:ascii="宋体" w:hAnsi="宋体" w:cs="宋体"/>
                <w:kern w:val="0"/>
                <w:szCs w:val="21"/>
                <w:highlight w:val="none"/>
              </w:rPr>
              <w:t>0.1%</w:t>
            </w:r>
          </w:p>
        </w:tc>
        <w:tc>
          <w:tcPr>
            <w:tcW w:w="1546" w:type="dxa"/>
          </w:tcPr>
          <w:p w14:paraId="4C70D9CF">
            <w:pPr>
              <w:spacing w:line="380" w:lineRule="exact"/>
              <w:ind w:firstLine="210" w:firstLineChars="100"/>
              <w:rPr>
                <w:rFonts w:ascii="宋体" w:hAnsi="宋体" w:cs="宋体"/>
                <w:szCs w:val="21"/>
                <w:highlight w:val="none"/>
              </w:rPr>
            </w:pPr>
            <w:r>
              <w:rPr>
                <w:rFonts w:hint="eastAsia" w:ascii="宋体" w:hAnsi="宋体" w:cs="宋体"/>
                <w:kern w:val="0"/>
                <w:szCs w:val="21"/>
                <w:highlight w:val="none"/>
              </w:rPr>
              <w:t>0.2%</w:t>
            </w:r>
          </w:p>
        </w:tc>
      </w:tr>
      <w:tr w14:paraId="6E841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5" w:type="dxa"/>
          </w:tcPr>
          <w:p w14:paraId="5BE14DD6">
            <w:pPr>
              <w:spacing w:line="380" w:lineRule="exact"/>
              <w:rPr>
                <w:rFonts w:ascii="宋体" w:hAnsi="宋体" w:cs="宋体"/>
                <w:szCs w:val="21"/>
                <w:highlight w:val="none"/>
              </w:rPr>
            </w:pPr>
            <w:r>
              <w:rPr>
                <w:rFonts w:hint="eastAsia" w:ascii="宋体" w:hAnsi="宋体" w:cs="宋体"/>
                <w:szCs w:val="21"/>
                <w:highlight w:val="none"/>
              </w:rPr>
              <w:t>1～5亿元</w:t>
            </w:r>
          </w:p>
        </w:tc>
        <w:tc>
          <w:tcPr>
            <w:tcW w:w="1659" w:type="dxa"/>
          </w:tcPr>
          <w:p w14:paraId="4FEC2E91">
            <w:pPr>
              <w:spacing w:line="380" w:lineRule="exact"/>
              <w:ind w:firstLine="210" w:firstLineChars="100"/>
              <w:rPr>
                <w:rFonts w:ascii="宋体" w:hAnsi="宋体" w:cs="宋体"/>
                <w:szCs w:val="21"/>
                <w:highlight w:val="none"/>
              </w:rPr>
            </w:pPr>
            <w:r>
              <w:rPr>
                <w:rFonts w:hint="eastAsia" w:ascii="宋体" w:hAnsi="宋体" w:cs="宋体"/>
                <w:szCs w:val="21"/>
                <w:highlight w:val="none"/>
              </w:rPr>
              <w:t>0.05%</w:t>
            </w:r>
          </w:p>
        </w:tc>
        <w:tc>
          <w:tcPr>
            <w:tcW w:w="1532" w:type="dxa"/>
          </w:tcPr>
          <w:p w14:paraId="30ACE5D2">
            <w:pPr>
              <w:spacing w:line="380" w:lineRule="exact"/>
              <w:rPr>
                <w:rFonts w:ascii="宋体" w:hAnsi="宋体" w:cs="宋体"/>
                <w:szCs w:val="21"/>
                <w:highlight w:val="none"/>
              </w:rPr>
            </w:pPr>
            <w:r>
              <w:rPr>
                <w:rFonts w:hint="eastAsia" w:ascii="宋体" w:hAnsi="宋体" w:cs="宋体"/>
                <w:szCs w:val="21"/>
                <w:highlight w:val="none"/>
              </w:rPr>
              <w:t xml:space="preserve">  0.05%</w:t>
            </w:r>
          </w:p>
        </w:tc>
        <w:tc>
          <w:tcPr>
            <w:tcW w:w="1546" w:type="dxa"/>
          </w:tcPr>
          <w:p w14:paraId="4FB266CA">
            <w:pPr>
              <w:spacing w:line="380" w:lineRule="exact"/>
              <w:rPr>
                <w:rFonts w:ascii="宋体" w:hAnsi="宋体" w:cs="宋体"/>
                <w:szCs w:val="21"/>
                <w:highlight w:val="none"/>
              </w:rPr>
            </w:pPr>
            <w:r>
              <w:rPr>
                <w:rFonts w:hint="eastAsia" w:ascii="宋体" w:hAnsi="宋体" w:cs="宋体"/>
                <w:szCs w:val="21"/>
                <w:highlight w:val="none"/>
              </w:rPr>
              <w:t xml:space="preserve">  0.05%</w:t>
            </w:r>
          </w:p>
        </w:tc>
      </w:tr>
      <w:tr w14:paraId="77A17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5" w:type="dxa"/>
          </w:tcPr>
          <w:p w14:paraId="0E7EF2FF">
            <w:pPr>
              <w:spacing w:line="380" w:lineRule="exact"/>
              <w:rPr>
                <w:rFonts w:ascii="宋体" w:hAnsi="宋体" w:cs="宋体"/>
                <w:szCs w:val="21"/>
                <w:highlight w:val="none"/>
              </w:rPr>
            </w:pPr>
            <w:r>
              <w:rPr>
                <w:rFonts w:hint="eastAsia" w:ascii="宋体" w:hAnsi="宋体" w:cs="宋体"/>
                <w:szCs w:val="21"/>
                <w:highlight w:val="none"/>
              </w:rPr>
              <w:t>5～10亿元</w:t>
            </w:r>
          </w:p>
        </w:tc>
        <w:tc>
          <w:tcPr>
            <w:tcW w:w="1659" w:type="dxa"/>
          </w:tcPr>
          <w:p w14:paraId="593E9725">
            <w:pPr>
              <w:spacing w:line="380" w:lineRule="exact"/>
              <w:ind w:firstLine="105" w:firstLineChars="50"/>
              <w:rPr>
                <w:rFonts w:ascii="宋体" w:hAnsi="宋体" w:cs="宋体"/>
                <w:szCs w:val="21"/>
                <w:highlight w:val="none"/>
              </w:rPr>
            </w:pPr>
            <w:r>
              <w:rPr>
                <w:rFonts w:hint="eastAsia" w:ascii="宋体" w:hAnsi="宋体" w:cs="宋体"/>
                <w:szCs w:val="21"/>
                <w:highlight w:val="none"/>
              </w:rPr>
              <w:t>0.035%</w:t>
            </w:r>
          </w:p>
        </w:tc>
        <w:tc>
          <w:tcPr>
            <w:tcW w:w="1532" w:type="dxa"/>
          </w:tcPr>
          <w:p w14:paraId="5FA0CE78">
            <w:pPr>
              <w:spacing w:line="380" w:lineRule="exact"/>
              <w:rPr>
                <w:rFonts w:ascii="宋体" w:hAnsi="宋体" w:cs="宋体"/>
                <w:szCs w:val="21"/>
                <w:highlight w:val="none"/>
              </w:rPr>
            </w:pPr>
            <w:r>
              <w:rPr>
                <w:rFonts w:hint="eastAsia" w:ascii="宋体" w:hAnsi="宋体" w:cs="宋体"/>
                <w:szCs w:val="21"/>
                <w:highlight w:val="none"/>
              </w:rPr>
              <w:t xml:space="preserve">  0.035%</w:t>
            </w:r>
          </w:p>
        </w:tc>
        <w:tc>
          <w:tcPr>
            <w:tcW w:w="1546" w:type="dxa"/>
          </w:tcPr>
          <w:p w14:paraId="34C4C69C">
            <w:pPr>
              <w:spacing w:line="380" w:lineRule="exact"/>
              <w:ind w:firstLine="105" w:firstLineChars="50"/>
              <w:rPr>
                <w:rFonts w:ascii="宋体" w:hAnsi="宋体" w:cs="宋体"/>
                <w:szCs w:val="21"/>
                <w:highlight w:val="none"/>
              </w:rPr>
            </w:pPr>
            <w:r>
              <w:rPr>
                <w:rFonts w:hint="eastAsia" w:ascii="宋体" w:hAnsi="宋体" w:cs="宋体"/>
                <w:szCs w:val="21"/>
                <w:highlight w:val="none"/>
              </w:rPr>
              <w:t>0.035%</w:t>
            </w:r>
          </w:p>
        </w:tc>
      </w:tr>
      <w:tr w14:paraId="2AAF6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5" w:type="dxa"/>
          </w:tcPr>
          <w:p w14:paraId="5FCF7476">
            <w:pPr>
              <w:spacing w:line="380" w:lineRule="exact"/>
              <w:rPr>
                <w:rFonts w:ascii="宋体" w:hAnsi="宋体" w:cs="宋体"/>
                <w:szCs w:val="21"/>
                <w:highlight w:val="none"/>
              </w:rPr>
            </w:pPr>
            <w:r>
              <w:rPr>
                <w:rFonts w:hint="eastAsia" w:ascii="宋体" w:hAnsi="宋体" w:cs="宋体"/>
                <w:szCs w:val="21"/>
                <w:highlight w:val="none"/>
              </w:rPr>
              <w:t>10～50亿元</w:t>
            </w:r>
          </w:p>
        </w:tc>
        <w:tc>
          <w:tcPr>
            <w:tcW w:w="1659" w:type="dxa"/>
          </w:tcPr>
          <w:p w14:paraId="62EC9D0B">
            <w:pPr>
              <w:spacing w:line="380" w:lineRule="exact"/>
              <w:ind w:firstLine="105" w:firstLineChars="50"/>
              <w:rPr>
                <w:rFonts w:ascii="宋体" w:hAnsi="宋体" w:cs="宋体"/>
                <w:szCs w:val="21"/>
                <w:highlight w:val="none"/>
              </w:rPr>
            </w:pPr>
            <w:r>
              <w:rPr>
                <w:rFonts w:hint="eastAsia" w:ascii="宋体" w:hAnsi="宋体" w:cs="宋体"/>
                <w:szCs w:val="21"/>
                <w:highlight w:val="none"/>
              </w:rPr>
              <w:t>0.008%</w:t>
            </w:r>
          </w:p>
        </w:tc>
        <w:tc>
          <w:tcPr>
            <w:tcW w:w="1532" w:type="dxa"/>
          </w:tcPr>
          <w:p w14:paraId="1E17274E">
            <w:pPr>
              <w:spacing w:line="380" w:lineRule="exact"/>
              <w:ind w:firstLine="210" w:firstLineChars="100"/>
              <w:rPr>
                <w:rFonts w:ascii="宋体" w:hAnsi="宋体" w:cs="宋体"/>
                <w:szCs w:val="21"/>
                <w:highlight w:val="none"/>
              </w:rPr>
            </w:pPr>
            <w:r>
              <w:rPr>
                <w:rFonts w:hint="eastAsia" w:ascii="宋体" w:hAnsi="宋体" w:cs="宋体"/>
                <w:szCs w:val="21"/>
                <w:highlight w:val="none"/>
              </w:rPr>
              <w:t>0.008%</w:t>
            </w:r>
          </w:p>
        </w:tc>
        <w:tc>
          <w:tcPr>
            <w:tcW w:w="1546" w:type="dxa"/>
          </w:tcPr>
          <w:p w14:paraId="663C2FAF">
            <w:pPr>
              <w:spacing w:line="380" w:lineRule="exact"/>
              <w:ind w:firstLine="105" w:firstLineChars="50"/>
              <w:rPr>
                <w:rFonts w:ascii="宋体" w:hAnsi="宋体" w:cs="宋体"/>
                <w:szCs w:val="21"/>
                <w:highlight w:val="none"/>
              </w:rPr>
            </w:pPr>
            <w:r>
              <w:rPr>
                <w:rFonts w:hint="eastAsia" w:ascii="宋体" w:hAnsi="宋体" w:cs="宋体"/>
                <w:szCs w:val="21"/>
                <w:highlight w:val="none"/>
              </w:rPr>
              <w:t>0.008%</w:t>
            </w:r>
          </w:p>
        </w:tc>
      </w:tr>
      <w:tr w14:paraId="51BB5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5" w:type="dxa"/>
          </w:tcPr>
          <w:p w14:paraId="544156BD">
            <w:pPr>
              <w:spacing w:line="380" w:lineRule="exact"/>
              <w:rPr>
                <w:rFonts w:ascii="宋体" w:hAnsi="宋体" w:cs="宋体"/>
                <w:szCs w:val="21"/>
                <w:highlight w:val="none"/>
              </w:rPr>
            </w:pPr>
            <w:r>
              <w:rPr>
                <w:rFonts w:hint="eastAsia" w:ascii="宋体" w:hAnsi="宋体" w:cs="宋体"/>
                <w:szCs w:val="21"/>
                <w:highlight w:val="none"/>
              </w:rPr>
              <w:t>50～100亿元</w:t>
            </w:r>
          </w:p>
        </w:tc>
        <w:tc>
          <w:tcPr>
            <w:tcW w:w="1659" w:type="dxa"/>
          </w:tcPr>
          <w:p w14:paraId="07F40ABD">
            <w:pPr>
              <w:spacing w:line="380" w:lineRule="exact"/>
              <w:rPr>
                <w:rFonts w:ascii="宋体" w:hAnsi="宋体" w:cs="宋体"/>
                <w:szCs w:val="21"/>
                <w:highlight w:val="none"/>
              </w:rPr>
            </w:pPr>
            <w:r>
              <w:rPr>
                <w:rFonts w:hint="eastAsia" w:ascii="宋体" w:hAnsi="宋体" w:cs="宋体"/>
                <w:szCs w:val="21"/>
                <w:highlight w:val="none"/>
              </w:rPr>
              <w:t xml:space="preserve"> 0.006%</w:t>
            </w:r>
          </w:p>
        </w:tc>
        <w:tc>
          <w:tcPr>
            <w:tcW w:w="1532" w:type="dxa"/>
          </w:tcPr>
          <w:p w14:paraId="1600FDD5">
            <w:pPr>
              <w:spacing w:line="380" w:lineRule="exact"/>
              <w:ind w:firstLine="210" w:firstLineChars="100"/>
              <w:rPr>
                <w:rFonts w:ascii="宋体" w:hAnsi="宋体" w:cs="宋体"/>
                <w:szCs w:val="21"/>
                <w:highlight w:val="none"/>
              </w:rPr>
            </w:pPr>
            <w:r>
              <w:rPr>
                <w:rFonts w:hint="eastAsia" w:ascii="宋体" w:hAnsi="宋体" w:cs="宋体"/>
                <w:szCs w:val="21"/>
                <w:highlight w:val="none"/>
              </w:rPr>
              <w:t>0.006%</w:t>
            </w:r>
          </w:p>
        </w:tc>
        <w:tc>
          <w:tcPr>
            <w:tcW w:w="1546" w:type="dxa"/>
          </w:tcPr>
          <w:p w14:paraId="68AACA02">
            <w:pPr>
              <w:spacing w:line="380" w:lineRule="exact"/>
              <w:ind w:firstLine="105" w:firstLineChars="50"/>
              <w:rPr>
                <w:rFonts w:ascii="宋体" w:hAnsi="宋体" w:cs="宋体"/>
                <w:szCs w:val="21"/>
                <w:highlight w:val="none"/>
              </w:rPr>
            </w:pPr>
            <w:r>
              <w:rPr>
                <w:rFonts w:hint="eastAsia" w:ascii="宋体" w:hAnsi="宋体" w:cs="宋体"/>
                <w:szCs w:val="21"/>
                <w:highlight w:val="none"/>
              </w:rPr>
              <w:t>0.006%</w:t>
            </w:r>
          </w:p>
        </w:tc>
      </w:tr>
      <w:tr w14:paraId="74015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5" w:type="dxa"/>
          </w:tcPr>
          <w:p w14:paraId="4F01B01F">
            <w:pPr>
              <w:spacing w:line="380" w:lineRule="exact"/>
              <w:rPr>
                <w:rFonts w:ascii="宋体" w:hAnsi="宋体" w:cs="宋体"/>
                <w:szCs w:val="21"/>
                <w:highlight w:val="none"/>
              </w:rPr>
            </w:pPr>
            <w:r>
              <w:rPr>
                <w:rFonts w:hint="eastAsia" w:ascii="宋体" w:hAnsi="宋体" w:cs="宋体"/>
                <w:szCs w:val="21"/>
                <w:highlight w:val="none"/>
              </w:rPr>
              <w:t>100亿以上</w:t>
            </w:r>
          </w:p>
        </w:tc>
        <w:tc>
          <w:tcPr>
            <w:tcW w:w="1659" w:type="dxa"/>
          </w:tcPr>
          <w:p w14:paraId="0B4A57BD">
            <w:pPr>
              <w:spacing w:line="380" w:lineRule="exact"/>
              <w:rPr>
                <w:rFonts w:ascii="宋体" w:hAnsi="宋体" w:cs="宋体"/>
                <w:szCs w:val="21"/>
                <w:highlight w:val="none"/>
              </w:rPr>
            </w:pPr>
            <w:r>
              <w:rPr>
                <w:rFonts w:hint="eastAsia" w:ascii="宋体" w:hAnsi="宋体" w:cs="宋体"/>
                <w:szCs w:val="21"/>
                <w:highlight w:val="none"/>
              </w:rPr>
              <w:t xml:space="preserve"> 0.004%</w:t>
            </w:r>
          </w:p>
        </w:tc>
        <w:tc>
          <w:tcPr>
            <w:tcW w:w="1532" w:type="dxa"/>
          </w:tcPr>
          <w:p w14:paraId="09ECCF61">
            <w:pPr>
              <w:spacing w:line="380" w:lineRule="exact"/>
              <w:ind w:firstLine="210" w:firstLineChars="100"/>
              <w:rPr>
                <w:rFonts w:ascii="宋体" w:hAnsi="宋体" w:cs="宋体"/>
                <w:szCs w:val="21"/>
                <w:highlight w:val="none"/>
              </w:rPr>
            </w:pPr>
            <w:r>
              <w:rPr>
                <w:rFonts w:hint="eastAsia" w:ascii="宋体" w:hAnsi="宋体" w:cs="宋体"/>
                <w:szCs w:val="21"/>
                <w:highlight w:val="none"/>
              </w:rPr>
              <w:t>0.004%</w:t>
            </w:r>
          </w:p>
        </w:tc>
        <w:tc>
          <w:tcPr>
            <w:tcW w:w="1546" w:type="dxa"/>
          </w:tcPr>
          <w:p w14:paraId="67D3DD84">
            <w:pPr>
              <w:spacing w:line="380" w:lineRule="exact"/>
              <w:ind w:firstLine="105" w:firstLineChars="50"/>
              <w:rPr>
                <w:rFonts w:ascii="宋体" w:hAnsi="宋体" w:cs="宋体"/>
                <w:szCs w:val="21"/>
                <w:highlight w:val="none"/>
              </w:rPr>
            </w:pPr>
            <w:r>
              <w:rPr>
                <w:rFonts w:hint="eastAsia" w:ascii="宋体" w:hAnsi="宋体" w:cs="宋体"/>
                <w:szCs w:val="21"/>
                <w:highlight w:val="none"/>
              </w:rPr>
              <w:t>0.004%</w:t>
            </w:r>
          </w:p>
        </w:tc>
      </w:tr>
    </w:tbl>
    <w:p w14:paraId="715B8C9A">
      <w:pPr>
        <w:spacing w:line="380" w:lineRule="exact"/>
        <w:ind w:firstLine="420" w:firstLineChars="200"/>
        <w:rPr>
          <w:rFonts w:ascii="宋体" w:hAnsi="宋体" w:cs="宋体"/>
          <w:highlight w:val="none"/>
        </w:rPr>
      </w:pPr>
      <w:r>
        <w:rPr>
          <w:rFonts w:ascii="宋体" w:hAnsi="宋体" w:cs="宋体"/>
          <w:highlight w:val="none"/>
        </w:rPr>
        <w:t>注：</w:t>
      </w:r>
    </w:p>
    <w:p w14:paraId="41434F84">
      <w:pPr>
        <w:spacing w:line="380" w:lineRule="exact"/>
        <w:ind w:firstLine="850" w:firstLineChars="405"/>
        <w:rPr>
          <w:rFonts w:ascii="宋体" w:hAnsi="宋体" w:cs="宋体"/>
          <w:highlight w:val="none"/>
        </w:rPr>
      </w:pPr>
      <w:r>
        <w:rPr>
          <w:rFonts w:hint="eastAsia" w:ascii="宋体" w:hAnsi="宋体" w:cs="宋体"/>
          <w:highlight w:val="none"/>
        </w:rPr>
        <w:t>（1）</w:t>
      </w:r>
      <w:r>
        <w:rPr>
          <w:rFonts w:ascii="宋体" w:hAnsi="宋体" w:cs="宋体"/>
          <w:highlight w:val="none"/>
        </w:rPr>
        <w:t>按本表费率计算的收费为</w:t>
      </w:r>
      <w:r>
        <w:rPr>
          <w:rFonts w:hint="eastAsia" w:ascii="宋体" w:hAnsi="宋体" w:cs="宋体"/>
          <w:highlight w:val="none"/>
        </w:rPr>
        <w:t>采购</w:t>
      </w:r>
      <w:r>
        <w:rPr>
          <w:rFonts w:ascii="宋体" w:hAnsi="宋体" w:cs="宋体"/>
          <w:highlight w:val="none"/>
        </w:rPr>
        <w:t>代理的收费基准价格</w:t>
      </w:r>
      <w:r>
        <w:rPr>
          <w:rFonts w:hint="eastAsia" w:ascii="宋体" w:hAnsi="宋体" w:cs="宋体"/>
          <w:highlight w:val="none"/>
        </w:rPr>
        <w:t>；</w:t>
      </w:r>
    </w:p>
    <w:p w14:paraId="3F75D5B7">
      <w:pPr>
        <w:spacing w:line="380" w:lineRule="exact"/>
        <w:ind w:firstLine="850" w:firstLineChars="405"/>
        <w:rPr>
          <w:rFonts w:ascii="宋体" w:hAnsi="宋体" w:cs="宋体"/>
          <w:highlight w:val="none"/>
        </w:rPr>
      </w:pPr>
      <w:r>
        <w:rPr>
          <w:rFonts w:hint="eastAsia" w:ascii="宋体" w:hAnsi="宋体" w:cs="宋体"/>
          <w:highlight w:val="none"/>
        </w:rPr>
        <w:t>（2）采购</w:t>
      </w:r>
      <w:r>
        <w:rPr>
          <w:rFonts w:ascii="宋体" w:hAnsi="宋体" w:cs="宋体"/>
          <w:highlight w:val="none"/>
        </w:rPr>
        <w:t>代理收费按差额定率累进法计算。</w:t>
      </w:r>
    </w:p>
    <w:p w14:paraId="50DBD721">
      <w:pPr>
        <w:spacing w:line="380" w:lineRule="exact"/>
        <w:ind w:firstLine="638" w:firstLineChars="304"/>
        <w:rPr>
          <w:rFonts w:ascii="宋体" w:hAnsi="宋体" w:cs="宋体"/>
          <w:highlight w:val="none"/>
        </w:rPr>
      </w:pPr>
      <w:r>
        <w:rPr>
          <w:rFonts w:ascii="宋体" w:hAnsi="宋体" w:cs="宋体"/>
          <w:highlight w:val="none"/>
        </w:rPr>
        <w:t>例如：某</w:t>
      </w:r>
      <w:r>
        <w:rPr>
          <w:rFonts w:hint="eastAsia" w:ascii="宋体" w:hAnsi="宋体" w:cs="宋体"/>
          <w:highlight w:val="none"/>
        </w:rPr>
        <w:t>服务采购</w:t>
      </w:r>
      <w:r>
        <w:rPr>
          <w:rFonts w:ascii="宋体" w:hAnsi="宋体" w:cs="宋体"/>
          <w:highlight w:val="none"/>
        </w:rPr>
        <w:t>代理业务</w:t>
      </w:r>
      <w:r>
        <w:rPr>
          <w:rFonts w:hint="eastAsia" w:ascii="宋体" w:hAnsi="宋体" w:cs="宋体"/>
          <w:highlight w:val="none"/>
        </w:rPr>
        <w:t>成交</w:t>
      </w:r>
      <w:r>
        <w:rPr>
          <w:rFonts w:ascii="宋体" w:hAnsi="宋体" w:cs="宋体"/>
          <w:highlight w:val="none"/>
        </w:rPr>
        <w:t>金额</w:t>
      </w:r>
      <w:r>
        <w:rPr>
          <w:rFonts w:hint="eastAsia" w:ascii="宋体" w:hAnsi="宋体" w:cs="宋体"/>
          <w:highlight w:val="none"/>
        </w:rPr>
        <w:t>或者暂定价</w:t>
      </w:r>
      <w:r>
        <w:rPr>
          <w:rFonts w:ascii="宋体" w:hAnsi="宋体" w:cs="宋体"/>
          <w:highlight w:val="none"/>
        </w:rPr>
        <w:t>为150万元，计算</w:t>
      </w:r>
      <w:r>
        <w:rPr>
          <w:rFonts w:hint="eastAsia" w:ascii="宋体" w:hAnsi="宋体" w:cs="宋体"/>
          <w:highlight w:val="none"/>
        </w:rPr>
        <w:t>采购</w:t>
      </w:r>
      <w:r>
        <w:rPr>
          <w:rFonts w:ascii="宋体" w:hAnsi="宋体" w:cs="宋体"/>
          <w:highlight w:val="none"/>
        </w:rPr>
        <w:t>代理收费额如下：</w:t>
      </w:r>
    </w:p>
    <w:p w14:paraId="3598869A">
      <w:pPr>
        <w:spacing w:line="380" w:lineRule="exact"/>
        <w:ind w:firstLine="1478" w:firstLineChars="704"/>
        <w:rPr>
          <w:rFonts w:ascii="宋体" w:hAnsi="宋体" w:cs="宋体"/>
          <w:highlight w:val="none"/>
        </w:rPr>
      </w:pPr>
      <w:r>
        <w:rPr>
          <w:rFonts w:ascii="宋体" w:hAnsi="宋体" w:cs="宋体"/>
          <w:highlight w:val="none"/>
        </w:rPr>
        <w:t>100 万元 ×l.5 %＝ 1.5 万元</w:t>
      </w:r>
    </w:p>
    <w:p w14:paraId="1B766483">
      <w:pPr>
        <w:spacing w:line="380" w:lineRule="exact"/>
        <w:ind w:firstLine="1478" w:firstLineChars="704"/>
        <w:rPr>
          <w:rFonts w:ascii="宋体" w:hAnsi="宋体" w:cs="宋体"/>
          <w:highlight w:val="none"/>
        </w:rPr>
      </w:pPr>
      <w:r>
        <w:rPr>
          <w:rFonts w:ascii="宋体" w:hAnsi="宋体" w:cs="宋体"/>
          <w:highlight w:val="none"/>
        </w:rPr>
        <w:t>（ 150 － 100 ）万元 ×0.8%＝ 0.4万元</w:t>
      </w:r>
    </w:p>
    <w:p w14:paraId="38C64A35">
      <w:pPr>
        <w:widowControl/>
        <w:tabs>
          <w:tab w:val="left" w:pos="540"/>
        </w:tabs>
        <w:spacing w:line="380" w:lineRule="exact"/>
        <w:ind w:firstLine="1478" w:firstLineChars="704"/>
        <w:jc w:val="left"/>
        <w:rPr>
          <w:rFonts w:ascii="宋体"/>
          <w:szCs w:val="21"/>
          <w:highlight w:val="none"/>
        </w:rPr>
      </w:pPr>
      <w:r>
        <w:rPr>
          <w:rFonts w:ascii="宋体" w:hAnsi="宋体" w:cs="宋体"/>
          <w:highlight w:val="none"/>
        </w:rPr>
        <w:t>合计收费＝ 1.5 ＋ 0.4＝ 1.9 万元</w:t>
      </w:r>
    </w:p>
    <w:p w14:paraId="59ECC061">
      <w:pPr>
        <w:spacing w:line="380" w:lineRule="exact"/>
        <w:ind w:firstLine="420" w:firstLineChars="200"/>
        <w:contextualSpacing/>
        <w:rPr>
          <w:rFonts w:ascii="宋体" w:hAnsi="宋体"/>
          <w:kern w:val="0"/>
          <w:szCs w:val="21"/>
          <w:highlight w:val="none"/>
        </w:rPr>
      </w:pPr>
      <w:r>
        <w:rPr>
          <w:rFonts w:hint="eastAsia" w:ascii="宋体" w:hAnsi="宋体"/>
          <w:kern w:val="0"/>
          <w:szCs w:val="21"/>
          <w:highlight w:val="none"/>
        </w:rPr>
        <w:t>32.3 解释：</w:t>
      </w:r>
      <w:r>
        <w:rPr>
          <w:rFonts w:hint="eastAsia" w:hAnsi="宋体" w:cs="宋体"/>
          <w:highlight w:val="none"/>
        </w:rPr>
        <w:t>详见</w:t>
      </w:r>
      <w:r>
        <w:rPr>
          <w:rFonts w:hint="eastAsia" w:hAnsi="宋体"/>
          <w:highlight w:val="none"/>
        </w:rPr>
        <w:t>“供应商须知前附表”。</w:t>
      </w:r>
    </w:p>
    <w:p w14:paraId="72AC9D40">
      <w:pPr>
        <w:spacing w:line="380" w:lineRule="exact"/>
        <w:ind w:firstLine="420" w:firstLineChars="200"/>
        <w:contextualSpacing/>
        <w:rPr>
          <w:rFonts w:ascii="宋体" w:hAnsi="宋体"/>
          <w:kern w:val="0"/>
          <w:szCs w:val="21"/>
          <w:highlight w:val="none"/>
        </w:rPr>
      </w:pPr>
      <w:r>
        <w:rPr>
          <w:rFonts w:ascii="宋体" w:hAnsi="宋体"/>
          <w:kern w:val="0"/>
          <w:szCs w:val="21"/>
          <w:highlight w:val="none"/>
        </w:rPr>
        <w:t>3</w:t>
      </w:r>
      <w:r>
        <w:rPr>
          <w:rFonts w:hint="eastAsia" w:ascii="宋体" w:hAnsi="宋体"/>
          <w:kern w:val="0"/>
          <w:szCs w:val="21"/>
          <w:highlight w:val="none"/>
        </w:rPr>
        <w:t>2</w:t>
      </w:r>
      <w:r>
        <w:rPr>
          <w:rFonts w:ascii="宋体" w:hAnsi="宋体"/>
          <w:kern w:val="0"/>
          <w:szCs w:val="21"/>
          <w:highlight w:val="none"/>
        </w:rPr>
        <w:t>.</w:t>
      </w:r>
      <w:r>
        <w:rPr>
          <w:rFonts w:hint="eastAsia" w:ascii="宋体" w:hAnsi="宋体"/>
          <w:kern w:val="0"/>
          <w:szCs w:val="21"/>
          <w:highlight w:val="none"/>
        </w:rPr>
        <w:t>4 其他事项详见“供应商须知前附表”。</w:t>
      </w:r>
    </w:p>
    <w:p w14:paraId="0822F3BC">
      <w:pPr>
        <w:spacing w:line="380" w:lineRule="exact"/>
        <w:ind w:firstLine="420" w:firstLineChars="200"/>
        <w:contextualSpacing/>
        <w:rPr>
          <w:rFonts w:ascii="宋体" w:hAnsi="宋体"/>
          <w:kern w:val="0"/>
          <w:szCs w:val="21"/>
          <w:highlight w:val="none"/>
        </w:rPr>
      </w:pPr>
      <w:r>
        <w:rPr>
          <w:rFonts w:hint="eastAsia" w:ascii="宋体" w:hAnsi="宋体"/>
          <w:kern w:val="0"/>
          <w:szCs w:val="21"/>
          <w:highlight w:val="none"/>
        </w:rPr>
        <w:t>32</w:t>
      </w:r>
      <w:r>
        <w:rPr>
          <w:rFonts w:ascii="宋体" w:hAnsi="宋体"/>
          <w:kern w:val="0"/>
          <w:szCs w:val="21"/>
          <w:highlight w:val="none"/>
        </w:rPr>
        <w:t>.</w:t>
      </w:r>
      <w:bookmarkStart w:id="7" w:name="_Hlk65857140"/>
      <w:r>
        <w:rPr>
          <w:rFonts w:hint="eastAsia" w:ascii="宋体" w:hAnsi="宋体"/>
          <w:kern w:val="0"/>
          <w:szCs w:val="21"/>
          <w:highlight w:val="none"/>
        </w:rPr>
        <w:t>5本谈判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谈判文件规定的中小企业扶持政策：</w:t>
      </w:r>
    </w:p>
    <w:p w14:paraId="58EF6AEF">
      <w:pPr>
        <w:spacing w:line="380" w:lineRule="exact"/>
        <w:ind w:firstLine="420" w:firstLineChars="200"/>
        <w:contextualSpacing/>
        <w:rPr>
          <w:rFonts w:ascii="宋体" w:hAnsi="宋体"/>
          <w:kern w:val="0"/>
          <w:szCs w:val="21"/>
          <w:highlight w:val="none"/>
        </w:rPr>
      </w:pPr>
      <w:r>
        <w:rPr>
          <w:rFonts w:hint="eastAsia" w:ascii="宋体" w:hAnsi="宋体"/>
          <w:kern w:val="0"/>
          <w:szCs w:val="21"/>
          <w:highlight w:val="none"/>
        </w:rPr>
        <w:t>（1）在货物采购项目中，货物由中小企业制造，即货物由中小企业生产且使用该中小企业商号或者注册商标，不对其中涉及的工程承建商和服务的承接商作出要求；</w:t>
      </w:r>
    </w:p>
    <w:p w14:paraId="0FD50F97">
      <w:pPr>
        <w:spacing w:line="380" w:lineRule="exact"/>
        <w:ind w:firstLine="420" w:firstLineChars="200"/>
        <w:contextualSpacing/>
        <w:rPr>
          <w:rFonts w:ascii="宋体" w:hAnsi="宋体"/>
          <w:kern w:val="0"/>
          <w:szCs w:val="21"/>
          <w:highlight w:val="none"/>
        </w:rPr>
      </w:pPr>
      <w:r>
        <w:rPr>
          <w:rFonts w:hint="eastAsia" w:ascii="宋体" w:hAnsi="宋体"/>
          <w:kern w:val="0"/>
          <w:szCs w:val="21"/>
          <w:highlight w:val="none"/>
        </w:rPr>
        <w:t>（2）在工程采购项目中，工程由中小企业承建，即工程施工单位为中小企业，不对其中涉及的货物的制造商和服务的承接商作出要求；</w:t>
      </w:r>
    </w:p>
    <w:p w14:paraId="7E32321F">
      <w:pPr>
        <w:spacing w:line="380" w:lineRule="exact"/>
        <w:ind w:firstLine="420" w:firstLineChars="200"/>
        <w:contextualSpacing/>
        <w:rPr>
          <w:rFonts w:ascii="宋体" w:hAnsi="宋体"/>
          <w:kern w:val="0"/>
          <w:szCs w:val="21"/>
          <w:highlight w:val="none"/>
        </w:rPr>
      </w:pPr>
      <w:r>
        <w:rPr>
          <w:rFonts w:hint="eastAsia" w:ascii="宋体" w:hAnsi="宋体"/>
          <w:kern w:val="0"/>
          <w:szCs w:val="21"/>
          <w:highlight w:val="none"/>
        </w:rPr>
        <w:t>（3）在服务采</w:t>
      </w:r>
      <w:r>
        <w:rPr>
          <w:rFonts w:hint="eastAsia" w:ascii="宋体" w:hAnsi="宋体" w:cs="宋体"/>
          <w:kern w:val="0"/>
          <w:szCs w:val="21"/>
          <w:highlight w:val="none"/>
        </w:rPr>
        <w:t>购项目中，服务由中小企业承接，即提供服务的人员为中小企业依照《中华人民共和国劳动合同法》订</w:t>
      </w:r>
      <w:r>
        <w:rPr>
          <w:rFonts w:hint="eastAsia" w:ascii="宋体" w:hAnsi="宋体"/>
          <w:kern w:val="0"/>
          <w:szCs w:val="21"/>
          <w:highlight w:val="none"/>
        </w:rPr>
        <w:t>立劳动合同的从业人员，不对其中涉及的货物的制造商和工程承建商作出要求。</w:t>
      </w:r>
    </w:p>
    <w:p w14:paraId="1AC3BF31">
      <w:pPr>
        <w:spacing w:line="380" w:lineRule="exact"/>
        <w:ind w:firstLine="420" w:firstLineChars="200"/>
        <w:contextualSpacing/>
        <w:rPr>
          <w:rFonts w:ascii="宋体" w:hAnsi="宋体"/>
          <w:kern w:val="0"/>
          <w:szCs w:val="21"/>
          <w:highlight w:val="none"/>
        </w:rPr>
      </w:pPr>
      <w:r>
        <w:rPr>
          <w:rFonts w:hint="eastAsia" w:ascii="宋体" w:hAnsi="宋体"/>
          <w:kern w:val="0"/>
          <w:szCs w:val="21"/>
          <w:highlight w:val="none"/>
        </w:rPr>
        <w:t>在货物采购项目中，供应商提供的货物既有中小企业制造货物，也有大型企业制造货物的，不享受本谈判文件规定的中小企业扶持政策。以联合体形式参加政府采购活动，联合体各方均为中小企业的，联合体视同中小企业。其中，联合体各方均为小微企业的，联合体视同小微企业。</w:t>
      </w:r>
    </w:p>
    <w:p w14:paraId="3821852E">
      <w:pPr>
        <w:pStyle w:val="7"/>
        <w:spacing w:line="380" w:lineRule="exact"/>
        <w:ind w:firstLine="424" w:firstLineChars="202"/>
        <w:rPr>
          <w:rFonts w:hAnsi="宋体"/>
          <w:sz w:val="21"/>
          <w:szCs w:val="21"/>
          <w:highlight w:val="none"/>
        </w:rPr>
      </w:pPr>
      <w:r>
        <w:rPr>
          <w:rFonts w:hint="eastAsia" w:hAnsi="宋体"/>
          <w:sz w:val="21"/>
          <w:szCs w:val="21"/>
          <w:highlight w:val="none"/>
        </w:rPr>
        <w:t>依据本谈判文件规定享受扶持政策获得政府采购合同的，小微企业不得将合同分包给大中型企业，中型企业不得将合同分包给大型企业。</w:t>
      </w:r>
      <w:bookmarkEnd w:id="7"/>
    </w:p>
    <w:p w14:paraId="23DECD77">
      <w:pPr>
        <w:widowControl/>
        <w:tabs>
          <w:tab w:val="left" w:pos="540"/>
        </w:tabs>
        <w:spacing w:line="380" w:lineRule="exact"/>
        <w:ind w:firstLine="422" w:firstLineChars="200"/>
        <w:jc w:val="left"/>
        <w:rPr>
          <w:rFonts w:ascii="宋体"/>
          <w:szCs w:val="21"/>
          <w:highlight w:val="none"/>
        </w:rPr>
      </w:pPr>
      <w:r>
        <w:rPr>
          <w:rFonts w:hint="eastAsia" w:ascii="宋体"/>
          <w:b/>
          <w:szCs w:val="21"/>
          <w:highlight w:val="none"/>
        </w:rPr>
        <w:t>33、政采贷相关说明：</w:t>
      </w:r>
      <w:r>
        <w:rPr>
          <w:rFonts w:hint="eastAsia" w:ascii="宋体"/>
          <w:szCs w:val="21"/>
          <w:highlight w:val="none"/>
        </w:rPr>
        <w:t>详见“供应商须知前附表”。</w:t>
      </w:r>
    </w:p>
    <w:p w14:paraId="511BAA33">
      <w:pPr>
        <w:pStyle w:val="7"/>
        <w:spacing w:line="360" w:lineRule="auto"/>
        <w:ind w:firstLine="424" w:firstLineChars="202"/>
        <w:jc w:val="center"/>
        <w:rPr>
          <w:rFonts w:ascii="Arial Unicode MS" w:hAnsi="Arial Unicode MS" w:eastAsia="Arial Unicode MS" w:cs="Arial Unicode MS"/>
          <w:sz w:val="40"/>
          <w:szCs w:val="40"/>
          <w:highlight w:val="none"/>
        </w:rPr>
      </w:pPr>
      <w:r>
        <w:rPr>
          <w:rFonts w:hAnsi="宋体"/>
          <w:sz w:val="21"/>
          <w:szCs w:val="21"/>
          <w:highlight w:val="none"/>
        </w:rPr>
        <w:br w:type="page"/>
      </w:r>
      <w:r>
        <w:rPr>
          <w:rFonts w:hint="eastAsia" w:ascii="Arial Unicode MS" w:hAnsi="Arial Unicode MS" w:eastAsia="Arial Unicode MS" w:cs="Arial Unicode MS"/>
          <w:sz w:val="40"/>
          <w:szCs w:val="40"/>
          <w:highlight w:val="none"/>
        </w:rPr>
        <w:t>中小微企业划型标准</w:t>
      </w:r>
    </w:p>
    <w:tbl>
      <w:tblPr>
        <w:tblStyle w:val="19"/>
        <w:tblW w:w="8568" w:type="dxa"/>
        <w:tblInd w:w="250" w:type="dxa"/>
        <w:tblLayout w:type="fixed"/>
        <w:tblCellMar>
          <w:top w:w="0" w:type="dxa"/>
          <w:left w:w="108" w:type="dxa"/>
          <w:bottom w:w="0" w:type="dxa"/>
          <w:right w:w="108" w:type="dxa"/>
        </w:tblCellMar>
      </w:tblPr>
      <w:tblGrid>
        <w:gridCol w:w="1701"/>
        <w:gridCol w:w="1559"/>
        <w:gridCol w:w="1002"/>
        <w:gridCol w:w="1692"/>
        <w:gridCol w:w="1539"/>
        <w:gridCol w:w="1075"/>
      </w:tblGrid>
      <w:tr w14:paraId="6B32DEAD">
        <w:tblPrEx>
          <w:tblCellMar>
            <w:top w:w="0" w:type="dxa"/>
            <w:left w:w="108" w:type="dxa"/>
            <w:bottom w:w="0" w:type="dxa"/>
            <w:right w:w="108" w:type="dxa"/>
          </w:tblCellMar>
        </w:tblPrEx>
        <w:trPr>
          <w:trHeight w:val="285" w:hRule="atLeast"/>
        </w:trPr>
        <w:tc>
          <w:tcPr>
            <w:tcW w:w="1701" w:type="dxa"/>
            <w:tcBorders>
              <w:top w:val="single" w:color="auto" w:sz="4" w:space="0"/>
              <w:left w:val="single" w:color="auto" w:sz="4" w:space="0"/>
              <w:bottom w:val="single" w:color="auto" w:sz="4" w:space="0"/>
              <w:right w:val="single" w:color="auto" w:sz="4" w:space="0"/>
            </w:tcBorders>
            <w:vAlign w:val="center"/>
          </w:tcPr>
          <w:p w14:paraId="5934BDE8">
            <w:pPr>
              <w:widowControl/>
              <w:jc w:val="center"/>
              <w:rPr>
                <w:rFonts w:ascii="仿宋_GB2312" w:hAnsi="仿宋" w:eastAsia="仿宋_GB2312" w:cs="宋体"/>
                <w:b/>
                <w:kern w:val="0"/>
                <w:sz w:val="24"/>
                <w:highlight w:val="none"/>
              </w:rPr>
            </w:pPr>
            <w:r>
              <w:rPr>
                <w:rFonts w:hint="eastAsia" w:ascii="仿宋_GB2312" w:hAnsi="仿宋" w:eastAsia="仿宋_GB2312" w:cs="宋体"/>
                <w:b/>
                <w:kern w:val="0"/>
                <w:sz w:val="24"/>
                <w:highlight w:val="none"/>
              </w:rPr>
              <w:t>行业名称</w:t>
            </w:r>
          </w:p>
        </w:tc>
        <w:tc>
          <w:tcPr>
            <w:tcW w:w="1559" w:type="dxa"/>
            <w:tcBorders>
              <w:top w:val="single" w:color="auto" w:sz="4" w:space="0"/>
              <w:left w:val="nil"/>
              <w:bottom w:val="single" w:color="auto" w:sz="4" w:space="0"/>
              <w:right w:val="single" w:color="auto" w:sz="4" w:space="0"/>
            </w:tcBorders>
            <w:vAlign w:val="center"/>
          </w:tcPr>
          <w:p w14:paraId="7B4BD44F">
            <w:pPr>
              <w:widowControl/>
              <w:jc w:val="center"/>
              <w:rPr>
                <w:rFonts w:ascii="仿宋_GB2312" w:hAnsi="仿宋" w:eastAsia="仿宋_GB2312" w:cs="宋体"/>
                <w:b/>
                <w:kern w:val="0"/>
                <w:sz w:val="24"/>
                <w:highlight w:val="none"/>
              </w:rPr>
            </w:pPr>
            <w:r>
              <w:rPr>
                <w:rFonts w:hint="eastAsia" w:ascii="仿宋_GB2312" w:hAnsi="仿宋" w:eastAsia="仿宋_GB2312" w:cs="宋体"/>
                <w:b/>
                <w:kern w:val="0"/>
                <w:sz w:val="24"/>
                <w:highlight w:val="none"/>
              </w:rPr>
              <w:t>指标名称</w:t>
            </w:r>
          </w:p>
        </w:tc>
        <w:tc>
          <w:tcPr>
            <w:tcW w:w="1002" w:type="dxa"/>
            <w:tcBorders>
              <w:top w:val="single" w:color="auto" w:sz="4" w:space="0"/>
              <w:left w:val="nil"/>
              <w:bottom w:val="single" w:color="auto" w:sz="4" w:space="0"/>
              <w:right w:val="single" w:color="auto" w:sz="4" w:space="0"/>
            </w:tcBorders>
            <w:vAlign w:val="center"/>
          </w:tcPr>
          <w:p w14:paraId="185F9284">
            <w:pPr>
              <w:widowControl/>
              <w:jc w:val="center"/>
              <w:rPr>
                <w:rFonts w:ascii="仿宋_GB2312" w:hAnsi="仿宋" w:eastAsia="仿宋_GB2312" w:cs="宋体"/>
                <w:b/>
                <w:kern w:val="0"/>
                <w:sz w:val="24"/>
                <w:highlight w:val="none"/>
              </w:rPr>
            </w:pPr>
            <w:r>
              <w:rPr>
                <w:rFonts w:hint="eastAsia" w:ascii="仿宋_GB2312" w:hAnsi="仿宋" w:eastAsia="仿宋_GB2312" w:cs="宋体"/>
                <w:b/>
                <w:kern w:val="0"/>
                <w:sz w:val="24"/>
                <w:highlight w:val="none"/>
              </w:rPr>
              <w:t>计量单位</w:t>
            </w:r>
          </w:p>
        </w:tc>
        <w:tc>
          <w:tcPr>
            <w:tcW w:w="1692" w:type="dxa"/>
            <w:tcBorders>
              <w:top w:val="single" w:color="auto" w:sz="4" w:space="0"/>
              <w:left w:val="nil"/>
              <w:bottom w:val="single" w:color="auto" w:sz="4" w:space="0"/>
              <w:right w:val="single" w:color="auto" w:sz="4" w:space="0"/>
            </w:tcBorders>
            <w:vAlign w:val="center"/>
          </w:tcPr>
          <w:p w14:paraId="57EDBDD4">
            <w:pPr>
              <w:widowControl/>
              <w:jc w:val="center"/>
              <w:rPr>
                <w:rFonts w:ascii="仿宋_GB2312" w:hAnsi="仿宋" w:eastAsia="仿宋_GB2312" w:cs="宋体"/>
                <w:b/>
                <w:kern w:val="0"/>
                <w:sz w:val="24"/>
                <w:highlight w:val="none"/>
              </w:rPr>
            </w:pPr>
            <w:r>
              <w:rPr>
                <w:rFonts w:hint="eastAsia" w:ascii="仿宋_GB2312" w:hAnsi="仿宋" w:eastAsia="仿宋_GB2312" w:cs="宋体"/>
                <w:b/>
                <w:kern w:val="0"/>
                <w:sz w:val="24"/>
                <w:highlight w:val="none"/>
              </w:rPr>
              <w:t>中型</w:t>
            </w:r>
          </w:p>
        </w:tc>
        <w:tc>
          <w:tcPr>
            <w:tcW w:w="1539" w:type="dxa"/>
            <w:tcBorders>
              <w:top w:val="single" w:color="auto" w:sz="4" w:space="0"/>
              <w:left w:val="nil"/>
              <w:bottom w:val="single" w:color="auto" w:sz="4" w:space="0"/>
              <w:right w:val="single" w:color="auto" w:sz="4" w:space="0"/>
            </w:tcBorders>
            <w:vAlign w:val="center"/>
          </w:tcPr>
          <w:p w14:paraId="5C9C8DEB">
            <w:pPr>
              <w:widowControl/>
              <w:jc w:val="center"/>
              <w:rPr>
                <w:rFonts w:ascii="仿宋_GB2312" w:hAnsi="仿宋" w:eastAsia="仿宋_GB2312" w:cs="宋体"/>
                <w:b/>
                <w:kern w:val="0"/>
                <w:sz w:val="24"/>
                <w:highlight w:val="none"/>
              </w:rPr>
            </w:pPr>
            <w:r>
              <w:rPr>
                <w:rFonts w:hint="eastAsia" w:ascii="仿宋_GB2312" w:hAnsi="仿宋" w:eastAsia="仿宋_GB2312" w:cs="宋体"/>
                <w:b/>
                <w:kern w:val="0"/>
                <w:sz w:val="24"/>
                <w:highlight w:val="none"/>
              </w:rPr>
              <w:t>小型</w:t>
            </w:r>
          </w:p>
        </w:tc>
        <w:tc>
          <w:tcPr>
            <w:tcW w:w="1075" w:type="dxa"/>
            <w:tcBorders>
              <w:top w:val="single" w:color="auto" w:sz="4" w:space="0"/>
              <w:left w:val="nil"/>
              <w:bottom w:val="single" w:color="auto" w:sz="4" w:space="0"/>
              <w:right w:val="single" w:color="auto" w:sz="4" w:space="0"/>
            </w:tcBorders>
            <w:vAlign w:val="center"/>
          </w:tcPr>
          <w:p w14:paraId="04C4BDA7">
            <w:pPr>
              <w:widowControl/>
              <w:jc w:val="center"/>
              <w:rPr>
                <w:rFonts w:ascii="仿宋_GB2312" w:hAnsi="仿宋" w:eastAsia="仿宋_GB2312" w:cs="宋体"/>
                <w:b/>
                <w:kern w:val="0"/>
                <w:sz w:val="24"/>
                <w:highlight w:val="none"/>
              </w:rPr>
            </w:pPr>
            <w:r>
              <w:rPr>
                <w:rFonts w:hint="eastAsia" w:ascii="仿宋_GB2312" w:hAnsi="仿宋" w:eastAsia="仿宋_GB2312" w:cs="宋体"/>
                <w:b/>
                <w:kern w:val="0"/>
                <w:sz w:val="24"/>
                <w:highlight w:val="none"/>
              </w:rPr>
              <w:t>微型</w:t>
            </w:r>
          </w:p>
        </w:tc>
      </w:tr>
      <w:tr w14:paraId="6AF29BDC">
        <w:tblPrEx>
          <w:tblCellMar>
            <w:top w:w="0" w:type="dxa"/>
            <w:left w:w="108" w:type="dxa"/>
            <w:bottom w:w="0" w:type="dxa"/>
            <w:right w:w="108" w:type="dxa"/>
          </w:tblCellMar>
        </w:tblPrEx>
        <w:trPr>
          <w:trHeight w:val="225" w:hRule="atLeast"/>
        </w:trPr>
        <w:tc>
          <w:tcPr>
            <w:tcW w:w="1701" w:type="dxa"/>
            <w:tcBorders>
              <w:top w:val="nil"/>
              <w:left w:val="single" w:color="auto" w:sz="4" w:space="0"/>
              <w:bottom w:val="single" w:color="auto" w:sz="4" w:space="0"/>
              <w:right w:val="single" w:color="auto" w:sz="4" w:space="0"/>
            </w:tcBorders>
            <w:vAlign w:val="bottom"/>
          </w:tcPr>
          <w:p w14:paraId="5C6EEEF3">
            <w:pPr>
              <w:widowControl/>
              <w:jc w:val="center"/>
              <w:rPr>
                <w:rFonts w:ascii="仿宋_GB2312" w:hAnsi="仿宋" w:eastAsia="仿宋_GB2312" w:cs="宋体"/>
                <w:b/>
                <w:bCs/>
                <w:kern w:val="0"/>
                <w:sz w:val="18"/>
                <w:szCs w:val="18"/>
                <w:highlight w:val="none"/>
              </w:rPr>
            </w:pPr>
            <w:r>
              <w:rPr>
                <w:rFonts w:hint="eastAsia" w:ascii="仿宋_GB2312" w:hAnsi="仿宋" w:eastAsia="仿宋_GB2312" w:cs="宋体"/>
                <w:b/>
                <w:bCs/>
                <w:kern w:val="0"/>
                <w:sz w:val="18"/>
                <w:szCs w:val="18"/>
                <w:highlight w:val="none"/>
              </w:rPr>
              <w:t>农、林、牧、渔</w:t>
            </w:r>
          </w:p>
        </w:tc>
        <w:tc>
          <w:tcPr>
            <w:tcW w:w="1559" w:type="dxa"/>
            <w:tcBorders>
              <w:top w:val="nil"/>
              <w:left w:val="nil"/>
              <w:bottom w:val="single" w:color="auto" w:sz="4" w:space="0"/>
              <w:right w:val="single" w:color="auto" w:sz="4" w:space="0"/>
            </w:tcBorders>
            <w:vAlign w:val="center"/>
          </w:tcPr>
          <w:p w14:paraId="07D02994">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营业收入（Y）</w:t>
            </w:r>
          </w:p>
        </w:tc>
        <w:tc>
          <w:tcPr>
            <w:tcW w:w="1002" w:type="dxa"/>
            <w:tcBorders>
              <w:top w:val="nil"/>
              <w:left w:val="nil"/>
              <w:bottom w:val="single" w:color="auto" w:sz="4" w:space="0"/>
              <w:right w:val="single" w:color="auto" w:sz="4" w:space="0"/>
            </w:tcBorders>
            <w:vAlign w:val="center"/>
          </w:tcPr>
          <w:p w14:paraId="3AD758F3">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万元</w:t>
            </w:r>
          </w:p>
        </w:tc>
        <w:tc>
          <w:tcPr>
            <w:tcW w:w="1692" w:type="dxa"/>
            <w:tcBorders>
              <w:top w:val="nil"/>
              <w:left w:val="nil"/>
              <w:bottom w:val="single" w:color="auto" w:sz="4" w:space="0"/>
              <w:right w:val="single" w:color="auto" w:sz="4" w:space="0"/>
            </w:tcBorders>
            <w:vAlign w:val="center"/>
          </w:tcPr>
          <w:p w14:paraId="1253D301">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500≤Y＜20000</w:t>
            </w:r>
          </w:p>
        </w:tc>
        <w:tc>
          <w:tcPr>
            <w:tcW w:w="1539" w:type="dxa"/>
            <w:tcBorders>
              <w:top w:val="nil"/>
              <w:left w:val="nil"/>
              <w:bottom w:val="single" w:color="auto" w:sz="4" w:space="0"/>
              <w:right w:val="single" w:color="auto" w:sz="4" w:space="0"/>
            </w:tcBorders>
            <w:vAlign w:val="center"/>
          </w:tcPr>
          <w:p w14:paraId="001EBD44">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50≤Y＜500</w:t>
            </w:r>
          </w:p>
        </w:tc>
        <w:tc>
          <w:tcPr>
            <w:tcW w:w="1075" w:type="dxa"/>
            <w:tcBorders>
              <w:top w:val="nil"/>
              <w:left w:val="nil"/>
              <w:bottom w:val="single" w:color="auto" w:sz="4" w:space="0"/>
              <w:right w:val="single" w:color="auto" w:sz="4" w:space="0"/>
            </w:tcBorders>
            <w:vAlign w:val="center"/>
          </w:tcPr>
          <w:p w14:paraId="0EC5F905">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Y＜50</w:t>
            </w:r>
          </w:p>
        </w:tc>
      </w:tr>
      <w:tr w14:paraId="6C0645BE">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vAlign w:val="bottom"/>
          </w:tcPr>
          <w:p w14:paraId="434C6379">
            <w:pPr>
              <w:widowControl/>
              <w:jc w:val="center"/>
              <w:rPr>
                <w:rFonts w:ascii="仿宋_GB2312" w:hAnsi="仿宋" w:eastAsia="仿宋_GB2312" w:cs="宋体"/>
                <w:b/>
                <w:bCs/>
                <w:kern w:val="0"/>
                <w:sz w:val="18"/>
                <w:szCs w:val="18"/>
                <w:highlight w:val="none"/>
              </w:rPr>
            </w:pPr>
            <w:r>
              <w:rPr>
                <w:rFonts w:hint="eastAsia" w:ascii="仿宋_GB2312" w:hAnsi="仿宋" w:eastAsia="仿宋_GB2312" w:cs="宋体"/>
                <w:b/>
                <w:bCs/>
                <w:kern w:val="0"/>
                <w:sz w:val="18"/>
                <w:szCs w:val="18"/>
                <w:highlight w:val="none"/>
              </w:rPr>
              <w:t>工业</w:t>
            </w:r>
          </w:p>
        </w:tc>
        <w:tc>
          <w:tcPr>
            <w:tcW w:w="1559" w:type="dxa"/>
            <w:tcBorders>
              <w:top w:val="nil"/>
              <w:left w:val="nil"/>
              <w:bottom w:val="single" w:color="auto" w:sz="4" w:space="0"/>
              <w:right w:val="single" w:color="auto" w:sz="4" w:space="0"/>
            </w:tcBorders>
            <w:vAlign w:val="center"/>
          </w:tcPr>
          <w:p w14:paraId="0B0917F2">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从业人员（X）</w:t>
            </w:r>
          </w:p>
        </w:tc>
        <w:tc>
          <w:tcPr>
            <w:tcW w:w="1002" w:type="dxa"/>
            <w:tcBorders>
              <w:top w:val="nil"/>
              <w:left w:val="nil"/>
              <w:bottom w:val="single" w:color="auto" w:sz="4" w:space="0"/>
              <w:right w:val="single" w:color="auto" w:sz="4" w:space="0"/>
            </w:tcBorders>
            <w:vAlign w:val="center"/>
          </w:tcPr>
          <w:p w14:paraId="3FCC609B">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人</w:t>
            </w:r>
          </w:p>
        </w:tc>
        <w:tc>
          <w:tcPr>
            <w:tcW w:w="1692" w:type="dxa"/>
            <w:tcBorders>
              <w:top w:val="nil"/>
              <w:left w:val="nil"/>
              <w:bottom w:val="single" w:color="auto" w:sz="4" w:space="0"/>
              <w:right w:val="single" w:color="auto" w:sz="4" w:space="0"/>
            </w:tcBorders>
            <w:vAlign w:val="center"/>
          </w:tcPr>
          <w:p w14:paraId="2E651E7A">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300≤X＜1000</w:t>
            </w:r>
          </w:p>
        </w:tc>
        <w:tc>
          <w:tcPr>
            <w:tcW w:w="1539" w:type="dxa"/>
            <w:tcBorders>
              <w:top w:val="nil"/>
              <w:left w:val="nil"/>
              <w:bottom w:val="single" w:color="auto" w:sz="4" w:space="0"/>
              <w:right w:val="single" w:color="auto" w:sz="4" w:space="0"/>
            </w:tcBorders>
            <w:vAlign w:val="center"/>
          </w:tcPr>
          <w:p w14:paraId="74DC6E55">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20≤X＜300</w:t>
            </w:r>
          </w:p>
        </w:tc>
        <w:tc>
          <w:tcPr>
            <w:tcW w:w="1075" w:type="dxa"/>
            <w:tcBorders>
              <w:top w:val="nil"/>
              <w:left w:val="nil"/>
              <w:bottom w:val="single" w:color="auto" w:sz="4" w:space="0"/>
              <w:right w:val="single" w:color="auto" w:sz="4" w:space="0"/>
            </w:tcBorders>
            <w:vAlign w:val="center"/>
          </w:tcPr>
          <w:p w14:paraId="55E8D531">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X＜20</w:t>
            </w:r>
          </w:p>
        </w:tc>
      </w:tr>
      <w:tr w14:paraId="788F6820">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vAlign w:val="center"/>
          </w:tcPr>
          <w:p w14:paraId="51000815">
            <w:pPr>
              <w:widowControl/>
              <w:jc w:val="left"/>
              <w:rPr>
                <w:rFonts w:ascii="仿宋_GB2312" w:hAnsi="仿宋" w:eastAsia="仿宋_GB2312" w:cs="宋体"/>
                <w:b/>
                <w:bCs/>
                <w:kern w:val="0"/>
                <w:sz w:val="18"/>
                <w:szCs w:val="18"/>
                <w:highlight w:val="none"/>
              </w:rPr>
            </w:pPr>
          </w:p>
        </w:tc>
        <w:tc>
          <w:tcPr>
            <w:tcW w:w="1559" w:type="dxa"/>
            <w:tcBorders>
              <w:top w:val="nil"/>
              <w:left w:val="nil"/>
              <w:bottom w:val="single" w:color="auto" w:sz="4" w:space="0"/>
              <w:right w:val="single" w:color="auto" w:sz="4" w:space="0"/>
            </w:tcBorders>
            <w:vAlign w:val="center"/>
          </w:tcPr>
          <w:p w14:paraId="67D5018D">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营业收入（Y）</w:t>
            </w:r>
          </w:p>
        </w:tc>
        <w:tc>
          <w:tcPr>
            <w:tcW w:w="1002" w:type="dxa"/>
            <w:tcBorders>
              <w:top w:val="nil"/>
              <w:left w:val="nil"/>
              <w:bottom w:val="single" w:color="auto" w:sz="4" w:space="0"/>
              <w:right w:val="single" w:color="auto" w:sz="4" w:space="0"/>
            </w:tcBorders>
            <w:vAlign w:val="center"/>
          </w:tcPr>
          <w:p w14:paraId="35F3C7D3">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万元</w:t>
            </w:r>
          </w:p>
        </w:tc>
        <w:tc>
          <w:tcPr>
            <w:tcW w:w="1692" w:type="dxa"/>
            <w:tcBorders>
              <w:top w:val="nil"/>
              <w:left w:val="nil"/>
              <w:bottom w:val="single" w:color="auto" w:sz="4" w:space="0"/>
              <w:right w:val="single" w:color="auto" w:sz="4" w:space="0"/>
            </w:tcBorders>
            <w:vAlign w:val="center"/>
          </w:tcPr>
          <w:p w14:paraId="689CC0CC">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2000≤Y＜40000</w:t>
            </w:r>
          </w:p>
        </w:tc>
        <w:tc>
          <w:tcPr>
            <w:tcW w:w="1539" w:type="dxa"/>
            <w:tcBorders>
              <w:top w:val="nil"/>
              <w:left w:val="nil"/>
              <w:bottom w:val="single" w:color="auto" w:sz="4" w:space="0"/>
              <w:right w:val="single" w:color="auto" w:sz="4" w:space="0"/>
            </w:tcBorders>
            <w:vAlign w:val="center"/>
          </w:tcPr>
          <w:p w14:paraId="7A68C798">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300≤Y＜2000</w:t>
            </w:r>
          </w:p>
        </w:tc>
        <w:tc>
          <w:tcPr>
            <w:tcW w:w="1075" w:type="dxa"/>
            <w:tcBorders>
              <w:top w:val="nil"/>
              <w:left w:val="nil"/>
              <w:bottom w:val="single" w:color="auto" w:sz="4" w:space="0"/>
              <w:right w:val="single" w:color="auto" w:sz="4" w:space="0"/>
            </w:tcBorders>
            <w:vAlign w:val="center"/>
          </w:tcPr>
          <w:p w14:paraId="21094575">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Y＜300</w:t>
            </w:r>
          </w:p>
        </w:tc>
      </w:tr>
      <w:tr w14:paraId="57947007">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vAlign w:val="bottom"/>
          </w:tcPr>
          <w:p w14:paraId="1D4E10AA">
            <w:pPr>
              <w:widowControl/>
              <w:jc w:val="center"/>
              <w:rPr>
                <w:rFonts w:ascii="仿宋_GB2312" w:hAnsi="仿宋" w:eastAsia="仿宋_GB2312" w:cs="宋体"/>
                <w:b/>
                <w:bCs/>
                <w:kern w:val="0"/>
                <w:sz w:val="18"/>
                <w:szCs w:val="18"/>
                <w:highlight w:val="none"/>
              </w:rPr>
            </w:pPr>
            <w:r>
              <w:rPr>
                <w:rFonts w:hint="eastAsia" w:ascii="仿宋_GB2312" w:hAnsi="仿宋" w:eastAsia="仿宋_GB2312" w:cs="宋体"/>
                <w:b/>
                <w:bCs/>
                <w:kern w:val="0"/>
                <w:sz w:val="18"/>
                <w:szCs w:val="18"/>
                <w:highlight w:val="none"/>
              </w:rPr>
              <w:t>建筑业</w:t>
            </w:r>
          </w:p>
        </w:tc>
        <w:tc>
          <w:tcPr>
            <w:tcW w:w="1559" w:type="dxa"/>
            <w:tcBorders>
              <w:top w:val="nil"/>
              <w:left w:val="nil"/>
              <w:bottom w:val="single" w:color="auto" w:sz="4" w:space="0"/>
              <w:right w:val="single" w:color="auto" w:sz="4" w:space="0"/>
            </w:tcBorders>
            <w:vAlign w:val="center"/>
          </w:tcPr>
          <w:p w14:paraId="0A86909F">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营业收入（Y）</w:t>
            </w:r>
          </w:p>
        </w:tc>
        <w:tc>
          <w:tcPr>
            <w:tcW w:w="1002" w:type="dxa"/>
            <w:tcBorders>
              <w:top w:val="nil"/>
              <w:left w:val="nil"/>
              <w:bottom w:val="single" w:color="auto" w:sz="4" w:space="0"/>
              <w:right w:val="single" w:color="auto" w:sz="4" w:space="0"/>
            </w:tcBorders>
            <w:vAlign w:val="center"/>
          </w:tcPr>
          <w:p w14:paraId="1EC7C34A">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万元</w:t>
            </w:r>
          </w:p>
        </w:tc>
        <w:tc>
          <w:tcPr>
            <w:tcW w:w="1692" w:type="dxa"/>
            <w:tcBorders>
              <w:top w:val="nil"/>
              <w:left w:val="nil"/>
              <w:bottom w:val="single" w:color="auto" w:sz="4" w:space="0"/>
              <w:right w:val="single" w:color="auto" w:sz="4" w:space="0"/>
            </w:tcBorders>
            <w:vAlign w:val="center"/>
          </w:tcPr>
          <w:p w14:paraId="6F3874C2">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6000≤Y＜80000</w:t>
            </w:r>
          </w:p>
        </w:tc>
        <w:tc>
          <w:tcPr>
            <w:tcW w:w="1539" w:type="dxa"/>
            <w:tcBorders>
              <w:top w:val="nil"/>
              <w:left w:val="nil"/>
              <w:bottom w:val="single" w:color="auto" w:sz="4" w:space="0"/>
              <w:right w:val="single" w:color="auto" w:sz="4" w:space="0"/>
            </w:tcBorders>
            <w:vAlign w:val="center"/>
          </w:tcPr>
          <w:p w14:paraId="4691D5AC">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300≤Y＜6000</w:t>
            </w:r>
          </w:p>
        </w:tc>
        <w:tc>
          <w:tcPr>
            <w:tcW w:w="1075" w:type="dxa"/>
            <w:tcBorders>
              <w:top w:val="nil"/>
              <w:left w:val="nil"/>
              <w:bottom w:val="single" w:color="auto" w:sz="4" w:space="0"/>
              <w:right w:val="single" w:color="auto" w:sz="4" w:space="0"/>
            </w:tcBorders>
            <w:vAlign w:val="center"/>
          </w:tcPr>
          <w:p w14:paraId="23B22840">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Y＜300</w:t>
            </w:r>
          </w:p>
        </w:tc>
      </w:tr>
      <w:tr w14:paraId="57AF6D1A">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vAlign w:val="center"/>
          </w:tcPr>
          <w:p w14:paraId="6D7446B8">
            <w:pPr>
              <w:widowControl/>
              <w:jc w:val="left"/>
              <w:rPr>
                <w:rFonts w:ascii="仿宋_GB2312" w:hAnsi="仿宋" w:eastAsia="仿宋_GB2312" w:cs="宋体"/>
                <w:b/>
                <w:bCs/>
                <w:kern w:val="0"/>
                <w:sz w:val="18"/>
                <w:szCs w:val="18"/>
                <w:highlight w:val="none"/>
              </w:rPr>
            </w:pPr>
          </w:p>
        </w:tc>
        <w:tc>
          <w:tcPr>
            <w:tcW w:w="1559" w:type="dxa"/>
            <w:tcBorders>
              <w:top w:val="nil"/>
              <w:left w:val="nil"/>
              <w:bottom w:val="single" w:color="auto" w:sz="4" w:space="0"/>
              <w:right w:val="single" w:color="auto" w:sz="4" w:space="0"/>
            </w:tcBorders>
            <w:vAlign w:val="center"/>
          </w:tcPr>
          <w:p w14:paraId="3112EBE5">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资产总额（Z）</w:t>
            </w:r>
          </w:p>
        </w:tc>
        <w:tc>
          <w:tcPr>
            <w:tcW w:w="1002" w:type="dxa"/>
            <w:tcBorders>
              <w:top w:val="nil"/>
              <w:left w:val="nil"/>
              <w:bottom w:val="single" w:color="auto" w:sz="4" w:space="0"/>
              <w:right w:val="single" w:color="auto" w:sz="4" w:space="0"/>
            </w:tcBorders>
            <w:vAlign w:val="center"/>
          </w:tcPr>
          <w:p w14:paraId="4F961608">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万元</w:t>
            </w:r>
          </w:p>
        </w:tc>
        <w:tc>
          <w:tcPr>
            <w:tcW w:w="1692" w:type="dxa"/>
            <w:tcBorders>
              <w:top w:val="nil"/>
              <w:left w:val="nil"/>
              <w:bottom w:val="single" w:color="auto" w:sz="4" w:space="0"/>
              <w:right w:val="single" w:color="auto" w:sz="4" w:space="0"/>
            </w:tcBorders>
            <w:vAlign w:val="center"/>
          </w:tcPr>
          <w:p w14:paraId="16EC2400">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5000≤Z＜80000</w:t>
            </w:r>
          </w:p>
        </w:tc>
        <w:tc>
          <w:tcPr>
            <w:tcW w:w="1539" w:type="dxa"/>
            <w:tcBorders>
              <w:top w:val="nil"/>
              <w:left w:val="nil"/>
              <w:bottom w:val="single" w:color="auto" w:sz="4" w:space="0"/>
              <w:right w:val="single" w:color="auto" w:sz="4" w:space="0"/>
            </w:tcBorders>
            <w:vAlign w:val="center"/>
          </w:tcPr>
          <w:p w14:paraId="0B015C33">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300≤Z＜5000</w:t>
            </w:r>
          </w:p>
        </w:tc>
        <w:tc>
          <w:tcPr>
            <w:tcW w:w="1075" w:type="dxa"/>
            <w:tcBorders>
              <w:top w:val="nil"/>
              <w:left w:val="nil"/>
              <w:bottom w:val="single" w:color="auto" w:sz="4" w:space="0"/>
              <w:right w:val="single" w:color="auto" w:sz="4" w:space="0"/>
            </w:tcBorders>
            <w:vAlign w:val="center"/>
          </w:tcPr>
          <w:p w14:paraId="5406255D">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Z＜300</w:t>
            </w:r>
          </w:p>
        </w:tc>
      </w:tr>
      <w:tr w14:paraId="2E3BA0EE">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vAlign w:val="bottom"/>
          </w:tcPr>
          <w:p w14:paraId="02EEDEBF">
            <w:pPr>
              <w:widowControl/>
              <w:jc w:val="center"/>
              <w:rPr>
                <w:rFonts w:ascii="仿宋_GB2312" w:hAnsi="仿宋" w:eastAsia="仿宋_GB2312" w:cs="宋体"/>
                <w:b/>
                <w:bCs/>
                <w:kern w:val="0"/>
                <w:sz w:val="18"/>
                <w:szCs w:val="18"/>
                <w:highlight w:val="none"/>
              </w:rPr>
            </w:pPr>
            <w:r>
              <w:rPr>
                <w:rFonts w:hint="eastAsia" w:ascii="仿宋_GB2312" w:hAnsi="仿宋" w:eastAsia="仿宋_GB2312" w:cs="宋体"/>
                <w:b/>
                <w:bCs/>
                <w:kern w:val="0"/>
                <w:sz w:val="18"/>
                <w:szCs w:val="18"/>
                <w:highlight w:val="none"/>
              </w:rPr>
              <w:t>批发业</w:t>
            </w:r>
          </w:p>
        </w:tc>
        <w:tc>
          <w:tcPr>
            <w:tcW w:w="1559" w:type="dxa"/>
            <w:tcBorders>
              <w:top w:val="nil"/>
              <w:left w:val="nil"/>
              <w:bottom w:val="single" w:color="auto" w:sz="4" w:space="0"/>
              <w:right w:val="single" w:color="auto" w:sz="4" w:space="0"/>
            </w:tcBorders>
            <w:vAlign w:val="center"/>
          </w:tcPr>
          <w:p w14:paraId="2C1DE1CD">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从业人员（X）</w:t>
            </w:r>
          </w:p>
        </w:tc>
        <w:tc>
          <w:tcPr>
            <w:tcW w:w="1002" w:type="dxa"/>
            <w:tcBorders>
              <w:top w:val="nil"/>
              <w:left w:val="nil"/>
              <w:bottom w:val="single" w:color="auto" w:sz="4" w:space="0"/>
              <w:right w:val="single" w:color="auto" w:sz="4" w:space="0"/>
            </w:tcBorders>
            <w:vAlign w:val="center"/>
          </w:tcPr>
          <w:p w14:paraId="349D7760">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人</w:t>
            </w:r>
          </w:p>
        </w:tc>
        <w:tc>
          <w:tcPr>
            <w:tcW w:w="1692" w:type="dxa"/>
            <w:tcBorders>
              <w:top w:val="nil"/>
              <w:left w:val="nil"/>
              <w:bottom w:val="single" w:color="auto" w:sz="4" w:space="0"/>
              <w:right w:val="single" w:color="auto" w:sz="4" w:space="0"/>
            </w:tcBorders>
            <w:vAlign w:val="center"/>
          </w:tcPr>
          <w:p w14:paraId="6DEF0E1F">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20≤X＜200</w:t>
            </w:r>
          </w:p>
        </w:tc>
        <w:tc>
          <w:tcPr>
            <w:tcW w:w="1539" w:type="dxa"/>
            <w:tcBorders>
              <w:top w:val="nil"/>
              <w:left w:val="nil"/>
              <w:bottom w:val="single" w:color="auto" w:sz="4" w:space="0"/>
              <w:right w:val="single" w:color="auto" w:sz="4" w:space="0"/>
            </w:tcBorders>
            <w:vAlign w:val="center"/>
          </w:tcPr>
          <w:p w14:paraId="194470F7">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5≤X＜20</w:t>
            </w:r>
          </w:p>
        </w:tc>
        <w:tc>
          <w:tcPr>
            <w:tcW w:w="1075" w:type="dxa"/>
            <w:tcBorders>
              <w:top w:val="nil"/>
              <w:left w:val="nil"/>
              <w:bottom w:val="single" w:color="auto" w:sz="4" w:space="0"/>
              <w:right w:val="single" w:color="auto" w:sz="4" w:space="0"/>
            </w:tcBorders>
            <w:vAlign w:val="center"/>
          </w:tcPr>
          <w:p w14:paraId="6FFCABAA">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X＜5</w:t>
            </w:r>
          </w:p>
        </w:tc>
      </w:tr>
      <w:tr w14:paraId="5589BB6A">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vAlign w:val="center"/>
          </w:tcPr>
          <w:p w14:paraId="1325E755">
            <w:pPr>
              <w:widowControl/>
              <w:jc w:val="left"/>
              <w:rPr>
                <w:rFonts w:ascii="仿宋_GB2312" w:hAnsi="仿宋" w:eastAsia="仿宋_GB2312" w:cs="宋体"/>
                <w:b/>
                <w:bCs/>
                <w:kern w:val="0"/>
                <w:sz w:val="18"/>
                <w:szCs w:val="18"/>
                <w:highlight w:val="none"/>
              </w:rPr>
            </w:pPr>
          </w:p>
        </w:tc>
        <w:tc>
          <w:tcPr>
            <w:tcW w:w="1559" w:type="dxa"/>
            <w:tcBorders>
              <w:top w:val="nil"/>
              <w:left w:val="nil"/>
              <w:bottom w:val="single" w:color="auto" w:sz="4" w:space="0"/>
              <w:right w:val="single" w:color="auto" w:sz="4" w:space="0"/>
            </w:tcBorders>
            <w:vAlign w:val="center"/>
          </w:tcPr>
          <w:p w14:paraId="175AF25F">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营业收入（Y）</w:t>
            </w:r>
          </w:p>
        </w:tc>
        <w:tc>
          <w:tcPr>
            <w:tcW w:w="1002" w:type="dxa"/>
            <w:tcBorders>
              <w:top w:val="nil"/>
              <w:left w:val="nil"/>
              <w:bottom w:val="single" w:color="auto" w:sz="4" w:space="0"/>
              <w:right w:val="single" w:color="auto" w:sz="4" w:space="0"/>
            </w:tcBorders>
            <w:vAlign w:val="center"/>
          </w:tcPr>
          <w:p w14:paraId="4303B481">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万元</w:t>
            </w:r>
          </w:p>
        </w:tc>
        <w:tc>
          <w:tcPr>
            <w:tcW w:w="1692" w:type="dxa"/>
            <w:tcBorders>
              <w:top w:val="nil"/>
              <w:left w:val="nil"/>
              <w:bottom w:val="single" w:color="auto" w:sz="4" w:space="0"/>
              <w:right w:val="single" w:color="auto" w:sz="4" w:space="0"/>
            </w:tcBorders>
            <w:vAlign w:val="center"/>
          </w:tcPr>
          <w:p w14:paraId="7A7CBBB7">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5000≤Y＜40000</w:t>
            </w:r>
          </w:p>
        </w:tc>
        <w:tc>
          <w:tcPr>
            <w:tcW w:w="1539" w:type="dxa"/>
            <w:tcBorders>
              <w:top w:val="nil"/>
              <w:left w:val="nil"/>
              <w:bottom w:val="single" w:color="auto" w:sz="4" w:space="0"/>
              <w:right w:val="single" w:color="auto" w:sz="4" w:space="0"/>
            </w:tcBorders>
            <w:vAlign w:val="center"/>
          </w:tcPr>
          <w:p w14:paraId="5F82B9FC">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1000≤Y＜5000</w:t>
            </w:r>
          </w:p>
        </w:tc>
        <w:tc>
          <w:tcPr>
            <w:tcW w:w="1075" w:type="dxa"/>
            <w:tcBorders>
              <w:top w:val="nil"/>
              <w:left w:val="nil"/>
              <w:bottom w:val="single" w:color="auto" w:sz="4" w:space="0"/>
              <w:right w:val="single" w:color="auto" w:sz="4" w:space="0"/>
            </w:tcBorders>
            <w:vAlign w:val="center"/>
          </w:tcPr>
          <w:p w14:paraId="40101C08">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Y＜1000</w:t>
            </w:r>
          </w:p>
        </w:tc>
      </w:tr>
      <w:tr w14:paraId="710285EF">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vAlign w:val="bottom"/>
          </w:tcPr>
          <w:p w14:paraId="55001A7B">
            <w:pPr>
              <w:widowControl/>
              <w:jc w:val="center"/>
              <w:rPr>
                <w:rFonts w:ascii="仿宋_GB2312" w:hAnsi="仿宋" w:eastAsia="仿宋_GB2312" w:cs="宋体"/>
                <w:b/>
                <w:bCs/>
                <w:kern w:val="0"/>
                <w:sz w:val="18"/>
                <w:szCs w:val="18"/>
                <w:highlight w:val="none"/>
              </w:rPr>
            </w:pPr>
            <w:r>
              <w:rPr>
                <w:rFonts w:hint="eastAsia" w:ascii="仿宋_GB2312" w:hAnsi="仿宋" w:eastAsia="仿宋_GB2312" w:cs="宋体"/>
                <w:b/>
                <w:bCs/>
                <w:kern w:val="0"/>
                <w:sz w:val="18"/>
                <w:szCs w:val="18"/>
                <w:highlight w:val="none"/>
              </w:rPr>
              <w:t>零售业</w:t>
            </w:r>
          </w:p>
        </w:tc>
        <w:tc>
          <w:tcPr>
            <w:tcW w:w="1559" w:type="dxa"/>
            <w:tcBorders>
              <w:top w:val="nil"/>
              <w:left w:val="nil"/>
              <w:bottom w:val="single" w:color="auto" w:sz="4" w:space="0"/>
              <w:right w:val="single" w:color="auto" w:sz="4" w:space="0"/>
            </w:tcBorders>
            <w:vAlign w:val="center"/>
          </w:tcPr>
          <w:p w14:paraId="41B42414">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从业人员（X）</w:t>
            </w:r>
          </w:p>
        </w:tc>
        <w:tc>
          <w:tcPr>
            <w:tcW w:w="1002" w:type="dxa"/>
            <w:tcBorders>
              <w:top w:val="nil"/>
              <w:left w:val="nil"/>
              <w:bottom w:val="single" w:color="auto" w:sz="4" w:space="0"/>
              <w:right w:val="single" w:color="auto" w:sz="4" w:space="0"/>
            </w:tcBorders>
            <w:vAlign w:val="center"/>
          </w:tcPr>
          <w:p w14:paraId="1B75295F">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人</w:t>
            </w:r>
          </w:p>
        </w:tc>
        <w:tc>
          <w:tcPr>
            <w:tcW w:w="1692" w:type="dxa"/>
            <w:tcBorders>
              <w:top w:val="nil"/>
              <w:left w:val="nil"/>
              <w:bottom w:val="single" w:color="auto" w:sz="4" w:space="0"/>
              <w:right w:val="single" w:color="auto" w:sz="4" w:space="0"/>
            </w:tcBorders>
            <w:vAlign w:val="center"/>
          </w:tcPr>
          <w:p w14:paraId="318E9DE8">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50≤X＜300</w:t>
            </w:r>
          </w:p>
        </w:tc>
        <w:tc>
          <w:tcPr>
            <w:tcW w:w="1539" w:type="dxa"/>
            <w:tcBorders>
              <w:top w:val="nil"/>
              <w:left w:val="nil"/>
              <w:bottom w:val="single" w:color="auto" w:sz="4" w:space="0"/>
              <w:right w:val="single" w:color="auto" w:sz="4" w:space="0"/>
            </w:tcBorders>
            <w:vAlign w:val="center"/>
          </w:tcPr>
          <w:p w14:paraId="3CD583BB">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10≤X＜50</w:t>
            </w:r>
          </w:p>
        </w:tc>
        <w:tc>
          <w:tcPr>
            <w:tcW w:w="1075" w:type="dxa"/>
            <w:tcBorders>
              <w:top w:val="nil"/>
              <w:left w:val="nil"/>
              <w:bottom w:val="single" w:color="auto" w:sz="4" w:space="0"/>
              <w:right w:val="single" w:color="auto" w:sz="4" w:space="0"/>
            </w:tcBorders>
            <w:vAlign w:val="center"/>
          </w:tcPr>
          <w:p w14:paraId="49C9DABF">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X＜10</w:t>
            </w:r>
          </w:p>
        </w:tc>
      </w:tr>
      <w:tr w14:paraId="7F86A592">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vAlign w:val="center"/>
          </w:tcPr>
          <w:p w14:paraId="522EA3D1">
            <w:pPr>
              <w:widowControl/>
              <w:jc w:val="left"/>
              <w:rPr>
                <w:rFonts w:ascii="仿宋_GB2312" w:hAnsi="仿宋" w:eastAsia="仿宋_GB2312" w:cs="宋体"/>
                <w:b/>
                <w:bCs/>
                <w:kern w:val="0"/>
                <w:sz w:val="18"/>
                <w:szCs w:val="18"/>
                <w:highlight w:val="none"/>
              </w:rPr>
            </w:pPr>
          </w:p>
        </w:tc>
        <w:tc>
          <w:tcPr>
            <w:tcW w:w="1559" w:type="dxa"/>
            <w:tcBorders>
              <w:top w:val="nil"/>
              <w:left w:val="nil"/>
              <w:bottom w:val="single" w:color="auto" w:sz="4" w:space="0"/>
              <w:right w:val="single" w:color="auto" w:sz="4" w:space="0"/>
            </w:tcBorders>
            <w:vAlign w:val="center"/>
          </w:tcPr>
          <w:p w14:paraId="304AE699">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营业收入（Y）</w:t>
            </w:r>
          </w:p>
        </w:tc>
        <w:tc>
          <w:tcPr>
            <w:tcW w:w="1002" w:type="dxa"/>
            <w:tcBorders>
              <w:top w:val="nil"/>
              <w:left w:val="nil"/>
              <w:bottom w:val="single" w:color="auto" w:sz="4" w:space="0"/>
              <w:right w:val="single" w:color="auto" w:sz="4" w:space="0"/>
            </w:tcBorders>
            <w:vAlign w:val="center"/>
          </w:tcPr>
          <w:p w14:paraId="441A9B41">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万元</w:t>
            </w:r>
          </w:p>
        </w:tc>
        <w:tc>
          <w:tcPr>
            <w:tcW w:w="1692" w:type="dxa"/>
            <w:tcBorders>
              <w:top w:val="nil"/>
              <w:left w:val="nil"/>
              <w:bottom w:val="single" w:color="auto" w:sz="4" w:space="0"/>
              <w:right w:val="single" w:color="auto" w:sz="4" w:space="0"/>
            </w:tcBorders>
            <w:vAlign w:val="center"/>
          </w:tcPr>
          <w:p w14:paraId="1BCFE628">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500≤Y＜20000</w:t>
            </w:r>
          </w:p>
        </w:tc>
        <w:tc>
          <w:tcPr>
            <w:tcW w:w="1539" w:type="dxa"/>
            <w:tcBorders>
              <w:top w:val="nil"/>
              <w:left w:val="nil"/>
              <w:bottom w:val="single" w:color="auto" w:sz="4" w:space="0"/>
              <w:right w:val="single" w:color="auto" w:sz="4" w:space="0"/>
            </w:tcBorders>
            <w:vAlign w:val="center"/>
          </w:tcPr>
          <w:p w14:paraId="2EF8BBC3">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100≤Y＜500</w:t>
            </w:r>
          </w:p>
        </w:tc>
        <w:tc>
          <w:tcPr>
            <w:tcW w:w="1075" w:type="dxa"/>
            <w:tcBorders>
              <w:top w:val="nil"/>
              <w:left w:val="nil"/>
              <w:bottom w:val="single" w:color="auto" w:sz="4" w:space="0"/>
              <w:right w:val="single" w:color="auto" w:sz="4" w:space="0"/>
            </w:tcBorders>
            <w:vAlign w:val="center"/>
          </w:tcPr>
          <w:p w14:paraId="216B1DF0">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Y＜100</w:t>
            </w:r>
          </w:p>
        </w:tc>
      </w:tr>
      <w:tr w14:paraId="59A95AE4">
        <w:tblPrEx>
          <w:tblCellMar>
            <w:top w:w="0" w:type="dxa"/>
            <w:left w:w="108" w:type="dxa"/>
            <w:bottom w:w="0" w:type="dxa"/>
            <w:right w:w="108" w:type="dxa"/>
          </w:tblCellMar>
        </w:tblPrEx>
        <w:trPr>
          <w:trHeight w:val="90" w:hRule="atLeast"/>
        </w:trPr>
        <w:tc>
          <w:tcPr>
            <w:tcW w:w="1701" w:type="dxa"/>
            <w:vMerge w:val="restart"/>
            <w:tcBorders>
              <w:top w:val="nil"/>
              <w:left w:val="single" w:color="auto" w:sz="4" w:space="0"/>
              <w:bottom w:val="single" w:color="auto" w:sz="4" w:space="0"/>
              <w:right w:val="single" w:color="auto" w:sz="4" w:space="0"/>
            </w:tcBorders>
            <w:vAlign w:val="bottom"/>
          </w:tcPr>
          <w:p w14:paraId="3D3ED3FE">
            <w:pPr>
              <w:widowControl/>
              <w:jc w:val="center"/>
              <w:rPr>
                <w:rFonts w:ascii="仿宋_GB2312" w:hAnsi="仿宋" w:eastAsia="仿宋_GB2312" w:cs="宋体"/>
                <w:b/>
                <w:bCs/>
                <w:kern w:val="0"/>
                <w:sz w:val="18"/>
                <w:szCs w:val="18"/>
                <w:highlight w:val="none"/>
              </w:rPr>
            </w:pPr>
            <w:r>
              <w:rPr>
                <w:rFonts w:hint="eastAsia" w:ascii="仿宋_GB2312" w:hAnsi="仿宋" w:eastAsia="仿宋_GB2312" w:cs="宋体"/>
                <w:b/>
                <w:bCs/>
                <w:kern w:val="0"/>
                <w:sz w:val="18"/>
                <w:szCs w:val="18"/>
                <w:highlight w:val="none"/>
              </w:rPr>
              <w:t>交通运输业</w:t>
            </w:r>
          </w:p>
        </w:tc>
        <w:tc>
          <w:tcPr>
            <w:tcW w:w="1559" w:type="dxa"/>
            <w:tcBorders>
              <w:top w:val="nil"/>
              <w:left w:val="nil"/>
              <w:bottom w:val="single" w:color="auto" w:sz="4" w:space="0"/>
              <w:right w:val="single" w:color="auto" w:sz="4" w:space="0"/>
            </w:tcBorders>
            <w:vAlign w:val="center"/>
          </w:tcPr>
          <w:p w14:paraId="51FA53EA">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从业人员（X）</w:t>
            </w:r>
          </w:p>
        </w:tc>
        <w:tc>
          <w:tcPr>
            <w:tcW w:w="1002" w:type="dxa"/>
            <w:tcBorders>
              <w:top w:val="nil"/>
              <w:left w:val="nil"/>
              <w:bottom w:val="single" w:color="auto" w:sz="4" w:space="0"/>
              <w:right w:val="single" w:color="auto" w:sz="4" w:space="0"/>
            </w:tcBorders>
            <w:vAlign w:val="center"/>
          </w:tcPr>
          <w:p w14:paraId="44890D74">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人</w:t>
            </w:r>
          </w:p>
        </w:tc>
        <w:tc>
          <w:tcPr>
            <w:tcW w:w="1692" w:type="dxa"/>
            <w:tcBorders>
              <w:top w:val="nil"/>
              <w:left w:val="nil"/>
              <w:bottom w:val="single" w:color="auto" w:sz="4" w:space="0"/>
              <w:right w:val="single" w:color="auto" w:sz="4" w:space="0"/>
            </w:tcBorders>
            <w:vAlign w:val="center"/>
          </w:tcPr>
          <w:p w14:paraId="715298CB">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300≤X＜1000</w:t>
            </w:r>
          </w:p>
        </w:tc>
        <w:tc>
          <w:tcPr>
            <w:tcW w:w="1539" w:type="dxa"/>
            <w:tcBorders>
              <w:top w:val="nil"/>
              <w:left w:val="nil"/>
              <w:bottom w:val="single" w:color="auto" w:sz="4" w:space="0"/>
              <w:right w:val="single" w:color="auto" w:sz="4" w:space="0"/>
            </w:tcBorders>
            <w:vAlign w:val="center"/>
          </w:tcPr>
          <w:p w14:paraId="438B23FC">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20≤X＜300</w:t>
            </w:r>
          </w:p>
        </w:tc>
        <w:tc>
          <w:tcPr>
            <w:tcW w:w="1075" w:type="dxa"/>
            <w:tcBorders>
              <w:top w:val="nil"/>
              <w:left w:val="nil"/>
              <w:bottom w:val="single" w:color="auto" w:sz="4" w:space="0"/>
              <w:right w:val="single" w:color="auto" w:sz="4" w:space="0"/>
            </w:tcBorders>
            <w:vAlign w:val="center"/>
          </w:tcPr>
          <w:p w14:paraId="51B83FEA">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X＜20</w:t>
            </w:r>
          </w:p>
        </w:tc>
      </w:tr>
      <w:tr w14:paraId="452ADE8E">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vAlign w:val="center"/>
          </w:tcPr>
          <w:p w14:paraId="6B4648E1">
            <w:pPr>
              <w:widowControl/>
              <w:jc w:val="left"/>
              <w:rPr>
                <w:rFonts w:ascii="仿宋_GB2312" w:hAnsi="仿宋" w:eastAsia="仿宋_GB2312" w:cs="宋体"/>
                <w:b/>
                <w:bCs/>
                <w:kern w:val="0"/>
                <w:sz w:val="18"/>
                <w:szCs w:val="18"/>
                <w:highlight w:val="none"/>
              </w:rPr>
            </w:pPr>
          </w:p>
        </w:tc>
        <w:tc>
          <w:tcPr>
            <w:tcW w:w="1559" w:type="dxa"/>
            <w:tcBorders>
              <w:top w:val="nil"/>
              <w:left w:val="nil"/>
              <w:bottom w:val="single" w:color="auto" w:sz="4" w:space="0"/>
              <w:right w:val="single" w:color="auto" w:sz="4" w:space="0"/>
            </w:tcBorders>
            <w:vAlign w:val="center"/>
          </w:tcPr>
          <w:p w14:paraId="4ED161DF">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营业收入（Y）</w:t>
            </w:r>
          </w:p>
        </w:tc>
        <w:tc>
          <w:tcPr>
            <w:tcW w:w="1002" w:type="dxa"/>
            <w:tcBorders>
              <w:top w:val="nil"/>
              <w:left w:val="nil"/>
              <w:bottom w:val="single" w:color="auto" w:sz="4" w:space="0"/>
              <w:right w:val="single" w:color="auto" w:sz="4" w:space="0"/>
            </w:tcBorders>
            <w:vAlign w:val="center"/>
          </w:tcPr>
          <w:p w14:paraId="0DDA0575">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万元</w:t>
            </w:r>
          </w:p>
        </w:tc>
        <w:tc>
          <w:tcPr>
            <w:tcW w:w="1692" w:type="dxa"/>
            <w:tcBorders>
              <w:top w:val="nil"/>
              <w:left w:val="nil"/>
              <w:bottom w:val="single" w:color="auto" w:sz="4" w:space="0"/>
              <w:right w:val="single" w:color="auto" w:sz="4" w:space="0"/>
            </w:tcBorders>
            <w:vAlign w:val="center"/>
          </w:tcPr>
          <w:p w14:paraId="059FFDF7">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3000≤Y＜30000</w:t>
            </w:r>
          </w:p>
        </w:tc>
        <w:tc>
          <w:tcPr>
            <w:tcW w:w="1539" w:type="dxa"/>
            <w:tcBorders>
              <w:top w:val="nil"/>
              <w:left w:val="nil"/>
              <w:bottom w:val="single" w:color="auto" w:sz="4" w:space="0"/>
              <w:right w:val="single" w:color="auto" w:sz="4" w:space="0"/>
            </w:tcBorders>
            <w:vAlign w:val="center"/>
          </w:tcPr>
          <w:p w14:paraId="2E243DCD">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200≤Y＜3000</w:t>
            </w:r>
          </w:p>
        </w:tc>
        <w:tc>
          <w:tcPr>
            <w:tcW w:w="1075" w:type="dxa"/>
            <w:tcBorders>
              <w:top w:val="nil"/>
              <w:left w:val="nil"/>
              <w:bottom w:val="single" w:color="auto" w:sz="4" w:space="0"/>
              <w:right w:val="single" w:color="auto" w:sz="4" w:space="0"/>
            </w:tcBorders>
            <w:vAlign w:val="center"/>
          </w:tcPr>
          <w:p w14:paraId="00077FF5">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Y＜200</w:t>
            </w:r>
          </w:p>
        </w:tc>
      </w:tr>
      <w:tr w14:paraId="0EF558CB">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vAlign w:val="bottom"/>
          </w:tcPr>
          <w:p w14:paraId="78FB8E49">
            <w:pPr>
              <w:widowControl/>
              <w:jc w:val="center"/>
              <w:rPr>
                <w:rFonts w:ascii="仿宋_GB2312" w:hAnsi="仿宋" w:eastAsia="仿宋_GB2312" w:cs="宋体"/>
                <w:b/>
                <w:bCs/>
                <w:kern w:val="0"/>
                <w:sz w:val="18"/>
                <w:szCs w:val="18"/>
                <w:highlight w:val="none"/>
              </w:rPr>
            </w:pPr>
            <w:r>
              <w:rPr>
                <w:rFonts w:hint="eastAsia" w:ascii="仿宋_GB2312" w:hAnsi="仿宋" w:eastAsia="仿宋_GB2312" w:cs="宋体"/>
                <w:b/>
                <w:bCs/>
                <w:kern w:val="0"/>
                <w:sz w:val="18"/>
                <w:szCs w:val="18"/>
                <w:highlight w:val="none"/>
              </w:rPr>
              <w:t>仓储业</w:t>
            </w:r>
          </w:p>
        </w:tc>
        <w:tc>
          <w:tcPr>
            <w:tcW w:w="1559" w:type="dxa"/>
            <w:tcBorders>
              <w:top w:val="nil"/>
              <w:left w:val="nil"/>
              <w:bottom w:val="single" w:color="auto" w:sz="4" w:space="0"/>
              <w:right w:val="single" w:color="auto" w:sz="4" w:space="0"/>
            </w:tcBorders>
            <w:vAlign w:val="center"/>
          </w:tcPr>
          <w:p w14:paraId="5BE0B226">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从业人员（X）</w:t>
            </w:r>
          </w:p>
        </w:tc>
        <w:tc>
          <w:tcPr>
            <w:tcW w:w="1002" w:type="dxa"/>
            <w:tcBorders>
              <w:top w:val="nil"/>
              <w:left w:val="nil"/>
              <w:bottom w:val="single" w:color="auto" w:sz="4" w:space="0"/>
              <w:right w:val="single" w:color="auto" w:sz="4" w:space="0"/>
            </w:tcBorders>
            <w:vAlign w:val="center"/>
          </w:tcPr>
          <w:p w14:paraId="4C8FD9A6">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人</w:t>
            </w:r>
          </w:p>
        </w:tc>
        <w:tc>
          <w:tcPr>
            <w:tcW w:w="1692" w:type="dxa"/>
            <w:tcBorders>
              <w:top w:val="nil"/>
              <w:left w:val="nil"/>
              <w:bottom w:val="single" w:color="auto" w:sz="4" w:space="0"/>
              <w:right w:val="single" w:color="auto" w:sz="4" w:space="0"/>
            </w:tcBorders>
            <w:vAlign w:val="center"/>
          </w:tcPr>
          <w:p w14:paraId="1A2CEB40">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100≤X＜200</w:t>
            </w:r>
          </w:p>
        </w:tc>
        <w:tc>
          <w:tcPr>
            <w:tcW w:w="1539" w:type="dxa"/>
            <w:tcBorders>
              <w:top w:val="nil"/>
              <w:left w:val="nil"/>
              <w:bottom w:val="single" w:color="auto" w:sz="4" w:space="0"/>
              <w:right w:val="single" w:color="auto" w:sz="4" w:space="0"/>
            </w:tcBorders>
            <w:vAlign w:val="center"/>
          </w:tcPr>
          <w:p w14:paraId="37D4CEDE">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20≤X＜100</w:t>
            </w:r>
          </w:p>
        </w:tc>
        <w:tc>
          <w:tcPr>
            <w:tcW w:w="1075" w:type="dxa"/>
            <w:tcBorders>
              <w:top w:val="nil"/>
              <w:left w:val="nil"/>
              <w:bottom w:val="single" w:color="auto" w:sz="4" w:space="0"/>
              <w:right w:val="single" w:color="auto" w:sz="4" w:space="0"/>
            </w:tcBorders>
            <w:vAlign w:val="center"/>
          </w:tcPr>
          <w:p w14:paraId="73346DF3">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X＜20</w:t>
            </w:r>
          </w:p>
        </w:tc>
      </w:tr>
      <w:tr w14:paraId="3FCCB56A">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vAlign w:val="center"/>
          </w:tcPr>
          <w:p w14:paraId="5657D0ED">
            <w:pPr>
              <w:widowControl/>
              <w:jc w:val="left"/>
              <w:rPr>
                <w:rFonts w:ascii="仿宋_GB2312" w:hAnsi="仿宋" w:eastAsia="仿宋_GB2312" w:cs="宋体"/>
                <w:b/>
                <w:bCs/>
                <w:kern w:val="0"/>
                <w:sz w:val="18"/>
                <w:szCs w:val="18"/>
                <w:highlight w:val="none"/>
              </w:rPr>
            </w:pPr>
          </w:p>
        </w:tc>
        <w:tc>
          <w:tcPr>
            <w:tcW w:w="1559" w:type="dxa"/>
            <w:tcBorders>
              <w:top w:val="nil"/>
              <w:left w:val="nil"/>
              <w:bottom w:val="single" w:color="auto" w:sz="4" w:space="0"/>
              <w:right w:val="single" w:color="auto" w:sz="4" w:space="0"/>
            </w:tcBorders>
            <w:vAlign w:val="center"/>
          </w:tcPr>
          <w:p w14:paraId="4D7E88BB">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营业收入（Y）</w:t>
            </w:r>
          </w:p>
        </w:tc>
        <w:tc>
          <w:tcPr>
            <w:tcW w:w="1002" w:type="dxa"/>
            <w:tcBorders>
              <w:top w:val="nil"/>
              <w:left w:val="nil"/>
              <w:bottom w:val="single" w:color="auto" w:sz="4" w:space="0"/>
              <w:right w:val="single" w:color="auto" w:sz="4" w:space="0"/>
            </w:tcBorders>
            <w:vAlign w:val="center"/>
          </w:tcPr>
          <w:p w14:paraId="1972ED91">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万元</w:t>
            </w:r>
          </w:p>
        </w:tc>
        <w:tc>
          <w:tcPr>
            <w:tcW w:w="1692" w:type="dxa"/>
            <w:tcBorders>
              <w:top w:val="nil"/>
              <w:left w:val="nil"/>
              <w:bottom w:val="single" w:color="auto" w:sz="4" w:space="0"/>
              <w:right w:val="single" w:color="auto" w:sz="4" w:space="0"/>
            </w:tcBorders>
            <w:vAlign w:val="center"/>
          </w:tcPr>
          <w:p w14:paraId="11AD46E6">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1000≤Y＜30000</w:t>
            </w:r>
          </w:p>
        </w:tc>
        <w:tc>
          <w:tcPr>
            <w:tcW w:w="1539" w:type="dxa"/>
            <w:tcBorders>
              <w:top w:val="nil"/>
              <w:left w:val="nil"/>
              <w:bottom w:val="single" w:color="auto" w:sz="4" w:space="0"/>
              <w:right w:val="single" w:color="auto" w:sz="4" w:space="0"/>
            </w:tcBorders>
            <w:vAlign w:val="center"/>
          </w:tcPr>
          <w:p w14:paraId="7AACF347">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100≤Y＜1000</w:t>
            </w:r>
          </w:p>
        </w:tc>
        <w:tc>
          <w:tcPr>
            <w:tcW w:w="1075" w:type="dxa"/>
            <w:tcBorders>
              <w:top w:val="nil"/>
              <w:left w:val="nil"/>
              <w:bottom w:val="single" w:color="auto" w:sz="4" w:space="0"/>
              <w:right w:val="single" w:color="auto" w:sz="4" w:space="0"/>
            </w:tcBorders>
            <w:vAlign w:val="center"/>
          </w:tcPr>
          <w:p w14:paraId="54E01BCA">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Y＜100</w:t>
            </w:r>
          </w:p>
        </w:tc>
      </w:tr>
      <w:tr w14:paraId="1581AD37">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vAlign w:val="bottom"/>
          </w:tcPr>
          <w:p w14:paraId="4768A372">
            <w:pPr>
              <w:widowControl/>
              <w:jc w:val="center"/>
              <w:rPr>
                <w:rFonts w:ascii="仿宋_GB2312" w:hAnsi="仿宋" w:eastAsia="仿宋_GB2312" w:cs="宋体"/>
                <w:b/>
                <w:bCs/>
                <w:kern w:val="0"/>
                <w:sz w:val="18"/>
                <w:szCs w:val="18"/>
                <w:highlight w:val="none"/>
              </w:rPr>
            </w:pPr>
            <w:r>
              <w:rPr>
                <w:rFonts w:hint="eastAsia" w:ascii="仿宋_GB2312" w:hAnsi="仿宋" w:eastAsia="仿宋_GB2312" w:cs="宋体"/>
                <w:b/>
                <w:bCs/>
                <w:kern w:val="0"/>
                <w:sz w:val="18"/>
                <w:szCs w:val="18"/>
                <w:highlight w:val="none"/>
              </w:rPr>
              <w:t>邮政业</w:t>
            </w:r>
          </w:p>
        </w:tc>
        <w:tc>
          <w:tcPr>
            <w:tcW w:w="1559" w:type="dxa"/>
            <w:tcBorders>
              <w:top w:val="nil"/>
              <w:left w:val="nil"/>
              <w:bottom w:val="single" w:color="auto" w:sz="4" w:space="0"/>
              <w:right w:val="single" w:color="auto" w:sz="4" w:space="0"/>
            </w:tcBorders>
            <w:vAlign w:val="center"/>
          </w:tcPr>
          <w:p w14:paraId="79AD798F">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从业人员（X）</w:t>
            </w:r>
          </w:p>
        </w:tc>
        <w:tc>
          <w:tcPr>
            <w:tcW w:w="1002" w:type="dxa"/>
            <w:tcBorders>
              <w:top w:val="nil"/>
              <w:left w:val="nil"/>
              <w:bottom w:val="single" w:color="auto" w:sz="4" w:space="0"/>
              <w:right w:val="single" w:color="auto" w:sz="4" w:space="0"/>
            </w:tcBorders>
            <w:vAlign w:val="center"/>
          </w:tcPr>
          <w:p w14:paraId="03D14AF7">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人</w:t>
            </w:r>
          </w:p>
        </w:tc>
        <w:tc>
          <w:tcPr>
            <w:tcW w:w="1692" w:type="dxa"/>
            <w:tcBorders>
              <w:top w:val="nil"/>
              <w:left w:val="nil"/>
              <w:bottom w:val="single" w:color="auto" w:sz="4" w:space="0"/>
              <w:right w:val="single" w:color="auto" w:sz="4" w:space="0"/>
            </w:tcBorders>
            <w:vAlign w:val="center"/>
          </w:tcPr>
          <w:p w14:paraId="4886E1D8">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300≤X＜1000</w:t>
            </w:r>
          </w:p>
        </w:tc>
        <w:tc>
          <w:tcPr>
            <w:tcW w:w="1539" w:type="dxa"/>
            <w:tcBorders>
              <w:top w:val="nil"/>
              <w:left w:val="nil"/>
              <w:bottom w:val="single" w:color="auto" w:sz="4" w:space="0"/>
              <w:right w:val="single" w:color="auto" w:sz="4" w:space="0"/>
            </w:tcBorders>
            <w:vAlign w:val="center"/>
          </w:tcPr>
          <w:p w14:paraId="26F3096C">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20≤X＜300</w:t>
            </w:r>
          </w:p>
        </w:tc>
        <w:tc>
          <w:tcPr>
            <w:tcW w:w="1075" w:type="dxa"/>
            <w:tcBorders>
              <w:top w:val="nil"/>
              <w:left w:val="nil"/>
              <w:bottom w:val="single" w:color="auto" w:sz="4" w:space="0"/>
              <w:right w:val="single" w:color="auto" w:sz="4" w:space="0"/>
            </w:tcBorders>
            <w:vAlign w:val="center"/>
          </w:tcPr>
          <w:p w14:paraId="04854AF4">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X＜20</w:t>
            </w:r>
          </w:p>
        </w:tc>
      </w:tr>
      <w:tr w14:paraId="54F4EDA4">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vAlign w:val="center"/>
          </w:tcPr>
          <w:p w14:paraId="38D0A6DD">
            <w:pPr>
              <w:widowControl/>
              <w:jc w:val="left"/>
              <w:rPr>
                <w:rFonts w:ascii="仿宋_GB2312" w:hAnsi="仿宋" w:eastAsia="仿宋_GB2312" w:cs="宋体"/>
                <w:b/>
                <w:bCs/>
                <w:kern w:val="0"/>
                <w:sz w:val="18"/>
                <w:szCs w:val="18"/>
                <w:highlight w:val="none"/>
              </w:rPr>
            </w:pPr>
          </w:p>
        </w:tc>
        <w:tc>
          <w:tcPr>
            <w:tcW w:w="1559" w:type="dxa"/>
            <w:tcBorders>
              <w:top w:val="nil"/>
              <w:left w:val="nil"/>
              <w:bottom w:val="single" w:color="auto" w:sz="4" w:space="0"/>
              <w:right w:val="single" w:color="auto" w:sz="4" w:space="0"/>
            </w:tcBorders>
            <w:vAlign w:val="center"/>
          </w:tcPr>
          <w:p w14:paraId="33A3178D">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营业收入（Y）</w:t>
            </w:r>
          </w:p>
        </w:tc>
        <w:tc>
          <w:tcPr>
            <w:tcW w:w="1002" w:type="dxa"/>
            <w:tcBorders>
              <w:top w:val="nil"/>
              <w:left w:val="nil"/>
              <w:bottom w:val="single" w:color="auto" w:sz="4" w:space="0"/>
              <w:right w:val="single" w:color="auto" w:sz="4" w:space="0"/>
            </w:tcBorders>
            <w:vAlign w:val="center"/>
          </w:tcPr>
          <w:p w14:paraId="0245AE93">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万元</w:t>
            </w:r>
          </w:p>
        </w:tc>
        <w:tc>
          <w:tcPr>
            <w:tcW w:w="1692" w:type="dxa"/>
            <w:tcBorders>
              <w:top w:val="nil"/>
              <w:left w:val="nil"/>
              <w:bottom w:val="single" w:color="auto" w:sz="4" w:space="0"/>
              <w:right w:val="single" w:color="auto" w:sz="4" w:space="0"/>
            </w:tcBorders>
            <w:vAlign w:val="center"/>
          </w:tcPr>
          <w:p w14:paraId="4288DE92">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2000≤Y＜30000</w:t>
            </w:r>
          </w:p>
        </w:tc>
        <w:tc>
          <w:tcPr>
            <w:tcW w:w="1539" w:type="dxa"/>
            <w:tcBorders>
              <w:top w:val="nil"/>
              <w:left w:val="nil"/>
              <w:bottom w:val="single" w:color="auto" w:sz="4" w:space="0"/>
              <w:right w:val="single" w:color="auto" w:sz="4" w:space="0"/>
            </w:tcBorders>
            <w:vAlign w:val="center"/>
          </w:tcPr>
          <w:p w14:paraId="5D4C70B5">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100≤Y＜2000</w:t>
            </w:r>
          </w:p>
        </w:tc>
        <w:tc>
          <w:tcPr>
            <w:tcW w:w="1075" w:type="dxa"/>
            <w:tcBorders>
              <w:top w:val="nil"/>
              <w:left w:val="nil"/>
              <w:bottom w:val="single" w:color="auto" w:sz="4" w:space="0"/>
              <w:right w:val="single" w:color="auto" w:sz="4" w:space="0"/>
            </w:tcBorders>
            <w:vAlign w:val="center"/>
          </w:tcPr>
          <w:p w14:paraId="26592B8B">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Y＜100</w:t>
            </w:r>
          </w:p>
        </w:tc>
      </w:tr>
      <w:tr w14:paraId="4713DCBA">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vAlign w:val="bottom"/>
          </w:tcPr>
          <w:p w14:paraId="7AF06D83">
            <w:pPr>
              <w:widowControl/>
              <w:jc w:val="center"/>
              <w:rPr>
                <w:rFonts w:ascii="仿宋_GB2312" w:hAnsi="仿宋" w:eastAsia="仿宋_GB2312" w:cs="宋体"/>
                <w:b/>
                <w:bCs/>
                <w:kern w:val="0"/>
                <w:sz w:val="18"/>
                <w:szCs w:val="18"/>
                <w:highlight w:val="none"/>
              </w:rPr>
            </w:pPr>
            <w:r>
              <w:rPr>
                <w:rFonts w:hint="eastAsia" w:ascii="仿宋_GB2312" w:hAnsi="仿宋" w:eastAsia="仿宋_GB2312" w:cs="宋体"/>
                <w:b/>
                <w:bCs/>
                <w:kern w:val="0"/>
                <w:sz w:val="18"/>
                <w:szCs w:val="18"/>
                <w:highlight w:val="none"/>
              </w:rPr>
              <w:t>住宿业</w:t>
            </w:r>
          </w:p>
        </w:tc>
        <w:tc>
          <w:tcPr>
            <w:tcW w:w="1559" w:type="dxa"/>
            <w:tcBorders>
              <w:top w:val="nil"/>
              <w:left w:val="nil"/>
              <w:bottom w:val="single" w:color="auto" w:sz="4" w:space="0"/>
              <w:right w:val="single" w:color="auto" w:sz="4" w:space="0"/>
            </w:tcBorders>
            <w:vAlign w:val="center"/>
          </w:tcPr>
          <w:p w14:paraId="43F1DABE">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从业人员（X）</w:t>
            </w:r>
          </w:p>
        </w:tc>
        <w:tc>
          <w:tcPr>
            <w:tcW w:w="1002" w:type="dxa"/>
            <w:tcBorders>
              <w:top w:val="nil"/>
              <w:left w:val="nil"/>
              <w:bottom w:val="single" w:color="auto" w:sz="4" w:space="0"/>
              <w:right w:val="single" w:color="auto" w:sz="4" w:space="0"/>
            </w:tcBorders>
            <w:vAlign w:val="center"/>
          </w:tcPr>
          <w:p w14:paraId="7B542EFA">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人</w:t>
            </w:r>
          </w:p>
        </w:tc>
        <w:tc>
          <w:tcPr>
            <w:tcW w:w="1692" w:type="dxa"/>
            <w:tcBorders>
              <w:top w:val="nil"/>
              <w:left w:val="nil"/>
              <w:bottom w:val="single" w:color="auto" w:sz="4" w:space="0"/>
              <w:right w:val="single" w:color="auto" w:sz="4" w:space="0"/>
            </w:tcBorders>
            <w:vAlign w:val="center"/>
          </w:tcPr>
          <w:p w14:paraId="76EB52E6">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100≤X＜300</w:t>
            </w:r>
          </w:p>
        </w:tc>
        <w:tc>
          <w:tcPr>
            <w:tcW w:w="1539" w:type="dxa"/>
            <w:tcBorders>
              <w:top w:val="nil"/>
              <w:left w:val="nil"/>
              <w:bottom w:val="single" w:color="auto" w:sz="4" w:space="0"/>
              <w:right w:val="single" w:color="auto" w:sz="4" w:space="0"/>
            </w:tcBorders>
            <w:vAlign w:val="center"/>
          </w:tcPr>
          <w:p w14:paraId="7F5D39E1">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10≤X＜100</w:t>
            </w:r>
          </w:p>
        </w:tc>
        <w:tc>
          <w:tcPr>
            <w:tcW w:w="1075" w:type="dxa"/>
            <w:tcBorders>
              <w:top w:val="nil"/>
              <w:left w:val="nil"/>
              <w:bottom w:val="single" w:color="auto" w:sz="4" w:space="0"/>
              <w:right w:val="single" w:color="auto" w:sz="4" w:space="0"/>
            </w:tcBorders>
            <w:vAlign w:val="center"/>
          </w:tcPr>
          <w:p w14:paraId="0B85C9CD">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X＜10</w:t>
            </w:r>
          </w:p>
        </w:tc>
      </w:tr>
      <w:tr w14:paraId="54E47DFE">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vAlign w:val="center"/>
          </w:tcPr>
          <w:p w14:paraId="7EC2C882">
            <w:pPr>
              <w:widowControl/>
              <w:jc w:val="left"/>
              <w:rPr>
                <w:rFonts w:ascii="仿宋_GB2312" w:hAnsi="仿宋" w:eastAsia="仿宋_GB2312" w:cs="宋体"/>
                <w:b/>
                <w:bCs/>
                <w:kern w:val="0"/>
                <w:sz w:val="18"/>
                <w:szCs w:val="18"/>
                <w:highlight w:val="none"/>
              </w:rPr>
            </w:pPr>
          </w:p>
        </w:tc>
        <w:tc>
          <w:tcPr>
            <w:tcW w:w="1559" w:type="dxa"/>
            <w:tcBorders>
              <w:top w:val="nil"/>
              <w:left w:val="nil"/>
              <w:bottom w:val="single" w:color="auto" w:sz="4" w:space="0"/>
              <w:right w:val="single" w:color="auto" w:sz="4" w:space="0"/>
            </w:tcBorders>
            <w:vAlign w:val="center"/>
          </w:tcPr>
          <w:p w14:paraId="40A20B37">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营业收入（Y）</w:t>
            </w:r>
          </w:p>
        </w:tc>
        <w:tc>
          <w:tcPr>
            <w:tcW w:w="1002" w:type="dxa"/>
            <w:tcBorders>
              <w:top w:val="nil"/>
              <w:left w:val="nil"/>
              <w:bottom w:val="single" w:color="auto" w:sz="4" w:space="0"/>
              <w:right w:val="single" w:color="auto" w:sz="4" w:space="0"/>
            </w:tcBorders>
            <w:vAlign w:val="center"/>
          </w:tcPr>
          <w:p w14:paraId="04FBBC76">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万元</w:t>
            </w:r>
          </w:p>
        </w:tc>
        <w:tc>
          <w:tcPr>
            <w:tcW w:w="1692" w:type="dxa"/>
            <w:tcBorders>
              <w:top w:val="nil"/>
              <w:left w:val="nil"/>
              <w:bottom w:val="single" w:color="auto" w:sz="4" w:space="0"/>
              <w:right w:val="single" w:color="auto" w:sz="4" w:space="0"/>
            </w:tcBorders>
            <w:vAlign w:val="center"/>
          </w:tcPr>
          <w:p w14:paraId="7701567F">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2000≤Y＜10000</w:t>
            </w:r>
          </w:p>
        </w:tc>
        <w:tc>
          <w:tcPr>
            <w:tcW w:w="1539" w:type="dxa"/>
            <w:tcBorders>
              <w:top w:val="nil"/>
              <w:left w:val="nil"/>
              <w:bottom w:val="single" w:color="auto" w:sz="4" w:space="0"/>
              <w:right w:val="single" w:color="auto" w:sz="4" w:space="0"/>
            </w:tcBorders>
            <w:vAlign w:val="center"/>
          </w:tcPr>
          <w:p w14:paraId="72019FBF">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100≤Y＜2000</w:t>
            </w:r>
          </w:p>
        </w:tc>
        <w:tc>
          <w:tcPr>
            <w:tcW w:w="1075" w:type="dxa"/>
            <w:tcBorders>
              <w:top w:val="nil"/>
              <w:left w:val="nil"/>
              <w:bottom w:val="single" w:color="auto" w:sz="4" w:space="0"/>
              <w:right w:val="single" w:color="auto" w:sz="4" w:space="0"/>
            </w:tcBorders>
            <w:vAlign w:val="center"/>
          </w:tcPr>
          <w:p w14:paraId="05A4D988">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Y＜100</w:t>
            </w:r>
          </w:p>
        </w:tc>
      </w:tr>
      <w:tr w14:paraId="0FECDEED">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vAlign w:val="bottom"/>
          </w:tcPr>
          <w:p w14:paraId="1EBD35B5">
            <w:pPr>
              <w:widowControl/>
              <w:jc w:val="center"/>
              <w:rPr>
                <w:rFonts w:ascii="仿宋_GB2312" w:hAnsi="仿宋" w:eastAsia="仿宋_GB2312" w:cs="宋体"/>
                <w:b/>
                <w:bCs/>
                <w:kern w:val="0"/>
                <w:sz w:val="18"/>
                <w:szCs w:val="18"/>
                <w:highlight w:val="none"/>
              </w:rPr>
            </w:pPr>
            <w:r>
              <w:rPr>
                <w:rFonts w:hint="eastAsia" w:ascii="仿宋_GB2312" w:hAnsi="仿宋" w:eastAsia="仿宋_GB2312" w:cs="宋体"/>
                <w:b/>
                <w:bCs/>
                <w:kern w:val="0"/>
                <w:sz w:val="18"/>
                <w:szCs w:val="18"/>
                <w:highlight w:val="none"/>
              </w:rPr>
              <w:t>餐饮业</w:t>
            </w:r>
          </w:p>
        </w:tc>
        <w:tc>
          <w:tcPr>
            <w:tcW w:w="1559" w:type="dxa"/>
            <w:tcBorders>
              <w:top w:val="nil"/>
              <w:left w:val="nil"/>
              <w:bottom w:val="single" w:color="auto" w:sz="4" w:space="0"/>
              <w:right w:val="single" w:color="auto" w:sz="4" w:space="0"/>
            </w:tcBorders>
            <w:vAlign w:val="center"/>
          </w:tcPr>
          <w:p w14:paraId="133ECE00">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从业人员（X）</w:t>
            </w:r>
          </w:p>
        </w:tc>
        <w:tc>
          <w:tcPr>
            <w:tcW w:w="1002" w:type="dxa"/>
            <w:tcBorders>
              <w:top w:val="nil"/>
              <w:left w:val="nil"/>
              <w:bottom w:val="single" w:color="auto" w:sz="4" w:space="0"/>
              <w:right w:val="single" w:color="auto" w:sz="4" w:space="0"/>
            </w:tcBorders>
            <w:vAlign w:val="center"/>
          </w:tcPr>
          <w:p w14:paraId="0AEF4ACB">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人</w:t>
            </w:r>
          </w:p>
        </w:tc>
        <w:tc>
          <w:tcPr>
            <w:tcW w:w="1692" w:type="dxa"/>
            <w:tcBorders>
              <w:top w:val="nil"/>
              <w:left w:val="nil"/>
              <w:bottom w:val="single" w:color="auto" w:sz="4" w:space="0"/>
              <w:right w:val="single" w:color="auto" w:sz="4" w:space="0"/>
            </w:tcBorders>
            <w:vAlign w:val="center"/>
          </w:tcPr>
          <w:p w14:paraId="76C474DD">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100≤X＜300</w:t>
            </w:r>
          </w:p>
        </w:tc>
        <w:tc>
          <w:tcPr>
            <w:tcW w:w="1539" w:type="dxa"/>
            <w:tcBorders>
              <w:top w:val="nil"/>
              <w:left w:val="nil"/>
              <w:bottom w:val="single" w:color="auto" w:sz="4" w:space="0"/>
              <w:right w:val="single" w:color="auto" w:sz="4" w:space="0"/>
            </w:tcBorders>
            <w:vAlign w:val="center"/>
          </w:tcPr>
          <w:p w14:paraId="14415CD8">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10≤X＜100</w:t>
            </w:r>
          </w:p>
        </w:tc>
        <w:tc>
          <w:tcPr>
            <w:tcW w:w="1075" w:type="dxa"/>
            <w:tcBorders>
              <w:top w:val="nil"/>
              <w:left w:val="nil"/>
              <w:bottom w:val="single" w:color="auto" w:sz="4" w:space="0"/>
              <w:right w:val="single" w:color="auto" w:sz="4" w:space="0"/>
            </w:tcBorders>
            <w:vAlign w:val="center"/>
          </w:tcPr>
          <w:p w14:paraId="4D0A7660">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X＜10</w:t>
            </w:r>
          </w:p>
        </w:tc>
      </w:tr>
      <w:tr w14:paraId="3EB55C32">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vAlign w:val="center"/>
          </w:tcPr>
          <w:p w14:paraId="3E24A863">
            <w:pPr>
              <w:widowControl/>
              <w:jc w:val="left"/>
              <w:rPr>
                <w:rFonts w:ascii="仿宋_GB2312" w:hAnsi="仿宋" w:eastAsia="仿宋_GB2312" w:cs="宋体"/>
                <w:b/>
                <w:bCs/>
                <w:kern w:val="0"/>
                <w:sz w:val="18"/>
                <w:szCs w:val="18"/>
                <w:highlight w:val="none"/>
              </w:rPr>
            </w:pPr>
          </w:p>
        </w:tc>
        <w:tc>
          <w:tcPr>
            <w:tcW w:w="1559" w:type="dxa"/>
            <w:tcBorders>
              <w:top w:val="nil"/>
              <w:left w:val="nil"/>
              <w:bottom w:val="single" w:color="auto" w:sz="4" w:space="0"/>
              <w:right w:val="single" w:color="auto" w:sz="4" w:space="0"/>
            </w:tcBorders>
            <w:vAlign w:val="center"/>
          </w:tcPr>
          <w:p w14:paraId="7998318E">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营业收入（Y）</w:t>
            </w:r>
          </w:p>
        </w:tc>
        <w:tc>
          <w:tcPr>
            <w:tcW w:w="1002" w:type="dxa"/>
            <w:tcBorders>
              <w:top w:val="nil"/>
              <w:left w:val="nil"/>
              <w:bottom w:val="single" w:color="auto" w:sz="4" w:space="0"/>
              <w:right w:val="single" w:color="auto" w:sz="4" w:space="0"/>
            </w:tcBorders>
            <w:vAlign w:val="center"/>
          </w:tcPr>
          <w:p w14:paraId="11DC7E8C">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万元</w:t>
            </w:r>
          </w:p>
        </w:tc>
        <w:tc>
          <w:tcPr>
            <w:tcW w:w="1692" w:type="dxa"/>
            <w:tcBorders>
              <w:top w:val="nil"/>
              <w:left w:val="nil"/>
              <w:bottom w:val="single" w:color="auto" w:sz="4" w:space="0"/>
              <w:right w:val="single" w:color="auto" w:sz="4" w:space="0"/>
            </w:tcBorders>
            <w:vAlign w:val="center"/>
          </w:tcPr>
          <w:p w14:paraId="1D56DE0D">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2000≤Y＜10000</w:t>
            </w:r>
          </w:p>
        </w:tc>
        <w:tc>
          <w:tcPr>
            <w:tcW w:w="1539" w:type="dxa"/>
            <w:tcBorders>
              <w:top w:val="nil"/>
              <w:left w:val="nil"/>
              <w:bottom w:val="single" w:color="auto" w:sz="4" w:space="0"/>
              <w:right w:val="single" w:color="auto" w:sz="4" w:space="0"/>
            </w:tcBorders>
            <w:vAlign w:val="center"/>
          </w:tcPr>
          <w:p w14:paraId="7B2C23BB">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100≤Y＜2000</w:t>
            </w:r>
          </w:p>
        </w:tc>
        <w:tc>
          <w:tcPr>
            <w:tcW w:w="1075" w:type="dxa"/>
            <w:tcBorders>
              <w:top w:val="nil"/>
              <w:left w:val="nil"/>
              <w:bottom w:val="single" w:color="auto" w:sz="4" w:space="0"/>
              <w:right w:val="single" w:color="auto" w:sz="4" w:space="0"/>
            </w:tcBorders>
            <w:vAlign w:val="center"/>
          </w:tcPr>
          <w:p w14:paraId="417DE1D7">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Y＜100</w:t>
            </w:r>
          </w:p>
        </w:tc>
      </w:tr>
      <w:tr w14:paraId="7B4AC7CF">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vAlign w:val="bottom"/>
          </w:tcPr>
          <w:p w14:paraId="345D9778">
            <w:pPr>
              <w:widowControl/>
              <w:jc w:val="center"/>
              <w:rPr>
                <w:rFonts w:ascii="仿宋_GB2312" w:hAnsi="仿宋" w:eastAsia="仿宋_GB2312" w:cs="宋体"/>
                <w:b/>
                <w:bCs/>
                <w:kern w:val="0"/>
                <w:sz w:val="18"/>
                <w:szCs w:val="18"/>
                <w:highlight w:val="none"/>
              </w:rPr>
            </w:pPr>
            <w:r>
              <w:rPr>
                <w:rFonts w:hint="eastAsia" w:ascii="仿宋_GB2312" w:hAnsi="仿宋" w:eastAsia="仿宋_GB2312" w:cs="宋体"/>
                <w:b/>
                <w:bCs/>
                <w:kern w:val="0"/>
                <w:sz w:val="18"/>
                <w:szCs w:val="18"/>
                <w:highlight w:val="none"/>
              </w:rPr>
              <w:t>信息传输业</w:t>
            </w:r>
          </w:p>
        </w:tc>
        <w:tc>
          <w:tcPr>
            <w:tcW w:w="1559" w:type="dxa"/>
            <w:tcBorders>
              <w:top w:val="nil"/>
              <w:left w:val="nil"/>
              <w:bottom w:val="single" w:color="auto" w:sz="4" w:space="0"/>
              <w:right w:val="single" w:color="auto" w:sz="4" w:space="0"/>
            </w:tcBorders>
            <w:vAlign w:val="center"/>
          </w:tcPr>
          <w:p w14:paraId="57E5E9B4">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从业人员（X）</w:t>
            </w:r>
          </w:p>
        </w:tc>
        <w:tc>
          <w:tcPr>
            <w:tcW w:w="1002" w:type="dxa"/>
            <w:tcBorders>
              <w:top w:val="nil"/>
              <w:left w:val="nil"/>
              <w:bottom w:val="single" w:color="auto" w:sz="4" w:space="0"/>
              <w:right w:val="single" w:color="auto" w:sz="4" w:space="0"/>
            </w:tcBorders>
            <w:vAlign w:val="center"/>
          </w:tcPr>
          <w:p w14:paraId="4DFDFAA0">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人</w:t>
            </w:r>
          </w:p>
        </w:tc>
        <w:tc>
          <w:tcPr>
            <w:tcW w:w="1692" w:type="dxa"/>
            <w:tcBorders>
              <w:top w:val="nil"/>
              <w:left w:val="nil"/>
              <w:bottom w:val="single" w:color="auto" w:sz="4" w:space="0"/>
              <w:right w:val="single" w:color="auto" w:sz="4" w:space="0"/>
            </w:tcBorders>
            <w:vAlign w:val="center"/>
          </w:tcPr>
          <w:p w14:paraId="5E0CD459">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100≤X＜2000</w:t>
            </w:r>
          </w:p>
        </w:tc>
        <w:tc>
          <w:tcPr>
            <w:tcW w:w="1539" w:type="dxa"/>
            <w:tcBorders>
              <w:top w:val="nil"/>
              <w:left w:val="nil"/>
              <w:bottom w:val="single" w:color="auto" w:sz="4" w:space="0"/>
              <w:right w:val="single" w:color="auto" w:sz="4" w:space="0"/>
            </w:tcBorders>
            <w:vAlign w:val="center"/>
          </w:tcPr>
          <w:p w14:paraId="4A3A6172">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10≤X＜100</w:t>
            </w:r>
          </w:p>
        </w:tc>
        <w:tc>
          <w:tcPr>
            <w:tcW w:w="1075" w:type="dxa"/>
            <w:tcBorders>
              <w:top w:val="nil"/>
              <w:left w:val="nil"/>
              <w:bottom w:val="single" w:color="auto" w:sz="4" w:space="0"/>
              <w:right w:val="single" w:color="auto" w:sz="4" w:space="0"/>
            </w:tcBorders>
            <w:vAlign w:val="center"/>
          </w:tcPr>
          <w:p w14:paraId="2E56AD5A">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X＜10</w:t>
            </w:r>
          </w:p>
        </w:tc>
      </w:tr>
      <w:tr w14:paraId="4F1FFD12">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vAlign w:val="center"/>
          </w:tcPr>
          <w:p w14:paraId="31A00C09">
            <w:pPr>
              <w:widowControl/>
              <w:jc w:val="left"/>
              <w:rPr>
                <w:rFonts w:ascii="仿宋_GB2312" w:hAnsi="仿宋" w:eastAsia="仿宋_GB2312" w:cs="宋体"/>
                <w:b/>
                <w:bCs/>
                <w:kern w:val="0"/>
                <w:sz w:val="18"/>
                <w:szCs w:val="18"/>
                <w:highlight w:val="none"/>
              </w:rPr>
            </w:pPr>
          </w:p>
        </w:tc>
        <w:tc>
          <w:tcPr>
            <w:tcW w:w="1559" w:type="dxa"/>
            <w:tcBorders>
              <w:top w:val="nil"/>
              <w:left w:val="nil"/>
              <w:bottom w:val="single" w:color="auto" w:sz="4" w:space="0"/>
              <w:right w:val="single" w:color="auto" w:sz="4" w:space="0"/>
            </w:tcBorders>
            <w:vAlign w:val="center"/>
          </w:tcPr>
          <w:p w14:paraId="4E8407F1">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营业收入（Y）</w:t>
            </w:r>
          </w:p>
        </w:tc>
        <w:tc>
          <w:tcPr>
            <w:tcW w:w="1002" w:type="dxa"/>
            <w:tcBorders>
              <w:top w:val="nil"/>
              <w:left w:val="nil"/>
              <w:bottom w:val="single" w:color="auto" w:sz="4" w:space="0"/>
              <w:right w:val="single" w:color="auto" w:sz="4" w:space="0"/>
            </w:tcBorders>
            <w:vAlign w:val="center"/>
          </w:tcPr>
          <w:p w14:paraId="059EE5F5">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万元</w:t>
            </w:r>
          </w:p>
        </w:tc>
        <w:tc>
          <w:tcPr>
            <w:tcW w:w="1692" w:type="dxa"/>
            <w:tcBorders>
              <w:top w:val="nil"/>
              <w:left w:val="nil"/>
              <w:bottom w:val="single" w:color="auto" w:sz="4" w:space="0"/>
              <w:right w:val="single" w:color="auto" w:sz="4" w:space="0"/>
            </w:tcBorders>
            <w:vAlign w:val="center"/>
          </w:tcPr>
          <w:p w14:paraId="50C36363">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1000≤Y＜100000</w:t>
            </w:r>
          </w:p>
        </w:tc>
        <w:tc>
          <w:tcPr>
            <w:tcW w:w="1539" w:type="dxa"/>
            <w:tcBorders>
              <w:top w:val="nil"/>
              <w:left w:val="nil"/>
              <w:bottom w:val="single" w:color="auto" w:sz="4" w:space="0"/>
              <w:right w:val="single" w:color="auto" w:sz="4" w:space="0"/>
            </w:tcBorders>
            <w:vAlign w:val="center"/>
          </w:tcPr>
          <w:p w14:paraId="463D9C13">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100≤Y＜1000</w:t>
            </w:r>
          </w:p>
        </w:tc>
        <w:tc>
          <w:tcPr>
            <w:tcW w:w="1075" w:type="dxa"/>
            <w:tcBorders>
              <w:top w:val="nil"/>
              <w:left w:val="nil"/>
              <w:bottom w:val="single" w:color="auto" w:sz="4" w:space="0"/>
              <w:right w:val="single" w:color="auto" w:sz="4" w:space="0"/>
            </w:tcBorders>
            <w:vAlign w:val="center"/>
          </w:tcPr>
          <w:p w14:paraId="44D9B8A7">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Y＜100</w:t>
            </w:r>
          </w:p>
        </w:tc>
      </w:tr>
      <w:tr w14:paraId="640B446F">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vAlign w:val="bottom"/>
          </w:tcPr>
          <w:p w14:paraId="4756F0BE">
            <w:pPr>
              <w:widowControl/>
              <w:jc w:val="center"/>
              <w:rPr>
                <w:rFonts w:ascii="仿宋_GB2312" w:hAnsi="仿宋" w:eastAsia="仿宋_GB2312" w:cs="宋体"/>
                <w:b/>
                <w:bCs/>
                <w:kern w:val="0"/>
                <w:sz w:val="18"/>
                <w:szCs w:val="18"/>
                <w:highlight w:val="none"/>
              </w:rPr>
            </w:pPr>
            <w:r>
              <w:rPr>
                <w:rFonts w:hint="eastAsia" w:ascii="仿宋_GB2312" w:hAnsi="仿宋" w:eastAsia="仿宋_GB2312" w:cs="宋体"/>
                <w:b/>
                <w:bCs/>
                <w:kern w:val="0"/>
                <w:sz w:val="18"/>
                <w:szCs w:val="18"/>
                <w:highlight w:val="none"/>
              </w:rPr>
              <w:t>软件和信息技术服务业</w:t>
            </w:r>
          </w:p>
        </w:tc>
        <w:tc>
          <w:tcPr>
            <w:tcW w:w="1559" w:type="dxa"/>
            <w:tcBorders>
              <w:top w:val="nil"/>
              <w:left w:val="nil"/>
              <w:bottom w:val="single" w:color="auto" w:sz="4" w:space="0"/>
              <w:right w:val="single" w:color="auto" w:sz="4" w:space="0"/>
            </w:tcBorders>
            <w:vAlign w:val="center"/>
          </w:tcPr>
          <w:p w14:paraId="2ECDDCD7">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从业人员（X）</w:t>
            </w:r>
          </w:p>
        </w:tc>
        <w:tc>
          <w:tcPr>
            <w:tcW w:w="1002" w:type="dxa"/>
            <w:tcBorders>
              <w:top w:val="nil"/>
              <w:left w:val="nil"/>
              <w:bottom w:val="single" w:color="auto" w:sz="4" w:space="0"/>
              <w:right w:val="single" w:color="auto" w:sz="4" w:space="0"/>
            </w:tcBorders>
            <w:vAlign w:val="center"/>
          </w:tcPr>
          <w:p w14:paraId="48781F01">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人</w:t>
            </w:r>
          </w:p>
        </w:tc>
        <w:tc>
          <w:tcPr>
            <w:tcW w:w="1692" w:type="dxa"/>
            <w:tcBorders>
              <w:top w:val="nil"/>
              <w:left w:val="nil"/>
              <w:bottom w:val="single" w:color="auto" w:sz="4" w:space="0"/>
              <w:right w:val="single" w:color="auto" w:sz="4" w:space="0"/>
            </w:tcBorders>
            <w:vAlign w:val="center"/>
          </w:tcPr>
          <w:p w14:paraId="5A4FD42B">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100≤X＜300</w:t>
            </w:r>
          </w:p>
        </w:tc>
        <w:tc>
          <w:tcPr>
            <w:tcW w:w="1539" w:type="dxa"/>
            <w:tcBorders>
              <w:top w:val="nil"/>
              <w:left w:val="nil"/>
              <w:bottom w:val="single" w:color="auto" w:sz="4" w:space="0"/>
              <w:right w:val="single" w:color="auto" w:sz="4" w:space="0"/>
            </w:tcBorders>
            <w:vAlign w:val="center"/>
          </w:tcPr>
          <w:p w14:paraId="4E5F9D02">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10≤X＜100</w:t>
            </w:r>
          </w:p>
        </w:tc>
        <w:tc>
          <w:tcPr>
            <w:tcW w:w="1075" w:type="dxa"/>
            <w:tcBorders>
              <w:top w:val="nil"/>
              <w:left w:val="nil"/>
              <w:bottom w:val="single" w:color="auto" w:sz="4" w:space="0"/>
              <w:right w:val="single" w:color="auto" w:sz="4" w:space="0"/>
            </w:tcBorders>
            <w:vAlign w:val="center"/>
          </w:tcPr>
          <w:p w14:paraId="3271344D">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X＜10</w:t>
            </w:r>
          </w:p>
        </w:tc>
      </w:tr>
      <w:tr w14:paraId="6938D86E">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vAlign w:val="center"/>
          </w:tcPr>
          <w:p w14:paraId="45A83AE6">
            <w:pPr>
              <w:widowControl/>
              <w:jc w:val="left"/>
              <w:rPr>
                <w:rFonts w:ascii="仿宋_GB2312" w:hAnsi="仿宋" w:eastAsia="仿宋_GB2312" w:cs="宋体"/>
                <w:b/>
                <w:bCs/>
                <w:kern w:val="0"/>
                <w:sz w:val="18"/>
                <w:szCs w:val="18"/>
                <w:highlight w:val="none"/>
              </w:rPr>
            </w:pPr>
          </w:p>
        </w:tc>
        <w:tc>
          <w:tcPr>
            <w:tcW w:w="1559" w:type="dxa"/>
            <w:tcBorders>
              <w:top w:val="nil"/>
              <w:left w:val="nil"/>
              <w:bottom w:val="single" w:color="auto" w:sz="4" w:space="0"/>
              <w:right w:val="single" w:color="auto" w:sz="4" w:space="0"/>
            </w:tcBorders>
            <w:vAlign w:val="center"/>
          </w:tcPr>
          <w:p w14:paraId="47C01C27">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营业收入（Y）</w:t>
            </w:r>
          </w:p>
        </w:tc>
        <w:tc>
          <w:tcPr>
            <w:tcW w:w="1002" w:type="dxa"/>
            <w:tcBorders>
              <w:top w:val="nil"/>
              <w:left w:val="nil"/>
              <w:bottom w:val="single" w:color="auto" w:sz="4" w:space="0"/>
              <w:right w:val="single" w:color="auto" w:sz="4" w:space="0"/>
            </w:tcBorders>
            <w:vAlign w:val="center"/>
          </w:tcPr>
          <w:p w14:paraId="5D0CB654">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万元</w:t>
            </w:r>
          </w:p>
        </w:tc>
        <w:tc>
          <w:tcPr>
            <w:tcW w:w="1692" w:type="dxa"/>
            <w:tcBorders>
              <w:top w:val="nil"/>
              <w:left w:val="nil"/>
              <w:bottom w:val="single" w:color="auto" w:sz="4" w:space="0"/>
              <w:right w:val="single" w:color="auto" w:sz="4" w:space="0"/>
            </w:tcBorders>
            <w:vAlign w:val="center"/>
          </w:tcPr>
          <w:p w14:paraId="3ADB6D87">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1000≤Y＜10000</w:t>
            </w:r>
          </w:p>
        </w:tc>
        <w:tc>
          <w:tcPr>
            <w:tcW w:w="1539" w:type="dxa"/>
            <w:tcBorders>
              <w:top w:val="nil"/>
              <w:left w:val="nil"/>
              <w:bottom w:val="single" w:color="auto" w:sz="4" w:space="0"/>
              <w:right w:val="single" w:color="auto" w:sz="4" w:space="0"/>
            </w:tcBorders>
            <w:vAlign w:val="center"/>
          </w:tcPr>
          <w:p w14:paraId="0E82856F">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50≤Y＜1000</w:t>
            </w:r>
          </w:p>
        </w:tc>
        <w:tc>
          <w:tcPr>
            <w:tcW w:w="1075" w:type="dxa"/>
            <w:tcBorders>
              <w:top w:val="nil"/>
              <w:left w:val="nil"/>
              <w:bottom w:val="single" w:color="auto" w:sz="4" w:space="0"/>
              <w:right w:val="single" w:color="auto" w:sz="4" w:space="0"/>
            </w:tcBorders>
            <w:vAlign w:val="center"/>
          </w:tcPr>
          <w:p w14:paraId="79BDDCB5">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Y＜50</w:t>
            </w:r>
          </w:p>
        </w:tc>
      </w:tr>
      <w:tr w14:paraId="1A7EF867">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vAlign w:val="bottom"/>
          </w:tcPr>
          <w:p w14:paraId="62C3BF8C">
            <w:pPr>
              <w:widowControl/>
              <w:jc w:val="center"/>
              <w:rPr>
                <w:rFonts w:ascii="仿宋_GB2312" w:hAnsi="仿宋" w:eastAsia="仿宋_GB2312" w:cs="宋体"/>
                <w:b/>
                <w:bCs/>
                <w:kern w:val="0"/>
                <w:sz w:val="18"/>
                <w:szCs w:val="18"/>
                <w:highlight w:val="none"/>
              </w:rPr>
            </w:pPr>
            <w:r>
              <w:rPr>
                <w:rFonts w:hint="eastAsia" w:ascii="仿宋_GB2312" w:hAnsi="仿宋" w:eastAsia="仿宋_GB2312" w:cs="宋体"/>
                <w:b/>
                <w:bCs/>
                <w:kern w:val="0"/>
                <w:sz w:val="18"/>
                <w:szCs w:val="18"/>
                <w:highlight w:val="none"/>
              </w:rPr>
              <w:t>房地产开发经营</w:t>
            </w:r>
          </w:p>
        </w:tc>
        <w:tc>
          <w:tcPr>
            <w:tcW w:w="1559" w:type="dxa"/>
            <w:tcBorders>
              <w:top w:val="nil"/>
              <w:left w:val="nil"/>
              <w:bottom w:val="single" w:color="auto" w:sz="4" w:space="0"/>
              <w:right w:val="single" w:color="auto" w:sz="4" w:space="0"/>
            </w:tcBorders>
            <w:vAlign w:val="center"/>
          </w:tcPr>
          <w:p w14:paraId="5A97ED17">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营业收入（Y）</w:t>
            </w:r>
          </w:p>
        </w:tc>
        <w:tc>
          <w:tcPr>
            <w:tcW w:w="1002" w:type="dxa"/>
            <w:tcBorders>
              <w:top w:val="nil"/>
              <w:left w:val="nil"/>
              <w:bottom w:val="single" w:color="auto" w:sz="4" w:space="0"/>
              <w:right w:val="single" w:color="auto" w:sz="4" w:space="0"/>
            </w:tcBorders>
            <w:vAlign w:val="center"/>
          </w:tcPr>
          <w:p w14:paraId="2B7E4909">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万元</w:t>
            </w:r>
          </w:p>
        </w:tc>
        <w:tc>
          <w:tcPr>
            <w:tcW w:w="1692" w:type="dxa"/>
            <w:tcBorders>
              <w:top w:val="nil"/>
              <w:left w:val="nil"/>
              <w:bottom w:val="single" w:color="auto" w:sz="4" w:space="0"/>
              <w:right w:val="single" w:color="auto" w:sz="4" w:space="0"/>
            </w:tcBorders>
            <w:vAlign w:val="center"/>
          </w:tcPr>
          <w:p w14:paraId="098CA537">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1000≤Y＜200000</w:t>
            </w:r>
          </w:p>
        </w:tc>
        <w:tc>
          <w:tcPr>
            <w:tcW w:w="1539" w:type="dxa"/>
            <w:tcBorders>
              <w:top w:val="nil"/>
              <w:left w:val="nil"/>
              <w:bottom w:val="single" w:color="auto" w:sz="4" w:space="0"/>
              <w:right w:val="single" w:color="auto" w:sz="4" w:space="0"/>
            </w:tcBorders>
            <w:vAlign w:val="center"/>
          </w:tcPr>
          <w:p w14:paraId="7A9205C8">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100≤X＜1000</w:t>
            </w:r>
          </w:p>
        </w:tc>
        <w:tc>
          <w:tcPr>
            <w:tcW w:w="1075" w:type="dxa"/>
            <w:tcBorders>
              <w:top w:val="nil"/>
              <w:left w:val="nil"/>
              <w:bottom w:val="single" w:color="auto" w:sz="4" w:space="0"/>
              <w:right w:val="single" w:color="auto" w:sz="4" w:space="0"/>
            </w:tcBorders>
            <w:vAlign w:val="center"/>
          </w:tcPr>
          <w:p w14:paraId="5C651987">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X＜100</w:t>
            </w:r>
          </w:p>
        </w:tc>
      </w:tr>
      <w:tr w14:paraId="1EC77CEB">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vAlign w:val="center"/>
          </w:tcPr>
          <w:p w14:paraId="2387C519">
            <w:pPr>
              <w:widowControl/>
              <w:jc w:val="left"/>
              <w:rPr>
                <w:rFonts w:ascii="仿宋_GB2312" w:hAnsi="仿宋" w:eastAsia="仿宋_GB2312" w:cs="宋体"/>
                <w:b/>
                <w:bCs/>
                <w:kern w:val="0"/>
                <w:sz w:val="18"/>
                <w:szCs w:val="18"/>
                <w:highlight w:val="none"/>
              </w:rPr>
            </w:pPr>
          </w:p>
        </w:tc>
        <w:tc>
          <w:tcPr>
            <w:tcW w:w="1559" w:type="dxa"/>
            <w:tcBorders>
              <w:top w:val="nil"/>
              <w:left w:val="nil"/>
              <w:bottom w:val="single" w:color="auto" w:sz="4" w:space="0"/>
              <w:right w:val="single" w:color="auto" w:sz="4" w:space="0"/>
            </w:tcBorders>
            <w:vAlign w:val="center"/>
          </w:tcPr>
          <w:p w14:paraId="1FA82708">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资产总额（Z）</w:t>
            </w:r>
          </w:p>
        </w:tc>
        <w:tc>
          <w:tcPr>
            <w:tcW w:w="1002" w:type="dxa"/>
            <w:tcBorders>
              <w:top w:val="nil"/>
              <w:left w:val="nil"/>
              <w:bottom w:val="single" w:color="auto" w:sz="4" w:space="0"/>
              <w:right w:val="single" w:color="auto" w:sz="4" w:space="0"/>
            </w:tcBorders>
            <w:vAlign w:val="center"/>
          </w:tcPr>
          <w:p w14:paraId="1A5BE351">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万元</w:t>
            </w:r>
          </w:p>
        </w:tc>
        <w:tc>
          <w:tcPr>
            <w:tcW w:w="1692" w:type="dxa"/>
            <w:tcBorders>
              <w:top w:val="nil"/>
              <w:left w:val="nil"/>
              <w:bottom w:val="single" w:color="auto" w:sz="4" w:space="0"/>
              <w:right w:val="single" w:color="auto" w:sz="4" w:space="0"/>
            </w:tcBorders>
            <w:vAlign w:val="center"/>
          </w:tcPr>
          <w:p w14:paraId="74CA2668">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5000≤Z＜10000</w:t>
            </w:r>
          </w:p>
        </w:tc>
        <w:tc>
          <w:tcPr>
            <w:tcW w:w="1539" w:type="dxa"/>
            <w:tcBorders>
              <w:top w:val="nil"/>
              <w:left w:val="nil"/>
              <w:bottom w:val="single" w:color="auto" w:sz="4" w:space="0"/>
              <w:right w:val="single" w:color="auto" w:sz="4" w:space="0"/>
            </w:tcBorders>
            <w:vAlign w:val="center"/>
          </w:tcPr>
          <w:p w14:paraId="7841A88B">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2000≤Y＜5000</w:t>
            </w:r>
          </w:p>
        </w:tc>
        <w:tc>
          <w:tcPr>
            <w:tcW w:w="1075" w:type="dxa"/>
            <w:tcBorders>
              <w:top w:val="nil"/>
              <w:left w:val="nil"/>
              <w:bottom w:val="single" w:color="auto" w:sz="4" w:space="0"/>
              <w:right w:val="single" w:color="auto" w:sz="4" w:space="0"/>
            </w:tcBorders>
            <w:vAlign w:val="center"/>
          </w:tcPr>
          <w:p w14:paraId="0243AEE9">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Y＜2000</w:t>
            </w:r>
          </w:p>
        </w:tc>
      </w:tr>
      <w:tr w14:paraId="6F445796">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vAlign w:val="bottom"/>
          </w:tcPr>
          <w:p w14:paraId="4EA2AFE5">
            <w:pPr>
              <w:widowControl/>
              <w:jc w:val="center"/>
              <w:rPr>
                <w:rFonts w:ascii="仿宋_GB2312" w:hAnsi="仿宋" w:eastAsia="仿宋_GB2312" w:cs="宋体"/>
                <w:b/>
                <w:bCs/>
                <w:kern w:val="0"/>
                <w:sz w:val="18"/>
                <w:szCs w:val="18"/>
                <w:highlight w:val="none"/>
              </w:rPr>
            </w:pPr>
            <w:r>
              <w:rPr>
                <w:rFonts w:hint="eastAsia" w:ascii="仿宋_GB2312" w:hAnsi="仿宋" w:eastAsia="仿宋_GB2312" w:cs="宋体"/>
                <w:b/>
                <w:bCs/>
                <w:kern w:val="0"/>
                <w:sz w:val="18"/>
                <w:szCs w:val="18"/>
                <w:highlight w:val="none"/>
              </w:rPr>
              <w:t>物业管理</w:t>
            </w:r>
          </w:p>
        </w:tc>
        <w:tc>
          <w:tcPr>
            <w:tcW w:w="1559" w:type="dxa"/>
            <w:tcBorders>
              <w:top w:val="nil"/>
              <w:left w:val="nil"/>
              <w:bottom w:val="single" w:color="auto" w:sz="4" w:space="0"/>
              <w:right w:val="single" w:color="auto" w:sz="4" w:space="0"/>
            </w:tcBorders>
            <w:vAlign w:val="center"/>
          </w:tcPr>
          <w:p w14:paraId="4736C32E">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从业人员（X）</w:t>
            </w:r>
          </w:p>
        </w:tc>
        <w:tc>
          <w:tcPr>
            <w:tcW w:w="1002" w:type="dxa"/>
            <w:tcBorders>
              <w:top w:val="nil"/>
              <w:left w:val="nil"/>
              <w:bottom w:val="single" w:color="auto" w:sz="4" w:space="0"/>
              <w:right w:val="single" w:color="auto" w:sz="4" w:space="0"/>
            </w:tcBorders>
            <w:vAlign w:val="center"/>
          </w:tcPr>
          <w:p w14:paraId="207AEC03">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人</w:t>
            </w:r>
          </w:p>
        </w:tc>
        <w:tc>
          <w:tcPr>
            <w:tcW w:w="1692" w:type="dxa"/>
            <w:tcBorders>
              <w:top w:val="nil"/>
              <w:left w:val="nil"/>
              <w:bottom w:val="single" w:color="auto" w:sz="4" w:space="0"/>
              <w:right w:val="single" w:color="auto" w:sz="4" w:space="0"/>
            </w:tcBorders>
            <w:vAlign w:val="center"/>
          </w:tcPr>
          <w:p w14:paraId="23678B45">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300≤X＜1000</w:t>
            </w:r>
          </w:p>
        </w:tc>
        <w:tc>
          <w:tcPr>
            <w:tcW w:w="1539" w:type="dxa"/>
            <w:tcBorders>
              <w:top w:val="nil"/>
              <w:left w:val="nil"/>
              <w:bottom w:val="single" w:color="auto" w:sz="4" w:space="0"/>
              <w:right w:val="single" w:color="auto" w:sz="4" w:space="0"/>
            </w:tcBorders>
            <w:vAlign w:val="center"/>
          </w:tcPr>
          <w:p w14:paraId="46015268">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100≤X＜300</w:t>
            </w:r>
          </w:p>
        </w:tc>
        <w:tc>
          <w:tcPr>
            <w:tcW w:w="1075" w:type="dxa"/>
            <w:tcBorders>
              <w:top w:val="nil"/>
              <w:left w:val="nil"/>
              <w:bottom w:val="single" w:color="auto" w:sz="4" w:space="0"/>
              <w:right w:val="single" w:color="auto" w:sz="4" w:space="0"/>
            </w:tcBorders>
            <w:vAlign w:val="center"/>
          </w:tcPr>
          <w:p w14:paraId="68056A31">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X＜100</w:t>
            </w:r>
          </w:p>
        </w:tc>
      </w:tr>
      <w:tr w14:paraId="28E61A61">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vAlign w:val="center"/>
          </w:tcPr>
          <w:p w14:paraId="2AD9B5EF">
            <w:pPr>
              <w:widowControl/>
              <w:jc w:val="left"/>
              <w:rPr>
                <w:rFonts w:ascii="仿宋_GB2312" w:hAnsi="仿宋" w:eastAsia="仿宋_GB2312" w:cs="宋体"/>
                <w:b/>
                <w:bCs/>
                <w:kern w:val="0"/>
                <w:sz w:val="18"/>
                <w:szCs w:val="18"/>
                <w:highlight w:val="none"/>
              </w:rPr>
            </w:pPr>
          </w:p>
        </w:tc>
        <w:tc>
          <w:tcPr>
            <w:tcW w:w="1559" w:type="dxa"/>
            <w:tcBorders>
              <w:top w:val="nil"/>
              <w:left w:val="nil"/>
              <w:bottom w:val="single" w:color="auto" w:sz="4" w:space="0"/>
              <w:right w:val="single" w:color="auto" w:sz="4" w:space="0"/>
            </w:tcBorders>
            <w:vAlign w:val="center"/>
          </w:tcPr>
          <w:p w14:paraId="07847E27">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营业收入（Y）</w:t>
            </w:r>
          </w:p>
        </w:tc>
        <w:tc>
          <w:tcPr>
            <w:tcW w:w="1002" w:type="dxa"/>
            <w:tcBorders>
              <w:top w:val="nil"/>
              <w:left w:val="nil"/>
              <w:bottom w:val="single" w:color="auto" w:sz="4" w:space="0"/>
              <w:right w:val="single" w:color="auto" w:sz="4" w:space="0"/>
            </w:tcBorders>
            <w:vAlign w:val="center"/>
          </w:tcPr>
          <w:p w14:paraId="1D2E973E">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万元</w:t>
            </w:r>
          </w:p>
        </w:tc>
        <w:tc>
          <w:tcPr>
            <w:tcW w:w="1692" w:type="dxa"/>
            <w:tcBorders>
              <w:top w:val="nil"/>
              <w:left w:val="nil"/>
              <w:bottom w:val="single" w:color="auto" w:sz="4" w:space="0"/>
              <w:right w:val="single" w:color="auto" w:sz="4" w:space="0"/>
            </w:tcBorders>
            <w:vAlign w:val="center"/>
          </w:tcPr>
          <w:p w14:paraId="29061FCD">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1000≤Y＜5000</w:t>
            </w:r>
          </w:p>
        </w:tc>
        <w:tc>
          <w:tcPr>
            <w:tcW w:w="1539" w:type="dxa"/>
            <w:tcBorders>
              <w:top w:val="nil"/>
              <w:left w:val="nil"/>
              <w:bottom w:val="single" w:color="auto" w:sz="4" w:space="0"/>
              <w:right w:val="single" w:color="auto" w:sz="4" w:space="0"/>
            </w:tcBorders>
            <w:vAlign w:val="center"/>
          </w:tcPr>
          <w:p w14:paraId="13CB71C1">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500≤Y＜1000</w:t>
            </w:r>
          </w:p>
        </w:tc>
        <w:tc>
          <w:tcPr>
            <w:tcW w:w="1075" w:type="dxa"/>
            <w:tcBorders>
              <w:top w:val="nil"/>
              <w:left w:val="nil"/>
              <w:bottom w:val="single" w:color="auto" w:sz="4" w:space="0"/>
              <w:right w:val="single" w:color="auto" w:sz="4" w:space="0"/>
            </w:tcBorders>
            <w:vAlign w:val="center"/>
          </w:tcPr>
          <w:p w14:paraId="59A0D491">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Y＜500</w:t>
            </w:r>
          </w:p>
        </w:tc>
      </w:tr>
      <w:tr w14:paraId="4506E9F5">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vAlign w:val="bottom"/>
          </w:tcPr>
          <w:p w14:paraId="24C45B4E">
            <w:pPr>
              <w:widowControl/>
              <w:jc w:val="center"/>
              <w:rPr>
                <w:rFonts w:ascii="仿宋_GB2312" w:hAnsi="仿宋" w:eastAsia="仿宋_GB2312" w:cs="宋体"/>
                <w:b/>
                <w:bCs/>
                <w:kern w:val="0"/>
                <w:sz w:val="18"/>
                <w:szCs w:val="18"/>
                <w:highlight w:val="none"/>
              </w:rPr>
            </w:pPr>
            <w:r>
              <w:rPr>
                <w:rFonts w:hint="eastAsia" w:ascii="仿宋_GB2312" w:hAnsi="仿宋" w:eastAsia="仿宋_GB2312" w:cs="宋体"/>
                <w:b/>
                <w:bCs/>
                <w:kern w:val="0"/>
                <w:sz w:val="18"/>
                <w:szCs w:val="18"/>
                <w:highlight w:val="none"/>
              </w:rPr>
              <w:t>租赁和商务服务业</w:t>
            </w:r>
          </w:p>
        </w:tc>
        <w:tc>
          <w:tcPr>
            <w:tcW w:w="1559" w:type="dxa"/>
            <w:tcBorders>
              <w:top w:val="nil"/>
              <w:left w:val="nil"/>
              <w:bottom w:val="single" w:color="auto" w:sz="4" w:space="0"/>
              <w:right w:val="single" w:color="auto" w:sz="4" w:space="0"/>
            </w:tcBorders>
            <w:vAlign w:val="center"/>
          </w:tcPr>
          <w:p w14:paraId="6101F60A">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从业人员（X）</w:t>
            </w:r>
          </w:p>
        </w:tc>
        <w:tc>
          <w:tcPr>
            <w:tcW w:w="1002" w:type="dxa"/>
            <w:tcBorders>
              <w:top w:val="nil"/>
              <w:left w:val="nil"/>
              <w:bottom w:val="single" w:color="auto" w:sz="4" w:space="0"/>
              <w:right w:val="single" w:color="auto" w:sz="4" w:space="0"/>
            </w:tcBorders>
            <w:vAlign w:val="center"/>
          </w:tcPr>
          <w:p w14:paraId="59178240">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人</w:t>
            </w:r>
          </w:p>
        </w:tc>
        <w:tc>
          <w:tcPr>
            <w:tcW w:w="1692" w:type="dxa"/>
            <w:tcBorders>
              <w:top w:val="nil"/>
              <w:left w:val="nil"/>
              <w:bottom w:val="single" w:color="auto" w:sz="4" w:space="0"/>
              <w:right w:val="single" w:color="auto" w:sz="4" w:space="0"/>
            </w:tcBorders>
            <w:vAlign w:val="center"/>
          </w:tcPr>
          <w:p w14:paraId="33A3C6EF">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100≤X＜300</w:t>
            </w:r>
          </w:p>
        </w:tc>
        <w:tc>
          <w:tcPr>
            <w:tcW w:w="1539" w:type="dxa"/>
            <w:tcBorders>
              <w:top w:val="nil"/>
              <w:left w:val="nil"/>
              <w:bottom w:val="single" w:color="auto" w:sz="4" w:space="0"/>
              <w:right w:val="single" w:color="auto" w:sz="4" w:space="0"/>
            </w:tcBorders>
            <w:vAlign w:val="center"/>
          </w:tcPr>
          <w:p w14:paraId="02D4A8B3">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10≤X＜100</w:t>
            </w:r>
          </w:p>
        </w:tc>
        <w:tc>
          <w:tcPr>
            <w:tcW w:w="1075" w:type="dxa"/>
            <w:tcBorders>
              <w:top w:val="nil"/>
              <w:left w:val="nil"/>
              <w:bottom w:val="single" w:color="auto" w:sz="4" w:space="0"/>
              <w:right w:val="single" w:color="auto" w:sz="4" w:space="0"/>
            </w:tcBorders>
            <w:vAlign w:val="center"/>
          </w:tcPr>
          <w:p w14:paraId="7028B833">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X＜10</w:t>
            </w:r>
          </w:p>
        </w:tc>
      </w:tr>
      <w:tr w14:paraId="1E6435D5">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vAlign w:val="center"/>
          </w:tcPr>
          <w:p w14:paraId="563158B1">
            <w:pPr>
              <w:widowControl/>
              <w:jc w:val="left"/>
              <w:rPr>
                <w:rFonts w:ascii="仿宋_GB2312" w:hAnsi="仿宋" w:eastAsia="仿宋_GB2312" w:cs="宋体"/>
                <w:b/>
                <w:bCs/>
                <w:kern w:val="0"/>
                <w:sz w:val="18"/>
                <w:szCs w:val="18"/>
                <w:highlight w:val="none"/>
              </w:rPr>
            </w:pPr>
          </w:p>
        </w:tc>
        <w:tc>
          <w:tcPr>
            <w:tcW w:w="1559" w:type="dxa"/>
            <w:tcBorders>
              <w:top w:val="nil"/>
              <w:left w:val="nil"/>
              <w:bottom w:val="single" w:color="auto" w:sz="4" w:space="0"/>
              <w:right w:val="single" w:color="auto" w:sz="4" w:space="0"/>
            </w:tcBorders>
            <w:vAlign w:val="center"/>
          </w:tcPr>
          <w:p w14:paraId="2D4A485C">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资产总额（Z）</w:t>
            </w:r>
          </w:p>
        </w:tc>
        <w:tc>
          <w:tcPr>
            <w:tcW w:w="1002" w:type="dxa"/>
            <w:tcBorders>
              <w:top w:val="nil"/>
              <w:left w:val="nil"/>
              <w:bottom w:val="single" w:color="auto" w:sz="4" w:space="0"/>
              <w:right w:val="single" w:color="auto" w:sz="4" w:space="0"/>
            </w:tcBorders>
            <w:vAlign w:val="center"/>
          </w:tcPr>
          <w:p w14:paraId="4311CAAA">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万元</w:t>
            </w:r>
          </w:p>
        </w:tc>
        <w:tc>
          <w:tcPr>
            <w:tcW w:w="1692" w:type="dxa"/>
            <w:tcBorders>
              <w:top w:val="nil"/>
              <w:left w:val="nil"/>
              <w:bottom w:val="single" w:color="auto" w:sz="4" w:space="0"/>
              <w:right w:val="single" w:color="auto" w:sz="4" w:space="0"/>
            </w:tcBorders>
            <w:vAlign w:val="center"/>
          </w:tcPr>
          <w:p w14:paraId="7E719587">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8000≤Z＜120000</w:t>
            </w:r>
          </w:p>
        </w:tc>
        <w:tc>
          <w:tcPr>
            <w:tcW w:w="1539" w:type="dxa"/>
            <w:tcBorders>
              <w:top w:val="nil"/>
              <w:left w:val="nil"/>
              <w:bottom w:val="single" w:color="auto" w:sz="4" w:space="0"/>
              <w:right w:val="single" w:color="auto" w:sz="4" w:space="0"/>
            </w:tcBorders>
            <w:vAlign w:val="center"/>
          </w:tcPr>
          <w:p w14:paraId="6EC5A703">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100≤Z＜8000</w:t>
            </w:r>
          </w:p>
        </w:tc>
        <w:tc>
          <w:tcPr>
            <w:tcW w:w="1075" w:type="dxa"/>
            <w:tcBorders>
              <w:top w:val="nil"/>
              <w:left w:val="nil"/>
              <w:bottom w:val="single" w:color="auto" w:sz="4" w:space="0"/>
              <w:right w:val="single" w:color="auto" w:sz="4" w:space="0"/>
            </w:tcBorders>
            <w:vAlign w:val="center"/>
          </w:tcPr>
          <w:p w14:paraId="4AA35FF0">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Y＜100</w:t>
            </w:r>
          </w:p>
        </w:tc>
      </w:tr>
      <w:tr w14:paraId="65BA5364">
        <w:tblPrEx>
          <w:tblCellMar>
            <w:top w:w="0" w:type="dxa"/>
            <w:left w:w="108" w:type="dxa"/>
            <w:bottom w:w="0" w:type="dxa"/>
            <w:right w:w="108" w:type="dxa"/>
          </w:tblCellMar>
        </w:tblPrEx>
        <w:trPr>
          <w:trHeight w:val="225" w:hRule="atLeast"/>
        </w:trPr>
        <w:tc>
          <w:tcPr>
            <w:tcW w:w="1701" w:type="dxa"/>
            <w:tcBorders>
              <w:top w:val="nil"/>
              <w:left w:val="single" w:color="auto" w:sz="4" w:space="0"/>
              <w:bottom w:val="single" w:color="auto" w:sz="4" w:space="0"/>
              <w:right w:val="single" w:color="auto" w:sz="4" w:space="0"/>
            </w:tcBorders>
            <w:vAlign w:val="bottom"/>
          </w:tcPr>
          <w:p w14:paraId="7BAF9A59">
            <w:pPr>
              <w:widowControl/>
              <w:jc w:val="center"/>
              <w:rPr>
                <w:rFonts w:ascii="仿宋_GB2312" w:hAnsi="仿宋" w:eastAsia="仿宋_GB2312" w:cs="宋体"/>
                <w:b/>
                <w:bCs/>
                <w:kern w:val="0"/>
                <w:sz w:val="18"/>
                <w:szCs w:val="18"/>
                <w:highlight w:val="none"/>
              </w:rPr>
            </w:pPr>
            <w:r>
              <w:rPr>
                <w:rFonts w:hint="eastAsia" w:ascii="仿宋_GB2312" w:hAnsi="仿宋" w:eastAsia="仿宋_GB2312" w:cs="宋体"/>
                <w:b/>
                <w:bCs/>
                <w:kern w:val="0"/>
                <w:sz w:val="18"/>
                <w:szCs w:val="18"/>
                <w:highlight w:val="none"/>
              </w:rPr>
              <w:t>其他未列明行业</w:t>
            </w:r>
          </w:p>
        </w:tc>
        <w:tc>
          <w:tcPr>
            <w:tcW w:w="1559" w:type="dxa"/>
            <w:tcBorders>
              <w:top w:val="nil"/>
              <w:left w:val="nil"/>
              <w:bottom w:val="single" w:color="auto" w:sz="4" w:space="0"/>
              <w:right w:val="single" w:color="auto" w:sz="4" w:space="0"/>
            </w:tcBorders>
            <w:vAlign w:val="center"/>
          </w:tcPr>
          <w:p w14:paraId="390A53DC">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从业人员（X）</w:t>
            </w:r>
          </w:p>
        </w:tc>
        <w:tc>
          <w:tcPr>
            <w:tcW w:w="1002" w:type="dxa"/>
            <w:tcBorders>
              <w:top w:val="nil"/>
              <w:left w:val="nil"/>
              <w:bottom w:val="single" w:color="auto" w:sz="4" w:space="0"/>
              <w:right w:val="single" w:color="auto" w:sz="4" w:space="0"/>
            </w:tcBorders>
            <w:vAlign w:val="center"/>
          </w:tcPr>
          <w:p w14:paraId="17AB6BEB">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人</w:t>
            </w:r>
          </w:p>
        </w:tc>
        <w:tc>
          <w:tcPr>
            <w:tcW w:w="1692" w:type="dxa"/>
            <w:tcBorders>
              <w:top w:val="nil"/>
              <w:left w:val="nil"/>
              <w:bottom w:val="single" w:color="auto" w:sz="4" w:space="0"/>
              <w:right w:val="single" w:color="auto" w:sz="4" w:space="0"/>
            </w:tcBorders>
            <w:vAlign w:val="center"/>
          </w:tcPr>
          <w:p w14:paraId="1233614C">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100≤X＜300</w:t>
            </w:r>
          </w:p>
        </w:tc>
        <w:tc>
          <w:tcPr>
            <w:tcW w:w="1539" w:type="dxa"/>
            <w:tcBorders>
              <w:top w:val="nil"/>
              <w:left w:val="nil"/>
              <w:bottom w:val="single" w:color="auto" w:sz="4" w:space="0"/>
              <w:right w:val="single" w:color="auto" w:sz="4" w:space="0"/>
            </w:tcBorders>
            <w:vAlign w:val="center"/>
          </w:tcPr>
          <w:p w14:paraId="33BA0EF2">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10≤X＜100</w:t>
            </w:r>
          </w:p>
        </w:tc>
        <w:tc>
          <w:tcPr>
            <w:tcW w:w="1075" w:type="dxa"/>
            <w:tcBorders>
              <w:top w:val="nil"/>
              <w:left w:val="nil"/>
              <w:bottom w:val="single" w:color="auto" w:sz="4" w:space="0"/>
              <w:right w:val="single" w:color="auto" w:sz="4" w:space="0"/>
            </w:tcBorders>
            <w:vAlign w:val="center"/>
          </w:tcPr>
          <w:p w14:paraId="00A72B46">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X＜10</w:t>
            </w:r>
          </w:p>
        </w:tc>
      </w:tr>
    </w:tbl>
    <w:p w14:paraId="594360EC">
      <w:pPr>
        <w:spacing w:line="400" w:lineRule="exact"/>
        <w:rPr>
          <w:rFonts w:ascii="宋体" w:hAnsi="宋体" w:cs="宋体"/>
          <w:szCs w:val="21"/>
          <w:highlight w:val="none"/>
        </w:rPr>
      </w:pPr>
      <w:r>
        <w:rPr>
          <w:rFonts w:hint="eastAsia" w:ascii="仿宋_GB2312" w:hAnsi="仿宋" w:eastAsia="仿宋_GB2312"/>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6E3F36CB">
      <w:pPr>
        <w:pStyle w:val="3"/>
        <w:spacing w:line="360" w:lineRule="auto"/>
        <w:rPr>
          <w:sz w:val="44"/>
          <w:szCs w:val="44"/>
          <w:highlight w:val="none"/>
        </w:rPr>
      </w:pPr>
      <w:r>
        <w:rPr>
          <w:highlight w:val="none"/>
        </w:rPr>
        <w:br w:type="page"/>
      </w:r>
      <w:bookmarkStart w:id="8" w:name="_Toc119076882"/>
      <w:r>
        <w:rPr>
          <w:rFonts w:hint="eastAsia"/>
          <w:sz w:val="44"/>
          <w:szCs w:val="44"/>
          <w:highlight w:val="none"/>
        </w:rPr>
        <w:t xml:space="preserve">第三章  </w:t>
      </w:r>
      <w:bookmarkEnd w:id="8"/>
      <w:bookmarkStart w:id="9" w:name="_Toc119076883"/>
      <w:r>
        <w:rPr>
          <w:rFonts w:hint="eastAsia"/>
          <w:sz w:val="44"/>
          <w:szCs w:val="44"/>
          <w:highlight w:val="none"/>
        </w:rPr>
        <w:t>采购需求</w:t>
      </w:r>
      <w:bookmarkEnd w:id="9"/>
    </w:p>
    <w:p w14:paraId="5119706E">
      <w:pPr>
        <w:pStyle w:val="11"/>
        <w:rPr>
          <w:highlight w:val="none"/>
        </w:rPr>
      </w:pPr>
    </w:p>
    <w:p w14:paraId="6016C54C">
      <w:pPr>
        <w:spacing w:line="360" w:lineRule="auto"/>
        <w:jc w:val="left"/>
        <w:rPr>
          <w:rFonts w:ascii="宋体" w:hAnsi="宋体" w:cs="宋体"/>
          <w:b/>
          <w:szCs w:val="21"/>
          <w:highlight w:val="none"/>
        </w:rPr>
      </w:pPr>
      <w:r>
        <w:rPr>
          <w:rFonts w:hint="eastAsia" w:ascii="宋体" w:hAnsi="宋体" w:cs="宋体"/>
          <w:b/>
          <w:szCs w:val="21"/>
          <w:highlight w:val="none"/>
        </w:rPr>
        <w:t>说明：</w:t>
      </w:r>
    </w:p>
    <w:p w14:paraId="24A15341">
      <w:pPr>
        <w:spacing w:line="360" w:lineRule="exact"/>
        <w:ind w:left="-10" w:leftChars="-5" w:right="2" w:rightChars="1" w:firstLine="420" w:firstLineChars="200"/>
        <w:rPr>
          <w:rFonts w:hAnsi="宋体"/>
          <w:bCs/>
          <w:highlight w:val="none"/>
        </w:rPr>
      </w:pPr>
      <w:r>
        <w:rPr>
          <w:rFonts w:hint="eastAsia" w:hAnsi="宋体"/>
          <w:bCs/>
          <w:highlight w:val="none"/>
        </w:rPr>
        <w:t>1、采购需求中如出现品牌、型号或者生产厂家等均仅起参考作用，不属于指定品牌、型号或者生产厂家的情形，供应商可参照或者选用其他相当的品牌、型号或者生产供应商替代。但供应商的产品实质上应相当于或优于本需求</w:t>
      </w:r>
      <w:r>
        <w:rPr>
          <w:rFonts w:hAnsi="宋体"/>
          <w:bCs/>
          <w:highlight w:val="none"/>
        </w:rPr>
        <w:t>中</w:t>
      </w:r>
      <w:r>
        <w:rPr>
          <w:rFonts w:hint="eastAsia" w:hAnsi="宋体"/>
          <w:bCs/>
          <w:highlight w:val="none"/>
        </w:rPr>
        <w:t>的技术要求。</w:t>
      </w:r>
    </w:p>
    <w:p w14:paraId="011CADCE">
      <w:pPr>
        <w:spacing w:line="360" w:lineRule="exact"/>
        <w:ind w:left="-10" w:leftChars="-5" w:right="2" w:rightChars="1" w:firstLine="420" w:firstLineChars="200"/>
        <w:rPr>
          <w:rFonts w:hAnsi="宋体"/>
          <w:bCs/>
          <w:highlight w:val="none"/>
        </w:rPr>
      </w:pPr>
      <w:r>
        <w:rPr>
          <w:rFonts w:hint="eastAsia" w:hAnsi="宋体"/>
          <w:bCs/>
          <w:highlight w:val="none"/>
        </w:rPr>
        <w:t>2、</w:t>
      </w:r>
      <w:r>
        <w:rPr>
          <w:rFonts w:hAnsi="宋体"/>
          <w:bCs/>
          <w:highlight w:val="none"/>
        </w:rPr>
        <w:t>凡在“</w:t>
      </w:r>
      <w:r>
        <w:rPr>
          <w:rFonts w:hint="eastAsia" w:hAnsi="宋体"/>
          <w:bCs/>
          <w:highlight w:val="none"/>
        </w:rPr>
        <w:t>技术要求</w:t>
      </w:r>
      <w:r>
        <w:rPr>
          <w:rFonts w:hAnsi="宋体"/>
          <w:bCs/>
          <w:highlight w:val="none"/>
        </w:rPr>
        <w:t>”中表述为“标配”或“标准配置”的设备，供应商应在</w:t>
      </w:r>
      <w:r>
        <w:rPr>
          <w:rFonts w:hint="eastAsia" w:hAnsi="宋体"/>
          <w:bCs/>
          <w:highlight w:val="none"/>
        </w:rPr>
        <w:t>货物配置清单</w:t>
      </w:r>
      <w:r>
        <w:rPr>
          <w:rFonts w:hAnsi="宋体"/>
          <w:bCs/>
          <w:highlight w:val="none"/>
        </w:rPr>
        <w:t>中将其标配参数详细列明。</w:t>
      </w:r>
    </w:p>
    <w:p w14:paraId="6148DA98">
      <w:pPr>
        <w:spacing w:line="360" w:lineRule="exact"/>
        <w:ind w:left="-10" w:leftChars="-5" w:right="2" w:rightChars="1" w:firstLine="420" w:firstLineChars="200"/>
        <w:rPr>
          <w:rFonts w:hAnsi="宋体"/>
          <w:b/>
          <w:bCs w:val="0"/>
          <w:highlight w:val="none"/>
        </w:rPr>
      </w:pPr>
      <w:r>
        <w:rPr>
          <w:rFonts w:hint="eastAsia" w:hAnsi="宋体"/>
          <w:bCs/>
          <w:highlight w:val="none"/>
        </w:rPr>
        <w:t>3、根据《财政部 发展改革委 生态环境部 市场监管总局关于调整优化节能产品、环境标志产品政府采购执行机制的通知》（财库〔2019〕9 号）和《关于印发节能产品政府采购品目清单的通知》（财库〔2019〕19 号）的规定，采购需求中的产品属于节能产品政府采购品目清单内</w:t>
      </w:r>
      <w:r>
        <w:rPr>
          <w:rFonts w:hint="eastAsia" w:hAnsi="宋体"/>
          <w:b/>
          <w:bCs w:val="0"/>
          <w:highlight w:val="none"/>
        </w:rPr>
        <w:t>标注“★”的（详见本章后附的节能产品政府采购品目清单），投标人的投标货物必须使用政府强制采购的节能产品，投标人必须在投标文件中提供所投标产品的节能产品认证证书复印件（加盖投标人公章），否则投标文件作无效处理。</w:t>
      </w:r>
    </w:p>
    <w:p w14:paraId="1B88D839">
      <w:pPr>
        <w:spacing w:line="360" w:lineRule="exact"/>
        <w:ind w:left="-10" w:leftChars="-5" w:right="2" w:rightChars="1" w:firstLine="420" w:firstLineChars="200"/>
        <w:rPr>
          <w:rFonts w:hAnsi="宋体"/>
          <w:bCs/>
          <w:highlight w:val="none"/>
        </w:rPr>
      </w:pPr>
      <w:r>
        <w:rPr>
          <w:rFonts w:hint="eastAsia" w:hAnsi="宋体"/>
          <w:bCs/>
          <w:highlight w:val="none"/>
        </w:rPr>
        <w:t>4、如投标人投标产品存在侵犯他人的知识产权或者专利成果行为的，由投标人自行承担相应法律责任。</w:t>
      </w:r>
    </w:p>
    <w:p w14:paraId="4C7BEA20">
      <w:pPr>
        <w:spacing w:line="360" w:lineRule="exact"/>
        <w:ind w:left="-10" w:leftChars="-5" w:right="2" w:rightChars="1" w:firstLine="420" w:firstLineChars="200"/>
        <w:rPr>
          <w:rFonts w:hAnsi="宋体"/>
          <w:bCs/>
          <w:highlight w:val="none"/>
        </w:rPr>
      </w:pPr>
      <w:r>
        <w:rPr>
          <w:rFonts w:hint="eastAsia" w:hAnsi="宋体"/>
          <w:bCs/>
          <w:highlight w:val="none"/>
        </w:rPr>
        <w:t>5、“实质性要求”是指招标文件中已经指明不满足则投标无效的条款，或者不能负偏离的条款，或者采购需求中带“▲”的条款。</w:t>
      </w:r>
    </w:p>
    <w:p w14:paraId="7AC4851E">
      <w:pPr>
        <w:spacing w:line="360" w:lineRule="exact"/>
        <w:ind w:left="-10" w:leftChars="-5" w:right="2" w:rightChars="1" w:firstLine="420" w:firstLineChars="200"/>
        <w:rPr>
          <w:rFonts w:hAnsi="宋体"/>
          <w:bCs/>
          <w:highlight w:val="none"/>
        </w:rPr>
      </w:pPr>
      <w:r>
        <w:rPr>
          <w:rFonts w:hint="eastAsia" w:hAnsi="宋体"/>
          <w:bCs/>
          <w:highlight w:val="none"/>
        </w:rPr>
        <w:t>6、投标人应根据自身实际情况如实响应招标文件，不得仅将招标文件内容简单复制粘贴作为投标响应，还应当提供相关证明材料，否则将作无效响应处理（定制采购项目不适用本条款）。对于重要技术条款或技术参数应当在投标文件中提供技术支持资料，技术支持资料以招标文件中规定的形式为准，否则将视为无效技术支持资料。</w:t>
      </w:r>
    </w:p>
    <w:p w14:paraId="48AAC094">
      <w:pPr>
        <w:spacing w:line="360" w:lineRule="exact"/>
        <w:ind w:left="-10" w:leftChars="-5" w:right="2" w:rightChars="1" w:firstLine="422" w:firstLineChars="200"/>
        <w:rPr>
          <w:rFonts w:hAnsi="宋体"/>
          <w:bCs/>
          <w:highlight w:val="none"/>
        </w:rPr>
      </w:pPr>
      <w:r>
        <w:rPr>
          <w:rFonts w:hint="eastAsia" w:hAnsi="宋体"/>
          <w:b/>
          <w:bCs w:val="0"/>
          <w:highlight w:val="none"/>
        </w:rPr>
        <w:t>7、本项目不接受进口产品。</w:t>
      </w:r>
    </w:p>
    <w:p w14:paraId="35A94BEB">
      <w:pPr>
        <w:spacing w:line="360" w:lineRule="exact"/>
        <w:ind w:left="-10" w:leftChars="-5" w:right="2" w:rightChars="1" w:firstLine="420" w:firstLineChars="200"/>
        <w:rPr>
          <w:rFonts w:hAnsi="宋体"/>
          <w:bCs/>
          <w:highlight w:val="none"/>
        </w:rPr>
      </w:pPr>
    </w:p>
    <w:p w14:paraId="1AFF1835">
      <w:pPr>
        <w:ind w:firstLine="361" w:firstLineChars="150"/>
        <w:rPr>
          <w:b w:val="0"/>
          <w:bCs/>
        </w:rPr>
      </w:pPr>
      <w:r>
        <w:rPr>
          <w:rFonts w:ascii="宋体" w:hAnsi="宋体"/>
          <w:b/>
          <w:sz w:val="24"/>
          <w:highlight w:val="none"/>
        </w:rPr>
        <w:t>本采购标的所属行业：</w:t>
      </w:r>
      <w:r>
        <w:rPr>
          <w:rFonts w:hint="eastAsia" w:ascii="宋体" w:hAnsi="宋体"/>
          <w:b/>
          <w:sz w:val="24"/>
          <w:highlight w:val="none"/>
          <w:lang w:val="en-US" w:eastAsia="zh-CN"/>
        </w:rPr>
        <w:t>工业</w:t>
      </w:r>
      <w:r>
        <w:rPr>
          <w:rFonts w:ascii="宋体" w:hAnsi="宋体"/>
          <w:b w:val="0"/>
          <w:bCs/>
          <w:sz w:val="24"/>
          <w:highlight w:val="none"/>
        </w:rPr>
        <w:t>。</w:t>
      </w:r>
    </w:p>
    <w:p w14:paraId="3805E7CC">
      <w:pPr>
        <w:pStyle w:val="11"/>
        <w:rPr>
          <w:highlight w:val="none"/>
        </w:rPr>
      </w:pPr>
    </w:p>
    <w:tbl>
      <w:tblPr>
        <w:tblStyle w:val="19"/>
        <w:tblW w:w="8530" w:type="dxa"/>
        <w:jc w:val="center"/>
        <w:tblLayout w:type="fixed"/>
        <w:tblCellMar>
          <w:top w:w="0" w:type="dxa"/>
          <w:left w:w="108" w:type="dxa"/>
          <w:bottom w:w="0" w:type="dxa"/>
          <w:right w:w="108" w:type="dxa"/>
        </w:tblCellMar>
      </w:tblPr>
      <w:tblGrid>
        <w:gridCol w:w="580"/>
        <w:gridCol w:w="1340"/>
        <w:gridCol w:w="650"/>
        <w:gridCol w:w="731"/>
        <w:gridCol w:w="5229"/>
      </w:tblGrid>
      <w:tr w14:paraId="40DAF1D4">
        <w:tblPrEx>
          <w:tblCellMar>
            <w:top w:w="0" w:type="dxa"/>
            <w:left w:w="108" w:type="dxa"/>
            <w:bottom w:w="0" w:type="dxa"/>
            <w:right w:w="108" w:type="dxa"/>
          </w:tblCellMar>
        </w:tblPrEx>
        <w:trPr>
          <w:trHeight w:val="890" w:hRule="atLeast"/>
          <w:jc w:val="center"/>
        </w:trPr>
        <w:tc>
          <w:tcPr>
            <w:tcW w:w="5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8A6D8E3">
            <w:pPr>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序号</w:t>
            </w:r>
          </w:p>
        </w:tc>
        <w:tc>
          <w:tcPr>
            <w:tcW w:w="1340" w:type="dxa"/>
            <w:tcBorders>
              <w:top w:val="single" w:color="auto" w:sz="4" w:space="0"/>
              <w:left w:val="single" w:color="auto" w:sz="4" w:space="0"/>
              <w:bottom w:val="single" w:color="auto" w:sz="4" w:space="0"/>
              <w:right w:val="single" w:color="auto" w:sz="4" w:space="0"/>
            </w:tcBorders>
            <w:shd w:val="clear" w:color="auto" w:fill="auto"/>
            <w:vAlign w:val="center"/>
          </w:tcPr>
          <w:p w14:paraId="52235AD6">
            <w:pPr>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 xml:space="preserve">商品名称 </w:t>
            </w:r>
          </w:p>
        </w:tc>
        <w:tc>
          <w:tcPr>
            <w:tcW w:w="6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2F5C28">
            <w:pPr>
              <w:widowControl/>
              <w:spacing w:line="360" w:lineRule="exact"/>
              <w:jc w:val="center"/>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kern w:val="0"/>
                <w:sz w:val="18"/>
                <w:szCs w:val="18"/>
                <w:highlight w:val="none"/>
                <w:lang w:val="en-US" w:eastAsia="zh-CN"/>
              </w:rPr>
              <w:t>数量</w:t>
            </w:r>
          </w:p>
        </w:tc>
        <w:tc>
          <w:tcPr>
            <w:tcW w:w="73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71A200">
            <w:pPr>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单位</w:t>
            </w:r>
          </w:p>
        </w:tc>
        <w:tc>
          <w:tcPr>
            <w:tcW w:w="5229" w:type="dxa"/>
            <w:tcBorders>
              <w:top w:val="single" w:color="auto" w:sz="4" w:space="0"/>
              <w:left w:val="single" w:color="auto" w:sz="4" w:space="0"/>
              <w:bottom w:val="single" w:color="auto" w:sz="4" w:space="0"/>
              <w:right w:val="single" w:color="auto" w:sz="4" w:space="0"/>
            </w:tcBorders>
            <w:shd w:val="clear" w:color="auto" w:fill="auto"/>
            <w:vAlign w:val="center"/>
          </w:tcPr>
          <w:p w14:paraId="009C4B72">
            <w:pPr>
              <w:pStyle w:val="7"/>
              <w:numPr>
                <w:ilvl w:val="0"/>
                <w:numId w:val="0"/>
              </w:numPr>
              <w:ind w:leftChars="0"/>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技术参数配置要求</w:t>
            </w:r>
          </w:p>
        </w:tc>
      </w:tr>
      <w:tr w14:paraId="7DD000BB">
        <w:tblPrEx>
          <w:tblCellMar>
            <w:top w:w="0" w:type="dxa"/>
            <w:left w:w="108" w:type="dxa"/>
            <w:bottom w:w="0" w:type="dxa"/>
            <w:right w:w="108" w:type="dxa"/>
          </w:tblCellMar>
        </w:tblPrEx>
        <w:trPr>
          <w:trHeight w:val="90" w:hRule="atLeast"/>
          <w:jc w:val="center"/>
        </w:trPr>
        <w:tc>
          <w:tcPr>
            <w:tcW w:w="5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2F6398">
            <w:pPr>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w:t>
            </w:r>
          </w:p>
        </w:tc>
        <w:tc>
          <w:tcPr>
            <w:tcW w:w="1340" w:type="dxa"/>
            <w:tcBorders>
              <w:top w:val="single" w:color="auto" w:sz="4" w:space="0"/>
              <w:left w:val="single" w:color="auto" w:sz="4" w:space="0"/>
              <w:bottom w:val="single" w:color="auto" w:sz="4" w:space="0"/>
              <w:right w:val="single" w:color="auto" w:sz="4" w:space="0"/>
            </w:tcBorders>
            <w:shd w:val="clear" w:color="auto" w:fill="auto"/>
            <w:vAlign w:val="center"/>
          </w:tcPr>
          <w:p w14:paraId="4E897B89">
            <w:pPr>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全自动凯氏定氮仪</w:t>
            </w:r>
          </w:p>
          <w:p w14:paraId="7AF41564">
            <w:pPr>
              <w:jc w:val="center"/>
              <w:rPr>
                <w:rFonts w:hint="eastAsia" w:ascii="宋体" w:hAnsi="宋体" w:eastAsia="宋体" w:cs="宋体"/>
                <w:color w:val="auto"/>
                <w:sz w:val="18"/>
                <w:szCs w:val="18"/>
                <w:highlight w:val="none"/>
                <w:lang w:val="en-US" w:eastAsia="zh-CN"/>
              </w:rPr>
            </w:pPr>
          </w:p>
        </w:tc>
        <w:tc>
          <w:tcPr>
            <w:tcW w:w="6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7BCBDD">
            <w:pPr>
              <w:jc w:val="center"/>
              <w:rPr>
                <w:rFonts w:hint="eastAsia" w:ascii="宋体" w:hAnsi="宋体" w:eastAsia="宋体" w:cs="宋体"/>
                <w:color w:val="auto"/>
                <w:sz w:val="18"/>
                <w:szCs w:val="18"/>
                <w:highlight w:val="none"/>
                <w:vertAlign w:val="baseline"/>
                <w:lang w:val="en-US" w:eastAsia="zh-CN"/>
              </w:rPr>
            </w:pPr>
            <w:r>
              <w:rPr>
                <w:rFonts w:hint="eastAsia" w:ascii="宋体" w:hAnsi="宋体" w:cs="宋体"/>
                <w:color w:val="auto"/>
                <w:sz w:val="18"/>
                <w:szCs w:val="18"/>
                <w:highlight w:val="none"/>
                <w:vertAlign w:val="baseline"/>
                <w:lang w:val="en-US" w:eastAsia="zh-CN"/>
              </w:rPr>
              <w:t>1</w:t>
            </w:r>
          </w:p>
        </w:tc>
        <w:tc>
          <w:tcPr>
            <w:tcW w:w="73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B6AA08">
            <w:pPr>
              <w:jc w:val="center"/>
              <w:rPr>
                <w:rFonts w:hint="eastAsia" w:ascii="宋体" w:hAnsi="宋体" w:eastAsia="宋体" w:cs="宋体"/>
                <w:color w:val="auto"/>
                <w:sz w:val="18"/>
                <w:szCs w:val="18"/>
                <w:highlight w:val="none"/>
                <w:lang w:eastAsia="zh-CN"/>
              </w:rPr>
            </w:pPr>
            <w:r>
              <w:rPr>
                <w:rFonts w:hint="eastAsia" w:ascii="宋体" w:hAnsi="宋体" w:cs="宋体"/>
                <w:color w:val="auto"/>
                <w:sz w:val="18"/>
                <w:szCs w:val="18"/>
                <w:highlight w:val="none"/>
                <w:lang w:eastAsia="zh-CN"/>
              </w:rPr>
              <w:t>台</w:t>
            </w:r>
          </w:p>
        </w:tc>
        <w:tc>
          <w:tcPr>
            <w:tcW w:w="5229" w:type="dxa"/>
            <w:tcBorders>
              <w:top w:val="single" w:color="auto" w:sz="4" w:space="0"/>
              <w:left w:val="single" w:color="auto" w:sz="4" w:space="0"/>
              <w:bottom w:val="single" w:color="auto" w:sz="4" w:space="0"/>
              <w:right w:val="single" w:color="auto" w:sz="4" w:space="0"/>
            </w:tcBorders>
            <w:shd w:val="clear" w:color="auto" w:fill="auto"/>
            <w:vAlign w:val="center"/>
          </w:tcPr>
          <w:p w14:paraId="763827AE">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一、设备用途：</w:t>
            </w:r>
          </w:p>
          <w:p w14:paraId="3829662E">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根据凯氏定氮的方法测定食品、药品、奶制品、农产品、水产品、化工及环境检测中的氮或蛋白质的含量。</w:t>
            </w:r>
          </w:p>
          <w:p w14:paraId="151AE527">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二、技术参数：</w:t>
            </w:r>
          </w:p>
          <w:p w14:paraId="39A04515">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1、▲氮测量范围：0.02-220 mg。</w:t>
            </w:r>
          </w:p>
          <w:p w14:paraId="43DB7349">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2、回收率：包含消解过程：＞98%。无消解过程：＞99.5%。</w:t>
            </w:r>
          </w:p>
          <w:p w14:paraId="2BAF977D">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3、结果重复性：＜0.8%。</w:t>
            </w:r>
          </w:p>
          <w:p w14:paraId="4019C64F">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4、蒸汽力度：10-100% 可调。</w:t>
            </w:r>
          </w:p>
          <w:p w14:paraId="359A6CEA">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5、蒸馏效率：～12.5 mL/min（10%蒸汽量）。～40 mL/min（100%蒸汽量）。</w:t>
            </w:r>
          </w:p>
          <w:p w14:paraId="6331F289">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6、蒸汽重复性：＜1%。</w:t>
            </w:r>
          </w:p>
          <w:p w14:paraId="2254B869">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7、显示屏：≥7英寸LCD彩色触摸屏，支持SD卡和USB数据传输。</w:t>
            </w:r>
          </w:p>
          <w:p w14:paraId="1A4DE2E3">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8、系统方法存储：≥96。</w:t>
            </w:r>
          </w:p>
          <w:p w14:paraId="2914381B">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9、最大测量数：≥512。</w:t>
            </w:r>
          </w:p>
          <w:p w14:paraId="448DFBF4">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10、每个序列最大测量数：≥32。</w:t>
            </w:r>
          </w:p>
          <w:p w14:paraId="66D109F0">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11、模板数：≥16个。</w:t>
            </w:r>
          </w:p>
          <w:p w14:paraId="16AB62C4">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12、用户量：≥32个。</w:t>
            </w:r>
          </w:p>
          <w:p w14:paraId="578D1C96">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13、支持不少于12种操作语言，包含本土化的中文操作系统。</w:t>
            </w:r>
          </w:p>
          <w:p w14:paraId="3DA7E03A">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14、▲全透明的玻璃防溅区实时监控实验情况利于方法开发。</w:t>
            </w:r>
          </w:p>
          <w:p w14:paraId="29C76C1F">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15、具备蒸汽梯度编程功能。在处理一些易起泡的样品时，防止泡沫溅到冷凝器区影响结果准确性，遂以低蒸汽力度开始蒸馏，每个方法可编辑3步以实现全自动蒸汽温和输出。</w:t>
            </w:r>
          </w:p>
          <w:p w14:paraId="19166C96">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16、具备最大准确度模式，实验过程中，集成的稳压器可以维持电源电压在准确的工作值，保证蒸汽动力的稳定输出，提高测量准确度和重现性。</w:t>
            </w:r>
          </w:p>
          <w:p w14:paraId="345924F4">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17、▲自动蒸馏功能。通过冷凝器内的内置温度传感器实时检测冷凝水的温度，自动调整蒸馏开始的时间，避免了预热等待的操作时间，并可使结果的重现性更佳。</w:t>
            </w:r>
          </w:p>
          <w:p w14:paraId="3964DBAA">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18、▲可选配通过无线方式连接网络，推送仪器实时信息及通过无线网实现仪器软件升级等实验室智慧化功能的需求。</w:t>
            </w:r>
          </w:p>
          <w:p w14:paraId="615F8430">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19、最优安全性：安全传感器监控冷却水流量、蒸汽发生器压力和样品管是否在位。防护门、检修门和冷却水控制传感器确保实验过程顺利进行。</w:t>
            </w:r>
          </w:p>
          <w:p w14:paraId="0A536783">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20、▲可升级传感器，确保每次收集的馏分都一致，完全符合标准的规定。且适用于实验室所有的收集容器，如容量瓶、三角瓶、锥形瓶、烧杯等。</w:t>
            </w:r>
          </w:p>
          <w:p w14:paraId="31739606">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21、可无缝衔接使用100ml、300ml、500ml、750ml消化管，消化管由硼硅酸盐玻璃3.3制成，质量优越稳定，其管壁厚度≥2.3mm，收口采用防爆沸设计，利于强酸的回流和系统密封性。</w:t>
            </w:r>
          </w:p>
          <w:p w14:paraId="4929672C">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22、测定完成后样品管自动排空。</w:t>
            </w:r>
          </w:p>
          <w:p w14:paraId="76622D27">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23、▲外接滴定仪可实现自动滴定功能，同时可以分开作为单独的两台仪器使用。滴定仪内置滴定管活塞驱动器、滴定管、电极电缆、PH电极，蒸馏仪与滴定仪数据实时传输。可通过蒸馏仪主机界面屏控制滴定仪自动滴定并出结果报告，同时滴定仪模块也可以单独当脱离蒸馏仪主机做滴定仪使用，滴定仪带磁力搅拌功能，可独立使用测酸价、过氧化值等，≥4.3英寸彩色中文触摸屏，480 x 272像素。触摸屏，具有中文、英文、德文等多种语言。</w:t>
            </w:r>
          </w:p>
          <w:p w14:paraId="5350B72D">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24、▲全自动化检测过程:自动加酸、蒸馏、滴定、测定完后样品管自动排空，不用人工清洗，数据结束可直接生成PDF报告，无需人工干预;也可暂停后采用手动控制;</w:t>
            </w:r>
          </w:p>
          <w:p w14:paraId="67B50FEE">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二、快速消解仪：</w:t>
            </w:r>
          </w:p>
          <w:p w14:paraId="314DD0DF">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1、▲消化仪采用红外线快速加热方式加热（非铝块），加热盘加热均匀，升降温速度快；</w:t>
            </w:r>
          </w:p>
          <w:p w14:paraId="45AAE2E4">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2、▲加热速率快,10分钟内可由室温达到420℃以上； </w:t>
            </w:r>
          </w:p>
          <w:p w14:paraId="1277FD55">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3、消化能力：同时消解≥12个样品；</w:t>
            </w:r>
          </w:p>
          <w:p w14:paraId="2230D068">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4、消解仪上有两个控制器，分别控制不少于6个样品。当样品量少时，可以只开一个控制器；</w:t>
            </w:r>
          </w:p>
          <w:p w14:paraId="542013CE">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5、▲最高温度：≥500℃；消化温度范围宽，消化更彻底，复杂的难消解样品也可以轻松处理；温度十级梯度控制；</w:t>
            </w:r>
          </w:p>
          <w:p w14:paraId="6F996074">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6、消解仪设有安全保护功能：过温保护、防腐保护和断电保护等；</w:t>
            </w:r>
          </w:p>
          <w:p w14:paraId="3626F95C">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7、▲消化管带有凹型“冷凝圈”，可以防止瀑沸,增加回流，提高消解效率。</w:t>
            </w:r>
          </w:p>
          <w:p w14:paraId="5C1C1DA9">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三、全自动凯氏定氮仪配置要求：</w:t>
            </w:r>
          </w:p>
          <w:p w14:paraId="49962993">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1、定氮仪主机一台</w:t>
            </w:r>
          </w:p>
          <w:p w14:paraId="391B10C7">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 12位红外消解仪一台、300ml消化管24个</w:t>
            </w:r>
          </w:p>
          <w:p w14:paraId="434540AD">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3、电位滴定仪一台 </w:t>
            </w:r>
          </w:p>
          <w:p w14:paraId="034CA7B7">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4、低温温冷却液循环泵1台 </w:t>
            </w:r>
          </w:p>
          <w:p w14:paraId="12DB5F08">
            <w:pPr>
              <w:numPr>
                <w:ilvl w:val="0"/>
                <w:numId w:val="0"/>
              </w:numPr>
              <w:snapToGrid w:val="0"/>
              <w:spacing w:line="560" w:lineRule="exact"/>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四、售后服务要求</w:t>
            </w:r>
          </w:p>
          <w:p w14:paraId="479021F6">
            <w:pPr>
              <w:numPr>
                <w:ilvl w:val="0"/>
                <w:numId w:val="0"/>
              </w:numPr>
              <w:snapToGrid w:val="0"/>
              <w:spacing w:line="560" w:lineRule="exact"/>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1.整机免费保修两年质保期：从验收合格之日起计算两年(厂家有规定的按厂家保修承诺执行)，质保期内免费维修及更换配件；</w:t>
            </w:r>
          </w:p>
          <w:p w14:paraId="56B09D3A">
            <w:pPr>
              <w:numPr>
                <w:ilvl w:val="0"/>
                <w:numId w:val="0"/>
              </w:numPr>
              <w:snapToGrid w:val="0"/>
              <w:spacing w:line="560" w:lineRule="exact"/>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 仪器到货后，工程师上门安装调试、验收并做基本操作培训，应用工程师上门软件及应用培训不少2次，保证至少2人能熟练操作该设备；</w:t>
            </w:r>
          </w:p>
          <w:p w14:paraId="5B96BCAC">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3.必须提供生产厂商或国内总代理针对本项目的原厂商售后服务承诺书。       </w:t>
            </w:r>
          </w:p>
        </w:tc>
      </w:tr>
      <w:tr w14:paraId="70D3E9CA">
        <w:tblPrEx>
          <w:tblCellMar>
            <w:top w:w="0" w:type="dxa"/>
            <w:left w:w="108" w:type="dxa"/>
            <w:bottom w:w="0" w:type="dxa"/>
            <w:right w:w="108" w:type="dxa"/>
          </w:tblCellMar>
        </w:tblPrEx>
        <w:trPr>
          <w:trHeight w:val="1618" w:hRule="atLeast"/>
          <w:jc w:val="center"/>
        </w:trPr>
        <w:tc>
          <w:tcPr>
            <w:tcW w:w="5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3305973">
            <w:pPr>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2</w:t>
            </w:r>
          </w:p>
        </w:tc>
        <w:tc>
          <w:tcPr>
            <w:tcW w:w="1340" w:type="dxa"/>
            <w:tcBorders>
              <w:top w:val="single" w:color="auto" w:sz="4" w:space="0"/>
              <w:left w:val="single" w:color="auto" w:sz="4" w:space="0"/>
              <w:bottom w:val="single" w:color="auto" w:sz="4" w:space="0"/>
              <w:right w:val="single" w:color="auto" w:sz="4" w:space="0"/>
            </w:tcBorders>
            <w:shd w:val="clear" w:color="auto" w:fill="auto"/>
            <w:vAlign w:val="center"/>
          </w:tcPr>
          <w:p w14:paraId="0A85379E">
            <w:pPr>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离子色谱仪</w:t>
            </w:r>
          </w:p>
          <w:p w14:paraId="587E9243">
            <w:pPr>
              <w:jc w:val="center"/>
              <w:rPr>
                <w:rFonts w:hint="eastAsia" w:ascii="宋体" w:hAnsi="宋体" w:eastAsia="宋体" w:cs="宋体"/>
                <w:color w:val="auto"/>
                <w:sz w:val="18"/>
                <w:szCs w:val="18"/>
                <w:highlight w:val="none"/>
                <w:lang w:eastAsia="zh-CN"/>
              </w:rPr>
            </w:pPr>
          </w:p>
        </w:tc>
        <w:tc>
          <w:tcPr>
            <w:tcW w:w="6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04FD9A">
            <w:pPr>
              <w:jc w:val="center"/>
              <w:rPr>
                <w:rFonts w:hint="eastAsia" w:ascii="宋体" w:hAnsi="宋体" w:eastAsia="宋体" w:cs="宋体"/>
                <w:color w:val="auto"/>
                <w:sz w:val="18"/>
                <w:szCs w:val="18"/>
                <w:highlight w:val="none"/>
                <w:vertAlign w:val="baseline"/>
                <w:lang w:val="en-US" w:eastAsia="zh-CN"/>
              </w:rPr>
            </w:pPr>
            <w:r>
              <w:rPr>
                <w:rFonts w:hint="eastAsia" w:ascii="宋体" w:hAnsi="宋体" w:cs="宋体"/>
                <w:color w:val="auto"/>
                <w:sz w:val="18"/>
                <w:szCs w:val="18"/>
                <w:highlight w:val="none"/>
                <w:vertAlign w:val="baseline"/>
                <w:lang w:val="en-US" w:eastAsia="zh-CN"/>
              </w:rPr>
              <w:t>1</w:t>
            </w:r>
          </w:p>
        </w:tc>
        <w:tc>
          <w:tcPr>
            <w:tcW w:w="73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3F3591">
            <w:pPr>
              <w:jc w:val="center"/>
              <w:rPr>
                <w:rFonts w:hint="eastAsia" w:ascii="宋体" w:hAnsi="宋体" w:eastAsia="宋体" w:cs="宋体"/>
                <w:color w:val="auto"/>
                <w:sz w:val="18"/>
                <w:szCs w:val="18"/>
                <w:highlight w:val="none"/>
                <w:lang w:eastAsia="zh-CN"/>
              </w:rPr>
            </w:pPr>
            <w:r>
              <w:rPr>
                <w:rFonts w:hint="eastAsia" w:ascii="宋体" w:hAnsi="宋体" w:cs="宋体"/>
                <w:color w:val="auto"/>
                <w:sz w:val="18"/>
                <w:szCs w:val="18"/>
                <w:highlight w:val="none"/>
                <w:lang w:eastAsia="zh-CN"/>
              </w:rPr>
              <w:t>台</w:t>
            </w:r>
          </w:p>
        </w:tc>
        <w:tc>
          <w:tcPr>
            <w:tcW w:w="5229" w:type="dxa"/>
            <w:tcBorders>
              <w:top w:val="single" w:color="auto" w:sz="4" w:space="0"/>
              <w:left w:val="single" w:color="auto" w:sz="4" w:space="0"/>
              <w:bottom w:val="single" w:color="auto" w:sz="4" w:space="0"/>
              <w:right w:val="single" w:color="auto" w:sz="4" w:space="0"/>
            </w:tcBorders>
            <w:shd w:val="clear" w:color="auto" w:fill="auto"/>
            <w:vAlign w:val="center"/>
          </w:tcPr>
          <w:p w14:paraId="465560C3">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设备主要性能指标：</w:t>
            </w:r>
          </w:p>
          <w:p w14:paraId="3FE789D2">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（一）离子色谱仪的用途</w:t>
            </w:r>
          </w:p>
          <w:p w14:paraId="44F44513">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分析检测常规阴离子：F-、Cl-、Br－、NO2-、NO3-、SO42-、ClO2-、BrO3-、ClO3-、磷酸盐、甲酸、乙酸、二氯乙酸、三氯乙酸、碘化物、高氯酸盐等阴离子及有机酸分析，阳离子一次进样分析：Li+、Na+、NH4+、K+、Mg2+、Ca2+等阳离子</w:t>
            </w:r>
          </w:p>
          <w:p w14:paraId="0464C9DB">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（二）性能及技术参数要求</w:t>
            </w:r>
          </w:p>
          <w:p w14:paraId="59A21CF9">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主机：采用双通道一体机设计，应在单一机箱主机内部集成所有核心零件（柱温箱、高压泵、抑制器、检测器等部件均各2套），单一外观的整机设备，不得采用两套及以上箱体，积木式堆砌而成多套并联设备。（响应文件中提供内部结构实物图证明材料）</w:t>
            </w:r>
          </w:p>
          <w:p w14:paraId="6F4D7CD2">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2.泵</w:t>
            </w:r>
          </w:p>
          <w:p w14:paraId="366603B6">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2.1泵头及管路均为化学惰性非金属PEEK材质，适合pH为0～14的淋洗液及反相有机溶剂。</w:t>
            </w:r>
          </w:p>
          <w:p w14:paraId="06319944">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2.2最大耐压：42MPa（PEEK材质）。</w:t>
            </w:r>
          </w:p>
          <w:p w14:paraId="7A691D87">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2.3压力显示精度：≤0.1MPa。</w:t>
            </w:r>
          </w:p>
          <w:p w14:paraId="7C54791C">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2.4标配自动后冲洗系统，可以对柱塞杆和密封圈进行自动清洗，减少密封圈的磨损，延长泵的维护周期。</w:t>
            </w:r>
          </w:p>
          <w:p w14:paraId="6964BB41">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2.5标配漏液传感器，可进行漏液报警。</w:t>
            </w:r>
          </w:p>
          <w:p w14:paraId="54772A0C">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3.电导检测器</w:t>
            </w:r>
          </w:p>
          <w:p w14:paraId="53C310C9">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3.1自动量程电导检测器，μg/L～g/L浓度范围信号直接拓展，无需调整量程。</w:t>
            </w:r>
          </w:p>
          <w:p w14:paraId="25540058">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3.2全程信号输出范围：0～50000μS/cm，无需调整量程。</w:t>
            </w:r>
          </w:p>
          <w:p w14:paraId="537D27EB">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3.3电导池独立控温，可通过工作软件单独设定电导池温度。</w:t>
            </w:r>
          </w:p>
          <w:p w14:paraId="1DEBEA88">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3.4基线噪声：0.002μS，基线漂移：≤0.008μS/30min。</w:t>
            </w:r>
          </w:p>
          <w:p w14:paraId="56757D7D">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3.5最小检测浓度：Cl-≤0.0002μg/mL。</w:t>
            </w:r>
          </w:p>
          <w:p w14:paraId="15F94E96">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3.6电导体积：≤0.6μL。</w:t>
            </w:r>
          </w:p>
          <w:p w14:paraId="5F5E4B32">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3.7检测器耐受最大压力：≥8MPa。</w:t>
            </w:r>
          </w:p>
          <w:p w14:paraId="3AE69EE4">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3.8信号采集频率：信号采集频率可调，并且最大采集频率不低于100Hz。</w:t>
            </w:r>
          </w:p>
          <w:p w14:paraId="044F5497">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4.抑制器</w:t>
            </w:r>
          </w:p>
          <w:p w14:paraId="28F9EACE">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4.1使用电解技术在线产生抑制所需的H+或OH-，不需通入酸、碱进行再生。</w:t>
            </w:r>
          </w:p>
          <w:p w14:paraId="455B952C">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4.2抑制器内置智能芯片，色谱软件可记录用户使用情况，有助于用户提高耗材使用效率。</w:t>
            </w:r>
          </w:p>
          <w:p w14:paraId="036BC595">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5.色谱柱</w:t>
            </w:r>
          </w:p>
          <w:p w14:paraId="236300F8">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5.1高效高容量阴、阳离子色谱柱能够耐受pH0～14的工作范围，可耐受3000psi以上压力，100%兼容反向试剂，可以使用强酸、强碱淋洗液。</w:t>
            </w:r>
          </w:p>
          <w:p w14:paraId="3B4EF096">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6.工作站</w:t>
            </w:r>
          </w:p>
          <w:p w14:paraId="6B254E90">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6.1基于数据库设计，产生的所有数据都存储在数据库中，数据自动备份机制，可使数据永久存储，支持win10/win7/国产麒麟等操作系统，离子色谱仪主机和自动进样器等拓展部件的控制，以及数据采集和处理均使用同一个软件，在同一界面内实现，不能由多个软件完成，一个软件可以同时控制3台以上仪器。</w:t>
            </w:r>
          </w:p>
          <w:p w14:paraId="3D2281AD">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6.2可采用柱状图、折线图、气泡图等多种形式显示数据点的趋势与离散度。</w:t>
            </w:r>
          </w:p>
          <w:p w14:paraId="50C34D90">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6.3工作站在可对适时分析条件参数和分析结果进行监控，三线监测和采集泵压力变化、温度变化、淋洗液浓度变化、抑制器电流等各部件数据。</w:t>
            </w:r>
          </w:p>
          <w:p w14:paraId="17D8F08F">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6.4工作站标配虚拟柱软件技术，模拟本公司不同色谱柱对不同离子的分离效果，可帮助进行快速方法开发及辅助未知物定性。可选配软件集成全功能版虚拟柱技术。</w:t>
            </w:r>
          </w:p>
          <w:p w14:paraId="1C5F5557">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6.5具备基线扣除功能，去除梯度洗脱导致的基线飘移，降低痕量检测数据的处理难度。</w:t>
            </w:r>
          </w:p>
          <w:p w14:paraId="2362ED21">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7.内置柱温箱</w:t>
            </w:r>
          </w:p>
          <w:p w14:paraId="54E7F775">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▲7.1内置于主机机箱内的两套双向柱温箱，可制冷、制热两种模式，控温范围≤10℃～≥65℃，稳定性±0.1℃，软件直接控制。（提供软件可显示由65℃降至10℃温度变化曲线图截图）</w:t>
            </w:r>
          </w:p>
          <w:p w14:paraId="17E6702D">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8.安全报警装置</w:t>
            </w:r>
          </w:p>
          <w:p w14:paraId="5AA6CD83">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8.1可对仪器进行多位点、实时监测，仪器发生低压、超压、漏液等情况时，仪器会自动报警，自动关停仪器处理。</w:t>
            </w:r>
          </w:p>
          <w:p w14:paraId="59D9520B">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9.温控制冷双通道自动进样器一体机</w:t>
            </w:r>
          </w:p>
          <w:p w14:paraId="207E9E3B">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9.1三轴式双通道一体机自动进样器，单一机箱内置两个进样阀同时进行，既可以对同一样瓶的样品进行双通道进样同时也分析，也可以能对不同样品瓶进行双通道进样分析，不得采用两套箱体，积木式堆砌而成的设备。</w:t>
            </w:r>
          </w:p>
          <w:p w14:paraId="3ED950DC">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▲9.2 样品倍数：2mL样品盘时≥160位，5mL样品盘时≥90位。</w:t>
            </w:r>
            <w:r>
              <w:rPr>
                <w:rFonts w:hint="eastAsia" w:ascii="宋体" w:hAnsi="宋体" w:eastAsia="宋体" w:cs="宋体"/>
                <w:b/>
                <w:bCs/>
                <w:i w:val="0"/>
                <w:iCs w:val="0"/>
                <w:color w:val="000000"/>
                <w:kern w:val="0"/>
                <w:sz w:val="20"/>
                <w:szCs w:val="20"/>
                <w:u w:val="none"/>
                <w:lang w:val="en-US" w:eastAsia="zh-CN" w:bidi="ar"/>
              </w:rPr>
              <w:t>（投标文件中须提供软件截图证明并加盖供应商电子公章，否则按无效投标处理）</w:t>
            </w:r>
          </w:p>
          <w:p w14:paraId="069BE49E">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9.3 最大进样量：1000μL。</w:t>
            </w:r>
          </w:p>
          <w:p w14:paraId="3410FD3E">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9.4 进样方式：全定量环/部分定量环/微量进样；改变进样量只需在软件设置即可，无需手动更换定量环。</w:t>
            </w:r>
          </w:p>
          <w:p w14:paraId="6EAE7377">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9.5 进样精密度：满环进样：RSD≤0.5%。</w:t>
            </w:r>
          </w:p>
          <w:p w14:paraId="14363046">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9.6 单点自动稀释配制标准曲线，保证曲线准确度，采用取一定量的标准溶液和取一定量纯水混合模式进行配备曲线点，不能通过改变进样量模式配备，稀释倍数不低于10000倍。</w:t>
            </w:r>
          </w:p>
          <w:p w14:paraId="349CB725">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▲9.7 自动进样器具有控温功能，温度范围10～40℃，具备制冷功能。</w:t>
            </w:r>
            <w:r>
              <w:rPr>
                <w:rFonts w:hint="eastAsia" w:ascii="宋体" w:hAnsi="宋体" w:eastAsia="宋体" w:cs="宋体"/>
                <w:b/>
                <w:bCs/>
                <w:i w:val="0"/>
                <w:iCs w:val="0"/>
                <w:color w:val="000000"/>
                <w:kern w:val="0"/>
                <w:sz w:val="20"/>
                <w:szCs w:val="20"/>
                <w:u w:val="none"/>
                <w:lang w:val="en-US" w:eastAsia="zh-CN" w:bidi="ar"/>
              </w:rPr>
              <w:t>（投标文件中须提供进样器制温度设置为10℃软件设置截图，否则按无效投标处理）</w:t>
            </w:r>
          </w:p>
          <w:p w14:paraId="6E2C0B50">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9.8进样器内置在线真空脱气系统。</w:t>
            </w:r>
          </w:p>
          <w:p w14:paraId="709B68DC">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10.自动淋洗液发生器</w:t>
            </w:r>
          </w:p>
          <w:p w14:paraId="67D858FA">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10.1 淋洗液发生器只需通入纯水，通过控制电流即可产生所需浓度的淋洗液，而非不同溶液间的在线混合或稀释产生，从而可以实现等度和梯度淋洗；梯度产生于泵后，死体积小。</w:t>
            </w:r>
          </w:p>
          <w:p w14:paraId="1A45C9DB">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10.2 淋洗液种类：KOH/MSA。</w:t>
            </w:r>
          </w:p>
          <w:p w14:paraId="2529C301">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10.3 淋洗液浓度范围：0.1～120mM。</w:t>
            </w:r>
          </w:p>
          <w:p w14:paraId="5526E5CB">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10.4 梯度精度：＜0.2%。</w:t>
            </w:r>
          </w:p>
          <w:p w14:paraId="3819AE6C">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三、仪器配置</w:t>
            </w:r>
          </w:p>
          <w:p w14:paraId="1669828E">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1.双通道离子色谱一体机，1台</w:t>
            </w:r>
          </w:p>
          <w:p w14:paraId="6F9428BD">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2.双柱塞平流泵（PEEK材质），2台</w:t>
            </w:r>
          </w:p>
          <w:p w14:paraId="549E3792">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3.恒湿电导检测器系统，2个</w:t>
            </w:r>
          </w:p>
          <w:p w14:paraId="6270DC10">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4.内置式制冷制热柱温箱，2套</w:t>
            </w:r>
          </w:p>
          <w:p w14:paraId="2D2D3927">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5.阴离子自再生电解微膜抑制器，1个</w:t>
            </w:r>
          </w:p>
          <w:p w14:paraId="17FF7CDD">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6.阴离子色谱柱（含保护柱），1套</w:t>
            </w:r>
          </w:p>
          <w:p w14:paraId="2AA1496A">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7.阳离子自再生电解微膜抑制器，1个</w:t>
            </w:r>
          </w:p>
          <w:p w14:paraId="3FCF2E2D">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8.阳离子色谱柱（含保护柱），1套</w:t>
            </w:r>
          </w:p>
          <w:p w14:paraId="12C99693">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9.温控制冷双通道自动进样器一体机，1套</w:t>
            </w:r>
          </w:p>
          <w:p w14:paraId="031C6AC2">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10.气液分离器，2套</w:t>
            </w:r>
          </w:p>
          <w:p w14:paraId="4D7C2BDC">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11.0.22μm针头过滤器，500个</w:t>
            </w:r>
          </w:p>
          <w:p w14:paraId="26BD95A0">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12.双通道自动淋洗液发生器，1套</w:t>
            </w:r>
          </w:p>
          <w:p w14:paraId="67297746">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13.原版正版色谱工作站软件，1套</w:t>
            </w:r>
          </w:p>
          <w:p w14:paraId="01B84F89">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14.样品瓶，500个</w:t>
            </w:r>
          </w:p>
          <w:p w14:paraId="177BAE79">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15.工具包，1套</w:t>
            </w:r>
          </w:p>
          <w:p w14:paraId="34756E4C">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16.报警传感器，1套</w:t>
            </w:r>
          </w:p>
          <w:p w14:paraId="72EE47BB">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17.数据处理终端、数据输出终端，1套</w:t>
            </w:r>
          </w:p>
          <w:p w14:paraId="14A45ED5">
            <w:pPr>
              <w:numPr>
                <w:ilvl w:val="0"/>
                <w:numId w:val="0"/>
              </w:numPr>
              <w:snapToGrid w:val="0"/>
              <w:spacing w:line="560" w:lineRule="exact"/>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四、售后服务要求</w:t>
            </w:r>
          </w:p>
          <w:p w14:paraId="0609A6A3">
            <w:pPr>
              <w:numPr>
                <w:ilvl w:val="0"/>
                <w:numId w:val="0"/>
              </w:numPr>
              <w:snapToGrid w:val="0"/>
              <w:spacing w:line="560" w:lineRule="exact"/>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1.整机免费保修两年质保期：从验收合格之日起计算两年(厂家有规定的按厂家保修承诺执行)，质保期内免费维修及更换配件；</w:t>
            </w:r>
          </w:p>
          <w:p w14:paraId="4B1D3825">
            <w:pPr>
              <w:numPr>
                <w:ilvl w:val="0"/>
                <w:numId w:val="0"/>
              </w:numPr>
              <w:snapToGrid w:val="0"/>
              <w:spacing w:line="560" w:lineRule="exact"/>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 仪器到货后，工程师上门安装调试、验收并做基本操作培训，应用工程师上门软件及应用培训不少2次，保证至少2人能熟练操作该设备；</w:t>
            </w:r>
          </w:p>
          <w:p w14:paraId="5A4CDCFE">
            <w:pPr>
              <w:keepNext w:val="0"/>
              <w:keepLines w:val="0"/>
              <w:pageBreakBefore w:val="0"/>
              <w:widowControl w:val="0"/>
              <w:numPr>
                <w:ilvl w:val="0"/>
                <w:numId w:val="0"/>
              </w:numPr>
              <w:kinsoku/>
              <w:wordWrap/>
              <w:overflowPunct/>
              <w:topLinePunct w:val="0"/>
              <w:bidi w:val="0"/>
              <w:adjustRightInd/>
              <w:snapToGrid w:val="0"/>
              <w:spacing w:line="360" w:lineRule="exact"/>
              <w:textAlignment w:val="auto"/>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3.必须提供生产厂商或国内总代理针对本项目的原厂商售后服务承诺书。       </w:t>
            </w:r>
          </w:p>
        </w:tc>
      </w:tr>
      <w:tr w14:paraId="7FF7BB36">
        <w:tblPrEx>
          <w:tblCellMar>
            <w:top w:w="0" w:type="dxa"/>
            <w:left w:w="108" w:type="dxa"/>
            <w:bottom w:w="0" w:type="dxa"/>
            <w:right w:w="108" w:type="dxa"/>
          </w:tblCellMar>
        </w:tblPrEx>
        <w:trPr>
          <w:trHeight w:val="565" w:hRule="atLeast"/>
          <w:jc w:val="center"/>
        </w:trPr>
        <w:tc>
          <w:tcPr>
            <w:tcW w:w="8530" w:type="dxa"/>
            <w:gridSpan w:val="5"/>
            <w:tcBorders>
              <w:top w:val="single" w:color="auto" w:sz="4" w:space="0"/>
              <w:left w:val="single" w:color="auto" w:sz="4" w:space="0"/>
              <w:bottom w:val="single" w:color="auto" w:sz="4" w:space="0"/>
              <w:right w:val="single" w:color="auto" w:sz="4" w:space="0"/>
            </w:tcBorders>
            <w:shd w:val="clear" w:color="000000" w:fill="FFFFFF"/>
            <w:noWrap/>
            <w:vAlign w:val="center"/>
          </w:tcPr>
          <w:p w14:paraId="58FB50B5">
            <w:pPr>
              <w:keepNext w:val="0"/>
              <w:keepLines w:val="0"/>
              <w:pageBreakBefore w:val="0"/>
              <w:widowControl w:val="0"/>
              <w:numPr>
                <w:ilvl w:val="0"/>
                <w:numId w:val="0"/>
              </w:numPr>
              <w:kinsoku/>
              <w:wordWrap/>
              <w:overflowPunct/>
              <w:topLinePunct w:val="0"/>
              <w:bidi w:val="0"/>
              <w:adjustRightInd/>
              <w:snapToGrid w:val="0"/>
              <w:spacing w:line="360" w:lineRule="exact"/>
              <w:jc w:val="center"/>
              <w:textAlignment w:val="auto"/>
              <w:rPr>
                <w:rFonts w:hint="eastAsia" w:ascii="宋体" w:hAnsi="宋体" w:eastAsia="宋体" w:cs="宋体"/>
                <w:i w:val="0"/>
                <w:iCs w:val="0"/>
                <w:color w:val="000000"/>
                <w:kern w:val="0"/>
                <w:sz w:val="20"/>
                <w:szCs w:val="20"/>
                <w:u w:val="none"/>
                <w:lang w:val="en-US" w:eastAsia="zh-CN" w:bidi="ar"/>
              </w:rPr>
            </w:pPr>
            <w:r>
              <w:rPr>
                <w:rFonts w:hint="eastAsia"/>
                <w:b/>
                <w:szCs w:val="21"/>
                <w:highlight w:val="none"/>
              </w:rPr>
              <w:t>商务条款</w:t>
            </w:r>
          </w:p>
        </w:tc>
      </w:tr>
      <w:tr w14:paraId="406CE6D4">
        <w:tblPrEx>
          <w:tblCellMar>
            <w:top w:w="0" w:type="dxa"/>
            <w:left w:w="108" w:type="dxa"/>
            <w:bottom w:w="0" w:type="dxa"/>
            <w:right w:w="108" w:type="dxa"/>
          </w:tblCellMar>
        </w:tblPrEx>
        <w:trPr>
          <w:trHeight w:val="390" w:hRule="atLeast"/>
          <w:jc w:val="center"/>
        </w:trPr>
        <w:tc>
          <w:tcPr>
            <w:tcW w:w="5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A7A6015">
            <w:pPr>
              <w:jc w:val="center"/>
              <w:rPr>
                <w:rFonts w:hint="eastAsia" w:ascii="宋体" w:hAnsi="宋体" w:eastAsia="宋体" w:cs="宋体"/>
                <w:color w:val="auto"/>
                <w:sz w:val="18"/>
                <w:szCs w:val="18"/>
                <w:highlight w:val="none"/>
                <w:lang w:val="en-US" w:eastAsia="zh-CN"/>
              </w:rPr>
            </w:pPr>
            <w:r>
              <w:rPr>
                <w:rFonts w:hint="eastAsia" w:hAnsi="宋体" w:cs="宋体"/>
                <w:b/>
                <w:sz w:val="21"/>
                <w:szCs w:val="21"/>
                <w:highlight w:val="none"/>
              </w:rPr>
              <w:t>序号</w:t>
            </w:r>
          </w:p>
        </w:tc>
        <w:tc>
          <w:tcPr>
            <w:tcW w:w="1340" w:type="dxa"/>
            <w:tcBorders>
              <w:top w:val="single" w:color="auto" w:sz="4" w:space="0"/>
              <w:left w:val="single" w:color="auto" w:sz="4" w:space="0"/>
              <w:bottom w:val="single" w:color="auto" w:sz="4" w:space="0"/>
              <w:right w:val="single" w:color="auto" w:sz="4" w:space="0"/>
            </w:tcBorders>
            <w:shd w:val="clear" w:color="auto" w:fill="auto"/>
            <w:vAlign w:val="center"/>
          </w:tcPr>
          <w:p w14:paraId="0D03FE47">
            <w:pPr>
              <w:jc w:val="center"/>
              <w:rPr>
                <w:rFonts w:hint="eastAsia" w:ascii="宋体" w:hAnsi="宋体" w:eastAsia="宋体" w:cs="宋体"/>
                <w:color w:val="auto"/>
                <w:sz w:val="18"/>
                <w:szCs w:val="18"/>
                <w:highlight w:val="none"/>
                <w:lang w:eastAsia="zh-CN"/>
              </w:rPr>
            </w:pPr>
            <w:r>
              <w:rPr>
                <w:rFonts w:hint="eastAsia" w:hAnsi="宋体" w:cs="宋体"/>
                <w:b/>
                <w:color w:val="auto"/>
                <w:sz w:val="21"/>
                <w:szCs w:val="21"/>
                <w:highlight w:val="none"/>
              </w:rPr>
              <w:t>商务条款</w:t>
            </w:r>
          </w:p>
        </w:tc>
        <w:tc>
          <w:tcPr>
            <w:tcW w:w="6610"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3A9193BB">
            <w:pPr>
              <w:keepNext w:val="0"/>
              <w:keepLines w:val="0"/>
              <w:pageBreakBefore w:val="0"/>
              <w:widowControl w:val="0"/>
              <w:numPr>
                <w:ilvl w:val="0"/>
                <w:numId w:val="0"/>
              </w:numPr>
              <w:kinsoku/>
              <w:wordWrap/>
              <w:overflowPunct/>
              <w:topLinePunct w:val="0"/>
              <w:bidi w:val="0"/>
              <w:adjustRightInd/>
              <w:snapToGrid w:val="0"/>
              <w:spacing w:line="360" w:lineRule="exact"/>
              <w:jc w:val="center"/>
              <w:textAlignment w:val="auto"/>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b/>
                <w:bCs/>
                <w:i w:val="0"/>
                <w:iCs w:val="0"/>
                <w:color w:val="auto"/>
                <w:kern w:val="0"/>
                <w:sz w:val="20"/>
                <w:szCs w:val="20"/>
                <w:u w:val="none"/>
                <w:lang w:val="en-US" w:eastAsia="zh-CN" w:bidi="ar"/>
              </w:rPr>
              <w:t>商务要求</w:t>
            </w:r>
          </w:p>
        </w:tc>
      </w:tr>
      <w:tr w14:paraId="16B1900F">
        <w:tblPrEx>
          <w:tblCellMar>
            <w:top w:w="0" w:type="dxa"/>
            <w:left w:w="108" w:type="dxa"/>
            <w:bottom w:w="0" w:type="dxa"/>
            <w:right w:w="108" w:type="dxa"/>
          </w:tblCellMar>
        </w:tblPrEx>
        <w:trPr>
          <w:trHeight w:val="390" w:hRule="atLeast"/>
          <w:jc w:val="center"/>
        </w:trPr>
        <w:tc>
          <w:tcPr>
            <w:tcW w:w="5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153246">
            <w:pPr>
              <w:jc w:val="center"/>
              <w:rPr>
                <w:rFonts w:hint="eastAsia" w:hAnsi="宋体" w:eastAsia="宋体" w:cs="宋体"/>
                <w:b/>
                <w:sz w:val="21"/>
                <w:szCs w:val="21"/>
                <w:highlight w:val="none"/>
                <w:lang w:val="en-US" w:eastAsia="zh-CN"/>
              </w:rPr>
            </w:pPr>
            <w:r>
              <w:rPr>
                <w:rFonts w:hint="eastAsia" w:hAnsi="宋体" w:cs="宋体"/>
                <w:b/>
                <w:sz w:val="21"/>
                <w:szCs w:val="21"/>
                <w:highlight w:val="none"/>
                <w:lang w:val="en-US" w:eastAsia="zh-CN"/>
              </w:rPr>
              <w:t>1</w:t>
            </w:r>
          </w:p>
        </w:tc>
        <w:tc>
          <w:tcPr>
            <w:tcW w:w="1340" w:type="dxa"/>
            <w:tcBorders>
              <w:top w:val="single" w:color="auto" w:sz="4" w:space="0"/>
              <w:left w:val="single" w:color="auto" w:sz="4" w:space="0"/>
              <w:bottom w:val="single" w:color="auto" w:sz="4" w:space="0"/>
              <w:right w:val="single" w:color="auto" w:sz="4" w:space="0"/>
            </w:tcBorders>
            <w:shd w:val="clear" w:color="auto" w:fill="auto"/>
            <w:vAlign w:val="center"/>
          </w:tcPr>
          <w:p w14:paraId="7B3BA53E">
            <w:pPr>
              <w:jc w:val="center"/>
              <w:rPr>
                <w:rFonts w:hint="eastAsia" w:hAnsi="宋体" w:cs="宋体"/>
                <w:b/>
                <w:color w:val="auto"/>
                <w:sz w:val="21"/>
                <w:szCs w:val="21"/>
                <w:highlight w:val="none"/>
              </w:rPr>
            </w:pPr>
            <w:r>
              <w:rPr>
                <w:rFonts w:hint="eastAsia" w:asciiTheme="minorEastAsia" w:hAnsiTheme="minorEastAsia" w:eastAsiaTheme="minorEastAsia"/>
                <w:color w:val="auto"/>
                <w:kern w:val="0"/>
                <w:szCs w:val="21"/>
                <w:highlight w:val="none"/>
              </w:rPr>
              <w:t>▲</w:t>
            </w:r>
            <w:r>
              <w:rPr>
                <w:rFonts w:hint="eastAsia" w:cs="宋体" w:asciiTheme="minorEastAsia" w:hAnsiTheme="minorEastAsia" w:eastAsiaTheme="minorEastAsia"/>
                <w:color w:val="auto"/>
                <w:kern w:val="0"/>
                <w:szCs w:val="21"/>
                <w:highlight w:val="none"/>
              </w:rPr>
              <w:t>合同签订时间</w:t>
            </w:r>
          </w:p>
        </w:tc>
        <w:tc>
          <w:tcPr>
            <w:tcW w:w="6610"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40A22CF8">
            <w:pPr>
              <w:keepNext w:val="0"/>
              <w:keepLines w:val="0"/>
              <w:pageBreakBefore w:val="0"/>
              <w:widowControl w:val="0"/>
              <w:numPr>
                <w:ilvl w:val="0"/>
                <w:numId w:val="0"/>
              </w:numPr>
              <w:kinsoku/>
              <w:wordWrap/>
              <w:overflowPunct/>
              <w:topLinePunct w:val="0"/>
              <w:bidi w:val="0"/>
              <w:adjustRightInd/>
              <w:snapToGrid w:val="0"/>
              <w:spacing w:line="360" w:lineRule="exact"/>
              <w:jc w:val="center"/>
              <w:textAlignment w:val="auto"/>
              <w:rPr>
                <w:rFonts w:hint="eastAsia" w:ascii="宋体" w:hAnsi="宋体" w:eastAsia="宋体" w:cs="宋体"/>
                <w:b/>
                <w:bCs/>
                <w:i w:val="0"/>
                <w:iCs w:val="0"/>
                <w:color w:val="auto"/>
                <w:kern w:val="0"/>
                <w:sz w:val="20"/>
                <w:szCs w:val="20"/>
                <w:u w:val="none"/>
                <w:lang w:val="en-US" w:eastAsia="zh-CN" w:bidi="ar"/>
              </w:rPr>
            </w:pPr>
            <w:r>
              <w:rPr>
                <w:rFonts w:hint="eastAsia" w:hAnsi="宋体"/>
                <w:color w:val="auto"/>
                <w:sz w:val="21"/>
                <w:szCs w:val="21"/>
                <w:highlight w:val="none"/>
              </w:rPr>
              <w:t>自成交通知书发出之日起 20 日内</w:t>
            </w:r>
          </w:p>
        </w:tc>
      </w:tr>
      <w:tr w14:paraId="7DAB6F4C">
        <w:tblPrEx>
          <w:tblCellMar>
            <w:top w:w="0" w:type="dxa"/>
            <w:left w:w="108" w:type="dxa"/>
            <w:bottom w:w="0" w:type="dxa"/>
            <w:right w:w="108" w:type="dxa"/>
          </w:tblCellMar>
        </w:tblPrEx>
        <w:trPr>
          <w:trHeight w:val="390" w:hRule="atLeast"/>
          <w:jc w:val="center"/>
        </w:trPr>
        <w:tc>
          <w:tcPr>
            <w:tcW w:w="5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543A3F9">
            <w:pPr>
              <w:jc w:val="center"/>
              <w:rPr>
                <w:rFonts w:hint="default" w:hAnsi="宋体" w:cs="宋体"/>
                <w:b/>
                <w:sz w:val="21"/>
                <w:szCs w:val="21"/>
                <w:highlight w:val="none"/>
                <w:lang w:val="en-US" w:eastAsia="zh-CN"/>
              </w:rPr>
            </w:pPr>
            <w:r>
              <w:rPr>
                <w:rFonts w:hint="eastAsia" w:hAnsi="宋体" w:cs="宋体"/>
                <w:b/>
                <w:sz w:val="21"/>
                <w:szCs w:val="21"/>
                <w:highlight w:val="none"/>
                <w:lang w:val="en-US" w:eastAsia="zh-CN"/>
              </w:rPr>
              <w:t>2</w:t>
            </w:r>
          </w:p>
        </w:tc>
        <w:tc>
          <w:tcPr>
            <w:tcW w:w="1340" w:type="dxa"/>
            <w:tcBorders>
              <w:top w:val="single" w:color="auto" w:sz="4" w:space="0"/>
              <w:left w:val="single" w:color="auto" w:sz="4" w:space="0"/>
              <w:bottom w:val="single" w:color="auto" w:sz="4" w:space="0"/>
              <w:right w:val="single" w:color="auto" w:sz="4" w:space="0"/>
            </w:tcBorders>
            <w:shd w:val="clear" w:color="auto" w:fill="auto"/>
            <w:vAlign w:val="center"/>
          </w:tcPr>
          <w:p w14:paraId="451723AA">
            <w:pPr>
              <w:jc w:val="center"/>
              <w:rPr>
                <w:rFonts w:hint="eastAsia"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▲合同履约期限</w:t>
            </w:r>
          </w:p>
        </w:tc>
        <w:tc>
          <w:tcPr>
            <w:tcW w:w="6610"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42D5998C">
            <w:pPr>
              <w:keepNext w:val="0"/>
              <w:keepLines w:val="0"/>
              <w:pageBreakBefore w:val="0"/>
              <w:widowControl w:val="0"/>
              <w:numPr>
                <w:ilvl w:val="0"/>
                <w:numId w:val="0"/>
              </w:numPr>
              <w:kinsoku/>
              <w:wordWrap/>
              <w:overflowPunct/>
              <w:topLinePunct w:val="0"/>
              <w:bidi w:val="0"/>
              <w:adjustRightInd/>
              <w:snapToGrid w:val="0"/>
              <w:spacing w:line="360" w:lineRule="exact"/>
              <w:jc w:val="center"/>
              <w:textAlignment w:val="auto"/>
              <w:rPr>
                <w:rFonts w:hint="eastAsia"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合同签订之日起60个日历日内</w:t>
            </w:r>
            <w:r>
              <w:rPr>
                <w:rFonts w:hint="eastAsia" w:cs="宋体" w:asciiTheme="minorEastAsia" w:hAnsiTheme="minorEastAsia" w:eastAsiaTheme="minorEastAsia"/>
                <w:color w:val="auto"/>
                <w:kern w:val="0"/>
                <w:szCs w:val="21"/>
                <w:highlight w:val="none"/>
                <w:lang w:val="en-US" w:eastAsia="zh-CN"/>
              </w:rPr>
              <w:t>完成设备到货、安装、调试。</w:t>
            </w:r>
          </w:p>
        </w:tc>
      </w:tr>
      <w:tr w14:paraId="7E67B0E9">
        <w:tblPrEx>
          <w:tblCellMar>
            <w:top w:w="0" w:type="dxa"/>
            <w:left w:w="108" w:type="dxa"/>
            <w:bottom w:w="0" w:type="dxa"/>
            <w:right w:w="108" w:type="dxa"/>
          </w:tblCellMar>
        </w:tblPrEx>
        <w:trPr>
          <w:trHeight w:val="390" w:hRule="atLeast"/>
          <w:jc w:val="center"/>
        </w:trPr>
        <w:tc>
          <w:tcPr>
            <w:tcW w:w="5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A018107">
            <w:pPr>
              <w:jc w:val="center"/>
              <w:rPr>
                <w:rFonts w:hint="default" w:hAnsi="宋体" w:cs="宋体"/>
                <w:b/>
                <w:sz w:val="21"/>
                <w:szCs w:val="21"/>
                <w:highlight w:val="none"/>
                <w:lang w:val="en-US" w:eastAsia="zh-CN"/>
              </w:rPr>
            </w:pPr>
            <w:r>
              <w:rPr>
                <w:rFonts w:hint="eastAsia" w:hAnsi="宋体" w:cs="宋体"/>
                <w:b/>
                <w:sz w:val="21"/>
                <w:szCs w:val="21"/>
                <w:highlight w:val="none"/>
                <w:lang w:val="en-US" w:eastAsia="zh-CN"/>
              </w:rPr>
              <w:t>3</w:t>
            </w:r>
          </w:p>
        </w:tc>
        <w:tc>
          <w:tcPr>
            <w:tcW w:w="1340" w:type="dxa"/>
            <w:tcBorders>
              <w:top w:val="single" w:color="auto" w:sz="4" w:space="0"/>
              <w:left w:val="single" w:color="auto" w:sz="4" w:space="0"/>
              <w:bottom w:val="single" w:color="auto" w:sz="4" w:space="0"/>
              <w:right w:val="single" w:color="auto" w:sz="4" w:space="0"/>
            </w:tcBorders>
            <w:shd w:val="clear" w:color="auto" w:fill="auto"/>
            <w:vAlign w:val="center"/>
          </w:tcPr>
          <w:p w14:paraId="7675B2C8">
            <w:pPr>
              <w:jc w:val="center"/>
              <w:rPr>
                <w:rFonts w:hint="eastAsia"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w:t>
            </w:r>
            <w:r>
              <w:rPr>
                <w:rFonts w:hint="eastAsia" w:cs="宋体" w:asciiTheme="minorEastAsia" w:hAnsiTheme="minorEastAsia" w:eastAsiaTheme="minorEastAsia"/>
                <w:color w:val="auto"/>
                <w:szCs w:val="21"/>
                <w:highlight w:val="none"/>
              </w:rPr>
              <w:t>付款方式</w:t>
            </w:r>
          </w:p>
        </w:tc>
        <w:tc>
          <w:tcPr>
            <w:tcW w:w="6610"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A7AF92F">
            <w:pPr>
              <w:numPr>
                <w:ilvl w:val="0"/>
                <w:numId w:val="1"/>
              </w:numPr>
              <w:spacing w:line="360" w:lineRule="exact"/>
              <w:rPr>
                <w:rFonts w:hint="eastAsia" w:cs="宋体" w:asciiTheme="minorEastAsia" w:hAnsiTheme="minorEastAsia" w:eastAsiaTheme="minorEastAsia"/>
                <w:color w:val="auto"/>
                <w:kern w:val="0"/>
                <w:szCs w:val="21"/>
                <w:highlight w:val="none"/>
                <w:lang w:eastAsia="zh-CN"/>
              </w:rPr>
            </w:pPr>
            <w:r>
              <w:rPr>
                <w:rFonts w:hint="eastAsia"/>
                <w:color w:val="auto"/>
                <w:highlight w:val="none"/>
                <w:lang w:eastAsia="zh-CN"/>
              </w:rPr>
              <w:t>双方签订合同且合同生效后，待项目完成并经过验收合格后</w:t>
            </w:r>
            <w:r>
              <w:rPr>
                <w:rFonts w:hint="eastAsia"/>
                <w:color w:val="auto"/>
                <w:highlight w:val="none"/>
                <w:lang w:val="en-US" w:eastAsia="zh-CN"/>
              </w:rPr>
              <w:t>6</w:t>
            </w:r>
            <w:r>
              <w:rPr>
                <w:rFonts w:hint="eastAsia"/>
                <w:color w:val="auto"/>
                <w:highlight w:val="none"/>
                <w:lang w:eastAsia="zh-CN"/>
              </w:rPr>
              <w:t>个月内采购人向成交人支付合同金额的</w:t>
            </w:r>
            <w:r>
              <w:rPr>
                <w:rFonts w:hint="eastAsia"/>
                <w:color w:val="auto"/>
                <w:highlight w:val="none"/>
                <w:lang w:val="en-US" w:eastAsia="zh-CN"/>
              </w:rPr>
              <w:t>100</w:t>
            </w:r>
            <w:r>
              <w:rPr>
                <w:rFonts w:hint="eastAsia"/>
                <w:color w:val="auto"/>
                <w:highlight w:val="none"/>
                <w:lang w:eastAsia="zh-CN"/>
              </w:rPr>
              <w:t>%</w:t>
            </w:r>
          </w:p>
        </w:tc>
      </w:tr>
      <w:tr w14:paraId="447203EE">
        <w:tblPrEx>
          <w:tblCellMar>
            <w:top w:w="0" w:type="dxa"/>
            <w:left w:w="108" w:type="dxa"/>
            <w:bottom w:w="0" w:type="dxa"/>
            <w:right w:w="108" w:type="dxa"/>
          </w:tblCellMar>
        </w:tblPrEx>
        <w:trPr>
          <w:trHeight w:val="390" w:hRule="atLeast"/>
          <w:jc w:val="center"/>
        </w:trPr>
        <w:tc>
          <w:tcPr>
            <w:tcW w:w="5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E8FA5D1">
            <w:pPr>
              <w:jc w:val="center"/>
              <w:rPr>
                <w:rFonts w:hint="default" w:hAnsi="宋体" w:cs="宋体"/>
                <w:b/>
                <w:sz w:val="21"/>
                <w:szCs w:val="21"/>
                <w:highlight w:val="none"/>
                <w:lang w:val="en-US" w:eastAsia="zh-CN"/>
              </w:rPr>
            </w:pPr>
            <w:r>
              <w:rPr>
                <w:rFonts w:hint="eastAsia" w:hAnsi="宋体" w:cs="宋体"/>
                <w:b/>
                <w:sz w:val="21"/>
                <w:szCs w:val="21"/>
                <w:highlight w:val="none"/>
                <w:lang w:val="en-US" w:eastAsia="zh-CN"/>
              </w:rPr>
              <w:t>4</w:t>
            </w:r>
          </w:p>
        </w:tc>
        <w:tc>
          <w:tcPr>
            <w:tcW w:w="1340" w:type="dxa"/>
            <w:tcBorders>
              <w:top w:val="single" w:color="auto" w:sz="4" w:space="0"/>
              <w:left w:val="single" w:color="auto" w:sz="4" w:space="0"/>
              <w:bottom w:val="single" w:color="auto" w:sz="4" w:space="0"/>
              <w:right w:val="single" w:color="auto" w:sz="4" w:space="0"/>
            </w:tcBorders>
            <w:shd w:val="clear" w:color="auto" w:fill="auto"/>
            <w:vAlign w:val="center"/>
          </w:tcPr>
          <w:p w14:paraId="2AEAC468">
            <w:pPr>
              <w:jc w:val="center"/>
              <w:rPr>
                <w:rFonts w:hint="eastAsia" w:cs="宋体" w:asciiTheme="minorEastAsia" w:hAnsiTheme="minorEastAsia" w:eastAsiaTheme="minorEastAsia"/>
                <w:color w:val="auto"/>
                <w:kern w:val="0"/>
                <w:szCs w:val="21"/>
                <w:highlight w:val="none"/>
              </w:rPr>
            </w:pPr>
            <w:r>
              <w:rPr>
                <w:rFonts w:hint="eastAsia" w:cs="宋体" w:asciiTheme="minorEastAsia" w:hAnsiTheme="minorEastAsia" w:eastAsiaTheme="minorEastAsia"/>
                <w:b/>
                <w:bCs/>
                <w:color w:val="auto"/>
                <w:kern w:val="0"/>
                <w:szCs w:val="21"/>
                <w:highlight w:val="none"/>
              </w:rPr>
              <w:t>▲其他要求</w:t>
            </w:r>
          </w:p>
        </w:tc>
        <w:tc>
          <w:tcPr>
            <w:tcW w:w="6610"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557CF76">
            <w:pPr>
              <w:rPr>
                <w:rFonts w:hint="default" w:eastAsiaTheme="minorEastAsia"/>
                <w:b/>
                <w:bCs/>
                <w:color w:val="auto"/>
                <w:lang w:val="en-US" w:eastAsia="zh-CN"/>
              </w:rPr>
            </w:pPr>
            <w:r>
              <w:rPr>
                <w:rFonts w:hint="default" w:eastAsiaTheme="minorEastAsia"/>
                <w:b/>
                <w:bCs/>
                <w:color w:val="auto"/>
                <w:lang w:val="en-US" w:eastAsia="zh-CN"/>
              </w:rPr>
              <w:t>1.整机免费保修两年质保期：从验收合格之日起计算两年(厂家有规定的按厂家保修承诺执行)，质保期内免费维修及更换配件；</w:t>
            </w:r>
          </w:p>
          <w:p w14:paraId="6C1F975D">
            <w:pPr>
              <w:ind w:firstLine="232" w:firstLineChars="110"/>
              <w:rPr>
                <w:rFonts w:hint="default" w:eastAsiaTheme="minorEastAsia"/>
                <w:b/>
                <w:bCs/>
                <w:color w:val="auto"/>
                <w:lang w:val="en-US" w:eastAsia="zh-CN"/>
              </w:rPr>
            </w:pPr>
            <w:r>
              <w:rPr>
                <w:rFonts w:hint="default" w:eastAsiaTheme="minorEastAsia"/>
                <w:b/>
                <w:bCs/>
                <w:color w:val="auto"/>
                <w:lang w:val="en-US" w:eastAsia="zh-CN"/>
              </w:rPr>
              <w:t>2. 仪器到货后，工程师上门安装调试、验收并做基本操作培训，应用工程师上门软件及应用培训不少2次，保证至少2人能熟练操作该设备；</w:t>
            </w:r>
          </w:p>
          <w:p w14:paraId="208C8C91">
            <w:pPr>
              <w:keepNext w:val="0"/>
              <w:keepLines w:val="0"/>
              <w:pageBreakBefore w:val="0"/>
              <w:widowControl w:val="0"/>
              <w:numPr>
                <w:ilvl w:val="0"/>
                <w:numId w:val="0"/>
              </w:numPr>
              <w:kinsoku/>
              <w:wordWrap/>
              <w:overflowPunct/>
              <w:topLinePunct w:val="0"/>
              <w:bidi w:val="0"/>
              <w:adjustRightInd/>
              <w:snapToGrid w:val="0"/>
              <w:spacing w:line="360" w:lineRule="exact"/>
              <w:ind w:firstLine="211" w:firstLineChars="100"/>
              <w:jc w:val="left"/>
              <w:textAlignment w:val="auto"/>
              <w:rPr>
                <w:rFonts w:hint="eastAsia"/>
                <w:b/>
                <w:bCs/>
                <w:color w:val="auto"/>
              </w:rPr>
            </w:pPr>
            <w:r>
              <w:rPr>
                <w:rFonts w:hint="default" w:eastAsiaTheme="minorEastAsia"/>
                <w:b/>
                <w:bCs/>
                <w:color w:val="auto"/>
                <w:lang w:val="en-US" w:eastAsia="zh-CN"/>
              </w:rPr>
              <w:t>3.必须提供生产厂商或国内总代理针对本项目的原厂商售后服务承诺书。</w:t>
            </w:r>
          </w:p>
        </w:tc>
      </w:tr>
      <w:tr w14:paraId="09F93F97">
        <w:tblPrEx>
          <w:tblCellMar>
            <w:top w:w="0" w:type="dxa"/>
            <w:left w:w="108" w:type="dxa"/>
            <w:bottom w:w="0" w:type="dxa"/>
            <w:right w:w="108" w:type="dxa"/>
          </w:tblCellMar>
        </w:tblPrEx>
        <w:trPr>
          <w:trHeight w:val="390" w:hRule="atLeast"/>
          <w:jc w:val="center"/>
        </w:trPr>
        <w:tc>
          <w:tcPr>
            <w:tcW w:w="5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99A984E">
            <w:pPr>
              <w:jc w:val="center"/>
              <w:rPr>
                <w:rFonts w:hint="default" w:hAnsi="宋体" w:cs="宋体"/>
                <w:b/>
                <w:sz w:val="21"/>
                <w:szCs w:val="21"/>
                <w:highlight w:val="none"/>
                <w:lang w:val="en-US" w:eastAsia="zh-CN"/>
              </w:rPr>
            </w:pPr>
            <w:r>
              <w:rPr>
                <w:rFonts w:hint="eastAsia" w:hAnsi="宋体" w:cs="宋体"/>
                <w:b/>
                <w:sz w:val="21"/>
                <w:szCs w:val="21"/>
                <w:highlight w:val="none"/>
                <w:lang w:val="en-US" w:eastAsia="zh-CN"/>
              </w:rPr>
              <w:t>5</w:t>
            </w:r>
          </w:p>
        </w:tc>
        <w:tc>
          <w:tcPr>
            <w:tcW w:w="1340" w:type="dxa"/>
            <w:tcBorders>
              <w:top w:val="single" w:color="auto" w:sz="4" w:space="0"/>
              <w:left w:val="single" w:color="auto" w:sz="4" w:space="0"/>
              <w:bottom w:val="single" w:color="auto" w:sz="4" w:space="0"/>
              <w:right w:val="single" w:color="auto" w:sz="4" w:space="0"/>
            </w:tcBorders>
            <w:shd w:val="clear" w:color="auto" w:fill="auto"/>
            <w:vAlign w:val="center"/>
          </w:tcPr>
          <w:p w14:paraId="7A342E9D">
            <w:pPr>
              <w:jc w:val="center"/>
              <w:rPr>
                <w:rFonts w:hint="eastAsia" w:cs="宋体" w:asciiTheme="minorEastAsia" w:hAnsiTheme="minorEastAsia" w:eastAsiaTheme="minorEastAsia"/>
                <w:b/>
                <w:bCs/>
                <w:color w:val="auto"/>
                <w:kern w:val="0"/>
                <w:szCs w:val="21"/>
                <w:highlight w:val="none"/>
              </w:rPr>
            </w:pPr>
            <w:r>
              <w:rPr>
                <w:rFonts w:hint="eastAsia" w:cs="宋体" w:asciiTheme="minorEastAsia" w:hAnsiTheme="minorEastAsia" w:eastAsiaTheme="minorEastAsia"/>
                <w:kern w:val="0"/>
                <w:szCs w:val="21"/>
                <w:highlight w:val="none"/>
              </w:rPr>
              <w:t>质量标准</w:t>
            </w:r>
          </w:p>
        </w:tc>
        <w:tc>
          <w:tcPr>
            <w:tcW w:w="6610"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17DCD9FB">
            <w:pPr>
              <w:keepNext w:val="0"/>
              <w:keepLines w:val="0"/>
              <w:pageBreakBefore w:val="0"/>
              <w:widowControl w:val="0"/>
              <w:numPr>
                <w:ilvl w:val="0"/>
                <w:numId w:val="0"/>
              </w:numPr>
              <w:kinsoku/>
              <w:wordWrap/>
              <w:overflowPunct/>
              <w:topLinePunct w:val="0"/>
              <w:bidi w:val="0"/>
              <w:adjustRightInd/>
              <w:snapToGrid w:val="0"/>
              <w:spacing w:line="360" w:lineRule="exact"/>
              <w:jc w:val="left"/>
              <w:textAlignment w:val="auto"/>
              <w:rPr>
                <w:rFonts w:hint="default" w:eastAsiaTheme="minorEastAsia"/>
                <w:b/>
                <w:bCs/>
                <w:color w:val="auto"/>
                <w:lang w:val="en-US" w:eastAsia="zh-CN"/>
              </w:rPr>
            </w:pPr>
            <w:r>
              <w:rPr>
                <w:rFonts w:hint="eastAsia" w:cs="宋体" w:asciiTheme="minorEastAsia" w:hAnsiTheme="minorEastAsia" w:eastAsiaTheme="minorEastAsia"/>
                <w:kern w:val="0"/>
                <w:szCs w:val="21"/>
                <w:highlight w:val="none"/>
              </w:rPr>
              <w:t>应标产品的生产、制造、安装等，各项技术标准应当符合国家（强制性）标准和各项规范要求；国家没有相应标准规范的，可使用行业标准、规定；非标产品按采购要求约定的技术要求和规范。</w:t>
            </w:r>
          </w:p>
        </w:tc>
      </w:tr>
      <w:tr w14:paraId="6407E6A2">
        <w:tblPrEx>
          <w:tblCellMar>
            <w:top w:w="0" w:type="dxa"/>
            <w:left w:w="108" w:type="dxa"/>
            <w:bottom w:w="0" w:type="dxa"/>
            <w:right w:w="108" w:type="dxa"/>
          </w:tblCellMar>
        </w:tblPrEx>
        <w:trPr>
          <w:trHeight w:val="390" w:hRule="atLeast"/>
          <w:jc w:val="center"/>
        </w:trPr>
        <w:tc>
          <w:tcPr>
            <w:tcW w:w="5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49B9A43">
            <w:pPr>
              <w:jc w:val="center"/>
              <w:rPr>
                <w:rFonts w:hint="default" w:hAnsi="宋体" w:cs="宋体"/>
                <w:b/>
                <w:sz w:val="21"/>
                <w:szCs w:val="21"/>
                <w:highlight w:val="none"/>
                <w:lang w:val="en-US" w:eastAsia="zh-CN"/>
              </w:rPr>
            </w:pPr>
            <w:r>
              <w:rPr>
                <w:rFonts w:hint="eastAsia" w:hAnsi="宋体" w:cs="宋体"/>
                <w:b/>
                <w:sz w:val="21"/>
                <w:szCs w:val="21"/>
                <w:highlight w:val="none"/>
                <w:lang w:val="en-US" w:eastAsia="zh-CN"/>
              </w:rPr>
              <w:t>6</w:t>
            </w:r>
          </w:p>
        </w:tc>
        <w:tc>
          <w:tcPr>
            <w:tcW w:w="1340" w:type="dxa"/>
            <w:tcBorders>
              <w:top w:val="single" w:color="auto" w:sz="4" w:space="0"/>
              <w:left w:val="single" w:color="auto" w:sz="4" w:space="0"/>
              <w:bottom w:val="single" w:color="auto" w:sz="4" w:space="0"/>
              <w:right w:val="single" w:color="auto" w:sz="4" w:space="0"/>
            </w:tcBorders>
            <w:shd w:val="clear" w:color="auto" w:fill="auto"/>
            <w:vAlign w:val="center"/>
          </w:tcPr>
          <w:p w14:paraId="595EC1F6">
            <w:pPr>
              <w:jc w:val="center"/>
              <w:rPr>
                <w:rFonts w:hint="eastAsia" w:cs="宋体" w:asciiTheme="minorEastAsia" w:hAnsiTheme="minorEastAsia" w:eastAsiaTheme="minorEastAsia"/>
                <w:kern w:val="0"/>
                <w:szCs w:val="21"/>
                <w:highlight w:val="none"/>
              </w:rPr>
            </w:pPr>
            <w:r>
              <w:rPr>
                <w:rFonts w:hint="eastAsia" w:cs="宋体" w:asciiTheme="minorEastAsia" w:hAnsiTheme="minorEastAsia" w:eastAsiaTheme="minorEastAsia"/>
                <w:kern w:val="0"/>
                <w:szCs w:val="21"/>
                <w:highlight w:val="none"/>
              </w:rPr>
              <w:t>验收方式</w:t>
            </w:r>
          </w:p>
        </w:tc>
        <w:tc>
          <w:tcPr>
            <w:tcW w:w="6610"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7C3F29AD">
            <w:pPr>
              <w:spacing w:line="360" w:lineRule="exact"/>
              <w:ind w:firstLine="231" w:firstLineChars="110"/>
              <w:rPr>
                <w:rFonts w:cs="宋体" w:asciiTheme="minorEastAsia" w:hAnsiTheme="minorEastAsia" w:eastAsiaTheme="minorEastAsia"/>
                <w:kern w:val="0"/>
                <w:szCs w:val="21"/>
                <w:highlight w:val="none"/>
              </w:rPr>
            </w:pPr>
            <w:r>
              <w:rPr>
                <w:rFonts w:hint="eastAsia" w:cs="宋体" w:asciiTheme="minorEastAsia" w:hAnsiTheme="minorEastAsia" w:eastAsiaTheme="minorEastAsia"/>
                <w:kern w:val="0"/>
                <w:szCs w:val="21"/>
                <w:highlight w:val="none"/>
              </w:rPr>
              <w:t>所有采购产品(材料、构配件等)质量需符合国家相关标准规范及招投标文件对产品的质量要求，配送</w:t>
            </w:r>
            <w:r>
              <w:rPr>
                <w:rFonts w:cs="宋体" w:asciiTheme="minorEastAsia" w:hAnsiTheme="minorEastAsia" w:eastAsiaTheme="minorEastAsia"/>
                <w:kern w:val="0"/>
                <w:szCs w:val="21"/>
                <w:highlight w:val="none"/>
              </w:rPr>
              <w:t>、</w:t>
            </w:r>
            <w:r>
              <w:rPr>
                <w:rFonts w:hint="eastAsia" w:cs="宋体" w:asciiTheme="minorEastAsia" w:hAnsiTheme="minorEastAsia" w:eastAsiaTheme="minorEastAsia"/>
                <w:kern w:val="0"/>
                <w:szCs w:val="21"/>
                <w:highlight w:val="none"/>
              </w:rPr>
              <w:t>安装完成后报采购人组织验收。</w:t>
            </w:r>
          </w:p>
          <w:p w14:paraId="552EFC46">
            <w:pPr>
              <w:spacing w:line="360" w:lineRule="exact"/>
              <w:ind w:firstLine="231" w:firstLineChars="110"/>
              <w:rPr>
                <w:rFonts w:cs="宋体" w:asciiTheme="minorEastAsia" w:hAnsiTheme="minorEastAsia" w:eastAsiaTheme="minorEastAsia"/>
                <w:kern w:val="0"/>
                <w:szCs w:val="21"/>
                <w:highlight w:val="none"/>
              </w:rPr>
            </w:pPr>
            <w:r>
              <w:rPr>
                <w:rFonts w:hint="eastAsia" w:cs="宋体" w:asciiTheme="minorEastAsia" w:hAnsiTheme="minorEastAsia" w:eastAsiaTheme="minorEastAsia"/>
                <w:kern w:val="0"/>
                <w:szCs w:val="21"/>
                <w:highlight w:val="none"/>
              </w:rPr>
              <w:t>（1）验收过程中所产生的一切费用均由中标供应商承担。报价时应考虑相关费用。</w:t>
            </w:r>
          </w:p>
          <w:p w14:paraId="011AC6DF">
            <w:pPr>
              <w:spacing w:line="360" w:lineRule="exact"/>
              <w:ind w:firstLine="231" w:firstLineChars="110"/>
              <w:rPr>
                <w:rFonts w:cs="宋体" w:asciiTheme="minorEastAsia" w:hAnsiTheme="minorEastAsia" w:eastAsiaTheme="minorEastAsia"/>
                <w:kern w:val="0"/>
                <w:szCs w:val="21"/>
                <w:highlight w:val="none"/>
              </w:rPr>
            </w:pPr>
            <w:r>
              <w:rPr>
                <w:rFonts w:hint="eastAsia" w:cs="宋体" w:asciiTheme="minorEastAsia" w:hAnsiTheme="minorEastAsia" w:eastAsiaTheme="minorEastAsia"/>
                <w:kern w:val="0"/>
                <w:szCs w:val="21"/>
                <w:highlight w:val="none"/>
              </w:rPr>
              <w:t>（2）中标供应商在货物交付验收时，由采购单位对照招标文件的货物要求及技术需求，全面核对检验。如不符合招标文件的技术需求及要求以及提供虚假承诺的，按相关规定做违约处理，中标供应商承担所有责任和费用，采购人保留进一步追究责任的权利。</w:t>
            </w:r>
          </w:p>
          <w:p w14:paraId="355E921C">
            <w:pPr>
              <w:spacing w:line="360" w:lineRule="exact"/>
              <w:ind w:firstLine="231" w:firstLineChars="110"/>
              <w:rPr>
                <w:rFonts w:cs="宋体" w:asciiTheme="minorEastAsia" w:hAnsiTheme="minorEastAsia" w:eastAsiaTheme="minorEastAsia"/>
                <w:kern w:val="0"/>
                <w:szCs w:val="21"/>
                <w:highlight w:val="none"/>
              </w:rPr>
            </w:pPr>
            <w:r>
              <w:rPr>
                <w:rFonts w:hint="eastAsia" w:cs="宋体" w:asciiTheme="minorEastAsia" w:hAnsiTheme="minorEastAsia" w:eastAsiaTheme="minorEastAsia"/>
                <w:kern w:val="0"/>
                <w:szCs w:val="21"/>
                <w:highlight w:val="none"/>
              </w:rPr>
              <w:t>（3）符合相关验收标准，如验收过程中，采购单位发现存在不符相关标准的，供应商应无条件置换，否则不给予验收。</w:t>
            </w:r>
          </w:p>
          <w:p w14:paraId="6DDBCA67">
            <w:pPr>
              <w:keepNext w:val="0"/>
              <w:keepLines w:val="0"/>
              <w:pageBreakBefore w:val="0"/>
              <w:widowControl w:val="0"/>
              <w:numPr>
                <w:ilvl w:val="0"/>
                <w:numId w:val="0"/>
              </w:numPr>
              <w:kinsoku/>
              <w:wordWrap/>
              <w:overflowPunct/>
              <w:topLinePunct w:val="0"/>
              <w:bidi w:val="0"/>
              <w:adjustRightInd/>
              <w:snapToGrid w:val="0"/>
              <w:spacing w:line="360" w:lineRule="exact"/>
              <w:jc w:val="left"/>
              <w:textAlignment w:val="auto"/>
              <w:rPr>
                <w:rFonts w:hint="eastAsia" w:cs="宋体" w:asciiTheme="minorEastAsia" w:hAnsiTheme="minorEastAsia" w:eastAsiaTheme="minorEastAsia"/>
                <w:kern w:val="0"/>
                <w:szCs w:val="21"/>
                <w:highlight w:val="none"/>
              </w:rPr>
            </w:pPr>
            <w:r>
              <w:rPr>
                <w:rFonts w:hint="eastAsia" w:cs="宋体" w:asciiTheme="minorEastAsia" w:hAnsiTheme="minorEastAsia" w:eastAsiaTheme="minorEastAsia"/>
                <w:kern w:val="0"/>
                <w:szCs w:val="21"/>
                <w:highlight w:val="none"/>
              </w:rPr>
              <w:t>（4）全自动凯氏定氮仪、离子色谱仪验收时提供计量检定机构出具的合格检定（校准）证书方为验收合格。如成交供应商的产品检测结果与响应文件的承诺的技术参数不相符，采购单位有权拒绝验收，并全部退货，由此造成的一切后果均由成交供应商自行承担。（本次送检所产生的费用全部由成交供应商承担）</w:t>
            </w:r>
          </w:p>
        </w:tc>
      </w:tr>
      <w:tr w14:paraId="2E031920">
        <w:tblPrEx>
          <w:tblCellMar>
            <w:top w:w="0" w:type="dxa"/>
            <w:left w:w="108" w:type="dxa"/>
            <w:bottom w:w="0" w:type="dxa"/>
            <w:right w:w="108" w:type="dxa"/>
          </w:tblCellMar>
        </w:tblPrEx>
        <w:trPr>
          <w:trHeight w:val="390" w:hRule="atLeast"/>
          <w:jc w:val="center"/>
        </w:trPr>
        <w:tc>
          <w:tcPr>
            <w:tcW w:w="5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D82ECBC">
            <w:pPr>
              <w:jc w:val="center"/>
              <w:rPr>
                <w:rFonts w:hint="default" w:hAnsi="宋体" w:cs="宋体"/>
                <w:b/>
                <w:sz w:val="21"/>
                <w:szCs w:val="21"/>
                <w:highlight w:val="none"/>
                <w:lang w:val="en-US" w:eastAsia="zh-CN"/>
              </w:rPr>
            </w:pPr>
            <w:r>
              <w:rPr>
                <w:rFonts w:hint="eastAsia" w:hAnsi="宋体" w:cs="宋体"/>
                <w:b/>
                <w:sz w:val="21"/>
                <w:szCs w:val="21"/>
                <w:highlight w:val="none"/>
                <w:lang w:val="en-US" w:eastAsia="zh-CN"/>
              </w:rPr>
              <w:t>7</w:t>
            </w:r>
          </w:p>
        </w:tc>
        <w:tc>
          <w:tcPr>
            <w:tcW w:w="1340" w:type="dxa"/>
            <w:tcBorders>
              <w:top w:val="single" w:color="auto" w:sz="4" w:space="0"/>
              <w:left w:val="single" w:color="auto" w:sz="4" w:space="0"/>
              <w:bottom w:val="single" w:color="auto" w:sz="4" w:space="0"/>
              <w:right w:val="single" w:color="auto" w:sz="4" w:space="0"/>
            </w:tcBorders>
            <w:shd w:val="clear" w:color="auto" w:fill="auto"/>
            <w:vAlign w:val="center"/>
          </w:tcPr>
          <w:p w14:paraId="79B0523D">
            <w:pPr>
              <w:jc w:val="center"/>
              <w:rPr>
                <w:rFonts w:hint="eastAsia" w:cs="宋体" w:asciiTheme="minorEastAsia" w:hAnsiTheme="minorEastAsia" w:eastAsiaTheme="minorEastAsia"/>
                <w:kern w:val="0"/>
                <w:szCs w:val="21"/>
                <w:highlight w:val="none"/>
              </w:rPr>
            </w:pPr>
          </w:p>
        </w:tc>
        <w:tc>
          <w:tcPr>
            <w:tcW w:w="6610"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31D9DA1F">
            <w:pPr>
              <w:spacing w:line="360" w:lineRule="exact"/>
              <w:ind w:firstLine="182" w:firstLineChars="87"/>
              <w:rPr>
                <w:rFonts w:asciiTheme="minorEastAsia" w:hAnsiTheme="minorEastAsia" w:eastAsiaTheme="minorEastAsia"/>
                <w:b/>
                <w:kern w:val="0"/>
                <w:szCs w:val="21"/>
                <w:highlight w:val="none"/>
              </w:rPr>
            </w:pPr>
            <w:r>
              <w:rPr>
                <w:rFonts w:hint="eastAsia" w:cs="宋体" w:asciiTheme="minorEastAsia" w:hAnsiTheme="minorEastAsia" w:eastAsiaTheme="minorEastAsia"/>
                <w:kern w:val="0"/>
                <w:szCs w:val="21"/>
                <w:highlight w:val="none"/>
              </w:rPr>
              <w:t>▲</w:t>
            </w:r>
            <w:r>
              <w:rPr>
                <w:rFonts w:hint="eastAsia" w:asciiTheme="minorEastAsia" w:hAnsiTheme="minorEastAsia" w:eastAsiaTheme="minorEastAsia"/>
                <w:b/>
                <w:kern w:val="0"/>
                <w:szCs w:val="21"/>
                <w:highlight w:val="none"/>
              </w:rPr>
              <w:t>进口产品说明</w:t>
            </w:r>
          </w:p>
          <w:p w14:paraId="40AF22F0">
            <w:pPr>
              <w:keepNext w:val="0"/>
              <w:keepLines w:val="0"/>
              <w:pageBreakBefore w:val="0"/>
              <w:widowControl w:val="0"/>
              <w:numPr>
                <w:ilvl w:val="0"/>
                <w:numId w:val="0"/>
              </w:numPr>
              <w:kinsoku/>
              <w:wordWrap/>
              <w:overflowPunct/>
              <w:topLinePunct w:val="0"/>
              <w:bidi w:val="0"/>
              <w:adjustRightInd/>
              <w:snapToGrid w:val="0"/>
              <w:spacing w:line="360" w:lineRule="exact"/>
              <w:ind w:firstLine="210" w:firstLineChars="100"/>
              <w:jc w:val="left"/>
              <w:textAlignment w:val="auto"/>
              <w:rPr>
                <w:rFonts w:hint="eastAsia" w:cs="宋体" w:asciiTheme="minorEastAsia" w:hAnsiTheme="minorEastAsia" w:eastAsiaTheme="minorEastAsia"/>
                <w:kern w:val="0"/>
                <w:szCs w:val="21"/>
                <w:highlight w:val="none"/>
              </w:rPr>
            </w:pPr>
            <w:r>
              <w:rPr>
                <w:rFonts w:hint="eastAsia" w:cs="宋体" w:asciiTheme="minorEastAsia" w:hAnsiTheme="minorEastAsia" w:eastAsiaTheme="minorEastAsia"/>
                <w:kern w:val="0"/>
                <w:szCs w:val="21"/>
                <w:highlight w:val="none"/>
              </w:rPr>
              <w:t>本项目货物不接受进口产品投标（即通过中国海关报关验放进入中国境内且产自关境外的产品），如有此类产品参与投标的作无效投标处理。</w:t>
            </w:r>
          </w:p>
        </w:tc>
      </w:tr>
    </w:tbl>
    <w:p w14:paraId="36E37C32">
      <w:pPr>
        <w:rPr>
          <w:rFonts w:hint="eastAsia"/>
          <w:b/>
          <w:szCs w:val="21"/>
          <w:highlight w:val="none"/>
        </w:rPr>
      </w:pPr>
    </w:p>
    <w:p w14:paraId="47D5C950">
      <w:pPr>
        <w:rPr>
          <w:rFonts w:hint="eastAsia"/>
          <w:b/>
          <w:szCs w:val="21"/>
          <w:highlight w:val="none"/>
        </w:rPr>
      </w:pPr>
    </w:p>
    <w:p w14:paraId="4A960693">
      <w:pPr>
        <w:rPr>
          <w:highlight w:val="none"/>
        </w:rPr>
      </w:pPr>
    </w:p>
    <w:p w14:paraId="0B03E48B">
      <w:pPr>
        <w:rPr>
          <w:highlight w:val="none"/>
        </w:rPr>
      </w:pPr>
    </w:p>
    <w:p w14:paraId="5D68D268">
      <w:pPr>
        <w:rPr>
          <w:highlight w:val="none"/>
        </w:rPr>
      </w:pPr>
      <w:r>
        <w:rPr>
          <w:highlight w:val="none"/>
        </w:rPr>
        <w:br w:type="page"/>
      </w:r>
    </w:p>
    <w:p w14:paraId="3B5D3E94">
      <w:pPr>
        <w:spacing w:line="528" w:lineRule="exact"/>
        <w:ind w:left="15" w:leftChars="7" w:firstLine="201" w:firstLineChars="63"/>
        <w:jc w:val="center"/>
        <w:rPr>
          <w:rFonts w:ascii="Arial Unicode MS" w:hAnsi="Arial Unicode MS" w:eastAsia="Arial Unicode MS" w:cs="Arial Unicode MS"/>
          <w:color w:val="000000"/>
          <w:sz w:val="32"/>
          <w:szCs w:val="32"/>
          <w:highlight w:val="none"/>
        </w:rPr>
      </w:pPr>
      <w:r>
        <w:rPr>
          <w:rFonts w:hint="eastAsia" w:ascii="微软雅黑" w:hAnsi="微软雅黑" w:eastAsia="微软雅黑" w:cs="微软雅黑"/>
          <w:color w:val="000000"/>
          <w:sz w:val="32"/>
          <w:szCs w:val="32"/>
          <w:highlight w:val="none"/>
        </w:rPr>
        <w:t>节能产品政府采购品目清单</w:t>
      </w:r>
    </w:p>
    <w:tbl>
      <w:tblPr>
        <w:tblStyle w:val="19"/>
        <w:tblW w:w="8821"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4"/>
        <w:gridCol w:w="1087"/>
        <w:gridCol w:w="1328"/>
        <w:gridCol w:w="1467"/>
        <w:gridCol w:w="4275"/>
      </w:tblGrid>
      <w:tr w14:paraId="1937A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664" w:type="dxa"/>
          </w:tcPr>
          <w:p w14:paraId="303BE543">
            <w:pPr>
              <w:widowControl/>
              <w:jc w:val="center"/>
              <w:rPr>
                <w:rFonts w:ascii="宋体" w:hAnsi="宋体" w:cs="宋体"/>
                <w:b/>
                <w:bCs/>
                <w:color w:val="000000"/>
                <w:kern w:val="0"/>
                <w:sz w:val="22"/>
                <w:highlight w:val="none"/>
              </w:rPr>
            </w:pPr>
            <w:r>
              <w:rPr>
                <w:rFonts w:hint="eastAsia" w:ascii="宋体" w:hAnsi="宋体" w:cs="宋体"/>
                <w:b/>
                <w:bCs/>
                <w:color w:val="000000"/>
                <w:kern w:val="0"/>
                <w:sz w:val="22"/>
                <w:highlight w:val="none"/>
              </w:rPr>
              <w:t>品目序号</w:t>
            </w:r>
          </w:p>
        </w:tc>
        <w:tc>
          <w:tcPr>
            <w:tcW w:w="3882" w:type="dxa"/>
            <w:gridSpan w:val="3"/>
            <w:vAlign w:val="center"/>
          </w:tcPr>
          <w:p w14:paraId="2E593925">
            <w:pPr>
              <w:widowControl/>
              <w:jc w:val="center"/>
              <w:rPr>
                <w:rFonts w:ascii="宋体" w:hAnsi="宋体" w:cs="宋体"/>
                <w:b/>
                <w:bCs/>
                <w:color w:val="000000"/>
                <w:kern w:val="0"/>
                <w:sz w:val="22"/>
                <w:highlight w:val="none"/>
              </w:rPr>
            </w:pPr>
            <w:r>
              <w:rPr>
                <w:rFonts w:hint="eastAsia" w:ascii="宋体" w:hAnsi="宋体" w:cs="宋体"/>
                <w:b/>
                <w:bCs/>
                <w:color w:val="000000"/>
                <w:kern w:val="0"/>
                <w:sz w:val="22"/>
                <w:highlight w:val="none"/>
              </w:rPr>
              <w:t>名称</w:t>
            </w:r>
          </w:p>
        </w:tc>
        <w:tc>
          <w:tcPr>
            <w:tcW w:w="4275" w:type="dxa"/>
            <w:vAlign w:val="center"/>
          </w:tcPr>
          <w:p w14:paraId="6350A683">
            <w:pPr>
              <w:widowControl/>
              <w:jc w:val="center"/>
              <w:rPr>
                <w:rFonts w:ascii="宋体" w:hAnsi="宋体" w:cs="宋体"/>
                <w:b/>
                <w:bCs/>
                <w:color w:val="000000"/>
                <w:kern w:val="0"/>
                <w:sz w:val="22"/>
                <w:highlight w:val="none"/>
              </w:rPr>
            </w:pPr>
            <w:r>
              <w:rPr>
                <w:rFonts w:hint="eastAsia" w:ascii="宋体" w:hAnsi="宋体" w:cs="宋体"/>
                <w:b/>
                <w:bCs/>
                <w:color w:val="000000"/>
                <w:kern w:val="0"/>
                <w:sz w:val="22"/>
                <w:highlight w:val="none"/>
              </w:rPr>
              <w:t>依据的标准</w:t>
            </w:r>
          </w:p>
        </w:tc>
      </w:tr>
      <w:tr w14:paraId="48EEA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664" w:type="dxa"/>
            <w:vMerge w:val="restart"/>
            <w:vAlign w:val="center"/>
          </w:tcPr>
          <w:p w14:paraId="61243B2D">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1</w:t>
            </w:r>
          </w:p>
        </w:tc>
        <w:tc>
          <w:tcPr>
            <w:tcW w:w="1087" w:type="dxa"/>
            <w:vMerge w:val="restart"/>
            <w:vAlign w:val="center"/>
          </w:tcPr>
          <w:p w14:paraId="62BDDD72">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A020101计算机设备</w:t>
            </w:r>
          </w:p>
        </w:tc>
        <w:tc>
          <w:tcPr>
            <w:tcW w:w="1328" w:type="dxa"/>
            <w:vAlign w:val="center"/>
          </w:tcPr>
          <w:p w14:paraId="051D4BD8">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★A02010104台式计算机</w:t>
            </w:r>
          </w:p>
        </w:tc>
        <w:tc>
          <w:tcPr>
            <w:tcW w:w="1467" w:type="dxa"/>
            <w:vAlign w:val="center"/>
          </w:tcPr>
          <w:p w14:paraId="3687F8F1">
            <w:pPr>
              <w:widowControl/>
              <w:jc w:val="center"/>
              <w:rPr>
                <w:rFonts w:ascii="宋体" w:hAnsi="宋体" w:cs="宋体"/>
                <w:color w:val="000000"/>
                <w:kern w:val="0"/>
                <w:sz w:val="20"/>
                <w:szCs w:val="20"/>
                <w:highlight w:val="none"/>
              </w:rPr>
            </w:pPr>
          </w:p>
        </w:tc>
        <w:tc>
          <w:tcPr>
            <w:tcW w:w="4275" w:type="dxa"/>
            <w:vAlign w:val="center"/>
          </w:tcPr>
          <w:p w14:paraId="3E4ABB15">
            <w:pPr>
              <w:widowControl/>
              <w:jc w:val="lef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《微型计算机能效限定值及能效等级》（GB28380）</w:t>
            </w:r>
          </w:p>
        </w:tc>
      </w:tr>
      <w:tr w14:paraId="00591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664" w:type="dxa"/>
            <w:vMerge w:val="continue"/>
            <w:vAlign w:val="center"/>
          </w:tcPr>
          <w:p w14:paraId="11D28243">
            <w:pPr>
              <w:widowControl/>
              <w:jc w:val="left"/>
              <w:rPr>
                <w:rFonts w:ascii="宋体" w:hAnsi="宋体" w:cs="宋体"/>
                <w:color w:val="000000"/>
                <w:kern w:val="0"/>
                <w:sz w:val="20"/>
                <w:szCs w:val="20"/>
                <w:highlight w:val="none"/>
              </w:rPr>
            </w:pPr>
          </w:p>
        </w:tc>
        <w:tc>
          <w:tcPr>
            <w:tcW w:w="1087" w:type="dxa"/>
            <w:vMerge w:val="continue"/>
            <w:vAlign w:val="center"/>
          </w:tcPr>
          <w:p w14:paraId="6E708629">
            <w:pPr>
              <w:widowControl/>
              <w:jc w:val="left"/>
              <w:rPr>
                <w:rFonts w:ascii="宋体" w:hAnsi="宋体" w:cs="宋体"/>
                <w:color w:val="000000"/>
                <w:kern w:val="0"/>
                <w:sz w:val="20"/>
                <w:szCs w:val="20"/>
                <w:highlight w:val="none"/>
              </w:rPr>
            </w:pPr>
          </w:p>
        </w:tc>
        <w:tc>
          <w:tcPr>
            <w:tcW w:w="1328" w:type="dxa"/>
            <w:vAlign w:val="center"/>
          </w:tcPr>
          <w:p w14:paraId="6C6DA11D">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★A02010105便携式计算机</w:t>
            </w:r>
          </w:p>
        </w:tc>
        <w:tc>
          <w:tcPr>
            <w:tcW w:w="1467" w:type="dxa"/>
            <w:vAlign w:val="center"/>
          </w:tcPr>
          <w:p w14:paraId="6C3776C2">
            <w:pPr>
              <w:widowControl/>
              <w:jc w:val="center"/>
              <w:rPr>
                <w:rFonts w:ascii="宋体" w:hAnsi="宋体" w:cs="宋体"/>
                <w:color w:val="000000"/>
                <w:kern w:val="0"/>
                <w:sz w:val="20"/>
                <w:szCs w:val="20"/>
                <w:highlight w:val="none"/>
              </w:rPr>
            </w:pPr>
          </w:p>
        </w:tc>
        <w:tc>
          <w:tcPr>
            <w:tcW w:w="4275" w:type="dxa"/>
            <w:vAlign w:val="center"/>
          </w:tcPr>
          <w:p w14:paraId="6FEEC772">
            <w:pPr>
              <w:widowControl/>
              <w:jc w:val="lef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《微型计算机能效限定值及能效等级》（GB28380）</w:t>
            </w:r>
          </w:p>
        </w:tc>
      </w:tr>
      <w:tr w14:paraId="3BCD1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trPr>
        <w:tc>
          <w:tcPr>
            <w:tcW w:w="664" w:type="dxa"/>
            <w:vMerge w:val="continue"/>
            <w:vAlign w:val="center"/>
          </w:tcPr>
          <w:p w14:paraId="6ED76C36">
            <w:pPr>
              <w:widowControl/>
              <w:jc w:val="left"/>
              <w:rPr>
                <w:rFonts w:ascii="宋体" w:hAnsi="宋体" w:cs="宋体"/>
                <w:color w:val="000000"/>
                <w:kern w:val="0"/>
                <w:sz w:val="20"/>
                <w:szCs w:val="20"/>
                <w:highlight w:val="none"/>
              </w:rPr>
            </w:pPr>
          </w:p>
        </w:tc>
        <w:tc>
          <w:tcPr>
            <w:tcW w:w="1087" w:type="dxa"/>
            <w:vMerge w:val="continue"/>
            <w:vAlign w:val="center"/>
          </w:tcPr>
          <w:p w14:paraId="44BB2158">
            <w:pPr>
              <w:widowControl/>
              <w:jc w:val="left"/>
              <w:rPr>
                <w:rFonts w:ascii="宋体" w:hAnsi="宋体" w:cs="宋体"/>
                <w:color w:val="000000"/>
                <w:kern w:val="0"/>
                <w:sz w:val="20"/>
                <w:szCs w:val="20"/>
                <w:highlight w:val="none"/>
              </w:rPr>
            </w:pPr>
          </w:p>
        </w:tc>
        <w:tc>
          <w:tcPr>
            <w:tcW w:w="1328" w:type="dxa"/>
            <w:vAlign w:val="center"/>
          </w:tcPr>
          <w:p w14:paraId="61BEE316">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★A02010107平板式微型计算机</w:t>
            </w:r>
          </w:p>
        </w:tc>
        <w:tc>
          <w:tcPr>
            <w:tcW w:w="1467" w:type="dxa"/>
            <w:vAlign w:val="center"/>
          </w:tcPr>
          <w:p w14:paraId="4A232E20">
            <w:pPr>
              <w:widowControl/>
              <w:jc w:val="center"/>
              <w:rPr>
                <w:rFonts w:ascii="宋体" w:hAnsi="宋体" w:cs="宋体"/>
                <w:color w:val="000000"/>
                <w:kern w:val="0"/>
                <w:sz w:val="20"/>
                <w:szCs w:val="20"/>
                <w:highlight w:val="none"/>
              </w:rPr>
            </w:pPr>
          </w:p>
        </w:tc>
        <w:tc>
          <w:tcPr>
            <w:tcW w:w="4275" w:type="dxa"/>
            <w:vAlign w:val="center"/>
          </w:tcPr>
          <w:p w14:paraId="445C8390">
            <w:pPr>
              <w:widowControl/>
              <w:jc w:val="lef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《微型计算机能效限定值及能效等级》（GB28380）</w:t>
            </w:r>
          </w:p>
        </w:tc>
      </w:tr>
      <w:tr w14:paraId="604DC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664" w:type="dxa"/>
            <w:vMerge w:val="restart"/>
            <w:vAlign w:val="center"/>
          </w:tcPr>
          <w:p w14:paraId="2B7DF27C">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2</w:t>
            </w:r>
          </w:p>
        </w:tc>
        <w:tc>
          <w:tcPr>
            <w:tcW w:w="1087" w:type="dxa"/>
            <w:vMerge w:val="restart"/>
            <w:vAlign w:val="center"/>
          </w:tcPr>
          <w:p w14:paraId="3663E0C5">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A020106输入输出设备</w:t>
            </w:r>
          </w:p>
        </w:tc>
        <w:tc>
          <w:tcPr>
            <w:tcW w:w="1328" w:type="dxa"/>
            <w:vMerge w:val="restart"/>
            <w:vAlign w:val="center"/>
          </w:tcPr>
          <w:p w14:paraId="1A12FBEB">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A02010601打印设备</w:t>
            </w:r>
          </w:p>
        </w:tc>
        <w:tc>
          <w:tcPr>
            <w:tcW w:w="1467" w:type="dxa"/>
            <w:vAlign w:val="center"/>
          </w:tcPr>
          <w:p w14:paraId="335C081A">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A0201060101喷墨打印机</w:t>
            </w:r>
          </w:p>
        </w:tc>
        <w:tc>
          <w:tcPr>
            <w:tcW w:w="4275" w:type="dxa"/>
            <w:vAlign w:val="center"/>
          </w:tcPr>
          <w:p w14:paraId="38904793">
            <w:pPr>
              <w:widowControl/>
              <w:jc w:val="lef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《复印机、打印机和传真机能效限定值及能效等级》（GB21521）</w:t>
            </w:r>
          </w:p>
        </w:tc>
      </w:tr>
      <w:tr w14:paraId="2D664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664" w:type="dxa"/>
            <w:vMerge w:val="continue"/>
            <w:vAlign w:val="center"/>
          </w:tcPr>
          <w:p w14:paraId="31C5994A">
            <w:pPr>
              <w:widowControl/>
              <w:jc w:val="left"/>
              <w:rPr>
                <w:rFonts w:ascii="宋体" w:hAnsi="宋体" w:cs="宋体"/>
                <w:color w:val="000000"/>
                <w:kern w:val="0"/>
                <w:sz w:val="20"/>
                <w:szCs w:val="20"/>
                <w:highlight w:val="none"/>
              </w:rPr>
            </w:pPr>
          </w:p>
        </w:tc>
        <w:tc>
          <w:tcPr>
            <w:tcW w:w="1087" w:type="dxa"/>
            <w:vMerge w:val="continue"/>
            <w:vAlign w:val="center"/>
          </w:tcPr>
          <w:p w14:paraId="57B03273">
            <w:pPr>
              <w:widowControl/>
              <w:jc w:val="left"/>
              <w:rPr>
                <w:rFonts w:ascii="宋体" w:hAnsi="宋体" w:cs="宋体"/>
                <w:color w:val="000000"/>
                <w:kern w:val="0"/>
                <w:sz w:val="20"/>
                <w:szCs w:val="20"/>
                <w:highlight w:val="none"/>
              </w:rPr>
            </w:pPr>
          </w:p>
        </w:tc>
        <w:tc>
          <w:tcPr>
            <w:tcW w:w="1328" w:type="dxa"/>
            <w:vMerge w:val="continue"/>
            <w:vAlign w:val="center"/>
          </w:tcPr>
          <w:p w14:paraId="67140D6D">
            <w:pPr>
              <w:widowControl/>
              <w:jc w:val="left"/>
              <w:rPr>
                <w:rFonts w:ascii="宋体" w:hAnsi="宋体" w:cs="宋体"/>
                <w:color w:val="000000"/>
                <w:kern w:val="0"/>
                <w:sz w:val="20"/>
                <w:szCs w:val="20"/>
                <w:highlight w:val="none"/>
              </w:rPr>
            </w:pPr>
          </w:p>
        </w:tc>
        <w:tc>
          <w:tcPr>
            <w:tcW w:w="1467" w:type="dxa"/>
            <w:vAlign w:val="center"/>
          </w:tcPr>
          <w:p w14:paraId="5ABE39CC">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★A0201060102激光打印机</w:t>
            </w:r>
          </w:p>
        </w:tc>
        <w:tc>
          <w:tcPr>
            <w:tcW w:w="4275" w:type="dxa"/>
            <w:vAlign w:val="center"/>
          </w:tcPr>
          <w:p w14:paraId="18816B43">
            <w:pPr>
              <w:widowControl/>
              <w:jc w:val="lef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《复印机、打印机和传真机能效限定值及能效等级》（GB21521）</w:t>
            </w:r>
          </w:p>
        </w:tc>
      </w:tr>
      <w:tr w14:paraId="738AE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664" w:type="dxa"/>
            <w:vMerge w:val="continue"/>
            <w:vAlign w:val="center"/>
          </w:tcPr>
          <w:p w14:paraId="656AB7E3">
            <w:pPr>
              <w:widowControl/>
              <w:jc w:val="left"/>
              <w:rPr>
                <w:rFonts w:ascii="宋体" w:hAnsi="宋体" w:cs="宋体"/>
                <w:color w:val="000000"/>
                <w:kern w:val="0"/>
                <w:sz w:val="20"/>
                <w:szCs w:val="20"/>
                <w:highlight w:val="none"/>
              </w:rPr>
            </w:pPr>
          </w:p>
        </w:tc>
        <w:tc>
          <w:tcPr>
            <w:tcW w:w="1087" w:type="dxa"/>
            <w:vMerge w:val="continue"/>
            <w:vAlign w:val="center"/>
          </w:tcPr>
          <w:p w14:paraId="326BDEA2">
            <w:pPr>
              <w:widowControl/>
              <w:jc w:val="left"/>
              <w:rPr>
                <w:rFonts w:ascii="宋体" w:hAnsi="宋体" w:cs="宋体"/>
                <w:color w:val="000000"/>
                <w:kern w:val="0"/>
                <w:sz w:val="20"/>
                <w:szCs w:val="20"/>
                <w:highlight w:val="none"/>
              </w:rPr>
            </w:pPr>
          </w:p>
        </w:tc>
        <w:tc>
          <w:tcPr>
            <w:tcW w:w="1328" w:type="dxa"/>
            <w:vMerge w:val="continue"/>
            <w:vAlign w:val="center"/>
          </w:tcPr>
          <w:p w14:paraId="2874B37D">
            <w:pPr>
              <w:widowControl/>
              <w:jc w:val="left"/>
              <w:rPr>
                <w:rFonts w:ascii="宋体" w:hAnsi="宋体" w:cs="宋体"/>
                <w:color w:val="000000"/>
                <w:kern w:val="0"/>
                <w:sz w:val="20"/>
                <w:szCs w:val="20"/>
                <w:highlight w:val="none"/>
              </w:rPr>
            </w:pPr>
          </w:p>
        </w:tc>
        <w:tc>
          <w:tcPr>
            <w:tcW w:w="1467" w:type="dxa"/>
            <w:vAlign w:val="center"/>
          </w:tcPr>
          <w:p w14:paraId="78ACB3EA">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★A0201060104针式打印机</w:t>
            </w:r>
          </w:p>
        </w:tc>
        <w:tc>
          <w:tcPr>
            <w:tcW w:w="4275" w:type="dxa"/>
            <w:vAlign w:val="center"/>
          </w:tcPr>
          <w:p w14:paraId="6285D84D">
            <w:pPr>
              <w:widowControl/>
              <w:jc w:val="lef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《复印机、打印机和传真机能效限定值及能效等级》（GB21521）</w:t>
            </w:r>
          </w:p>
        </w:tc>
      </w:tr>
      <w:tr w14:paraId="2BAF6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664" w:type="dxa"/>
            <w:vMerge w:val="continue"/>
            <w:vAlign w:val="center"/>
          </w:tcPr>
          <w:p w14:paraId="6938C590">
            <w:pPr>
              <w:widowControl/>
              <w:jc w:val="left"/>
              <w:rPr>
                <w:rFonts w:ascii="宋体" w:hAnsi="宋体" w:cs="宋体"/>
                <w:color w:val="000000"/>
                <w:kern w:val="0"/>
                <w:sz w:val="20"/>
                <w:szCs w:val="20"/>
                <w:highlight w:val="none"/>
              </w:rPr>
            </w:pPr>
          </w:p>
        </w:tc>
        <w:tc>
          <w:tcPr>
            <w:tcW w:w="1087" w:type="dxa"/>
            <w:vMerge w:val="continue"/>
            <w:vAlign w:val="center"/>
          </w:tcPr>
          <w:p w14:paraId="4DFBFFB5">
            <w:pPr>
              <w:widowControl/>
              <w:jc w:val="left"/>
              <w:rPr>
                <w:rFonts w:ascii="宋体" w:hAnsi="宋体" w:cs="宋体"/>
                <w:color w:val="000000"/>
                <w:kern w:val="0"/>
                <w:sz w:val="20"/>
                <w:szCs w:val="20"/>
                <w:highlight w:val="none"/>
              </w:rPr>
            </w:pPr>
          </w:p>
        </w:tc>
        <w:tc>
          <w:tcPr>
            <w:tcW w:w="1328" w:type="dxa"/>
            <w:vAlign w:val="center"/>
          </w:tcPr>
          <w:p w14:paraId="32CDC06F">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A02010604显示设备</w:t>
            </w:r>
          </w:p>
        </w:tc>
        <w:tc>
          <w:tcPr>
            <w:tcW w:w="1467" w:type="dxa"/>
            <w:vAlign w:val="center"/>
          </w:tcPr>
          <w:p w14:paraId="7F8A2EEE">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★A0201060401液晶显示器</w:t>
            </w:r>
          </w:p>
        </w:tc>
        <w:tc>
          <w:tcPr>
            <w:tcW w:w="4275" w:type="dxa"/>
            <w:vAlign w:val="center"/>
          </w:tcPr>
          <w:p w14:paraId="61669A41">
            <w:pPr>
              <w:widowControl/>
              <w:jc w:val="lef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《计算机显示器能效限定值及能效等级》（GB21520）</w:t>
            </w:r>
          </w:p>
        </w:tc>
      </w:tr>
      <w:tr w14:paraId="454B9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 w:hRule="atLeast"/>
        </w:trPr>
        <w:tc>
          <w:tcPr>
            <w:tcW w:w="664" w:type="dxa"/>
            <w:vMerge w:val="continue"/>
            <w:vAlign w:val="center"/>
          </w:tcPr>
          <w:p w14:paraId="3B398052">
            <w:pPr>
              <w:widowControl/>
              <w:jc w:val="left"/>
              <w:rPr>
                <w:rFonts w:ascii="宋体" w:hAnsi="宋体" w:cs="宋体"/>
                <w:color w:val="000000"/>
                <w:kern w:val="0"/>
                <w:sz w:val="20"/>
                <w:szCs w:val="20"/>
                <w:highlight w:val="none"/>
              </w:rPr>
            </w:pPr>
          </w:p>
        </w:tc>
        <w:tc>
          <w:tcPr>
            <w:tcW w:w="1087" w:type="dxa"/>
            <w:vMerge w:val="continue"/>
            <w:vAlign w:val="center"/>
          </w:tcPr>
          <w:p w14:paraId="0A1895CD">
            <w:pPr>
              <w:widowControl/>
              <w:jc w:val="left"/>
              <w:rPr>
                <w:rFonts w:ascii="宋体" w:hAnsi="宋体" w:cs="宋体"/>
                <w:color w:val="000000"/>
                <w:kern w:val="0"/>
                <w:sz w:val="20"/>
                <w:szCs w:val="20"/>
                <w:highlight w:val="none"/>
              </w:rPr>
            </w:pPr>
          </w:p>
        </w:tc>
        <w:tc>
          <w:tcPr>
            <w:tcW w:w="1328" w:type="dxa"/>
            <w:vAlign w:val="center"/>
          </w:tcPr>
          <w:p w14:paraId="4E335794">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A02010609图形图像输入设备</w:t>
            </w:r>
          </w:p>
        </w:tc>
        <w:tc>
          <w:tcPr>
            <w:tcW w:w="1467" w:type="dxa"/>
            <w:vAlign w:val="center"/>
          </w:tcPr>
          <w:p w14:paraId="6069B303">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A0201060901扫描仪</w:t>
            </w:r>
          </w:p>
        </w:tc>
        <w:tc>
          <w:tcPr>
            <w:tcW w:w="4275" w:type="dxa"/>
            <w:vAlign w:val="center"/>
          </w:tcPr>
          <w:p w14:paraId="1886ADF5">
            <w:pPr>
              <w:widowControl/>
              <w:jc w:val="lef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参照《复印机、打印机和传真机能效限定值及能效等级》（GB21521中打印速度为15页/分的针式打印机相关要求中打印速度为15页/分的针式打印机相关要求</w:t>
            </w:r>
          </w:p>
        </w:tc>
      </w:tr>
      <w:tr w14:paraId="11FE5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664" w:type="dxa"/>
            <w:vAlign w:val="center"/>
          </w:tcPr>
          <w:p w14:paraId="14DCB762">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3</w:t>
            </w:r>
          </w:p>
        </w:tc>
        <w:tc>
          <w:tcPr>
            <w:tcW w:w="1087" w:type="dxa"/>
            <w:vAlign w:val="center"/>
          </w:tcPr>
          <w:p w14:paraId="2A4B26EE">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A020202投影仪</w:t>
            </w:r>
          </w:p>
        </w:tc>
        <w:tc>
          <w:tcPr>
            <w:tcW w:w="1328" w:type="dxa"/>
            <w:vAlign w:val="center"/>
          </w:tcPr>
          <w:p w14:paraId="35A790E7">
            <w:pPr>
              <w:widowControl/>
              <w:jc w:val="center"/>
              <w:rPr>
                <w:rFonts w:ascii="宋体" w:hAnsi="宋体" w:cs="宋体"/>
                <w:color w:val="000000"/>
                <w:kern w:val="0"/>
                <w:sz w:val="20"/>
                <w:szCs w:val="20"/>
                <w:highlight w:val="none"/>
              </w:rPr>
            </w:pPr>
          </w:p>
        </w:tc>
        <w:tc>
          <w:tcPr>
            <w:tcW w:w="1467" w:type="dxa"/>
            <w:vAlign w:val="center"/>
          </w:tcPr>
          <w:p w14:paraId="6D2970C9">
            <w:pPr>
              <w:widowControl/>
              <w:jc w:val="center"/>
              <w:rPr>
                <w:rFonts w:ascii="宋体" w:hAnsi="宋体" w:cs="宋体"/>
                <w:color w:val="000000"/>
                <w:kern w:val="0"/>
                <w:sz w:val="20"/>
                <w:szCs w:val="20"/>
                <w:highlight w:val="none"/>
              </w:rPr>
            </w:pPr>
          </w:p>
        </w:tc>
        <w:tc>
          <w:tcPr>
            <w:tcW w:w="4275" w:type="dxa"/>
            <w:vAlign w:val="center"/>
          </w:tcPr>
          <w:p w14:paraId="4E5732C3">
            <w:pPr>
              <w:widowControl/>
              <w:jc w:val="lef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《投影机能效限定值及能效等级》（GB32028）</w:t>
            </w:r>
          </w:p>
        </w:tc>
      </w:tr>
      <w:tr w14:paraId="3E0AB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664" w:type="dxa"/>
            <w:vAlign w:val="center"/>
          </w:tcPr>
          <w:p w14:paraId="260BE34E">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4</w:t>
            </w:r>
          </w:p>
        </w:tc>
        <w:tc>
          <w:tcPr>
            <w:tcW w:w="1087" w:type="dxa"/>
            <w:vAlign w:val="center"/>
          </w:tcPr>
          <w:p w14:paraId="293C5F8D">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A020204多功能一体机</w:t>
            </w:r>
          </w:p>
        </w:tc>
        <w:tc>
          <w:tcPr>
            <w:tcW w:w="1328" w:type="dxa"/>
            <w:vAlign w:val="center"/>
          </w:tcPr>
          <w:p w14:paraId="6B32FD8E">
            <w:pPr>
              <w:widowControl/>
              <w:jc w:val="center"/>
              <w:rPr>
                <w:rFonts w:ascii="宋体" w:hAnsi="宋体" w:cs="宋体"/>
                <w:color w:val="000000"/>
                <w:kern w:val="0"/>
                <w:sz w:val="20"/>
                <w:szCs w:val="20"/>
                <w:highlight w:val="none"/>
              </w:rPr>
            </w:pPr>
          </w:p>
        </w:tc>
        <w:tc>
          <w:tcPr>
            <w:tcW w:w="1467" w:type="dxa"/>
            <w:vAlign w:val="center"/>
          </w:tcPr>
          <w:p w14:paraId="3B8EAF3E">
            <w:pPr>
              <w:widowControl/>
              <w:jc w:val="center"/>
              <w:rPr>
                <w:rFonts w:ascii="宋体" w:hAnsi="宋体" w:cs="宋体"/>
                <w:color w:val="000000"/>
                <w:kern w:val="0"/>
                <w:sz w:val="20"/>
                <w:szCs w:val="20"/>
                <w:highlight w:val="none"/>
              </w:rPr>
            </w:pPr>
          </w:p>
        </w:tc>
        <w:tc>
          <w:tcPr>
            <w:tcW w:w="4275" w:type="dxa"/>
            <w:vAlign w:val="center"/>
          </w:tcPr>
          <w:p w14:paraId="113326DF">
            <w:pPr>
              <w:widowControl/>
              <w:jc w:val="lef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《复印机、打印机和传真机能效限定值及能效等级》（GB21521）</w:t>
            </w:r>
          </w:p>
        </w:tc>
      </w:tr>
      <w:tr w14:paraId="48A7F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664" w:type="dxa"/>
            <w:vAlign w:val="center"/>
          </w:tcPr>
          <w:p w14:paraId="328D6136">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5</w:t>
            </w:r>
          </w:p>
        </w:tc>
        <w:tc>
          <w:tcPr>
            <w:tcW w:w="1087" w:type="dxa"/>
            <w:vAlign w:val="center"/>
          </w:tcPr>
          <w:p w14:paraId="25818281">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A020519泵</w:t>
            </w:r>
          </w:p>
        </w:tc>
        <w:tc>
          <w:tcPr>
            <w:tcW w:w="1328" w:type="dxa"/>
            <w:vAlign w:val="center"/>
          </w:tcPr>
          <w:p w14:paraId="54FC6789">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A02051901离心泵</w:t>
            </w:r>
          </w:p>
        </w:tc>
        <w:tc>
          <w:tcPr>
            <w:tcW w:w="1467" w:type="dxa"/>
            <w:vAlign w:val="center"/>
          </w:tcPr>
          <w:p w14:paraId="21D6FF91">
            <w:pPr>
              <w:widowControl/>
              <w:jc w:val="center"/>
              <w:rPr>
                <w:rFonts w:ascii="宋体" w:hAnsi="宋体" w:cs="宋体"/>
                <w:color w:val="000000"/>
                <w:kern w:val="0"/>
                <w:sz w:val="20"/>
                <w:szCs w:val="20"/>
                <w:highlight w:val="none"/>
              </w:rPr>
            </w:pPr>
          </w:p>
        </w:tc>
        <w:tc>
          <w:tcPr>
            <w:tcW w:w="4275" w:type="dxa"/>
            <w:vAlign w:val="center"/>
          </w:tcPr>
          <w:p w14:paraId="76B38A10">
            <w:pPr>
              <w:widowControl/>
              <w:jc w:val="lef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《清水离心泵能效限定值及节能评价值》（GB19762）</w:t>
            </w:r>
          </w:p>
        </w:tc>
      </w:tr>
      <w:tr w14:paraId="674C1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trPr>
        <w:tc>
          <w:tcPr>
            <w:tcW w:w="664" w:type="dxa"/>
            <w:vMerge w:val="restart"/>
            <w:vAlign w:val="center"/>
          </w:tcPr>
          <w:p w14:paraId="399F620F">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6</w:t>
            </w:r>
          </w:p>
        </w:tc>
        <w:tc>
          <w:tcPr>
            <w:tcW w:w="1087" w:type="dxa"/>
            <w:vMerge w:val="restart"/>
            <w:vAlign w:val="center"/>
          </w:tcPr>
          <w:p w14:paraId="741A2031">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A020523制冷空调设备</w:t>
            </w:r>
          </w:p>
        </w:tc>
        <w:tc>
          <w:tcPr>
            <w:tcW w:w="1328" w:type="dxa"/>
            <w:vMerge w:val="restart"/>
            <w:vAlign w:val="center"/>
          </w:tcPr>
          <w:p w14:paraId="4916E7D4">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★A02052301制冷压缩机</w:t>
            </w:r>
          </w:p>
        </w:tc>
        <w:tc>
          <w:tcPr>
            <w:tcW w:w="1467" w:type="dxa"/>
            <w:vAlign w:val="center"/>
          </w:tcPr>
          <w:p w14:paraId="706DE9DF">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冷水机组</w:t>
            </w:r>
          </w:p>
        </w:tc>
        <w:tc>
          <w:tcPr>
            <w:tcW w:w="4275" w:type="dxa"/>
            <w:vAlign w:val="center"/>
          </w:tcPr>
          <w:p w14:paraId="6DACD7C5">
            <w:pPr>
              <w:widowControl/>
              <w:jc w:val="lef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《冷水机组能效限定值及能效等级》（GB19577），《低环境温度空气源热泵（冷水）机组能效限定值及能效等级》（GB37480）</w:t>
            </w:r>
          </w:p>
        </w:tc>
      </w:tr>
      <w:tr w14:paraId="345E6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664" w:type="dxa"/>
            <w:vMerge w:val="continue"/>
            <w:vAlign w:val="center"/>
          </w:tcPr>
          <w:p w14:paraId="06841F01">
            <w:pPr>
              <w:widowControl/>
              <w:jc w:val="left"/>
              <w:rPr>
                <w:rFonts w:ascii="宋体" w:hAnsi="宋体" w:cs="宋体"/>
                <w:color w:val="000000"/>
                <w:kern w:val="0"/>
                <w:sz w:val="20"/>
                <w:szCs w:val="20"/>
                <w:highlight w:val="none"/>
              </w:rPr>
            </w:pPr>
          </w:p>
        </w:tc>
        <w:tc>
          <w:tcPr>
            <w:tcW w:w="1087" w:type="dxa"/>
            <w:vMerge w:val="continue"/>
            <w:vAlign w:val="center"/>
          </w:tcPr>
          <w:p w14:paraId="71F36B11">
            <w:pPr>
              <w:widowControl/>
              <w:jc w:val="left"/>
              <w:rPr>
                <w:rFonts w:ascii="宋体" w:hAnsi="宋体" w:cs="宋体"/>
                <w:color w:val="000000"/>
                <w:kern w:val="0"/>
                <w:sz w:val="20"/>
                <w:szCs w:val="20"/>
                <w:highlight w:val="none"/>
              </w:rPr>
            </w:pPr>
          </w:p>
        </w:tc>
        <w:tc>
          <w:tcPr>
            <w:tcW w:w="1328" w:type="dxa"/>
            <w:vMerge w:val="continue"/>
            <w:vAlign w:val="center"/>
          </w:tcPr>
          <w:p w14:paraId="6B3018CB">
            <w:pPr>
              <w:widowControl/>
              <w:jc w:val="left"/>
              <w:rPr>
                <w:rFonts w:ascii="宋体" w:hAnsi="宋体" w:cs="宋体"/>
                <w:color w:val="000000"/>
                <w:kern w:val="0"/>
                <w:sz w:val="20"/>
                <w:szCs w:val="20"/>
                <w:highlight w:val="none"/>
              </w:rPr>
            </w:pPr>
          </w:p>
        </w:tc>
        <w:tc>
          <w:tcPr>
            <w:tcW w:w="1467" w:type="dxa"/>
            <w:vAlign w:val="center"/>
          </w:tcPr>
          <w:p w14:paraId="651C3B4C">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水源热泵机组</w:t>
            </w:r>
          </w:p>
        </w:tc>
        <w:tc>
          <w:tcPr>
            <w:tcW w:w="4275" w:type="dxa"/>
            <w:vAlign w:val="center"/>
          </w:tcPr>
          <w:p w14:paraId="51ADA479">
            <w:pPr>
              <w:widowControl/>
              <w:jc w:val="lef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《水（地）源热泵机组能效限定值及能效等级》（GB30721）</w:t>
            </w:r>
          </w:p>
        </w:tc>
      </w:tr>
      <w:tr w14:paraId="01223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664" w:type="dxa"/>
            <w:vMerge w:val="continue"/>
            <w:vAlign w:val="center"/>
          </w:tcPr>
          <w:p w14:paraId="071517E4">
            <w:pPr>
              <w:widowControl/>
              <w:jc w:val="left"/>
              <w:rPr>
                <w:rFonts w:ascii="宋体" w:hAnsi="宋体" w:cs="宋体"/>
                <w:color w:val="000000"/>
                <w:kern w:val="0"/>
                <w:sz w:val="20"/>
                <w:szCs w:val="20"/>
                <w:highlight w:val="none"/>
              </w:rPr>
            </w:pPr>
          </w:p>
        </w:tc>
        <w:tc>
          <w:tcPr>
            <w:tcW w:w="1087" w:type="dxa"/>
            <w:vMerge w:val="continue"/>
            <w:vAlign w:val="center"/>
          </w:tcPr>
          <w:p w14:paraId="793571E8">
            <w:pPr>
              <w:widowControl/>
              <w:jc w:val="left"/>
              <w:rPr>
                <w:rFonts w:ascii="宋体" w:hAnsi="宋体" w:cs="宋体"/>
                <w:color w:val="000000"/>
                <w:kern w:val="0"/>
                <w:sz w:val="20"/>
                <w:szCs w:val="20"/>
                <w:highlight w:val="none"/>
              </w:rPr>
            </w:pPr>
          </w:p>
        </w:tc>
        <w:tc>
          <w:tcPr>
            <w:tcW w:w="1328" w:type="dxa"/>
            <w:vMerge w:val="continue"/>
            <w:vAlign w:val="center"/>
          </w:tcPr>
          <w:p w14:paraId="39AB26CC">
            <w:pPr>
              <w:widowControl/>
              <w:jc w:val="left"/>
              <w:rPr>
                <w:rFonts w:ascii="宋体" w:hAnsi="宋体" w:cs="宋体"/>
                <w:color w:val="000000"/>
                <w:kern w:val="0"/>
                <w:sz w:val="20"/>
                <w:szCs w:val="20"/>
                <w:highlight w:val="none"/>
              </w:rPr>
            </w:pPr>
          </w:p>
        </w:tc>
        <w:tc>
          <w:tcPr>
            <w:tcW w:w="1467" w:type="dxa"/>
            <w:vAlign w:val="center"/>
          </w:tcPr>
          <w:p w14:paraId="0843ABC2">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溴化锂吸收式冷水机组</w:t>
            </w:r>
          </w:p>
        </w:tc>
        <w:tc>
          <w:tcPr>
            <w:tcW w:w="4275" w:type="dxa"/>
            <w:vAlign w:val="center"/>
          </w:tcPr>
          <w:p w14:paraId="4DC9D158">
            <w:pPr>
              <w:widowControl/>
              <w:jc w:val="lef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《溴化锂吸收式冷水机组能效限定值及能效等级》（GB29540）</w:t>
            </w:r>
          </w:p>
        </w:tc>
      </w:tr>
      <w:tr w14:paraId="1DA77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trPr>
        <w:tc>
          <w:tcPr>
            <w:tcW w:w="664" w:type="dxa"/>
            <w:vMerge w:val="continue"/>
            <w:vAlign w:val="center"/>
          </w:tcPr>
          <w:p w14:paraId="35E5D48E">
            <w:pPr>
              <w:widowControl/>
              <w:jc w:val="left"/>
              <w:rPr>
                <w:rFonts w:ascii="宋体" w:hAnsi="宋体" w:cs="宋体"/>
                <w:color w:val="000000"/>
                <w:kern w:val="0"/>
                <w:sz w:val="20"/>
                <w:szCs w:val="20"/>
                <w:highlight w:val="none"/>
              </w:rPr>
            </w:pPr>
          </w:p>
        </w:tc>
        <w:tc>
          <w:tcPr>
            <w:tcW w:w="1087" w:type="dxa"/>
            <w:vMerge w:val="continue"/>
            <w:vAlign w:val="center"/>
          </w:tcPr>
          <w:p w14:paraId="46F1210A">
            <w:pPr>
              <w:widowControl/>
              <w:jc w:val="left"/>
              <w:rPr>
                <w:rFonts w:ascii="宋体" w:hAnsi="宋体" w:cs="宋体"/>
                <w:color w:val="000000"/>
                <w:kern w:val="0"/>
                <w:sz w:val="20"/>
                <w:szCs w:val="20"/>
                <w:highlight w:val="none"/>
              </w:rPr>
            </w:pPr>
          </w:p>
        </w:tc>
        <w:tc>
          <w:tcPr>
            <w:tcW w:w="1328" w:type="dxa"/>
            <w:vMerge w:val="restart"/>
            <w:vAlign w:val="center"/>
          </w:tcPr>
          <w:p w14:paraId="71F96EC3">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★A02052305空调机组</w:t>
            </w:r>
          </w:p>
        </w:tc>
        <w:tc>
          <w:tcPr>
            <w:tcW w:w="1467" w:type="dxa"/>
            <w:vAlign w:val="center"/>
          </w:tcPr>
          <w:p w14:paraId="24ECA774">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多联式空调（热泵）机组(制冷量&gt;14000W)</w:t>
            </w:r>
          </w:p>
        </w:tc>
        <w:tc>
          <w:tcPr>
            <w:tcW w:w="4275" w:type="dxa"/>
            <w:vAlign w:val="center"/>
          </w:tcPr>
          <w:p w14:paraId="3797271E">
            <w:pPr>
              <w:widowControl/>
              <w:jc w:val="lef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《多联式空调（热泵）机组能效限定值及能源效率等级》（GB21454）</w:t>
            </w:r>
          </w:p>
        </w:tc>
      </w:tr>
      <w:tr w14:paraId="17263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trPr>
        <w:tc>
          <w:tcPr>
            <w:tcW w:w="664" w:type="dxa"/>
            <w:vMerge w:val="continue"/>
            <w:vAlign w:val="center"/>
          </w:tcPr>
          <w:p w14:paraId="588B29B9">
            <w:pPr>
              <w:widowControl/>
              <w:jc w:val="left"/>
              <w:rPr>
                <w:rFonts w:ascii="宋体" w:hAnsi="宋体" w:cs="宋体"/>
                <w:color w:val="000000"/>
                <w:kern w:val="0"/>
                <w:sz w:val="20"/>
                <w:szCs w:val="20"/>
                <w:highlight w:val="none"/>
              </w:rPr>
            </w:pPr>
          </w:p>
        </w:tc>
        <w:tc>
          <w:tcPr>
            <w:tcW w:w="1087" w:type="dxa"/>
            <w:vMerge w:val="continue"/>
            <w:vAlign w:val="center"/>
          </w:tcPr>
          <w:p w14:paraId="78AC51F6">
            <w:pPr>
              <w:widowControl/>
              <w:jc w:val="left"/>
              <w:rPr>
                <w:rFonts w:ascii="宋体" w:hAnsi="宋体" w:cs="宋体"/>
                <w:color w:val="000000"/>
                <w:kern w:val="0"/>
                <w:sz w:val="20"/>
                <w:szCs w:val="20"/>
                <w:highlight w:val="none"/>
              </w:rPr>
            </w:pPr>
          </w:p>
        </w:tc>
        <w:tc>
          <w:tcPr>
            <w:tcW w:w="1328" w:type="dxa"/>
            <w:vMerge w:val="continue"/>
            <w:vAlign w:val="center"/>
          </w:tcPr>
          <w:p w14:paraId="47A2E8EB">
            <w:pPr>
              <w:widowControl/>
              <w:jc w:val="left"/>
              <w:rPr>
                <w:rFonts w:ascii="宋体" w:hAnsi="宋体" w:cs="宋体"/>
                <w:color w:val="000000"/>
                <w:kern w:val="0"/>
                <w:sz w:val="20"/>
                <w:szCs w:val="20"/>
                <w:highlight w:val="none"/>
              </w:rPr>
            </w:pPr>
          </w:p>
        </w:tc>
        <w:tc>
          <w:tcPr>
            <w:tcW w:w="1467" w:type="dxa"/>
            <w:vAlign w:val="center"/>
          </w:tcPr>
          <w:p w14:paraId="393DF009">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单元式空气调节机(制冷量&gt;14000W</w:t>
            </w:r>
          </w:p>
        </w:tc>
        <w:tc>
          <w:tcPr>
            <w:tcW w:w="4275" w:type="dxa"/>
            <w:vAlign w:val="center"/>
          </w:tcPr>
          <w:p w14:paraId="15E056A5">
            <w:pPr>
              <w:widowControl/>
              <w:jc w:val="lef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《单元式空气调节机能效限定值及能效等级》（GB19576）《风管送风式空调机组能效限定值及能效等级》（GB37479）</w:t>
            </w:r>
          </w:p>
        </w:tc>
      </w:tr>
      <w:tr w14:paraId="42007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trPr>
        <w:tc>
          <w:tcPr>
            <w:tcW w:w="664" w:type="dxa"/>
            <w:vMerge w:val="continue"/>
            <w:vAlign w:val="center"/>
          </w:tcPr>
          <w:p w14:paraId="22F944BF">
            <w:pPr>
              <w:widowControl/>
              <w:jc w:val="left"/>
              <w:rPr>
                <w:rFonts w:ascii="宋体" w:hAnsi="宋体" w:cs="宋体"/>
                <w:color w:val="000000"/>
                <w:kern w:val="0"/>
                <w:sz w:val="20"/>
                <w:szCs w:val="20"/>
                <w:highlight w:val="none"/>
              </w:rPr>
            </w:pPr>
          </w:p>
        </w:tc>
        <w:tc>
          <w:tcPr>
            <w:tcW w:w="1087" w:type="dxa"/>
            <w:vMerge w:val="continue"/>
            <w:vAlign w:val="center"/>
          </w:tcPr>
          <w:p w14:paraId="5C3BFBE8">
            <w:pPr>
              <w:widowControl/>
              <w:jc w:val="left"/>
              <w:rPr>
                <w:rFonts w:ascii="宋体" w:hAnsi="宋体" w:cs="宋体"/>
                <w:color w:val="000000"/>
                <w:kern w:val="0"/>
                <w:sz w:val="20"/>
                <w:szCs w:val="20"/>
                <w:highlight w:val="none"/>
              </w:rPr>
            </w:pPr>
          </w:p>
        </w:tc>
        <w:tc>
          <w:tcPr>
            <w:tcW w:w="1328" w:type="dxa"/>
            <w:vAlign w:val="center"/>
          </w:tcPr>
          <w:p w14:paraId="1E774AC1">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★A02052309专用制冷、空调设备</w:t>
            </w:r>
          </w:p>
        </w:tc>
        <w:tc>
          <w:tcPr>
            <w:tcW w:w="1467" w:type="dxa"/>
            <w:vAlign w:val="center"/>
          </w:tcPr>
          <w:p w14:paraId="4B5F1C1D">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机房空调</w:t>
            </w:r>
          </w:p>
        </w:tc>
        <w:tc>
          <w:tcPr>
            <w:tcW w:w="4275" w:type="dxa"/>
            <w:vAlign w:val="center"/>
          </w:tcPr>
          <w:p w14:paraId="06F76390">
            <w:pPr>
              <w:widowControl/>
              <w:jc w:val="lef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《单元式空气调节机能效限定值及能效等级》（GB19576）</w:t>
            </w:r>
          </w:p>
        </w:tc>
      </w:tr>
      <w:tr w14:paraId="1E481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trPr>
        <w:tc>
          <w:tcPr>
            <w:tcW w:w="664" w:type="dxa"/>
            <w:vMerge w:val="continue"/>
            <w:vAlign w:val="center"/>
          </w:tcPr>
          <w:p w14:paraId="6A3CE4A9">
            <w:pPr>
              <w:widowControl/>
              <w:jc w:val="left"/>
              <w:rPr>
                <w:rFonts w:ascii="宋体" w:hAnsi="宋体" w:cs="宋体"/>
                <w:color w:val="000000"/>
                <w:kern w:val="0"/>
                <w:sz w:val="20"/>
                <w:szCs w:val="20"/>
                <w:highlight w:val="none"/>
              </w:rPr>
            </w:pPr>
          </w:p>
        </w:tc>
        <w:tc>
          <w:tcPr>
            <w:tcW w:w="1087" w:type="dxa"/>
            <w:vMerge w:val="continue"/>
            <w:vAlign w:val="center"/>
          </w:tcPr>
          <w:p w14:paraId="39BE4C92">
            <w:pPr>
              <w:widowControl/>
              <w:jc w:val="left"/>
              <w:rPr>
                <w:rFonts w:ascii="宋体" w:hAnsi="宋体" w:cs="宋体"/>
                <w:color w:val="000000"/>
                <w:kern w:val="0"/>
                <w:sz w:val="20"/>
                <w:szCs w:val="20"/>
                <w:highlight w:val="none"/>
              </w:rPr>
            </w:pPr>
          </w:p>
        </w:tc>
        <w:tc>
          <w:tcPr>
            <w:tcW w:w="1328" w:type="dxa"/>
            <w:vAlign w:val="center"/>
          </w:tcPr>
          <w:p w14:paraId="3608D505">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A02052399其他制冷空调设备</w:t>
            </w:r>
          </w:p>
        </w:tc>
        <w:tc>
          <w:tcPr>
            <w:tcW w:w="1467" w:type="dxa"/>
            <w:vAlign w:val="center"/>
          </w:tcPr>
          <w:p w14:paraId="1573F34C">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冷却塔</w:t>
            </w:r>
          </w:p>
        </w:tc>
        <w:tc>
          <w:tcPr>
            <w:tcW w:w="4275" w:type="dxa"/>
            <w:vAlign w:val="center"/>
          </w:tcPr>
          <w:p w14:paraId="547CAD0E">
            <w:pPr>
              <w:widowControl/>
              <w:jc w:val="lef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《机械通风冷却塔第1部分：中小型开式冷却塔》（GB/T7190.1）；《机械通风冷却塔第2部分：大型开式冷却塔》（GB/T7190.2）</w:t>
            </w:r>
          </w:p>
        </w:tc>
      </w:tr>
      <w:tr w14:paraId="53D03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664" w:type="dxa"/>
            <w:vAlign w:val="center"/>
          </w:tcPr>
          <w:p w14:paraId="6D628512">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7</w:t>
            </w:r>
          </w:p>
        </w:tc>
        <w:tc>
          <w:tcPr>
            <w:tcW w:w="1087" w:type="dxa"/>
            <w:vAlign w:val="center"/>
          </w:tcPr>
          <w:p w14:paraId="49CAF366">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A020601电机</w:t>
            </w:r>
          </w:p>
        </w:tc>
        <w:tc>
          <w:tcPr>
            <w:tcW w:w="1328" w:type="dxa"/>
            <w:vAlign w:val="center"/>
          </w:tcPr>
          <w:p w14:paraId="27E0EE94">
            <w:pPr>
              <w:widowControl/>
              <w:jc w:val="center"/>
              <w:rPr>
                <w:rFonts w:ascii="宋体" w:hAnsi="宋体" w:cs="宋体"/>
                <w:color w:val="000000"/>
                <w:kern w:val="0"/>
                <w:sz w:val="20"/>
                <w:szCs w:val="20"/>
                <w:highlight w:val="none"/>
              </w:rPr>
            </w:pPr>
          </w:p>
        </w:tc>
        <w:tc>
          <w:tcPr>
            <w:tcW w:w="1467" w:type="dxa"/>
            <w:vAlign w:val="center"/>
          </w:tcPr>
          <w:p w14:paraId="41F2F8C5">
            <w:pPr>
              <w:widowControl/>
              <w:jc w:val="center"/>
              <w:rPr>
                <w:rFonts w:ascii="宋体" w:hAnsi="宋体" w:cs="宋体"/>
                <w:color w:val="000000"/>
                <w:kern w:val="0"/>
                <w:sz w:val="20"/>
                <w:szCs w:val="20"/>
                <w:highlight w:val="none"/>
              </w:rPr>
            </w:pPr>
          </w:p>
        </w:tc>
        <w:tc>
          <w:tcPr>
            <w:tcW w:w="4275" w:type="dxa"/>
            <w:vAlign w:val="center"/>
          </w:tcPr>
          <w:p w14:paraId="50B2CDAF">
            <w:pPr>
              <w:widowControl/>
              <w:jc w:val="lef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《中小型三相异步电动机能效限定值及能效等级》（GB18613）</w:t>
            </w:r>
          </w:p>
        </w:tc>
      </w:tr>
      <w:tr w14:paraId="127E4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664" w:type="dxa"/>
            <w:vAlign w:val="center"/>
          </w:tcPr>
          <w:p w14:paraId="586EFD84">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8</w:t>
            </w:r>
          </w:p>
        </w:tc>
        <w:tc>
          <w:tcPr>
            <w:tcW w:w="1087" w:type="dxa"/>
            <w:vAlign w:val="center"/>
          </w:tcPr>
          <w:p w14:paraId="2A8D49FA">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A020602变压器</w:t>
            </w:r>
          </w:p>
        </w:tc>
        <w:tc>
          <w:tcPr>
            <w:tcW w:w="1328" w:type="dxa"/>
            <w:vAlign w:val="center"/>
          </w:tcPr>
          <w:p w14:paraId="3A372E7D">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配电变压器</w:t>
            </w:r>
          </w:p>
        </w:tc>
        <w:tc>
          <w:tcPr>
            <w:tcW w:w="1467" w:type="dxa"/>
            <w:vAlign w:val="center"/>
          </w:tcPr>
          <w:p w14:paraId="502F184C">
            <w:pPr>
              <w:widowControl/>
              <w:jc w:val="center"/>
              <w:rPr>
                <w:rFonts w:ascii="宋体" w:hAnsi="宋体" w:cs="宋体"/>
                <w:color w:val="000000"/>
                <w:kern w:val="0"/>
                <w:sz w:val="20"/>
                <w:szCs w:val="20"/>
                <w:highlight w:val="none"/>
              </w:rPr>
            </w:pPr>
          </w:p>
        </w:tc>
        <w:tc>
          <w:tcPr>
            <w:tcW w:w="4275" w:type="dxa"/>
            <w:vAlign w:val="center"/>
          </w:tcPr>
          <w:p w14:paraId="2B85D4A1">
            <w:pPr>
              <w:widowControl/>
              <w:jc w:val="lef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《三相配电变压器能效限定值及能效等级》（GB20052）</w:t>
            </w:r>
          </w:p>
        </w:tc>
      </w:tr>
      <w:tr w14:paraId="69E67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664" w:type="dxa"/>
            <w:vAlign w:val="center"/>
          </w:tcPr>
          <w:p w14:paraId="61CC21A8">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9</w:t>
            </w:r>
          </w:p>
        </w:tc>
        <w:tc>
          <w:tcPr>
            <w:tcW w:w="1087" w:type="dxa"/>
            <w:vAlign w:val="center"/>
          </w:tcPr>
          <w:p w14:paraId="1F29AD13">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★A020609镇流器</w:t>
            </w:r>
          </w:p>
        </w:tc>
        <w:tc>
          <w:tcPr>
            <w:tcW w:w="1328" w:type="dxa"/>
            <w:vAlign w:val="center"/>
          </w:tcPr>
          <w:p w14:paraId="1B4581AE">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管型荧光灯镇流器</w:t>
            </w:r>
          </w:p>
        </w:tc>
        <w:tc>
          <w:tcPr>
            <w:tcW w:w="1467" w:type="dxa"/>
            <w:vAlign w:val="center"/>
          </w:tcPr>
          <w:p w14:paraId="3DAE379C">
            <w:pPr>
              <w:widowControl/>
              <w:jc w:val="center"/>
              <w:rPr>
                <w:rFonts w:ascii="宋体" w:hAnsi="宋体" w:cs="宋体"/>
                <w:color w:val="000000"/>
                <w:kern w:val="0"/>
                <w:sz w:val="20"/>
                <w:szCs w:val="20"/>
                <w:highlight w:val="none"/>
              </w:rPr>
            </w:pPr>
          </w:p>
        </w:tc>
        <w:tc>
          <w:tcPr>
            <w:tcW w:w="4275" w:type="dxa"/>
            <w:vAlign w:val="center"/>
          </w:tcPr>
          <w:p w14:paraId="5103902C">
            <w:pPr>
              <w:widowControl/>
              <w:jc w:val="lef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《管形荧光灯镇流器能效限定值及能效等级》（GB17896）</w:t>
            </w:r>
          </w:p>
        </w:tc>
      </w:tr>
      <w:tr w14:paraId="23C7B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664" w:type="dxa"/>
            <w:vMerge w:val="restart"/>
            <w:vAlign w:val="center"/>
          </w:tcPr>
          <w:p w14:paraId="7BB8E37C">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10</w:t>
            </w:r>
          </w:p>
        </w:tc>
        <w:tc>
          <w:tcPr>
            <w:tcW w:w="1087" w:type="dxa"/>
            <w:vMerge w:val="restart"/>
            <w:vAlign w:val="center"/>
          </w:tcPr>
          <w:p w14:paraId="13E0BCE7">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A020618生活用电器</w:t>
            </w:r>
          </w:p>
        </w:tc>
        <w:tc>
          <w:tcPr>
            <w:tcW w:w="1328" w:type="dxa"/>
            <w:vAlign w:val="center"/>
          </w:tcPr>
          <w:p w14:paraId="75FA42A7">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A0206180101电冰箱</w:t>
            </w:r>
          </w:p>
        </w:tc>
        <w:tc>
          <w:tcPr>
            <w:tcW w:w="1467" w:type="dxa"/>
            <w:vAlign w:val="center"/>
          </w:tcPr>
          <w:p w14:paraId="3783051B">
            <w:pPr>
              <w:widowControl/>
              <w:jc w:val="center"/>
              <w:rPr>
                <w:rFonts w:ascii="宋体" w:hAnsi="宋体" w:cs="宋体"/>
                <w:color w:val="000000"/>
                <w:kern w:val="0"/>
                <w:sz w:val="20"/>
                <w:szCs w:val="20"/>
                <w:highlight w:val="none"/>
              </w:rPr>
            </w:pPr>
          </w:p>
        </w:tc>
        <w:tc>
          <w:tcPr>
            <w:tcW w:w="4275" w:type="dxa"/>
            <w:vAlign w:val="center"/>
          </w:tcPr>
          <w:p w14:paraId="58E740F5">
            <w:pPr>
              <w:widowControl/>
              <w:jc w:val="lef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《家用电冰箱耗电量限定值及能效等级》（GB 12021.2）</w:t>
            </w:r>
          </w:p>
        </w:tc>
      </w:tr>
      <w:tr w14:paraId="7EE9D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 w:hRule="atLeast"/>
        </w:trPr>
        <w:tc>
          <w:tcPr>
            <w:tcW w:w="664" w:type="dxa"/>
            <w:vMerge w:val="continue"/>
            <w:vAlign w:val="center"/>
          </w:tcPr>
          <w:p w14:paraId="7003E5D4">
            <w:pPr>
              <w:widowControl/>
              <w:jc w:val="left"/>
              <w:rPr>
                <w:rFonts w:ascii="宋体" w:hAnsi="宋体" w:cs="宋体"/>
                <w:color w:val="000000"/>
                <w:kern w:val="0"/>
                <w:sz w:val="20"/>
                <w:szCs w:val="20"/>
                <w:highlight w:val="none"/>
              </w:rPr>
            </w:pPr>
          </w:p>
        </w:tc>
        <w:tc>
          <w:tcPr>
            <w:tcW w:w="1087" w:type="dxa"/>
            <w:vMerge w:val="continue"/>
            <w:vAlign w:val="center"/>
          </w:tcPr>
          <w:p w14:paraId="0F6D248E">
            <w:pPr>
              <w:widowControl/>
              <w:jc w:val="left"/>
              <w:rPr>
                <w:rFonts w:ascii="宋体" w:hAnsi="宋体" w:cs="宋体"/>
                <w:color w:val="000000"/>
                <w:kern w:val="0"/>
                <w:sz w:val="20"/>
                <w:szCs w:val="20"/>
                <w:highlight w:val="none"/>
              </w:rPr>
            </w:pPr>
          </w:p>
        </w:tc>
        <w:tc>
          <w:tcPr>
            <w:tcW w:w="1328" w:type="dxa"/>
            <w:vMerge w:val="restart"/>
            <w:vAlign w:val="center"/>
          </w:tcPr>
          <w:p w14:paraId="28D99976">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★A0206180203空调机</w:t>
            </w:r>
          </w:p>
        </w:tc>
        <w:tc>
          <w:tcPr>
            <w:tcW w:w="1467" w:type="dxa"/>
            <w:vAlign w:val="center"/>
          </w:tcPr>
          <w:p w14:paraId="141432EF">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房间空气调节器</w:t>
            </w:r>
          </w:p>
        </w:tc>
        <w:tc>
          <w:tcPr>
            <w:tcW w:w="4275" w:type="dxa"/>
            <w:vAlign w:val="center"/>
          </w:tcPr>
          <w:p w14:paraId="0D481D53">
            <w:pPr>
              <w:widowControl/>
              <w:jc w:val="lef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《转速可控型房间空气调节器能效限定值及能效等级》（GB21455-2013），待2019年修订发布后，按《房间空气调节器能效限定值及能效等级》（GB21455-2019实施。</w:t>
            </w:r>
          </w:p>
        </w:tc>
      </w:tr>
      <w:tr w14:paraId="13825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trPr>
        <w:tc>
          <w:tcPr>
            <w:tcW w:w="664" w:type="dxa"/>
            <w:vMerge w:val="continue"/>
            <w:vAlign w:val="center"/>
          </w:tcPr>
          <w:p w14:paraId="027C3B92">
            <w:pPr>
              <w:widowControl/>
              <w:jc w:val="left"/>
              <w:rPr>
                <w:rFonts w:ascii="宋体" w:hAnsi="宋体" w:cs="宋体"/>
                <w:color w:val="000000"/>
                <w:kern w:val="0"/>
                <w:sz w:val="20"/>
                <w:szCs w:val="20"/>
                <w:highlight w:val="none"/>
              </w:rPr>
            </w:pPr>
          </w:p>
        </w:tc>
        <w:tc>
          <w:tcPr>
            <w:tcW w:w="1087" w:type="dxa"/>
            <w:vMerge w:val="continue"/>
            <w:vAlign w:val="center"/>
          </w:tcPr>
          <w:p w14:paraId="62AB5CC8">
            <w:pPr>
              <w:widowControl/>
              <w:jc w:val="left"/>
              <w:rPr>
                <w:rFonts w:ascii="宋体" w:hAnsi="宋体" w:cs="宋体"/>
                <w:color w:val="000000"/>
                <w:kern w:val="0"/>
                <w:sz w:val="20"/>
                <w:szCs w:val="20"/>
                <w:highlight w:val="none"/>
              </w:rPr>
            </w:pPr>
          </w:p>
        </w:tc>
        <w:tc>
          <w:tcPr>
            <w:tcW w:w="1328" w:type="dxa"/>
            <w:vMerge w:val="continue"/>
            <w:vAlign w:val="center"/>
          </w:tcPr>
          <w:p w14:paraId="6AA33984">
            <w:pPr>
              <w:widowControl/>
              <w:jc w:val="left"/>
              <w:rPr>
                <w:rFonts w:ascii="宋体" w:hAnsi="宋体" w:cs="宋体"/>
                <w:color w:val="000000"/>
                <w:kern w:val="0"/>
                <w:sz w:val="20"/>
                <w:szCs w:val="20"/>
                <w:highlight w:val="none"/>
              </w:rPr>
            </w:pPr>
          </w:p>
        </w:tc>
        <w:tc>
          <w:tcPr>
            <w:tcW w:w="1467" w:type="dxa"/>
            <w:vAlign w:val="center"/>
          </w:tcPr>
          <w:p w14:paraId="1569FCA2">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多联式空调（热泵）机组（制冷量≤ 14000W）</w:t>
            </w:r>
          </w:p>
        </w:tc>
        <w:tc>
          <w:tcPr>
            <w:tcW w:w="4275" w:type="dxa"/>
            <w:vAlign w:val="center"/>
          </w:tcPr>
          <w:p w14:paraId="5CC6A46C">
            <w:pPr>
              <w:widowControl/>
              <w:jc w:val="lef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《多联式空调（热泵）机组能效限定值及能源效率等级》（GB21454）</w:t>
            </w:r>
          </w:p>
        </w:tc>
      </w:tr>
      <w:tr w14:paraId="3F9E5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trPr>
        <w:tc>
          <w:tcPr>
            <w:tcW w:w="664" w:type="dxa"/>
            <w:vMerge w:val="continue"/>
            <w:vAlign w:val="center"/>
          </w:tcPr>
          <w:p w14:paraId="7DCE28D9">
            <w:pPr>
              <w:widowControl/>
              <w:jc w:val="left"/>
              <w:rPr>
                <w:rFonts w:ascii="宋体" w:hAnsi="宋体" w:cs="宋体"/>
                <w:color w:val="000000"/>
                <w:kern w:val="0"/>
                <w:sz w:val="20"/>
                <w:szCs w:val="20"/>
                <w:highlight w:val="none"/>
              </w:rPr>
            </w:pPr>
          </w:p>
        </w:tc>
        <w:tc>
          <w:tcPr>
            <w:tcW w:w="1087" w:type="dxa"/>
            <w:vMerge w:val="continue"/>
            <w:vAlign w:val="center"/>
          </w:tcPr>
          <w:p w14:paraId="56916457">
            <w:pPr>
              <w:widowControl/>
              <w:jc w:val="left"/>
              <w:rPr>
                <w:rFonts w:ascii="宋体" w:hAnsi="宋体" w:cs="宋体"/>
                <w:color w:val="000000"/>
                <w:kern w:val="0"/>
                <w:sz w:val="20"/>
                <w:szCs w:val="20"/>
                <w:highlight w:val="none"/>
              </w:rPr>
            </w:pPr>
          </w:p>
        </w:tc>
        <w:tc>
          <w:tcPr>
            <w:tcW w:w="1328" w:type="dxa"/>
            <w:vMerge w:val="continue"/>
            <w:vAlign w:val="center"/>
          </w:tcPr>
          <w:p w14:paraId="637FE591">
            <w:pPr>
              <w:widowControl/>
              <w:jc w:val="left"/>
              <w:rPr>
                <w:rFonts w:ascii="宋体" w:hAnsi="宋体" w:cs="宋体"/>
                <w:color w:val="000000"/>
                <w:kern w:val="0"/>
                <w:sz w:val="20"/>
                <w:szCs w:val="20"/>
                <w:highlight w:val="none"/>
              </w:rPr>
            </w:pPr>
          </w:p>
        </w:tc>
        <w:tc>
          <w:tcPr>
            <w:tcW w:w="1467" w:type="dxa"/>
            <w:vAlign w:val="center"/>
          </w:tcPr>
          <w:p w14:paraId="095EDE34">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单元式空气调节机(制冷量≤14000W)</w:t>
            </w:r>
          </w:p>
        </w:tc>
        <w:tc>
          <w:tcPr>
            <w:tcW w:w="4275" w:type="dxa"/>
            <w:vAlign w:val="center"/>
          </w:tcPr>
          <w:p w14:paraId="3768DE66">
            <w:pPr>
              <w:widowControl/>
              <w:jc w:val="lef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《单元式空气调节机能效限定值及能源效率等级》（GB19576）《风管送风式空调机组能效限定值及能效等级》（GB37479）</w:t>
            </w:r>
          </w:p>
        </w:tc>
      </w:tr>
      <w:tr w14:paraId="3E0E8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664" w:type="dxa"/>
            <w:vMerge w:val="continue"/>
            <w:vAlign w:val="center"/>
          </w:tcPr>
          <w:p w14:paraId="58847EC8">
            <w:pPr>
              <w:widowControl/>
              <w:jc w:val="left"/>
              <w:rPr>
                <w:rFonts w:ascii="宋体" w:hAnsi="宋体" w:cs="宋体"/>
                <w:color w:val="000000"/>
                <w:kern w:val="0"/>
                <w:sz w:val="20"/>
                <w:szCs w:val="20"/>
                <w:highlight w:val="none"/>
              </w:rPr>
            </w:pPr>
          </w:p>
        </w:tc>
        <w:tc>
          <w:tcPr>
            <w:tcW w:w="1087" w:type="dxa"/>
            <w:vMerge w:val="continue"/>
            <w:vAlign w:val="center"/>
          </w:tcPr>
          <w:p w14:paraId="30F5AC8E">
            <w:pPr>
              <w:widowControl/>
              <w:jc w:val="left"/>
              <w:rPr>
                <w:rFonts w:ascii="宋体" w:hAnsi="宋体" w:cs="宋体"/>
                <w:color w:val="000000"/>
                <w:kern w:val="0"/>
                <w:sz w:val="20"/>
                <w:szCs w:val="20"/>
                <w:highlight w:val="none"/>
              </w:rPr>
            </w:pPr>
          </w:p>
        </w:tc>
        <w:tc>
          <w:tcPr>
            <w:tcW w:w="1328" w:type="dxa"/>
            <w:vAlign w:val="center"/>
          </w:tcPr>
          <w:p w14:paraId="1D5927EB">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A0206180301洗衣机</w:t>
            </w:r>
          </w:p>
        </w:tc>
        <w:tc>
          <w:tcPr>
            <w:tcW w:w="1467" w:type="dxa"/>
            <w:vAlign w:val="center"/>
          </w:tcPr>
          <w:p w14:paraId="4536BD04">
            <w:pPr>
              <w:widowControl/>
              <w:jc w:val="center"/>
              <w:rPr>
                <w:rFonts w:ascii="宋体" w:hAnsi="宋体" w:cs="宋体"/>
                <w:color w:val="000000"/>
                <w:kern w:val="0"/>
                <w:sz w:val="20"/>
                <w:szCs w:val="20"/>
                <w:highlight w:val="none"/>
              </w:rPr>
            </w:pPr>
          </w:p>
        </w:tc>
        <w:tc>
          <w:tcPr>
            <w:tcW w:w="4275" w:type="dxa"/>
            <w:vAlign w:val="center"/>
          </w:tcPr>
          <w:p w14:paraId="77FE11E9">
            <w:pPr>
              <w:widowControl/>
              <w:jc w:val="lef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《电动洗衣机能效水效限定值及等级》（GB12021.4）</w:t>
            </w:r>
          </w:p>
        </w:tc>
      </w:tr>
      <w:tr w14:paraId="2240B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664" w:type="dxa"/>
            <w:vMerge w:val="continue"/>
            <w:vAlign w:val="center"/>
          </w:tcPr>
          <w:p w14:paraId="5FA7EC2B">
            <w:pPr>
              <w:widowControl/>
              <w:jc w:val="left"/>
              <w:rPr>
                <w:rFonts w:ascii="宋体" w:hAnsi="宋体" w:cs="宋体"/>
                <w:color w:val="000000"/>
                <w:kern w:val="0"/>
                <w:sz w:val="20"/>
                <w:szCs w:val="20"/>
                <w:highlight w:val="none"/>
              </w:rPr>
            </w:pPr>
          </w:p>
        </w:tc>
        <w:tc>
          <w:tcPr>
            <w:tcW w:w="1087" w:type="dxa"/>
            <w:vMerge w:val="continue"/>
            <w:vAlign w:val="center"/>
          </w:tcPr>
          <w:p w14:paraId="48144078">
            <w:pPr>
              <w:widowControl/>
              <w:jc w:val="left"/>
              <w:rPr>
                <w:rFonts w:ascii="宋体" w:hAnsi="宋体" w:cs="宋体"/>
                <w:color w:val="000000"/>
                <w:kern w:val="0"/>
                <w:sz w:val="20"/>
                <w:szCs w:val="20"/>
                <w:highlight w:val="none"/>
              </w:rPr>
            </w:pPr>
          </w:p>
        </w:tc>
        <w:tc>
          <w:tcPr>
            <w:tcW w:w="1328" w:type="dxa"/>
            <w:vMerge w:val="restart"/>
            <w:vAlign w:val="center"/>
          </w:tcPr>
          <w:p w14:paraId="022F9BEB">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A02061808热水器</w:t>
            </w:r>
          </w:p>
        </w:tc>
        <w:tc>
          <w:tcPr>
            <w:tcW w:w="1467" w:type="dxa"/>
            <w:vAlign w:val="center"/>
          </w:tcPr>
          <w:p w14:paraId="3585DBEB">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★电热水器</w:t>
            </w:r>
          </w:p>
        </w:tc>
        <w:tc>
          <w:tcPr>
            <w:tcW w:w="4275" w:type="dxa"/>
            <w:vAlign w:val="center"/>
          </w:tcPr>
          <w:p w14:paraId="1D3E3924">
            <w:pPr>
              <w:widowControl/>
              <w:jc w:val="lef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《储水式电热水器能效限定值及能效等级》（GB21519）</w:t>
            </w:r>
          </w:p>
        </w:tc>
      </w:tr>
      <w:tr w14:paraId="315BC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664" w:type="dxa"/>
            <w:vMerge w:val="continue"/>
            <w:vAlign w:val="center"/>
          </w:tcPr>
          <w:p w14:paraId="3C7A5DF3">
            <w:pPr>
              <w:widowControl/>
              <w:jc w:val="left"/>
              <w:rPr>
                <w:rFonts w:ascii="宋体" w:hAnsi="宋体" w:cs="宋体"/>
                <w:color w:val="000000"/>
                <w:kern w:val="0"/>
                <w:sz w:val="20"/>
                <w:szCs w:val="20"/>
                <w:highlight w:val="none"/>
              </w:rPr>
            </w:pPr>
          </w:p>
        </w:tc>
        <w:tc>
          <w:tcPr>
            <w:tcW w:w="1087" w:type="dxa"/>
            <w:vMerge w:val="continue"/>
            <w:vAlign w:val="center"/>
          </w:tcPr>
          <w:p w14:paraId="4B81A5CA">
            <w:pPr>
              <w:widowControl/>
              <w:jc w:val="left"/>
              <w:rPr>
                <w:rFonts w:ascii="宋体" w:hAnsi="宋体" w:cs="宋体"/>
                <w:color w:val="000000"/>
                <w:kern w:val="0"/>
                <w:sz w:val="20"/>
                <w:szCs w:val="20"/>
                <w:highlight w:val="none"/>
              </w:rPr>
            </w:pPr>
          </w:p>
        </w:tc>
        <w:tc>
          <w:tcPr>
            <w:tcW w:w="1328" w:type="dxa"/>
            <w:vMerge w:val="continue"/>
            <w:vAlign w:val="center"/>
          </w:tcPr>
          <w:p w14:paraId="6044E62F">
            <w:pPr>
              <w:widowControl/>
              <w:jc w:val="left"/>
              <w:rPr>
                <w:rFonts w:ascii="宋体" w:hAnsi="宋体" w:cs="宋体"/>
                <w:color w:val="000000"/>
                <w:kern w:val="0"/>
                <w:sz w:val="20"/>
                <w:szCs w:val="20"/>
                <w:highlight w:val="none"/>
              </w:rPr>
            </w:pPr>
          </w:p>
        </w:tc>
        <w:tc>
          <w:tcPr>
            <w:tcW w:w="1467" w:type="dxa"/>
            <w:vAlign w:val="center"/>
          </w:tcPr>
          <w:p w14:paraId="3D64DC6A">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燃气热水器</w:t>
            </w:r>
          </w:p>
        </w:tc>
        <w:tc>
          <w:tcPr>
            <w:tcW w:w="4275" w:type="dxa"/>
            <w:vAlign w:val="center"/>
          </w:tcPr>
          <w:p w14:paraId="37908F39">
            <w:pPr>
              <w:widowControl/>
              <w:jc w:val="lef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《家用燃气快速热水器和燃气采暖热水炉能效限定值及能效等级》（GB20665）</w:t>
            </w:r>
          </w:p>
        </w:tc>
      </w:tr>
      <w:tr w14:paraId="4949F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664" w:type="dxa"/>
            <w:vMerge w:val="continue"/>
            <w:vAlign w:val="center"/>
          </w:tcPr>
          <w:p w14:paraId="3A093060">
            <w:pPr>
              <w:widowControl/>
              <w:jc w:val="left"/>
              <w:rPr>
                <w:rFonts w:ascii="宋体" w:hAnsi="宋体" w:cs="宋体"/>
                <w:color w:val="000000"/>
                <w:kern w:val="0"/>
                <w:sz w:val="20"/>
                <w:szCs w:val="20"/>
                <w:highlight w:val="none"/>
              </w:rPr>
            </w:pPr>
          </w:p>
        </w:tc>
        <w:tc>
          <w:tcPr>
            <w:tcW w:w="1087" w:type="dxa"/>
            <w:vMerge w:val="continue"/>
            <w:vAlign w:val="center"/>
          </w:tcPr>
          <w:p w14:paraId="6790A42D">
            <w:pPr>
              <w:widowControl/>
              <w:jc w:val="left"/>
              <w:rPr>
                <w:rFonts w:ascii="宋体" w:hAnsi="宋体" w:cs="宋体"/>
                <w:color w:val="000000"/>
                <w:kern w:val="0"/>
                <w:sz w:val="20"/>
                <w:szCs w:val="20"/>
                <w:highlight w:val="none"/>
              </w:rPr>
            </w:pPr>
          </w:p>
        </w:tc>
        <w:tc>
          <w:tcPr>
            <w:tcW w:w="1328" w:type="dxa"/>
            <w:vMerge w:val="continue"/>
            <w:vAlign w:val="center"/>
          </w:tcPr>
          <w:p w14:paraId="2440EABB">
            <w:pPr>
              <w:widowControl/>
              <w:jc w:val="left"/>
              <w:rPr>
                <w:rFonts w:ascii="宋体" w:hAnsi="宋体" w:cs="宋体"/>
                <w:color w:val="000000"/>
                <w:kern w:val="0"/>
                <w:sz w:val="20"/>
                <w:szCs w:val="20"/>
                <w:highlight w:val="none"/>
              </w:rPr>
            </w:pPr>
          </w:p>
        </w:tc>
        <w:tc>
          <w:tcPr>
            <w:tcW w:w="1467" w:type="dxa"/>
            <w:vAlign w:val="center"/>
          </w:tcPr>
          <w:p w14:paraId="2E751F4C">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热泵热水器</w:t>
            </w:r>
          </w:p>
        </w:tc>
        <w:tc>
          <w:tcPr>
            <w:tcW w:w="4275" w:type="dxa"/>
            <w:vAlign w:val="center"/>
          </w:tcPr>
          <w:p w14:paraId="6226C10E">
            <w:pPr>
              <w:widowControl/>
              <w:jc w:val="lef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《热泵热水机（器）能效限定值及能效等级》（GB29541）</w:t>
            </w:r>
          </w:p>
        </w:tc>
      </w:tr>
      <w:tr w14:paraId="547B9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664" w:type="dxa"/>
            <w:vMerge w:val="continue"/>
            <w:vAlign w:val="center"/>
          </w:tcPr>
          <w:p w14:paraId="61E71EE9">
            <w:pPr>
              <w:widowControl/>
              <w:jc w:val="left"/>
              <w:rPr>
                <w:rFonts w:ascii="宋体" w:hAnsi="宋体" w:cs="宋体"/>
                <w:color w:val="000000"/>
                <w:kern w:val="0"/>
                <w:sz w:val="20"/>
                <w:szCs w:val="20"/>
                <w:highlight w:val="none"/>
              </w:rPr>
            </w:pPr>
          </w:p>
        </w:tc>
        <w:tc>
          <w:tcPr>
            <w:tcW w:w="1087" w:type="dxa"/>
            <w:vMerge w:val="continue"/>
            <w:vAlign w:val="center"/>
          </w:tcPr>
          <w:p w14:paraId="62059B49">
            <w:pPr>
              <w:widowControl/>
              <w:jc w:val="left"/>
              <w:rPr>
                <w:rFonts w:ascii="宋体" w:hAnsi="宋体" w:cs="宋体"/>
                <w:color w:val="000000"/>
                <w:kern w:val="0"/>
                <w:sz w:val="20"/>
                <w:szCs w:val="20"/>
                <w:highlight w:val="none"/>
              </w:rPr>
            </w:pPr>
          </w:p>
        </w:tc>
        <w:tc>
          <w:tcPr>
            <w:tcW w:w="1328" w:type="dxa"/>
            <w:vMerge w:val="continue"/>
            <w:vAlign w:val="center"/>
          </w:tcPr>
          <w:p w14:paraId="62473FC7">
            <w:pPr>
              <w:widowControl/>
              <w:jc w:val="left"/>
              <w:rPr>
                <w:rFonts w:ascii="宋体" w:hAnsi="宋体" w:cs="宋体"/>
                <w:color w:val="000000"/>
                <w:kern w:val="0"/>
                <w:sz w:val="20"/>
                <w:szCs w:val="20"/>
                <w:highlight w:val="none"/>
              </w:rPr>
            </w:pPr>
          </w:p>
        </w:tc>
        <w:tc>
          <w:tcPr>
            <w:tcW w:w="1467" w:type="dxa"/>
            <w:vAlign w:val="center"/>
          </w:tcPr>
          <w:p w14:paraId="016ECE81">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太阳能热水系统</w:t>
            </w:r>
          </w:p>
        </w:tc>
        <w:tc>
          <w:tcPr>
            <w:tcW w:w="4275" w:type="dxa"/>
            <w:vAlign w:val="center"/>
          </w:tcPr>
          <w:p w14:paraId="13B86108">
            <w:pPr>
              <w:widowControl/>
              <w:jc w:val="lef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《家用太阳能热水系统能效限定值及能效等级》（GB26969）</w:t>
            </w:r>
          </w:p>
        </w:tc>
      </w:tr>
      <w:tr w14:paraId="77F70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664" w:type="dxa"/>
            <w:vMerge w:val="restart"/>
            <w:vAlign w:val="center"/>
          </w:tcPr>
          <w:p w14:paraId="1C0B08B9">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11</w:t>
            </w:r>
          </w:p>
        </w:tc>
        <w:tc>
          <w:tcPr>
            <w:tcW w:w="1087" w:type="dxa"/>
            <w:vMerge w:val="restart"/>
            <w:vAlign w:val="center"/>
          </w:tcPr>
          <w:p w14:paraId="1A409808">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A020619照明设备</w:t>
            </w:r>
          </w:p>
        </w:tc>
        <w:tc>
          <w:tcPr>
            <w:tcW w:w="1328" w:type="dxa"/>
            <w:vAlign w:val="center"/>
          </w:tcPr>
          <w:p w14:paraId="7EC2234D">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★普通照明用双端荧光灯</w:t>
            </w:r>
          </w:p>
        </w:tc>
        <w:tc>
          <w:tcPr>
            <w:tcW w:w="1467" w:type="dxa"/>
            <w:vAlign w:val="center"/>
          </w:tcPr>
          <w:p w14:paraId="0B6B080A">
            <w:pPr>
              <w:widowControl/>
              <w:jc w:val="center"/>
              <w:rPr>
                <w:rFonts w:ascii="宋体" w:hAnsi="宋体" w:cs="宋体"/>
                <w:color w:val="000000"/>
                <w:kern w:val="0"/>
                <w:sz w:val="20"/>
                <w:szCs w:val="20"/>
                <w:highlight w:val="none"/>
              </w:rPr>
            </w:pPr>
          </w:p>
        </w:tc>
        <w:tc>
          <w:tcPr>
            <w:tcW w:w="4275" w:type="dxa"/>
            <w:vAlign w:val="center"/>
          </w:tcPr>
          <w:p w14:paraId="53A5C27F">
            <w:pPr>
              <w:widowControl/>
              <w:jc w:val="lef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《普通照明用双端荧光灯能效限定值及能效等级》（GB19043）</w:t>
            </w:r>
          </w:p>
        </w:tc>
      </w:tr>
      <w:tr w14:paraId="16082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664" w:type="dxa"/>
            <w:vMerge w:val="continue"/>
            <w:vAlign w:val="center"/>
          </w:tcPr>
          <w:p w14:paraId="287631BB">
            <w:pPr>
              <w:widowControl/>
              <w:jc w:val="left"/>
              <w:rPr>
                <w:rFonts w:ascii="宋体" w:hAnsi="宋体" w:cs="宋体"/>
                <w:color w:val="000000"/>
                <w:kern w:val="0"/>
                <w:sz w:val="20"/>
                <w:szCs w:val="20"/>
                <w:highlight w:val="none"/>
              </w:rPr>
            </w:pPr>
          </w:p>
        </w:tc>
        <w:tc>
          <w:tcPr>
            <w:tcW w:w="1087" w:type="dxa"/>
            <w:vMerge w:val="continue"/>
            <w:vAlign w:val="center"/>
          </w:tcPr>
          <w:p w14:paraId="13EA4F9A">
            <w:pPr>
              <w:widowControl/>
              <w:jc w:val="left"/>
              <w:rPr>
                <w:rFonts w:ascii="宋体" w:hAnsi="宋体" w:cs="宋体"/>
                <w:color w:val="000000"/>
                <w:kern w:val="0"/>
                <w:sz w:val="20"/>
                <w:szCs w:val="20"/>
                <w:highlight w:val="none"/>
              </w:rPr>
            </w:pPr>
          </w:p>
        </w:tc>
        <w:tc>
          <w:tcPr>
            <w:tcW w:w="1328" w:type="dxa"/>
            <w:vAlign w:val="center"/>
          </w:tcPr>
          <w:p w14:paraId="42BB1067">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LED道路/隧道照明产品</w:t>
            </w:r>
          </w:p>
        </w:tc>
        <w:tc>
          <w:tcPr>
            <w:tcW w:w="1467" w:type="dxa"/>
            <w:vAlign w:val="center"/>
          </w:tcPr>
          <w:p w14:paraId="2BBE4C8E">
            <w:pPr>
              <w:widowControl/>
              <w:jc w:val="center"/>
              <w:rPr>
                <w:rFonts w:ascii="宋体" w:hAnsi="宋体" w:cs="宋体"/>
                <w:color w:val="000000"/>
                <w:kern w:val="0"/>
                <w:sz w:val="20"/>
                <w:szCs w:val="20"/>
                <w:highlight w:val="none"/>
              </w:rPr>
            </w:pPr>
          </w:p>
        </w:tc>
        <w:tc>
          <w:tcPr>
            <w:tcW w:w="4275" w:type="dxa"/>
            <w:vAlign w:val="center"/>
          </w:tcPr>
          <w:p w14:paraId="53F3A8A6">
            <w:pPr>
              <w:widowControl/>
              <w:jc w:val="lef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《道路和隧道照明用LED灯具能效限定值及能效等级》（GB37478）</w:t>
            </w:r>
          </w:p>
        </w:tc>
      </w:tr>
      <w:tr w14:paraId="1C776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664" w:type="dxa"/>
            <w:vMerge w:val="continue"/>
            <w:vAlign w:val="center"/>
          </w:tcPr>
          <w:p w14:paraId="4314DF36">
            <w:pPr>
              <w:widowControl/>
              <w:jc w:val="left"/>
              <w:rPr>
                <w:rFonts w:ascii="宋体" w:hAnsi="宋体" w:cs="宋体"/>
                <w:color w:val="000000"/>
                <w:kern w:val="0"/>
                <w:sz w:val="20"/>
                <w:szCs w:val="20"/>
                <w:highlight w:val="none"/>
              </w:rPr>
            </w:pPr>
          </w:p>
        </w:tc>
        <w:tc>
          <w:tcPr>
            <w:tcW w:w="1087" w:type="dxa"/>
            <w:vMerge w:val="continue"/>
            <w:vAlign w:val="center"/>
          </w:tcPr>
          <w:p w14:paraId="486A1D53">
            <w:pPr>
              <w:widowControl/>
              <w:jc w:val="left"/>
              <w:rPr>
                <w:rFonts w:ascii="宋体" w:hAnsi="宋体" w:cs="宋体"/>
                <w:color w:val="000000"/>
                <w:kern w:val="0"/>
                <w:sz w:val="20"/>
                <w:szCs w:val="20"/>
                <w:highlight w:val="none"/>
              </w:rPr>
            </w:pPr>
          </w:p>
        </w:tc>
        <w:tc>
          <w:tcPr>
            <w:tcW w:w="1328" w:type="dxa"/>
            <w:vAlign w:val="center"/>
          </w:tcPr>
          <w:p w14:paraId="2814E665">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LED筒灯</w:t>
            </w:r>
          </w:p>
        </w:tc>
        <w:tc>
          <w:tcPr>
            <w:tcW w:w="1467" w:type="dxa"/>
            <w:vAlign w:val="center"/>
          </w:tcPr>
          <w:p w14:paraId="0359C560">
            <w:pPr>
              <w:widowControl/>
              <w:jc w:val="center"/>
              <w:rPr>
                <w:rFonts w:ascii="宋体" w:hAnsi="宋体" w:cs="宋体"/>
                <w:color w:val="000000"/>
                <w:kern w:val="0"/>
                <w:sz w:val="20"/>
                <w:szCs w:val="20"/>
                <w:highlight w:val="none"/>
              </w:rPr>
            </w:pPr>
          </w:p>
        </w:tc>
        <w:tc>
          <w:tcPr>
            <w:tcW w:w="4275" w:type="dxa"/>
            <w:vAlign w:val="center"/>
          </w:tcPr>
          <w:p w14:paraId="31DA4294">
            <w:pPr>
              <w:widowControl/>
              <w:jc w:val="lef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《室内照明用LED产品能效限定值及能效等级》（GB30255）</w:t>
            </w:r>
          </w:p>
        </w:tc>
      </w:tr>
      <w:tr w14:paraId="73588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trPr>
        <w:tc>
          <w:tcPr>
            <w:tcW w:w="664" w:type="dxa"/>
            <w:vMerge w:val="continue"/>
            <w:vAlign w:val="center"/>
          </w:tcPr>
          <w:p w14:paraId="67630468">
            <w:pPr>
              <w:widowControl/>
              <w:jc w:val="left"/>
              <w:rPr>
                <w:rFonts w:ascii="宋体" w:hAnsi="宋体" w:cs="宋体"/>
                <w:color w:val="000000"/>
                <w:kern w:val="0"/>
                <w:sz w:val="20"/>
                <w:szCs w:val="20"/>
                <w:highlight w:val="none"/>
              </w:rPr>
            </w:pPr>
          </w:p>
        </w:tc>
        <w:tc>
          <w:tcPr>
            <w:tcW w:w="1087" w:type="dxa"/>
            <w:vMerge w:val="continue"/>
            <w:vAlign w:val="center"/>
          </w:tcPr>
          <w:p w14:paraId="13BDD6F3">
            <w:pPr>
              <w:widowControl/>
              <w:jc w:val="left"/>
              <w:rPr>
                <w:rFonts w:ascii="宋体" w:hAnsi="宋体" w:cs="宋体"/>
                <w:color w:val="000000"/>
                <w:kern w:val="0"/>
                <w:sz w:val="20"/>
                <w:szCs w:val="20"/>
                <w:highlight w:val="none"/>
              </w:rPr>
            </w:pPr>
          </w:p>
        </w:tc>
        <w:tc>
          <w:tcPr>
            <w:tcW w:w="1328" w:type="dxa"/>
            <w:vAlign w:val="center"/>
          </w:tcPr>
          <w:p w14:paraId="629B7182">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普通照明用非定向自镇流LED灯</w:t>
            </w:r>
          </w:p>
        </w:tc>
        <w:tc>
          <w:tcPr>
            <w:tcW w:w="1467" w:type="dxa"/>
            <w:vAlign w:val="center"/>
          </w:tcPr>
          <w:p w14:paraId="0F9C7830">
            <w:pPr>
              <w:widowControl/>
              <w:jc w:val="center"/>
              <w:rPr>
                <w:rFonts w:ascii="宋体" w:hAnsi="宋体" w:cs="宋体"/>
                <w:color w:val="000000"/>
                <w:kern w:val="0"/>
                <w:sz w:val="20"/>
                <w:szCs w:val="20"/>
                <w:highlight w:val="none"/>
              </w:rPr>
            </w:pPr>
          </w:p>
        </w:tc>
        <w:tc>
          <w:tcPr>
            <w:tcW w:w="4275" w:type="dxa"/>
            <w:vAlign w:val="center"/>
          </w:tcPr>
          <w:p w14:paraId="2979698D">
            <w:pPr>
              <w:widowControl/>
              <w:jc w:val="lef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《室内照明用LED产品能效限定值及能效等级》（GB30255）</w:t>
            </w:r>
          </w:p>
        </w:tc>
      </w:tr>
      <w:tr w14:paraId="418AE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trPr>
        <w:tc>
          <w:tcPr>
            <w:tcW w:w="664" w:type="dxa"/>
            <w:vAlign w:val="center"/>
          </w:tcPr>
          <w:p w14:paraId="42D3C700">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12</w:t>
            </w:r>
          </w:p>
        </w:tc>
        <w:tc>
          <w:tcPr>
            <w:tcW w:w="1087" w:type="dxa"/>
            <w:vAlign w:val="center"/>
          </w:tcPr>
          <w:p w14:paraId="6B0CB154">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★A020910电视设备</w:t>
            </w:r>
          </w:p>
        </w:tc>
        <w:tc>
          <w:tcPr>
            <w:tcW w:w="1328" w:type="dxa"/>
            <w:vAlign w:val="center"/>
          </w:tcPr>
          <w:p w14:paraId="13ECC9DB">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A02091001普通电视设备（电视机）</w:t>
            </w:r>
          </w:p>
        </w:tc>
        <w:tc>
          <w:tcPr>
            <w:tcW w:w="1467" w:type="dxa"/>
            <w:vAlign w:val="center"/>
          </w:tcPr>
          <w:p w14:paraId="0005C4AE">
            <w:pPr>
              <w:widowControl/>
              <w:jc w:val="center"/>
              <w:rPr>
                <w:rFonts w:ascii="宋体" w:hAnsi="宋体" w:cs="宋体"/>
                <w:color w:val="000000"/>
                <w:kern w:val="0"/>
                <w:sz w:val="20"/>
                <w:szCs w:val="20"/>
                <w:highlight w:val="none"/>
              </w:rPr>
            </w:pPr>
          </w:p>
        </w:tc>
        <w:tc>
          <w:tcPr>
            <w:tcW w:w="4275" w:type="dxa"/>
            <w:vAlign w:val="center"/>
          </w:tcPr>
          <w:p w14:paraId="765429E6">
            <w:pPr>
              <w:widowControl/>
              <w:jc w:val="lef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《平板电视能效限定值及能效等级》（GB24850）</w:t>
            </w:r>
          </w:p>
        </w:tc>
      </w:tr>
      <w:tr w14:paraId="46050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 w:hRule="atLeast"/>
        </w:trPr>
        <w:tc>
          <w:tcPr>
            <w:tcW w:w="664" w:type="dxa"/>
            <w:vAlign w:val="center"/>
          </w:tcPr>
          <w:p w14:paraId="4780E4F1">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13</w:t>
            </w:r>
          </w:p>
        </w:tc>
        <w:tc>
          <w:tcPr>
            <w:tcW w:w="1087" w:type="dxa"/>
            <w:vAlign w:val="center"/>
          </w:tcPr>
          <w:p w14:paraId="00CC9306">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★A020911视频设备</w:t>
            </w:r>
          </w:p>
        </w:tc>
        <w:tc>
          <w:tcPr>
            <w:tcW w:w="1328" w:type="dxa"/>
            <w:vAlign w:val="center"/>
          </w:tcPr>
          <w:p w14:paraId="5558ACEF">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A02091107视频监控设备</w:t>
            </w:r>
          </w:p>
        </w:tc>
        <w:tc>
          <w:tcPr>
            <w:tcW w:w="1467" w:type="dxa"/>
            <w:vAlign w:val="center"/>
          </w:tcPr>
          <w:p w14:paraId="4F8DAA5D">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监视器</w:t>
            </w:r>
          </w:p>
        </w:tc>
        <w:tc>
          <w:tcPr>
            <w:tcW w:w="4275" w:type="dxa"/>
            <w:vAlign w:val="center"/>
          </w:tcPr>
          <w:p w14:paraId="16C33678">
            <w:pPr>
              <w:widowControl/>
              <w:jc w:val="lef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以射频信号为主要信号输入的监视器应符合《平板电视能效限定值及能效等级》（GB24850），以数字信号为主要信号输入的监视器应符合《计算机显示器能效限定值及能效等级》（GB21520）</w:t>
            </w:r>
          </w:p>
        </w:tc>
      </w:tr>
      <w:tr w14:paraId="20F76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664" w:type="dxa"/>
            <w:vAlign w:val="center"/>
          </w:tcPr>
          <w:p w14:paraId="32EC7D2D">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14</w:t>
            </w:r>
          </w:p>
        </w:tc>
        <w:tc>
          <w:tcPr>
            <w:tcW w:w="1087" w:type="dxa"/>
            <w:vAlign w:val="center"/>
          </w:tcPr>
          <w:p w14:paraId="79D7EDA4">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A031210饮食炊事机械</w:t>
            </w:r>
          </w:p>
        </w:tc>
        <w:tc>
          <w:tcPr>
            <w:tcW w:w="1328" w:type="dxa"/>
            <w:vAlign w:val="center"/>
          </w:tcPr>
          <w:p w14:paraId="3E49099D">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商用燃气灶具</w:t>
            </w:r>
          </w:p>
        </w:tc>
        <w:tc>
          <w:tcPr>
            <w:tcW w:w="1467" w:type="dxa"/>
            <w:vAlign w:val="center"/>
          </w:tcPr>
          <w:p w14:paraId="09DFBE4A">
            <w:pPr>
              <w:widowControl/>
              <w:jc w:val="center"/>
              <w:rPr>
                <w:rFonts w:ascii="宋体" w:hAnsi="宋体" w:cs="宋体"/>
                <w:color w:val="000000"/>
                <w:kern w:val="0"/>
                <w:sz w:val="20"/>
                <w:szCs w:val="20"/>
                <w:highlight w:val="none"/>
              </w:rPr>
            </w:pPr>
          </w:p>
        </w:tc>
        <w:tc>
          <w:tcPr>
            <w:tcW w:w="4275" w:type="dxa"/>
            <w:vAlign w:val="center"/>
          </w:tcPr>
          <w:p w14:paraId="1C7FA6B2">
            <w:pPr>
              <w:widowControl/>
              <w:jc w:val="lef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《商用燃气灶具能效限定值及能效等级》（GB30531）</w:t>
            </w:r>
          </w:p>
        </w:tc>
      </w:tr>
      <w:tr w14:paraId="229CB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664" w:type="dxa"/>
            <w:vMerge w:val="restart"/>
            <w:vAlign w:val="center"/>
          </w:tcPr>
          <w:p w14:paraId="7FB846CC">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15</w:t>
            </w:r>
          </w:p>
        </w:tc>
        <w:tc>
          <w:tcPr>
            <w:tcW w:w="1087" w:type="dxa"/>
            <w:vMerge w:val="restart"/>
            <w:vAlign w:val="center"/>
          </w:tcPr>
          <w:p w14:paraId="315FF8AC">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★A060805便器</w:t>
            </w:r>
          </w:p>
        </w:tc>
        <w:tc>
          <w:tcPr>
            <w:tcW w:w="1328" w:type="dxa"/>
            <w:vAlign w:val="center"/>
          </w:tcPr>
          <w:p w14:paraId="2AC533B3">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坐便器</w:t>
            </w:r>
          </w:p>
        </w:tc>
        <w:tc>
          <w:tcPr>
            <w:tcW w:w="1467" w:type="dxa"/>
            <w:vAlign w:val="center"/>
          </w:tcPr>
          <w:p w14:paraId="77406B2E">
            <w:pPr>
              <w:widowControl/>
              <w:jc w:val="center"/>
              <w:rPr>
                <w:rFonts w:ascii="宋体" w:hAnsi="宋体" w:cs="宋体"/>
                <w:color w:val="000000"/>
                <w:kern w:val="0"/>
                <w:sz w:val="20"/>
                <w:szCs w:val="20"/>
                <w:highlight w:val="none"/>
              </w:rPr>
            </w:pPr>
          </w:p>
        </w:tc>
        <w:tc>
          <w:tcPr>
            <w:tcW w:w="4275" w:type="dxa"/>
            <w:vAlign w:val="center"/>
          </w:tcPr>
          <w:p w14:paraId="32D9627C">
            <w:pPr>
              <w:widowControl/>
              <w:jc w:val="lef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《坐便器水效限定值及水效等级》（GB25502）</w:t>
            </w:r>
          </w:p>
        </w:tc>
      </w:tr>
      <w:tr w14:paraId="71CE8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664" w:type="dxa"/>
            <w:vMerge w:val="continue"/>
            <w:vAlign w:val="center"/>
          </w:tcPr>
          <w:p w14:paraId="53200C16">
            <w:pPr>
              <w:widowControl/>
              <w:jc w:val="left"/>
              <w:rPr>
                <w:rFonts w:ascii="宋体" w:hAnsi="宋体" w:cs="宋体"/>
                <w:color w:val="000000"/>
                <w:kern w:val="0"/>
                <w:sz w:val="20"/>
                <w:szCs w:val="20"/>
                <w:highlight w:val="none"/>
              </w:rPr>
            </w:pPr>
          </w:p>
        </w:tc>
        <w:tc>
          <w:tcPr>
            <w:tcW w:w="1087" w:type="dxa"/>
            <w:vMerge w:val="continue"/>
            <w:vAlign w:val="center"/>
          </w:tcPr>
          <w:p w14:paraId="1BF136C5">
            <w:pPr>
              <w:widowControl/>
              <w:jc w:val="left"/>
              <w:rPr>
                <w:rFonts w:ascii="宋体" w:hAnsi="宋体" w:cs="宋体"/>
                <w:color w:val="000000"/>
                <w:kern w:val="0"/>
                <w:sz w:val="20"/>
                <w:szCs w:val="20"/>
                <w:highlight w:val="none"/>
              </w:rPr>
            </w:pPr>
          </w:p>
        </w:tc>
        <w:tc>
          <w:tcPr>
            <w:tcW w:w="1328" w:type="dxa"/>
            <w:vAlign w:val="center"/>
          </w:tcPr>
          <w:p w14:paraId="22A5F611">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蹲便器</w:t>
            </w:r>
          </w:p>
        </w:tc>
        <w:tc>
          <w:tcPr>
            <w:tcW w:w="1467" w:type="dxa"/>
            <w:vAlign w:val="center"/>
          </w:tcPr>
          <w:p w14:paraId="17C24BD9">
            <w:pPr>
              <w:widowControl/>
              <w:jc w:val="center"/>
              <w:rPr>
                <w:rFonts w:ascii="宋体" w:hAnsi="宋体" w:cs="宋体"/>
                <w:color w:val="000000"/>
                <w:kern w:val="0"/>
                <w:sz w:val="20"/>
                <w:szCs w:val="20"/>
                <w:highlight w:val="none"/>
              </w:rPr>
            </w:pPr>
          </w:p>
        </w:tc>
        <w:tc>
          <w:tcPr>
            <w:tcW w:w="4275" w:type="dxa"/>
            <w:vAlign w:val="center"/>
          </w:tcPr>
          <w:p w14:paraId="12E8BDFC">
            <w:pPr>
              <w:widowControl/>
              <w:jc w:val="lef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《蹲便器用水效率限定值及用水效率等级》（GB30717）</w:t>
            </w:r>
          </w:p>
        </w:tc>
      </w:tr>
      <w:tr w14:paraId="26EAA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664" w:type="dxa"/>
            <w:vMerge w:val="continue"/>
            <w:vAlign w:val="center"/>
          </w:tcPr>
          <w:p w14:paraId="54BF3E72">
            <w:pPr>
              <w:widowControl/>
              <w:jc w:val="left"/>
              <w:rPr>
                <w:rFonts w:ascii="宋体" w:hAnsi="宋体" w:cs="宋体"/>
                <w:color w:val="000000"/>
                <w:kern w:val="0"/>
                <w:sz w:val="20"/>
                <w:szCs w:val="20"/>
                <w:highlight w:val="none"/>
              </w:rPr>
            </w:pPr>
          </w:p>
        </w:tc>
        <w:tc>
          <w:tcPr>
            <w:tcW w:w="1087" w:type="dxa"/>
            <w:vMerge w:val="continue"/>
            <w:vAlign w:val="center"/>
          </w:tcPr>
          <w:p w14:paraId="54C4BF99">
            <w:pPr>
              <w:widowControl/>
              <w:jc w:val="left"/>
              <w:rPr>
                <w:rFonts w:ascii="宋体" w:hAnsi="宋体" w:cs="宋体"/>
                <w:color w:val="000000"/>
                <w:kern w:val="0"/>
                <w:sz w:val="20"/>
                <w:szCs w:val="20"/>
                <w:highlight w:val="none"/>
              </w:rPr>
            </w:pPr>
          </w:p>
        </w:tc>
        <w:tc>
          <w:tcPr>
            <w:tcW w:w="1328" w:type="dxa"/>
            <w:vAlign w:val="center"/>
          </w:tcPr>
          <w:p w14:paraId="2AB81350">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小便器</w:t>
            </w:r>
          </w:p>
        </w:tc>
        <w:tc>
          <w:tcPr>
            <w:tcW w:w="1467" w:type="dxa"/>
            <w:vAlign w:val="center"/>
          </w:tcPr>
          <w:p w14:paraId="3CD25F53">
            <w:pPr>
              <w:widowControl/>
              <w:jc w:val="center"/>
              <w:rPr>
                <w:rFonts w:ascii="宋体" w:hAnsi="宋体" w:cs="宋体"/>
                <w:color w:val="000000"/>
                <w:kern w:val="0"/>
                <w:sz w:val="20"/>
                <w:szCs w:val="20"/>
                <w:highlight w:val="none"/>
              </w:rPr>
            </w:pPr>
          </w:p>
        </w:tc>
        <w:tc>
          <w:tcPr>
            <w:tcW w:w="4275" w:type="dxa"/>
            <w:vAlign w:val="center"/>
          </w:tcPr>
          <w:p w14:paraId="76E7270B">
            <w:pPr>
              <w:widowControl/>
              <w:jc w:val="lef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《小便器用水效率限定值及用水效率等级》（GB28377）</w:t>
            </w:r>
          </w:p>
        </w:tc>
      </w:tr>
      <w:tr w14:paraId="604C3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664" w:type="dxa"/>
            <w:vAlign w:val="center"/>
          </w:tcPr>
          <w:p w14:paraId="4B43DDBC">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16</w:t>
            </w:r>
          </w:p>
        </w:tc>
        <w:tc>
          <w:tcPr>
            <w:tcW w:w="1087" w:type="dxa"/>
            <w:vAlign w:val="center"/>
          </w:tcPr>
          <w:p w14:paraId="44F023E8">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★A060806水嘴</w:t>
            </w:r>
          </w:p>
        </w:tc>
        <w:tc>
          <w:tcPr>
            <w:tcW w:w="1328" w:type="dxa"/>
            <w:vAlign w:val="center"/>
          </w:tcPr>
          <w:p w14:paraId="76050F71">
            <w:pPr>
              <w:widowControl/>
              <w:jc w:val="center"/>
              <w:rPr>
                <w:rFonts w:ascii="宋体" w:hAnsi="宋体" w:cs="宋体"/>
                <w:color w:val="000000"/>
                <w:kern w:val="0"/>
                <w:sz w:val="20"/>
                <w:szCs w:val="20"/>
                <w:highlight w:val="none"/>
              </w:rPr>
            </w:pPr>
          </w:p>
        </w:tc>
        <w:tc>
          <w:tcPr>
            <w:tcW w:w="1467" w:type="dxa"/>
            <w:vAlign w:val="center"/>
          </w:tcPr>
          <w:p w14:paraId="7CAC0116">
            <w:pPr>
              <w:widowControl/>
              <w:jc w:val="center"/>
              <w:rPr>
                <w:rFonts w:ascii="宋体" w:hAnsi="宋体" w:cs="宋体"/>
                <w:color w:val="000000"/>
                <w:kern w:val="0"/>
                <w:sz w:val="20"/>
                <w:szCs w:val="20"/>
                <w:highlight w:val="none"/>
              </w:rPr>
            </w:pPr>
          </w:p>
        </w:tc>
        <w:tc>
          <w:tcPr>
            <w:tcW w:w="4275" w:type="dxa"/>
            <w:vAlign w:val="center"/>
          </w:tcPr>
          <w:p w14:paraId="4462A07B">
            <w:pPr>
              <w:widowControl/>
              <w:jc w:val="lef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《水嘴用水效率限定值及用水效率等级》（GB 25501）</w:t>
            </w:r>
          </w:p>
        </w:tc>
      </w:tr>
      <w:tr w14:paraId="7B61D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664" w:type="dxa"/>
            <w:vAlign w:val="center"/>
          </w:tcPr>
          <w:p w14:paraId="02FCCDD7">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17</w:t>
            </w:r>
          </w:p>
        </w:tc>
        <w:tc>
          <w:tcPr>
            <w:tcW w:w="1087" w:type="dxa"/>
            <w:vAlign w:val="center"/>
          </w:tcPr>
          <w:p w14:paraId="124EB520">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A060807便器冲洗阀</w:t>
            </w:r>
          </w:p>
        </w:tc>
        <w:tc>
          <w:tcPr>
            <w:tcW w:w="1328" w:type="dxa"/>
            <w:vAlign w:val="center"/>
          </w:tcPr>
          <w:p w14:paraId="732E19A3">
            <w:pPr>
              <w:widowControl/>
              <w:jc w:val="center"/>
              <w:rPr>
                <w:rFonts w:ascii="宋体" w:hAnsi="宋体" w:cs="宋体"/>
                <w:color w:val="000000"/>
                <w:kern w:val="0"/>
                <w:sz w:val="20"/>
                <w:szCs w:val="20"/>
                <w:highlight w:val="none"/>
              </w:rPr>
            </w:pPr>
          </w:p>
        </w:tc>
        <w:tc>
          <w:tcPr>
            <w:tcW w:w="1467" w:type="dxa"/>
            <w:vAlign w:val="center"/>
          </w:tcPr>
          <w:p w14:paraId="1C8FCE5F">
            <w:pPr>
              <w:widowControl/>
              <w:jc w:val="center"/>
              <w:rPr>
                <w:rFonts w:ascii="宋体" w:hAnsi="宋体" w:cs="宋体"/>
                <w:color w:val="000000"/>
                <w:kern w:val="0"/>
                <w:sz w:val="20"/>
                <w:szCs w:val="20"/>
                <w:highlight w:val="none"/>
              </w:rPr>
            </w:pPr>
          </w:p>
        </w:tc>
        <w:tc>
          <w:tcPr>
            <w:tcW w:w="4275" w:type="dxa"/>
            <w:vAlign w:val="center"/>
          </w:tcPr>
          <w:p w14:paraId="5411FF03">
            <w:pPr>
              <w:widowControl/>
              <w:jc w:val="lef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《便器冲洗阀用水效率限定值及用水效率等级》（GB28379）</w:t>
            </w:r>
          </w:p>
        </w:tc>
      </w:tr>
      <w:tr w14:paraId="6FD8C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664" w:type="dxa"/>
            <w:vAlign w:val="center"/>
          </w:tcPr>
          <w:p w14:paraId="61AEC25E">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18</w:t>
            </w:r>
          </w:p>
        </w:tc>
        <w:tc>
          <w:tcPr>
            <w:tcW w:w="1087" w:type="dxa"/>
            <w:vAlign w:val="center"/>
          </w:tcPr>
          <w:p w14:paraId="6E9A847C">
            <w:pPr>
              <w:widowControl/>
              <w:jc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A060810淋浴器</w:t>
            </w:r>
          </w:p>
        </w:tc>
        <w:tc>
          <w:tcPr>
            <w:tcW w:w="1328" w:type="dxa"/>
            <w:vAlign w:val="center"/>
          </w:tcPr>
          <w:p w14:paraId="307DF0D4">
            <w:pPr>
              <w:widowControl/>
              <w:jc w:val="center"/>
              <w:rPr>
                <w:rFonts w:ascii="宋体" w:hAnsi="宋体" w:cs="宋体"/>
                <w:color w:val="000000"/>
                <w:kern w:val="0"/>
                <w:sz w:val="20"/>
                <w:szCs w:val="20"/>
                <w:highlight w:val="none"/>
              </w:rPr>
            </w:pPr>
          </w:p>
        </w:tc>
        <w:tc>
          <w:tcPr>
            <w:tcW w:w="1467" w:type="dxa"/>
            <w:vAlign w:val="center"/>
          </w:tcPr>
          <w:p w14:paraId="6F7ECC07">
            <w:pPr>
              <w:widowControl/>
              <w:jc w:val="center"/>
              <w:rPr>
                <w:rFonts w:ascii="宋体" w:hAnsi="宋体" w:cs="宋体"/>
                <w:color w:val="000000"/>
                <w:kern w:val="0"/>
                <w:sz w:val="20"/>
                <w:szCs w:val="20"/>
                <w:highlight w:val="none"/>
              </w:rPr>
            </w:pPr>
          </w:p>
        </w:tc>
        <w:tc>
          <w:tcPr>
            <w:tcW w:w="4275" w:type="dxa"/>
            <w:vAlign w:val="center"/>
          </w:tcPr>
          <w:p w14:paraId="453720C2">
            <w:pPr>
              <w:widowControl/>
              <w:jc w:val="lef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《淋浴器用水效率限定值及用水效率等级》（GB28378）</w:t>
            </w:r>
          </w:p>
        </w:tc>
      </w:tr>
    </w:tbl>
    <w:p w14:paraId="3A393E31">
      <w:pPr>
        <w:widowControl/>
        <w:rPr>
          <w:rFonts w:ascii="宋体" w:hAnsi="宋体" w:cs="宋体"/>
          <w:color w:val="000000"/>
          <w:sz w:val="20"/>
          <w:szCs w:val="20"/>
          <w:highlight w:val="none"/>
        </w:rPr>
      </w:pPr>
    </w:p>
    <w:p w14:paraId="2D6DA898">
      <w:pPr>
        <w:spacing w:after="120"/>
        <w:ind w:firstLine="408"/>
        <w:rPr>
          <w:rFonts w:ascii="宋体" w:hAnsi="宋体"/>
          <w:color w:val="000000"/>
          <w:szCs w:val="21"/>
          <w:highlight w:val="none"/>
        </w:rPr>
      </w:pPr>
      <w:r>
        <w:rPr>
          <w:rFonts w:hint="eastAsia"/>
          <w:color w:val="000000"/>
          <w:spacing w:val="-3"/>
          <w:szCs w:val="21"/>
          <w:highlight w:val="none"/>
        </w:rPr>
        <w:t>注：</w:t>
      </w:r>
      <w:r>
        <w:rPr>
          <w:color w:val="000000"/>
          <w:spacing w:val="-3"/>
          <w:szCs w:val="21"/>
          <w:highlight w:val="none"/>
        </w:rPr>
        <w:t>1.</w:t>
      </w:r>
      <w:r>
        <w:rPr>
          <w:rFonts w:hint="eastAsia"/>
          <w:color w:val="000000"/>
          <w:spacing w:val="-3"/>
          <w:szCs w:val="21"/>
          <w:highlight w:val="none"/>
        </w:rPr>
        <w:t>节能产品认证应依据相关国家标准的最新版本，依据国家标准中二级能效（水效）</w:t>
      </w:r>
      <w:r>
        <w:rPr>
          <w:rFonts w:hint="eastAsia"/>
          <w:color w:val="000000"/>
          <w:szCs w:val="21"/>
          <w:highlight w:val="none"/>
        </w:rPr>
        <w:t>指标。</w:t>
      </w:r>
    </w:p>
    <w:p w14:paraId="4E584991">
      <w:pPr>
        <w:spacing w:after="120"/>
        <w:rPr>
          <w:b/>
          <w:bCs/>
          <w:color w:val="000000"/>
          <w:szCs w:val="21"/>
          <w:highlight w:val="none"/>
        </w:rPr>
      </w:pPr>
      <w:r>
        <w:rPr>
          <w:rFonts w:hint="eastAsia" w:ascii="宋体" w:hAnsi="宋体"/>
          <w:color w:val="000000"/>
          <w:szCs w:val="21"/>
          <w:highlight w:val="none"/>
        </w:rPr>
        <w:t xml:space="preserve">    </w:t>
      </w:r>
      <w:r>
        <w:rPr>
          <w:color w:val="000000"/>
          <w:szCs w:val="21"/>
          <w:highlight w:val="none"/>
        </w:rPr>
        <w:t>2</w:t>
      </w:r>
      <w:r>
        <w:rPr>
          <w:b/>
          <w:bCs/>
          <w:color w:val="000000"/>
          <w:szCs w:val="21"/>
          <w:highlight w:val="none"/>
        </w:rPr>
        <w:t>.</w:t>
      </w:r>
      <w:r>
        <w:rPr>
          <w:rFonts w:hint="eastAsia"/>
          <w:b/>
          <w:bCs/>
          <w:color w:val="000000"/>
          <w:szCs w:val="21"/>
          <w:highlight w:val="none"/>
        </w:rPr>
        <w:t>以</w:t>
      </w:r>
      <w:r>
        <w:rPr>
          <w:b/>
          <w:bCs/>
          <w:color w:val="000000"/>
          <w:szCs w:val="21"/>
          <w:highlight w:val="none"/>
        </w:rPr>
        <w:t>“</w:t>
      </w:r>
      <w:r>
        <w:rPr>
          <w:rFonts w:hint="eastAsia"/>
          <w:b/>
          <w:bCs/>
          <w:color w:val="000000"/>
          <w:szCs w:val="21"/>
          <w:highlight w:val="none"/>
        </w:rPr>
        <w:t>★</w:t>
      </w:r>
      <w:r>
        <w:rPr>
          <w:b/>
          <w:bCs/>
          <w:color w:val="000000"/>
          <w:szCs w:val="21"/>
          <w:highlight w:val="none"/>
        </w:rPr>
        <w:t>”</w:t>
      </w:r>
      <w:r>
        <w:rPr>
          <w:rFonts w:hint="eastAsia"/>
          <w:b/>
          <w:bCs/>
          <w:color w:val="000000"/>
          <w:szCs w:val="21"/>
          <w:highlight w:val="none"/>
        </w:rPr>
        <w:t>标注的为政府强制采购产品。</w:t>
      </w:r>
    </w:p>
    <w:p w14:paraId="27EE2CF7">
      <w:pPr>
        <w:widowControl/>
        <w:jc w:val="left"/>
        <w:rPr>
          <w:highlight w:val="none"/>
        </w:rPr>
      </w:pPr>
      <w:r>
        <w:rPr>
          <w:highlight w:val="none"/>
        </w:rPr>
        <w:br w:type="page"/>
      </w:r>
    </w:p>
    <w:p w14:paraId="29DFFF21">
      <w:pPr>
        <w:spacing w:line="500" w:lineRule="exact"/>
        <w:jc w:val="center"/>
        <w:rPr>
          <w:rFonts w:ascii="宋体"/>
          <w:b/>
          <w:sz w:val="32"/>
          <w:szCs w:val="32"/>
          <w:highlight w:val="none"/>
        </w:rPr>
      </w:pPr>
      <w:bookmarkStart w:id="10" w:name="_Toc74322011"/>
      <w:r>
        <w:rPr>
          <w:rFonts w:hint="eastAsia"/>
          <w:b/>
          <w:sz w:val="32"/>
          <w:szCs w:val="32"/>
          <w:highlight w:val="none"/>
        </w:rPr>
        <w:t xml:space="preserve">第四章  </w:t>
      </w:r>
      <w:bookmarkStart w:id="11" w:name="_Hlk68601507"/>
      <w:r>
        <w:rPr>
          <w:rFonts w:hint="eastAsia"/>
          <w:b/>
          <w:sz w:val="32"/>
          <w:szCs w:val="32"/>
          <w:highlight w:val="none"/>
        </w:rPr>
        <w:t>评审程序和评定成交的标准</w:t>
      </w:r>
      <w:bookmarkEnd w:id="10"/>
      <w:bookmarkEnd w:id="11"/>
    </w:p>
    <w:p w14:paraId="4BD85829">
      <w:pPr>
        <w:spacing w:line="400" w:lineRule="exact"/>
        <w:ind w:firstLine="422" w:firstLineChars="200"/>
        <w:rPr>
          <w:rFonts w:ascii="宋体" w:hAnsi="宋体"/>
          <w:b/>
          <w:bCs/>
          <w:szCs w:val="21"/>
          <w:highlight w:val="none"/>
        </w:rPr>
      </w:pPr>
    </w:p>
    <w:p w14:paraId="245AE1CF">
      <w:pPr>
        <w:keepNext w:val="0"/>
        <w:keepLines w:val="0"/>
        <w:pageBreakBefore w:val="0"/>
        <w:widowControl w:val="0"/>
        <w:kinsoku/>
        <w:wordWrap/>
        <w:overflowPunct/>
        <w:topLinePunct w:val="0"/>
        <w:autoSpaceDE/>
        <w:autoSpaceDN/>
        <w:bidi w:val="0"/>
        <w:adjustRightInd/>
        <w:spacing w:line="440" w:lineRule="exact"/>
        <w:ind w:firstLine="562" w:firstLineChars="200"/>
        <w:jc w:val="center"/>
        <w:textAlignment w:val="auto"/>
        <w:rPr>
          <w:rFonts w:ascii="宋体" w:hAnsi="宋体"/>
          <w:b/>
          <w:bCs/>
          <w:sz w:val="28"/>
          <w:szCs w:val="28"/>
          <w:highlight w:val="none"/>
        </w:rPr>
      </w:pPr>
      <w:r>
        <w:rPr>
          <w:rFonts w:hint="eastAsia" w:ascii="宋体" w:hAnsi="宋体"/>
          <w:b/>
          <w:sz w:val="28"/>
          <w:szCs w:val="28"/>
          <w:highlight w:val="none"/>
        </w:rPr>
        <w:t>一、评审程序</w:t>
      </w:r>
    </w:p>
    <w:p w14:paraId="10FF861B">
      <w:pPr>
        <w:keepNext w:val="0"/>
        <w:keepLines w:val="0"/>
        <w:pageBreakBefore w:val="0"/>
        <w:widowControl w:val="0"/>
        <w:kinsoku/>
        <w:wordWrap/>
        <w:overflowPunct/>
        <w:topLinePunct w:val="0"/>
        <w:autoSpaceDE/>
        <w:autoSpaceDN/>
        <w:bidi w:val="0"/>
        <w:adjustRightInd/>
        <w:spacing w:line="440" w:lineRule="exact"/>
        <w:ind w:firstLine="482" w:firstLineChars="200"/>
        <w:textAlignment w:val="auto"/>
        <w:rPr>
          <w:rFonts w:ascii="黑体" w:hAnsi="黑体" w:eastAsia="黑体" w:cs="宋体"/>
          <w:b/>
          <w:bCs/>
          <w:sz w:val="24"/>
          <w:highlight w:val="none"/>
        </w:rPr>
      </w:pPr>
      <w:r>
        <w:rPr>
          <w:rFonts w:ascii="黑体" w:hAnsi="黑体" w:eastAsia="黑体" w:cs="宋体"/>
          <w:b/>
          <w:bCs/>
          <w:sz w:val="24"/>
          <w:highlight w:val="none"/>
        </w:rPr>
        <w:t>1</w:t>
      </w:r>
      <w:r>
        <w:rPr>
          <w:rFonts w:hint="eastAsia" w:ascii="黑体" w:hAnsi="黑体" w:eastAsia="黑体" w:cs="宋体"/>
          <w:b/>
          <w:bCs/>
          <w:sz w:val="24"/>
          <w:highlight w:val="none"/>
        </w:rPr>
        <w:t>.确认谈判文件</w:t>
      </w:r>
    </w:p>
    <w:p w14:paraId="5B786016">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hint="eastAsia" w:ascii="宋体" w:hAnsi="宋体" w:cs="宋体"/>
          <w:szCs w:val="21"/>
          <w:highlight w:val="none"/>
        </w:rPr>
        <w:t>由谈判小组确认谈判文件。</w:t>
      </w:r>
    </w:p>
    <w:p w14:paraId="0D9B12D6">
      <w:pPr>
        <w:keepNext w:val="0"/>
        <w:keepLines w:val="0"/>
        <w:pageBreakBefore w:val="0"/>
        <w:widowControl w:val="0"/>
        <w:kinsoku/>
        <w:wordWrap/>
        <w:overflowPunct/>
        <w:topLinePunct w:val="0"/>
        <w:autoSpaceDE/>
        <w:autoSpaceDN/>
        <w:bidi w:val="0"/>
        <w:adjustRightInd/>
        <w:spacing w:line="440" w:lineRule="exact"/>
        <w:ind w:firstLine="482" w:firstLineChars="200"/>
        <w:textAlignment w:val="auto"/>
        <w:rPr>
          <w:rFonts w:ascii="黑体" w:hAnsi="黑体" w:eastAsia="黑体" w:cs="宋体"/>
          <w:b/>
          <w:bCs/>
          <w:sz w:val="24"/>
          <w:highlight w:val="none"/>
        </w:rPr>
      </w:pPr>
      <w:r>
        <w:rPr>
          <w:rFonts w:ascii="黑体" w:hAnsi="黑体" w:eastAsia="黑体" w:cs="宋体"/>
          <w:b/>
          <w:bCs/>
          <w:sz w:val="24"/>
          <w:highlight w:val="none"/>
        </w:rPr>
        <w:t>2</w:t>
      </w:r>
      <w:r>
        <w:rPr>
          <w:rFonts w:hint="eastAsia" w:ascii="黑体" w:hAnsi="黑体" w:eastAsia="黑体" w:cs="宋体"/>
          <w:b/>
          <w:bCs/>
          <w:sz w:val="24"/>
          <w:highlight w:val="none"/>
        </w:rPr>
        <w:t>.资格审查</w:t>
      </w:r>
    </w:p>
    <w:p w14:paraId="749F3F10">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textAlignment w:val="auto"/>
        <w:rPr>
          <w:rFonts w:ascii="宋体" w:hAnsi="宋体" w:cs="宋体"/>
          <w:szCs w:val="21"/>
          <w:highlight w:val="none"/>
        </w:rPr>
      </w:pPr>
      <w:r>
        <w:rPr>
          <w:rFonts w:ascii="宋体" w:hAnsi="宋体" w:cs="宋体"/>
          <w:szCs w:val="21"/>
          <w:highlight w:val="none"/>
        </w:rPr>
        <w:t>2</w:t>
      </w:r>
      <w:r>
        <w:rPr>
          <w:rFonts w:hint="eastAsia" w:ascii="宋体" w:hAnsi="宋体" w:cs="宋体"/>
          <w:szCs w:val="21"/>
          <w:highlight w:val="none"/>
        </w:rPr>
        <w:t>.1响应文件开启后，谈判小组依法对供应商的资格证明文件进行审查。</w:t>
      </w:r>
    </w:p>
    <w:p w14:paraId="2361531A">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textAlignment w:val="auto"/>
        <w:rPr>
          <w:rFonts w:ascii="宋体" w:hAnsi="宋体" w:cs="宋体"/>
          <w:szCs w:val="21"/>
          <w:highlight w:val="none"/>
        </w:rPr>
      </w:pPr>
      <w:r>
        <w:rPr>
          <w:rFonts w:hint="eastAsia" w:ascii="宋体" w:hAnsi="宋体" w:cs="宋体"/>
          <w:szCs w:val="21"/>
          <w:highlight w:val="none"/>
        </w:rPr>
        <w:t>（1）查询渠道：</w:t>
      </w:r>
      <w:r>
        <w:rPr>
          <w:rFonts w:ascii="宋体" w:hAnsi="宋体" w:cs="宋体"/>
          <w:szCs w:val="21"/>
          <w:highlight w:val="none"/>
        </w:rPr>
        <w:t>“信用中国”网站（www.creditchina.gov.cn）、中国政府采购网（</w:t>
      </w:r>
      <w:r>
        <w:rPr>
          <w:highlight w:val="none"/>
        </w:rPr>
        <w:fldChar w:fldCharType="begin"/>
      </w:r>
      <w:r>
        <w:rPr>
          <w:highlight w:val="none"/>
        </w:rPr>
        <w:instrText xml:space="preserve"> HYPERLINK "http://www.ccgp.gov.cn" </w:instrText>
      </w:r>
      <w:r>
        <w:rPr>
          <w:highlight w:val="none"/>
        </w:rPr>
        <w:fldChar w:fldCharType="separate"/>
      </w:r>
      <w:r>
        <w:rPr>
          <w:rFonts w:cs="宋体"/>
          <w:highlight w:val="none"/>
        </w:rPr>
        <w:t>www.ccgp.gov.cn</w:t>
      </w:r>
      <w:r>
        <w:rPr>
          <w:rFonts w:cs="宋体"/>
          <w:highlight w:val="none"/>
        </w:rPr>
        <w:fldChar w:fldCharType="end"/>
      </w:r>
      <w:r>
        <w:rPr>
          <w:rFonts w:ascii="宋体" w:hAnsi="宋体" w:cs="宋体"/>
          <w:szCs w:val="21"/>
          <w:highlight w:val="none"/>
        </w:rPr>
        <w:t>）</w:t>
      </w:r>
      <w:r>
        <w:rPr>
          <w:rFonts w:hint="eastAsia" w:ascii="宋体" w:hAnsi="宋体" w:cs="宋体"/>
          <w:szCs w:val="21"/>
          <w:highlight w:val="none"/>
        </w:rPr>
        <w:t xml:space="preserve"> </w:t>
      </w:r>
    </w:p>
    <w:p w14:paraId="51BB8951">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textAlignment w:val="auto"/>
        <w:rPr>
          <w:rFonts w:ascii="宋体" w:hAnsi="宋体" w:cs="宋体"/>
          <w:szCs w:val="21"/>
          <w:highlight w:val="none"/>
        </w:rPr>
      </w:pPr>
      <w:r>
        <w:rPr>
          <w:rFonts w:hint="eastAsia" w:ascii="宋体" w:hAnsi="宋体" w:cs="宋体"/>
          <w:szCs w:val="21"/>
          <w:highlight w:val="none"/>
        </w:rPr>
        <w:t>（2）信用查询截止时点：</w:t>
      </w:r>
      <w:r>
        <w:rPr>
          <w:rFonts w:ascii="宋体" w:hAnsi="宋体" w:cs="宋体"/>
          <w:szCs w:val="21"/>
          <w:highlight w:val="none"/>
        </w:rPr>
        <w:t>资格审查结束前</w:t>
      </w:r>
    </w:p>
    <w:p w14:paraId="193E7331">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jc w:val="left"/>
        <w:textAlignment w:val="auto"/>
        <w:rPr>
          <w:rFonts w:ascii="宋体" w:hAnsi="宋体" w:cs="宋体"/>
          <w:szCs w:val="21"/>
          <w:highlight w:val="none"/>
        </w:rPr>
      </w:pPr>
      <w:r>
        <w:rPr>
          <w:rFonts w:hint="eastAsia" w:ascii="宋体" w:hAnsi="宋体" w:cs="宋体"/>
          <w:szCs w:val="21"/>
          <w:highlight w:val="none"/>
        </w:rPr>
        <w:t>（3）查询记录和证据留存方式：将查询网站中的查询记录截图并作为评审资料保存。</w:t>
      </w:r>
    </w:p>
    <w:p w14:paraId="253E0DEA">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jc w:val="left"/>
        <w:textAlignment w:val="auto"/>
        <w:rPr>
          <w:rFonts w:ascii="宋体" w:hAnsi="宋体" w:cs="宋体"/>
          <w:szCs w:val="21"/>
          <w:highlight w:val="none"/>
        </w:rPr>
      </w:pPr>
      <w:r>
        <w:rPr>
          <w:rFonts w:hint="eastAsia" w:ascii="宋体" w:hAnsi="宋体" w:cs="宋体"/>
          <w:szCs w:val="21"/>
          <w:highlight w:val="none"/>
        </w:rPr>
        <w:t>（4）信用信息使用规则：信用信息使用规则：根据财政部《关于在政府采购活动中查询及使用信用记录有关问题的通知》（财库〔2016〕125号）的规定，对在“信用中国”网站(www.creditchina.gov.cn)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p w14:paraId="545F10C0">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textAlignment w:val="auto"/>
        <w:rPr>
          <w:rFonts w:ascii="宋体" w:hAnsi="宋体" w:cs="宋体"/>
          <w:szCs w:val="21"/>
          <w:highlight w:val="none"/>
        </w:rPr>
      </w:pPr>
      <w:r>
        <w:rPr>
          <w:rFonts w:ascii="宋体" w:hAnsi="宋体" w:cs="宋体"/>
          <w:szCs w:val="21"/>
          <w:highlight w:val="none"/>
        </w:rPr>
        <w:t>2</w:t>
      </w:r>
      <w:r>
        <w:rPr>
          <w:rFonts w:hint="eastAsia" w:ascii="宋体" w:hAnsi="宋体" w:cs="宋体"/>
          <w:szCs w:val="21"/>
          <w:highlight w:val="none"/>
        </w:rPr>
        <w:t>.2资格审查标准为本谈判文件中载明对供应商资格要求的条件。本项目资格审查采用合格制，凡符合谈判文件规定的供应商资格要求的供应商均通过资格审查。</w:t>
      </w:r>
    </w:p>
    <w:p w14:paraId="7EC16BEA">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ascii="宋体" w:hAnsi="宋体" w:cs="宋体"/>
          <w:szCs w:val="21"/>
          <w:highlight w:val="none"/>
        </w:rPr>
        <w:t>2</w:t>
      </w:r>
      <w:r>
        <w:rPr>
          <w:rFonts w:hint="eastAsia" w:ascii="宋体" w:hAnsi="宋体" w:cs="宋体"/>
          <w:szCs w:val="21"/>
          <w:highlight w:val="none"/>
        </w:rPr>
        <w:t>.3 供应商有下列情形之一的，资格审查不通过，其响应文件按无效响应处理：</w:t>
      </w:r>
    </w:p>
    <w:p w14:paraId="3852DC12">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textAlignment w:val="auto"/>
        <w:rPr>
          <w:rFonts w:ascii="宋体" w:hAnsi="宋体" w:cs="宋体"/>
          <w:szCs w:val="21"/>
          <w:highlight w:val="none"/>
        </w:rPr>
      </w:pPr>
      <w:r>
        <w:rPr>
          <w:rFonts w:hint="eastAsia" w:ascii="宋体" w:hAnsi="宋体" w:cs="宋体"/>
          <w:szCs w:val="21"/>
          <w:highlight w:val="none"/>
        </w:rPr>
        <w:t>（</w:t>
      </w:r>
      <w:r>
        <w:rPr>
          <w:rFonts w:ascii="宋体" w:hAnsi="宋体" w:cs="宋体"/>
          <w:szCs w:val="21"/>
          <w:highlight w:val="none"/>
        </w:rPr>
        <w:t>1</w:t>
      </w:r>
      <w:r>
        <w:rPr>
          <w:rFonts w:hint="eastAsia" w:ascii="宋体" w:hAnsi="宋体" w:cs="宋体"/>
          <w:szCs w:val="21"/>
          <w:highlight w:val="none"/>
        </w:rPr>
        <w:t>）不具备谈判文件中规定的资格要求的；</w:t>
      </w:r>
    </w:p>
    <w:p w14:paraId="6FF5D077">
      <w:pPr>
        <w:keepNext w:val="0"/>
        <w:keepLines w:val="0"/>
        <w:pageBreakBefore w:val="0"/>
        <w:widowControl w:val="0"/>
        <w:kinsoku/>
        <w:wordWrap/>
        <w:overflowPunct/>
        <w:topLinePunct w:val="0"/>
        <w:autoSpaceDE/>
        <w:autoSpaceDN/>
        <w:bidi w:val="0"/>
        <w:adjustRightInd/>
        <w:spacing w:line="440" w:lineRule="exact"/>
        <w:ind w:firstLine="420" w:firstLineChars="200"/>
        <w:contextualSpacing/>
        <w:textAlignment w:val="auto"/>
        <w:rPr>
          <w:rFonts w:ascii="宋体" w:hAnsi="宋体" w:cs="宋体"/>
          <w:szCs w:val="21"/>
          <w:highlight w:val="none"/>
        </w:rPr>
      </w:pPr>
      <w:r>
        <w:rPr>
          <w:rFonts w:hint="eastAsia" w:ascii="宋体" w:hAnsi="宋体" w:cs="宋体"/>
          <w:szCs w:val="21"/>
          <w:highlight w:val="none"/>
        </w:rPr>
        <w:t>（2）响应文件中的资格证明文件缺少任一项“供应商须知前附表”资格证明文件规定的“必须提供”的文件资料的；</w:t>
      </w:r>
    </w:p>
    <w:p w14:paraId="04BDFBBD">
      <w:pPr>
        <w:keepNext w:val="0"/>
        <w:keepLines w:val="0"/>
        <w:pageBreakBefore w:val="0"/>
        <w:widowControl w:val="0"/>
        <w:kinsoku/>
        <w:wordWrap/>
        <w:overflowPunct/>
        <w:topLinePunct w:val="0"/>
        <w:autoSpaceDE/>
        <w:autoSpaceDN/>
        <w:bidi w:val="0"/>
        <w:adjustRightInd/>
        <w:spacing w:line="440" w:lineRule="exact"/>
        <w:ind w:firstLine="420" w:firstLineChars="200"/>
        <w:contextualSpacing/>
        <w:textAlignment w:val="auto"/>
        <w:rPr>
          <w:rFonts w:ascii="宋体" w:hAnsi="宋体" w:cs="宋体"/>
          <w:szCs w:val="21"/>
          <w:highlight w:val="none"/>
        </w:rPr>
      </w:pPr>
      <w:r>
        <w:rPr>
          <w:rFonts w:hint="eastAsia" w:ascii="宋体" w:hAnsi="宋体" w:cs="宋体"/>
          <w:szCs w:val="21"/>
          <w:highlight w:val="none"/>
        </w:rPr>
        <w:t>（3）响应文件中的资格证明文件出现任一项不符合“供应商须知前附表”资格证明文件规定的“必须提供”的文件资料要求或者无效的；</w:t>
      </w:r>
    </w:p>
    <w:p w14:paraId="633724DA">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hint="eastAsia" w:ascii="宋体" w:hAnsi="宋体" w:cs="宋体"/>
          <w:szCs w:val="21"/>
          <w:highlight w:val="none"/>
        </w:rPr>
        <w:t>（4）同一合同项下的不同供应商，单位负责人为同一人或者存在直接控股、管理关系的；为本项目提供过整体设计、规范编制或者项目管理、监理、检测等服务的供应商，再参加该采购项目的其他采购活动的。</w:t>
      </w:r>
    </w:p>
    <w:p w14:paraId="46BA5707">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ascii="宋体" w:hAnsi="宋体" w:cs="宋体"/>
          <w:szCs w:val="21"/>
          <w:highlight w:val="none"/>
        </w:rPr>
        <w:t>2</w:t>
      </w:r>
      <w:r>
        <w:rPr>
          <w:rFonts w:hint="eastAsia" w:ascii="宋体" w:hAnsi="宋体" w:cs="宋体"/>
          <w:szCs w:val="21"/>
          <w:highlight w:val="none"/>
        </w:rPr>
        <w:t>.4通过资格审查的合格供应商不足3家（本章</w:t>
      </w:r>
      <w:r>
        <w:rPr>
          <w:rFonts w:ascii="宋体" w:hAnsi="宋体" w:cs="宋体"/>
          <w:szCs w:val="21"/>
          <w:highlight w:val="none"/>
        </w:rPr>
        <w:t>3</w:t>
      </w:r>
      <w:r>
        <w:rPr>
          <w:rFonts w:hint="eastAsia" w:ascii="宋体" w:hAnsi="宋体" w:cs="宋体"/>
          <w:szCs w:val="21"/>
          <w:highlight w:val="none"/>
        </w:rPr>
        <w:t>.7条规定除外）的，不得进入符合性审查环节，应当重新开展采购活动。</w:t>
      </w:r>
    </w:p>
    <w:p w14:paraId="5922DB89">
      <w:pPr>
        <w:keepNext w:val="0"/>
        <w:keepLines w:val="0"/>
        <w:pageBreakBefore w:val="0"/>
        <w:widowControl w:val="0"/>
        <w:kinsoku/>
        <w:wordWrap/>
        <w:overflowPunct/>
        <w:topLinePunct w:val="0"/>
        <w:autoSpaceDE/>
        <w:autoSpaceDN/>
        <w:bidi w:val="0"/>
        <w:adjustRightInd/>
        <w:spacing w:line="440" w:lineRule="exact"/>
        <w:ind w:firstLine="482" w:firstLineChars="200"/>
        <w:textAlignment w:val="auto"/>
        <w:rPr>
          <w:rFonts w:ascii="黑体" w:hAnsi="黑体" w:eastAsia="黑体" w:cs="宋体"/>
          <w:b/>
          <w:bCs/>
          <w:sz w:val="24"/>
          <w:highlight w:val="none"/>
        </w:rPr>
      </w:pPr>
      <w:r>
        <w:rPr>
          <w:rFonts w:ascii="黑体" w:hAnsi="黑体" w:eastAsia="黑体" w:cs="宋体"/>
          <w:b/>
          <w:bCs/>
          <w:sz w:val="24"/>
          <w:highlight w:val="none"/>
        </w:rPr>
        <w:t>3</w:t>
      </w:r>
      <w:r>
        <w:rPr>
          <w:rFonts w:hint="eastAsia" w:ascii="黑体" w:hAnsi="黑体" w:eastAsia="黑体" w:cs="宋体"/>
          <w:b/>
          <w:bCs/>
          <w:sz w:val="24"/>
          <w:highlight w:val="none"/>
        </w:rPr>
        <w:t>.符合性审查</w:t>
      </w:r>
    </w:p>
    <w:p w14:paraId="70E50886">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hint="eastAsia" w:ascii="宋体" w:hAnsi="宋体" w:cs="宋体"/>
          <w:szCs w:val="21"/>
          <w:highlight w:val="none"/>
        </w:rPr>
        <w:t>3</w:t>
      </w:r>
      <w:r>
        <w:rPr>
          <w:rFonts w:ascii="宋体" w:hAnsi="宋体" w:cs="宋体"/>
          <w:szCs w:val="21"/>
          <w:highlight w:val="none"/>
        </w:rPr>
        <w:t>.1</w:t>
      </w:r>
      <w:r>
        <w:rPr>
          <w:rFonts w:hint="eastAsia" w:ascii="宋体" w:hAnsi="宋体" w:cs="宋体"/>
          <w:szCs w:val="21"/>
          <w:highlight w:val="none"/>
        </w:rPr>
        <w:t>由谈判小组对</w:t>
      </w:r>
      <w:r>
        <w:rPr>
          <w:rFonts w:hint="eastAsia" w:ascii="宋体" w:hAnsi="宋体"/>
          <w:szCs w:val="21"/>
          <w:highlight w:val="none"/>
        </w:rPr>
        <w:t>资格审查的合格</w:t>
      </w:r>
      <w:r>
        <w:rPr>
          <w:rFonts w:hint="eastAsia" w:ascii="宋体" w:hAnsi="宋体" w:cs="宋体"/>
          <w:szCs w:val="21"/>
          <w:highlight w:val="none"/>
        </w:rPr>
        <w:t>的供应商的响应文件进行竞标报价、商务、技术等实质性要求符合性审查，以确定其是否满足谈判文件的实质性要求。</w:t>
      </w:r>
    </w:p>
    <w:p w14:paraId="67EDBC36">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hint="eastAsia" w:ascii="宋体" w:hAnsi="宋体" w:cs="宋体"/>
          <w:szCs w:val="21"/>
          <w:highlight w:val="none"/>
        </w:rPr>
        <w:t>3</w:t>
      </w:r>
      <w:r>
        <w:rPr>
          <w:rFonts w:ascii="宋体" w:hAnsi="宋体" w:cs="宋体"/>
          <w:szCs w:val="21"/>
          <w:highlight w:val="none"/>
        </w:rPr>
        <w:t>.2</w:t>
      </w:r>
      <w:r>
        <w:rPr>
          <w:rFonts w:hint="eastAsia" w:ascii="宋体" w:hAnsi="宋体" w:cs="宋体"/>
          <w:szCs w:val="21"/>
          <w:highlight w:val="none"/>
        </w:rPr>
        <w:t>谈判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37F81A49">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pacing w:val="-6"/>
          <w:szCs w:val="21"/>
          <w:highlight w:val="none"/>
        </w:rPr>
      </w:pPr>
      <w:r>
        <w:rPr>
          <w:rFonts w:ascii="宋体" w:hAnsi="宋体" w:cs="宋体"/>
          <w:szCs w:val="21"/>
          <w:highlight w:val="none"/>
        </w:rPr>
        <w:t>3</w:t>
      </w:r>
      <w:r>
        <w:rPr>
          <w:rFonts w:hint="eastAsia" w:ascii="宋体" w:hAnsi="宋体" w:cs="宋体"/>
          <w:szCs w:val="21"/>
          <w:highlight w:val="none"/>
        </w:rPr>
        <w:t>.3谈判小组要求供应商澄清、说明或者更正响应文件应当以电子澄清函形式作出。供应商的澄清、说明或者更正应当以电子回函形式按照谈判小组的要求作出明确的澄清、说明或者更正，未按谈判小组的要求作出明确澄清、说明或者更正的供应商的响应文件将按照</w:t>
      </w:r>
      <w:r>
        <w:rPr>
          <w:rFonts w:hint="eastAsia" w:ascii="宋体" w:hAnsi="宋体" w:cs="宋体"/>
          <w:highlight w:val="none"/>
        </w:rPr>
        <w:t>有利于采购人</w:t>
      </w:r>
      <w:r>
        <w:rPr>
          <w:rFonts w:hint="eastAsia" w:ascii="宋体" w:hAnsi="宋体" w:cs="宋体"/>
          <w:szCs w:val="21"/>
          <w:highlight w:val="none"/>
        </w:rPr>
        <w:t>的原则由谈判小组进行判定。供应商的澄清、说明或者更正必须由法定代表人或者其委托代理人签字或者加盖供应商公章。</w:t>
      </w:r>
    </w:p>
    <w:p w14:paraId="29D763A4">
      <w:pPr>
        <w:keepNext w:val="0"/>
        <w:keepLines w:val="0"/>
        <w:pageBreakBefore w:val="0"/>
        <w:widowControl w:val="0"/>
        <w:kinsoku/>
        <w:wordWrap/>
        <w:overflowPunct/>
        <w:topLinePunct w:val="0"/>
        <w:autoSpaceDE/>
        <w:autoSpaceDN/>
        <w:bidi w:val="0"/>
        <w:adjustRightInd/>
        <w:spacing w:line="440" w:lineRule="exact"/>
        <w:ind w:firstLine="396" w:firstLineChars="200"/>
        <w:textAlignment w:val="auto"/>
        <w:rPr>
          <w:rFonts w:ascii="宋体" w:hAnsi="宋体" w:cs="宋体"/>
          <w:szCs w:val="21"/>
          <w:highlight w:val="none"/>
        </w:rPr>
      </w:pPr>
      <w:r>
        <w:rPr>
          <w:rFonts w:ascii="宋体" w:hAnsi="宋体" w:cs="宋体"/>
          <w:spacing w:val="-6"/>
          <w:szCs w:val="21"/>
          <w:highlight w:val="none"/>
        </w:rPr>
        <w:t>3.4</w:t>
      </w:r>
      <w:r>
        <w:rPr>
          <w:rFonts w:hint="eastAsia" w:ascii="宋体" w:hAnsi="宋体" w:cs="宋体"/>
          <w:szCs w:val="21"/>
          <w:highlight w:val="none"/>
        </w:rPr>
        <w:t xml:space="preserve">首次响应文件报价出现前后不一致的，按照下列规定修正： </w:t>
      </w:r>
    </w:p>
    <w:p w14:paraId="2C64ACB2">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hint="eastAsia" w:ascii="宋体" w:hAnsi="宋体" w:cs="宋体"/>
          <w:szCs w:val="21"/>
          <w:highlight w:val="none"/>
        </w:rPr>
        <w:t>（1）响应文件中报价表内容与响应文件中相应内容不一致的，以报价表为准；</w:t>
      </w:r>
    </w:p>
    <w:p w14:paraId="12F9C65E">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hint="eastAsia" w:ascii="宋体" w:hAnsi="宋体" w:cs="宋体"/>
          <w:szCs w:val="21"/>
          <w:highlight w:val="none"/>
        </w:rPr>
        <w:t>（2）大写金额和小写金额不一致的，以大写金额为准；</w:t>
      </w:r>
    </w:p>
    <w:p w14:paraId="47DCF1EF">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hint="eastAsia" w:ascii="宋体" w:hAnsi="宋体" w:cs="宋体"/>
          <w:szCs w:val="21"/>
          <w:highlight w:val="none"/>
        </w:rPr>
        <w:t>（3）单价金额小数点或者百分比有明显错位的，以报价表的总价为准，并修改单价；</w:t>
      </w:r>
    </w:p>
    <w:p w14:paraId="68611875">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hint="eastAsia" w:ascii="宋体" w:hAnsi="宋体" w:cs="宋体"/>
          <w:szCs w:val="21"/>
          <w:highlight w:val="none"/>
        </w:rPr>
        <w:t>（4）总价金额与按单价汇总金额不一致的，以单价金额计算结果为准。</w:t>
      </w:r>
    </w:p>
    <w:p w14:paraId="3B9B58C6">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hint="eastAsia" w:ascii="宋体" w:hAnsi="宋体" w:cs="宋体"/>
          <w:szCs w:val="21"/>
          <w:highlight w:val="none"/>
        </w:rPr>
        <w:t>同时出现两种以上不一致的，按照以上（1）-（4）规定的顺序逐条进行修正。修正后的报价经供应商确认后产生约束力，供应商不确认的，其响应文件按无效响应处理。</w:t>
      </w:r>
    </w:p>
    <w:p w14:paraId="3FBC59FA">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ascii="宋体" w:hAnsi="宋体" w:cs="宋体"/>
          <w:szCs w:val="21"/>
          <w:highlight w:val="none"/>
        </w:rPr>
        <w:t>3</w:t>
      </w:r>
      <w:r>
        <w:rPr>
          <w:rFonts w:hint="eastAsia" w:ascii="宋体" w:hAnsi="宋体" w:cs="宋体"/>
          <w:szCs w:val="21"/>
          <w:highlight w:val="none"/>
        </w:rPr>
        <w:t>.</w:t>
      </w:r>
      <w:r>
        <w:rPr>
          <w:rFonts w:ascii="宋体" w:hAnsi="宋体" w:cs="宋体"/>
          <w:szCs w:val="21"/>
          <w:highlight w:val="none"/>
        </w:rPr>
        <w:t>5</w:t>
      </w:r>
      <w:r>
        <w:rPr>
          <w:rFonts w:hint="eastAsia" w:ascii="宋体" w:hAnsi="宋体" w:cs="宋体"/>
          <w:szCs w:val="21"/>
          <w:highlight w:val="none"/>
        </w:rPr>
        <w:t>商务技术报价评审</w:t>
      </w:r>
    </w:p>
    <w:p w14:paraId="6E13901B">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hint="eastAsia" w:ascii="宋体" w:hAnsi="宋体" w:cs="宋体"/>
          <w:szCs w:val="21"/>
          <w:highlight w:val="none"/>
        </w:rPr>
        <w:t>在评审时，如发现下列情形之一的，将被视为响应文件无效响应处理：</w:t>
      </w:r>
    </w:p>
    <w:p w14:paraId="4132B20F">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hint="eastAsia" w:ascii="宋体" w:hAnsi="宋体" w:cs="宋体"/>
          <w:szCs w:val="21"/>
          <w:highlight w:val="none"/>
        </w:rPr>
        <w:t>（1）商务技术评审</w:t>
      </w:r>
    </w:p>
    <w:p w14:paraId="7ACC0641">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hint="eastAsia" w:ascii="宋体" w:hAnsi="宋体" w:cs="宋体"/>
          <w:szCs w:val="21"/>
          <w:highlight w:val="none"/>
        </w:rPr>
        <w:t>1）响应文件未按谈判文件要求签署、盖章的；</w:t>
      </w:r>
    </w:p>
    <w:p w14:paraId="218251D0">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hint="eastAsia" w:ascii="宋体" w:hAnsi="宋体" w:cs="宋体"/>
          <w:szCs w:val="21"/>
          <w:highlight w:val="none"/>
        </w:rPr>
        <w:t xml:space="preserve">2）委托代理人未能出具有效身份证或者出具的身份证与授权委托书中的信息不符的； </w:t>
      </w:r>
    </w:p>
    <w:p w14:paraId="0E89FACE">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hint="eastAsia" w:ascii="宋体" w:hAnsi="宋体" w:cs="宋体"/>
          <w:szCs w:val="21"/>
          <w:highlight w:val="none"/>
        </w:rPr>
        <w:t>3）提交的竞标保证金无效的或者未按照谈判文件的规定提交竞标保证金；</w:t>
      </w:r>
    </w:p>
    <w:p w14:paraId="0FDC93A9">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hint="eastAsia" w:ascii="宋体" w:hAnsi="宋体" w:cs="宋体"/>
          <w:szCs w:val="21"/>
          <w:highlight w:val="none"/>
        </w:rPr>
        <w:t>4）响应文件中的报价商务技术文件出现任一项不符合“供应商须知前附表”中“必须提供”或者“委托时必须提供”文件资料要求的规定或者提供的报价商务技术文件无效。</w:t>
      </w:r>
    </w:p>
    <w:p w14:paraId="27354019">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hint="eastAsia" w:ascii="宋体" w:hAnsi="宋体" w:cs="宋体"/>
          <w:szCs w:val="21"/>
          <w:highlight w:val="none"/>
        </w:rPr>
        <w:t>5）商务条款中标“▲”的条款发生负偏离或者允许负偏离的条款数超过“供应商须知前附表”规定项数的；</w:t>
      </w:r>
    </w:p>
    <w:p w14:paraId="5C7662E1">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hint="eastAsia" w:ascii="宋体" w:hAnsi="宋体" w:cs="宋体"/>
          <w:szCs w:val="21"/>
          <w:highlight w:val="none"/>
        </w:rPr>
        <w:t>6）未对竞标有效期作出响应或者响应文件承诺的竞标有效期不满足谈判文件要求；</w:t>
      </w:r>
    </w:p>
    <w:p w14:paraId="2E884CEA">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hint="eastAsia" w:ascii="宋体" w:hAnsi="宋体" w:cs="宋体"/>
          <w:szCs w:val="21"/>
          <w:highlight w:val="none"/>
        </w:rPr>
        <w:t>7）响应文件的实质性内容未使用中文表述、使用计量单位不符合谈判文件要求的；</w:t>
      </w:r>
    </w:p>
    <w:p w14:paraId="244D4F66">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hint="eastAsia" w:ascii="宋体" w:hAnsi="宋体" w:cs="宋体"/>
          <w:szCs w:val="21"/>
          <w:highlight w:val="none"/>
        </w:rPr>
        <w:t>8）响应文件中的文件资料因填写不齐全或者内容虚假或者出现其他情形而导致被谈判小组认定无效的；</w:t>
      </w:r>
    </w:p>
    <w:p w14:paraId="74140FC5">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hint="eastAsia" w:ascii="宋体" w:hAnsi="宋体" w:cs="宋体"/>
          <w:szCs w:val="21"/>
          <w:highlight w:val="none"/>
        </w:rPr>
        <w:t>9）响应文件含有采购人不能接受的附加条件的；</w:t>
      </w:r>
    </w:p>
    <w:p w14:paraId="6D1F8802">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hint="eastAsia" w:ascii="宋体" w:hAnsi="宋体" w:cs="宋体"/>
          <w:szCs w:val="21"/>
          <w:highlight w:val="none"/>
        </w:rPr>
        <w:t>10）属于“供应商须知正文”第7.</w:t>
      </w:r>
      <w:r>
        <w:rPr>
          <w:rFonts w:ascii="宋体" w:hAnsi="宋体" w:cs="宋体"/>
          <w:szCs w:val="21"/>
          <w:highlight w:val="none"/>
        </w:rPr>
        <w:t>5</w:t>
      </w:r>
      <w:r>
        <w:rPr>
          <w:rFonts w:hint="eastAsia" w:ascii="宋体" w:hAnsi="宋体" w:cs="宋体"/>
          <w:szCs w:val="21"/>
          <w:highlight w:val="none"/>
        </w:rPr>
        <w:t>条的情形的；</w:t>
      </w:r>
    </w:p>
    <w:p w14:paraId="7B08300C">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hint="eastAsia" w:ascii="宋体" w:hAnsi="宋体" w:cs="宋体"/>
          <w:szCs w:val="21"/>
          <w:highlight w:val="none"/>
        </w:rPr>
        <w:t>11）技术要求中标“▲”的条款发生负偏离或允许负偏离的条款数超过“供应商须知前附表”规定项数的；</w:t>
      </w:r>
    </w:p>
    <w:p w14:paraId="26148F7F">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hint="eastAsia" w:ascii="宋体" w:hAnsi="宋体" w:cs="宋体"/>
          <w:szCs w:val="21"/>
          <w:highlight w:val="none"/>
        </w:rPr>
        <w:t>12）虚假竞标，或者出现其他情形而导致被谈判小组认定无效的；</w:t>
      </w:r>
    </w:p>
    <w:p w14:paraId="651CD25B">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hint="eastAsia" w:ascii="宋体" w:hAnsi="宋体" w:cs="宋体"/>
          <w:szCs w:val="21"/>
          <w:highlight w:val="none"/>
        </w:rPr>
        <w:t>13）</w:t>
      </w:r>
      <w:bookmarkStart w:id="12" w:name="_Hlk71704147"/>
      <w:r>
        <w:rPr>
          <w:rFonts w:hint="eastAsia" w:ascii="宋体" w:hAnsi="宋体" w:cs="宋体"/>
          <w:szCs w:val="21"/>
          <w:highlight w:val="none"/>
        </w:rPr>
        <w:t>谈判文件未载明允许提供备选（替代）竞标方案或明确不允许提供备选（替代）竞标方案时，供应商提供了备选（替代）竞标方案的；</w:t>
      </w:r>
      <w:bookmarkEnd w:id="12"/>
    </w:p>
    <w:p w14:paraId="15B8E96A">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hint="eastAsia" w:ascii="宋体" w:hAnsi="宋体" w:cs="宋体"/>
          <w:szCs w:val="21"/>
          <w:highlight w:val="none"/>
        </w:rPr>
        <w:t>14）响应文件标注的项目名称或者项目编号与谈判文件标注的项目名称或者项目编号不一致的；</w:t>
      </w:r>
    </w:p>
    <w:p w14:paraId="2E99DF9F">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hint="eastAsia" w:ascii="宋体" w:hAnsi="宋体" w:cs="宋体"/>
          <w:szCs w:val="21"/>
          <w:highlight w:val="none"/>
        </w:rPr>
        <w:t>15）</w:t>
      </w:r>
      <w:r>
        <w:rPr>
          <w:rFonts w:hint="eastAsia" w:ascii="宋体" w:hAnsi="宋体"/>
          <w:szCs w:val="21"/>
          <w:highlight w:val="none"/>
        </w:rPr>
        <w:t>谈判文件明确不允许分包，响应文件拟分包的；</w:t>
      </w:r>
    </w:p>
    <w:p w14:paraId="4AD4237F">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ascii="宋体" w:hAnsi="宋体" w:cs="宋体"/>
          <w:szCs w:val="21"/>
          <w:highlight w:val="none"/>
        </w:rPr>
        <w:t>1</w:t>
      </w:r>
      <w:r>
        <w:rPr>
          <w:rFonts w:hint="eastAsia" w:ascii="宋体" w:hAnsi="宋体" w:cs="宋体"/>
          <w:szCs w:val="21"/>
          <w:highlight w:val="none"/>
        </w:rPr>
        <w:t>6）未响应谈判文件实质性要求；</w:t>
      </w:r>
    </w:p>
    <w:p w14:paraId="43A85C79">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hint="eastAsia" w:ascii="宋体" w:hAnsi="宋体" w:cs="宋体"/>
          <w:szCs w:val="21"/>
          <w:highlight w:val="none"/>
        </w:rPr>
        <w:t>17）法律、法规和谈判文件规定的其他无效情形。</w:t>
      </w:r>
    </w:p>
    <w:p w14:paraId="19AFC1C4">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hint="eastAsia" w:ascii="宋体" w:hAnsi="宋体" w:cs="宋体"/>
          <w:szCs w:val="21"/>
          <w:highlight w:val="none"/>
        </w:rPr>
        <w:t>（</w:t>
      </w:r>
      <w:r>
        <w:rPr>
          <w:rFonts w:ascii="宋体" w:hAnsi="宋体" w:cs="宋体"/>
          <w:szCs w:val="21"/>
          <w:highlight w:val="none"/>
        </w:rPr>
        <w:t>2）报</w:t>
      </w:r>
      <w:r>
        <w:rPr>
          <w:rFonts w:hint="eastAsia" w:ascii="宋体" w:hAnsi="宋体" w:cs="宋体"/>
          <w:szCs w:val="21"/>
          <w:highlight w:val="none"/>
        </w:rPr>
        <w:t>价评审</w:t>
      </w:r>
    </w:p>
    <w:p w14:paraId="4E0FDB3D">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hint="eastAsia" w:ascii="宋体" w:hAnsi="宋体" w:cs="宋体"/>
          <w:szCs w:val="21"/>
          <w:highlight w:val="none"/>
        </w:rPr>
        <w:t>1）响应文件未提供“供应商须知前附表” 报价商务技术文件中规定的“竞标报价表”的；</w:t>
      </w:r>
    </w:p>
    <w:p w14:paraId="537DFCD1">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hint="eastAsia" w:ascii="宋体" w:hAnsi="宋体" w:cs="宋体"/>
          <w:szCs w:val="21"/>
          <w:highlight w:val="none"/>
        </w:rPr>
        <w:t>2）未采用人民币报价或者未按照谈判文件标明的币种报价的；</w:t>
      </w:r>
    </w:p>
    <w:p w14:paraId="3E53E33A">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hint="eastAsia" w:ascii="宋体" w:hAnsi="宋体" w:cs="宋体"/>
          <w:szCs w:val="21"/>
          <w:highlight w:val="none"/>
        </w:rPr>
        <w:t>3）供应商未就所竞标分标进行报价或者存在漏项报价的；供应商未就所竞标分标的单项内容作唯一报价的；供应商未就所竞标分标的全部内容作完整唯一总价报价的；供应商响应文件中存在有选择、有条件报价的（谈判文件允许有备选方案或者其他约定的除外）；</w:t>
      </w:r>
    </w:p>
    <w:p w14:paraId="06C92476">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hint="eastAsia" w:ascii="宋体" w:hAnsi="宋体" w:cs="宋体"/>
          <w:szCs w:val="21"/>
          <w:highlight w:val="none"/>
        </w:rPr>
        <w:t xml:space="preserve">4）最后报价超过所竞标分标规定的采购预算金额或者最高限价的（如本项目公布了最高限价）； </w:t>
      </w:r>
    </w:p>
    <w:p w14:paraId="58E7243C">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hint="eastAsia" w:ascii="宋体" w:hAnsi="宋体" w:cs="宋体"/>
          <w:szCs w:val="21"/>
          <w:highlight w:val="none"/>
        </w:rPr>
        <w:t>5）修正后的报价，供应商不确认的；或者经供应商确认修正后的最后报价超过所竞标分标规定的采购预算金额或者最高限价（如本项目公布了最高限价）；</w:t>
      </w:r>
    </w:p>
    <w:p w14:paraId="36941E52">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hint="eastAsia" w:ascii="宋体" w:hAnsi="宋体" w:cs="宋体"/>
          <w:szCs w:val="21"/>
          <w:highlight w:val="none"/>
        </w:rPr>
        <w:t>6）</w:t>
      </w:r>
      <w:r>
        <w:rPr>
          <w:rFonts w:hint="eastAsia" w:ascii="宋体" w:hAnsi="宋体"/>
          <w:szCs w:val="21"/>
          <w:highlight w:val="none"/>
        </w:rPr>
        <w:t>响应文件响应的标的数量及单位与竞争性谈判采购文件要求实质性不一致的。</w:t>
      </w:r>
    </w:p>
    <w:p w14:paraId="2BEC9446">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ascii="宋体" w:hAnsi="宋体" w:cs="宋体"/>
          <w:szCs w:val="21"/>
          <w:highlight w:val="none"/>
        </w:rPr>
        <w:t>3</w:t>
      </w:r>
      <w:r>
        <w:rPr>
          <w:rFonts w:hint="eastAsia" w:ascii="宋体" w:hAnsi="宋体" w:cs="宋体"/>
          <w:szCs w:val="21"/>
          <w:highlight w:val="none"/>
        </w:rPr>
        <w:t>.6谈判小组对响应文件进行评审，未实质性响应谈判文件的响应文件按无效响应处理。谈判小组应当将资格和符合性不通过的情况告知有关供应商。谈判小组从符合谈判文件规定的相应资格条件的供应商名单中确定不少于3家的供应商参加谈判。</w:t>
      </w:r>
    </w:p>
    <w:p w14:paraId="33A1B6D7">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ascii="宋体" w:hAnsi="宋体" w:cs="宋体"/>
          <w:szCs w:val="21"/>
          <w:highlight w:val="none"/>
        </w:rPr>
        <w:t>3</w:t>
      </w:r>
      <w:r>
        <w:rPr>
          <w:rFonts w:hint="eastAsia" w:ascii="宋体" w:hAnsi="宋体" w:cs="宋体"/>
          <w:szCs w:val="21"/>
          <w:highlight w:val="none"/>
        </w:rPr>
        <w:t>.7公开招标的货物、服务采购项目，招标过程中提交投标文件或者经评审实质性响应招标文件要求的供应商只有两家时，采购人、采购代理机构按照《政府采购非招标采购方式管理办法》（财政部74号令）第四条经本级财政部门批准后可以与该两家供应商进行竞争性谈判采购。</w:t>
      </w:r>
    </w:p>
    <w:p w14:paraId="75DE2285">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ascii="宋体" w:hAnsi="宋体" w:cs="宋体"/>
          <w:szCs w:val="21"/>
          <w:highlight w:val="none"/>
        </w:rPr>
        <w:t>3</w:t>
      </w:r>
      <w:r>
        <w:rPr>
          <w:rFonts w:hint="eastAsia" w:ascii="宋体" w:hAnsi="宋体" w:cs="宋体"/>
          <w:szCs w:val="21"/>
          <w:highlight w:val="none"/>
        </w:rPr>
        <w:t>.8通过符合性审查的合格供应商不足3家的，不得进入谈判环节，应当重新开展采购活动。</w:t>
      </w:r>
    </w:p>
    <w:p w14:paraId="42E2550C">
      <w:pPr>
        <w:keepNext w:val="0"/>
        <w:keepLines w:val="0"/>
        <w:pageBreakBefore w:val="0"/>
        <w:widowControl w:val="0"/>
        <w:kinsoku/>
        <w:wordWrap/>
        <w:overflowPunct/>
        <w:topLinePunct w:val="0"/>
        <w:autoSpaceDE/>
        <w:autoSpaceDN/>
        <w:bidi w:val="0"/>
        <w:adjustRightInd/>
        <w:spacing w:line="440" w:lineRule="exact"/>
        <w:ind w:firstLine="482" w:firstLineChars="200"/>
        <w:textAlignment w:val="auto"/>
        <w:rPr>
          <w:rFonts w:ascii="黑体" w:hAnsi="黑体" w:eastAsia="黑体" w:cs="宋体"/>
          <w:b/>
          <w:bCs/>
          <w:sz w:val="24"/>
          <w:highlight w:val="none"/>
        </w:rPr>
      </w:pPr>
      <w:r>
        <w:rPr>
          <w:rFonts w:hint="eastAsia" w:ascii="黑体" w:hAnsi="黑体" w:eastAsia="黑体" w:cs="宋体"/>
          <w:b/>
          <w:bCs/>
          <w:sz w:val="24"/>
          <w:highlight w:val="none"/>
        </w:rPr>
        <w:t>4</w:t>
      </w:r>
      <w:r>
        <w:rPr>
          <w:rFonts w:ascii="黑体" w:hAnsi="黑体" w:eastAsia="黑体" w:cs="宋体"/>
          <w:b/>
          <w:bCs/>
          <w:sz w:val="24"/>
          <w:highlight w:val="none"/>
        </w:rPr>
        <w:t>.</w:t>
      </w:r>
      <w:r>
        <w:rPr>
          <w:rFonts w:hint="eastAsia" w:ascii="黑体" w:hAnsi="黑体" w:eastAsia="黑体" w:cs="宋体"/>
          <w:b/>
          <w:bCs/>
          <w:sz w:val="24"/>
          <w:highlight w:val="none"/>
        </w:rPr>
        <w:t>谈判程序</w:t>
      </w:r>
    </w:p>
    <w:p w14:paraId="457CB403">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hint="eastAsia" w:ascii="宋体" w:hAnsi="宋体" w:cs="宋体"/>
          <w:kern w:val="0"/>
          <w:szCs w:val="21"/>
          <w:highlight w:val="none"/>
        </w:rPr>
        <w:t>4</w:t>
      </w:r>
      <w:r>
        <w:rPr>
          <w:rFonts w:ascii="宋体" w:hAnsi="宋体" w:cs="宋体"/>
          <w:kern w:val="0"/>
          <w:szCs w:val="21"/>
          <w:highlight w:val="none"/>
        </w:rPr>
        <w:t>.1</w:t>
      </w:r>
      <w:r>
        <w:rPr>
          <w:rFonts w:hint="eastAsia" w:ascii="宋体" w:hAnsi="宋体" w:cs="宋体"/>
          <w:kern w:val="0"/>
          <w:szCs w:val="21"/>
          <w:highlight w:val="none"/>
        </w:rPr>
        <w:t>谈判小组按照“供应商须知前附表”第2</w:t>
      </w:r>
      <w:r>
        <w:rPr>
          <w:rFonts w:ascii="宋体" w:hAnsi="宋体" w:cs="宋体"/>
          <w:kern w:val="0"/>
          <w:szCs w:val="21"/>
          <w:highlight w:val="none"/>
        </w:rPr>
        <w:t>6</w:t>
      </w:r>
      <w:r>
        <w:rPr>
          <w:rFonts w:hint="eastAsia" w:ascii="宋体" w:hAnsi="宋体" w:cs="宋体"/>
          <w:kern w:val="0"/>
          <w:szCs w:val="21"/>
          <w:highlight w:val="none"/>
        </w:rPr>
        <w:t>条确定的</w:t>
      </w:r>
      <w:r>
        <w:rPr>
          <w:rFonts w:hint="eastAsia" w:ascii="宋体" w:hAnsi="宋体" w:cs="宋体"/>
          <w:szCs w:val="21"/>
          <w:highlight w:val="none"/>
        </w:rPr>
        <w:t>顺序，集中与单一供应商分别进行谈判，并给予所有参加谈判的供应商平等的谈判机会。符合谈判资格的供应商必须在接到谈判通知后规定时间内参加谈判，未在规定时间内参加谈判的视同放弃参加谈判权利，其响应文件按无效响应处理。</w:t>
      </w:r>
    </w:p>
    <w:p w14:paraId="2D2D8A1C">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hint="eastAsia" w:ascii="宋体" w:hAnsi="宋体" w:cs="宋体"/>
          <w:szCs w:val="21"/>
          <w:highlight w:val="none"/>
        </w:rPr>
        <w:t>4</w:t>
      </w:r>
      <w:r>
        <w:rPr>
          <w:rFonts w:ascii="宋体" w:hAnsi="宋体" w:cs="宋体"/>
          <w:szCs w:val="21"/>
          <w:highlight w:val="none"/>
        </w:rPr>
        <w:t>.2</w:t>
      </w:r>
      <w:r>
        <w:rPr>
          <w:rFonts w:hint="eastAsia" w:ascii="宋体" w:hAnsi="宋体" w:cs="宋体"/>
          <w:szCs w:val="21"/>
          <w:highlight w:val="none"/>
        </w:rPr>
        <w:t>在谈判过程中，谈判小组可以根据谈判文件和谈判情况实质性变动采购需求中的技术、服务要求以及合同草案条款，但不得变动谈判文件中的其他内容，实质性变动的内容须经采购人代表确认。可能实质性变动的内容为采购需求中的技术、服务要求以及合同草案条款。</w:t>
      </w:r>
    </w:p>
    <w:p w14:paraId="7541ABC5">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ascii="宋体" w:hAnsi="宋体" w:cs="宋体"/>
          <w:szCs w:val="21"/>
          <w:highlight w:val="none"/>
        </w:rPr>
        <w:t>4.3</w:t>
      </w:r>
      <w:r>
        <w:rPr>
          <w:rFonts w:hint="eastAsia" w:ascii="宋体" w:hAnsi="宋体" w:cs="宋体"/>
          <w:szCs w:val="21"/>
          <w:highlight w:val="none"/>
        </w:rPr>
        <w:t>对谈判文件作出的实质性变动是谈判文件的有效组成部分，谈判小组应当及时以电子谈判记录形式同时通知所有参加谈判的供应商。</w:t>
      </w:r>
    </w:p>
    <w:p w14:paraId="65C14D31">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ascii="宋体" w:hAnsi="宋体" w:cs="宋体"/>
          <w:szCs w:val="21"/>
          <w:highlight w:val="none"/>
        </w:rPr>
        <w:t>4.4</w:t>
      </w:r>
      <w:r>
        <w:rPr>
          <w:rFonts w:hint="eastAsia" w:ascii="宋体" w:hAnsi="宋体" w:cs="宋体"/>
          <w:szCs w:val="21"/>
          <w:highlight w:val="none"/>
        </w:rPr>
        <w:t>供应商必须按照谈判文件的变动情况和谈判小组的要求以电子回函的形式重新提交响应文件，并由其法定代表人或者委托代理人签字或者加盖供应商公章。由委托代理人签字的，</w:t>
      </w:r>
      <w:r>
        <w:rPr>
          <w:rFonts w:hint="eastAsia" w:ascii="宋体" w:hAnsi="宋体" w:cs="宋体"/>
          <w:bCs/>
          <w:szCs w:val="21"/>
          <w:highlight w:val="none"/>
        </w:rPr>
        <w:t>若委托代理人不是响应文件中授权的委托代理人时，必须同时出示有效的授权委托书原件</w:t>
      </w:r>
      <w:r>
        <w:rPr>
          <w:rFonts w:hint="eastAsia" w:ascii="宋体" w:hAnsi="宋体" w:cs="宋体"/>
          <w:szCs w:val="21"/>
          <w:highlight w:val="none"/>
        </w:rPr>
        <w:t>。供应商为自然人的，必须由本人签字并附身份证明。参加谈判的供应商未在规定时间内以电子回函的形式重新提交响应文件的，视同退出谈判，其响应文件按无效响应处理。</w:t>
      </w:r>
    </w:p>
    <w:p w14:paraId="0A21B890">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ascii="宋体" w:hAnsi="宋体" w:cs="宋体"/>
          <w:szCs w:val="21"/>
          <w:highlight w:val="none"/>
        </w:rPr>
        <w:t>4.5</w:t>
      </w:r>
      <w:r>
        <w:rPr>
          <w:rFonts w:hint="eastAsia" w:ascii="宋体" w:hAnsi="宋体" w:cs="宋体"/>
          <w:szCs w:val="21"/>
          <w:highlight w:val="none"/>
        </w:rPr>
        <w:t>谈判中，谈判的任何一方不得透露与谈判有关的其他供应商的技术资料、价格和其他信息。</w:t>
      </w:r>
    </w:p>
    <w:p w14:paraId="06587CAC">
      <w:pPr>
        <w:keepNext w:val="0"/>
        <w:keepLines w:val="0"/>
        <w:pageBreakBefore w:val="0"/>
        <w:widowControl w:val="0"/>
        <w:tabs>
          <w:tab w:val="left" w:pos="2835"/>
        </w:tabs>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ascii="宋体" w:hAnsi="宋体" w:cs="宋体"/>
          <w:szCs w:val="21"/>
          <w:highlight w:val="none"/>
        </w:rPr>
        <w:t>4.</w:t>
      </w:r>
      <w:r>
        <w:rPr>
          <w:rFonts w:hint="eastAsia" w:ascii="宋体" w:hAnsi="宋体" w:cs="宋体"/>
          <w:szCs w:val="21"/>
          <w:highlight w:val="none"/>
        </w:rPr>
        <w:t>6</w:t>
      </w:r>
      <w:r>
        <w:rPr>
          <w:rFonts w:hint="eastAsia" w:ascii="宋体" w:hAnsi="宋体"/>
          <w:szCs w:val="21"/>
          <w:highlight w:val="none"/>
        </w:rPr>
        <w:t>对谈判过程提交的响应文件进行有效性、完整性和响应程度审查，通过审查的合格供应商不足3家的，采购人或者采购代理机构应当重新开展采购活动。</w:t>
      </w:r>
    </w:p>
    <w:p w14:paraId="5320E4DE">
      <w:pPr>
        <w:keepNext w:val="0"/>
        <w:keepLines w:val="0"/>
        <w:pageBreakBefore w:val="0"/>
        <w:widowControl w:val="0"/>
        <w:kinsoku/>
        <w:wordWrap/>
        <w:overflowPunct/>
        <w:topLinePunct w:val="0"/>
        <w:autoSpaceDE/>
        <w:autoSpaceDN/>
        <w:bidi w:val="0"/>
        <w:adjustRightInd/>
        <w:spacing w:line="440" w:lineRule="exact"/>
        <w:ind w:firstLine="482" w:firstLineChars="200"/>
        <w:textAlignment w:val="auto"/>
        <w:rPr>
          <w:rFonts w:ascii="黑体" w:hAnsi="黑体" w:eastAsia="黑体" w:cs="宋体"/>
          <w:b/>
          <w:bCs/>
          <w:sz w:val="24"/>
          <w:highlight w:val="none"/>
        </w:rPr>
      </w:pPr>
      <w:r>
        <w:rPr>
          <w:rFonts w:hint="eastAsia" w:ascii="黑体" w:hAnsi="黑体" w:eastAsia="黑体" w:cs="宋体"/>
          <w:b/>
          <w:bCs/>
          <w:sz w:val="24"/>
          <w:highlight w:val="none"/>
        </w:rPr>
        <w:t>5</w:t>
      </w:r>
      <w:r>
        <w:rPr>
          <w:rFonts w:ascii="黑体" w:hAnsi="黑体" w:eastAsia="黑体" w:cs="宋体"/>
          <w:b/>
          <w:bCs/>
          <w:sz w:val="24"/>
          <w:highlight w:val="none"/>
        </w:rPr>
        <w:t>.</w:t>
      </w:r>
      <w:r>
        <w:rPr>
          <w:rFonts w:hint="eastAsia" w:ascii="黑体" w:hAnsi="黑体" w:eastAsia="黑体" w:cs="宋体"/>
          <w:b/>
          <w:bCs/>
          <w:sz w:val="24"/>
          <w:highlight w:val="none"/>
        </w:rPr>
        <w:t xml:space="preserve"> 最后报价</w:t>
      </w:r>
    </w:p>
    <w:p w14:paraId="1E6CF276">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hint="eastAsia" w:ascii="宋体" w:hAnsi="宋体" w:cs="宋体"/>
          <w:szCs w:val="21"/>
          <w:highlight w:val="none"/>
        </w:rPr>
        <w:t>5</w:t>
      </w:r>
      <w:r>
        <w:rPr>
          <w:rFonts w:ascii="宋体" w:hAnsi="宋体" w:cs="宋体"/>
          <w:szCs w:val="21"/>
          <w:highlight w:val="none"/>
        </w:rPr>
        <w:t>.1</w:t>
      </w:r>
      <w:r>
        <w:rPr>
          <w:rFonts w:hint="eastAsia" w:ascii="宋体" w:hAnsi="宋体" w:cs="宋体"/>
          <w:szCs w:val="21"/>
          <w:highlight w:val="none"/>
        </w:rPr>
        <w:t>谈判文件能够详细列明采购标的的技术、服务要求的，谈判结束后，谈判小组应当要求所有继续参加谈判的供应商在规定时间内以电子文件形式提交最后报价，提交最后报价的供应商不得少于3家，除本章第3.7条外，否则必须重新采购。</w:t>
      </w:r>
    </w:p>
    <w:p w14:paraId="1060FBFF">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ascii="宋体" w:hAnsi="宋体" w:cs="宋体"/>
          <w:szCs w:val="21"/>
          <w:highlight w:val="none"/>
        </w:rPr>
        <w:t>5</w:t>
      </w:r>
      <w:r>
        <w:rPr>
          <w:rFonts w:hint="eastAsia" w:ascii="宋体" w:hAnsi="宋体" w:cs="宋体"/>
          <w:szCs w:val="21"/>
          <w:highlight w:val="none"/>
        </w:rPr>
        <w:t>.</w:t>
      </w:r>
      <w:r>
        <w:rPr>
          <w:rFonts w:ascii="宋体" w:hAnsi="宋体" w:cs="宋体"/>
          <w:szCs w:val="21"/>
          <w:highlight w:val="none"/>
        </w:rPr>
        <w:t>2</w:t>
      </w:r>
      <w:r>
        <w:rPr>
          <w:rFonts w:hint="eastAsia" w:ascii="宋体" w:hAnsi="宋体" w:cs="宋体"/>
          <w:szCs w:val="21"/>
          <w:highlight w:val="none"/>
        </w:rPr>
        <w:t>谈判文件不能详细列明采购标的的技术、服务要求，需经谈判由供应商提供最后设计方案或者解决方案的，谈判结束后，谈判小组应当按照少数服从多数的原则投票推荐3家以上供应商的设计方案或者解决方案，并要求其在规定时间内以电子文件形式提交最后报价。</w:t>
      </w:r>
    </w:p>
    <w:p w14:paraId="235941EB">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hint="eastAsia" w:ascii="宋体" w:hAnsi="宋体" w:cs="宋体"/>
          <w:szCs w:val="21"/>
          <w:highlight w:val="none"/>
        </w:rPr>
      </w:pPr>
      <w:r>
        <w:rPr>
          <w:rFonts w:ascii="宋体" w:hAnsi="宋体" w:cs="宋体"/>
          <w:szCs w:val="21"/>
          <w:highlight w:val="none"/>
        </w:rPr>
        <w:t>5.3</w:t>
      </w:r>
      <w:r>
        <w:rPr>
          <w:rFonts w:hint="eastAsia" w:ascii="宋体" w:hAnsi="宋体" w:cs="宋体"/>
          <w:szCs w:val="21"/>
          <w:highlight w:val="none"/>
        </w:rPr>
        <w:t>最后报价是供应商响应文件的有效组成部分。</w:t>
      </w:r>
    </w:p>
    <w:p w14:paraId="78C09589">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pPr>
      <w:r>
        <w:rPr>
          <w:rFonts w:hint="eastAsia" w:ascii="宋体" w:hAnsi="宋体" w:eastAsia="宋体" w:cs="宋体"/>
          <w:szCs w:val="21"/>
          <w:highlight w:val="none"/>
        </w:rPr>
        <w:t>最后报价要求通过广西政府采购云平台发出，供应商须在广西政府采购云平台设置的时间内报价，最后报价不得超过采购预算金额且具有唯一性，否则否决其响应。</w:t>
      </w:r>
    </w:p>
    <w:p w14:paraId="2F5B58D2">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ascii="宋体" w:hAnsi="宋体" w:cs="宋体"/>
          <w:szCs w:val="21"/>
          <w:highlight w:val="none"/>
        </w:rPr>
        <w:t>5.4</w:t>
      </w:r>
      <w:r>
        <w:rPr>
          <w:rFonts w:hint="eastAsia" w:ascii="宋体" w:hAnsi="宋体" w:cs="宋体"/>
          <w:color w:val="auto"/>
          <w:szCs w:val="21"/>
          <w:highlight w:val="none"/>
        </w:rPr>
        <w:t>已经提交响应文件的供应商，在提交最后报价之前，可以根据谈判情况退出谈判。</w:t>
      </w:r>
      <w:r>
        <w:rPr>
          <w:rFonts w:hint="eastAsia" w:ascii="宋体"/>
          <w:color w:val="auto"/>
          <w:szCs w:val="21"/>
          <w:highlight w:val="none"/>
          <w:lang w:eastAsia="zh-CN"/>
        </w:rPr>
        <w:t>逾期不参与最终报价的视为退出磋商。谈判小组在评审报告中注明退出谈判的供应商名单。</w:t>
      </w:r>
    </w:p>
    <w:p w14:paraId="11B24571">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ascii="宋体" w:hAnsi="宋体" w:cs="宋体"/>
          <w:szCs w:val="21"/>
          <w:highlight w:val="none"/>
        </w:rPr>
        <w:t>5.5</w:t>
      </w:r>
      <w:r>
        <w:rPr>
          <w:rFonts w:hint="eastAsia" w:ascii="宋体" w:hAnsi="宋体" w:cs="宋体"/>
          <w:szCs w:val="21"/>
          <w:highlight w:val="none"/>
        </w:rPr>
        <w:t>供应商未在规定时间内提交最后报价的，视为退出谈判，其响应文件按无效响应处理。</w:t>
      </w:r>
    </w:p>
    <w:p w14:paraId="66A6565A">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hint="eastAsia" w:ascii="宋体" w:hAnsi="宋体" w:cs="宋体"/>
          <w:szCs w:val="21"/>
          <w:highlight w:val="none"/>
        </w:rPr>
        <w:t>5</w:t>
      </w:r>
      <w:r>
        <w:rPr>
          <w:rFonts w:ascii="宋体" w:hAnsi="宋体" w:cs="宋体"/>
          <w:szCs w:val="21"/>
          <w:highlight w:val="none"/>
        </w:rPr>
        <w:t>.6</w:t>
      </w:r>
      <w:r>
        <w:rPr>
          <w:rFonts w:hint="eastAsia" w:ascii="宋体" w:hAnsi="宋体" w:cs="宋体"/>
          <w:szCs w:val="21"/>
          <w:highlight w:val="none"/>
        </w:rPr>
        <w:t>谈判小组收齐某一分标最后报价后或达到规定时间后统一开启，谈判小组对最后报价进行有效性、完整性和响应程度的审查。</w:t>
      </w:r>
    </w:p>
    <w:p w14:paraId="2829C277">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ascii="宋体" w:hAnsi="宋体" w:cs="宋体"/>
          <w:szCs w:val="21"/>
          <w:highlight w:val="none"/>
        </w:rPr>
        <w:t>5.7</w:t>
      </w:r>
      <w:r>
        <w:rPr>
          <w:rFonts w:hint="eastAsia" w:ascii="宋体" w:hAnsi="宋体" w:cs="宋体"/>
          <w:szCs w:val="21"/>
          <w:highlight w:val="none"/>
        </w:rPr>
        <w:t>响应文件首次及最后报价出现前后不一致的，按照本章第</w:t>
      </w:r>
      <w:r>
        <w:rPr>
          <w:rFonts w:ascii="宋体" w:hAnsi="宋体" w:cs="宋体"/>
          <w:szCs w:val="21"/>
          <w:highlight w:val="none"/>
        </w:rPr>
        <w:t>3.4</w:t>
      </w:r>
      <w:r>
        <w:rPr>
          <w:rFonts w:hint="eastAsia" w:ascii="宋体" w:hAnsi="宋体" w:cs="宋体"/>
          <w:szCs w:val="21"/>
          <w:highlight w:val="none"/>
        </w:rPr>
        <w:t>条的规定修正。</w:t>
      </w:r>
    </w:p>
    <w:p w14:paraId="72463D56">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ascii="宋体" w:hAnsi="宋体" w:cs="宋体"/>
          <w:szCs w:val="21"/>
          <w:highlight w:val="none"/>
        </w:rPr>
        <w:t>5.8</w:t>
      </w:r>
      <w:r>
        <w:rPr>
          <w:rFonts w:hint="eastAsia" w:ascii="宋体" w:hAnsi="宋体" w:cs="宋体"/>
          <w:szCs w:val="21"/>
          <w:highlight w:val="none"/>
        </w:rPr>
        <w:t>经供应商确认修正后的最后报价作为评审及签订合同的依据。</w:t>
      </w:r>
    </w:p>
    <w:p w14:paraId="7EF27929">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hint="eastAsia" w:ascii="宋体" w:hAnsi="宋体" w:cs="宋体"/>
          <w:szCs w:val="21"/>
          <w:highlight w:val="none"/>
        </w:rPr>
      </w:pPr>
      <w:r>
        <w:rPr>
          <w:rFonts w:hint="eastAsia" w:ascii="宋体" w:hAnsi="宋体" w:cs="宋体"/>
          <w:szCs w:val="21"/>
          <w:highlight w:val="none"/>
        </w:rPr>
        <w:t>5.</w:t>
      </w:r>
      <w:r>
        <w:rPr>
          <w:rFonts w:ascii="宋体" w:hAnsi="宋体" w:cs="宋体"/>
          <w:szCs w:val="21"/>
          <w:highlight w:val="none"/>
        </w:rPr>
        <w:t>9</w:t>
      </w:r>
      <w:r>
        <w:rPr>
          <w:rFonts w:hint="eastAsia" w:ascii="宋体" w:hAnsi="宋体" w:cs="宋体"/>
          <w:szCs w:val="21"/>
          <w:highlight w:val="none"/>
        </w:rPr>
        <w:t>供应商出现最后报价按无效响应处理或者响应文件按无效响应处理时，谈判小组应当告知有关供应商。</w:t>
      </w:r>
    </w:p>
    <w:p w14:paraId="1DB9F614">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hint="eastAsia" w:ascii="宋体" w:hAnsi="宋体" w:cs="宋体"/>
          <w:szCs w:val="21"/>
          <w:highlight w:val="none"/>
        </w:rPr>
      </w:pPr>
      <w:r>
        <w:rPr>
          <w:rFonts w:ascii="宋体" w:hAnsi="宋体" w:cs="宋体"/>
          <w:szCs w:val="21"/>
          <w:highlight w:val="none"/>
        </w:rPr>
        <w:t>5.10</w:t>
      </w:r>
      <w:r>
        <w:rPr>
          <w:rFonts w:hint="eastAsia" w:ascii="宋体" w:hAnsi="宋体" w:cs="宋体"/>
          <w:szCs w:val="21"/>
          <w:highlight w:val="none"/>
        </w:rPr>
        <w:t>最后报价结束后，谈判小组不得再与供应商进行任何形式的商谈。</w:t>
      </w:r>
    </w:p>
    <w:p w14:paraId="0AD697E7">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hint="eastAsia" w:ascii="宋体" w:hAnsi="宋体" w:cs="宋体"/>
          <w:b/>
          <w:bCs/>
          <w:szCs w:val="21"/>
          <w:highlight w:val="none"/>
        </w:rPr>
      </w:pPr>
      <w:r>
        <w:rPr>
          <w:rFonts w:hint="eastAsia" w:ascii="宋体" w:hAnsi="宋体" w:cs="宋体"/>
          <w:szCs w:val="21"/>
          <w:highlight w:val="none"/>
          <w:lang w:val="en-US" w:eastAsia="zh-CN"/>
        </w:rPr>
        <w:t>5.11</w:t>
      </w:r>
      <w:r>
        <w:rPr>
          <w:rFonts w:hint="eastAsia" w:ascii="宋体" w:hAnsi="宋体" w:cs="宋体"/>
          <w:szCs w:val="21"/>
          <w:highlight w:val="none"/>
        </w:rPr>
        <w:t>在</w:t>
      </w:r>
      <w:r>
        <w:rPr>
          <w:rFonts w:hint="eastAsia" w:ascii="宋体" w:hAnsi="宋体" w:cs="宋体"/>
          <w:szCs w:val="21"/>
          <w:highlight w:val="none"/>
          <w:lang w:val="en-US" w:eastAsia="zh-CN"/>
        </w:rPr>
        <w:t>谈判</w:t>
      </w:r>
      <w:r>
        <w:rPr>
          <w:rFonts w:hint="eastAsia" w:ascii="宋体" w:hAnsi="宋体" w:cs="宋体"/>
          <w:szCs w:val="21"/>
          <w:highlight w:val="none"/>
        </w:rPr>
        <w:t>过程中，供应商二次及以后报价应采用已标价</w:t>
      </w:r>
      <w:r>
        <w:rPr>
          <w:rFonts w:hint="eastAsia" w:ascii="宋体" w:hAnsi="宋体" w:cs="宋体"/>
          <w:szCs w:val="21"/>
          <w:highlight w:val="none"/>
          <w:lang w:val="en-US" w:eastAsia="zh-CN"/>
        </w:rPr>
        <w:t>的报价表</w:t>
      </w:r>
      <w:r>
        <w:rPr>
          <w:rFonts w:hint="eastAsia" w:ascii="宋体" w:hAnsi="宋体" w:cs="宋体"/>
          <w:szCs w:val="21"/>
          <w:highlight w:val="none"/>
        </w:rPr>
        <w:t>方式报价，</w:t>
      </w:r>
      <w:r>
        <w:rPr>
          <w:rFonts w:hint="eastAsia" w:ascii="宋体" w:hAnsi="宋体" w:cs="宋体"/>
          <w:szCs w:val="21"/>
          <w:highlight w:val="none"/>
          <w:lang w:val="en-US" w:eastAsia="zh-CN"/>
        </w:rPr>
        <w:t>谈判</w:t>
      </w:r>
      <w:r>
        <w:rPr>
          <w:rFonts w:hint="eastAsia" w:ascii="宋体" w:hAnsi="宋体" w:cs="宋体"/>
          <w:szCs w:val="21"/>
          <w:highlight w:val="none"/>
        </w:rPr>
        <w:t>供应商应预先准备好调整后的已标价</w:t>
      </w:r>
      <w:r>
        <w:rPr>
          <w:rFonts w:hint="eastAsia" w:ascii="宋体" w:hAnsi="宋体" w:cs="宋体"/>
          <w:szCs w:val="21"/>
          <w:highlight w:val="none"/>
          <w:lang w:val="en-US" w:eastAsia="zh-CN"/>
        </w:rPr>
        <w:t>的报价表</w:t>
      </w:r>
      <w:r>
        <w:rPr>
          <w:rFonts w:hint="eastAsia" w:ascii="宋体" w:hAnsi="宋体" w:cs="宋体"/>
          <w:szCs w:val="21"/>
          <w:highlight w:val="none"/>
        </w:rPr>
        <w:t>作为应答文件的一部分一并上传递交。</w:t>
      </w:r>
      <w:r>
        <w:rPr>
          <w:rFonts w:hint="eastAsia" w:ascii="宋体" w:hAnsi="宋体" w:cs="宋体"/>
          <w:b/>
          <w:bCs/>
          <w:szCs w:val="21"/>
          <w:highlight w:val="none"/>
        </w:rPr>
        <w:t>（二次及以后报价总价有变动时须上传调整后的已标价</w:t>
      </w:r>
      <w:r>
        <w:rPr>
          <w:rFonts w:hint="eastAsia" w:ascii="宋体" w:hAnsi="宋体" w:cs="宋体"/>
          <w:b/>
          <w:bCs/>
          <w:szCs w:val="21"/>
          <w:highlight w:val="none"/>
          <w:lang w:val="en-US" w:eastAsia="zh-CN"/>
        </w:rPr>
        <w:t>的报价表</w:t>
      </w:r>
      <w:r>
        <w:rPr>
          <w:rFonts w:hint="eastAsia" w:ascii="宋体" w:hAnsi="宋体" w:cs="宋体"/>
          <w:b/>
          <w:bCs/>
          <w:szCs w:val="21"/>
          <w:highlight w:val="none"/>
        </w:rPr>
        <w:t>，否则，该竞标报价将被视为无效。）</w:t>
      </w:r>
    </w:p>
    <w:p w14:paraId="56385686">
      <w:pPr>
        <w:keepNext w:val="0"/>
        <w:keepLines w:val="0"/>
        <w:pageBreakBefore w:val="0"/>
        <w:widowControl w:val="0"/>
        <w:numPr>
          <w:ilvl w:val="0"/>
          <w:numId w:val="2"/>
        </w:numPr>
        <w:kinsoku/>
        <w:wordWrap/>
        <w:overflowPunct/>
        <w:topLinePunct w:val="0"/>
        <w:autoSpaceDE/>
        <w:autoSpaceDN/>
        <w:bidi w:val="0"/>
        <w:adjustRightInd/>
        <w:spacing w:line="440" w:lineRule="exact"/>
        <w:ind w:firstLine="472" w:firstLineChars="196"/>
        <w:textAlignment w:val="auto"/>
        <w:rPr>
          <w:rFonts w:hint="eastAsia" w:ascii="黑体" w:hAnsi="黑体" w:eastAsia="黑体" w:cs="宋体"/>
          <w:b/>
          <w:bCs/>
          <w:sz w:val="24"/>
          <w:highlight w:val="none"/>
        </w:rPr>
      </w:pPr>
      <w:r>
        <w:rPr>
          <w:rFonts w:hint="eastAsia" w:ascii="黑体" w:hAnsi="黑体" w:eastAsia="黑体" w:cs="宋体"/>
          <w:b/>
          <w:bCs/>
          <w:sz w:val="24"/>
          <w:highlight w:val="none"/>
        </w:rPr>
        <w:t>最后报价政府采购政策性扣除</w:t>
      </w:r>
    </w:p>
    <w:p w14:paraId="12C5CC35">
      <w:pPr>
        <w:spacing w:line="360" w:lineRule="auto"/>
        <w:ind w:firstLine="420"/>
        <w:rPr>
          <w:rFonts w:ascii="宋体" w:hAnsi="宋体" w:cs="宋体"/>
          <w:szCs w:val="21"/>
        </w:rPr>
      </w:pPr>
      <w:r>
        <w:rPr>
          <w:rFonts w:hint="eastAsia" w:ascii="宋体" w:hAnsi="宋体" w:cs="宋体"/>
          <w:szCs w:val="21"/>
          <w:lang w:val="en-US" w:eastAsia="zh-CN"/>
        </w:rPr>
        <w:t>6</w:t>
      </w:r>
      <w:r>
        <w:rPr>
          <w:rFonts w:ascii="宋体" w:hAnsi="宋体" w:cs="宋体"/>
          <w:szCs w:val="21"/>
        </w:rPr>
        <w:t>.1</w:t>
      </w:r>
      <w:r>
        <w:rPr>
          <w:rFonts w:hint="eastAsia" w:ascii="宋体" w:hAnsi="宋体" w:cs="宋体"/>
          <w:szCs w:val="21"/>
        </w:rPr>
        <w:t>评审价为供应商的最后报价进行政策性扣除后的价格，评审价只是作为评审时使用。最终成交供应商的成交金额等于最后报价（如有修正，以确认修正后的最后报价为准）。</w:t>
      </w:r>
    </w:p>
    <w:p w14:paraId="7C8A6BEC">
      <w:pPr>
        <w:spacing w:line="360" w:lineRule="auto"/>
        <w:ind w:firstLine="424"/>
        <w:jc w:val="left"/>
        <w:rPr>
          <w:rFonts w:ascii="宋体" w:hAnsi="宋体"/>
          <w:b/>
          <w:bCs/>
          <w:spacing w:val="-6"/>
          <w:szCs w:val="21"/>
        </w:rPr>
      </w:pPr>
      <w:r>
        <w:rPr>
          <w:rFonts w:hint="eastAsia" w:ascii="宋体" w:hAnsi="宋体" w:cs="宋体"/>
          <w:b/>
          <w:bCs/>
          <w:szCs w:val="21"/>
          <w:lang w:val="en-US" w:eastAsia="zh-CN"/>
        </w:rPr>
        <w:t>6</w:t>
      </w:r>
      <w:r>
        <w:rPr>
          <w:rFonts w:ascii="宋体" w:hAnsi="宋体" w:cs="宋体"/>
          <w:b/>
          <w:bCs/>
          <w:szCs w:val="21"/>
        </w:rPr>
        <w:t>.2</w:t>
      </w:r>
      <w:r>
        <w:rPr>
          <w:rFonts w:hint="eastAsia" w:ascii="宋体" w:hAnsi="宋体"/>
          <w:b/>
          <w:bCs/>
          <w:szCs w:val="21"/>
        </w:rPr>
        <w:t>异常低价响应审查</w:t>
      </w:r>
    </w:p>
    <w:p w14:paraId="69303355">
      <w:pPr>
        <w:spacing w:line="360" w:lineRule="auto"/>
        <w:ind w:firstLine="420"/>
        <w:rPr>
          <w:rFonts w:ascii="宋体" w:hAnsi="宋体"/>
          <w:szCs w:val="21"/>
        </w:rPr>
      </w:pPr>
      <w:r>
        <w:rPr>
          <w:rFonts w:hint="eastAsia" w:ascii="宋体" w:hAnsi="宋体"/>
          <w:szCs w:val="21"/>
        </w:rPr>
        <w:t>（1）谈判小组在评审中发现下列情形之一的，应当启动异常低价响应审查程序：</w:t>
      </w:r>
    </w:p>
    <w:p w14:paraId="4DA6D5FB">
      <w:pPr>
        <w:spacing w:line="360" w:lineRule="auto"/>
        <w:ind w:firstLine="420"/>
        <w:rPr>
          <w:rFonts w:ascii="宋体" w:hAnsi="宋体"/>
          <w:szCs w:val="21"/>
        </w:rPr>
      </w:pPr>
      <w:r>
        <w:rPr>
          <w:rFonts w:hint="eastAsia" w:ascii="宋体" w:hAnsi="宋体"/>
          <w:szCs w:val="21"/>
        </w:rPr>
        <w:t>①响应报价低于全部通过符合性审查供应商响应报价平均值</w:t>
      </w:r>
      <w:r>
        <w:rPr>
          <w:rFonts w:hint="eastAsia" w:ascii="宋体" w:hAnsi="宋体"/>
          <w:szCs w:val="21"/>
          <w:u w:val="single"/>
        </w:rPr>
        <w:t>65%</w:t>
      </w:r>
      <w:r>
        <w:rPr>
          <w:rFonts w:hint="eastAsia" w:ascii="宋体" w:hAnsi="宋体"/>
          <w:szCs w:val="21"/>
        </w:rPr>
        <w:t>的，即响应报价＜全部通过符合性审查供应商响应报价平均值×</w:t>
      </w:r>
      <w:r>
        <w:rPr>
          <w:rFonts w:hint="eastAsia" w:ascii="宋体" w:hAnsi="宋体"/>
          <w:szCs w:val="21"/>
          <w:u w:val="single"/>
        </w:rPr>
        <w:t>65%</w:t>
      </w:r>
      <w:r>
        <w:rPr>
          <w:rFonts w:hint="eastAsia" w:ascii="宋体" w:hAnsi="宋体"/>
          <w:szCs w:val="21"/>
        </w:rPr>
        <w:t>；</w:t>
      </w:r>
    </w:p>
    <w:p w14:paraId="091871F2">
      <w:pPr>
        <w:spacing w:line="360" w:lineRule="auto"/>
        <w:ind w:firstLine="420"/>
        <w:rPr>
          <w:rFonts w:ascii="宋体" w:hAnsi="宋体"/>
          <w:szCs w:val="21"/>
        </w:rPr>
      </w:pPr>
      <w:r>
        <w:rPr>
          <w:rFonts w:hint="eastAsia" w:ascii="宋体" w:hAnsi="宋体"/>
          <w:szCs w:val="21"/>
        </w:rPr>
        <w:t>②响应报价低于通过符合性审查的次低报价供应商响应报价</w:t>
      </w:r>
      <w:r>
        <w:rPr>
          <w:rFonts w:hint="eastAsia" w:ascii="宋体" w:hAnsi="宋体"/>
          <w:szCs w:val="21"/>
          <w:u w:val="single"/>
        </w:rPr>
        <w:t>65%</w:t>
      </w:r>
      <w:r>
        <w:rPr>
          <w:rFonts w:hint="eastAsia" w:ascii="宋体" w:hAnsi="宋体"/>
          <w:szCs w:val="21"/>
        </w:rPr>
        <w:t>的，即响应报价＜通过符合性审查的次低报价供应商响应报价×</w:t>
      </w:r>
      <w:r>
        <w:rPr>
          <w:rFonts w:ascii="宋体" w:hAnsi="宋体"/>
          <w:szCs w:val="21"/>
          <w:u w:val="single"/>
        </w:rPr>
        <w:t xml:space="preserve"> </w:t>
      </w:r>
      <w:r>
        <w:rPr>
          <w:rFonts w:hint="eastAsia" w:ascii="宋体" w:hAnsi="宋体"/>
          <w:szCs w:val="21"/>
          <w:u w:val="single"/>
        </w:rPr>
        <w:t>65%</w:t>
      </w:r>
      <w:r>
        <w:rPr>
          <w:rFonts w:ascii="宋体" w:hAnsi="宋体"/>
          <w:szCs w:val="21"/>
          <w:u w:val="single"/>
        </w:rPr>
        <w:t xml:space="preserve"> </w:t>
      </w:r>
      <w:r>
        <w:rPr>
          <w:rFonts w:hint="eastAsia" w:ascii="宋体" w:hAnsi="宋体"/>
          <w:szCs w:val="21"/>
        </w:rPr>
        <w:t>；</w:t>
      </w:r>
    </w:p>
    <w:p w14:paraId="60C33AC0">
      <w:pPr>
        <w:spacing w:line="360" w:lineRule="auto"/>
        <w:ind w:firstLine="420"/>
        <w:rPr>
          <w:rFonts w:ascii="宋体" w:hAnsi="宋体"/>
          <w:szCs w:val="21"/>
        </w:rPr>
      </w:pPr>
      <w:r>
        <w:rPr>
          <w:rFonts w:hint="eastAsia" w:ascii="宋体" w:hAnsi="宋体"/>
          <w:szCs w:val="21"/>
        </w:rPr>
        <w:t>③响应报价低于采购项目最高限价</w:t>
      </w:r>
      <w:r>
        <w:rPr>
          <w:rFonts w:hint="eastAsia" w:ascii="宋体" w:hAnsi="宋体"/>
          <w:szCs w:val="21"/>
          <w:u w:val="single"/>
        </w:rPr>
        <w:t>65%</w:t>
      </w:r>
      <w:r>
        <w:rPr>
          <w:rFonts w:hint="eastAsia" w:ascii="宋体" w:hAnsi="宋体"/>
          <w:szCs w:val="21"/>
        </w:rPr>
        <w:t>的，即响应报价＜采购项目最高限价×</w:t>
      </w:r>
      <w:r>
        <w:rPr>
          <w:rFonts w:hint="eastAsia" w:ascii="宋体" w:hAnsi="宋体"/>
          <w:szCs w:val="21"/>
          <w:u w:val="single"/>
        </w:rPr>
        <w:t>65%</w:t>
      </w:r>
      <w:r>
        <w:rPr>
          <w:rFonts w:hint="eastAsia" w:ascii="宋体" w:hAnsi="宋体"/>
          <w:szCs w:val="21"/>
        </w:rPr>
        <w:t>；</w:t>
      </w:r>
    </w:p>
    <w:p w14:paraId="13CBAC73">
      <w:pPr>
        <w:spacing w:line="360" w:lineRule="auto"/>
        <w:ind w:firstLine="420"/>
        <w:rPr>
          <w:rFonts w:ascii="宋体" w:hAnsi="宋体"/>
          <w:szCs w:val="21"/>
        </w:rPr>
      </w:pPr>
      <w:r>
        <w:rPr>
          <w:rFonts w:hint="eastAsia" w:ascii="宋体" w:hAnsi="宋体"/>
          <w:szCs w:val="21"/>
        </w:rPr>
        <w:t>④谈判小组基于专业判断，认为供应商报价过低，有可能影响产品质量或者不能诚信履约的其他情形。</w:t>
      </w:r>
    </w:p>
    <w:p w14:paraId="299EBDFE">
      <w:pPr>
        <w:spacing w:line="360" w:lineRule="auto"/>
        <w:ind w:firstLine="420"/>
        <w:rPr>
          <w:rFonts w:ascii="宋体" w:hAnsi="宋体"/>
          <w:szCs w:val="21"/>
        </w:rPr>
      </w:pPr>
      <w:r>
        <w:rPr>
          <w:rFonts w:hint="eastAsia" w:ascii="宋体" w:hAnsi="宋体"/>
          <w:szCs w:val="21"/>
        </w:rPr>
        <w:t>（2）谈判小组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③项情形，供应商已随响应文件一并提交相关书面说明及必要的证明材料的，可不再重复提交。</w:t>
      </w:r>
    </w:p>
    <w:p w14:paraId="0BBE1B03">
      <w:pPr>
        <w:spacing w:line="360" w:lineRule="auto"/>
        <w:ind w:firstLine="420"/>
        <w:rPr>
          <w:rFonts w:ascii="宋体" w:hAnsi="宋体"/>
          <w:szCs w:val="21"/>
        </w:rPr>
      </w:pPr>
      <w:r>
        <w:rPr>
          <w:rFonts w:hint="eastAsia" w:ascii="宋体" w:hAnsi="宋体"/>
          <w:szCs w:val="21"/>
        </w:rPr>
        <w:t>谈判小组依据专业经验，参考同类项目中标（成交）价格、类似产品市场价格水平、行业人工费用标准、国家有关部门指导行业协会发布的行业平均成本等情况，对报价合理性进行判断。</w:t>
      </w:r>
      <w:r>
        <w:rPr>
          <w:rFonts w:hint="eastAsia" w:ascii="宋体" w:hAnsi="宋体"/>
          <w:b/>
          <w:szCs w:val="21"/>
        </w:rPr>
        <w:t>相关供应商不能提供书面说明、证明材料，或者提供的书面说明、证明材料不能证明其报价合理性的，谈判小组应当将其作为无效响应处理。</w:t>
      </w:r>
    </w:p>
    <w:p w14:paraId="64519E26">
      <w:pPr>
        <w:spacing w:line="360" w:lineRule="auto"/>
        <w:ind w:firstLine="420"/>
        <w:rPr>
          <w:rFonts w:ascii="宋体" w:hAnsi="宋体"/>
          <w:szCs w:val="21"/>
        </w:rPr>
      </w:pPr>
      <w:r>
        <w:rPr>
          <w:rFonts w:hint="eastAsia" w:ascii="宋体" w:hAnsi="宋体"/>
          <w:szCs w:val="21"/>
        </w:rPr>
        <w:t>采购人、采购代理机构应当为谈判小组在评审现场及时获取同类项目中标（成交）价格、类似产品市场价格水平、行业人工费用标准、国家有关部门指导行业协会发布的行业平均成本等相关信息资料提供便利。谈判小组借助互联网等渠道查询相关信息的，应当严格遵守评审工作纪律，不得实施影响评审公正的行为。</w:t>
      </w:r>
    </w:p>
    <w:p w14:paraId="3590387B">
      <w:pPr>
        <w:spacing w:line="360" w:lineRule="auto"/>
        <w:ind w:firstLine="420"/>
      </w:pPr>
      <w:r>
        <w:rPr>
          <w:rFonts w:hint="eastAsia" w:ascii="宋体" w:hAnsi="宋体"/>
          <w:szCs w:val="21"/>
        </w:rPr>
        <w:t>异常低价响应审查的启动原因、审查意见和审查结果应当在评审报告中记录，并随供应商提供的相关书面说明及证明材料，以及谈判小组有关互联网浏览、查询历史一并归档。</w:t>
      </w:r>
    </w:p>
    <w:p w14:paraId="6086FA9E">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hint="eastAsia" w:ascii="宋体" w:hAnsi="宋体" w:cs="宋体"/>
          <w:szCs w:val="21"/>
          <w:highlight w:val="none"/>
        </w:rPr>
        <w:t>6</w:t>
      </w:r>
      <w:r>
        <w:rPr>
          <w:rFonts w:ascii="宋体" w:hAnsi="宋体" w:cs="宋体"/>
          <w:szCs w:val="21"/>
          <w:highlight w:val="none"/>
        </w:rPr>
        <w:t>.</w:t>
      </w:r>
      <w:r>
        <w:rPr>
          <w:rFonts w:hint="eastAsia" w:ascii="宋体" w:hAnsi="宋体" w:cs="宋体"/>
          <w:szCs w:val="21"/>
          <w:highlight w:val="none"/>
          <w:lang w:val="en-US" w:eastAsia="zh-CN"/>
        </w:rPr>
        <w:t>3</w:t>
      </w:r>
      <w:r>
        <w:rPr>
          <w:rFonts w:hint="eastAsia" w:ascii="宋体" w:hAnsi="宋体" w:cs="宋体"/>
          <w:szCs w:val="21"/>
          <w:highlight w:val="none"/>
        </w:rPr>
        <w:t>评标价为供应商的最后报价进行政策性扣除后的价格，评标价只是作为评审时使用。最终成交供应商的成交金额等于最后报价（如有修正，以确认修正后的最后报价为准）。</w:t>
      </w:r>
    </w:p>
    <w:p w14:paraId="1FF8495E">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hint="eastAsia" w:ascii="宋体" w:hAnsi="宋体" w:cs="宋体"/>
          <w:szCs w:val="21"/>
          <w:highlight w:val="none"/>
          <w:lang w:val="en-US" w:eastAsia="zh-CN"/>
        </w:rPr>
        <w:t>6.4</w:t>
      </w:r>
      <w:r>
        <w:rPr>
          <w:rFonts w:hint="eastAsia" w:ascii="宋体" w:hAnsi="宋体" w:cs="宋体"/>
          <w:szCs w:val="21"/>
          <w:highlight w:val="none"/>
        </w:rPr>
        <w:t>政策性扣除计算方法。</w:t>
      </w:r>
    </w:p>
    <w:p w14:paraId="365B34BF">
      <w:pPr>
        <w:keepNext w:val="0"/>
        <w:keepLines w:val="0"/>
        <w:pageBreakBefore w:val="0"/>
        <w:widowControl w:val="0"/>
        <w:kinsoku/>
        <w:wordWrap/>
        <w:overflowPunct/>
        <w:topLinePunct w:val="0"/>
        <w:autoSpaceDE/>
        <w:autoSpaceDN/>
        <w:bidi w:val="0"/>
        <w:adjustRightInd/>
        <w:spacing w:line="440" w:lineRule="exact"/>
        <w:ind w:firstLine="422" w:firstLineChars="200"/>
        <w:textAlignment w:val="auto"/>
        <w:rPr>
          <w:rFonts w:hint="eastAsia" w:ascii="宋体" w:hAnsi="宋体" w:cs="宋体"/>
          <w:b/>
          <w:bCs/>
          <w:szCs w:val="21"/>
          <w:highlight w:val="none"/>
        </w:rPr>
      </w:pPr>
      <w:r>
        <w:rPr>
          <w:rFonts w:hint="eastAsia" w:ascii="宋体" w:hAnsi="宋体" w:cs="宋体"/>
          <w:b/>
          <w:bCs/>
          <w:szCs w:val="21"/>
          <w:highlight w:val="none"/>
        </w:rPr>
        <w:t>根据《政府采购促进中小企业发展管理办法》(财库(2020)46号)及《广西壮族自治区财政厅关于持续优化政府采购营商环境推动高质量发展的通知》(桂财采(2024)55号)的规定，竞标人在其响应文件中提供《中小企业声明函》，且其竞标全部货物由小微企业制造的，对其竞标报价给予10%的扣除，扣除后的价格为评标报价，即评标报价=竞标报价X(1-10%)。除上述情况外，评标报价=最终竞标报价。</w:t>
      </w:r>
    </w:p>
    <w:p w14:paraId="6776233D">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szCs w:val="21"/>
          <w:highlight w:val="none"/>
        </w:rPr>
      </w:pPr>
      <w:r>
        <w:rPr>
          <w:rFonts w:hint="eastAsia" w:ascii="宋体" w:hAnsi="宋体" w:cs="宋体"/>
          <w:szCs w:val="21"/>
          <w:highlight w:val="none"/>
          <w:lang w:val="en-US" w:eastAsia="zh-CN"/>
        </w:rPr>
        <w:t>6.5</w:t>
      </w:r>
      <w:r>
        <w:rPr>
          <w:rFonts w:hint="eastAsia" w:ascii="宋体" w:hAnsi="宋体" w:cs="宋体"/>
          <w:szCs w:val="21"/>
          <w:highlight w:val="none"/>
        </w:rPr>
        <w:t>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不重复享受政策。</w:t>
      </w:r>
    </w:p>
    <w:p w14:paraId="2EEDDCF3">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hint="eastAsia" w:ascii="宋体" w:hAnsi="宋体" w:cs="宋体"/>
          <w:highlight w:val="none"/>
        </w:rPr>
      </w:pPr>
      <w:r>
        <w:rPr>
          <w:rFonts w:hint="eastAsia" w:ascii="宋体" w:hAnsi="宋体" w:cs="宋体"/>
          <w:szCs w:val="21"/>
          <w:highlight w:val="none"/>
          <w:lang w:val="en-US" w:eastAsia="zh-CN"/>
        </w:rPr>
        <w:t>6.6</w:t>
      </w:r>
      <w:r>
        <w:rPr>
          <w:rFonts w:hint="eastAsia" w:ascii="宋体" w:hAnsi="宋体" w:cs="宋体"/>
          <w:szCs w:val="21"/>
          <w:highlight w:val="none"/>
        </w:rPr>
        <w:t>按照《关于促进残疾人就业政府采购政策的通知》（财库〔2017〕141号）的规定，残疾人福利性单位视同小型、微型企业，享受预留份额、评审中价格扣除等</w:t>
      </w:r>
      <w:r>
        <w:rPr>
          <w:rFonts w:hint="eastAsia" w:ascii="宋体" w:hAnsi="宋体" w:cs="宋体"/>
          <w:highlight w:val="none"/>
        </w:rPr>
        <w:t>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303C83EA">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hint="eastAsia" w:ascii="宋体" w:hAnsi="宋体" w:cs="宋体"/>
          <w:szCs w:val="21"/>
          <w:highlight w:val="none"/>
          <w:lang w:val="en-US" w:eastAsia="zh-CN"/>
        </w:rPr>
      </w:pPr>
      <w:r>
        <w:rPr>
          <w:rFonts w:hint="eastAsia" w:ascii="宋体" w:hAnsi="宋体" w:cs="宋体"/>
          <w:szCs w:val="21"/>
          <w:highlight w:val="none"/>
          <w:lang w:val="en-US" w:eastAsia="zh-CN"/>
        </w:rPr>
        <w:t xml:space="preserve">6.7本国产品政策性扣除计算方法。 </w:t>
      </w:r>
    </w:p>
    <w:p w14:paraId="25C5B021">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hint="eastAsia" w:ascii="宋体" w:hAnsi="宋体" w:cs="宋体"/>
          <w:szCs w:val="21"/>
          <w:highlight w:val="none"/>
          <w:lang w:val="en-US" w:eastAsia="zh-CN"/>
        </w:rPr>
      </w:pPr>
      <w:r>
        <w:rPr>
          <w:rFonts w:hint="eastAsia" w:ascii="宋体" w:hAnsi="宋体" w:cs="宋体"/>
          <w:szCs w:val="21"/>
          <w:highlight w:val="none"/>
          <w:lang w:val="en-US" w:eastAsia="zh-CN"/>
        </w:rPr>
        <w:t xml:space="preserve">根据《国务院办公厅关于在政府采购中实施本国产品标准及相关政策的通知》（国办发〔2025〕34 号）的规定，政府采购活动中既有本国产品又有非本国产品参与竞争的，依法对本国产品给予价格评审优惠，对本国产品的报价给予20%的价格扣除，用扣除后的价格参与评审。 </w:t>
      </w:r>
    </w:p>
    <w:p w14:paraId="08A092EF">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hint="eastAsia" w:ascii="宋体" w:hAnsi="宋体" w:cs="宋体"/>
          <w:szCs w:val="21"/>
          <w:highlight w:val="none"/>
          <w:lang w:val="en-US" w:eastAsia="zh-CN"/>
        </w:rPr>
      </w:pPr>
      <w:r>
        <w:rPr>
          <w:rFonts w:hint="eastAsia" w:ascii="宋体" w:hAnsi="宋体" w:cs="宋体"/>
          <w:szCs w:val="21"/>
          <w:highlight w:val="none"/>
          <w:lang w:val="en-US" w:eastAsia="zh-CN"/>
        </w:rPr>
        <w:t xml:space="preserve">当采购项目或者采购包中含有多种产品，供应商为该采购项目或者采购包提供的符合本国产品标准的产品成本之和占该供应商提供的全部产品成本之和的比例达到 80%以上时，依法对该供应商提供的全部产品给予价格评审优惠，即对该供应商提供的全部产品的总报价给予 20%的价格扣除，用扣除后的价格参与评审。未达到80%，不享受价格评审优惠。 </w:t>
      </w:r>
    </w:p>
    <w:p w14:paraId="32886507">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hint="eastAsia" w:ascii="宋体" w:hAnsi="宋体" w:cs="宋体"/>
          <w:szCs w:val="21"/>
          <w:highlight w:val="none"/>
          <w:lang w:val="en-US" w:eastAsia="zh-CN"/>
        </w:rPr>
      </w:pPr>
      <w:r>
        <w:rPr>
          <w:rFonts w:hint="eastAsia" w:ascii="宋体" w:hAnsi="宋体" w:cs="宋体"/>
          <w:szCs w:val="21"/>
          <w:highlight w:val="none"/>
          <w:lang w:val="en-US" w:eastAsia="zh-CN"/>
        </w:rPr>
        <w:t xml:space="preserve">供应商在其投标文件中提供《关于符合本国产品标准的声明函》或财政部会同有关部门规定的有关证明文件，出具符合要求的《声明函》或有关证明文件的，该产品视为本国产品。 </w:t>
      </w:r>
    </w:p>
    <w:p w14:paraId="6189E628">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hint="eastAsia" w:ascii="宋体" w:hAnsi="宋体" w:cs="宋体"/>
          <w:szCs w:val="21"/>
          <w:highlight w:val="none"/>
          <w:lang w:val="en-US" w:eastAsia="zh-CN"/>
        </w:rPr>
      </w:pPr>
      <w:r>
        <w:rPr>
          <w:rFonts w:hint="eastAsia" w:ascii="宋体" w:hAnsi="宋体" w:cs="宋体"/>
          <w:szCs w:val="21"/>
          <w:highlight w:val="none"/>
          <w:lang w:val="en-US" w:eastAsia="zh-CN"/>
        </w:rPr>
        <w:t>如果所有参与竞争的供应商均可享受本国产品价格评审优惠，则统一不进行价格扣除。</w:t>
      </w:r>
    </w:p>
    <w:p w14:paraId="1620319E">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highlight w:val="none"/>
        </w:rPr>
      </w:pPr>
      <w:r>
        <w:rPr>
          <w:rFonts w:hint="eastAsia" w:ascii="宋体" w:hAnsi="宋体" w:cs="宋体"/>
          <w:highlight w:val="none"/>
          <w:lang w:val="en-US" w:eastAsia="zh-CN"/>
        </w:rPr>
        <w:t>6.8</w:t>
      </w:r>
      <w:r>
        <w:rPr>
          <w:rFonts w:hint="eastAsia" w:ascii="宋体" w:hAnsi="宋体" w:cs="宋体"/>
          <w:highlight w:val="none"/>
        </w:rPr>
        <w:t>除上述情况外，评标价＝最后报价。</w:t>
      </w:r>
    </w:p>
    <w:p w14:paraId="17C22221">
      <w:pPr>
        <w:keepNext w:val="0"/>
        <w:keepLines w:val="0"/>
        <w:pageBreakBefore w:val="0"/>
        <w:widowControl w:val="0"/>
        <w:kinsoku/>
        <w:wordWrap/>
        <w:overflowPunct/>
        <w:topLinePunct w:val="0"/>
        <w:autoSpaceDE/>
        <w:autoSpaceDN/>
        <w:bidi w:val="0"/>
        <w:adjustRightInd/>
        <w:spacing w:line="440" w:lineRule="exact"/>
        <w:ind w:firstLine="420" w:firstLineChars="200"/>
        <w:textAlignment w:val="auto"/>
        <w:rPr>
          <w:rFonts w:ascii="宋体" w:hAnsi="宋体" w:cs="宋体"/>
          <w:highlight w:val="none"/>
        </w:rPr>
      </w:pPr>
      <w:bookmarkStart w:id="41" w:name="_GoBack"/>
      <w:bookmarkEnd w:id="41"/>
    </w:p>
    <w:p w14:paraId="309EED41">
      <w:pPr>
        <w:keepNext w:val="0"/>
        <w:keepLines w:val="0"/>
        <w:pageBreakBefore w:val="0"/>
        <w:widowControl w:val="0"/>
        <w:kinsoku/>
        <w:wordWrap/>
        <w:overflowPunct/>
        <w:topLinePunct w:val="0"/>
        <w:autoSpaceDE/>
        <w:autoSpaceDN/>
        <w:bidi w:val="0"/>
        <w:adjustRightInd/>
        <w:spacing w:line="440" w:lineRule="exact"/>
        <w:jc w:val="center"/>
        <w:textAlignment w:val="auto"/>
        <w:rPr>
          <w:rFonts w:ascii="宋体" w:hAnsi="宋体"/>
          <w:b/>
          <w:sz w:val="32"/>
          <w:szCs w:val="32"/>
          <w:highlight w:val="none"/>
        </w:rPr>
      </w:pPr>
      <w:r>
        <w:rPr>
          <w:rFonts w:hint="eastAsia" w:ascii="宋体" w:hAnsi="宋体"/>
          <w:b/>
          <w:sz w:val="32"/>
          <w:szCs w:val="32"/>
          <w:highlight w:val="none"/>
        </w:rPr>
        <w:t>二、评定成交的标准</w:t>
      </w:r>
    </w:p>
    <w:p w14:paraId="1E679516">
      <w:pPr>
        <w:keepNext w:val="0"/>
        <w:keepLines w:val="0"/>
        <w:pageBreakBefore w:val="0"/>
        <w:widowControl w:val="0"/>
        <w:kinsoku/>
        <w:wordWrap/>
        <w:overflowPunct/>
        <w:topLinePunct w:val="0"/>
        <w:autoSpaceDE/>
        <w:autoSpaceDN/>
        <w:bidi w:val="0"/>
        <w:adjustRightInd/>
        <w:spacing w:line="440" w:lineRule="exact"/>
        <w:ind w:firstLine="482" w:firstLineChars="200"/>
        <w:textAlignment w:val="auto"/>
        <w:rPr>
          <w:rFonts w:ascii="黑体" w:hAnsi="黑体" w:eastAsia="黑体" w:cs="宋体"/>
          <w:b/>
          <w:bCs/>
          <w:sz w:val="24"/>
          <w:highlight w:val="none"/>
        </w:rPr>
      </w:pPr>
      <w:r>
        <w:rPr>
          <w:rFonts w:ascii="黑体" w:hAnsi="黑体" w:eastAsia="黑体" w:cs="宋体"/>
          <w:b/>
          <w:bCs/>
          <w:sz w:val="24"/>
          <w:highlight w:val="none"/>
        </w:rPr>
        <w:t>7.</w:t>
      </w:r>
      <w:r>
        <w:rPr>
          <w:rFonts w:hint="eastAsia" w:ascii="黑体" w:hAnsi="黑体" w:eastAsia="黑体" w:cs="宋体"/>
          <w:b/>
          <w:bCs/>
          <w:sz w:val="24"/>
          <w:highlight w:val="none"/>
        </w:rPr>
        <w:t xml:space="preserve"> 成交候选人推荐原则</w:t>
      </w:r>
    </w:p>
    <w:p w14:paraId="440CD36C">
      <w:pPr>
        <w:keepNext w:val="0"/>
        <w:keepLines w:val="0"/>
        <w:pageBreakBefore w:val="0"/>
        <w:widowControl w:val="0"/>
        <w:kinsoku/>
        <w:wordWrap/>
        <w:overflowPunct/>
        <w:topLinePunct w:val="0"/>
        <w:autoSpaceDE/>
        <w:autoSpaceDN/>
        <w:bidi w:val="0"/>
        <w:adjustRightInd/>
        <w:spacing w:line="440" w:lineRule="exact"/>
        <w:ind w:firstLine="424" w:firstLineChars="202"/>
        <w:jc w:val="left"/>
        <w:textAlignment w:val="auto"/>
        <w:rPr>
          <w:rFonts w:ascii="宋体" w:hAnsi="宋体" w:cs="宋体"/>
          <w:highlight w:val="none"/>
        </w:rPr>
      </w:pPr>
      <w:r>
        <w:rPr>
          <w:rFonts w:hint="eastAsia" w:ascii="宋体" w:hAnsi="宋体" w:cs="宋体"/>
          <w:highlight w:val="none"/>
        </w:rPr>
        <w:t>谈判小组应当从质量和服务均能满足谈判文件实质性响应要求的供应商中，按照评标价由低到高的顺序提出3名以上成交候选人（评标价相同时，按照最后报价由低到高顺序依次推荐；最后报价相同时，由谈判小组按“供应商须知前附表”第2</w:t>
      </w:r>
      <w:r>
        <w:rPr>
          <w:rFonts w:ascii="宋体" w:hAnsi="宋体" w:cs="宋体"/>
          <w:highlight w:val="none"/>
        </w:rPr>
        <w:t>6</w:t>
      </w:r>
      <w:r>
        <w:rPr>
          <w:rFonts w:hint="eastAsia" w:ascii="宋体" w:hAnsi="宋体" w:cs="宋体"/>
          <w:highlight w:val="none"/>
        </w:rPr>
        <w:t>条规定的顺序推荐）,并编写评审报告。</w:t>
      </w:r>
    </w:p>
    <w:p w14:paraId="554718CF">
      <w:pPr>
        <w:spacing w:line="500" w:lineRule="exact"/>
        <w:jc w:val="center"/>
        <w:rPr>
          <w:rFonts w:ascii="宋体"/>
          <w:b/>
          <w:sz w:val="30"/>
          <w:szCs w:val="30"/>
          <w:highlight w:val="none"/>
        </w:rPr>
      </w:pPr>
      <w:r>
        <w:rPr>
          <w:rFonts w:ascii="宋体"/>
          <w:b/>
          <w:sz w:val="30"/>
          <w:szCs w:val="30"/>
          <w:highlight w:val="none"/>
        </w:rPr>
        <w:br w:type="page"/>
      </w:r>
    </w:p>
    <w:p w14:paraId="22BA6F4A">
      <w:pPr>
        <w:pStyle w:val="11"/>
        <w:rPr>
          <w:highlight w:val="none"/>
        </w:rPr>
      </w:pPr>
    </w:p>
    <w:p w14:paraId="4AD9F3A5">
      <w:pPr>
        <w:pStyle w:val="3"/>
        <w:rPr>
          <w:rFonts w:hint="eastAsia"/>
          <w:szCs w:val="30"/>
          <w:highlight w:val="none"/>
        </w:rPr>
      </w:pPr>
      <w:bookmarkStart w:id="13" w:name="_Toc119076884"/>
    </w:p>
    <w:p w14:paraId="30CC61F9">
      <w:pPr>
        <w:pStyle w:val="3"/>
        <w:rPr>
          <w:rFonts w:hint="eastAsia"/>
          <w:szCs w:val="30"/>
          <w:highlight w:val="none"/>
        </w:rPr>
      </w:pPr>
    </w:p>
    <w:p w14:paraId="475F564F">
      <w:pPr>
        <w:pStyle w:val="3"/>
        <w:rPr>
          <w:szCs w:val="30"/>
          <w:highlight w:val="none"/>
        </w:rPr>
      </w:pPr>
      <w:r>
        <w:rPr>
          <w:rFonts w:hint="eastAsia"/>
          <w:szCs w:val="30"/>
          <w:highlight w:val="none"/>
        </w:rPr>
        <w:t>第五章  响应文件格式</w:t>
      </w:r>
      <w:bookmarkEnd w:id="13"/>
    </w:p>
    <w:p w14:paraId="0144AB44">
      <w:pPr>
        <w:spacing w:line="500" w:lineRule="exact"/>
        <w:jc w:val="center"/>
        <w:rPr>
          <w:rFonts w:ascii="宋体"/>
          <w:sz w:val="30"/>
          <w:szCs w:val="30"/>
          <w:highlight w:val="none"/>
        </w:rPr>
      </w:pPr>
      <w:r>
        <w:rPr>
          <w:rFonts w:hint="eastAsia" w:ascii="宋体"/>
          <w:sz w:val="30"/>
          <w:szCs w:val="30"/>
          <w:highlight w:val="none"/>
        </w:rPr>
        <w:t>（以下格式仅供参考）</w:t>
      </w:r>
    </w:p>
    <w:p w14:paraId="1BF8CADE">
      <w:pPr>
        <w:spacing w:line="500" w:lineRule="exact"/>
        <w:jc w:val="center"/>
        <w:rPr>
          <w:rFonts w:ascii="宋体"/>
          <w:sz w:val="24"/>
          <w:highlight w:val="none"/>
        </w:rPr>
      </w:pPr>
    </w:p>
    <w:p w14:paraId="17675F71">
      <w:pPr>
        <w:spacing w:line="500" w:lineRule="exact"/>
        <w:jc w:val="center"/>
        <w:rPr>
          <w:rFonts w:ascii="宋体"/>
          <w:sz w:val="24"/>
          <w:highlight w:val="none"/>
        </w:rPr>
      </w:pPr>
    </w:p>
    <w:p w14:paraId="361B7064">
      <w:pPr>
        <w:pStyle w:val="11"/>
        <w:rPr>
          <w:highlight w:val="none"/>
        </w:rPr>
      </w:pPr>
    </w:p>
    <w:p w14:paraId="385ECAE4">
      <w:pPr>
        <w:rPr>
          <w:highlight w:val="none"/>
        </w:rPr>
      </w:pPr>
    </w:p>
    <w:p w14:paraId="791634A8">
      <w:pPr>
        <w:pStyle w:val="11"/>
        <w:rPr>
          <w:sz w:val="24"/>
          <w:highlight w:val="none"/>
        </w:rPr>
      </w:pPr>
      <w:r>
        <w:rPr>
          <w:rFonts w:hint="eastAsia"/>
          <w:sz w:val="24"/>
          <w:highlight w:val="none"/>
        </w:rPr>
        <w:t>响应文件封面格式：</w:t>
      </w:r>
    </w:p>
    <w:p w14:paraId="193EAF96">
      <w:pPr>
        <w:spacing w:line="500" w:lineRule="exact"/>
        <w:jc w:val="right"/>
        <w:rPr>
          <w:rFonts w:ascii="宋体"/>
          <w:sz w:val="44"/>
          <w:szCs w:val="44"/>
          <w:highlight w:val="none"/>
        </w:rPr>
      </w:pPr>
    </w:p>
    <w:p w14:paraId="6DA9DF2B">
      <w:pPr>
        <w:spacing w:line="500" w:lineRule="exact"/>
        <w:jc w:val="center"/>
        <w:rPr>
          <w:rFonts w:ascii="宋体"/>
          <w:b/>
          <w:sz w:val="44"/>
          <w:szCs w:val="44"/>
          <w:highlight w:val="none"/>
        </w:rPr>
      </w:pPr>
    </w:p>
    <w:p w14:paraId="2CC79FB6">
      <w:pPr>
        <w:spacing w:line="500" w:lineRule="exact"/>
        <w:jc w:val="center"/>
        <w:rPr>
          <w:rFonts w:ascii="宋体"/>
          <w:b/>
          <w:sz w:val="44"/>
          <w:szCs w:val="44"/>
          <w:highlight w:val="none"/>
        </w:rPr>
      </w:pPr>
    </w:p>
    <w:p w14:paraId="42AB9420">
      <w:pPr>
        <w:spacing w:line="500" w:lineRule="exact"/>
        <w:jc w:val="center"/>
        <w:rPr>
          <w:rFonts w:ascii="宋体"/>
          <w:b/>
          <w:sz w:val="44"/>
          <w:szCs w:val="44"/>
          <w:highlight w:val="none"/>
        </w:rPr>
      </w:pPr>
      <w:r>
        <w:rPr>
          <w:rFonts w:hint="eastAsia" w:ascii="宋体"/>
          <w:b/>
          <w:sz w:val="44"/>
          <w:szCs w:val="44"/>
          <w:highlight w:val="none"/>
        </w:rPr>
        <w:t>竞争性谈判响应文件</w:t>
      </w:r>
    </w:p>
    <w:p w14:paraId="088924E7">
      <w:pPr>
        <w:spacing w:line="500" w:lineRule="exact"/>
        <w:jc w:val="center"/>
        <w:rPr>
          <w:rFonts w:ascii="宋体"/>
          <w:sz w:val="24"/>
          <w:highlight w:val="none"/>
        </w:rPr>
      </w:pPr>
    </w:p>
    <w:p w14:paraId="3631289F">
      <w:pPr>
        <w:spacing w:line="500" w:lineRule="exact"/>
        <w:rPr>
          <w:rFonts w:ascii="宋体"/>
          <w:sz w:val="24"/>
          <w:highlight w:val="none"/>
        </w:rPr>
      </w:pPr>
    </w:p>
    <w:p w14:paraId="56714441">
      <w:pPr>
        <w:spacing w:line="360" w:lineRule="auto"/>
        <w:ind w:firstLine="849" w:firstLineChars="354"/>
        <w:rPr>
          <w:rFonts w:ascii="宋体"/>
          <w:sz w:val="24"/>
          <w:highlight w:val="none"/>
          <w:u w:val="single"/>
        </w:rPr>
      </w:pPr>
      <w:r>
        <w:rPr>
          <w:rFonts w:hint="eastAsia" w:ascii="宋体"/>
          <w:sz w:val="24"/>
          <w:highlight w:val="none"/>
        </w:rPr>
        <w:t>采购项目编号：</w:t>
      </w:r>
      <w:r>
        <w:rPr>
          <w:rFonts w:hint="eastAsia" w:ascii="宋体"/>
          <w:sz w:val="24"/>
          <w:highlight w:val="none"/>
          <w:u w:val="single"/>
        </w:rPr>
        <w:t xml:space="preserve">                     </w:t>
      </w:r>
      <w:r>
        <w:rPr>
          <w:rFonts w:hint="eastAsia" w:ascii="宋体"/>
          <w:sz w:val="24"/>
          <w:highlight w:val="none"/>
        </w:rPr>
        <w:t xml:space="preserve">  </w:t>
      </w:r>
    </w:p>
    <w:p w14:paraId="399E6312">
      <w:pPr>
        <w:spacing w:line="360" w:lineRule="auto"/>
        <w:ind w:firstLine="849" w:firstLineChars="354"/>
        <w:rPr>
          <w:rFonts w:ascii="宋体"/>
          <w:sz w:val="24"/>
          <w:highlight w:val="none"/>
          <w:u w:val="single"/>
        </w:rPr>
      </w:pPr>
      <w:r>
        <w:rPr>
          <w:rFonts w:hint="eastAsia" w:ascii="宋体"/>
          <w:sz w:val="24"/>
          <w:highlight w:val="none"/>
        </w:rPr>
        <w:t>采购项目名称：</w:t>
      </w:r>
      <w:r>
        <w:rPr>
          <w:rFonts w:hint="eastAsia" w:ascii="宋体"/>
          <w:sz w:val="24"/>
          <w:highlight w:val="none"/>
          <w:u w:val="single"/>
        </w:rPr>
        <w:t xml:space="preserve">                      </w:t>
      </w:r>
    </w:p>
    <w:p w14:paraId="65C32CEE">
      <w:pPr>
        <w:spacing w:line="360" w:lineRule="auto"/>
        <w:ind w:firstLine="849" w:firstLineChars="354"/>
        <w:rPr>
          <w:rFonts w:ascii="宋体" w:hAnsi="宋体" w:cs="宋体"/>
          <w:sz w:val="24"/>
          <w:highlight w:val="none"/>
        </w:rPr>
      </w:pPr>
      <w:r>
        <w:rPr>
          <w:rFonts w:hint="eastAsia" w:ascii="宋体" w:hAnsi="宋体" w:cs="宋体"/>
          <w:sz w:val="24"/>
          <w:highlight w:val="none"/>
        </w:rPr>
        <w:t>供应商</w:t>
      </w:r>
      <w:r>
        <w:rPr>
          <w:rFonts w:ascii="宋体" w:hAnsi="宋体" w:cs="宋体"/>
          <w:sz w:val="24"/>
          <w:highlight w:val="none"/>
        </w:rPr>
        <w:t>名称</w:t>
      </w:r>
      <w:r>
        <w:rPr>
          <w:rFonts w:hint="eastAsia" w:ascii="宋体" w:hAnsi="宋体" w:cs="宋体"/>
          <w:sz w:val="24"/>
          <w:highlight w:val="none"/>
        </w:rPr>
        <w:t>（电子签章） ：</w:t>
      </w:r>
      <w:r>
        <w:rPr>
          <w:rFonts w:hint="eastAsia" w:ascii="宋体"/>
          <w:sz w:val="24"/>
          <w:highlight w:val="none"/>
          <w:u w:val="single"/>
        </w:rPr>
        <w:t xml:space="preserve">                </w:t>
      </w:r>
    </w:p>
    <w:p w14:paraId="13257879">
      <w:pPr>
        <w:spacing w:line="360" w:lineRule="auto"/>
        <w:ind w:firstLine="849" w:firstLineChars="354"/>
        <w:rPr>
          <w:rFonts w:ascii="宋体"/>
          <w:sz w:val="24"/>
          <w:highlight w:val="none"/>
          <w:u w:val="single"/>
        </w:rPr>
      </w:pPr>
      <w:r>
        <w:rPr>
          <w:rFonts w:hint="eastAsia" w:ascii="宋体" w:hAnsi="宋体" w:cs="宋体"/>
          <w:sz w:val="24"/>
          <w:highlight w:val="none"/>
        </w:rPr>
        <w:t>供应商单位地址：</w:t>
      </w:r>
      <w:r>
        <w:rPr>
          <w:rFonts w:hint="eastAsia" w:ascii="宋体"/>
          <w:sz w:val="24"/>
          <w:highlight w:val="none"/>
          <w:u w:val="single"/>
        </w:rPr>
        <w:t xml:space="preserve">                     </w:t>
      </w:r>
    </w:p>
    <w:p w14:paraId="0ADBB2AB">
      <w:pPr>
        <w:pStyle w:val="11"/>
        <w:rPr>
          <w:highlight w:val="none"/>
        </w:rPr>
      </w:pPr>
    </w:p>
    <w:p w14:paraId="3538A021">
      <w:pPr>
        <w:spacing w:line="500" w:lineRule="exact"/>
        <w:ind w:firstLine="3600" w:firstLineChars="1500"/>
        <w:rPr>
          <w:rFonts w:ascii="宋体"/>
          <w:sz w:val="24"/>
          <w:highlight w:val="none"/>
        </w:rPr>
      </w:pPr>
      <w:r>
        <w:rPr>
          <w:rFonts w:hint="eastAsia" w:ascii="宋体"/>
          <w:sz w:val="24"/>
          <w:highlight w:val="none"/>
        </w:rPr>
        <w:t>年</w:t>
      </w:r>
      <w:r>
        <w:rPr>
          <w:rFonts w:hint="eastAsia" w:ascii="宋体" w:cs="宋体"/>
          <w:sz w:val="24"/>
          <w:highlight w:val="none"/>
        </w:rPr>
        <w:t xml:space="preserve">    </w:t>
      </w:r>
      <w:r>
        <w:rPr>
          <w:rFonts w:hint="eastAsia" w:ascii="宋体"/>
          <w:sz w:val="24"/>
          <w:highlight w:val="none"/>
        </w:rPr>
        <w:t>月    日</w:t>
      </w:r>
    </w:p>
    <w:p w14:paraId="0C9F9EBA">
      <w:pPr>
        <w:spacing w:line="520" w:lineRule="exact"/>
        <w:jc w:val="center"/>
        <w:rPr>
          <w:b/>
          <w:sz w:val="44"/>
          <w:szCs w:val="44"/>
          <w:highlight w:val="none"/>
        </w:rPr>
      </w:pPr>
      <w:r>
        <w:rPr>
          <w:rFonts w:ascii="宋体"/>
          <w:b/>
          <w:sz w:val="44"/>
          <w:szCs w:val="44"/>
          <w:highlight w:val="none"/>
        </w:rPr>
        <w:br w:type="page"/>
      </w:r>
    </w:p>
    <w:p w14:paraId="1F50257E">
      <w:pPr>
        <w:pStyle w:val="10"/>
        <w:spacing w:line="360" w:lineRule="auto"/>
        <w:ind w:firstLine="422" w:firstLineChars="150"/>
        <w:outlineLvl w:val="0"/>
        <w:rPr>
          <w:rFonts w:hint="eastAsia"/>
          <w:b/>
          <w:sz w:val="28"/>
          <w:szCs w:val="28"/>
          <w:highlight w:val="none"/>
        </w:rPr>
      </w:pPr>
    </w:p>
    <w:p w14:paraId="5EB191CD">
      <w:pPr>
        <w:pStyle w:val="10"/>
        <w:spacing w:line="360" w:lineRule="auto"/>
        <w:ind w:firstLine="422" w:firstLineChars="150"/>
        <w:outlineLvl w:val="0"/>
        <w:rPr>
          <w:b/>
          <w:sz w:val="28"/>
          <w:szCs w:val="28"/>
          <w:highlight w:val="none"/>
        </w:rPr>
      </w:pPr>
      <w:r>
        <w:rPr>
          <w:rFonts w:hint="eastAsia"/>
          <w:b/>
          <w:sz w:val="28"/>
          <w:szCs w:val="28"/>
          <w:highlight w:val="none"/>
        </w:rPr>
        <w:t>一、资格证明文件格式</w:t>
      </w:r>
    </w:p>
    <w:p w14:paraId="2BBCBC14">
      <w:pPr>
        <w:spacing w:line="360" w:lineRule="auto"/>
        <w:ind w:firstLine="551" w:firstLineChars="196"/>
        <w:outlineLvl w:val="0"/>
        <w:rPr>
          <w:rFonts w:ascii="宋体"/>
          <w:b/>
          <w:sz w:val="28"/>
          <w:szCs w:val="28"/>
          <w:highlight w:val="none"/>
        </w:rPr>
      </w:pPr>
      <w:r>
        <w:rPr>
          <w:rFonts w:hint="eastAsia" w:ascii="宋体"/>
          <w:b/>
          <w:sz w:val="28"/>
          <w:szCs w:val="28"/>
          <w:highlight w:val="none"/>
        </w:rPr>
        <w:t>1. 资格证明文件封面格式</w:t>
      </w:r>
    </w:p>
    <w:p w14:paraId="071A6048">
      <w:pPr>
        <w:spacing w:line="360" w:lineRule="auto"/>
        <w:ind w:firstLine="411" w:firstLineChars="196"/>
        <w:outlineLvl w:val="0"/>
        <w:rPr>
          <w:rFonts w:ascii="宋体"/>
          <w:szCs w:val="21"/>
          <w:highlight w:val="none"/>
        </w:rPr>
      </w:pPr>
    </w:p>
    <w:p w14:paraId="08E6A6CB">
      <w:pPr>
        <w:spacing w:line="360" w:lineRule="auto"/>
        <w:ind w:firstLine="411" w:firstLineChars="196"/>
        <w:outlineLvl w:val="0"/>
        <w:rPr>
          <w:rFonts w:ascii="宋体"/>
          <w:szCs w:val="21"/>
          <w:highlight w:val="none"/>
        </w:rPr>
      </w:pPr>
    </w:p>
    <w:p w14:paraId="6962FD3A">
      <w:pPr>
        <w:spacing w:line="360" w:lineRule="auto"/>
        <w:ind w:firstLine="1019" w:firstLineChars="196"/>
        <w:jc w:val="center"/>
        <w:outlineLvl w:val="0"/>
        <w:rPr>
          <w:rFonts w:ascii="宋体"/>
          <w:sz w:val="52"/>
          <w:szCs w:val="52"/>
          <w:highlight w:val="none"/>
        </w:rPr>
      </w:pPr>
      <w:r>
        <w:rPr>
          <w:rFonts w:hint="eastAsia" w:ascii="方正小标宋简体" w:hAnsi="方正小标宋简体" w:eastAsia="方正小标宋简体" w:cs="方正小标宋简体"/>
          <w:bCs/>
          <w:sz w:val="52"/>
          <w:szCs w:val="52"/>
          <w:highlight w:val="none"/>
        </w:rPr>
        <w:t>响  应  文  件</w:t>
      </w:r>
    </w:p>
    <w:p w14:paraId="2923D2E4">
      <w:pPr>
        <w:spacing w:line="360" w:lineRule="auto"/>
        <w:ind w:firstLine="551" w:firstLineChars="196"/>
        <w:jc w:val="center"/>
        <w:outlineLvl w:val="0"/>
        <w:rPr>
          <w:rFonts w:ascii="宋体"/>
          <w:sz w:val="30"/>
          <w:szCs w:val="30"/>
          <w:highlight w:val="none"/>
        </w:rPr>
      </w:pPr>
      <w:r>
        <w:rPr>
          <w:rFonts w:hint="eastAsia" w:ascii="宋体"/>
          <w:b/>
          <w:sz w:val="28"/>
          <w:szCs w:val="28"/>
          <w:highlight w:val="none"/>
        </w:rPr>
        <w:t>资格证明文件</w:t>
      </w:r>
    </w:p>
    <w:p w14:paraId="073C4A4B">
      <w:pPr>
        <w:spacing w:line="360" w:lineRule="auto"/>
        <w:ind w:firstLine="411" w:firstLineChars="196"/>
        <w:outlineLvl w:val="0"/>
        <w:rPr>
          <w:rFonts w:ascii="宋体"/>
          <w:szCs w:val="21"/>
          <w:highlight w:val="none"/>
        </w:rPr>
      </w:pPr>
    </w:p>
    <w:p w14:paraId="3A83854E">
      <w:pPr>
        <w:spacing w:line="360" w:lineRule="auto"/>
        <w:ind w:firstLine="548" w:firstLineChars="196"/>
        <w:outlineLvl w:val="0"/>
        <w:rPr>
          <w:rFonts w:ascii="宋体"/>
          <w:sz w:val="28"/>
          <w:szCs w:val="28"/>
          <w:highlight w:val="none"/>
        </w:rPr>
      </w:pPr>
      <w:r>
        <w:rPr>
          <w:rFonts w:hint="eastAsia" w:ascii="宋体"/>
          <w:sz w:val="28"/>
          <w:szCs w:val="28"/>
          <w:highlight w:val="none"/>
        </w:rPr>
        <w:t>项目编号：</w:t>
      </w:r>
    </w:p>
    <w:p w14:paraId="0B67ED5D">
      <w:pPr>
        <w:spacing w:line="360" w:lineRule="auto"/>
        <w:ind w:firstLine="548" w:firstLineChars="196"/>
        <w:outlineLvl w:val="0"/>
        <w:rPr>
          <w:rFonts w:ascii="宋体"/>
          <w:sz w:val="28"/>
          <w:szCs w:val="28"/>
          <w:highlight w:val="none"/>
        </w:rPr>
      </w:pPr>
      <w:r>
        <w:rPr>
          <w:rFonts w:hint="eastAsia" w:ascii="宋体"/>
          <w:sz w:val="28"/>
          <w:szCs w:val="28"/>
          <w:highlight w:val="none"/>
        </w:rPr>
        <w:t>项目名称：</w:t>
      </w:r>
    </w:p>
    <w:p w14:paraId="3A7DE5CB">
      <w:pPr>
        <w:spacing w:line="360" w:lineRule="auto"/>
        <w:ind w:firstLine="548" w:firstLineChars="196"/>
        <w:outlineLvl w:val="0"/>
        <w:rPr>
          <w:rFonts w:ascii="宋体"/>
          <w:sz w:val="28"/>
          <w:szCs w:val="28"/>
          <w:highlight w:val="none"/>
        </w:rPr>
      </w:pPr>
      <w:r>
        <w:rPr>
          <w:rFonts w:hint="eastAsia" w:ascii="宋体"/>
          <w:sz w:val="28"/>
          <w:szCs w:val="28"/>
          <w:highlight w:val="none"/>
        </w:rPr>
        <w:t>供应商名称：</w:t>
      </w:r>
    </w:p>
    <w:p w14:paraId="78B5547E">
      <w:pPr>
        <w:spacing w:line="360" w:lineRule="auto"/>
        <w:ind w:firstLine="548" w:firstLineChars="196"/>
        <w:outlineLvl w:val="0"/>
        <w:rPr>
          <w:rFonts w:ascii="宋体"/>
          <w:sz w:val="28"/>
          <w:szCs w:val="28"/>
          <w:highlight w:val="none"/>
        </w:rPr>
      </w:pPr>
    </w:p>
    <w:p w14:paraId="07235AD1">
      <w:pPr>
        <w:spacing w:line="360" w:lineRule="auto"/>
        <w:ind w:firstLine="4188" w:firstLineChars="1496"/>
        <w:outlineLvl w:val="0"/>
        <w:rPr>
          <w:rFonts w:ascii="宋体"/>
          <w:szCs w:val="21"/>
          <w:highlight w:val="none"/>
        </w:rPr>
      </w:pPr>
      <w:r>
        <w:rPr>
          <w:rFonts w:hint="eastAsia" w:ascii="宋体"/>
          <w:sz w:val="28"/>
          <w:szCs w:val="28"/>
          <w:highlight w:val="none"/>
        </w:rPr>
        <w:t>年   月   日</w:t>
      </w:r>
    </w:p>
    <w:p w14:paraId="6EFB18AE">
      <w:pPr>
        <w:spacing w:line="360" w:lineRule="auto"/>
        <w:ind w:firstLine="411" w:firstLineChars="196"/>
        <w:outlineLvl w:val="0"/>
        <w:rPr>
          <w:rFonts w:ascii="宋体"/>
          <w:szCs w:val="21"/>
          <w:highlight w:val="none"/>
        </w:rPr>
      </w:pPr>
    </w:p>
    <w:p w14:paraId="629EE503">
      <w:pPr>
        <w:spacing w:line="360" w:lineRule="auto"/>
        <w:ind w:firstLine="411" w:firstLineChars="196"/>
        <w:outlineLvl w:val="0"/>
        <w:rPr>
          <w:rFonts w:ascii="宋体"/>
          <w:szCs w:val="21"/>
          <w:highlight w:val="none"/>
        </w:rPr>
      </w:pPr>
    </w:p>
    <w:p w14:paraId="68F85C97">
      <w:pPr>
        <w:spacing w:line="360" w:lineRule="auto"/>
        <w:ind w:firstLine="411" w:firstLineChars="196"/>
        <w:outlineLvl w:val="0"/>
        <w:rPr>
          <w:rFonts w:ascii="宋体"/>
          <w:szCs w:val="21"/>
          <w:highlight w:val="none"/>
        </w:rPr>
      </w:pPr>
    </w:p>
    <w:p w14:paraId="5D214773">
      <w:pPr>
        <w:pStyle w:val="4"/>
        <w:jc w:val="left"/>
        <w:rPr>
          <w:szCs w:val="21"/>
          <w:highlight w:val="none"/>
        </w:rPr>
      </w:pPr>
    </w:p>
    <w:p w14:paraId="30D60988">
      <w:pPr>
        <w:pStyle w:val="4"/>
        <w:jc w:val="left"/>
        <w:rPr>
          <w:szCs w:val="21"/>
          <w:highlight w:val="none"/>
        </w:rPr>
      </w:pPr>
    </w:p>
    <w:p w14:paraId="3253D657">
      <w:pPr>
        <w:rPr>
          <w:szCs w:val="21"/>
          <w:highlight w:val="none"/>
        </w:rPr>
      </w:pPr>
    </w:p>
    <w:p w14:paraId="040DFD3F">
      <w:pPr>
        <w:rPr>
          <w:szCs w:val="21"/>
          <w:highlight w:val="none"/>
        </w:rPr>
      </w:pPr>
    </w:p>
    <w:p w14:paraId="61731263">
      <w:pPr>
        <w:rPr>
          <w:szCs w:val="21"/>
          <w:highlight w:val="none"/>
        </w:rPr>
      </w:pPr>
    </w:p>
    <w:p w14:paraId="3F1403FA">
      <w:pPr>
        <w:rPr>
          <w:szCs w:val="21"/>
          <w:highlight w:val="none"/>
        </w:rPr>
      </w:pPr>
    </w:p>
    <w:p w14:paraId="1B13E3CC">
      <w:pPr>
        <w:rPr>
          <w:szCs w:val="21"/>
          <w:highlight w:val="none"/>
        </w:rPr>
      </w:pPr>
    </w:p>
    <w:p w14:paraId="737C85B8">
      <w:pPr>
        <w:rPr>
          <w:szCs w:val="21"/>
          <w:highlight w:val="none"/>
        </w:rPr>
      </w:pPr>
    </w:p>
    <w:p w14:paraId="2A32DD3F">
      <w:pPr>
        <w:rPr>
          <w:szCs w:val="21"/>
          <w:highlight w:val="none"/>
        </w:rPr>
      </w:pPr>
    </w:p>
    <w:p w14:paraId="0E56EB64">
      <w:pPr>
        <w:rPr>
          <w:szCs w:val="21"/>
          <w:highlight w:val="none"/>
        </w:rPr>
      </w:pPr>
    </w:p>
    <w:p w14:paraId="42349C55">
      <w:pPr>
        <w:rPr>
          <w:szCs w:val="21"/>
          <w:highlight w:val="none"/>
        </w:rPr>
      </w:pPr>
    </w:p>
    <w:p w14:paraId="5FBEA44C">
      <w:pPr>
        <w:rPr>
          <w:szCs w:val="21"/>
          <w:highlight w:val="none"/>
        </w:rPr>
      </w:pPr>
    </w:p>
    <w:p w14:paraId="70728D4B">
      <w:pPr>
        <w:rPr>
          <w:szCs w:val="21"/>
          <w:highlight w:val="none"/>
        </w:rPr>
      </w:pPr>
    </w:p>
    <w:p w14:paraId="608AE6CE">
      <w:pPr>
        <w:rPr>
          <w:szCs w:val="21"/>
          <w:highlight w:val="none"/>
        </w:rPr>
      </w:pPr>
    </w:p>
    <w:p w14:paraId="789AC65D">
      <w:pPr>
        <w:rPr>
          <w:szCs w:val="21"/>
          <w:highlight w:val="none"/>
        </w:rPr>
      </w:pPr>
    </w:p>
    <w:p w14:paraId="50487614">
      <w:pPr>
        <w:spacing w:line="360" w:lineRule="auto"/>
        <w:ind w:firstLine="551" w:firstLineChars="196"/>
        <w:outlineLvl w:val="0"/>
        <w:rPr>
          <w:rFonts w:ascii="宋体"/>
          <w:b/>
          <w:sz w:val="28"/>
          <w:szCs w:val="28"/>
          <w:highlight w:val="none"/>
        </w:rPr>
      </w:pPr>
      <w:r>
        <w:rPr>
          <w:rFonts w:hint="eastAsia" w:ascii="宋体"/>
          <w:b/>
          <w:sz w:val="28"/>
          <w:szCs w:val="28"/>
          <w:highlight w:val="none"/>
        </w:rPr>
        <w:t>2.资格证明文件目录</w:t>
      </w:r>
    </w:p>
    <w:p w14:paraId="2F32E215">
      <w:pPr>
        <w:tabs>
          <w:tab w:val="left" w:pos="1200"/>
        </w:tabs>
        <w:spacing w:line="400" w:lineRule="exact"/>
        <w:ind w:firstLine="420" w:firstLineChars="200"/>
        <w:rPr>
          <w:rFonts w:ascii="宋体" w:hAnsi="宋体"/>
          <w:bCs/>
          <w:szCs w:val="21"/>
          <w:highlight w:val="none"/>
        </w:rPr>
      </w:pPr>
      <w:r>
        <w:rPr>
          <w:rFonts w:hint="eastAsia"/>
          <w:szCs w:val="21"/>
          <w:highlight w:val="none"/>
        </w:rPr>
        <w:t>根据竞争性谈判文件规定及供应商提供的材料自行编写目录（部分格式后附）。</w:t>
      </w:r>
    </w:p>
    <w:p w14:paraId="5F32600C">
      <w:pPr>
        <w:rPr>
          <w:highlight w:val="none"/>
        </w:rPr>
      </w:pPr>
      <w:r>
        <w:rPr>
          <w:highlight w:val="none"/>
        </w:rPr>
        <w:br w:type="page"/>
      </w:r>
    </w:p>
    <w:p w14:paraId="64BECB34">
      <w:pPr>
        <w:pStyle w:val="10"/>
        <w:spacing w:line="300" w:lineRule="auto"/>
        <w:rPr>
          <w:sz w:val="24"/>
          <w:szCs w:val="24"/>
          <w:highlight w:val="none"/>
        </w:rPr>
      </w:pPr>
    </w:p>
    <w:p w14:paraId="4C978EF8">
      <w:pPr>
        <w:snapToGrid w:val="0"/>
        <w:spacing w:before="50" w:after="156" w:afterLines="50" w:line="400" w:lineRule="exact"/>
        <w:jc w:val="center"/>
        <w:rPr>
          <w:rFonts w:ascii="宋体" w:hAnsi="宋体"/>
          <w:b/>
          <w:sz w:val="24"/>
          <w:highlight w:val="none"/>
        </w:rPr>
      </w:pPr>
      <w:r>
        <w:rPr>
          <w:rFonts w:hint="eastAsia" w:ascii="宋体" w:hAnsi="宋体"/>
          <w:b/>
          <w:sz w:val="30"/>
          <w:szCs w:val="30"/>
          <w:highlight w:val="none"/>
        </w:rPr>
        <w:t>贵港市政府采购项目竞标资格承诺函</w:t>
      </w:r>
    </w:p>
    <w:p w14:paraId="21222537">
      <w:pPr>
        <w:snapToGrid w:val="0"/>
        <w:spacing w:before="50" w:after="156" w:afterLines="50" w:line="400" w:lineRule="exact"/>
        <w:jc w:val="left"/>
        <w:rPr>
          <w:rFonts w:ascii="宋体" w:hAnsi="宋体"/>
          <w:b/>
          <w:sz w:val="28"/>
          <w:szCs w:val="28"/>
          <w:highlight w:val="none"/>
        </w:rPr>
      </w:pPr>
    </w:p>
    <w:p w14:paraId="287EEA4E">
      <w:pPr>
        <w:pStyle w:val="7"/>
        <w:spacing w:before="54" w:line="360" w:lineRule="auto"/>
        <w:ind w:left="115" w:right="111" w:firstLine="640"/>
        <w:jc w:val="both"/>
        <w:rPr>
          <w:kern w:val="2"/>
          <w:sz w:val="24"/>
          <w:highlight w:val="none"/>
        </w:rPr>
      </w:pPr>
      <w:r>
        <w:rPr>
          <w:rFonts w:hint="eastAsia"/>
          <w:kern w:val="2"/>
          <w:sz w:val="24"/>
          <w:highlight w:val="none"/>
        </w:rPr>
        <w:t>本公司郑重承诺，根据《中华人民共和国政府采购法》第二十二条的规定，本公司为参加政府采购活动的合格供应商。即本公司同时满足以下条件：</w:t>
      </w:r>
    </w:p>
    <w:p w14:paraId="148B84A0">
      <w:pPr>
        <w:pStyle w:val="27"/>
        <w:tabs>
          <w:tab w:val="left" w:pos="1078"/>
        </w:tabs>
        <w:spacing w:before="1" w:line="360" w:lineRule="auto"/>
        <w:ind w:left="420" w:leftChars="200" w:firstLine="0" w:firstLineChars="0"/>
        <w:jc w:val="left"/>
        <w:rPr>
          <w:rFonts w:ascii="宋体"/>
          <w:sz w:val="24"/>
          <w:szCs w:val="20"/>
          <w:highlight w:val="none"/>
        </w:rPr>
      </w:pPr>
      <w:r>
        <w:rPr>
          <w:rFonts w:hint="eastAsia" w:ascii="宋体"/>
          <w:sz w:val="24"/>
          <w:szCs w:val="20"/>
          <w:highlight w:val="none"/>
        </w:rPr>
        <w:t>1、具有独立承担民事责任的能力。</w:t>
      </w:r>
    </w:p>
    <w:p w14:paraId="53A470B2">
      <w:pPr>
        <w:pStyle w:val="27"/>
        <w:tabs>
          <w:tab w:val="left" w:pos="1078"/>
        </w:tabs>
        <w:spacing w:before="168" w:line="360" w:lineRule="auto"/>
        <w:ind w:left="420" w:leftChars="200" w:firstLine="0" w:firstLineChars="0"/>
        <w:jc w:val="left"/>
        <w:rPr>
          <w:rFonts w:ascii="宋体"/>
          <w:sz w:val="24"/>
          <w:szCs w:val="20"/>
          <w:highlight w:val="none"/>
        </w:rPr>
      </w:pPr>
      <w:r>
        <w:rPr>
          <w:rFonts w:hint="eastAsia" w:ascii="宋体"/>
          <w:sz w:val="24"/>
          <w:szCs w:val="20"/>
          <w:highlight w:val="none"/>
        </w:rPr>
        <w:t>2、具有良好的商业信誉和健全的财务会计制度。</w:t>
      </w:r>
    </w:p>
    <w:p w14:paraId="7337D642">
      <w:pPr>
        <w:pStyle w:val="27"/>
        <w:tabs>
          <w:tab w:val="left" w:pos="1078"/>
        </w:tabs>
        <w:spacing w:before="166" w:line="360" w:lineRule="auto"/>
        <w:ind w:left="420" w:leftChars="200" w:firstLine="0" w:firstLineChars="0"/>
        <w:jc w:val="left"/>
        <w:rPr>
          <w:rFonts w:ascii="宋体"/>
          <w:sz w:val="24"/>
          <w:szCs w:val="20"/>
          <w:highlight w:val="none"/>
        </w:rPr>
      </w:pPr>
      <w:r>
        <w:rPr>
          <w:rFonts w:hint="eastAsia" w:ascii="宋体"/>
          <w:sz w:val="24"/>
          <w:szCs w:val="20"/>
          <w:highlight w:val="none"/>
        </w:rPr>
        <w:t>3、具有履行合同所必需的设备和专业技术能力。</w:t>
      </w:r>
    </w:p>
    <w:p w14:paraId="1BF73311">
      <w:pPr>
        <w:pStyle w:val="27"/>
        <w:tabs>
          <w:tab w:val="left" w:pos="1078"/>
        </w:tabs>
        <w:spacing w:before="169" w:line="360" w:lineRule="auto"/>
        <w:ind w:left="420" w:leftChars="200" w:firstLine="0" w:firstLineChars="0"/>
        <w:jc w:val="left"/>
        <w:rPr>
          <w:rFonts w:ascii="宋体"/>
          <w:sz w:val="24"/>
          <w:szCs w:val="20"/>
          <w:highlight w:val="none"/>
        </w:rPr>
      </w:pPr>
      <w:r>
        <w:rPr>
          <w:rFonts w:hint="eastAsia" w:ascii="宋体"/>
          <w:sz w:val="24"/>
          <w:szCs w:val="20"/>
          <w:highlight w:val="none"/>
        </w:rPr>
        <w:t>4、有依法缴纳税收和社会保障资金的良好记录。</w:t>
      </w:r>
    </w:p>
    <w:p w14:paraId="76012C74">
      <w:pPr>
        <w:pStyle w:val="27"/>
        <w:tabs>
          <w:tab w:val="left" w:pos="1078"/>
        </w:tabs>
        <w:spacing w:before="169" w:line="360" w:lineRule="auto"/>
        <w:ind w:left="420" w:leftChars="200" w:firstLine="0" w:firstLineChars="0"/>
        <w:jc w:val="left"/>
        <w:rPr>
          <w:rFonts w:ascii="宋体"/>
          <w:sz w:val="24"/>
          <w:szCs w:val="20"/>
          <w:highlight w:val="none"/>
        </w:rPr>
      </w:pPr>
      <w:r>
        <w:rPr>
          <w:rFonts w:hint="eastAsia" w:ascii="宋体"/>
          <w:sz w:val="24"/>
          <w:szCs w:val="20"/>
          <w:highlight w:val="none"/>
        </w:rPr>
        <w:t>5、提交竞标文件截止日期前三年内，在经营活动中没有重大违法记录。</w:t>
      </w:r>
    </w:p>
    <w:p w14:paraId="1374DB5F">
      <w:pPr>
        <w:pStyle w:val="7"/>
        <w:spacing w:before="1" w:line="360" w:lineRule="auto"/>
        <w:ind w:left="115" w:right="111" w:firstLine="640"/>
        <w:jc w:val="both"/>
        <w:rPr>
          <w:kern w:val="2"/>
          <w:sz w:val="24"/>
          <w:highlight w:val="none"/>
        </w:rPr>
      </w:pPr>
    </w:p>
    <w:p w14:paraId="5AE1C817">
      <w:pPr>
        <w:pStyle w:val="7"/>
        <w:spacing w:before="1" w:line="360" w:lineRule="auto"/>
        <w:ind w:left="115" w:right="111" w:firstLine="640"/>
        <w:jc w:val="both"/>
        <w:rPr>
          <w:kern w:val="2"/>
          <w:sz w:val="24"/>
          <w:highlight w:val="none"/>
        </w:rPr>
      </w:pPr>
      <w:r>
        <w:rPr>
          <w:rFonts w:hint="eastAsia"/>
          <w:kern w:val="2"/>
          <w:sz w:val="24"/>
          <w:highlight w:val="none"/>
        </w:rPr>
        <w:t>本公司对上述承诺的真实性负责，并接受政府采购、税务、社会保障等监督管理部门、采购文件规定的资格审查机构、社会公众的监督和检查。如有虚假，将依法承担相应责任。</w:t>
      </w:r>
    </w:p>
    <w:p w14:paraId="32A49C0A">
      <w:pPr>
        <w:pStyle w:val="7"/>
        <w:spacing w:before="1" w:line="480" w:lineRule="auto"/>
        <w:ind w:left="115" w:right="111" w:firstLine="3568" w:firstLineChars="1487"/>
        <w:jc w:val="both"/>
        <w:rPr>
          <w:kern w:val="2"/>
          <w:sz w:val="24"/>
          <w:highlight w:val="none"/>
        </w:rPr>
      </w:pPr>
      <w:r>
        <w:rPr>
          <w:rFonts w:hint="eastAsia"/>
          <w:kern w:val="2"/>
          <w:sz w:val="24"/>
          <w:highlight w:val="none"/>
        </w:rPr>
        <w:t>供应商名称（</w:t>
      </w:r>
      <w:r>
        <w:rPr>
          <w:rFonts w:hint="eastAsia"/>
          <w:sz w:val="24"/>
          <w:szCs w:val="24"/>
          <w:highlight w:val="none"/>
        </w:rPr>
        <w:t>电子签章</w:t>
      </w:r>
      <w:r>
        <w:rPr>
          <w:rFonts w:hint="eastAsia"/>
          <w:kern w:val="2"/>
          <w:sz w:val="24"/>
          <w:highlight w:val="none"/>
        </w:rPr>
        <w:t>）：</w:t>
      </w:r>
      <w:r>
        <w:rPr>
          <w:rFonts w:hint="eastAsia"/>
          <w:sz w:val="24"/>
          <w:szCs w:val="24"/>
          <w:highlight w:val="none"/>
          <w:u w:val="single"/>
        </w:rPr>
        <w:t xml:space="preserve">             </w:t>
      </w:r>
    </w:p>
    <w:p w14:paraId="2E3E5F36">
      <w:pPr>
        <w:pStyle w:val="7"/>
        <w:spacing w:before="1" w:line="480" w:lineRule="auto"/>
        <w:ind w:left="115" w:right="111" w:firstLine="3568" w:firstLineChars="1487"/>
        <w:jc w:val="both"/>
        <w:rPr>
          <w:kern w:val="2"/>
          <w:sz w:val="24"/>
          <w:highlight w:val="none"/>
        </w:rPr>
      </w:pPr>
      <w:r>
        <w:rPr>
          <w:rFonts w:hint="eastAsia"/>
          <w:kern w:val="2"/>
          <w:sz w:val="24"/>
          <w:highlight w:val="none"/>
        </w:rPr>
        <w:t>法定代表人</w:t>
      </w:r>
      <w:r>
        <w:rPr>
          <w:rFonts w:hint="eastAsia" w:hAnsi="宋体" w:cs="宋体"/>
          <w:sz w:val="22"/>
          <w:szCs w:val="22"/>
          <w:highlight w:val="none"/>
        </w:rPr>
        <w:t>（签字或电子签章）</w:t>
      </w:r>
      <w:r>
        <w:rPr>
          <w:rFonts w:hint="eastAsia"/>
          <w:kern w:val="2"/>
          <w:sz w:val="24"/>
          <w:highlight w:val="none"/>
        </w:rPr>
        <w:t>：</w:t>
      </w:r>
      <w:r>
        <w:rPr>
          <w:rFonts w:hint="eastAsia"/>
          <w:sz w:val="24"/>
          <w:szCs w:val="24"/>
          <w:highlight w:val="none"/>
          <w:u w:val="single"/>
        </w:rPr>
        <w:t xml:space="preserve">             </w:t>
      </w:r>
    </w:p>
    <w:p w14:paraId="062B1B75">
      <w:pPr>
        <w:pStyle w:val="7"/>
        <w:spacing w:before="1" w:line="480" w:lineRule="auto"/>
        <w:ind w:left="115" w:right="111" w:firstLine="3568" w:firstLineChars="1487"/>
        <w:jc w:val="both"/>
        <w:rPr>
          <w:kern w:val="2"/>
          <w:sz w:val="24"/>
          <w:highlight w:val="none"/>
        </w:rPr>
      </w:pPr>
      <w:r>
        <w:rPr>
          <w:rFonts w:hint="eastAsia"/>
          <w:kern w:val="2"/>
          <w:sz w:val="24"/>
          <w:highlight w:val="none"/>
        </w:rPr>
        <w:t>日期：</w:t>
      </w:r>
      <w:r>
        <w:rPr>
          <w:rFonts w:hint="eastAsia"/>
          <w:sz w:val="24"/>
          <w:szCs w:val="24"/>
          <w:highlight w:val="none"/>
          <w:u w:val="single"/>
        </w:rPr>
        <w:t xml:space="preserve">             </w:t>
      </w:r>
    </w:p>
    <w:p w14:paraId="468E3190">
      <w:pPr>
        <w:pStyle w:val="10"/>
        <w:spacing w:line="300" w:lineRule="auto"/>
        <w:rPr>
          <w:sz w:val="24"/>
          <w:szCs w:val="24"/>
          <w:highlight w:val="none"/>
        </w:rPr>
      </w:pPr>
    </w:p>
    <w:p w14:paraId="0215CEE8">
      <w:pPr>
        <w:rPr>
          <w:sz w:val="24"/>
          <w:highlight w:val="none"/>
        </w:rPr>
      </w:pPr>
      <w:r>
        <w:rPr>
          <w:sz w:val="24"/>
          <w:highlight w:val="none"/>
        </w:rPr>
        <w:br w:type="page"/>
      </w:r>
    </w:p>
    <w:p w14:paraId="6A9F435C">
      <w:pPr>
        <w:pStyle w:val="10"/>
        <w:spacing w:line="300" w:lineRule="auto"/>
        <w:rPr>
          <w:rFonts w:hAnsi="宋体"/>
          <w:bCs/>
          <w:szCs w:val="21"/>
          <w:highlight w:val="none"/>
        </w:rPr>
      </w:pPr>
    </w:p>
    <w:p w14:paraId="3F9169BB">
      <w:pPr>
        <w:snapToGrid w:val="0"/>
        <w:spacing w:before="156" w:beforeLines="50" w:after="50"/>
        <w:jc w:val="center"/>
        <w:rPr>
          <w:rFonts w:ascii="宋体" w:hAnsi="宋体"/>
          <w:b/>
          <w:sz w:val="32"/>
          <w:szCs w:val="32"/>
          <w:highlight w:val="none"/>
        </w:rPr>
      </w:pPr>
      <w:r>
        <w:rPr>
          <w:rFonts w:hint="eastAsia" w:ascii="宋体" w:hAnsi="宋体"/>
          <w:b/>
          <w:sz w:val="32"/>
          <w:szCs w:val="32"/>
          <w:highlight w:val="none"/>
        </w:rPr>
        <w:t>供应商直接控股、管理关系信息表</w:t>
      </w:r>
    </w:p>
    <w:p w14:paraId="15050676">
      <w:pPr>
        <w:snapToGrid w:val="0"/>
        <w:spacing w:before="50" w:after="156" w:afterLines="50"/>
        <w:jc w:val="center"/>
        <w:rPr>
          <w:rFonts w:ascii="宋体" w:hAnsi="宋体"/>
          <w:b/>
          <w:sz w:val="32"/>
          <w:szCs w:val="32"/>
          <w:highlight w:val="none"/>
        </w:rPr>
      </w:pPr>
    </w:p>
    <w:p w14:paraId="484591D9">
      <w:pPr>
        <w:snapToGrid w:val="0"/>
        <w:spacing w:before="156" w:beforeLines="50" w:after="50"/>
        <w:jc w:val="center"/>
        <w:rPr>
          <w:rFonts w:ascii="宋体" w:hAnsi="宋体"/>
          <w:b/>
          <w:sz w:val="32"/>
          <w:szCs w:val="32"/>
          <w:highlight w:val="none"/>
        </w:rPr>
      </w:pPr>
      <w:r>
        <w:rPr>
          <w:rFonts w:hint="eastAsia" w:ascii="宋体" w:hAnsi="宋体"/>
          <w:b/>
          <w:sz w:val="32"/>
          <w:szCs w:val="32"/>
          <w:highlight w:val="none"/>
        </w:rPr>
        <w:t>供应商直接控股股东信息表</w:t>
      </w:r>
    </w:p>
    <w:tbl>
      <w:tblPr>
        <w:tblStyle w:val="19"/>
        <w:tblW w:w="9272" w:type="dxa"/>
        <w:jc w:val="center"/>
        <w:shd w:val="clear" w:color="auto" w:fill="FBFBFB"/>
        <w:tblLayout w:type="fixed"/>
        <w:tblCellMar>
          <w:top w:w="0" w:type="dxa"/>
          <w:left w:w="0" w:type="dxa"/>
          <w:bottom w:w="0" w:type="dxa"/>
          <w:right w:w="0" w:type="dxa"/>
        </w:tblCellMar>
      </w:tblPr>
      <w:tblGrid>
        <w:gridCol w:w="880"/>
        <w:gridCol w:w="2211"/>
        <w:gridCol w:w="1275"/>
        <w:gridCol w:w="3686"/>
        <w:gridCol w:w="1220"/>
      </w:tblGrid>
      <w:tr w14:paraId="2EA2AFA1">
        <w:tblPrEx>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C24D552">
            <w:pPr>
              <w:widowControl/>
              <w:spacing w:line="360" w:lineRule="auto"/>
              <w:jc w:val="center"/>
              <w:rPr>
                <w:rFonts w:ascii="宋体" w:hAnsi="宋体" w:cs="宋体"/>
                <w:b/>
                <w:bCs/>
                <w:kern w:val="0"/>
                <w:szCs w:val="21"/>
                <w:highlight w:val="none"/>
              </w:rPr>
            </w:pPr>
            <w:r>
              <w:rPr>
                <w:rFonts w:hint="eastAsia" w:ascii="宋体" w:hAnsi="宋体" w:cs="宋体"/>
                <w:b/>
                <w:bCs/>
                <w:kern w:val="0"/>
                <w:szCs w:val="21"/>
                <w:highlight w:val="none"/>
              </w:rPr>
              <w:t>序号</w:t>
            </w:r>
          </w:p>
        </w:tc>
        <w:tc>
          <w:tcPr>
            <w:tcW w:w="2211"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08176393">
            <w:pPr>
              <w:widowControl/>
              <w:spacing w:line="360" w:lineRule="auto"/>
              <w:jc w:val="center"/>
              <w:rPr>
                <w:rFonts w:ascii="宋体" w:hAnsi="宋体" w:cs="宋体"/>
                <w:b/>
                <w:bCs/>
                <w:kern w:val="0"/>
                <w:szCs w:val="21"/>
                <w:highlight w:val="none"/>
              </w:rPr>
            </w:pPr>
            <w:r>
              <w:rPr>
                <w:rFonts w:hint="eastAsia" w:ascii="宋体" w:hAnsi="宋体" w:cs="宋体"/>
                <w:b/>
                <w:bCs/>
                <w:kern w:val="0"/>
                <w:szCs w:val="21"/>
                <w:highlight w:val="none"/>
              </w:rPr>
              <w:t>直接控股股东名称</w:t>
            </w:r>
          </w:p>
        </w:tc>
        <w:tc>
          <w:tcPr>
            <w:tcW w:w="1275"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01CF28A8">
            <w:pPr>
              <w:widowControl/>
              <w:spacing w:line="360" w:lineRule="auto"/>
              <w:jc w:val="center"/>
              <w:rPr>
                <w:rFonts w:ascii="宋体" w:hAnsi="宋体" w:cs="宋体"/>
                <w:b/>
                <w:bCs/>
                <w:kern w:val="0"/>
                <w:szCs w:val="21"/>
                <w:highlight w:val="none"/>
              </w:rPr>
            </w:pPr>
            <w:r>
              <w:rPr>
                <w:rFonts w:hint="eastAsia" w:ascii="宋体" w:hAnsi="宋体" w:cs="宋体"/>
                <w:b/>
                <w:bCs/>
                <w:kern w:val="0"/>
                <w:szCs w:val="21"/>
                <w:highlight w:val="none"/>
              </w:rPr>
              <w:t>出资比例</w:t>
            </w:r>
          </w:p>
        </w:tc>
        <w:tc>
          <w:tcPr>
            <w:tcW w:w="3686"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7B110961">
            <w:pPr>
              <w:widowControl/>
              <w:spacing w:line="360" w:lineRule="auto"/>
              <w:jc w:val="center"/>
              <w:rPr>
                <w:rFonts w:ascii="宋体" w:hAnsi="宋体" w:cs="宋体"/>
                <w:b/>
                <w:bCs/>
                <w:kern w:val="0"/>
                <w:szCs w:val="21"/>
                <w:highlight w:val="none"/>
              </w:rPr>
            </w:pPr>
            <w:r>
              <w:rPr>
                <w:rFonts w:hint="eastAsia" w:ascii="宋体" w:hAnsi="宋体" w:cs="宋体"/>
                <w:b/>
                <w:bCs/>
                <w:kern w:val="0"/>
                <w:szCs w:val="21"/>
                <w:highlight w:val="none"/>
              </w:rPr>
              <w:t>身份证号码或者统一社会信用代码</w:t>
            </w:r>
          </w:p>
        </w:tc>
        <w:tc>
          <w:tcPr>
            <w:tcW w:w="1220"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C988F06">
            <w:pPr>
              <w:widowControl/>
              <w:spacing w:line="360" w:lineRule="auto"/>
              <w:jc w:val="center"/>
              <w:rPr>
                <w:rFonts w:ascii="宋体" w:hAnsi="宋体" w:cs="宋体"/>
                <w:b/>
                <w:bCs/>
                <w:kern w:val="0"/>
                <w:szCs w:val="21"/>
                <w:highlight w:val="none"/>
              </w:rPr>
            </w:pPr>
            <w:r>
              <w:rPr>
                <w:rFonts w:hint="eastAsia" w:ascii="宋体" w:hAnsi="宋体" w:cs="宋体"/>
                <w:b/>
                <w:bCs/>
                <w:kern w:val="0"/>
                <w:szCs w:val="21"/>
                <w:highlight w:val="none"/>
              </w:rPr>
              <w:t>备注</w:t>
            </w:r>
          </w:p>
        </w:tc>
      </w:tr>
      <w:tr w14:paraId="0B557539">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557F41A">
            <w:pPr>
              <w:widowControl/>
              <w:spacing w:line="360" w:lineRule="auto"/>
              <w:jc w:val="center"/>
              <w:rPr>
                <w:rFonts w:ascii="宋体" w:hAnsi="宋体" w:cs="宋体"/>
                <w:kern w:val="0"/>
                <w:szCs w:val="21"/>
                <w:highlight w:val="none"/>
              </w:rPr>
            </w:pPr>
            <w:r>
              <w:rPr>
                <w:rFonts w:hint="eastAsia" w:ascii="宋体" w:hAnsi="宋体" w:cs="宋体"/>
                <w:kern w:val="0"/>
                <w:szCs w:val="21"/>
                <w:highlight w:val="none"/>
              </w:rPr>
              <w:t>1</w:t>
            </w:r>
          </w:p>
        </w:tc>
        <w:tc>
          <w:tcPr>
            <w:tcW w:w="2211"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D6B9CA0">
            <w:pPr>
              <w:widowControl/>
              <w:spacing w:line="360" w:lineRule="auto"/>
              <w:jc w:val="center"/>
              <w:rPr>
                <w:rFonts w:ascii="宋体" w:hAnsi="宋体" w:cs="宋体"/>
                <w:kern w:val="0"/>
                <w:szCs w:val="21"/>
                <w:highlight w:val="none"/>
              </w:rPr>
            </w:pPr>
          </w:p>
        </w:tc>
        <w:tc>
          <w:tcPr>
            <w:tcW w:w="127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477F430">
            <w:pPr>
              <w:widowControl/>
              <w:spacing w:line="360" w:lineRule="auto"/>
              <w:jc w:val="center"/>
              <w:rPr>
                <w:rFonts w:ascii="宋体" w:hAnsi="宋体" w:cs="宋体"/>
                <w:kern w:val="0"/>
                <w:szCs w:val="21"/>
                <w:highlight w:val="none"/>
              </w:rPr>
            </w:pPr>
          </w:p>
        </w:tc>
        <w:tc>
          <w:tcPr>
            <w:tcW w:w="3686"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CD161C0">
            <w:pPr>
              <w:widowControl/>
              <w:spacing w:line="360" w:lineRule="auto"/>
              <w:jc w:val="center"/>
              <w:rPr>
                <w:rFonts w:ascii="宋体" w:hAnsi="宋体" w:cs="宋体"/>
                <w:kern w:val="0"/>
                <w:szCs w:val="21"/>
                <w:highlight w:val="none"/>
              </w:rPr>
            </w:pPr>
          </w:p>
        </w:tc>
        <w:tc>
          <w:tcPr>
            <w:tcW w:w="122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AACF466">
            <w:pPr>
              <w:widowControl/>
              <w:spacing w:line="360" w:lineRule="auto"/>
              <w:jc w:val="center"/>
              <w:rPr>
                <w:rFonts w:ascii="宋体" w:hAnsi="宋体" w:cs="宋体"/>
                <w:kern w:val="0"/>
                <w:szCs w:val="21"/>
                <w:highlight w:val="none"/>
              </w:rPr>
            </w:pPr>
          </w:p>
        </w:tc>
      </w:tr>
      <w:tr w14:paraId="0B42AEE2">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3EBED53">
            <w:pPr>
              <w:widowControl/>
              <w:spacing w:line="360" w:lineRule="auto"/>
              <w:jc w:val="center"/>
              <w:rPr>
                <w:rFonts w:ascii="宋体" w:hAnsi="宋体" w:cs="宋体"/>
                <w:kern w:val="0"/>
                <w:szCs w:val="21"/>
                <w:highlight w:val="none"/>
              </w:rPr>
            </w:pPr>
            <w:r>
              <w:rPr>
                <w:rFonts w:hint="eastAsia" w:ascii="宋体" w:hAnsi="宋体" w:cs="宋体"/>
                <w:kern w:val="0"/>
                <w:szCs w:val="21"/>
                <w:highlight w:val="none"/>
              </w:rPr>
              <w:t>2</w:t>
            </w:r>
          </w:p>
        </w:tc>
        <w:tc>
          <w:tcPr>
            <w:tcW w:w="2211"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1C4B058">
            <w:pPr>
              <w:widowControl/>
              <w:spacing w:line="360" w:lineRule="auto"/>
              <w:jc w:val="center"/>
              <w:rPr>
                <w:rFonts w:ascii="宋体" w:hAnsi="宋体" w:cs="宋体"/>
                <w:kern w:val="0"/>
                <w:szCs w:val="21"/>
                <w:highlight w:val="none"/>
              </w:rPr>
            </w:pPr>
          </w:p>
        </w:tc>
        <w:tc>
          <w:tcPr>
            <w:tcW w:w="127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7822718">
            <w:pPr>
              <w:widowControl/>
              <w:spacing w:line="360" w:lineRule="auto"/>
              <w:jc w:val="center"/>
              <w:rPr>
                <w:rFonts w:ascii="宋体" w:hAnsi="宋体" w:cs="宋体"/>
                <w:kern w:val="0"/>
                <w:szCs w:val="21"/>
                <w:highlight w:val="none"/>
              </w:rPr>
            </w:pPr>
          </w:p>
        </w:tc>
        <w:tc>
          <w:tcPr>
            <w:tcW w:w="3686"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7114C00">
            <w:pPr>
              <w:widowControl/>
              <w:spacing w:line="360" w:lineRule="auto"/>
              <w:jc w:val="center"/>
              <w:rPr>
                <w:rFonts w:ascii="宋体" w:hAnsi="宋体" w:cs="宋体"/>
                <w:kern w:val="0"/>
                <w:szCs w:val="21"/>
                <w:highlight w:val="none"/>
              </w:rPr>
            </w:pPr>
          </w:p>
        </w:tc>
        <w:tc>
          <w:tcPr>
            <w:tcW w:w="122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7E4BEC4">
            <w:pPr>
              <w:widowControl/>
              <w:spacing w:line="360" w:lineRule="auto"/>
              <w:jc w:val="center"/>
              <w:rPr>
                <w:rFonts w:ascii="宋体" w:hAnsi="宋体" w:cs="宋体"/>
                <w:kern w:val="0"/>
                <w:szCs w:val="21"/>
                <w:highlight w:val="none"/>
              </w:rPr>
            </w:pPr>
          </w:p>
        </w:tc>
      </w:tr>
      <w:tr w14:paraId="68036FF9">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DC9E632">
            <w:pPr>
              <w:widowControl/>
              <w:spacing w:line="360" w:lineRule="auto"/>
              <w:jc w:val="center"/>
              <w:rPr>
                <w:rFonts w:ascii="宋体" w:hAnsi="宋体" w:cs="宋体"/>
                <w:kern w:val="0"/>
                <w:szCs w:val="21"/>
                <w:highlight w:val="none"/>
              </w:rPr>
            </w:pPr>
            <w:r>
              <w:rPr>
                <w:rFonts w:hint="eastAsia" w:ascii="宋体" w:hAnsi="宋体" w:cs="宋体"/>
                <w:kern w:val="0"/>
                <w:szCs w:val="21"/>
                <w:highlight w:val="none"/>
              </w:rPr>
              <w:t>3</w:t>
            </w:r>
          </w:p>
        </w:tc>
        <w:tc>
          <w:tcPr>
            <w:tcW w:w="2211"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1CCC796">
            <w:pPr>
              <w:widowControl/>
              <w:spacing w:line="360" w:lineRule="auto"/>
              <w:jc w:val="center"/>
              <w:rPr>
                <w:rFonts w:ascii="宋体" w:hAnsi="宋体" w:cs="宋体"/>
                <w:kern w:val="0"/>
                <w:szCs w:val="21"/>
                <w:highlight w:val="none"/>
              </w:rPr>
            </w:pPr>
          </w:p>
        </w:tc>
        <w:tc>
          <w:tcPr>
            <w:tcW w:w="127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FA7B5C0">
            <w:pPr>
              <w:widowControl/>
              <w:spacing w:line="360" w:lineRule="auto"/>
              <w:jc w:val="center"/>
              <w:rPr>
                <w:rFonts w:ascii="宋体" w:hAnsi="宋体" w:cs="宋体"/>
                <w:kern w:val="0"/>
                <w:szCs w:val="21"/>
                <w:highlight w:val="none"/>
              </w:rPr>
            </w:pPr>
          </w:p>
        </w:tc>
        <w:tc>
          <w:tcPr>
            <w:tcW w:w="3686"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D6403E8">
            <w:pPr>
              <w:widowControl/>
              <w:spacing w:line="360" w:lineRule="auto"/>
              <w:jc w:val="center"/>
              <w:rPr>
                <w:rFonts w:ascii="宋体" w:hAnsi="宋体" w:cs="宋体"/>
                <w:kern w:val="0"/>
                <w:szCs w:val="21"/>
                <w:highlight w:val="none"/>
              </w:rPr>
            </w:pPr>
          </w:p>
        </w:tc>
        <w:tc>
          <w:tcPr>
            <w:tcW w:w="122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CBD8B7B">
            <w:pPr>
              <w:widowControl/>
              <w:spacing w:line="360" w:lineRule="auto"/>
              <w:jc w:val="center"/>
              <w:rPr>
                <w:rFonts w:ascii="宋体" w:hAnsi="宋体" w:cs="宋体"/>
                <w:kern w:val="0"/>
                <w:szCs w:val="21"/>
                <w:highlight w:val="none"/>
              </w:rPr>
            </w:pPr>
          </w:p>
        </w:tc>
      </w:tr>
      <w:tr w14:paraId="313EFCA7">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9A4C614">
            <w:pPr>
              <w:widowControl/>
              <w:spacing w:line="360" w:lineRule="auto"/>
              <w:jc w:val="center"/>
              <w:rPr>
                <w:rFonts w:ascii="宋体" w:hAnsi="宋体" w:cs="宋体"/>
                <w:kern w:val="0"/>
                <w:szCs w:val="21"/>
                <w:highlight w:val="none"/>
              </w:rPr>
            </w:pPr>
            <w:r>
              <w:rPr>
                <w:rFonts w:hint="eastAsia" w:ascii="宋体" w:hAnsi="宋体" w:cs="宋体"/>
                <w:kern w:val="0"/>
                <w:szCs w:val="21"/>
                <w:highlight w:val="none"/>
              </w:rPr>
              <w:t>……</w:t>
            </w:r>
          </w:p>
        </w:tc>
        <w:tc>
          <w:tcPr>
            <w:tcW w:w="2211"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489E779">
            <w:pPr>
              <w:widowControl/>
              <w:spacing w:line="360" w:lineRule="auto"/>
              <w:jc w:val="center"/>
              <w:rPr>
                <w:rFonts w:ascii="宋体" w:hAnsi="宋体" w:cs="宋体"/>
                <w:kern w:val="0"/>
                <w:szCs w:val="21"/>
                <w:highlight w:val="none"/>
              </w:rPr>
            </w:pPr>
          </w:p>
        </w:tc>
        <w:tc>
          <w:tcPr>
            <w:tcW w:w="127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9808426">
            <w:pPr>
              <w:widowControl/>
              <w:spacing w:line="360" w:lineRule="auto"/>
              <w:jc w:val="center"/>
              <w:rPr>
                <w:rFonts w:ascii="宋体" w:hAnsi="宋体" w:cs="宋体"/>
                <w:kern w:val="0"/>
                <w:szCs w:val="21"/>
                <w:highlight w:val="none"/>
              </w:rPr>
            </w:pPr>
          </w:p>
        </w:tc>
        <w:tc>
          <w:tcPr>
            <w:tcW w:w="3686"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0AF52C1">
            <w:pPr>
              <w:widowControl/>
              <w:spacing w:line="360" w:lineRule="auto"/>
              <w:jc w:val="center"/>
              <w:rPr>
                <w:rFonts w:ascii="宋体" w:hAnsi="宋体" w:cs="宋体"/>
                <w:kern w:val="0"/>
                <w:szCs w:val="21"/>
                <w:highlight w:val="none"/>
              </w:rPr>
            </w:pPr>
          </w:p>
        </w:tc>
        <w:tc>
          <w:tcPr>
            <w:tcW w:w="122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F869435">
            <w:pPr>
              <w:widowControl/>
              <w:spacing w:line="360" w:lineRule="auto"/>
              <w:jc w:val="center"/>
              <w:rPr>
                <w:rFonts w:ascii="宋体" w:hAnsi="宋体" w:cs="宋体"/>
                <w:kern w:val="0"/>
                <w:szCs w:val="21"/>
                <w:highlight w:val="none"/>
              </w:rPr>
            </w:pPr>
          </w:p>
        </w:tc>
      </w:tr>
    </w:tbl>
    <w:p w14:paraId="402E3F96">
      <w:pPr>
        <w:spacing w:line="360" w:lineRule="auto"/>
        <w:contextualSpacing/>
        <w:jc w:val="left"/>
        <w:rPr>
          <w:rFonts w:ascii="宋体" w:hAnsi="宋体" w:cs="宋体"/>
          <w:sz w:val="24"/>
          <w:highlight w:val="none"/>
        </w:rPr>
      </w:pPr>
      <w:r>
        <w:rPr>
          <w:rFonts w:hint="eastAsia" w:ascii="宋体" w:hAnsi="宋体" w:cs="宋体"/>
          <w:sz w:val="24"/>
          <w:highlight w:val="none"/>
        </w:rPr>
        <w:t>注：</w:t>
      </w:r>
    </w:p>
    <w:p w14:paraId="1C1E313F">
      <w:pPr>
        <w:spacing w:line="360" w:lineRule="auto"/>
        <w:ind w:firstLine="480" w:firstLineChars="200"/>
        <w:contextualSpacing/>
        <w:jc w:val="left"/>
        <w:rPr>
          <w:rFonts w:ascii="宋体" w:hAnsi="宋体" w:cs="宋体"/>
          <w:sz w:val="24"/>
          <w:highlight w:val="none"/>
        </w:rPr>
      </w:pPr>
      <w:r>
        <w:rPr>
          <w:rFonts w:hint="eastAsia" w:ascii="宋体" w:hAnsi="宋体" w:cs="宋体"/>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18C7E5E3">
      <w:pPr>
        <w:spacing w:line="360" w:lineRule="auto"/>
        <w:ind w:firstLine="480" w:firstLineChars="200"/>
        <w:contextualSpacing/>
        <w:jc w:val="left"/>
        <w:rPr>
          <w:rFonts w:ascii="宋体" w:hAnsi="宋体" w:cs="宋体"/>
          <w:sz w:val="24"/>
          <w:highlight w:val="none"/>
        </w:rPr>
      </w:pPr>
      <w:r>
        <w:rPr>
          <w:rFonts w:hint="eastAsia" w:ascii="宋体" w:hAnsi="宋体" w:cs="宋体"/>
          <w:sz w:val="24"/>
          <w:highlight w:val="none"/>
        </w:rPr>
        <w:t>2.本表所指的控股关系仅限于直接控股关系，不包括间接的控股关系。公司实际控制人与公司之间的关系不属于本表所指的直接控股关系。</w:t>
      </w:r>
    </w:p>
    <w:p w14:paraId="0E052F46">
      <w:pPr>
        <w:spacing w:line="360" w:lineRule="auto"/>
        <w:ind w:firstLine="480" w:firstLineChars="200"/>
        <w:contextualSpacing/>
        <w:jc w:val="left"/>
        <w:rPr>
          <w:rFonts w:ascii="宋体" w:hAnsi="宋体" w:cs="宋体"/>
          <w:sz w:val="24"/>
          <w:highlight w:val="none"/>
        </w:rPr>
      </w:pPr>
      <w:r>
        <w:rPr>
          <w:rFonts w:hint="eastAsia" w:ascii="宋体" w:hAnsi="宋体" w:cs="宋体"/>
          <w:sz w:val="24"/>
          <w:highlight w:val="none"/>
        </w:rPr>
        <w:t>3.供应商不存在直接控股股东的，</w:t>
      </w:r>
      <w:r>
        <w:rPr>
          <w:rFonts w:hint="eastAsia" w:ascii="宋体" w:hAnsi="宋体"/>
          <w:sz w:val="24"/>
          <w:highlight w:val="none"/>
        </w:rPr>
        <w:t>则在“直接控股股东名称”填“无”</w:t>
      </w:r>
      <w:r>
        <w:rPr>
          <w:rFonts w:hint="eastAsia" w:ascii="宋体" w:hAnsi="宋体" w:cs="宋体"/>
          <w:sz w:val="24"/>
          <w:highlight w:val="none"/>
        </w:rPr>
        <w:t>。</w:t>
      </w:r>
    </w:p>
    <w:p w14:paraId="31DD7CDE">
      <w:pPr>
        <w:spacing w:line="360" w:lineRule="auto"/>
        <w:ind w:firstLine="560" w:firstLineChars="200"/>
        <w:contextualSpacing/>
        <w:jc w:val="left"/>
        <w:rPr>
          <w:rFonts w:ascii="宋体" w:hAnsi="宋体" w:cs="宋体"/>
          <w:sz w:val="28"/>
          <w:szCs w:val="28"/>
          <w:highlight w:val="none"/>
        </w:rPr>
      </w:pPr>
    </w:p>
    <w:p w14:paraId="4F540A38">
      <w:pPr>
        <w:pStyle w:val="10"/>
        <w:ind w:firstLine="1274" w:firstLineChars="531"/>
        <w:rPr>
          <w:sz w:val="24"/>
          <w:szCs w:val="24"/>
          <w:highlight w:val="none"/>
        </w:rPr>
      </w:pPr>
      <w:r>
        <w:rPr>
          <w:rFonts w:hint="eastAsia"/>
          <w:sz w:val="24"/>
          <w:highlight w:val="none"/>
        </w:rPr>
        <w:t>供应商名称（电子签章）</w:t>
      </w:r>
      <w:r>
        <w:rPr>
          <w:rFonts w:hint="eastAsia"/>
          <w:sz w:val="24"/>
          <w:szCs w:val="24"/>
          <w:highlight w:val="none"/>
        </w:rPr>
        <w:t>：</w:t>
      </w:r>
      <w:r>
        <w:rPr>
          <w:rFonts w:hint="eastAsia"/>
          <w:sz w:val="24"/>
          <w:szCs w:val="24"/>
          <w:highlight w:val="none"/>
          <w:u w:val="single"/>
        </w:rPr>
        <w:t xml:space="preserve">                   </w:t>
      </w:r>
      <w:r>
        <w:rPr>
          <w:rFonts w:hint="eastAsia"/>
          <w:sz w:val="24"/>
          <w:szCs w:val="24"/>
          <w:highlight w:val="none"/>
        </w:rPr>
        <w:t xml:space="preserve">   </w:t>
      </w:r>
    </w:p>
    <w:p w14:paraId="329E3027">
      <w:pPr>
        <w:pStyle w:val="10"/>
        <w:ind w:firstLine="1274" w:firstLineChars="531"/>
        <w:rPr>
          <w:sz w:val="24"/>
          <w:szCs w:val="24"/>
          <w:highlight w:val="none"/>
        </w:rPr>
      </w:pPr>
      <w:r>
        <w:rPr>
          <w:rFonts w:hint="eastAsia"/>
          <w:sz w:val="24"/>
          <w:szCs w:val="24"/>
          <w:highlight w:val="none"/>
        </w:rPr>
        <w:t xml:space="preserve">                            </w:t>
      </w:r>
    </w:p>
    <w:p w14:paraId="2F7BE143">
      <w:pPr>
        <w:pStyle w:val="10"/>
        <w:ind w:firstLine="1274" w:firstLineChars="531"/>
        <w:rPr>
          <w:sz w:val="24"/>
          <w:szCs w:val="24"/>
          <w:highlight w:val="none"/>
        </w:rPr>
      </w:pPr>
      <w:r>
        <w:rPr>
          <w:rFonts w:hint="eastAsia"/>
          <w:sz w:val="24"/>
          <w:szCs w:val="24"/>
          <w:highlight w:val="none"/>
        </w:rPr>
        <w:t>法定代表人或授权代表</w:t>
      </w:r>
      <w:r>
        <w:rPr>
          <w:rFonts w:hint="eastAsia" w:hAnsi="宋体" w:cs="宋体"/>
          <w:sz w:val="22"/>
          <w:szCs w:val="22"/>
          <w:highlight w:val="none"/>
        </w:rPr>
        <w:t>（签字或电子签章）</w:t>
      </w:r>
      <w:r>
        <w:rPr>
          <w:rFonts w:hint="eastAsia"/>
          <w:sz w:val="24"/>
          <w:szCs w:val="24"/>
          <w:highlight w:val="none"/>
        </w:rPr>
        <w:t>:</w:t>
      </w:r>
      <w:r>
        <w:rPr>
          <w:rFonts w:hint="eastAsia"/>
          <w:sz w:val="24"/>
          <w:szCs w:val="24"/>
          <w:highlight w:val="none"/>
          <w:u w:val="single"/>
        </w:rPr>
        <w:t xml:space="preserve">                </w:t>
      </w:r>
      <w:r>
        <w:rPr>
          <w:rFonts w:hint="eastAsia"/>
          <w:sz w:val="24"/>
          <w:szCs w:val="24"/>
          <w:highlight w:val="none"/>
        </w:rPr>
        <w:t xml:space="preserve"> </w:t>
      </w:r>
    </w:p>
    <w:p w14:paraId="55BD5284">
      <w:pPr>
        <w:pStyle w:val="10"/>
        <w:ind w:firstLine="1274" w:firstLineChars="531"/>
        <w:rPr>
          <w:sz w:val="24"/>
          <w:szCs w:val="24"/>
          <w:highlight w:val="none"/>
        </w:rPr>
      </w:pPr>
    </w:p>
    <w:p w14:paraId="30498A8C">
      <w:pPr>
        <w:pStyle w:val="10"/>
        <w:ind w:firstLine="1274" w:firstLineChars="531"/>
        <w:rPr>
          <w:sz w:val="24"/>
          <w:szCs w:val="24"/>
          <w:highlight w:val="none"/>
        </w:rPr>
      </w:pPr>
      <w:r>
        <w:rPr>
          <w:rFonts w:hint="eastAsia"/>
          <w:sz w:val="24"/>
          <w:szCs w:val="24"/>
          <w:highlight w:val="none"/>
        </w:rPr>
        <w:t>日期：</w:t>
      </w:r>
      <w:r>
        <w:rPr>
          <w:rFonts w:hint="eastAsia"/>
          <w:sz w:val="24"/>
          <w:szCs w:val="24"/>
          <w:highlight w:val="none"/>
          <w:u w:val="single"/>
        </w:rPr>
        <w:t xml:space="preserve">                 </w:t>
      </w:r>
      <w:r>
        <w:rPr>
          <w:rFonts w:hint="eastAsia"/>
          <w:sz w:val="24"/>
          <w:szCs w:val="24"/>
          <w:highlight w:val="none"/>
        </w:rPr>
        <w:t xml:space="preserve">  </w:t>
      </w:r>
    </w:p>
    <w:p w14:paraId="617E58C5">
      <w:pPr>
        <w:pStyle w:val="10"/>
        <w:spacing w:line="300" w:lineRule="auto"/>
        <w:rPr>
          <w:rFonts w:hAnsi="宋体"/>
          <w:bCs/>
          <w:szCs w:val="21"/>
          <w:highlight w:val="none"/>
        </w:rPr>
      </w:pPr>
    </w:p>
    <w:p w14:paraId="70EF35F2">
      <w:pPr>
        <w:widowControl/>
        <w:jc w:val="left"/>
        <w:rPr>
          <w:rFonts w:ascii="宋体" w:hAnsi="宋体"/>
          <w:bCs/>
          <w:szCs w:val="21"/>
          <w:highlight w:val="none"/>
        </w:rPr>
      </w:pPr>
      <w:r>
        <w:rPr>
          <w:rFonts w:hAnsi="宋体"/>
          <w:bCs/>
          <w:szCs w:val="21"/>
          <w:highlight w:val="none"/>
        </w:rPr>
        <w:br w:type="page"/>
      </w:r>
    </w:p>
    <w:p w14:paraId="1F7E5996">
      <w:pPr>
        <w:pStyle w:val="10"/>
        <w:spacing w:line="300" w:lineRule="auto"/>
        <w:rPr>
          <w:rFonts w:hAnsi="宋体"/>
          <w:bCs/>
          <w:szCs w:val="21"/>
          <w:highlight w:val="none"/>
        </w:rPr>
      </w:pPr>
    </w:p>
    <w:p w14:paraId="7E63028E">
      <w:pPr>
        <w:snapToGrid w:val="0"/>
        <w:jc w:val="center"/>
        <w:rPr>
          <w:rFonts w:ascii="宋体" w:hAnsi="宋体"/>
          <w:b/>
          <w:sz w:val="32"/>
          <w:szCs w:val="32"/>
          <w:highlight w:val="none"/>
        </w:rPr>
      </w:pPr>
      <w:r>
        <w:rPr>
          <w:rFonts w:hint="eastAsia" w:ascii="宋体" w:hAnsi="宋体"/>
          <w:b/>
          <w:sz w:val="32"/>
          <w:szCs w:val="32"/>
          <w:highlight w:val="none"/>
        </w:rPr>
        <w:t>供应商直接管理关系信息表</w:t>
      </w:r>
    </w:p>
    <w:p w14:paraId="1D66CA98">
      <w:pPr>
        <w:snapToGrid w:val="0"/>
        <w:jc w:val="center"/>
        <w:rPr>
          <w:rFonts w:ascii="宋体" w:hAnsi="宋体"/>
          <w:b/>
          <w:sz w:val="32"/>
          <w:szCs w:val="32"/>
          <w:highlight w:val="none"/>
        </w:rPr>
      </w:pPr>
    </w:p>
    <w:tbl>
      <w:tblPr>
        <w:tblStyle w:val="19"/>
        <w:tblW w:w="9080" w:type="dxa"/>
        <w:jc w:val="center"/>
        <w:shd w:val="clear" w:color="auto" w:fill="FBFBFB"/>
        <w:tblLayout w:type="fixed"/>
        <w:tblCellMar>
          <w:top w:w="0" w:type="dxa"/>
          <w:left w:w="0" w:type="dxa"/>
          <w:bottom w:w="0" w:type="dxa"/>
          <w:right w:w="0" w:type="dxa"/>
        </w:tblCellMar>
      </w:tblPr>
      <w:tblGrid>
        <w:gridCol w:w="808"/>
        <w:gridCol w:w="3600"/>
        <w:gridCol w:w="2971"/>
        <w:gridCol w:w="1701"/>
      </w:tblGrid>
      <w:tr w14:paraId="66FEEEB9">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0E1ED5E">
            <w:pPr>
              <w:widowControl/>
              <w:jc w:val="center"/>
              <w:rPr>
                <w:rFonts w:ascii="宋体" w:hAnsi="宋体" w:cs="宋体"/>
                <w:b/>
                <w:bCs/>
                <w:kern w:val="0"/>
                <w:sz w:val="28"/>
                <w:szCs w:val="28"/>
                <w:highlight w:val="none"/>
              </w:rPr>
            </w:pPr>
            <w:r>
              <w:rPr>
                <w:rFonts w:hint="eastAsia" w:ascii="宋体" w:hAnsi="宋体" w:cs="宋体"/>
                <w:b/>
                <w:bCs/>
                <w:kern w:val="0"/>
                <w:sz w:val="28"/>
                <w:szCs w:val="28"/>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381FBEB4">
            <w:pPr>
              <w:widowControl/>
              <w:jc w:val="center"/>
              <w:rPr>
                <w:rFonts w:ascii="宋体" w:hAnsi="宋体" w:cs="宋体"/>
                <w:b/>
                <w:bCs/>
                <w:kern w:val="0"/>
                <w:sz w:val="28"/>
                <w:szCs w:val="28"/>
                <w:highlight w:val="none"/>
              </w:rPr>
            </w:pPr>
            <w:r>
              <w:rPr>
                <w:rFonts w:hint="eastAsia" w:ascii="宋体" w:hAnsi="宋体" w:cs="宋体"/>
                <w:b/>
                <w:bCs/>
                <w:kern w:val="0"/>
                <w:sz w:val="28"/>
                <w:szCs w:val="28"/>
                <w:highlight w:val="none"/>
              </w:rPr>
              <w:t>直接管理关系单位名称</w:t>
            </w:r>
          </w:p>
        </w:tc>
        <w:tc>
          <w:tcPr>
            <w:tcW w:w="2971"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321E6F34">
            <w:pPr>
              <w:widowControl/>
              <w:jc w:val="center"/>
              <w:rPr>
                <w:rFonts w:ascii="宋体" w:hAnsi="宋体" w:cs="宋体"/>
                <w:b/>
                <w:bCs/>
                <w:kern w:val="0"/>
                <w:sz w:val="28"/>
                <w:szCs w:val="28"/>
                <w:highlight w:val="none"/>
              </w:rPr>
            </w:pPr>
            <w:r>
              <w:rPr>
                <w:rFonts w:hint="eastAsia" w:ascii="宋体" w:hAnsi="宋体" w:cs="宋体"/>
                <w:b/>
                <w:bCs/>
                <w:kern w:val="0"/>
                <w:sz w:val="28"/>
                <w:szCs w:val="28"/>
                <w:highlight w:val="none"/>
              </w:rPr>
              <w:t>统一社会信用代码</w:t>
            </w:r>
          </w:p>
        </w:tc>
        <w:tc>
          <w:tcPr>
            <w:tcW w:w="1701"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6244942">
            <w:pPr>
              <w:widowControl/>
              <w:jc w:val="center"/>
              <w:rPr>
                <w:rFonts w:ascii="宋体" w:hAnsi="宋体" w:cs="宋体"/>
                <w:b/>
                <w:bCs/>
                <w:kern w:val="0"/>
                <w:sz w:val="28"/>
                <w:szCs w:val="28"/>
                <w:highlight w:val="none"/>
              </w:rPr>
            </w:pPr>
            <w:r>
              <w:rPr>
                <w:rFonts w:hint="eastAsia" w:ascii="宋体" w:hAnsi="宋体" w:cs="宋体"/>
                <w:b/>
                <w:bCs/>
                <w:kern w:val="0"/>
                <w:sz w:val="28"/>
                <w:szCs w:val="28"/>
                <w:highlight w:val="none"/>
              </w:rPr>
              <w:t>备注</w:t>
            </w:r>
          </w:p>
        </w:tc>
      </w:tr>
      <w:tr w14:paraId="5A74DA7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0603041">
            <w:pPr>
              <w:widowControl/>
              <w:wordWrap w:val="0"/>
              <w:spacing w:line="200" w:lineRule="atLeast"/>
              <w:jc w:val="center"/>
              <w:rPr>
                <w:rFonts w:ascii="宋体" w:hAnsi="宋体" w:cs="宋体"/>
                <w:kern w:val="0"/>
                <w:sz w:val="28"/>
                <w:szCs w:val="28"/>
                <w:highlight w:val="none"/>
              </w:rPr>
            </w:pPr>
            <w:r>
              <w:rPr>
                <w:rFonts w:hint="eastAsia" w:ascii="宋体" w:hAnsi="宋体" w:cs="宋体"/>
                <w:kern w:val="0"/>
                <w:sz w:val="28"/>
                <w:szCs w:val="28"/>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4633D4E">
            <w:pPr>
              <w:widowControl/>
              <w:wordWrap w:val="0"/>
              <w:spacing w:line="200" w:lineRule="atLeast"/>
              <w:jc w:val="center"/>
              <w:rPr>
                <w:rFonts w:ascii="宋体" w:hAnsi="宋体" w:cs="宋体"/>
                <w:kern w:val="0"/>
                <w:sz w:val="28"/>
                <w:szCs w:val="28"/>
                <w:highlight w:val="none"/>
              </w:rPr>
            </w:pPr>
          </w:p>
        </w:tc>
        <w:tc>
          <w:tcPr>
            <w:tcW w:w="2971"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DEF8C7A">
            <w:pPr>
              <w:widowControl/>
              <w:wordWrap w:val="0"/>
              <w:spacing w:line="200" w:lineRule="atLeast"/>
              <w:jc w:val="center"/>
              <w:rPr>
                <w:rFonts w:ascii="宋体" w:hAnsi="宋体" w:cs="宋体"/>
                <w:kern w:val="0"/>
                <w:sz w:val="28"/>
                <w:szCs w:val="28"/>
                <w:highlight w:val="none"/>
              </w:rPr>
            </w:pPr>
          </w:p>
        </w:tc>
        <w:tc>
          <w:tcPr>
            <w:tcW w:w="1701"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3E41FEE">
            <w:pPr>
              <w:widowControl/>
              <w:wordWrap w:val="0"/>
              <w:spacing w:line="200" w:lineRule="atLeast"/>
              <w:jc w:val="center"/>
              <w:rPr>
                <w:rFonts w:ascii="宋体" w:hAnsi="宋体" w:cs="宋体"/>
                <w:kern w:val="0"/>
                <w:sz w:val="28"/>
                <w:szCs w:val="28"/>
                <w:highlight w:val="none"/>
              </w:rPr>
            </w:pPr>
          </w:p>
        </w:tc>
      </w:tr>
      <w:tr w14:paraId="45D5D528">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C61D9CC">
            <w:pPr>
              <w:widowControl/>
              <w:wordWrap w:val="0"/>
              <w:spacing w:line="200" w:lineRule="atLeast"/>
              <w:jc w:val="center"/>
              <w:rPr>
                <w:rFonts w:ascii="宋体" w:hAnsi="宋体" w:cs="宋体"/>
                <w:kern w:val="0"/>
                <w:sz w:val="28"/>
                <w:szCs w:val="28"/>
                <w:highlight w:val="none"/>
              </w:rPr>
            </w:pPr>
            <w:r>
              <w:rPr>
                <w:rFonts w:hint="eastAsia" w:ascii="宋体" w:hAnsi="宋体" w:cs="宋体"/>
                <w:kern w:val="0"/>
                <w:sz w:val="28"/>
                <w:szCs w:val="28"/>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3CC3D32">
            <w:pPr>
              <w:widowControl/>
              <w:wordWrap w:val="0"/>
              <w:spacing w:line="200" w:lineRule="atLeast"/>
              <w:jc w:val="center"/>
              <w:rPr>
                <w:rFonts w:ascii="宋体" w:hAnsi="宋体" w:cs="宋体"/>
                <w:kern w:val="0"/>
                <w:sz w:val="28"/>
                <w:szCs w:val="28"/>
                <w:highlight w:val="none"/>
              </w:rPr>
            </w:pPr>
          </w:p>
        </w:tc>
        <w:tc>
          <w:tcPr>
            <w:tcW w:w="2971"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5F521A8">
            <w:pPr>
              <w:widowControl/>
              <w:wordWrap w:val="0"/>
              <w:spacing w:line="200" w:lineRule="atLeast"/>
              <w:jc w:val="center"/>
              <w:rPr>
                <w:rFonts w:ascii="宋体" w:hAnsi="宋体" w:cs="宋体"/>
                <w:kern w:val="0"/>
                <w:sz w:val="28"/>
                <w:szCs w:val="28"/>
                <w:highlight w:val="none"/>
              </w:rPr>
            </w:pPr>
          </w:p>
        </w:tc>
        <w:tc>
          <w:tcPr>
            <w:tcW w:w="1701"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D7388A4">
            <w:pPr>
              <w:widowControl/>
              <w:wordWrap w:val="0"/>
              <w:spacing w:line="200" w:lineRule="atLeast"/>
              <w:jc w:val="center"/>
              <w:rPr>
                <w:rFonts w:ascii="宋体" w:hAnsi="宋体" w:cs="宋体"/>
                <w:kern w:val="0"/>
                <w:sz w:val="28"/>
                <w:szCs w:val="28"/>
                <w:highlight w:val="none"/>
              </w:rPr>
            </w:pPr>
          </w:p>
        </w:tc>
      </w:tr>
      <w:tr w14:paraId="2A1125D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A3A933D">
            <w:pPr>
              <w:widowControl/>
              <w:wordWrap w:val="0"/>
              <w:spacing w:line="200" w:lineRule="atLeast"/>
              <w:jc w:val="center"/>
              <w:rPr>
                <w:rFonts w:ascii="宋体" w:hAnsi="宋体" w:cs="宋体"/>
                <w:kern w:val="0"/>
                <w:sz w:val="28"/>
                <w:szCs w:val="28"/>
                <w:highlight w:val="none"/>
              </w:rPr>
            </w:pPr>
            <w:r>
              <w:rPr>
                <w:rFonts w:hint="eastAsia" w:ascii="宋体" w:hAnsi="宋体" w:cs="宋体"/>
                <w:kern w:val="0"/>
                <w:sz w:val="28"/>
                <w:szCs w:val="28"/>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FB1FD2A">
            <w:pPr>
              <w:widowControl/>
              <w:wordWrap w:val="0"/>
              <w:spacing w:line="200" w:lineRule="atLeast"/>
              <w:jc w:val="center"/>
              <w:rPr>
                <w:rFonts w:ascii="宋体" w:hAnsi="宋体" w:cs="宋体"/>
                <w:kern w:val="0"/>
                <w:sz w:val="28"/>
                <w:szCs w:val="28"/>
                <w:highlight w:val="none"/>
              </w:rPr>
            </w:pPr>
          </w:p>
        </w:tc>
        <w:tc>
          <w:tcPr>
            <w:tcW w:w="2971"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993A9A0">
            <w:pPr>
              <w:widowControl/>
              <w:wordWrap w:val="0"/>
              <w:spacing w:line="200" w:lineRule="atLeast"/>
              <w:jc w:val="center"/>
              <w:rPr>
                <w:rFonts w:ascii="宋体" w:hAnsi="宋体" w:cs="宋体"/>
                <w:kern w:val="0"/>
                <w:sz w:val="28"/>
                <w:szCs w:val="28"/>
                <w:highlight w:val="none"/>
              </w:rPr>
            </w:pPr>
          </w:p>
        </w:tc>
        <w:tc>
          <w:tcPr>
            <w:tcW w:w="1701"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3168C3C">
            <w:pPr>
              <w:widowControl/>
              <w:wordWrap w:val="0"/>
              <w:spacing w:line="200" w:lineRule="atLeast"/>
              <w:jc w:val="center"/>
              <w:rPr>
                <w:rFonts w:ascii="宋体" w:hAnsi="宋体" w:cs="宋体"/>
                <w:kern w:val="0"/>
                <w:sz w:val="28"/>
                <w:szCs w:val="28"/>
                <w:highlight w:val="none"/>
              </w:rPr>
            </w:pPr>
          </w:p>
        </w:tc>
      </w:tr>
      <w:tr w14:paraId="0F83AD28">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63D8A6E">
            <w:pPr>
              <w:widowControl/>
              <w:wordWrap w:val="0"/>
              <w:spacing w:line="200" w:lineRule="atLeast"/>
              <w:jc w:val="center"/>
              <w:rPr>
                <w:rFonts w:ascii="宋体" w:hAnsi="宋体" w:cs="宋体"/>
                <w:kern w:val="0"/>
                <w:sz w:val="28"/>
                <w:szCs w:val="28"/>
                <w:highlight w:val="none"/>
              </w:rPr>
            </w:pPr>
            <w:r>
              <w:rPr>
                <w:rFonts w:hint="eastAsia" w:ascii="宋体" w:hAnsi="宋体" w:cs="宋体"/>
                <w:kern w:val="0"/>
                <w:sz w:val="28"/>
                <w:szCs w:val="28"/>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BCB832B">
            <w:pPr>
              <w:widowControl/>
              <w:wordWrap w:val="0"/>
              <w:spacing w:line="200" w:lineRule="atLeast"/>
              <w:jc w:val="center"/>
              <w:rPr>
                <w:rFonts w:ascii="宋体" w:hAnsi="宋体" w:cs="宋体"/>
                <w:kern w:val="0"/>
                <w:sz w:val="28"/>
                <w:szCs w:val="28"/>
                <w:highlight w:val="none"/>
              </w:rPr>
            </w:pPr>
          </w:p>
        </w:tc>
        <w:tc>
          <w:tcPr>
            <w:tcW w:w="2971"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C0EC67D">
            <w:pPr>
              <w:widowControl/>
              <w:wordWrap w:val="0"/>
              <w:spacing w:line="200" w:lineRule="atLeast"/>
              <w:jc w:val="center"/>
              <w:rPr>
                <w:rFonts w:ascii="宋体" w:hAnsi="宋体" w:cs="宋体"/>
                <w:kern w:val="0"/>
                <w:sz w:val="28"/>
                <w:szCs w:val="28"/>
                <w:highlight w:val="none"/>
              </w:rPr>
            </w:pPr>
          </w:p>
        </w:tc>
        <w:tc>
          <w:tcPr>
            <w:tcW w:w="1701"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6D9EFAD">
            <w:pPr>
              <w:widowControl/>
              <w:wordWrap w:val="0"/>
              <w:spacing w:line="200" w:lineRule="atLeast"/>
              <w:jc w:val="center"/>
              <w:rPr>
                <w:rFonts w:ascii="宋体" w:hAnsi="宋体" w:cs="宋体"/>
                <w:kern w:val="0"/>
                <w:sz w:val="28"/>
                <w:szCs w:val="28"/>
                <w:highlight w:val="none"/>
              </w:rPr>
            </w:pPr>
          </w:p>
        </w:tc>
      </w:tr>
    </w:tbl>
    <w:p w14:paraId="074020E6">
      <w:pPr>
        <w:spacing w:line="360" w:lineRule="auto"/>
        <w:contextualSpacing/>
        <w:jc w:val="left"/>
        <w:rPr>
          <w:rFonts w:ascii="宋体" w:hAnsi="宋体"/>
          <w:sz w:val="24"/>
          <w:highlight w:val="none"/>
        </w:rPr>
      </w:pPr>
      <w:r>
        <w:rPr>
          <w:rFonts w:hint="eastAsia" w:ascii="宋体" w:hAnsi="宋体"/>
          <w:sz w:val="24"/>
          <w:highlight w:val="none"/>
        </w:rPr>
        <w:t>注：</w:t>
      </w:r>
    </w:p>
    <w:p w14:paraId="1D3EA6F4">
      <w:pPr>
        <w:spacing w:line="360" w:lineRule="auto"/>
        <w:ind w:firstLine="480" w:firstLineChars="200"/>
        <w:contextualSpacing/>
        <w:jc w:val="left"/>
        <w:rPr>
          <w:rFonts w:ascii="宋体" w:hAnsi="宋体"/>
          <w:sz w:val="24"/>
          <w:highlight w:val="none"/>
        </w:rPr>
      </w:pPr>
      <w:r>
        <w:rPr>
          <w:rFonts w:hint="eastAsia" w:ascii="宋体" w:hAnsi="宋体"/>
          <w:sz w:val="24"/>
          <w:highlight w:val="none"/>
        </w:rPr>
        <w:t>1.管理关系：是指不具有出资持股关系的其他单位之间存在的管理与被管理关系，如一些上下级关系的事业单位和团体组织。</w:t>
      </w:r>
    </w:p>
    <w:p w14:paraId="6A47AC92">
      <w:pPr>
        <w:spacing w:line="360" w:lineRule="auto"/>
        <w:ind w:firstLine="480" w:firstLineChars="200"/>
        <w:contextualSpacing/>
        <w:jc w:val="left"/>
        <w:rPr>
          <w:rFonts w:ascii="宋体" w:hAnsi="宋体"/>
          <w:sz w:val="24"/>
          <w:highlight w:val="none"/>
        </w:rPr>
      </w:pPr>
      <w:r>
        <w:rPr>
          <w:rFonts w:hint="eastAsia" w:ascii="宋体" w:hAnsi="宋体"/>
          <w:sz w:val="24"/>
          <w:highlight w:val="none"/>
        </w:rPr>
        <w:t>2.</w:t>
      </w:r>
      <w:r>
        <w:rPr>
          <w:rFonts w:hint="eastAsia" w:ascii="宋体" w:hAnsi="宋体"/>
          <w:spacing w:val="-6"/>
          <w:sz w:val="24"/>
          <w:highlight w:val="none"/>
        </w:rPr>
        <w:t>本表所指的管理关系仅限于直接管理关系，不包括间接的管理关系。</w:t>
      </w:r>
    </w:p>
    <w:p w14:paraId="6BC9BE58">
      <w:pPr>
        <w:spacing w:line="360" w:lineRule="auto"/>
        <w:ind w:firstLine="480" w:firstLineChars="200"/>
        <w:contextualSpacing/>
        <w:jc w:val="left"/>
        <w:rPr>
          <w:rFonts w:ascii="宋体" w:hAnsi="宋体"/>
          <w:sz w:val="24"/>
          <w:highlight w:val="none"/>
        </w:rPr>
      </w:pPr>
      <w:r>
        <w:rPr>
          <w:rFonts w:hint="eastAsia" w:ascii="宋体" w:hAnsi="宋体"/>
          <w:sz w:val="24"/>
          <w:highlight w:val="none"/>
        </w:rPr>
        <w:t>3.供应商不存在直接管理关系的，则在“直接管理关系单位名称”填“无”。</w:t>
      </w:r>
    </w:p>
    <w:p w14:paraId="433C7322">
      <w:pPr>
        <w:spacing w:line="360" w:lineRule="auto"/>
        <w:contextualSpacing/>
        <w:jc w:val="left"/>
        <w:rPr>
          <w:rFonts w:ascii="宋体" w:hAnsi="宋体"/>
          <w:sz w:val="28"/>
          <w:szCs w:val="28"/>
          <w:highlight w:val="none"/>
        </w:rPr>
      </w:pPr>
    </w:p>
    <w:p w14:paraId="27DB2738">
      <w:pPr>
        <w:spacing w:line="360" w:lineRule="auto"/>
        <w:ind w:firstLine="560" w:firstLineChars="200"/>
        <w:contextualSpacing/>
        <w:jc w:val="left"/>
        <w:rPr>
          <w:rFonts w:ascii="宋体" w:hAnsi="宋体" w:cs="宋体"/>
          <w:sz w:val="28"/>
          <w:szCs w:val="28"/>
          <w:highlight w:val="none"/>
        </w:rPr>
      </w:pPr>
    </w:p>
    <w:p w14:paraId="0183C692">
      <w:pPr>
        <w:pStyle w:val="10"/>
        <w:ind w:firstLine="991" w:firstLineChars="413"/>
        <w:rPr>
          <w:sz w:val="24"/>
          <w:szCs w:val="24"/>
          <w:highlight w:val="none"/>
        </w:rPr>
      </w:pPr>
      <w:r>
        <w:rPr>
          <w:rFonts w:hint="eastAsia"/>
          <w:sz w:val="24"/>
          <w:highlight w:val="none"/>
        </w:rPr>
        <w:t>供应商名称（电子签章）</w:t>
      </w:r>
      <w:r>
        <w:rPr>
          <w:rFonts w:hint="eastAsia"/>
          <w:sz w:val="24"/>
          <w:szCs w:val="24"/>
          <w:highlight w:val="none"/>
        </w:rPr>
        <w:t>：</w:t>
      </w:r>
      <w:r>
        <w:rPr>
          <w:rFonts w:hint="eastAsia"/>
          <w:sz w:val="24"/>
          <w:szCs w:val="24"/>
          <w:highlight w:val="none"/>
          <w:u w:val="single"/>
        </w:rPr>
        <w:t xml:space="preserve">                   </w:t>
      </w:r>
      <w:r>
        <w:rPr>
          <w:rFonts w:hint="eastAsia"/>
          <w:sz w:val="24"/>
          <w:szCs w:val="24"/>
          <w:highlight w:val="none"/>
        </w:rPr>
        <w:t xml:space="preserve">   </w:t>
      </w:r>
    </w:p>
    <w:p w14:paraId="2866840F">
      <w:pPr>
        <w:pStyle w:val="10"/>
        <w:ind w:firstLine="991" w:firstLineChars="413"/>
        <w:rPr>
          <w:sz w:val="24"/>
          <w:szCs w:val="24"/>
          <w:highlight w:val="none"/>
        </w:rPr>
      </w:pPr>
      <w:r>
        <w:rPr>
          <w:rFonts w:hint="eastAsia"/>
          <w:sz w:val="24"/>
          <w:szCs w:val="24"/>
          <w:highlight w:val="none"/>
        </w:rPr>
        <w:t xml:space="preserve">                            </w:t>
      </w:r>
    </w:p>
    <w:p w14:paraId="5BFC19B6">
      <w:pPr>
        <w:pStyle w:val="10"/>
        <w:ind w:firstLine="991" w:firstLineChars="413"/>
        <w:rPr>
          <w:sz w:val="24"/>
          <w:szCs w:val="24"/>
          <w:highlight w:val="none"/>
        </w:rPr>
      </w:pPr>
      <w:r>
        <w:rPr>
          <w:rFonts w:hint="eastAsia"/>
          <w:sz w:val="24"/>
          <w:szCs w:val="24"/>
          <w:highlight w:val="none"/>
        </w:rPr>
        <w:t>法定代表人或授权代表</w:t>
      </w:r>
      <w:r>
        <w:rPr>
          <w:rFonts w:hint="eastAsia" w:hAnsi="宋体" w:cs="宋体"/>
          <w:sz w:val="22"/>
          <w:szCs w:val="22"/>
          <w:highlight w:val="none"/>
        </w:rPr>
        <w:t>（签字或电子签章）</w:t>
      </w:r>
      <w:r>
        <w:rPr>
          <w:rFonts w:hint="eastAsia"/>
          <w:sz w:val="24"/>
          <w:szCs w:val="24"/>
          <w:highlight w:val="none"/>
        </w:rPr>
        <w:t>:</w:t>
      </w:r>
      <w:r>
        <w:rPr>
          <w:rFonts w:hint="eastAsia"/>
          <w:sz w:val="24"/>
          <w:szCs w:val="24"/>
          <w:highlight w:val="none"/>
          <w:u w:val="single"/>
        </w:rPr>
        <w:t xml:space="preserve">                </w:t>
      </w:r>
      <w:r>
        <w:rPr>
          <w:rFonts w:hint="eastAsia"/>
          <w:sz w:val="24"/>
          <w:szCs w:val="24"/>
          <w:highlight w:val="none"/>
        </w:rPr>
        <w:t xml:space="preserve"> </w:t>
      </w:r>
    </w:p>
    <w:p w14:paraId="084CFAEE">
      <w:pPr>
        <w:pStyle w:val="10"/>
        <w:ind w:firstLine="991" w:firstLineChars="413"/>
        <w:rPr>
          <w:sz w:val="24"/>
          <w:szCs w:val="24"/>
          <w:highlight w:val="none"/>
        </w:rPr>
      </w:pPr>
    </w:p>
    <w:p w14:paraId="6E722E13">
      <w:pPr>
        <w:pStyle w:val="10"/>
        <w:ind w:firstLine="991" w:firstLineChars="413"/>
        <w:rPr>
          <w:sz w:val="24"/>
          <w:szCs w:val="24"/>
          <w:highlight w:val="none"/>
        </w:rPr>
      </w:pPr>
      <w:r>
        <w:rPr>
          <w:rFonts w:hint="eastAsia"/>
          <w:sz w:val="24"/>
          <w:szCs w:val="24"/>
          <w:highlight w:val="none"/>
        </w:rPr>
        <w:t>日期：</w:t>
      </w:r>
      <w:r>
        <w:rPr>
          <w:rFonts w:hint="eastAsia"/>
          <w:sz w:val="24"/>
          <w:szCs w:val="24"/>
          <w:highlight w:val="none"/>
          <w:u w:val="single"/>
        </w:rPr>
        <w:t xml:space="preserve">                 </w:t>
      </w:r>
      <w:r>
        <w:rPr>
          <w:rFonts w:hint="eastAsia"/>
          <w:sz w:val="24"/>
          <w:szCs w:val="24"/>
          <w:highlight w:val="none"/>
        </w:rPr>
        <w:t xml:space="preserve">  </w:t>
      </w:r>
    </w:p>
    <w:p w14:paraId="589B6820">
      <w:pPr>
        <w:pStyle w:val="10"/>
        <w:spacing w:line="300" w:lineRule="auto"/>
        <w:ind w:firstLine="867" w:firstLineChars="413"/>
        <w:rPr>
          <w:rFonts w:hAnsi="宋体"/>
          <w:bCs/>
          <w:szCs w:val="21"/>
          <w:highlight w:val="none"/>
        </w:rPr>
      </w:pPr>
    </w:p>
    <w:p w14:paraId="4F906A9C">
      <w:pPr>
        <w:pStyle w:val="10"/>
        <w:spacing w:line="300" w:lineRule="auto"/>
        <w:ind w:firstLine="867" w:firstLineChars="413"/>
        <w:rPr>
          <w:rFonts w:hAnsi="宋体"/>
          <w:bCs/>
          <w:szCs w:val="21"/>
          <w:highlight w:val="none"/>
        </w:rPr>
      </w:pPr>
    </w:p>
    <w:p w14:paraId="2ED839D8">
      <w:pPr>
        <w:pStyle w:val="10"/>
        <w:spacing w:line="300" w:lineRule="auto"/>
        <w:rPr>
          <w:sz w:val="24"/>
          <w:szCs w:val="24"/>
          <w:highlight w:val="none"/>
        </w:rPr>
      </w:pPr>
    </w:p>
    <w:p w14:paraId="0980A40D">
      <w:pPr>
        <w:pStyle w:val="10"/>
        <w:spacing w:line="300" w:lineRule="auto"/>
        <w:rPr>
          <w:sz w:val="24"/>
          <w:szCs w:val="24"/>
          <w:highlight w:val="none"/>
        </w:rPr>
      </w:pPr>
      <w:r>
        <w:rPr>
          <w:rFonts w:hint="eastAsia"/>
          <w:sz w:val="24"/>
          <w:szCs w:val="24"/>
          <w:highlight w:val="none"/>
        </w:rPr>
        <w:br w:type="page"/>
      </w:r>
    </w:p>
    <w:p w14:paraId="3FEF638B">
      <w:pPr>
        <w:pStyle w:val="4"/>
        <w:rPr>
          <w:rFonts w:ascii="宋体"/>
          <w:b w:val="0"/>
          <w:highlight w:val="none"/>
        </w:rPr>
      </w:pPr>
      <w:r>
        <w:rPr>
          <w:rFonts w:hint="eastAsia" w:ascii="宋体" w:hAnsi="宋体" w:cs="宋体"/>
          <w:b w:val="0"/>
          <w:highlight w:val="none"/>
        </w:rPr>
        <w:t>竞 标 声 明</w:t>
      </w:r>
    </w:p>
    <w:p w14:paraId="06C3EF15">
      <w:pPr>
        <w:spacing w:line="360" w:lineRule="auto"/>
        <w:contextualSpacing/>
        <w:rPr>
          <w:rFonts w:ascii="宋体" w:hAnsi="宋体" w:cs="宋体"/>
          <w:sz w:val="22"/>
          <w:szCs w:val="22"/>
          <w:highlight w:val="none"/>
        </w:rPr>
      </w:pPr>
      <w:r>
        <w:rPr>
          <w:rFonts w:hint="eastAsia" w:ascii="宋体" w:hAnsi="宋体" w:cs="宋体"/>
          <w:sz w:val="22"/>
          <w:szCs w:val="22"/>
          <w:highlight w:val="none"/>
        </w:rPr>
        <w:t>致：</w:t>
      </w:r>
      <w:r>
        <w:rPr>
          <w:rFonts w:hint="eastAsia" w:ascii="宋体" w:hAnsi="宋体" w:cs="宋体"/>
          <w:sz w:val="22"/>
          <w:szCs w:val="22"/>
          <w:highlight w:val="none"/>
          <w:u w:val="single"/>
        </w:rPr>
        <w:t>（采购人名称）</w:t>
      </w:r>
      <w:r>
        <w:rPr>
          <w:rFonts w:hint="eastAsia" w:ascii="宋体" w:hAnsi="宋体" w:cs="宋体"/>
          <w:sz w:val="22"/>
          <w:szCs w:val="22"/>
          <w:highlight w:val="none"/>
        </w:rPr>
        <w:t>：</w:t>
      </w:r>
    </w:p>
    <w:p w14:paraId="6D7FE144">
      <w:pPr>
        <w:spacing w:line="360" w:lineRule="auto"/>
        <w:ind w:firstLine="440" w:firstLineChars="200"/>
        <w:contextualSpacing/>
        <w:jc w:val="left"/>
        <w:rPr>
          <w:rFonts w:ascii="宋体" w:hAnsi="宋体" w:cs="宋体"/>
          <w:sz w:val="22"/>
          <w:szCs w:val="22"/>
          <w:highlight w:val="none"/>
        </w:rPr>
      </w:pPr>
      <w:r>
        <w:rPr>
          <w:rFonts w:hint="eastAsia" w:ascii="宋体" w:hAnsi="宋体" w:cs="宋体"/>
          <w:sz w:val="22"/>
          <w:szCs w:val="22"/>
          <w:highlight w:val="none"/>
        </w:rPr>
        <w:t>我方</w:t>
      </w:r>
      <w:r>
        <w:rPr>
          <w:rFonts w:hint="eastAsia" w:ascii="宋体" w:hAnsi="宋体" w:cs="宋体"/>
          <w:sz w:val="22"/>
          <w:szCs w:val="22"/>
          <w:highlight w:val="none"/>
          <w:u w:val="single"/>
        </w:rPr>
        <w:t xml:space="preserve">  （供应商名称）  </w:t>
      </w:r>
      <w:r>
        <w:rPr>
          <w:rFonts w:hint="eastAsia" w:ascii="宋体" w:hAnsi="宋体" w:cs="宋体"/>
          <w:sz w:val="22"/>
          <w:szCs w:val="22"/>
          <w:highlight w:val="none"/>
        </w:rPr>
        <w:t>系中华人民共和国合法供应商，经营地址</w:t>
      </w:r>
      <w:r>
        <w:rPr>
          <w:rFonts w:hint="eastAsia" w:ascii="宋体" w:hAnsi="宋体" w:cs="宋体"/>
          <w:sz w:val="22"/>
          <w:szCs w:val="22"/>
          <w:highlight w:val="none"/>
          <w:u w:val="single"/>
        </w:rPr>
        <w:t xml:space="preserve">                  </w:t>
      </w:r>
      <w:r>
        <w:rPr>
          <w:rFonts w:hint="eastAsia" w:ascii="宋体" w:hAnsi="宋体" w:cs="宋体"/>
          <w:sz w:val="22"/>
          <w:szCs w:val="22"/>
          <w:highlight w:val="none"/>
        </w:rPr>
        <w:t>。</w:t>
      </w:r>
    </w:p>
    <w:p w14:paraId="769CB599">
      <w:pPr>
        <w:spacing w:line="360" w:lineRule="auto"/>
        <w:ind w:firstLine="440" w:firstLineChars="200"/>
        <w:contextualSpacing/>
        <w:rPr>
          <w:rFonts w:ascii="宋体" w:hAnsi="宋体" w:cs="宋体"/>
          <w:sz w:val="22"/>
          <w:szCs w:val="22"/>
          <w:highlight w:val="none"/>
        </w:rPr>
      </w:pPr>
      <w:r>
        <w:rPr>
          <w:rFonts w:hint="eastAsia" w:ascii="宋体" w:hAnsi="宋体" w:cs="宋体"/>
          <w:sz w:val="22"/>
          <w:szCs w:val="22"/>
          <w:highlight w:val="none"/>
        </w:rPr>
        <w:t>我方愿意参加贵方组织的</w:t>
      </w:r>
      <w:r>
        <w:rPr>
          <w:rFonts w:hint="eastAsia" w:ascii="宋体" w:hAnsi="宋体" w:cs="宋体"/>
          <w:sz w:val="22"/>
          <w:szCs w:val="22"/>
          <w:highlight w:val="none"/>
          <w:u w:val="single"/>
        </w:rPr>
        <w:t xml:space="preserve">  （项目名称） </w:t>
      </w:r>
      <w:r>
        <w:rPr>
          <w:rFonts w:hint="eastAsia" w:ascii="宋体" w:hAnsi="宋体" w:cs="宋体"/>
          <w:sz w:val="22"/>
          <w:szCs w:val="22"/>
          <w:highlight w:val="none"/>
        </w:rPr>
        <w:t>项目的竞标，为便于贵方公正、择优地确定成交供应商及其竞标产品和服务，我方就本次竞标有关事项郑重声明如下：</w:t>
      </w:r>
    </w:p>
    <w:p w14:paraId="04DBB024">
      <w:pPr>
        <w:spacing w:line="360" w:lineRule="auto"/>
        <w:ind w:firstLine="440" w:firstLineChars="200"/>
        <w:contextualSpacing/>
        <w:rPr>
          <w:rFonts w:ascii="宋体" w:hAnsi="宋体" w:cs="宋体"/>
          <w:sz w:val="22"/>
          <w:szCs w:val="22"/>
          <w:highlight w:val="none"/>
        </w:rPr>
      </w:pPr>
      <w:r>
        <w:rPr>
          <w:rFonts w:hint="eastAsia" w:ascii="宋体" w:hAnsi="宋体" w:cs="宋体"/>
          <w:sz w:val="22"/>
          <w:szCs w:val="22"/>
          <w:highlight w:val="none"/>
        </w:rPr>
        <w:t>1.我方向贵方提交的所有响应文件、资料都是准确的和真实的。</w:t>
      </w:r>
    </w:p>
    <w:p w14:paraId="2796C494">
      <w:pPr>
        <w:spacing w:line="360" w:lineRule="auto"/>
        <w:ind w:firstLine="440" w:firstLineChars="200"/>
        <w:contextualSpacing/>
        <w:rPr>
          <w:rFonts w:ascii="宋体" w:hAnsi="宋体" w:cs="宋体"/>
          <w:sz w:val="22"/>
          <w:szCs w:val="22"/>
          <w:highlight w:val="none"/>
        </w:rPr>
      </w:pPr>
      <w:r>
        <w:rPr>
          <w:rFonts w:hint="eastAsia" w:ascii="宋体" w:hAnsi="宋体" w:cs="宋体"/>
          <w:sz w:val="22"/>
          <w:szCs w:val="22"/>
          <w:highlight w:val="none"/>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3EB7722B">
      <w:pPr>
        <w:spacing w:line="360" w:lineRule="auto"/>
        <w:ind w:firstLine="440" w:firstLineChars="200"/>
        <w:contextualSpacing/>
        <w:rPr>
          <w:rFonts w:ascii="宋体" w:hAnsi="宋体" w:cs="宋体"/>
          <w:sz w:val="22"/>
          <w:szCs w:val="22"/>
          <w:highlight w:val="none"/>
        </w:rPr>
      </w:pPr>
      <w:r>
        <w:rPr>
          <w:rFonts w:hint="eastAsia" w:ascii="宋体" w:hAnsi="宋体" w:cs="宋体"/>
          <w:sz w:val="22"/>
          <w:szCs w:val="22"/>
          <w:highlight w:val="none"/>
        </w:rPr>
        <w:t>3.在此，我方宣布同意如下：</w:t>
      </w:r>
    </w:p>
    <w:p w14:paraId="68920225">
      <w:pPr>
        <w:spacing w:line="360" w:lineRule="auto"/>
        <w:ind w:firstLine="440" w:firstLineChars="200"/>
        <w:contextualSpacing/>
        <w:rPr>
          <w:rFonts w:ascii="宋体" w:hAnsi="宋体" w:cs="宋体"/>
          <w:sz w:val="22"/>
          <w:szCs w:val="22"/>
          <w:highlight w:val="none"/>
        </w:rPr>
      </w:pPr>
      <w:r>
        <w:rPr>
          <w:rFonts w:hint="eastAsia" w:ascii="宋体" w:hAnsi="宋体" w:cs="宋体"/>
          <w:sz w:val="22"/>
          <w:szCs w:val="22"/>
          <w:highlight w:val="none"/>
        </w:rPr>
        <w:t>(1)将按竞争性谈判文件的约定履行合同责任和义务；</w:t>
      </w:r>
    </w:p>
    <w:p w14:paraId="5F418D87">
      <w:pPr>
        <w:spacing w:line="360" w:lineRule="auto"/>
        <w:ind w:firstLine="440" w:firstLineChars="200"/>
        <w:contextualSpacing/>
        <w:rPr>
          <w:rFonts w:ascii="宋体" w:hAnsi="宋体" w:cs="宋体"/>
          <w:sz w:val="22"/>
          <w:szCs w:val="22"/>
          <w:highlight w:val="none"/>
        </w:rPr>
      </w:pPr>
      <w:r>
        <w:rPr>
          <w:rFonts w:hint="eastAsia" w:ascii="宋体" w:hAnsi="宋体" w:cs="宋体"/>
          <w:sz w:val="22"/>
          <w:szCs w:val="22"/>
          <w:highlight w:val="none"/>
        </w:rPr>
        <w:t>(2)已详细审查全部竞争性谈判文件，包括补遗文件（如有）；</w:t>
      </w:r>
    </w:p>
    <w:p w14:paraId="6007F085">
      <w:pPr>
        <w:spacing w:line="360" w:lineRule="auto"/>
        <w:ind w:firstLine="440" w:firstLineChars="200"/>
        <w:contextualSpacing/>
        <w:rPr>
          <w:rFonts w:ascii="宋体" w:hAnsi="宋体" w:cs="宋体"/>
          <w:sz w:val="22"/>
          <w:szCs w:val="22"/>
          <w:highlight w:val="none"/>
        </w:rPr>
      </w:pPr>
      <w:r>
        <w:rPr>
          <w:rFonts w:hint="eastAsia" w:ascii="宋体" w:hAnsi="宋体" w:cs="宋体"/>
          <w:sz w:val="22"/>
          <w:szCs w:val="22"/>
          <w:highlight w:val="none"/>
        </w:rPr>
        <w:t>(3)同意提供按照贵方可能要求的与谈判有关的一切数据或者资料；</w:t>
      </w:r>
    </w:p>
    <w:p w14:paraId="1A07A51A">
      <w:pPr>
        <w:spacing w:line="360" w:lineRule="auto"/>
        <w:ind w:firstLine="440" w:firstLineChars="200"/>
        <w:contextualSpacing/>
        <w:rPr>
          <w:rFonts w:ascii="宋体" w:hAnsi="宋体" w:cs="宋体"/>
          <w:sz w:val="22"/>
          <w:szCs w:val="22"/>
          <w:highlight w:val="none"/>
        </w:rPr>
      </w:pPr>
      <w:r>
        <w:rPr>
          <w:rFonts w:hint="eastAsia" w:ascii="宋体" w:hAnsi="宋体" w:cs="宋体"/>
          <w:sz w:val="22"/>
          <w:szCs w:val="22"/>
          <w:highlight w:val="none"/>
        </w:rPr>
        <w:t>(4)响应竞争性谈判文件规定的竞标有效期。</w:t>
      </w:r>
    </w:p>
    <w:p w14:paraId="59A1049E">
      <w:pPr>
        <w:spacing w:line="360" w:lineRule="auto"/>
        <w:ind w:firstLine="440" w:firstLineChars="200"/>
        <w:contextualSpacing/>
        <w:rPr>
          <w:rFonts w:ascii="宋体" w:hAnsi="宋体" w:cs="宋体"/>
          <w:sz w:val="22"/>
          <w:szCs w:val="22"/>
          <w:highlight w:val="none"/>
        </w:rPr>
      </w:pPr>
      <w:r>
        <w:rPr>
          <w:rFonts w:hint="eastAsia" w:ascii="宋体" w:hAnsi="宋体" w:cs="宋体"/>
          <w:sz w:val="22"/>
          <w:szCs w:val="22"/>
          <w:highlight w:val="none"/>
        </w:rPr>
        <w:t>4.我方承诺符合《中华人民共和国政府采购法》第二十二条规定：</w:t>
      </w:r>
    </w:p>
    <w:p w14:paraId="0A8ECE57">
      <w:pPr>
        <w:spacing w:line="360" w:lineRule="auto"/>
        <w:ind w:firstLine="440" w:firstLineChars="200"/>
        <w:contextualSpacing/>
        <w:rPr>
          <w:rFonts w:ascii="宋体" w:hAnsi="宋体" w:cs="宋体"/>
          <w:sz w:val="22"/>
          <w:szCs w:val="22"/>
          <w:highlight w:val="none"/>
        </w:rPr>
      </w:pPr>
      <w:r>
        <w:rPr>
          <w:rFonts w:hint="eastAsia" w:ascii="宋体" w:hAnsi="宋体" w:cs="宋体"/>
          <w:sz w:val="22"/>
          <w:szCs w:val="22"/>
          <w:highlight w:val="none"/>
        </w:rPr>
        <w:t>（1）具有独立承担民事责任的能力；</w:t>
      </w:r>
    </w:p>
    <w:p w14:paraId="223EFB85">
      <w:pPr>
        <w:spacing w:line="360" w:lineRule="auto"/>
        <w:ind w:firstLine="440" w:firstLineChars="200"/>
        <w:contextualSpacing/>
        <w:rPr>
          <w:rFonts w:ascii="宋体" w:hAnsi="宋体" w:cs="宋体"/>
          <w:sz w:val="22"/>
          <w:szCs w:val="22"/>
          <w:highlight w:val="none"/>
        </w:rPr>
      </w:pPr>
      <w:r>
        <w:rPr>
          <w:rFonts w:hint="eastAsia" w:ascii="宋体" w:hAnsi="宋体" w:cs="宋体"/>
          <w:sz w:val="22"/>
          <w:szCs w:val="22"/>
          <w:highlight w:val="none"/>
        </w:rPr>
        <w:t>（2）具有良好的商业信誉和健全的财务会计制度；</w:t>
      </w:r>
    </w:p>
    <w:p w14:paraId="6791E7FB">
      <w:pPr>
        <w:spacing w:line="360" w:lineRule="auto"/>
        <w:ind w:firstLine="440" w:firstLineChars="200"/>
        <w:contextualSpacing/>
        <w:rPr>
          <w:rFonts w:ascii="宋体" w:hAnsi="宋体" w:cs="宋体"/>
          <w:sz w:val="22"/>
          <w:szCs w:val="22"/>
          <w:highlight w:val="none"/>
        </w:rPr>
      </w:pPr>
      <w:r>
        <w:rPr>
          <w:rFonts w:hint="eastAsia" w:ascii="宋体" w:hAnsi="宋体" w:cs="宋体"/>
          <w:sz w:val="22"/>
          <w:szCs w:val="22"/>
          <w:highlight w:val="none"/>
        </w:rPr>
        <w:t>（3）具有履行合同所必需的设备和专业技术能力；</w:t>
      </w:r>
    </w:p>
    <w:p w14:paraId="4EE17A6B">
      <w:pPr>
        <w:spacing w:line="360" w:lineRule="auto"/>
        <w:ind w:firstLine="440" w:firstLineChars="200"/>
        <w:contextualSpacing/>
        <w:rPr>
          <w:rFonts w:ascii="宋体" w:hAnsi="宋体" w:cs="宋体"/>
          <w:sz w:val="22"/>
          <w:szCs w:val="22"/>
          <w:highlight w:val="none"/>
        </w:rPr>
      </w:pPr>
      <w:r>
        <w:rPr>
          <w:rFonts w:hint="eastAsia" w:ascii="宋体" w:hAnsi="宋体" w:cs="宋体"/>
          <w:sz w:val="22"/>
          <w:szCs w:val="22"/>
          <w:highlight w:val="none"/>
        </w:rPr>
        <w:t>（4）有依法缴纳税收和社会保障资金的良好记录；</w:t>
      </w:r>
    </w:p>
    <w:p w14:paraId="2F6A0392">
      <w:pPr>
        <w:spacing w:line="360" w:lineRule="auto"/>
        <w:ind w:firstLine="440" w:firstLineChars="200"/>
        <w:contextualSpacing/>
        <w:rPr>
          <w:rFonts w:ascii="宋体" w:hAnsi="宋体" w:cs="宋体"/>
          <w:sz w:val="22"/>
          <w:szCs w:val="22"/>
          <w:highlight w:val="none"/>
        </w:rPr>
      </w:pPr>
      <w:r>
        <w:rPr>
          <w:rFonts w:hint="eastAsia" w:ascii="宋体" w:hAnsi="宋体" w:cs="宋体"/>
          <w:sz w:val="22"/>
          <w:szCs w:val="22"/>
          <w:highlight w:val="none"/>
        </w:rPr>
        <w:t>（5）参加政府采购活动前三年内，在经营活动中没有重大违法记录；</w:t>
      </w:r>
    </w:p>
    <w:p w14:paraId="1F933571">
      <w:pPr>
        <w:spacing w:line="360" w:lineRule="auto"/>
        <w:ind w:firstLine="440" w:firstLineChars="200"/>
        <w:contextualSpacing/>
        <w:rPr>
          <w:rFonts w:ascii="宋体" w:hAnsi="宋体" w:cs="宋体"/>
          <w:sz w:val="22"/>
          <w:szCs w:val="22"/>
          <w:highlight w:val="none"/>
        </w:rPr>
      </w:pPr>
      <w:r>
        <w:rPr>
          <w:rFonts w:hint="eastAsia" w:ascii="宋体" w:hAnsi="宋体" w:cs="宋体"/>
          <w:sz w:val="22"/>
          <w:szCs w:val="22"/>
          <w:highlight w:val="none"/>
        </w:rPr>
        <w:t>（6）法律、行政法规规定的其他条件。</w:t>
      </w:r>
    </w:p>
    <w:p w14:paraId="64770BA2">
      <w:pPr>
        <w:spacing w:line="360" w:lineRule="auto"/>
        <w:ind w:firstLine="440" w:firstLineChars="200"/>
        <w:contextualSpacing/>
        <w:rPr>
          <w:rFonts w:ascii="宋体" w:hAnsi="宋体" w:cs="宋体"/>
          <w:sz w:val="22"/>
          <w:szCs w:val="22"/>
          <w:highlight w:val="none"/>
        </w:rPr>
      </w:pPr>
      <w:r>
        <w:rPr>
          <w:rFonts w:hint="eastAsia" w:ascii="宋体" w:hAnsi="宋体" w:cs="宋体"/>
          <w:sz w:val="22"/>
          <w:szCs w:val="22"/>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4CA6D3A4">
      <w:pPr>
        <w:spacing w:line="360" w:lineRule="auto"/>
        <w:ind w:firstLine="440" w:firstLineChars="200"/>
        <w:contextualSpacing/>
        <w:rPr>
          <w:rFonts w:ascii="宋体" w:hAnsi="宋体" w:cs="宋体"/>
          <w:sz w:val="22"/>
          <w:szCs w:val="22"/>
          <w:highlight w:val="none"/>
        </w:rPr>
      </w:pPr>
      <w:r>
        <w:rPr>
          <w:rFonts w:hint="eastAsia" w:ascii="宋体" w:hAnsi="宋体" w:cs="宋体"/>
          <w:sz w:val="22"/>
          <w:szCs w:val="22"/>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700727D6">
      <w:pPr>
        <w:spacing w:line="360" w:lineRule="auto"/>
        <w:ind w:firstLine="440" w:firstLineChars="200"/>
        <w:contextualSpacing/>
        <w:rPr>
          <w:rFonts w:ascii="宋体" w:hAnsi="宋体" w:cs="宋体"/>
          <w:sz w:val="22"/>
          <w:szCs w:val="22"/>
          <w:highlight w:val="none"/>
        </w:rPr>
      </w:pPr>
      <w:r>
        <w:rPr>
          <w:rFonts w:hint="eastAsia" w:ascii="宋体" w:hAnsi="宋体" w:cs="宋体"/>
          <w:sz w:val="22"/>
          <w:szCs w:val="22"/>
          <w:highlight w:val="none"/>
        </w:rPr>
        <w:t>□我方本次响应文件</w:t>
      </w:r>
      <w:r>
        <w:rPr>
          <w:rFonts w:hint="eastAsia" w:ascii="宋体" w:hAnsi="宋体" w:cs="宋体"/>
          <w:kern w:val="0"/>
          <w:sz w:val="22"/>
          <w:szCs w:val="22"/>
          <w:highlight w:val="none"/>
        </w:rPr>
        <w:t>内容中</w:t>
      </w:r>
      <w:r>
        <w:rPr>
          <w:rFonts w:hint="eastAsia" w:ascii="宋体" w:hAnsi="宋体" w:cs="宋体"/>
          <w:sz w:val="22"/>
          <w:szCs w:val="22"/>
          <w:highlight w:val="none"/>
        </w:rPr>
        <w:t>未</w:t>
      </w:r>
      <w:r>
        <w:rPr>
          <w:rFonts w:hint="eastAsia" w:ascii="宋体" w:hAnsi="宋体" w:cs="宋体"/>
          <w:kern w:val="0"/>
          <w:sz w:val="22"/>
          <w:szCs w:val="22"/>
          <w:highlight w:val="none"/>
        </w:rPr>
        <w:t>涉及商业秘密；</w:t>
      </w:r>
    </w:p>
    <w:p w14:paraId="43314B08">
      <w:pPr>
        <w:spacing w:line="360" w:lineRule="auto"/>
        <w:ind w:firstLine="440" w:firstLineChars="200"/>
        <w:contextualSpacing/>
        <w:rPr>
          <w:rFonts w:ascii="宋体" w:hAnsi="宋体" w:cs="宋体"/>
          <w:sz w:val="22"/>
          <w:szCs w:val="22"/>
          <w:highlight w:val="none"/>
        </w:rPr>
      </w:pPr>
      <w:r>
        <w:rPr>
          <w:rFonts w:hint="eastAsia" w:ascii="宋体" w:hAnsi="宋体" w:cs="宋体"/>
          <w:sz w:val="22"/>
          <w:szCs w:val="22"/>
          <w:highlight w:val="none"/>
        </w:rPr>
        <w:t>□我方本次响应文件</w:t>
      </w:r>
      <w:r>
        <w:rPr>
          <w:rFonts w:hint="eastAsia" w:ascii="宋体" w:hAnsi="宋体" w:cs="宋体"/>
          <w:kern w:val="0"/>
          <w:sz w:val="22"/>
          <w:szCs w:val="22"/>
          <w:highlight w:val="none"/>
        </w:rPr>
        <w:t>涉及商业秘密的内容有：</w:t>
      </w:r>
      <w:r>
        <w:rPr>
          <w:rFonts w:hint="eastAsia" w:ascii="宋体" w:hAnsi="宋体" w:cs="宋体"/>
          <w:kern w:val="0"/>
          <w:sz w:val="22"/>
          <w:szCs w:val="22"/>
          <w:highlight w:val="none"/>
          <w:u w:val="single"/>
        </w:rPr>
        <w:t xml:space="preserve">                         </w:t>
      </w:r>
      <w:r>
        <w:rPr>
          <w:rFonts w:hint="eastAsia" w:ascii="宋体" w:hAnsi="宋体" w:cs="宋体"/>
          <w:kern w:val="0"/>
          <w:sz w:val="22"/>
          <w:szCs w:val="22"/>
          <w:highlight w:val="none"/>
        </w:rPr>
        <w:t>；</w:t>
      </w:r>
    </w:p>
    <w:p w14:paraId="10D9912F">
      <w:pPr>
        <w:spacing w:line="360" w:lineRule="auto"/>
        <w:ind w:firstLine="440" w:firstLineChars="200"/>
        <w:contextualSpacing/>
        <w:rPr>
          <w:rFonts w:ascii="宋体" w:hAnsi="宋体" w:cs="宋体"/>
          <w:kern w:val="0"/>
          <w:sz w:val="22"/>
          <w:szCs w:val="22"/>
          <w:highlight w:val="none"/>
          <w:u w:val="single"/>
        </w:rPr>
      </w:pPr>
      <w:r>
        <w:rPr>
          <w:rFonts w:hint="eastAsia" w:ascii="宋体" w:hAnsi="宋体" w:cs="宋体"/>
          <w:kern w:val="0"/>
          <w:sz w:val="22"/>
          <w:szCs w:val="22"/>
          <w:highlight w:val="none"/>
        </w:rPr>
        <w:t>7.与本谈判有关的一切正式往来信函请寄：</w:t>
      </w:r>
      <w:r>
        <w:rPr>
          <w:rFonts w:hint="eastAsia" w:ascii="宋体" w:hAnsi="宋体" w:cs="宋体"/>
          <w:kern w:val="0"/>
          <w:sz w:val="22"/>
          <w:szCs w:val="22"/>
          <w:highlight w:val="none"/>
          <w:u w:val="single"/>
        </w:rPr>
        <w:t xml:space="preserve">                  </w:t>
      </w:r>
      <w:r>
        <w:rPr>
          <w:rFonts w:hint="eastAsia" w:ascii="宋体" w:hAnsi="宋体" w:cs="宋体"/>
          <w:kern w:val="0"/>
          <w:sz w:val="22"/>
          <w:szCs w:val="22"/>
          <w:highlight w:val="none"/>
        </w:rPr>
        <w:t>邮政编号：</w:t>
      </w:r>
      <w:r>
        <w:rPr>
          <w:rFonts w:hint="eastAsia" w:ascii="宋体" w:hAnsi="宋体" w:cs="宋体"/>
          <w:kern w:val="0"/>
          <w:sz w:val="22"/>
          <w:szCs w:val="22"/>
          <w:highlight w:val="none"/>
          <w:u w:val="single"/>
        </w:rPr>
        <w:t xml:space="preserve">    </w:t>
      </w:r>
    </w:p>
    <w:p w14:paraId="25D18CC6">
      <w:pPr>
        <w:spacing w:line="360" w:lineRule="auto"/>
        <w:ind w:firstLine="440" w:firstLineChars="200"/>
        <w:contextualSpacing/>
        <w:rPr>
          <w:rFonts w:ascii="宋体" w:hAnsi="宋体" w:cs="宋体"/>
          <w:kern w:val="0"/>
          <w:sz w:val="22"/>
          <w:szCs w:val="22"/>
          <w:highlight w:val="none"/>
        </w:rPr>
      </w:pPr>
      <w:r>
        <w:rPr>
          <w:rFonts w:hint="eastAsia" w:ascii="宋体" w:hAnsi="宋体" w:cs="宋体"/>
          <w:kern w:val="0"/>
          <w:sz w:val="22"/>
          <w:szCs w:val="22"/>
          <w:highlight w:val="none"/>
        </w:rPr>
        <w:t>电话/传真：</w:t>
      </w:r>
      <w:r>
        <w:rPr>
          <w:rFonts w:hint="eastAsia" w:ascii="宋体" w:hAnsi="宋体" w:cs="宋体"/>
          <w:kern w:val="0"/>
          <w:sz w:val="22"/>
          <w:szCs w:val="22"/>
          <w:highlight w:val="none"/>
          <w:u w:val="single"/>
        </w:rPr>
        <w:t xml:space="preserve">                        </w:t>
      </w:r>
      <w:r>
        <w:rPr>
          <w:rFonts w:hint="eastAsia" w:ascii="宋体" w:hAnsi="宋体" w:cs="宋体"/>
          <w:kern w:val="0"/>
          <w:sz w:val="22"/>
          <w:szCs w:val="22"/>
          <w:highlight w:val="none"/>
        </w:rPr>
        <w:t xml:space="preserve"> 电子函件：</w:t>
      </w:r>
      <w:r>
        <w:rPr>
          <w:rFonts w:hint="eastAsia" w:ascii="宋体" w:hAnsi="宋体" w:cs="宋体"/>
          <w:kern w:val="0"/>
          <w:sz w:val="22"/>
          <w:szCs w:val="22"/>
          <w:highlight w:val="none"/>
          <w:u w:val="single"/>
        </w:rPr>
        <w:t xml:space="preserve">             </w:t>
      </w:r>
      <w:r>
        <w:rPr>
          <w:rFonts w:hint="eastAsia" w:ascii="宋体" w:hAnsi="宋体" w:cs="宋体"/>
          <w:kern w:val="0"/>
          <w:sz w:val="22"/>
          <w:szCs w:val="22"/>
          <w:highlight w:val="none"/>
        </w:rPr>
        <w:t xml:space="preserve">    </w:t>
      </w:r>
    </w:p>
    <w:p w14:paraId="79343F08">
      <w:pPr>
        <w:tabs>
          <w:tab w:val="left" w:pos="939"/>
        </w:tabs>
        <w:spacing w:line="360" w:lineRule="auto"/>
        <w:ind w:left="141" w:leftChars="67" w:firstLine="330" w:firstLineChars="150"/>
        <w:contextualSpacing/>
        <w:rPr>
          <w:rFonts w:ascii="宋体" w:hAnsi="宋体" w:cs="宋体"/>
          <w:sz w:val="22"/>
          <w:szCs w:val="22"/>
          <w:highlight w:val="none"/>
        </w:rPr>
      </w:pPr>
      <w:r>
        <w:rPr>
          <w:rFonts w:hint="eastAsia" w:ascii="宋体" w:hAnsi="宋体" w:cs="宋体"/>
          <w:sz w:val="22"/>
          <w:szCs w:val="22"/>
          <w:highlight w:val="none"/>
        </w:rPr>
        <w:t>开户银行：</w:t>
      </w:r>
      <w:r>
        <w:rPr>
          <w:rFonts w:hint="eastAsia" w:ascii="宋体" w:hAnsi="宋体" w:cs="宋体"/>
          <w:sz w:val="22"/>
          <w:szCs w:val="22"/>
          <w:highlight w:val="none"/>
          <w:u w:val="single"/>
        </w:rPr>
        <w:t xml:space="preserve">                         </w:t>
      </w:r>
      <w:r>
        <w:rPr>
          <w:rFonts w:hint="eastAsia" w:ascii="宋体" w:hAnsi="宋体" w:cs="宋体"/>
          <w:sz w:val="22"/>
          <w:szCs w:val="22"/>
          <w:highlight w:val="none"/>
        </w:rPr>
        <w:t xml:space="preserve">  帐号/行号：</w:t>
      </w:r>
      <w:r>
        <w:rPr>
          <w:rFonts w:hint="eastAsia" w:ascii="宋体" w:hAnsi="宋体" w:cs="宋体"/>
          <w:sz w:val="22"/>
          <w:szCs w:val="22"/>
          <w:highlight w:val="none"/>
          <w:u w:val="single"/>
        </w:rPr>
        <w:t xml:space="preserve">           </w:t>
      </w:r>
    </w:p>
    <w:p w14:paraId="689C01D7">
      <w:pPr>
        <w:tabs>
          <w:tab w:val="left" w:pos="939"/>
        </w:tabs>
        <w:spacing w:line="360" w:lineRule="auto"/>
        <w:ind w:left="141" w:leftChars="67" w:firstLine="330" w:firstLineChars="150"/>
        <w:contextualSpacing/>
        <w:rPr>
          <w:rFonts w:ascii="宋体" w:hAnsi="宋体" w:cs="宋体"/>
          <w:sz w:val="22"/>
          <w:szCs w:val="22"/>
          <w:highlight w:val="none"/>
        </w:rPr>
      </w:pPr>
      <w:r>
        <w:rPr>
          <w:rFonts w:hint="eastAsia" w:ascii="宋体" w:hAnsi="宋体" w:cs="宋体"/>
          <w:sz w:val="22"/>
          <w:szCs w:val="22"/>
          <w:highlight w:val="none"/>
        </w:rPr>
        <w:t>8.以上事项如有虚假或者隐瞒，我方愿意承担一切后果，并不再寻求任何旨在减轻或者免除法律责任的辩解。</w:t>
      </w:r>
    </w:p>
    <w:p w14:paraId="0AC91726">
      <w:pPr>
        <w:tabs>
          <w:tab w:val="left" w:pos="939"/>
        </w:tabs>
        <w:spacing w:line="360" w:lineRule="auto"/>
        <w:ind w:left="141" w:leftChars="67" w:firstLine="330" w:firstLineChars="150"/>
        <w:contextualSpacing/>
        <w:rPr>
          <w:rFonts w:ascii="宋体" w:hAnsi="宋体" w:cs="宋体"/>
          <w:sz w:val="22"/>
          <w:szCs w:val="22"/>
          <w:highlight w:val="none"/>
        </w:rPr>
      </w:pPr>
      <w:r>
        <w:rPr>
          <w:rFonts w:hint="eastAsia" w:ascii="宋体" w:hAnsi="宋体" w:cs="宋体"/>
          <w:sz w:val="22"/>
          <w:szCs w:val="22"/>
          <w:highlight w:val="none"/>
        </w:rPr>
        <w:t>特此承诺。</w:t>
      </w:r>
    </w:p>
    <w:p w14:paraId="1187905B">
      <w:pPr>
        <w:pStyle w:val="10"/>
        <w:spacing w:line="360" w:lineRule="auto"/>
        <w:ind w:firstLine="426"/>
        <w:rPr>
          <w:rFonts w:hAnsi="宋体" w:cs="宋体"/>
          <w:b/>
          <w:sz w:val="22"/>
          <w:szCs w:val="22"/>
          <w:highlight w:val="none"/>
        </w:rPr>
      </w:pPr>
    </w:p>
    <w:p w14:paraId="7B3CC0CE">
      <w:pPr>
        <w:pStyle w:val="10"/>
        <w:spacing w:line="300" w:lineRule="auto"/>
        <w:rPr>
          <w:sz w:val="24"/>
          <w:szCs w:val="24"/>
          <w:highlight w:val="none"/>
        </w:rPr>
      </w:pPr>
    </w:p>
    <w:p w14:paraId="76D97505">
      <w:pPr>
        <w:pStyle w:val="10"/>
        <w:spacing w:line="300" w:lineRule="auto"/>
        <w:rPr>
          <w:sz w:val="24"/>
          <w:szCs w:val="24"/>
          <w:highlight w:val="none"/>
        </w:rPr>
      </w:pPr>
    </w:p>
    <w:p w14:paraId="7E1C11B7">
      <w:pPr>
        <w:pStyle w:val="10"/>
        <w:ind w:firstLine="566" w:firstLineChars="236"/>
        <w:jc w:val="center"/>
        <w:rPr>
          <w:sz w:val="24"/>
          <w:szCs w:val="24"/>
          <w:highlight w:val="none"/>
        </w:rPr>
      </w:pPr>
    </w:p>
    <w:p w14:paraId="6C72B67D">
      <w:pPr>
        <w:pStyle w:val="10"/>
        <w:ind w:firstLine="991" w:firstLineChars="413"/>
        <w:rPr>
          <w:sz w:val="24"/>
          <w:szCs w:val="24"/>
          <w:highlight w:val="none"/>
        </w:rPr>
      </w:pPr>
      <w:r>
        <w:rPr>
          <w:rFonts w:hint="eastAsia"/>
          <w:sz w:val="24"/>
          <w:highlight w:val="none"/>
        </w:rPr>
        <w:t>供应商名称（电子签章）</w:t>
      </w:r>
      <w:r>
        <w:rPr>
          <w:rFonts w:hint="eastAsia"/>
          <w:sz w:val="24"/>
          <w:szCs w:val="24"/>
          <w:highlight w:val="none"/>
        </w:rPr>
        <w:t>：</w:t>
      </w:r>
      <w:r>
        <w:rPr>
          <w:rFonts w:hint="eastAsia"/>
          <w:sz w:val="24"/>
          <w:szCs w:val="24"/>
          <w:highlight w:val="none"/>
          <w:u w:val="single"/>
        </w:rPr>
        <w:t xml:space="preserve">                   </w:t>
      </w:r>
      <w:r>
        <w:rPr>
          <w:rFonts w:hint="eastAsia"/>
          <w:sz w:val="24"/>
          <w:szCs w:val="24"/>
          <w:highlight w:val="none"/>
        </w:rPr>
        <w:t xml:space="preserve">   </w:t>
      </w:r>
    </w:p>
    <w:p w14:paraId="4B0852A1">
      <w:pPr>
        <w:pStyle w:val="10"/>
        <w:ind w:firstLine="991" w:firstLineChars="413"/>
        <w:rPr>
          <w:sz w:val="24"/>
          <w:szCs w:val="24"/>
          <w:highlight w:val="none"/>
        </w:rPr>
      </w:pPr>
      <w:r>
        <w:rPr>
          <w:rFonts w:hint="eastAsia"/>
          <w:sz w:val="24"/>
          <w:szCs w:val="24"/>
          <w:highlight w:val="none"/>
        </w:rPr>
        <w:t xml:space="preserve">                            </w:t>
      </w:r>
    </w:p>
    <w:p w14:paraId="4530A270">
      <w:pPr>
        <w:pStyle w:val="10"/>
        <w:ind w:firstLine="908" w:firstLineChars="413"/>
        <w:rPr>
          <w:sz w:val="24"/>
          <w:szCs w:val="24"/>
          <w:highlight w:val="none"/>
        </w:rPr>
      </w:pPr>
      <w:r>
        <w:rPr>
          <w:rFonts w:hint="eastAsia" w:hAnsi="宋体" w:cs="宋体"/>
          <w:sz w:val="22"/>
          <w:szCs w:val="22"/>
          <w:highlight w:val="none"/>
        </w:rPr>
        <w:t>法定代表人（签字或电子签章）</w:t>
      </w:r>
      <w:r>
        <w:rPr>
          <w:rFonts w:hint="eastAsia"/>
          <w:sz w:val="24"/>
          <w:szCs w:val="24"/>
          <w:highlight w:val="none"/>
        </w:rPr>
        <w:t>:</w:t>
      </w:r>
      <w:r>
        <w:rPr>
          <w:rFonts w:hint="eastAsia"/>
          <w:sz w:val="24"/>
          <w:szCs w:val="24"/>
          <w:highlight w:val="none"/>
          <w:u w:val="single"/>
        </w:rPr>
        <w:t xml:space="preserve">                </w:t>
      </w:r>
      <w:r>
        <w:rPr>
          <w:rFonts w:hint="eastAsia"/>
          <w:sz w:val="24"/>
          <w:szCs w:val="24"/>
          <w:highlight w:val="none"/>
        </w:rPr>
        <w:t xml:space="preserve"> </w:t>
      </w:r>
    </w:p>
    <w:p w14:paraId="658A4213">
      <w:pPr>
        <w:pStyle w:val="10"/>
        <w:ind w:firstLine="991" w:firstLineChars="413"/>
        <w:rPr>
          <w:sz w:val="24"/>
          <w:szCs w:val="24"/>
          <w:highlight w:val="none"/>
        </w:rPr>
      </w:pPr>
    </w:p>
    <w:p w14:paraId="2B99F0CD">
      <w:pPr>
        <w:pStyle w:val="10"/>
        <w:ind w:firstLine="991" w:firstLineChars="413"/>
        <w:rPr>
          <w:sz w:val="24"/>
          <w:szCs w:val="24"/>
          <w:highlight w:val="none"/>
        </w:rPr>
      </w:pPr>
      <w:r>
        <w:rPr>
          <w:rFonts w:hint="eastAsia"/>
          <w:sz w:val="24"/>
          <w:szCs w:val="24"/>
          <w:highlight w:val="none"/>
        </w:rPr>
        <w:t>日期：</w:t>
      </w:r>
      <w:r>
        <w:rPr>
          <w:rFonts w:hint="eastAsia"/>
          <w:sz w:val="24"/>
          <w:szCs w:val="24"/>
          <w:highlight w:val="none"/>
          <w:u w:val="single"/>
        </w:rPr>
        <w:t xml:space="preserve">                 </w:t>
      </w:r>
      <w:r>
        <w:rPr>
          <w:rFonts w:hint="eastAsia"/>
          <w:sz w:val="24"/>
          <w:szCs w:val="24"/>
          <w:highlight w:val="none"/>
        </w:rPr>
        <w:t xml:space="preserve">  </w:t>
      </w:r>
    </w:p>
    <w:p w14:paraId="7439D666">
      <w:pPr>
        <w:pStyle w:val="10"/>
        <w:spacing w:line="300" w:lineRule="auto"/>
        <w:rPr>
          <w:sz w:val="24"/>
          <w:szCs w:val="24"/>
          <w:highlight w:val="none"/>
        </w:rPr>
      </w:pPr>
    </w:p>
    <w:p w14:paraId="7464A876">
      <w:pPr>
        <w:widowControl/>
        <w:jc w:val="left"/>
        <w:rPr>
          <w:rFonts w:ascii="宋体"/>
          <w:sz w:val="24"/>
          <w:highlight w:val="none"/>
        </w:rPr>
      </w:pPr>
      <w:r>
        <w:rPr>
          <w:sz w:val="24"/>
          <w:highlight w:val="none"/>
        </w:rPr>
        <w:br w:type="page"/>
      </w:r>
    </w:p>
    <w:p w14:paraId="61A18722">
      <w:pPr>
        <w:widowControl/>
        <w:jc w:val="left"/>
        <w:rPr>
          <w:rFonts w:ascii="宋体" w:hAnsi="宋体"/>
          <w:bCs/>
          <w:szCs w:val="21"/>
          <w:highlight w:val="none"/>
        </w:rPr>
      </w:pPr>
    </w:p>
    <w:p w14:paraId="06FEDD1C">
      <w:pPr>
        <w:pStyle w:val="3"/>
        <w:spacing w:before="146" w:line="500" w:lineRule="exact"/>
        <w:ind w:right="142"/>
        <w:jc w:val="center"/>
        <w:rPr>
          <w:b w:val="0"/>
          <w:bCs w:val="0"/>
          <w:color w:val="000000" w:themeColor="text1"/>
          <w:sz w:val="32"/>
          <w:szCs w:val="32"/>
          <w:highlight w:val="none"/>
          <w14:textFill>
            <w14:solidFill>
              <w14:schemeClr w14:val="tx1"/>
            </w14:solidFill>
          </w14:textFill>
        </w:rPr>
      </w:pPr>
      <w:r>
        <w:rPr>
          <w:rFonts w:hint="eastAsia"/>
          <w:color w:val="000000" w:themeColor="text1"/>
          <w:sz w:val="32"/>
          <w:szCs w:val="32"/>
          <w:highlight w:val="none"/>
          <w:lang w:val="en-US" w:eastAsia="zh-CN"/>
          <w14:textFill>
            <w14:solidFill>
              <w14:schemeClr w14:val="tx1"/>
            </w14:solidFill>
          </w14:textFill>
        </w:rPr>
        <w:t>1.</w:t>
      </w:r>
      <w:r>
        <w:rPr>
          <w:color w:val="000000" w:themeColor="text1"/>
          <w:sz w:val="32"/>
          <w:szCs w:val="32"/>
          <w:highlight w:val="none"/>
          <w14:textFill>
            <w14:solidFill>
              <w14:schemeClr w14:val="tx1"/>
            </w14:solidFill>
          </w14:textFill>
        </w:rPr>
        <w:t>中小企业声明函（</w:t>
      </w:r>
      <w:r>
        <w:rPr>
          <w:rFonts w:hint="eastAsia"/>
          <w:color w:val="000000" w:themeColor="text1"/>
          <w:sz w:val="30"/>
          <w:szCs w:val="30"/>
          <w:highlight w:val="none"/>
          <w:lang w:val="en-US" w:eastAsia="zh-CN"/>
          <w14:textFill>
            <w14:solidFill>
              <w14:schemeClr w14:val="tx1"/>
            </w14:solidFill>
          </w14:textFill>
        </w:rPr>
        <w:t>货物</w:t>
      </w:r>
      <w:r>
        <w:rPr>
          <w:color w:val="000000" w:themeColor="text1"/>
          <w:sz w:val="32"/>
          <w:szCs w:val="32"/>
          <w:highlight w:val="none"/>
          <w14:textFill>
            <w14:solidFill>
              <w14:schemeClr w14:val="tx1"/>
            </w14:solidFill>
          </w14:textFill>
        </w:rPr>
        <w:t>）</w:t>
      </w:r>
    </w:p>
    <w:p w14:paraId="1552211C">
      <w:pPr>
        <w:widowControl/>
        <w:shd w:val="clear" w:color="auto" w:fill="FFFFFF"/>
        <w:spacing w:line="500" w:lineRule="exact"/>
        <w:ind w:firstLine="482"/>
        <w:jc w:val="left"/>
        <w:rPr>
          <w:rFonts w:hint="eastAsia" w:ascii="宋体" w:hAnsi="宋体" w:cs="宋体"/>
          <w:color w:val="000000"/>
          <w:kern w:val="0"/>
          <w:sz w:val="24"/>
        </w:rPr>
      </w:pPr>
      <w:r>
        <w:rPr>
          <w:rFonts w:ascii="宋体" w:hAnsi="宋体" w:cs="宋体"/>
          <w:color w:val="000000"/>
          <w:kern w:val="0"/>
          <w:sz w:val="24"/>
        </w:rPr>
        <w:t>本公司（联合体）郑重声明，根据《政府采购促进中小企业发展管理办法》（财库﹝2020﹞46 号）的规定，本公司（联合体）参加</w:t>
      </w:r>
      <w:r>
        <w:rPr>
          <w:rFonts w:hint="eastAsia" w:ascii="宋体" w:hAnsi="宋体" w:cs="宋体"/>
          <w:color w:val="000000"/>
          <w:kern w:val="0"/>
          <w:sz w:val="24"/>
          <w:u w:val="single"/>
        </w:rPr>
        <w:t xml:space="preserve">   </w:t>
      </w:r>
      <w:r>
        <w:rPr>
          <w:rFonts w:ascii="宋体" w:hAnsi="宋体" w:cs="宋体"/>
          <w:color w:val="000000"/>
          <w:kern w:val="0"/>
          <w:sz w:val="24"/>
          <w:u w:val="single"/>
        </w:rPr>
        <w:t>（</w:t>
      </w:r>
      <w:r>
        <w:rPr>
          <w:rFonts w:hint="eastAsia" w:ascii="宋体" w:hAnsi="宋体" w:cs="宋体"/>
          <w:color w:val="000000"/>
          <w:kern w:val="0"/>
          <w:sz w:val="24"/>
          <w:u w:val="single"/>
        </w:rPr>
        <w:t>采购人</w:t>
      </w:r>
      <w:r>
        <w:rPr>
          <w:rFonts w:ascii="宋体" w:hAnsi="宋体" w:cs="宋体"/>
          <w:color w:val="000000"/>
          <w:kern w:val="0"/>
          <w:sz w:val="24"/>
          <w:u w:val="single"/>
        </w:rPr>
        <w:t>名称）</w:t>
      </w:r>
      <w:r>
        <w:rPr>
          <w:rFonts w:hint="eastAsia" w:ascii="宋体" w:hAnsi="宋体" w:cs="宋体"/>
          <w:color w:val="000000"/>
          <w:kern w:val="0"/>
          <w:sz w:val="24"/>
          <w:u w:val="single"/>
        </w:rPr>
        <w:t xml:space="preserve">   </w:t>
      </w:r>
      <w:r>
        <w:rPr>
          <w:rFonts w:ascii="宋体" w:hAnsi="宋体" w:cs="宋体"/>
          <w:color w:val="000000"/>
          <w:kern w:val="0"/>
          <w:sz w:val="24"/>
        </w:rPr>
        <w:t>的</w:t>
      </w:r>
      <w:r>
        <w:rPr>
          <w:rFonts w:hint="eastAsia" w:ascii="宋体" w:hAnsi="宋体" w:cs="宋体"/>
          <w:color w:val="000000"/>
          <w:kern w:val="0"/>
          <w:sz w:val="24"/>
          <w:u w:val="single"/>
        </w:rPr>
        <w:t xml:space="preserve">       </w:t>
      </w:r>
      <w:r>
        <w:rPr>
          <w:rFonts w:ascii="宋体" w:hAnsi="宋体" w:cs="宋体"/>
          <w:color w:val="000000"/>
          <w:kern w:val="0"/>
          <w:sz w:val="24"/>
          <w:u w:val="single"/>
        </w:rPr>
        <w:t>（项目名称）</w:t>
      </w:r>
      <w:r>
        <w:rPr>
          <w:rFonts w:hint="eastAsia" w:ascii="宋体" w:hAnsi="宋体" w:cs="宋体"/>
          <w:color w:val="000000"/>
          <w:kern w:val="0"/>
          <w:sz w:val="24"/>
          <w:u w:val="single"/>
        </w:rPr>
        <w:t xml:space="preserve">     </w:t>
      </w:r>
      <w:r>
        <w:rPr>
          <w:rFonts w:ascii="宋体" w:hAnsi="宋体" w:cs="宋体"/>
          <w:color w:val="000000"/>
          <w:kern w:val="0"/>
          <w:sz w:val="24"/>
        </w:rPr>
        <w:t>采购活动，提供的货物全部由符合政策要求的中小企业制造。相关企业（含联合体中的中小企业、签订分包意向协议的中小企业）的具体情况如下：</w:t>
      </w:r>
    </w:p>
    <w:p w14:paraId="61F63CC7">
      <w:pPr>
        <w:widowControl/>
        <w:shd w:val="clear" w:color="auto" w:fill="FFFFFF"/>
        <w:spacing w:line="500" w:lineRule="exact"/>
        <w:ind w:firstLine="482"/>
        <w:jc w:val="left"/>
        <w:rPr>
          <w:rFonts w:hint="eastAsia" w:ascii="宋体" w:hAnsi="宋体" w:cs="宋体"/>
          <w:color w:val="000000"/>
          <w:kern w:val="0"/>
          <w:sz w:val="24"/>
        </w:rPr>
      </w:pPr>
      <w:r>
        <w:rPr>
          <w:rFonts w:ascii="宋体" w:hAnsi="宋体" w:cs="宋体"/>
          <w:color w:val="000000"/>
          <w:kern w:val="0"/>
          <w:sz w:val="24"/>
        </w:rPr>
        <w:t>1</w:t>
      </w:r>
      <w:r>
        <w:rPr>
          <w:rFonts w:hint="eastAsia" w:ascii="宋体" w:hAnsi="宋体" w:cs="宋体"/>
          <w:color w:val="000000"/>
          <w:kern w:val="0"/>
          <w:sz w:val="24"/>
        </w:rPr>
        <w:t>、</w:t>
      </w:r>
      <w:r>
        <w:rPr>
          <w:rFonts w:ascii="宋体" w:hAnsi="宋体" w:cs="宋体"/>
          <w:color w:val="000000"/>
          <w:kern w:val="0"/>
          <w:sz w:val="24"/>
          <w:u w:val="single"/>
        </w:rPr>
        <w:t>（标的名称）</w:t>
      </w:r>
      <w:r>
        <w:rPr>
          <w:rFonts w:ascii="宋体" w:hAnsi="宋体" w:cs="宋体"/>
          <w:color w:val="000000"/>
          <w:kern w:val="0"/>
          <w:sz w:val="24"/>
        </w:rPr>
        <w:t>，属于</w:t>
      </w:r>
      <w:r>
        <w:rPr>
          <w:rFonts w:ascii="宋体" w:hAnsi="宋体" w:cs="宋体"/>
          <w:color w:val="000000"/>
          <w:kern w:val="0"/>
          <w:sz w:val="24"/>
          <w:u w:val="single"/>
        </w:rPr>
        <w:t>（采购文件中明确的所属行业）</w:t>
      </w:r>
      <w:r>
        <w:rPr>
          <w:rFonts w:ascii="宋体" w:hAnsi="宋体" w:cs="宋体"/>
          <w:color w:val="000000"/>
          <w:kern w:val="0"/>
          <w:sz w:val="24"/>
        </w:rPr>
        <w:t>行业；制造商为</w:t>
      </w:r>
      <w:r>
        <w:rPr>
          <w:rFonts w:ascii="宋体" w:hAnsi="宋体" w:cs="宋体"/>
          <w:color w:val="000000"/>
          <w:kern w:val="0"/>
          <w:sz w:val="24"/>
          <w:u w:val="single"/>
        </w:rPr>
        <w:t>（企业名称）</w:t>
      </w:r>
      <w:r>
        <w:rPr>
          <w:rFonts w:ascii="宋体" w:hAnsi="宋体" w:cs="宋体"/>
          <w:color w:val="000000"/>
          <w:kern w:val="0"/>
          <w:sz w:val="24"/>
        </w:rPr>
        <w:t>，从业人员</w:t>
      </w:r>
      <w:r>
        <w:rPr>
          <w:rFonts w:hint="eastAsia" w:ascii="宋体" w:hAnsi="宋体" w:cs="宋体"/>
          <w:color w:val="000000"/>
          <w:kern w:val="0"/>
          <w:sz w:val="24"/>
          <w:u w:val="single"/>
        </w:rPr>
        <w:t xml:space="preserve">    </w:t>
      </w:r>
      <w:r>
        <w:rPr>
          <w:rFonts w:ascii="宋体" w:hAnsi="宋体" w:cs="宋体"/>
          <w:color w:val="000000"/>
          <w:kern w:val="0"/>
          <w:sz w:val="24"/>
        </w:rPr>
        <w:t>人，营业收入为</w:t>
      </w:r>
      <w:r>
        <w:rPr>
          <w:rFonts w:hint="eastAsia" w:ascii="宋体" w:hAnsi="宋体" w:cs="宋体"/>
          <w:color w:val="000000"/>
          <w:kern w:val="0"/>
          <w:sz w:val="24"/>
          <w:u w:val="single"/>
        </w:rPr>
        <w:t xml:space="preserve">    </w:t>
      </w:r>
      <w:r>
        <w:rPr>
          <w:rFonts w:ascii="宋体" w:hAnsi="宋体" w:cs="宋体"/>
          <w:color w:val="000000"/>
          <w:kern w:val="0"/>
          <w:sz w:val="24"/>
        </w:rPr>
        <w:t>万元，资产总额为</w:t>
      </w:r>
      <w:r>
        <w:rPr>
          <w:rFonts w:hint="eastAsia" w:ascii="宋体" w:hAnsi="宋体" w:cs="宋体"/>
          <w:color w:val="000000"/>
          <w:kern w:val="0"/>
          <w:sz w:val="24"/>
          <w:u w:val="single"/>
        </w:rPr>
        <w:t xml:space="preserve">    </w:t>
      </w:r>
      <w:r>
        <w:rPr>
          <w:rFonts w:ascii="宋体" w:hAnsi="宋体" w:cs="宋体"/>
          <w:color w:val="000000"/>
          <w:kern w:val="0"/>
          <w:sz w:val="24"/>
        </w:rPr>
        <w:t xml:space="preserve">万元，属于（中型企业、小 型企业、微型企业）； </w:t>
      </w:r>
    </w:p>
    <w:p w14:paraId="79D6CA4B">
      <w:pPr>
        <w:widowControl/>
        <w:shd w:val="clear" w:color="auto" w:fill="FFFFFF"/>
        <w:spacing w:line="500" w:lineRule="exact"/>
        <w:ind w:firstLine="482"/>
        <w:jc w:val="left"/>
        <w:rPr>
          <w:rFonts w:hint="eastAsia" w:ascii="宋体" w:hAnsi="宋体" w:cs="宋体"/>
          <w:color w:val="000000"/>
          <w:kern w:val="0"/>
          <w:sz w:val="24"/>
        </w:rPr>
      </w:pPr>
      <w:r>
        <w:rPr>
          <w:rFonts w:ascii="宋体" w:hAnsi="宋体" w:cs="宋体"/>
          <w:color w:val="000000"/>
          <w:kern w:val="0"/>
          <w:sz w:val="24"/>
        </w:rPr>
        <w:t>2</w:t>
      </w:r>
      <w:r>
        <w:rPr>
          <w:rFonts w:hint="eastAsia" w:ascii="宋体" w:hAnsi="宋体" w:cs="宋体"/>
          <w:color w:val="000000"/>
          <w:kern w:val="0"/>
          <w:sz w:val="24"/>
        </w:rPr>
        <w:t>、</w:t>
      </w:r>
      <w:r>
        <w:rPr>
          <w:rFonts w:ascii="宋体" w:hAnsi="宋体" w:cs="宋体"/>
          <w:color w:val="000000"/>
          <w:kern w:val="0"/>
          <w:sz w:val="24"/>
          <w:u w:val="single"/>
        </w:rPr>
        <w:t>（标的名称）</w:t>
      </w:r>
      <w:r>
        <w:rPr>
          <w:rFonts w:ascii="宋体" w:hAnsi="宋体" w:cs="宋体"/>
          <w:color w:val="000000"/>
          <w:kern w:val="0"/>
          <w:sz w:val="24"/>
        </w:rPr>
        <w:t>，属于</w:t>
      </w:r>
      <w:r>
        <w:rPr>
          <w:rFonts w:ascii="宋体" w:hAnsi="宋体" w:cs="宋体"/>
          <w:color w:val="000000"/>
          <w:kern w:val="0"/>
          <w:sz w:val="24"/>
          <w:u w:val="single"/>
        </w:rPr>
        <w:t>（采购文件中明确的所属行业）</w:t>
      </w:r>
      <w:r>
        <w:rPr>
          <w:rFonts w:ascii="宋体" w:hAnsi="宋体" w:cs="宋体"/>
          <w:color w:val="000000"/>
          <w:kern w:val="0"/>
          <w:sz w:val="24"/>
        </w:rPr>
        <w:t>行业；制造商为</w:t>
      </w:r>
      <w:r>
        <w:rPr>
          <w:rFonts w:ascii="宋体" w:hAnsi="宋体" w:cs="宋体"/>
          <w:color w:val="000000"/>
          <w:kern w:val="0"/>
          <w:sz w:val="24"/>
          <w:u w:val="single"/>
        </w:rPr>
        <w:t>（企业名称）</w:t>
      </w:r>
      <w:r>
        <w:rPr>
          <w:rFonts w:ascii="宋体" w:hAnsi="宋体" w:cs="宋体"/>
          <w:color w:val="000000"/>
          <w:kern w:val="0"/>
          <w:sz w:val="24"/>
        </w:rPr>
        <w:t>，从业人员</w:t>
      </w:r>
      <w:r>
        <w:rPr>
          <w:rFonts w:hint="eastAsia" w:ascii="宋体" w:hAnsi="宋体" w:cs="宋体"/>
          <w:color w:val="000000"/>
          <w:kern w:val="0"/>
          <w:sz w:val="24"/>
          <w:u w:val="single"/>
        </w:rPr>
        <w:t xml:space="preserve">    </w:t>
      </w:r>
      <w:r>
        <w:rPr>
          <w:rFonts w:ascii="宋体" w:hAnsi="宋体" w:cs="宋体"/>
          <w:color w:val="000000"/>
          <w:kern w:val="0"/>
          <w:sz w:val="24"/>
        </w:rPr>
        <w:t>人，营业收入为</w:t>
      </w:r>
      <w:r>
        <w:rPr>
          <w:rFonts w:hint="eastAsia" w:ascii="宋体" w:hAnsi="宋体" w:cs="宋体"/>
          <w:color w:val="000000"/>
          <w:kern w:val="0"/>
          <w:sz w:val="24"/>
          <w:u w:val="single"/>
        </w:rPr>
        <w:t xml:space="preserve">    </w:t>
      </w:r>
      <w:r>
        <w:rPr>
          <w:rFonts w:ascii="宋体" w:hAnsi="宋体" w:cs="宋体"/>
          <w:color w:val="000000"/>
          <w:kern w:val="0"/>
          <w:sz w:val="24"/>
        </w:rPr>
        <w:t>万元，资产总额为</w:t>
      </w:r>
      <w:r>
        <w:rPr>
          <w:rFonts w:hint="eastAsia" w:ascii="宋体" w:hAnsi="宋体" w:cs="宋体"/>
          <w:color w:val="000000"/>
          <w:kern w:val="0"/>
          <w:sz w:val="24"/>
          <w:u w:val="single"/>
        </w:rPr>
        <w:t xml:space="preserve">    </w:t>
      </w:r>
      <w:r>
        <w:rPr>
          <w:rFonts w:ascii="宋体" w:hAnsi="宋体" w:cs="宋体"/>
          <w:color w:val="000000"/>
          <w:kern w:val="0"/>
          <w:sz w:val="24"/>
        </w:rPr>
        <w:t>万元，属于</w:t>
      </w:r>
      <w:r>
        <w:rPr>
          <w:rFonts w:ascii="宋体" w:hAnsi="宋体" w:cs="宋体"/>
          <w:color w:val="000000"/>
          <w:kern w:val="0"/>
          <w:sz w:val="24"/>
          <w:u w:val="single"/>
        </w:rPr>
        <w:t>（中型企业、小型 企业、微型企业）</w:t>
      </w:r>
      <w:r>
        <w:rPr>
          <w:rFonts w:ascii="宋体" w:hAnsi="宋体" w:cs="宋体"/>
          <w:color w:val="000000"/>
          <w:kern w:val="0"/>
          <w:sz w:val="24"/>
        </w:rPr>
        <w:t xml:space="preserve">； </w:t>
      </w:r>
    </w:p>
    <w:p w14:paraId="3D4069C3">
      <w:pPr>
        <w:widowControl/>
        <w:shd w:val="clear" w:color="auto" w:fill="FFFFFF"/>
        <w:spacing w:line="500" w:lineRule="exact"/>
        <w:ind w:firstLine="482"/>
        <w:jc w:val="left"/>
        <w:rPr>
          <w:rFonts w:hint="eastAsia" w:ascii="宋体" w:hAnsi="宋体" w:cs="宋体"/>
          <w:color w:val="000000"/>
          <w:kern w:val="0"/>
          <w:sz w:val="24"/>
        </w:rPr>
      </w:pPr>
      <w:r>
        <w:rPr>
          <w:rFonts w:ascii="宋体" w:hAnsi="宋体" w:cs="宋体"/>
          <w:color w:val="000000"/>
          <w:kern w:val="0"/>
          <w:sz w:val="24"/>
        </w:rPr>
        <w:t>……</w:t>
      </w:r>
    </w:p>
    <w:p w14:paraId="5BEB71A1">
      <w:pPr>
        <w:widowControl/>
        <w:shd w:val="clear" w:color="auto" w:fill="FFFFFF"/>
        <w:spacing w:line="500" w:lineRule="exact"/>
        <w:ind w:firstLine="482"/>
        <w:jc w:val="left"/>
        <w:rPr>
          <w:rFonts w:hint="eastAsia" w:ascii="宋体" w:hAnsi="宋体" w:cs="宋体"/>
          <w:color w:val="000000"/>
          <w:kern w:val="0"/>
          <w:sz w:val="24"/>
        </w:rPr>
      </w:pPr>
      <w:r>
        <w:rPr>
          <w:rFonts w:ascii="宋体" w:hAnsi="宋体" w:cs="宋体"/>
          <w:color w:val="000000"/>
          <w:kern w:val="0"/>
          <w:sz w:val="24"/>
        </w:rPr>
        <w:t>以上企业，不属于大企业的分支机构，不存在控股股东为大企业的情形，也不存在与大企业的负责人为同一人的情形。</w:t>
      </w:r>
    </w:p>
    <w:p w14:paraId="321D3EBB">
      <w:pPr>
        <w:widowControl/>
        <w:shd w:val="clear" w:color="auto" w:fill="FFFFFF"/>
        <w:spacing w:line="500" w:lineRule="exact"/>
        <w:ind w:firstLine="482"/>
        <w:jc w:val="left"/>
        <w:rPr>
          <w:rFonts w:hint="eastAsia" w:ascii="宋体" w:hAnsi="宋体" w:cs="宋体"/>
          <w:color w:val="000000"/>
          <w:kern w:val="0"/>
          <w:sz w:val="24"/>
        </w:rPr>
      </w:pPr>
      <w:r>
        <w:rPr>
          <w:rFonts w:ascii="宋体" w:hAnsi="宋体" w:cs="宋体"/>
          <w:color w:val="000000"/>
          <w:kern w:val="0"/>
          <w:sz w:val="24"/>
        </w:rPr>
        <w:t>本企业对上述声明内容的真实性负责。如有虚假，将依法承担相应责任。</w:t>
      </w:r>
    </w:p>
    <w:p w14:paraId="028F23AD">
      <w:pPr>
        <w:widowControl/>
        <w:shd w:val="clear" w:color="auto" w:fill="FFFFFF"/>
        <w:spacing w:line="500" w:lineRule="exact"/>
        <w:ind w:firstLine="482"/>
        <w:jc w:val="left"/>
        <w:rPr>
          <w:rFonts w:hint="eastAsia" w:ascii="宋体" w:hAnsi="宋体" w:cs="宋体"/>
          <w:color w:val="000000"/>
          <w:kern w:val="0"/>
          <w:sz w:val="24"/>
        </w:rPr>
      </w:pPr>
    </w:p>
    <w:p w14:paraId="22A55A44">
      <w:pPr>
        <w:widowControl/>
        <w:shd w:val="clear" w:color="auto" w:fill="FFFFFF"/>
        <w:spacing w:line="500" w:lineRule="exact"/>
        <w:ind w:firstLine="4536"/>
        <w:jc w:val="left"/>
        <w:rPr>
          <w:rFonts w:hint="eastAsia" w:ascii="宋体" w:hAnsi="宋体" w:cs="宋体"/>
          <w:color w:val="000000"/>
          <w:kern w:val="0"/>
          <w:sz w:val="24"/>
        </w:rPr>
      </w:pPr>
      <w:r>
        <w:rPr>
          <w:rFonts w:ascii="宋体" w:hAnsi="宋体" w:cs="宋体"/>
          <w:color w:val="000000"/>
          <w:kern w:val="0"/>
          <w:sz w:val="24"/>
        </w:rPr>
        <w:t>企业名称（盖章）：</w:t>
      </w:r>
    </w:p>
    <w:p w14:paraId="6CF844F0">
      <w:pPr>
        <w:widowControl/>
        <w:shd w:val="clear" w:color="auto" w:fill="FFFFFF"/>
        <w:spacing w:line="500" w:lineRule="exact"/>
        <w:ind w:firstLine="4536"/>
        <w:jc w:val="left"/>
        <w:rPr>
          <w:rFonts w:hint="eastAsia" w:ascii="宋体" w:hAnsi="宋体" w:cs="宋体"/>
          <w:color w:val="000000"/>
          <w:kern w:val="0"/>
          <w:sz w:val="24"/>
        </w:rPr>
      </w:pPr>
      <w:r>
        <w:rPr>
          <w:rFonts w:ascii="宋体" w:hAnsi="宋体" w:cs="宋体"/>
          <w:color w:val="000000"/>
          <w:kern w:val="0"/>
          <w:sz w:val="24"/>
        </w:rPr>
        <w:t xml:space="preserve">日 期： </w:t>
      </w:r>
    </w:p>
    <w:p w14:paraId="0249AC8D">
      <w:pPr>
        <w:widowControl/>
        <w:shd w:val="clear" w:color="auto" w:fill="FFFFFF"/>
        <w:spacing w:line="500" w:lineRule="exact"/>
        <w:ind w:firstLine="482"/>
        <w:jc w:val="left"/>
        <w:rPr>
          <w:rFonts w:hint="eastAsia" w:ascii="宋体" w:hAnsi="宋体" w:cs="宋体"/>
          <w:color w:val="000000"/>
          <w:kern w:val="0"/>
          <w:sz w:val="24"/>
        </w:rPr>
      </w:pPr>
    </w:p>
    <w:p w14:paraId="1536062B">
      <w:pPr>
        <w:widowControl/>
        <w:shd w:val="clear" w:color="auto" w:fill="FFFFFF"/>
        <w:spacing w:line="500" w:lineRule="exact"/>
        <w:ind w:firstLine="482"/>
        <w:jc w:val="left"/>
        <w:rPr>
          <w:rFonts w:hint="eastAsia" w:ascii="宋体" w:hAnsi="宋体" w:cs="宋体"/>
          <w:color w:val="000000"/>
          <w:kern w:val="0"/>
          <w:sz w:val="24"/>
        </w:rPr>
      </w:pPr>
    </w:p>
    <w:p w14:paraId="4FD47C50">
      <w:pPr>
        <w:spacing w:line="300" w:lineRule="auto"/>
        <w:rPr>
          <w:rFonts w:ascii="宋体" w:hAnsi="宋体"/>
          <w:color w:val="000000"/>
          <w:sz w:val="28"/>
          <w:szCs w:val="28"/>
        </w:rPr>
      </w:pPr>
      <w:r>
        <w:rPr>
          <w:rFonts w:hint="eastAsia" w:ascii="宋体" w:hAnsi="宋体" w:cs="宋体"/>
          <w:b/>
          <w:color w:val="000000"/>
          <w:kern w:val="0"/>
          <w:sz w:val="24"/>
        </w:rPr>
        <w:t>注：</w:t>
      </w:r>
      <w:r>
        <w:rPr>
          <w:rFonts w:ascii="宋体" w:hAnsi="宋体" w:cs="宋体"/>
          <w:color w:val="000000"/>
          <w:kern w:val="0"/>
          <w:sz w:val="24"/>
        </w:rPr>
        <w:t>从业人员、营业收入、资产总额填报上一年度数据，无上一年度数据的新成立企业可不填报。</w:t>
      </w:r>
    </w:p>
    <w:p w14:paraId="46B6352C">
      <w:pPr>
        <w:spacing w:before="2" w:line="500" w:lineRule="exact"/>
        <w:rPr>
          <w:rFonts w:ascii="宋体" w:hAnsi="宋体" w:cs="宋体"/>
          <w:b/>
          <w:bCs/>
          <w:color w:val="000000" w:themeColor="text1"/>
          <w:sz w:val="24"/>
          <w:szCs w:val="24"/>
          <w:highlight w:val="none"/>
          <w14:textFill>
            <w14:solidFill>
              <w14:schemeClr w14:val="tx1"/>
            </w14:solidFill>
          </w14:textFill>
        </w:rPr>
      </w:pPr>
    </w:p>
    <w:p w14:paraId="28FFE2B4">
      <w:pPr>
        <w:pStyle w:val="7"/>
        <w:spacing w:line="360" w:lineRule="auto"/>
        <w:ind w:left="-426" w:leftChars="-203" w:right="142" w:firstLine="480" w:firstLineChars="200"/>
        <w:contextualSpacing/>
        <w:rPr>
          <w:rFonts w:hAnsi="宋体"/>
          <w:color w:val="000000" w:themeColor="text1"/>
          <w:kern w:val="24"/>
          <w:sz w:val="24"/>
          <w:szCs w:val="24"/>
          <w:highlight w:val="none"/>
          <w14:textFill>
            <w14:solidFill>
              <w14:schemeClr w14:val="tx1"/>
            </w14:solidFill>
          </w14:textFill>
        </w:rPr>
      </w:pPr>
    </w:p>
    <w:p w14:paraId="7F268A2D">
      <w:pPr>
        <w:pStyle w:val="7"/>
        <w:spacing w:line="360" w:lineRule="auto"/>
        <w:ind w:left="-426" w:leftChars="-203" w:right="142" w:firstLine="480" w:firstLineChars="200"/>
        <w:contextualSpacing/>
        <w:rPr>
          <w:rFonts w:hAnsi="宋体"/>
          <w:color w:val="000000" w:themeColor="text1"/>
          <w:kern w:val="24"/>
          <w:sz w:val="24"/>
          <w:szCs w:val="24"/>
          <w:highlight w:val="none"/>
          <w14:textFill>
            <w14:solidFill>
              <w14:schemeClr w14:val="tx1"/>
            </w14:solidFill>
          </w14:textFill>
        </w:rPr>
      </w:pPr>
    </w:p>
    <w:p w14:paraId="11319D0C">
      <w:pPr>
        <w:pStyle w:val="7"/>
        <w:spacing w:line="360" w:lineRule="auto"/>
        <w:ind w:left="-426" w:leftChars="-203" w:right="142" w:firstLine="480" w:firstLineChars="200"/>
        <w:contextualSpacing/>
        <w:rPr>
          <w:rFonts w:hAnsi="宋体"/>
          <w:color w:val="000000" w:themeColor="text1"/>
          <w:kern w:val="24"/>
          <w:sz w:val="24"/>
          <w:szCs w:val="24"/>
          <w:highlight w:val="none"/>
          <w14:textFill>
            <w14:solidFill>
              <w14:schemeClr w14:val="tx1"/>
            </w14:solidFill>
          </w14:textFill>
        </w:rPr>
      </w:pPr>
    </w:p>
    <w:p w14:paraId="1D57A862">
      <w:pPr>
        <w:pStyle w:val="7"/>
        <w:spacing w:line="360" w:lineRule="auto"/>
        <w:ind w:left="-426" w:leftChars="-203" w:right="142" w:firstLine="480" w:firstLineChars="200"/>
        <w:contextualSpacing/>
        <w:rPr>
          <w:rFonts w:hAnsi="宋体"/>
          <w:color w:val="000000" w:themeColor="text1"/>
          <w:kern w:val="24"/>
          <w:sz w:val="24"/>
          <w:szCs w:val="24"/>
          <w:highlight w:val="none"/>
          <w14:textFill>
            <w14:solidFill>
              <w14:schemeClr w14:val="tx1"/>
            </w14:solidFill>
          </w14:textFill>
        </w:rPr>
      </w:pPr>
    </w:p>
    <w:p w14:paraId="39E817D0">
      <w:pPr>
        <w:spacing w:line="588" w:lineRule="exact"/>
        <w:jc w:val="center"/>
        <w:rPr>
          <w:b/>
          <w:bCs/>
          <w:sz w:val="28"/>
          <w:szCs w:val="28"/>
          <w:highlight w:val="none"/>
        </w:rPr>
      </w:pPr>
      <w:r>
        <w:rPr>
          <w:rFonts w:hint="eastAsia"/>
          <w:b/>
          <w:bCs/>
          <w:sz w:val="28"/>
          <w:szCs w:val="28"/>
          <w:highlight w:val="none"/>
          <w:lang w:val="en-US" w:eastAsia="zh-CN"/>
        </w:rPr>
        <w:t>2.</w:t>
      </w:r>
      <w:r>
        <w:rPr>
          <w:rFonts w:hint="eastAsia"/>
          <w:b/>
          <w:bCs/>
          <w:sz w:val="28"/>
          <w:szCs w:val="28"/>
          <w:highlight w:val="none"/>
        </w:rPr>
        <w:t>残疾人福利性单位声明函</w:t>
      </w:r>
    </w:p>
    <w:p w14:paraId="65AEB57E">
      <w:pPr>
        <w:spacing w:line="588" w:lineRule="exact"/>
        <w:rPr>
          <w:rFonts w:ascii="仿宋_GB2312" w:eastAsia="仿宋_GB2312"/>
          <w:b/>
          <w:spacing w:val="6"/>
          <w:sz w:val="30"/>
          <w:szCs w:val="30"/>
          <w:highlight w:val="none"/>
        </w:rPr>
      </w:pPr>
    </w:p>
    <w:p w14:paraId="778EC10E">
      <w:pPr>
        <w:pStyle w:val="10"/>
        <w:spacing w:line="480" w:lineRule="auto"/>
        <w:ind w:firstLine="480" w:firstLineChars="200"/>
        <w:rPr>
          <w:sz w:val="24"/>
          <w:highlight w:val="none"/>
        </w:rPr>
      </w:pPr>
      <w:r>
        <w:rPr>
          <w:rFonts w:hint="eastAsia"/>
          <w:sz w:val="24"/>
          <w:highlight w:val="none"/>
        </w:rPr>
        <w:t>本单位郑重声明，根据《财政部</w:t>
      </w:r>
      <w:r>
        <w:rPr>
          <w:sz w:val="24"/>
          <w:highlight w:val="none"/>
        </w:rPr>
        <w:t xml:space="preserve"> </w:t>
      </w:r>
      <w:r>
        <w:rPr>
          <w:rFonts w:hint="eastAsia"/>
          <w:sz w:val="24"/>
          <w:highlight w:val="none"/>
        </w:rPr>
        <w:t>民政部</w:t>
      </w:r>
      <w:r>
        <w:rPr>
          <w:sz w:val="24"/>
          <w:highlight w:val="none"/>
        </w:rPr>
        <w:t xml:space="preserve"> </w:t>
      </w:r>
      <w:r>
        <w:rPr>
          <w:rFonts w:hint="eastAsia"/>
          <w:sz w:val="24"/>
          <w:highlight w:val="none"/>
        </w:rPr>
        <w:t>中国残疾人联合会关于促进残疾人就业政府采购政策的通知》（财库〔</w:t>
      </w:r>
      <w:r>
        <w:rPr>
          <w:sz w:val="24"/>
          <w:highlight w:val="none"/>
        </w:rPr>
        <w:t>2017</w:t>
      </w:r>
      <w:r>
        <w:rPr>
          <w:rFonts w:hint="eastAsia"/>
          <w:sz w:val="24"/>
          <w:highlight w:val="none"/>
        </w:rPr>
        <w:t>〕1</w:t>
      </w:r>
      <w:r>
        <w:rPr>
          <w:sz w:val="24"/>
          <w:highlight w:val="none"/>
        </w:rPr>
        <w:t>41</w:t>
      </w:r>
      <w:r>
        <w:rPr>
          <w:rFonts w:hint="eastAsia"/>
          <w:sz w:val="24"/>
          <w:highlight w:val="none"/>
        </w:rPr>
        <w:t>号）的规定，本单位为符合条件的残疾人福利性单位，且本单位参加</w:t>
      </w:r>
      <w:r>
        <w:rPr>
          <w:rFonts w:hint="eastAsia"/>
          <w:sz w:val="24"/>
          <w:highlight w:val="none"/>
          <w:u w:val="single"/>
        </w:rPr>
        <w:t xml:space="preserve">                    </w:t>
      </w:r>
      <w:r>
        <w:rPr>
          <w:rFonts w:hint="eastAsia"/>
          <w:sz w:val="24"/>
          <w:highlight w:val="none"/>
        </w:rPr>
        <w:t>单位的</w:t>
      </w:r>
      <w:r>
        <w:rPr>
          <w:rFonts w:hint="eastAsia"/>
          <w:sz w:val="24"/>
          <w:highlight w:val="none"/>
          <w:u w:val="single"/>
        </w:rPr>
        <w:t xml:space="preserve">                    </w:t>
      </w:r>
      <w:r>
        <w:rPr>
          <w:rFonts w:hint="eastAsia"/>
          <w:sz w:val="24"/>
          <w:highlight w:val="none"/>
        </w:rPr>
        <w:t>项目采购活动提供本单位制造的货物（由本单位承担工程</w:t>
      </w:r>
      <w:r>
        <w:rPr>
          <w:sz w:val="24"/>
          <w:highlight w:val="none"/>
        </w:rPr>
        <w:t>/</w:t>
      </w:r>
      <w:r>
        <w:rPr>
          <w:rFonts w:hint="eastAsia"/>
          <w:sz w:val="24"/>
          <w:highlight w:val="none"/>
        </w:rPr>
        <w:t>提供服务），或者提供其他残疾人福利性单位制造的货物（不包括使用非残疾人福利性单位注册商标的货物）。</w:t>
      </w:r>
    </w:p>
    <w:p w14:paraId="45341AFD">
      <w:pPr>
        <w:pStyle w:val="10"/>
        <w:spacing w:line="480" w:lineRule="auto"/>
        <w:ind w:firstLine="480" w:firstLineChars="200"/>
        <w:rPr>
          <w:sz w:val="24"/>
          <w:highlight w:val="none"/>
        </w:rPr>
      </w:pPr>
      <w:r>
        <w:rPr>
          <w:rFonts w:hint="eastAsia"/>
          <w:sz w:val="24"/>
          <w:highlight w:val="none"/>
        </w:rPr>
        <w:t>本单位对上述声明的真实性负责。如有虚假，将依法承担相应责任。</w:t>
      </w:r>
    </w:p>
    <w:p w14:paraId="553EF2E9">
      <w:pPr>
        <w:pStyle w:val="10"/>
        <w:spacing w:line="480" w:lineRule="auto"/>
        <w:rPr>
          <w:sz w:val="24"/>
          <w:highlight w:val="none"/>
        </w:rPr>
      </w:pPr>
    </w:p>
    <w:p w14:paraId="72531315">
      <w:pPr>
        <w:pStyle w:val="10"/>
        <w:spacing w:line="480" w:lineRule="auto"/>
        <w:jc w:val="center"/>
        <w:rPr>
          <w:sz w:val="24"/>
          <w:highlight w:val="none"/>
        </w:rPr>
      </w:pPr>
    </w:p>
    <w:p w14:paraId="1EC4B268">
      <w:pPr>
        <w:pStyle w:val="10"/>
        <w:spacing w:line="480" w:lineRule="auto"/>
        <w:jc w:val="center"/>
        <w:rPr>
          <w:sz w:val="24"/>
          <w:highlight w:val="none"/>
        </w:rPr>
      </w:pPr>
      <w:r>
        <w:rPr>
          <w:rFonts w:hint="eastAsia"/>
          <w:sz w:val="24"/>
          <w:highlight w:val="none"/>
        </w:rPr>
        <w:t>供应商名称</w:t>
      </w:r>
      <w:r>
        <w:rPr>
          <w:rFonts w:hint="eastAsia" w:hAnsi="宋体"/>
          <w:spacing w:val="6"/>
          <w:sz w:val="24"/>
          <w:highlight w:val="none"/>
        </w:rPr>
        <w:t>（电子签章）</w:t>
      </w:r>
      <w:r>
        <w:rPr>
          <w:rFonts w:hint="eastAsia"/>
          <w:sz w:val="24"/>
          <w:highlight w:val="none"/>
        </w:rPr>
        <w:t>：</w:t>
      </w:r>
    </w:p>
    <w:p w14:paraId="74EB0624">
      <w:pPr>
        <w:pStyle w:val="10"/>
        <w:spacing w:line="480" w:lineRule="auto"/>
        <w:jc w:val="center"/>
        <w:rPr>
          <w:sz w:val="24"/>
          <w:highlight w:val="none"/>
        </w:rPr>
      </w:pPr>
      <w:r>
        <w:rPr>
          <w:rFonts w:hint="eastAsia"/>
          <w:sz w:val="24"/>
          <w:highlight w:val="none"/>
        </w:rPr>
        <w:t>日</w:t>
      </w:r>
      <w:r>
        <w:rPr>
          <w:sz w:val="24"/>
          <w:highlight w:val="none"/>
        </w:rPr>
        <w:t xml:space="preserve">  </w:t>
      </w:r>
      <w:r>
        <w:rPr>
          <w:rFonts w:hint="eastAsia"/>
          <w:sz w:val="24"/>
          <w:highlight w:val="none"/>
        </w:rPr>
        <w:t>期：</w:t>
      </w:r>
    </w:p>
    <w:p w14:paraId="49C8B649">
      <w:pPr>
        <w:pStyle w:val="10"/>
        <w:spacing w:line="300" w:lineRule="auto"/>
        <w:jc w:val="center"/>
        <w:rPr>
          <w:sz w:val="24"/>
          <w:szCs w:val="24"/>
          <w:highlight w:val="none"/>
        </w:rPr>
      </w:pPr>
    </w:p>
    <w:p w14:paraId="19B694D5">
      <w:pPr>
        <w:pStyle w:val="10"/>
        <w:spacing w:line="300" w:lineRule="auto"/>
        <w:rPr>
          <w:sz w:val="24"/>
          <w:szCs w:val="24"/>
          <w:highlight w:val="none"/>
        </w:rPr>
      </w:pPr>
    </w:p>
    <w:p w14:paraId="28F58D7A">
      <w:pPr>
        <w:pStyle w:val="4"/>
        <w:keepNext w:val="0"/>
        <w:keepLines w:val="0"/>
        <w:jc w:val="left"/>
        <w:rPr>
          <w:sz w:val="24"/>
          <w:szCs w:val="24"/>
          <w:highlight w:val="none"/>
        </w:rPr>
      </w:pPr>
    </w:p>
    <w:p w14:paraId="3E28A08C">
      <w:pPr>
        <w:pStyle w:val="4"/>
        <w:keepNext w:val="0"/>
        <w:keepLines w:val="0"/>
        <w:jc w:val="left"/>
        <w:rPr>
          <w:sz w:val="24"/>
          <w:szCs w:val="24"/>
          <w:highlight w:val="none"/>
        </w:rPr>
      </w:pPr>
    </w:p>
    <w:p w14:paraId="1B7B2293">
      <w:pPr>
        <w:pStyle w:val="4"/>
        <w:keepNext w:val="0"/>
        <w:keepLines w:val="0"/>
        <w:jc w:val="left"/>
        <w:rPr>
          <w:sz w:val="24"/>
          <w:szCs w:val="24"/>
          <w:highlight w:val="none"/>
        </w:rPr>
      </w:pPr>
    </w:p>
    <w:p w14:paraId="0E86BAD1">
      <w:pPr>
        <w:pStyle w:val="4"/>
        <w:keepNext w:val="0"/>
        <w:keepLines w:val="0"/>
        <w:jc w:val="left"/>
        <w:rPr>
          <w:sz w:val="24"/>
          <w:szCs w:val="24"/>
          <w:highlight w:val="none"/>
        </w:rPr>
      </w:pPr>
    </w:p>
    <w:p w14:paraId="342C29F5">
      <w:pPr>
        <w:pStyle w:val="4"/>
        <w:keepNext w:val="0"/>
        <w:keepLines w:val="0"/>
        <w:jc w:val="left"/>
        <w:rPr>
          <w:sz w:val="24"/>
          <w:szCs w:val="24"/>
          <w:highlight w:val="none"/>
        </w:rPr>
      </w:pPr>
    </w:p>
    <w:p w14:paraId="71F9025D">
      <w:pPr>
        <w:pStyle w:val="4"/>
        <w:keepNext w:val="0"/>
        <w:keepLines w:val="0"/>
        <w:jc w:val="left"/>
        <w:rPr>
          <w:sz w:val="24"/>
          <w:szCs w:val="24"/>
          <w:highlight w:val="none"/>
        </w:rPr>
      </w:pPr>
    </w:p>
    <w:p w14:paraId="1B3F6896">
      <w:pPr>
        <w:pStyle w:val="4"/>
        <w:keepNext w:val="0"/>
        <w:keepLines w:val="0"/>
        <w:jc w:val="left"/>
        <w:rPr>
          <w:sz w:val="24"/>
          <w:szCs w:val="24"/>
          <w:highlight w:val="none"/>
        </w:rPr>
      </w:pPr>
    </w:p>
    <w:p w14:paraId="3726418E">
      <w:pPr>
        <w:pStyle w:val="4"/>
        <w:keepNext w:val="0"/>
        <w:keepLines w:val="0"/>
        <w:jc w:val="left"/>
        <w:rPr>
          <w:sz w:val="24"/>
          <w:szCs w:val="24"/>
          <w:highlight w:val="none"/>
        </w:rPr>
      </w:pPr>
    </w:p>
    <w:p w14:paraId="5303BF1D">
      <w:pPr>
        <w:pStyle w:val="4"/>
        <w:keepNext w:val="0"/>
        <w:keepLines w:val="0"/>
        <w:jc w:val="left"/>
        <w:rPr>
          <w:sz w:val="24"/>
          <w:szCs w:val="24"/>
          <w:highlight w:val="none"/>
        </w:rPr>
      </w:pPr>
    </w:p>
    <w:p w14:paraId="35CEC055">
      <w:pPr>
        <w:spacing w:line="360" w:lineRule="auto"/>
        <w:ind w:right="420"/>
        <w:contextualSpacing/>
        <w:jc w:val="left"/>
        <w:rPr>
          <w:rFonts w:ascii="宋体" w:hAnsi="宋体"/>
          <w:b/>
          <w:bCs/>
          <w:sz w:val="32"/>
          <w:szCs w:val="32"/>
        </w:rPr>
      </w:pPr>
      <w:r>
        <w:rPr>
          <w:rFonts w:hint="eastAsia" w:ascii="宋体" w:hAnsi="宋体"/>
          <w:b/>
          <w:bCs/>
          <w:sz w:val="32"/>
          <w:szCs w:val="32"/>
        </w:rPr>
        <w:t>3、</w:t>
      </w:r>
      <w:r>
        <w:rPr>
          <w:rFonts w:hint="eastAsia" w:ascii="宋体" w:hAnsi="宋体"/>
          <w:b/>
          <w:bCs/>
          <w:sz w:val="32"/>
          <w:szCs w:val="32"/>
          <w:lang w:eastAsia="zh-CN"/>
        </w:rPr>
        <w:t>《</w:t>
      </w:r>
      <w:r>
        <w:rPr>
          <w:rFonts w:hint="eastAsia" w:ascii="宋体" w:hAnsi="宋体"/>
          <w:b/>
          <w:bCs/>
          <w:sz w:val="32"/>
          <w:szCs w:val="32"/>
        </w:rPr>
        <w:t>关于符合本国产品标准的声明函》或者财政部会同有关部门规定的有关证明文件</w:t>
      </w:r>
    </w:p>
    <w:p w14:paraId="7992B333">
      <w:pPr>
        <w:widowControl/>
        <w:shd w:val="clear" w:color="auto" w:fill="FFFFFF"/>
        <w:jc w:val="center"/>
        <w:rPr>
          <w:rFonts w:ascii="宋体" w:hAnsi="宋体" w:cs="宋体"/>
          <w:sz w:val="36"/>
          <w:szCs w:val="36"/>
        </w:rPr>
      </w:pPr>
      <w:r>
        <w:rPr>
          <w:rFonts w:hint="eastAsia" w:ascii="宋体" w:hAnsi="宋体" w:cs="宋体"/>
          <w:b/>
          <w:bCs/>
          <w:sz w:val="36"/>
          <w:szCs w:val="36"/>
        </w:rPr>
        <w:t>关于符合本国产品标准的声明函</w:t>
      </w:r>
    </w:p>
    <w:p w14:paraId="667EE3F4">
      <w:pPr>
        <w:widowControl/>
        <w:shd w:val="clear" w:color="auto" w:fill="FFFFFF"/>
        <w:spacing w:before="30" w:after="30"/>
        <w:ind w:firstLine="480"/>
        <w:jc w:val="left"/>
        <w:rPr>
          <w:rFonts w:ascii="宋体" w:hAnsi="宋体" w:cs="宋体"/>
          <w:sz w:val="24"/>
        </w:rPr>
      </w:pPr>
      <w:r>
        <w:rPr>
          <w:rFonts w:hint="eastAsia" w:ascii="宋体" w:hAnsi="宋体" w:cs="宋体"/>
          <w:sz w:val="24"/>
        </w:rPr>
        <w:t> </w:t>
      </w:r>
    </w:p>
    <w:p w14:paraId="129A53E7">
      <w:pPr>
        <w:widowControl/>
        <w:shd w:val="clear" w:color="auto" w:fill="FFFFFF"/>
        <w:spacing w:before="30" w:after="30" w:line="360" w:lineRule="auto"/>
        <w:ind w:firstLine="480"/>
        <w:jc w:val="left"/>
        <w:rPr>
          <w:rFonts w:ascii="宋体" w:hAnsi="宋体" w:cs="宋体"/>
          <w:sz w:val="24"/>
        </w:rPr>
      </w:pPr>
      <w:r>
        <w:rPr>
          <w:rFonts w:hint="eastAsia" w:ascii="宋体" w:hAnsi="宋体" w:cs="宋体"/>
          <w:sz w:val="24"/>
        </w:rPr>
        <w:t>本公司（单位）郑重声明，根据《国务院办公厅关于在政府采购中实施本国产品标准及相关政策的通知》（国办发〔2025〕34号）的规定，本公司（单位）提供的以下产品属于本国产品。具体情况如下：</w:t>
      </w:r>
    </w:p>
    <w:p w14:paraId="3CAB3BD9">
      <w:pPr>
        <w:widowControl/>
        <w:shd w:val="clear" w:color="auto" w:fill="FFFFFF"/>
        <w:spacing w:line="360" w:lineRule="auto"/>
        <w:ind w:firstLine="480"/>
        <w:jc w:val="left"/>
        <w:rPr>
          <w:rFonts w:ascii="宋体" w:hAnsi="宋体" w:cs="宋体"/>
          <w:sz w:val="24"/>
        </w:rPr>
      </w:pPr>
      <w:r>
        <w:rPr>
          <w:rFonts w:hint="eastAsia" w:ascii="宋体" w:hAnsi="宋体" w:cs="宋体"/>
          <w:sz w:val="24"/>
        </w:rPr>
        <w:t>1.</w:t>
      </w:r>
      <w:r>
        <w:rPr>
          <w:rFonts w:hint="eastAsia" w:ascii="宋体" w:hAnsi="宋体" w:cs="宋体"/>
          <w:i/>
          <w:iCs/>
          <w:sz w:val="24"/>
          <w:u w:val="single"/>
        </w:rPr>
        <w:t>（产品名称1）</w:t>
      </w:r>
      <w:r>
        <w:rPr>
          <w:rFonts w:hint="eastAsia" w:ascii="宋体" w:hAnsi="宋体" w:cs="宋体"/>
          <w:i/>
          <w:iCs/>
          <w:sz w:val="18"/>
          <w:szCs w:val="18"/>
          <w:u w:val="single"/>
          <w:vertAlign w:val="superscript"/>
        </w:rPr>
        <w:t>1</w:t>
      </w:r>
      <w:r>
        <w:rPr>
          <w:rFonts w:hint="eastAsia" w:ascii="宋体" w:hAnsi="宋体" w:cs="宋体"/>
          <w:sz w:val="24"/>
        </w:rPr>
        <w:t>，生产厂为</w:t>
      </w:r>
      <w:r>
        <w:rPr>
          <w:rFonts w:hint="eastAsia" w:ascii="宋体" w:hAnsi="宋体" w:cs="宋体"/>
          <w:i/>
          <w:iCs/>
          <w:sz w:val="24"/>
          <w:u w:val="single"/>
        </w:rPr>
        <w:t>（厂名）</w:t>
      </w:r>
      <w:r>
        <w:rPr>
          <w:rFonts w:hint="eastAsia" w:ascii="宋体" w:hAnsi="宋体" w:cs="宋体"/>
          <w:i/>
          <w:iCs/>
          <w:sz w:val="18"/>
          <w:szCs w:val="18"/>
          <w:u w:val="single"/>
          <w:vertAlign w:val="superscript"/>
        </w:rPr>
        <w:t>2</w:t>
      </w:r>
      <w:r>
        <w:rPr>
          <w:rFonts w:hint="eastAsia" w:ascii="宋体" w:hAnsi="宋体" w:cs="宋体"/>
          <w:sz w:val="24"/>
        </w:rPr>
        <w:t>，厂址为</w:t>
      </w:r>
      <w:r>
        <w:rPr>
          <w:rFonts w:hint="eastAsia" w:ascii="宋体" w:hAnsi="宋体" w:cs="宋体"/>
          <w:i/>
          <w:iCs/>
          <w:sz w:val="24"/>
          <w:u w:val="single"/>
        </w:rPr>
        <w:t>（生产厂址）</w:t>
      </w:r>
      <w:r>
        <w:rPr>
          <w:rFonts w:hint="eastAsia" w:ascii="宋体" w:hAnsi="宋体" w:cs="宋体"/>
          <w:sz w:val="24"/>
        </w:rPr>
        <w:t>。</w:t>
      </w:r>
      <w:r>
        <w:rPr>
          <w:rFonts w:hint="eastAsia" w:ascii="宋体" w:hAnsi="宋体" w:cs="宋体"/>
          <w:i/>
          <w:iCs/>
          <w:sz w:val="24"/>
          <w:u w:val="single"/>
        </w:rPr>
        <w:t>（产品名称1）</w:t>
      </w:r>
      <w:r>
        <w:rPr>
          <w:rFonts w:hint="eastAsia" w:ascii="宋体" w:hAnsi="宋体" w:cs="宋体"/>
          <w:sz w:val="24"/>
        </w:rPr>
        <w:t>的中国境内生产的组件成本占比≥</w:t>
      </w:r>
      <w:r>
        <w:rPr>
          <w:rFonts w:hint="eastAsia" w:ascii="宋体" w:hAnsi="宋体" w:cs="宋体"/>
          <w:i/>
          <w:iCs/>
          <w:sz w:val="24"/>
          <w:u w:val="single"/>
        </w:rPr>
        <w:t>（规定比例）</w:t>
      </w:r>
      <w:r>
        <w:rPr>
          <w:rFonts w:hint="eastAsia" w:ascii="宋体" w:hAnsi="宋体" w:cs="宋体"/>
          <w:i/>
          <w:iCs/>
          <w:sz w:val="18"/>
          <w:szCs w:val="18"/>
          <w:u w:val="single"/>
          <w:vertAlign w:val="superscript"/>
        </w:rPr>
        <w:t>3</w:t>
      </w:r>
      <w:r>
        <w:rPr>
          <w:rFonts w:hint="eastAsia" w:ascii="宋体" w:hAnsi="宋体" w:cs="宋体"/>
          <w:sz w:val="24"/>
        </w:rPr>
        <w:t>。</w:t>
      </w:r>
      <w:r>
        <w:rPr>
          <w:rFonts w:hint="eastAsia" w:ascii="宋体" w:hAnsi="宋体" w:cs="宋体"/>
          <w:i/>
          <w:iCs/>
          <w:sz w:val="24"/>
          <w:u w:val="single"/>
        </w:rPr>
        <w:t>（产品名称1）</w:t>
      </w:r>
      <w:r>
        <w:rPr>
          <w:rFonts w:hint="eastAsia" w:ascii="宋体" w:hAnsi="宋体" w:cs="宋体"/>
          <w:sz w:val="24"/>
        </w:rPr>
        <w:t>的</w:t>
      </w:r>
      <w:r>
        <w:rPr>
          <w:rFonts w:hint="eastAsia" w:ascii="宋体" w:hAnsi="宋体" w:cs="宋体"/>
          <w:i/>
          <w:iCs/>
          <w:sz w:val="24"/>
          <w:u w:val="single"/>
        </w:rPr>
        <w:t>（关键组件）</w:t>
      </w:r>
      <w:r>
        <w:rPr>
          <w:rFonts w:hint="eastAsia" w:ascii="宋体" w:hAnsi="宋体" w:cs="宋体"/>
          <w:i/>
          <w:iCs/>
          <w:sz w:val="18"/>
          <w:szCs w:val="18"/>
          <w:u w:val="single"/>
          <w:vertAlign w:val="superscript"/>
        </w:rPr>
        <w:t>4</w:t>
      </w:r>
      <w:r>
        <w:rPr>
          <w:rFonts w:hint="eastAsia" w:ascii="宋体" w:hAnsi="宋体" w:cs="宋体"/>
          <w:sz w:val="24"/>
        </w:rPr>
        <w:t>在中国境内生产。</w:t>
      </w:r>
      <w:r>
        <w:rPr>
          <w:rFonts w:hint="eastAsia" w:ascii="宋体" w:hAnsi="宋体" w:cs="宋体"/>
          <w:i/>
          <w:iCs/>
          <w:sz w:val="24"/>
          <w:u w:val="single"/>
        </w:rPr>
        <w:t>（产品名称1）</w:t>
      </w:r>
      <w:r>
        <w:rPr>
          <w:rFonts w:hint="eastAsia" w:ascii="宋体" w:hAnsi="宋体" w:cs="宋体"/>
          <w:sz w:val="24"/>
        </w:rPr>
        <w:t>的</w:t>
      </w:r>
      <w:r>
        <w:rPr>
          <w:rFonts w:hint="eastAsia" w:ascii="宋体" w:hAnsi="宋体" w:cs="宋体"/>
          <w:i/>
          <w:iCs/>
          <w:sz w:val="24"/>
          <w:u w:val="single"/>
        </w:rPr>
        <w:t>（关键工序）</w:t>
      </w:r>
      <w:r>
        <w:rPr>
          <w:rFonts w:hint="eastAsia" w:ascii="宋体" w:hAnsi="宋体" w:cs="宋体"/>
          <w:i/>
          <w:iCs/>
          <w:sz w:val="18"/>
          <w:szCs w:val="18"/>
          <w:u w:val="single"/>
          <w:vertAlign w:val="superscript"/>
        </w:rPr>
        <w:t>5</w:t>
      </w:r>
      <w:r>
        <w:rPr>
          <w:rFonts w:hint="eastAsia" w:ascii="宋体" w:hAnsi="宋体" w:cs="宋体"/>
          <w:sz w:val="24"/>
        </w:rPr>
        <w:t>在中国境内完成。</w:t>
      </w:r>
    </w:p>
    <w:p w14:paraId="60C3B4B2">
      <w:pPr>
        <w:widowControl/>
        <w:shd w:val="clear" w:color="auto" w:fill="FFFFFF"/>
        <w:spacing w:line="360" w:lineRule="auto"/>
        <w:ind w:firstLine="480"/>
        <w:jc w:val="left"/>
        <w:rPr>
          <w:rFonts w:ascii="宋体" w:hAnsi="宋体" w:cs="宋体"/>
          <w:sz w:val="24"/>
        </w:rPr>
      </w:pPr>
      <w:r>
        <w:rPr>
          <w:rFonts w:hint="eastAsia" w:ascii="宋体" w:hAnsi="宋体" w:cs="宋体"/>
          <w:sz w:val="24"/>
        </w:rPr>
        <w:t>2.</w:t>
      </w:r>
      <w:r>
        <w:rPr>
          <w:rFonts w:hint="eastAsia" w:ascii="宋体" w:hAnsi="宋体" w:cs="宋体"/>
          <w:i/>
          <w:iCs/>
          <w:sz w:val="24"/>
          <w:u w:val="single"/>
        </w:rPr>
        <w:t>（产品名称2）</w:t>
      </w:r>
      <w:r>
        <w:rPr>
          <w:rFonts w:hint="eastAsia" w:ascii="宋体" w:hAnsi="宋体" w:cs="宋体"/>
          <w:sz w:val="24"/>
        </w:rPr>
        <w:t>，生产厂为</w:t>
      </w:r>
      <w:r>
        <w:rPr>
          <w:rFonts w:hint="eastAsia" w:ascii="宋体" w:hAnsi="宋体" w:cs="宋体"/>
          <w:i/>
          <w:iCs/>
          <w:sz w:val="24"/>
          <w:u w:val="single"/>
        </w:rPr>
        <w:t>（厂名）</w:t>
      </w:r>
      <w:r>
        <w:rPr>
          <w:rFonts w:hint="eastAsia" w:ascii="宋体" w:hAnsi="宋体" w:cs="宋体"/>
          <w:sz w:val="24"/>
        </w:rPr>
        <w:t>，厂址为</w:t>
      </w:r>
      <w:r>
        <w:rPr>
          <w:rFonts w:hint="eastAsia" w:ascii="宋体" w:hAnsi="宋体" w:cs="宋体"/>
          <w:i/>
          <w:iCs/>
          <w:sz w:val="24"/>
          <w:u w:val="single"/>
        </w:rPr>
        <w:t>（生产厂址）</w:t>
      </w:r>
      <w:r>
        <w:rPr>
          <w:rFonts w:hint="eastAsia" w:ascii="宋体" w:hAnsi="宋体" w:cs="宋体"/>
          <w:sz w:val="24"/>
        </w:rPr>
        <w:t>。</w:t>
      </w:r>
      <w:r>
        <w:rPr>
          <w:rFonts w:hint="eastAsia" w:ascii="宋体" w:hAnsi="宋体" w:cs="宋体"/>
          <w:i/>
          <w:iCs/>
          <w:sz w:val="24"/>
          <w:u w:val="single"/>
        </w:rPr>
        <w:t>（产品名称2）</w:t>
      </w:r>
      <w:r>
        <w:rPr>
          <w:rFonts w:hint="eastAsia" w:ascii="宋体" w:hAnsi="宋体" w:cs="宋体"/>
          <w:sz w:val="24"/>
        </w:rPr>
        <w:t>的中国境内生产的组件成本占比≥</w:t>
      </w:r>
      <w:r>
        <w:rPr>
          <w:rFonts w:hint="eastAsia" w:ascii="宋体" w:hAnsi="宋体" w:cs="宋体"/>
          <w:i/>
          <w:iCs/>
          <w:sz w:val="24"/>
          <w:u w:val="single"/>
        </w:rPr>
        <w:t>（规定比例）</w:t>
      </w:r>
      <w:r>
        <w:rPr>
          <w:rFonts w:hint="eastAsia" w:ascii="宋体" w:hAnsi="宋体" w:cs="宋体"/>
          <w:sz w:val="24"/>
        </w:rPr>
        <w:t>。</w:t>
      </w:r>
      <w:r>
        <w:rPr>
          <w:rFonts w:hint="eastAsia" w:ascii="宋体" w:hAnsi="宋体" w:cs="宋体"/>
          <w:i/>
          <w:iCs/>
          <w:sz w:val="24"/>
          <w:u w:val="single"/>
        </w:rPr>
        <w:t>（产品名称2）</w:t>
      </w:r>
      <w:r>
        <w:rPr>
          <w:rFonts w:hint="eastAsia" w:ascii="宋体" w:hAnsi="宋体" w:cs="宋体"/>
          <w:sz w:val="24"/>
        </w:rPr>
        <w:t>的</w:t>
      </w:r>
      <w:r>
        <w:rPr>
          <w:rFonts w:hint="eastAsia" w:ascii="宋体" w:hAnsi="宋体" w:cs="宋体"/>
          <w:i/>
          <w:iCs/>
          <w:sz w:val="24"/>
          <w:u w:val="single"/>
        </w:rPr>
        <w:t>（关键组件）</w:t>
      </w:r>
      <w:r>
        <w:rPr>
          <w:rFonts w:hint="eastAsia" w:ascii="宋体" w:hAnsi="宋体" w:cs="宋体"/>
          <w:sz w:val="24"/>
        </w:rPr>
        <w:t>在中国境内生产。</w:t>
      </w:r>
      <w:r>
        <w:rPr>
          <w:rFonts w:hint="eastAsia" w:ascii="宋体" w:hAnsi="宋体" w:cs="宋体"/>
          <w:i/>
          <w:iCs/>
          <w:sz w:val="24"/>
          <w:u w:val="single"/>
        </w:rPr>
        <w:t>（产品名称2）</w:t>
      </w:r>
      <w:r>
        <w:rPr>
          <w:rFonts w:hint="eastAsia" w:ascii="宋体" w:hAnsi="宋体" w:cs="宋体"/>
          <w:sz w:val="24"/>
        </w:rPr>
        <w:t>的</w:t>
      </w:r>
      <w:r>
        <w:rPr>
          <w:rFonts w:hint="eastAsia" w:ascii="宋体" w:hAnsi="宋体" w:cs="宋体"/>
          <w:i/>
          <w:iCs/>
          <w:sz w:val="24"/>
          <w:u w:val="single"/>
        </w:rPr>
        <w:t>（关键工序）</w:t>
      </w:r>
      <w:r>
        <w:rPr>
          <w:rFonts w:hint="eastAsia" w:ascii="宋体" w:hAnsi="宋体" w:cs="宋体"/>
          <w:sz w:val="24"/>
        </w:rPr>
        <w:t>在中国境内完成。</w:t>
      </w:r>
    </w:p>
    <w:p w14:paraId="3ADE3D3A">
      <w:pPr>
        <w:widowControl/>
        <w:shd w:val="clear" w:color="auto" w:fill="FFFFFF"/>
        <w:spacing w:before="30" w:after="30" w:line="360" w:lineRule="auto"/>
        <w:ind w:firstLine="480"/>
        <w:jc w:val="left"/>
        <w:rPr>
          <w:rFonts w:ascii="宋体" w:hAnsi="宋体" w:cs="宋体"/>
          <w:sz w:val="24"/>
        </w:rPr>
      </w:pPr>
      <w:r>
        <w:rPr>
          <w:rFonts w:hint="eastAsia" w:ascii="宋体" w:hAnsi="宋体" w:cs="宋体"/>
          <w:sz w:val="24"/>
        </w:rPr>
        <w:t>……</w:t>
      </w:r>
    </w:p>
    <w:p w14:paraId="0ECBC483">
      <w:pPr>
        <w:widowControl/>
        <w:shd w:val="clear" w:color="auto" w:fill="FFFFFF"/>
        <w:spacing w:before="30" w:after="30"/>
        <w:ind w:firstLine="480"/>
        <w:jc w:val="left"/>
        <w:rPr>
          <w:rFonts w:ascii="宋体" w:hAnsi="宋体" w:cs="宋体"/>
          <w:sz w:val="24"/>
        </w:rPr>
      </w:pPr>
      <w:r>
        <w:rPr>
          <w:rFonts w:hint="eastAsia" w:ascii="宋体" w:hAnsi="宋体" w:cs="宋体"/>
          <w:sz w:val="24"/>
        </w:rPr>
        <w:t>本公司（单位）对上述声明内容的真实性负责。如有虚假，愿承担相应法律责任。</w:t>
      </w:r>
    </w:p>
    <w:p w14:paraId="217C52DA">
      <w:pPr>
        <w:widowControl/>
        <w:shd w:val="clear" w:color="auto" w:fill="FFFFFF"/>
        <w:spacing w:before="30" w:after="30"/>
        <w:jc w:val="left"/>
        <w:rPr>
          <w:rFonts w:ascii="宋体" w:hAnsi="宋体" w:cs="宋体"/>
          <w:sz w:val="24"/>
        </w:rPr>
      </w:pPr>
      <w:r>
        <w:rPr>
          <w:rFonts w:hint="eastAsia" w:ascii="宋体" w:hAnsi="宋体" w:cs="宋体"/>
          <w:sz w:val="24"/>
        </w:rPr>
        <w:t> </w:t>
      </w:r>
    </w:p>
    <w:p w14:paraId="7F45C2D3">
      <w:pPr>
        <w:widowControl/>
        <w:shd w:val="clear" w:color="auto" w:fill="FFFFFF"/>
        <w:spacing w:before="30" w:after="30"/>
        <w:jc w:val="right"/>
        <w:rPr>
          <w:rFonts w:ascii="宋体" w:hAnsi="宋体" w:cs="宋体"/>
          <w:sz w:val="24"/>
        </w:rPr>
      </w:pPr>
      <w:r>
        <w:rPr>
          <w:rFonts w:hint="eastAsia" w:ascii="宋体" w:hAnsi="宋体" w:cs="宋体"/>
          <w:sz w:val="24"/>
        </w:rPr>
        <w:t>公司（单位）名称（盖章）：　        </w:t>
      </w:r>
    </w:p>
    <w:p w14:paraId="4A6687B8">
      <w:pPr>
        <w:widowControl/>
        <w:shd w:val="clear" w:color="auto" w:fill="FFFFFF"/>
        <w:jc w:val="right"/>
        <w:rPr>
          <w:rFonts w:ascii="宋体" w:hAnsi="宋体" w:cs="宋体"/>
          <w:sz w:val="24"/>
        </w:rPr>
      </w:pPr>
      <w:r>
        <w:rPr>
          <w:rFonts w:hint="eastAsia" w:ascii="宋体" w:hAnsi="宋体" w:cs="宋体"/>
          <w:sz w:val="24"/>
        </w:rPr>
        <w:t>日期：　     年　  月　  日         </w:t>
      </w:r>
    </w:p>
    <w:p w14:paraId="060F9309">
      <w:pPr>
        <w:widowControl/>
        <w:shd w:val="clear" w:color="auto" w:fill="FFFFFF"/>
        <w:spacing w:before="30" w:after="30"/>
        <w:jc w:val="left"/>
        <w:rPr>
          <w:rFonts w:ascii="宋体" w:hAnsi="宋体" w:cs="宋体"/>
          <w:sz w:val="24"/>
        </w:rPr>
      </w:pPr>
      <w:r>
        <w:rPr>
          <w:rFonts w:hint="eastAsia" w:ascii="宋体" w:hAnsi="宋体" w:cs="宋体"/>
          <w:sz w:val="24"/>
        </w:rPr>
        <w:t>__________________</w:t>
      </w:r>
    </w:p>
    <w:p w14:paraId="323327EB">
      <w:pPr>
        <w:widowControl/>
        <w:shd w:val="clear" w:color="auto" w:fill="FFFFFF"/>
        <w:ind w:firstLine="480"/>
        <w:jc w:val="left"/>
        <w:rPr>
          <w:rFonts w:ascii="宋体" w:hAnsi="宋体" w:cs="宋体"/>
          <w:szCs w:val="21"/>
        </w:rPr>
      </w:pPr>
      <w:r>
        <w:rPr>
          <w:rFonts w:hint="eastAsia" w:ascii="宋体" w:hAnsi="宋体" w:cs="宋体"/>
          <w:szCs w:val="21"/>
        </w:rPr>
        <w:t>1.产品如有型号，请在“产品名称”栏一并填写。</w:t>
      </w:r>
    </w:p>
    <w:p w14:paraId="02BE150C">
      <w:pPr>
        <w:widowControl/>
        <w:shd w:val="clear" w:color="auto" w:fill="FFFFFF"/>
        <w:ind w:firstLine="480"/>
        <w:jc w:val="left"/>
        <w:rPr>
          <w:rFonts w:ascii="宋体" w:hAnsi="宋体" w:cs="宋体"/>
          <w:szCs w:val="21"/>
        </w:rPr>
      </w:pPr>
      <w:r>
        <w:rPr>
          <w:rFonts w:hint="eastAsia" w:ascii="宋体" w:hAnsi="宋体" w:cs="宋体"/>
          <w:szCs w:val="21"/>
        </w:rPr>
        <w:t>2.生产厂名与厂址应与生产厂营业执照载明的相关信息保持一致。</w:t>
      </w:r>
    </w:p>
    <w:p w14:paraId="0C5D7D11">
      <w:pPr>
        <w:widowControl/>
        <w:shd w:val="clear" w:color="auto" w:fill="FFFFFF"/>
        <w:ind w:firstLine="480"/>
        <w:jc w:val="left"/>
        <w:rPr>
          <w:rFonts w:ascii="宋体" w:hAnsi="宋体" w:cs="宋体"/>
          <w:szCs w:val="21"/>
        </w:rPr>
      </w:pPr>
      <w:r>
        <w:rPr>
          <w:rFonts w:hint="eastAsia" w:ascii="宋体" w:hAnsi="宋体" w:cs="宋体"/>
          <w:szCs w:val="21"/>
        </w:rPr>
        <w:t>3.该产品的中国境内生产的组件成本占比相关要求实施前，“规定比例”栏可不填，下同。</w:t>
      </w:r>
    </w:p>
    <w:p w14:paraId="3157ACB6">
      <w:pPr>
        <w:widowControl/>
        <w:shd w:val="clear" w:color="auto" w:fill="FFFFFF"/>
        <w:ind w:firstLine="480"/>
        <w:jc w:val="left"/>
        <w:rPr>
          <w:rFonts w:ascii="宋体" w:hAnsi="宋体" w:cs="宋体"/>
          <w:szCs w:val="21"/>
        </w:rPr>
      </w:pPr>
      <w:r>
        <w:rPr>
          <w:rFonts w:hint="eastAsia" w:ascii="宋体" w:hAnsi="宋体" w:cs="宋体"/>
          <w:szCs w:val="21"/>
        </w:rPr>
        <w:t>4.该产品的关键组件要求实施前，“关键组件”栏可不填，下同。</w:t>
      </w:r>
    </w:p>
    <w:p w14:paraId="7C142913">
      <w:pPr>
        <w:widowControl/>
        <w:shd w:val="clear" w:color="auto" w:fill="FFFFFF"/>
        <w:ind w:firstLine="480"/>
        <w:jc w:val="left"/>
        <w:rPr>
          <w:rFonts w:ascii="宋体" w:hAnsi="宋体" w:cs="宋体"/>
          <w:szCs w:val="21"/>
        </w:rPr>
      </w:pPr>
      <w:r>
        <w:rPr>
          <w:rFonts w:hint="eastAsia" w:ascii="宋体" w:hAnsi="宋体" w:cs="宋体"/>
          <w:szCs w:val="21"/>
        </w:rPr>
        <w:t>5.该产品的关键工序要求实施前，“关键工序”栏可不填，下同。</w:t>
      </w:r>
    </w:p>
    <w:p w14:paraId="21636622">
      <w:pPr>
        <w:spacing w:line="360" w:lineRule="auto"/>
        <w:ind w:right="420"/>
        <w:contextualSpacing/>
        <w:jc w:val="left"/>
        <w:rPr>
          <w:rFonts w:ascii="宋体" w:hAnsi="宋体"/>
          <w:b/>
          <w:sz w:val="32"/>
          <w:szCs w:val="32"/>
        </w:rPr>
      </w:pPr>
    </w:p>
    <w:p w14:paraId="3235DEB9">
      <w:pPr>
        <w:pStyle w:val="4"/>
        <w:keepNext w:val="0"/>
        <w:keepLines w:val="0"/>
        <w:jc w:val="left"/>
        <w:rPr>
          <w:sz w:val="30"/>
          <w:szCs w:val="30"/>
          <w:highlight w:val="none"/>
        </w:rPr>
      </w:pPr>
      <w:r>
        <w:rPr>
          <w:sz w:val="24"/>
          <w:szCs w:val="24"/>
          <w:highlight w:val="none"/>
        </w:rPr>
        <w:br w:type="page"/>
      </w:r>
      <w:bookmarkStart w:id="14" w:name="_Toc119076885"/>
      <w:bookmarkStart w:id="15" w:name="_Toc119076887"/>
      <w:r>
        <w:rPr>
          <w:rFonts w:hint="eastAsia" w:ascii="宋体" w:hAnsi="宋体"/>
          <w:b w:val="0"/>
          <w:bCs w:val="0"/>
          <w:sz w:val="30"/>
          <w:szCs w:val="30"/>
          <w:highlight w:val="none"/>
        </w:rPr>
        <w:t>二、</w:t>
      </w:r>
      <w:r>
        <w:rPr>
          <w:rFonts w:hint="eastAsia" w:ascii="宋体" w:hAnsi="宋体"/>
          <w:b w:val="0"/>
          <w:sz w:val="30"/>
          <w:szCs w:val="30"/>
          <w:highlight w:val="none"/>
        </w:rPr>
        <w:t>报价商务技术文件格式</w:t>
      </w:r>
    </w:p>
    <w:p w14:paraId="7220215B">
      <w:pPr>
        <w:snapToGrid w:val="0"/>
        <w:spacing w:before="156" w:beforeLines="50" w:after="50" w:line="360" w:lineRule="auto"/>
        <w:jc w:val="left"/>
        <w:rPr>
          <w:rFonts w:ascii="宋体" w:hAnsi="宋体"/>
          <w:b/>
          <w:sz w:val="32"/>
          <w:szCs w:val="32"/>
          <w:highlight w:val="none"/>
        </w:rPr>
      </w:pPr>
      <w:r>
        <w:rPr>
          <w:rFonts w:hint="eastAsia" w:ascii="宋体" w:hAnsi="宋体"/>
          <w:b/>
          <w:sz w:val="32"/>
          <w:szCs w:val="32"/>
          <w:highlight w:val="none"/>
        </w:rPr>
        <w:t>1.报价商务技术文件封面格式</w:t>
      </w:r>
    </w:p>
    <w:p w14:paraId="549584C0">
      <w:pPr>
        <w:snapToGrid w:val="0"/>
        <w:spacing w:before="156" w:beforeLines="50" w:after="50"/>
        <w:rPr>
          <w:rFonts w:ascii="宋体" w:hAnsi="宋体"/>
          <w:sz w:val="24"/>
          <w:highlight w:val="none"/>
        </w:rPr>
      </w:pPr>
      <w:r>
        <w:rPr>
          <w:rFonts w:hint="eastAsia" w:ascii="宋体" w:hAnsi="宋体"/>
          <w:sz w:val="24"/>
          <w:highlight w:val="none"/>
        </w:rPr>
        <w:t xml:space="preserve">                                                   </w:t>
      </w:r>
    </w:p>
    <w:p w14:paraId="05F17325">
      <w:pPr>
        <w:snapToGrid w:val="0"/>
        <w:spacing w:before="156" w:beforeLines="50" w:after="50"/>
        <w:rPr>
          <w:rFonts w:ascii="宋体" w:hAnsi="宋体"/>
          <w:sz w:val="24"/>
          <w:szCs w:val="20"/>
          <w:highlight w:val="none"/>
        </w:rPr>
      </w:pPr>
    </w:p>
    <w:p w14:paraId="0317A8E0">
      <w:pPr>
        <w:spacing w:line="360" w:lineRule="auto"/>
        <w:jc w:val="center"/>
        <w:outlineLvl w:val="0"/>
        <w:rPr>
          <w:rFonts w:ascii="宋体"/>
          <w:sz w:val="52"/>
          <w:szCs w:val="52"/>
          <w:highlight w:val="none"/>
        </w:rPr>
      </w:pPr>
      <w:r>
        <w:rPr>
          <w:rFonts w:hint="eastAsia" w:ascii="方正小标宋简体" w:hAnsi="方正小标宋简体" w:eastAsia="方正小标宋简体" w:cs="方正小标宋简体"/>
          <w:bCs/>
          <w:sz w:val="52"/>
          <w:szCs w:val="52"/>
          <w:highlight w:val="none"/>
        </w:rPr>
        <w:t>响  应  文  件</w:t>
      </w:r>
    </w:p>
    <w:p w14:paraId="4C574C8D">
      <w:pPr>
        <w:snapToGrid w:val="0"/>
        <w:spacing w:before="156" w:beforeLines="50" w:after="50"/>
        <w:rPr>
          <w:rFonts w:ascii="宋体" w:hAnsi="宋体"/>
          <w:sz w:val="24"/>
          <w:szCs w:val="20"/>
          <w:highlight w:val="none"/>
        </w:rPr>
      </w:pPr>
    </w:p>
    <w:p w14:paraId="217AA10B">
      <w:pPr>
        <w:snapToGrid w:val="0"/>
        <w:spacing w:before="156" w:beforeLines="50" w:after="50"/>
        <w:jc w:val="center"/>
        <w:rPr>
          <w:rFonts w:ascii="方正小标宋简体" w:hAnsi="方正小标宋简体" w:eastAsia="方正小标宋简体" w:cs="方正小标宋简体"/>
          <w:bCs/>
          <w:sz w:val="32"/>
          <w:szCs w:val="32"/>
          <w:highlight w:val="none"/>
        </w:rPr>
      </w:pPr>
      <w:r>
        <w:rPr>
          <w:rFonts w:hint="eastAsia" w:ascii="方正小标宋简体" w:hAnsi="方正小标宋简体" w:eastAsia="方正小标宋简体" w:cs="方正小标宋简体"/>
          <w:bCs/>
          <w:sz w:val="32"/>
          <w:szCs w:val="32"/>
          <w:highlight w:val="none"/>
        </w:rPr>
        <w:t>报价商务技术文件</w:t>
      </w:r>
    </w:p>
    <w:p w14:paraId="6D45CE92">
      <w:pPr>
        <w:snapToGrid w:val="0"/>
        <w:spacing w:before="156" w:beforeLines="50" w:after="50"/>
        <w:rPr>
          <w:rFonts w:ascii="宋体" w:hAnsi="宋体"/>
          <w:bCs/>
          <w:sz w:val="24"/>
          <w:szCs w:val="20"/>
          <w:highlight w:val="none"/>
        </w:rPr>
      </w:pPr>
    </w:p>
    <w:p w14:paraId="7C140697">
      <w:pPr>
        <w:snapToGrid w:val="0"/>
        <w:spacing w:before="156" w:beforeLines="50" w:after="50"/>
        <w:rPr>
          <w:rFonts w:ascii="宋体" w:hAnsi="宋体"/>
          <w:bCs/>
          <w:sz w:val="24"/>
          <w:szCs w:val="20"/>
          <w:highlight w:val="none"/>
        </w:rPr>
      </w:pPr>
    </w:p>
    <w:p w14:paraId="7EB36B80">
      <w:pPr>
        <w:spacing w:line="360" w:lineRule="auto"/>
        <w:ind w:firstLine="548" w:firstLineChars="196"/>
        <w:outlineLvl w:val="0"/>
        <w:rPr>
          <w:rFonts w:ascii="宋体"/>
          <w:sz w:val="28"/>
          <w:szCs w:val="28"/>
          <w:highlight w:val="none"/>
        </w:rPr>
      </w:pPr>
    </w:p>
    <w:p w14:paraId="32F7FCC9">
      <w:pPr>
        <w:spacing w:line="360" w:lineRule="auto"/>
        <w:ind w:firstLine="548" w:firstLineChars="196"/>
        <w:outlineLvl w:val="0"/>
        <w:rPr>
          <w:rFonts w:ascii="宋体"/>
          <w:sz w:val="28"/>
          <w:szCs w:val="28"/>
          <w:highlight w:val="none"/>
        </w:rPr>
      </w:pPr>
      <w:r>
        <w:rPr>
          <w:rFonts w:hint="eastAsia" w:ascii="宋体"/>
          <w:sz w:val="28"/>
          <w:szCs w:val="28"/>
          <w:highlight w:val="none"/>
        </w:rPr>
        <w:t>项目名称：</w:t>
      </w:r>
    </w:p>
    <w:p w14:paraId="5C7A90ED">
      <w:pPr>
        <w:spacing w:line="360" w:lineRule="auto"/>
        <w:ind w:firstLine="548" w:firstLineChars="196"/>
        <w:outlineLvl w:val="0"/>
        <w:rPr>
          <w:rFonts w:ascii="宋体"/>
          <w:sz w:val="28"/>
          <w:szCs w:val="28"/>
          <w:highlight w:val="none"/>
        </w:rPr>
      </w:pPr>
      <w:r>
        <w:rPr>
          <w:rFonts w:hint="eastAsia" w:ascii="宋体"/>
          <w:sz w:val="28"/>
          <w:szCs w:val="28"/>
          <w:highlight w:val="none"/>
        </w:rPr>
        <w:t>项目编号：</w:t>
      </w:r>
    </w:p>
    <w:p w14:paraId="62123B60">
      <w:pPr>
        <w:spacing w:line="360" w:lineRule="auto"/>
        <w:ind w:firstLine="548" w:firstLineChars="196"/>
        <w:outlineLvl w:val="0"/>
        <w:rPr>
          <w:rFonts w:ascii="宋体"/>
          <w:sz w:val="28"/>
          <w:szCs w:val="28"/>
          <w:highlight w:val="none"/>
        </w:rPr>
      </w:pPr>
      <w:r>
        <w:rPr>
          <w:rFonts w:hint="eastAsia" w:ascii="宋体"/>
          <w:sz w:val="28"/>
          <w:szCs w:val="28"/>
          <w:highlight w:val="none"/>
        </w:rPr>
        <w:t>供应商名称：</w:t>
      </w:r>
    </w:p>
    <w:p w14:paraId="5A30BF6E">
      <w:pPr>
        <w:pStyle w:val="11"/>
        <w:rPr>
          <w:highlight w:val="none"/>
        </w:rPr>
      </w:pPr>
    </w:p>
    <w:p w14:paraId="0B6438FB">
      <w:pPr>
        <w:rPr>
          <w:highlight w:val="none"/>
        </w:rPr>
      </w:pPr>
    </w:p>
    <w:p w14:paraId="1A16CD9C">
      <w:pPr>
        <w:spacing w:line="360" w:lineRule="auto"/>
        <w:ind w:firstLine="4188" w:firstLineChars="1496"/>
        <w:outlineLvl w:val="0"/>
        <w:rPr>
          <w:rFonts w:ascii="宋体"/>
          <w:szCs w:val="21"/>
          <w:highlight w:val="none"/>
        </w:rPr>
      </w:pPr>
      <w:r>
        <w:rPr>
          <w:rFonts w:hint="eastAsia" w:ascii="宋体"/>
          <w:sz w:val="28"/>
          <w:szCs w:val="28"/>
          <w:highlight w:val="none"/>
        </w:rPr>
        <w:t>年   月   日</w:t>
      </w:r>
    </w:p>
    <w:p w14:paraId="07BE568D">
      <w:pPr>
        <w:pStyle w:val="11"/>
        <w:rPr>
          <w:highlight w:val="none"/>
        </w:rPr>
      </w:pPr>
    </w:p>
    <w:p w14:paraId="6BFAAFCC">
      <w:pPr>
        <w:rPr>
          <w:highlight w:val="none"/>
        </w:rPr>
      </w:pPr>
    </w:p>
    <w:p w14:paraId="715B0801">
      <w:pPr>
        <w:pStyle w:val="11"/>
        <w:rPr>
          <w:highlight w:val="none"/>
        </w:rPr>
      </w:pPr>
    </w:p>
    <w:p w14:paraId="7A1E959B">
      <w:pPr>
        <w:rPr>
          <w:highlight w:val="none"/>
        </w:rPr>
      </w:pPr>
    </w:p>
    <w:p w14:paraId="10DA4329">
      <w:pPr>
        <w:rPr>
          <w:highlight w:val="none"/>
        </w:rPr>
      </w:pPr>
    </w:p>
    <w:p w14:paraId="0DD917A4">
      <w:pPr>
        <w:rPr>
          <w:highlight w:val="none"/>
        </w:rPr>
      </w:pPr>
    </w:p>
    <w:p w14:paraId="3DC2B58F">
      <w:pPr>
        <w:rPr>
          <w:highlight w:val="none"/>
        </w:rPr>
      </w:pPr>
    </w:p>
    <w:p w14:paraId="21FC8B9C">
      <w:pPr>
        <w:rPr>
          <w:highlight w:val="none"/>
        </w:rPr>
      </w:pPr>
    </w:p>
    <w:p w14:paraId="5829B6CB">
      <w:pPr>
        <w:rPr>
          <w:highlight w:val="none"/>
        </w:rPr>
      </w:pPr>
    </w:p>
    <w:p w14:paraId="2101D27C">
      <w:pPr>
        <w:rPr>
          <w:highlight w:val="none"/>
        </w:rPr>
      </w:pPr>
    </w:p>
    <w:p w14:paraId="1AD586BE">
      <w:pPr>
        <w:rPr>
          <w:highlight w:val="none"/>
        </w:rPr>
      </w:pPr>
    </w:p>
    <w:p w14:paraId="0D95559B">
      <w:pPr>
        <w:rPr>
          <w:highlight w:val="none"/>
        </w:rPr>
      </w:pPr>
    </w:p>
    <w:p w14:paraId="526AADD2">
      <w:pPr>
        <w:rPr>
          <w:highlight w:val="none"/>
        </w:rPr>
      </w:pPr>
    </w:p>
    <w:p w14:paraId="2C34B7F9">
      <w:pPr>
        <w:rPr>
          <w:highlight w:val="none"/>
        </w:rPr>
      </w:pPr>
    </w:p>
    <w:p w14:paraId="637EAC66">
      <w:pPr>
        <w:rPr>
          <w:highlight w:val="none"/>
        </w:rPr>
      </w:pPr>
    </w:p>
    <w:p w14:paraId="1811C959">
      <w:pPr>
        <w:rPr>
          <w:highlight w:val="none"/>
        </w:rPr>
      </w:pPr>
    </w:p>
    <w:p w14:paraId="3CB5C53C">
      <w:pPr>
        <w:rPr>
          <w:highlight w:val="none"/>
        </w:rPr>
      </w:pPr>
    </w:p>
    <w:p w14:paraId="3BA08C49">
      <w:pPr>
        <w:rPr>
          <w:highlight w:val="none"/>
        </w:rPr>
      </w:pPr>
    </w:p>
    <w:p w14:paraId="01BF9324">
      <w:pPr>
        <w:rPr>
          <w:highlight w:val="none"/>
        </w:rPr>
      </w:pPr>
    </w:p>
    <w:p w14:paraId="11ADAECC">
      <w:pPr>
        <w:pStyle w:val="11"/>
        <w:rPr>
          <w:highlight w:val="none"/>
        </w:rPr>
      </w:pPr>
    </w:p>
    <w:p w14:paraId="289375A8">
      <w:pPr>
        <w:pStyle w:val="4"/>
        <w:keepNext w:val="0"/>
        <w:keepLines w:val="0"/>
        <w:jc w:val="left"/>
        <w:rPr>
          <w:sz w:val="24"/>
          <w:highlight w:val="none"/>
        </w:rPr>
      </w:pPr>
      <w:r>
        <w:rPr>
          <w:rFonts w:hint="eastAsia"/>
          <w:b w:val="0"/>
          <w:highlight w:val="none"/>
        </w:rPr>
        <w:t>2</w:t>
      </w:r>
      <w:r>
        <w:rPr>
          <w:b w:val="0"/>
          <w:highlight w:val="none"/>
        </w:rPr>
        <w:t>、</w:t>
      </w:r>
      <w:bookmarkEnd w:id="14"/>
      <w:r>
        <w:rPr>
          <w:rFonts w:hint="eastAsia"/>
          <w:highlight w:val="none"/>
        </w:rPr>
        <w:t>报价商务技术文件目录</w:t>
      </w:r>
    </w:p>
    <w:p w14:paraId="488DCC54">
      <w:pPr>
        <w:pStyle w:val="4"/>
        <w:jc w:val="left"/>
        <w:rPr>
          <w:b w:val="0"/>
          <w:sz w:val="24"/>
          <w:szCs w:val="24"/>
          <w:highlight w:val="none"/>
        </w:rPr>
      </w:pPr>
      <w:r>
        <w:rPr>
          <w:rFonts w:hint="eastAsia"/>
          <w:b w:val="0"/>
          <w:sz w:val="24"/>
          <w:szCs w:val="24"/>
          <w:highlight w:val="none"/>
        </w:rPr>
        <w:t>根据竞争性谈判文件规定及供应商提供的材料自行编写目录（部分格式后附）。</w:t>
      </w:r>
    </w:p>
    <w:p w14:paraId="270043AE">
      <w:pPr>
        <w:pStyle w:val="11"/>
        <w:jc w:val="center"/>
        <w:rPr>
          <w:highlight w:val="none"/>
        </w:rPr>
      </w:pPr>
      <w:r>
        <w:rPr>
          <w:highlight w:val="none"/>
        </w:rPr>
        <w:br w:type="page"/>
      </w:r>
    </w:p>
    <w:p w14:paraId="75112F23">
      <w:pPr>
        <w:pStyle w:val="11"/>
        <w:jc w:val="center"/>
        <w:rPr>
          <w:highlight w:val="none"/>
        </w:rPr>
      </w:pPr>
    </w:p>
    <w:p w14:paraId="5697A5B3">
      <w:pPr>
        <w:pStyle w:val="11"/>
        <w:jc w:val="center"/>
        <w:rPr>
          <w:b/>
          <w:sz w:val="32"/>
          <w:szCs w:val="32"/>
          <w:highlight w:val="none"/>
        </w:rPr>
      </w:pPr>
      <w:r>
        <w:rPr>
          <w:rFonts w:hint="eastAsia"/>
          <w:b/>
          <w:sz w:val="32"/>
          <w:szCs w:val="32"/>
          <w:highlight w:val="none"/>
        </w:rPr>
        <w:t>竞 标 报 价 表</w:t>
      </w:r>
    </w:p>
    <w:p w14:paraId="415FBD0B">
      <w:pPr>
        <w:spacing w:line="500" w:lineRule="exact"/>
        <w:jc w:val="left"/>
        <w:rPr>
          <w:rFonts w:ascii="宋体"/>
          <w:szCs w:val="21"/>
          <w:highlight w:val="none"/>
        </w:rPr>
      </w:pPr>
      <w:r>
        <w:rPr>
          <w:rFonts w:hint="eastAsia" w:ascii="宋体"/>
          <w:szCs w:val="21"/>
          <w:highlight w:val="none"/>
        </w:rPr>
        <w:t>项目名称:</w:t>
      </w:r>
      <w:r>
        <w:rPr>
          <w:rFonts w:hint="eastAsia" w:ascii="宋体" w:hAnsi="宋体" w:cs="仿宋_GB2312"/>
          <w:sz w:val="24"/>
          <w:highlight w:val="none"/>
          <w:u w:val="single"/>
        </w:rPr>
        <w:t xml:space="preserve">               </w:t>
      </w:r>
      <w:r>
        <w:rPr>
          <w:rFonts w:hint="eastAsia" w:ascii="宋体" w:hAnsi="宋体" w:cs="仿宋_GB2312"/>
          <w:sz w:val="24"/>
          <w:highlight w:val="none"/>
        </w:rPr>
        <w:t xml:space="preserve">    </w:t>
      </w:r>
      <w:r>
        <w:rPr>
          <w:rFonts w:hint="eastAsia" w:ascii="宋体"/>
          <w:szCs w:val="21"/>
          <w:highlight w:val="none"/>
        </w:rPr>
        <w:t>项目编号:</w:t>
      </w:r>
      <w:r>
        <w:rPr>
          <w:rFonts w:hint="eastAsia" w:ascii="宋体" w:hAnsi="宋体" w:cs="仿宋_GB2312"/>
          <w:sz w:val="24"/>
          <w:highlight w:val="none"/>
          <w:u w:val="single"/>
        </w:rPr>
        <w:t xml:space="preserve">               </w:t>
      </w:r>
      <w:r>
        <w:rPr>
          <w:rFonts w:hint="eastAsia" w:ascii="宋体" w:hAnsi="宋体" w:cs="仿宋_GB2312"/>
          <w:sz w:val="24"/>
          <w:highlight w:val="none"/>
        </w:rPr>
        <w:t xml:space="preserve">   </w:t>
      </w:r>
    </w:p>
    <w:tbl>
      <w:tblPr>
        <w:tblStyle w:val="19"/>
        <w:tblW w:w="90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5"/>
        <w:gridCol w:w="1001"/>
        <w:gridCol w:w="945"/>
        <w:gridCol w:w="1924"/>
        <w:gridCol w:w="1788"/>
        <w:gridCol w:w="825"/>
        <w:gridCol w:w="1250"/>
        <w:gridCol w:w="787"/>
      </w:tblGrid>
      <w:tr w14:paraId="60536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3" w:hRule="atLeast"/>
          <w:jc w:val="center"/>
        </w:trPr>
        <w:tc>
          <w:tcPr>
            <w:tcW w:w="565" w:type="dxa"/>
            <w:vAlign w:val="center"/>
          </w:tcPr>
          <w:p w14:paraId="7BA41AFD">
            <w:pPr>
              <w:pStyle w:val="10"/>
              <w:jc w:val="center"/>
              <w:rPr>
                <w:szCs w:val="21"/>
                <w:highlight w:val="none"/>
              </w:rPr>
            </w:pPr>
            <w:r>
              <w:rPr>
                <w:rFonts w:hint="eastAsia"/>
                <w:szCs w:val="21"/>
                <w:highlight w:val="none"/>
              </w:rPr>
              <w:t>项号</w:t>
            </w:r>
          </w:p>
        </w:tc>
        <w:tc>
          <w:tcPr>
            <w:tcW w:w="1001" w:type="dxa"/>
            <w:vAlign w:val="center"/>
          </w:tcPr>
          <w:p w14:paraId="1F43A1AC">
            <w:pPr>
              <w:pStyle w:val="10"/>
              <w:jc w:val="center"/>
              <w:rPr>
                <w:szCs w:val="21"/>
                <w:highlight w:val="none"/>
              </w:rPr>
            </w:pPr>
            <w:r>
              <w:rPr>
                <w:rFonts w:hint="eastAsia" w:ascii="Times New Roman" w:cs="宋体"/>
                <w:kern w:val="0"/>
                <w:szCs w:val="21"/>
                <w:highlight w:val="none"/>
              </w:rPr>
              <w:t>标的</w:t>
            </w:r>
            <w:r>
              <w:rPr>
                <w:rFonts w:hint="eastAsia"/>
                <w:szCs w:val="21"/>
                <w:highlight w:val="none"/>
              </w:rPr>
              <w:t>名称</w:t>
            </w:r>
          </w:p>
        </w:tc>
        <w:tc>
          <w:tcPr>
            <w:tcW w:w="945" w:type="dxa"/>
            <w:vAlign w:val="center"/>
          </w:tcPr>
          <w:p w14:paraId="2CEECE49">
            <w:pPr>
              <w:pStyle w:val="10"/>
              <w:numPr>
                <w:ilvl w:val="0"/>
                <w:numId w:val="0"/>
              </w:numPr>
              <w:ind w:leftChars="0"/>
              <w:jc w:val="both"/>
              <w:rPr>
                <w:szCs w:val="21"/>
                <w:highlight w:val="none"/>
              </w:rPr>
            </w:pPr>
            <w:r>
              <w:rPr>
                <w:rFonts w:hint="eastAsia"/>
                <w:szCs w:val="21"/>
                <w:highlight w:val="none"/>
              </w:rPr>
              <w:t>数量及单位①</w:t>
            </w:r>
          </w:p>
        </w:tc>
        <w:tc>
          <w:tcPr>
            <w:tcW w:w="1924" w:type="dxa"/>
            <w:vAlign w:val="center"/>
          </w:tcPr>
          <w:p w14:paraId="355E35EF">
            <w:pPr>
              <w:pStyle w:val="10"/>
              <w:jc w:val="center"/>
              <w:rPr>
                <w:szCs w:val="21"/>
                <w:highlight w:val="none"/>
              </w:rPr>
            </w:pPr>
            <w:r>
              <w:rPr>
                <w:rFonts w:hint="eastAsia"/>
                <w:szCs w:val="21"/>
                <w:highlight w:val="none"/>
              </w:rPr>
              <w:t>品牌</w:t>
            </w:r>
          </w:p>
        </w:tc>
        <w:tc>
          <w:tcPr>
            <w:tcW w:w="1788" w:type="dxa"/>
            <w:vAlign w:val="center"/>
          </w:tcPr>
          <w:p w14:paraId="39F32393">
            <w:pPr>
              <w:pStyle w:val="10"/>
              <w:jc w:val="center"/>
              <w:rPr>
                <w:szCs w:val="21"/>
                <w:highlight w:val="none"/>
              </w:rPr>
            </w:pPr>
            <w:r>
              <w:rPr>
                <w:rFonts w:hint="eastAsia" w:hAnsi="宋体" w:cs="宋体"/>
                <w:szCs w:val="21"/>
                <w:highlight w:val="none"/>
              </w:rPr>
              <w:t>规格或型号</w:t>
            </w:r>
          </w:p>
        </w:tc>
        <w:tc>
          <w:tcPr>
            <w:tcW w:w="825" w:type="dxa"/>
            <w:vAlign w:val="center"/>
          </w:tcPr>
          <w:p w14:paraId="3E6D3B15">
            <w:pPr>
              <w:pStyle w:val="10"/>
              <w:jc w:val="center"/>
              <w:rPr>
                <w:szCs w:val="21"/>
                <w:highlight w:val="none"/>
              </w:rPr>
            </w:pPr>
            <w:r>
              <w:rPr>
                <w:rFonts w:hint="eastAsia"/>
                <w:szCs w:val="21"/>
                <w:highlight w:val="none"/>
              </w:rPr>
              <w:t>单价</w:t>
            </w:r>
          </w:p>
          <w:p w14:paraId="53D4E635">
            <w:pPr>
              <w:pStyle w:val="10"/>
              <w:jc w:val="center"/>
              <w:rPr>
                <w:szCs w:val="21"/>
                <w:highlight w:val="none"/>
              </w:rPr>
            </w:pPr>
            <w:r>
              <w:rPr>
                <w:rFonts w:hint="eastAsia"/>
                <w:szCs w:val="21"/>
                <w:highlight w:val="none"/>
              </w:rPr>
              <w:t>（元)</w:t>
            </w:r>
          </w:p>
          <w:p w14:paraId="5F5D196E">
            <w:pPr>
              <w:pStyle w:val="10"/>
              <w:jc w:val="center"/>
              <w:rPr>
                <w:szCs w:val="21"/>
                <w:highlight w:val="none"/>
              </w:rPr>
            </w:pPr>
            <w:r>
              <w:rPr>
                <w:rFonts w:hint="eastAsia"/>
                <w:szCs w:val="21"/>
                <w:highlight w:val="none"/>
              </w:rPr>
              <w:t>②</w:t>
            </w:r>
          </w:p>
        </w:tc>
        <w:tc>
          <w:tcPr>
            <w:tcW w:w="1250" w:type="dxa"/>
            <w:vAlign w:val="center"/>
          </w:tcPr>
          <w:p w14:paraId="4BB70841">
            <w:pPr>
              <w:pStyle w:val="10"/>
              <w:jc w:val="center"/>
              <w:rPr>
                <w:szCs w:val="21"/>
                <w:highlight w:val="none"/>
              </w:rPr>
            </w:pPr>
            <w:r>
              <w:rPr>
                <w:rFonts w:hint="eastAsia"/>
                <w:szCs w:val="21"/>
                <w:highlight w:val="none"/>
              </w:rPr>
              <w:t>单项合价（元）</w:t>
            </w:r>
          </w:p>
          <w:p w14:paraId="360DEF40">
            <w:pPr>
              <w:pStyle w:val="10"/>
              <w:jc w:val="center"/>
              <w:rPr>
                <w:szCs w:val="21"/>
                <w:highlight w:val="none"/>
              </w:rPr>
            </w:pPr>
            <w:r>
              <w:rPr>
                <w:rFonts w:hint="eastAsia"/>
                <w:szCs w:val="21"/>
                <w:highlight w:val="none"/>
              </w:rPr>
              <w:t>③=①×②</w:t>
            </w:r>
          </w:p>
        </w:tc>
        <w:tc>
          <w:tcPr>
            <w:tcW w:w="787" w:type="dxa"/>
            <w:vAlign w:val="center"/>
          </w:tcPr>
          <w:p w14:paraId="6DEADDFA">
            <w:pPr>
              <w:pStyle w:val="10"/>
              <w:jc w:val="center"/>
              <w:rPr>
                <w:szCs w:val="21"/>
                <w:highlight w:val="none"/>
              </w:rPr>
            </w:pPr>
            <w:r>
              <w:rPr>
                <w:rFonts w:hint="eastAsia"/>
                <w:szCs w:val="21"/>
                <w:highlight w:val="none"/>
              </w:rPr>
              <w:t>备注</w:t>
            </w:r>
          </w:p>
        </w:tc>
      </w:tr>
      <w:tr w14:paraId="2BBD4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8" w:hRule="atLeast"/>
          <w:jc w:val="center"/>
        </w:trPr>
        <w:tc>
          <w:tcPr>
            <w:tcW w:w="565" w:type="dxa"/>
            <w:vAlign w:val="center"/>
          </w:tcPr>
          <w:p w14:paraId="2EB8FCD3">
            <w:pPr>
              <w:jc w:val="center"/>
              <w:rPr>
                <w:rFonts w:ascii="宋体"/>
                <w:sz w:val="24"/>
                <w:highlight w:val="none"/>
              </w:rPr>
            </w:pPr>
            <w:r>
              <w:rPr>
                <w:rFonts w:hint="eastAsia" w:ascii="宋体"/>
                <w:sz w:val="24"/>
                <w:highlight w:val="none"/>
              </w:rPr>
              <w:t>1</w:t>
            </w:r>
          </w:p>
        </w:tc>
        <w:tc>
          <w:tcPr>
            <w:tcW w:w="1001" w:type="dxa"/>
            <w:vAlign w:val="center"/>
          </w:tcPr>
          <w:p w14:paraId="65C71C44">
            <w:pPr>
              <w:jc w:val="center"/>
              <w:rPr>
                <w:rFonts w:ascii="宋体"/>
                <w:sz w:val="24"/>
                <w:highlight w:val="none"/>
              </w:rPr>
            </w:pPr>
          </w:p>
        </w:tc>
        <w:tc>
          <w:tcPr>
            <w:tcW w:w="945" w:type="dxa"/>
            <w:vAlign w:val="center"/>
          </w:tcPr>
          <w:p w14:paraId="048EA40C">
            <w:pPr>
              <w:jc w:val="center"/>
              <w:rPr>
                <w:rFonts w:ascii="宋体"/>
                <w:sz w:val="24"/>
                <w:highlight w:val="none"/>
              </w:rPr>
            </w:pPr>
          </w:p>
        </w:tc>
        <w:tc>
          <w:tcPr>
            <w:tcW w:w="1924" w:type="dxa"/>
            <w:vAlign w:val="center"/>
          </w:tcPr>
          <w:p w14:paraId="48A5A3F2">
            <w:pPr>
              <w:pStyle w:val="10"/>
              <w:rPr>
                <w:sz w:val="24"/>
                <w:szCs w:val="24"/>
                <w:highlight w:val="none"/>
              </w:rPr>
            </w:pPr>
          </w:p>
        </w:tc>
        <w:tc>
          <w:tcPr>
            <w:tcW w:w="1788" w:type="dxa"/>
            <w:vAlign w:val="center"/>
          </w:tcPr>
          <w:p w14:paraId="3900C3C0">
            <w:pPr>
              <w:pStyle w:val="10"/>
              <w:rPr>
                <w:sz w:val="24"/>
                <w:szCs w:val="24"/>
                <w:highlight w:val="none"/>
              </w:rPr>
            </w:pPr>
          </w:p>
        </w:tc>
        <w:tc>
          <w:tcPr>
            <w:tcW w:w="825" w:type="dxa"/>
            <w:vAlign w:val="center"/>
          </w:tcPr>
          <w:p w14:paraId="05964322">
            <w:pPr>
              <w:pStyle w:val="10"/>
              <w:rPr>
                <w:sz w:val="24"/>
                <w:szCs w:val="24"/>
                <w:highlight w:val="none"/>
              </w:rPr>
            </w:pPr>
          </w:p>
        </w:tc>
        <w:tc>
          <w:tcPr>
            <w:tcW w:w="1250" w:type="dxa"/>
            <w:vAlign w:val="center"/>
          </w:tcPr>
          <w:p w14:paraId="07096252">
            <w:pPr>
              <w:pStyle w:val="10"/>
              <w:rPr>
                <w:sz w:val="24"/>
                <w:szCs w:val="24"/>
                <w:highlight w:val="none"/>
              </w:rPr>
            </w:pPr>
          </w:p>
        </w:tc>
        <w:tc>
          <w:tcPr>
            <w:tcW w:w="787" w:type="dxa"/>
            <w:vAlign w:val="center"/>
          </w:tcPr>
          <w:p w14:paraId="7FFB5B45">
            <w:pPr>
              <w:pStyle w:val="10"/>
              <w:rPr>
                <w:sz w:val="24"/>
                <w:szCs w:val="24"/>
                <w:highlight w:val="none"/>
              </w:rPr>
            </w:pPr>
          </w:p>
        </w:tc>
      </w:tr>
      <w:tr w14:paraId="49CFA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8" w:hRule="atLeast"/>
          <w:jc w:val="center"/>
        </w:trPr>
        <w:tc>
          <w:tcPr>
            <w:tcW w:w="565" w:type="dxa"/>
            <w:vAlign w:val="center"/>
          </w:tcPr>
          <w:p w14:paraId="7A675BBA">
            <w:pPr>
              <w:jc w:val="center"/>
              <w:rPr>
                <w:rFonts w:ascii="宋体"/>
                <w:sz w:val="24"/>
                <w:highlight w:val="none"/>
              </w:rPr>
            </w:pPr>
            <w:r>
              <w:rPr>
                <w:rFonts w:hint="eastAsia" w:ascii="宋体"/>
                <w:sz w:val="24"/>
                <w:highlight w:val="none"/>
              </w:rPr>
              <w:t>2</w:t>
            </w:r>
          </w:p>
        </w:tc>
        <w:tc>
          <w:tcPr>
            <w:tcW w:w="1001" w:type="dxa"/>
            <w:vAlign w:val="center"/>
          </w:tcPr>
          <w:p w14:paraId="4A2B53D1">
            <w:pPr>
              <w:jc w:val="center"/>
              <w:rPr>
                <w:rFonts w:ascii="宋体"/>
                <w:sz w:val="24"/>
                <w:highlight w:val="none"/>
              </w:rPr>
            </w:pPr>
          </w:p>
        </w:tc>
        <w:tc>
          <w:tcPr>
            <w:tcW w:w="945" w:type="dxa"/>
            <w:vAlign w:val="center"/>
          </w:tcPr>
          <w:p w14:paraId="544F2812">
            <w:pPr>
              <w:jc w:val="center"/>
              <w:rPr>
                <w:rFonts w:ascii="宋体"/>
                <w:sz w:val="24"/>
                <w:highlight w:val="none"/>
              </w:rPr>
            </w:pPr>
          </w:p>
        </w:tc>
        <w:tc>
          <w:tcPr>
            <w:tcW w:w="1924" w:type="dxa"/>
            <w:vAlign w:val="center"/>
          </w:tcPr>
          <w:p w14:paraId="4A1D1D16">
            <w:pPr>
              <w:pStyle w:val="10"/>
              <w:rPr>
                <w:sz w:val="24"/>
                <w:szCs w:val="24"/>
                <w:highlight w:val="none"/>
              </w:rPr>
            </w:pPr>
          </w:p>
        </w:tc>
        <w:tc>
          <w:tcPr>
            <w:tcW w:w="1788" w:type="dxa"/>
            <w:vAlign w:val="center"/>
          </w:tcPr>
          <w:p w14:paraId="60DE627D">
            <w:pPr>
              <w:pStyle w:val="10"/>
              <w:rPr>
                <w:sz w:val="24"/>
                <w:szCs w:val="24"/>
                <w:highlight w:val="none"/>
              </w:rPr>
            </w:pPr>
          </w:p>
        </w:tc>
        <w:tc>
          <w:tcPr>
            <w:tcW w:w="825" w:type="dxa"/>
            <w:vAlign w:val="center"/>
          </w:tcPr>
          <w:p w14:paraId="6D7F9729">
            <w:pPr>
              <w:pStyle w:val="10"/>
              <w:rPr>
                <w:sz w:val="24"/>
                <w:szCs w:val="24"/>
                <w:highlight w:val="none"/>
              </w:rPr>
            </w:pPr>
          </w:p>
        </w:tc>
        <w:tc>
          <w:tcPr>
            <w:tcW w:w="1250" w:type="dxa"/>
            <w:vAlign w:val="center"/>
          </w:tcPr>
          <w:p w14:paraId="5E20403C">
            <w:pPr>
              <w:pStyle w:val="10"/>
              <w:rPr>
                <w:sz w:val="24"/>
                <w:szCs w:val="24"/>
                <w:highlight w:val="none"/>
              </w:rPr>
            </w:pPr>
          </w:p>
        </w:tc>
        <w:tc>
          <w:tcPr>
            <w:tcW w:w="787" w:type="dxa"/>
            <w:vAlign w:val="center"/>
          </w:tcPr>
          <w:p w14:paraId="016BB680">
            <w:pPr>
              <w:pStyle w:val="10"/>
              <w:rPr>
                <w:sz w:val="24"/>
                <w:szCs w:val="24"/>
                <w:highlight w:val="none"/>
              </w:rPr>
            </w:pPr>
          </w:p>
        </w:tc>
      </w:tr>
      <w:tr w14:paraId="0DD7B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8" w:hRule="atLeast"/>
          <w:jc w:val="center"/>
        </w:trPr>
        <w:tc>
          <w:tcPr>
            <w:tcW w:w="565" w:type="dxa"/>
            <w:vAlign w:val="center"/>
          </w:tcPr>
          <w:p w14:paraId="791F9959">
            <w:pPr>
              <w:jc w:val="center"/>
              <w:rPr>
                <w:rFonts w:ascii="宋体"/>
                <w:sz w:val="24"/>
                <w:highlight w:val="none"/>
              </w:rPr>
            </w:pPr>
            <w:r>
              <w:rPr>
                <w:rFonts w:hint="eastAsia" w:ascii="宋体"/>
                <w:sz w:val="24"/>
                <w:highlight w:val="none"/>
              </w:rPr>
              <w:t>…</w:t>
            </w:r>
          </w:p>
        </w:tc>
        <w:tc>
          <w:tcPr>
            <w:tcW w:w="1001" w:type="dxa"/>
            <w:vAlign w:val="center"/>
          </w:tcPr>
          <w:p w14:paraId="1E532040">
            <w:pPr>
              <w:jc w:val="center"/>
              <w:rPr>
                <w:rFonts w:ascii="宋体"/>
                <w:sz w:val="24"/>
                <w:highlight w:val="none"/>
              </w:rPr>
            </w:pPr>
          </w:p>
        </w:tc>
        <w:tc>
          <w:tcPr>
            <w:tcW w:w="945" w:type="dxa"/>
            <w:vAlign w:val="center"/>
          </w:tcPr>
          <w:p w14:paraId="37E37AD8">
            <w:pPr>
              <w:jc w:val="center"/>
              <w:rPr>
                <w:rFonts w:ascii="宋体"/>
                <w:sz w:val="24"/>
                <w:highlight w:val="none"/>
              </w:rPr>
            </w:pPr>
          </w:p>
        </w:tc>
        <w:tc>
          <w:tcPr>
            <w:tcW w:w="1924" w:type="dxa"/>
            <w:vAlign w:val="center"/>
          </w:tcPr>
          <w:p w14:paraId="2572CAF4">
            <w:pPr>
              <w:pStyle w:val="10"/>
              <w:rPr>
                <w:sz w:val="24"/>
                <w:szCs w:val="24"/>
                <w:highlight w:val="none"/>
              </w:rPr>
            </w:pPr>
          </w:p>
        </w:tc>
        <w:tc>
          <w:tcPr>
            <w:tcW w:w="1788" w:type="dxa"/>
            <w:vAlign w:val="center"/>
          </w:tcPr>
          <w:p w14:paraId="318F9D32">
            <w:pPr>
              <w:pStyle w:val="10"/>
              <w:rPr>
                <w:sz w:val="24"/>
                <w:szCs w:val="24"/>
                <w:highlight w:val="none"/>
              </w:rPr>
            </w:pPr>
          </w:p>
        </w:tc>
        <w:tc>
          <w:tcPr>
            <w:tcW w:w="825" w:type="dxa"/>
            <w:vAlign w:val="center"/>
          </w:tcPr>
          <w:p w14:paraId="32A6CB3A">
            <w:pPr>
              <w:pStyle w:val="10"/>
              <w:rPr>
                <w:sz w:val="24"/>
                <w:szCs w:val="24"/>
                <w:highlight w:val="none"/>
              </w:rPr>
            </w:pPr>
          </w:p>
        </w:tc>
        <w:tc>
          <w:tcPr>
            <w:tcW w:w="1250" w:type="dxa"/>
            <w:vAlign w:val="center"/>
          </w:tcPr>
          <w:p w14:paraId="4153FB5A">
            <w:pPr>
              <w:pStyle w:val="10"/>
              <w:rPr>
                <w:sz w:val="24"/>
                <w:szCs w:val="24"/>
                <w:highlight w:val="none"/>
              </w:rPr>
            </w:pPr>
          </w:p>
        </w:tc>
        <w:tc>
          <w:tcPr>
            <w:tcW w:w="787" w:type="dxa"/>
            <w:vAlign w:val="center"/>
          </w:tcPr>
          <w:p w14:paraId="3259E617">
            <w:pPr>
              <w:pStyle w:val="10"/>
              <w:rPr>
                <w:sz w:val="24"/>
                <w:szCs w:val="24"/>
                <w:highlight w:val="none"/>
              </w:rPr>
            </w:pPr>
          </w:p>
        </w:tc>
      </w:tr>
      <w:tr w14:paraId="2E0EC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8" w:hRule="atLeast"/>
          <w:jc w:val="center"/>
        </w:trPr>
        <w:tc>
          <w:tcPr>
            <w:tcW w:w="565" w:type="dxa"/>
            <w:vAlign w:val="center"/>
          </w:tcPr>
          <w:p w14:paraId="082B7846">
            <w:pPr>
              <w:jc w:val="center"/>
              <w:rPr>
                <w:rFonts w:ascii="宋体"/>
                <w:sz w:val="24"/>
                <w:highlight w:val="none"/>
              </w:rPr>
            </w:pPr>
            <w:r>
              <w:rPr>
                <w:rFonts w:hint="eastAsia" w:ascii="宋体"/>
                <w:sz w:val="24"/>
                <w:highlight w:val="none"/>
              </w:rPr>
              <w:t>N</w:t>
            </w:r>
          </w:p>
        </w:tc>
        <w:tc>
          <w:tcPr>
            <w:tcW w:w="1001" w:type="dxa"/>
            <w:vAlign w:val="center"/>
          </w:tcPr>
          <w:p w14:paraId="241DC8E8">
            <w:pPr>
              <w:jc w:val="center"/>
              <w:rPr>
                <w:rFonts w:ascii="宋体"/>
                <w:sz w:val="24"/>
                <w:highlight w:val="none"/>
              </w:rPr>
            </w:pPr>
          </w:p>
        </w:tc>
        <w:tc>
          <w:tcPr>
            <w:tcW w:w="945" w:type="dxa"/>
            <w:vAlign w:val="center"/>
          </w:tcPr>
          <w:p w14:paraId="31426C0C">
            <w:pPr>
              <w:jc w:val="center"/>
              <w:rPr>
                <w:rFonts w:ascii="宋体"/>
                <w:sz w:val="24"/>
                <w:highlight w:val="none"/>
              </w:rPr>
            </w:pPr>
          </w:p>
        </w:tc>
        <w:tc>
          <w:tcPr>
            <w:tcW w:w="1924" w:type="dxa"/>
            <w:vAlign w:val="center"/>
          </w:tcPr>
          <w:p w14:paraId="0C859DD8">
            <w:pPr>
              <w:pStyle w:val="10"/>
              <w:rPr>
                <w:sz w:val="24"/>
                <w:szCs w:val="24"/>
                <w:highlight w:val="none"/>
              </w:rPr>
            </w:pPr>
          </w:p>
        </w:tc>
        <w:tc>
          <w:tcPr>
            <w:tcW w:w="1788" w:type="dxa"/>
            <w:vAlign w:val="center"/>
          </w:tcPr>
          <w:p w14:paraId="6F367B01">
            <w:pPr>
              <w:pStyle w:val="10"/>
              <w:rPr>
                <w:sz w:val="24"/>
                <w:szCs w:val="24"/>
                <w:highlight w:val="none"/>
              </w:rPr>
            </w:pPr>
          </w:p>
        </w:tc>
        <w:tc>
          <w:tcPr>
            <w:tcW w:w="825" w:type="dxa"/>
            <w:vAlign w:val="center"/>
          </w:tcPr>
          <w:p w14:paraId="4DAC2240">
            <w:pPr>
              <w:pStyle w:val="10"/>
              <w:rPr>
                <w:sz w:val="24"/>
                <w:szCs w:val="24"/>
                <w:highlight w:val="none"/>
              </w:rPr>
            </w:pPr>
          </w:p>
        </w:tc>
        <w:tc>
          <w:tcPr>
            <w:tcW w:w="1250" w:type="dxa"/>
            <w:vAlign w:val="center"/>
          </w:tcPr>
          <w:p w14:paraId="54D03EC5">
            <w:pPr>
              <w:pStyle w:val="10"/>
              <w:rPr>
                <w:sz w:val="24"/>
                <w:szCs w:val="24"/>
                <w:highlight w:val="none"/>
              </w:rPr>
            </w:pPr>
          </w:p>
        </w:tc>
        <w:tc>
          <w:tcPr>
            <w:tcW w:w="787" w:type="dxa"/>
            <w:vAlign w:val="center"/>
          </w:tcPr>
          <w:p w14:paraId="7A5277E0">
            <w:pPr>
              <w:pStyle w:val="10"/>
              <w:rPr>
                <w:sz w:val="24"/>
                <w:szCs w:val="24"/>
                <w:highlight w:val="none"/>
              </w:rPr>
            </w:pPr>
          </w:p>
        </w:tc>
      </w:tr>
      <w:tr w14:paraId="715F0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8" w:hRule="atLeast"/>
          <w:jc w:val="center"/>
        </w:trPr>
        <w:tc>
          <w:tcPr>
            <w:tcW w:w="9085" w:type="dxa"/>
            <w:gridSpan w:val="8"/>
            <w:vAlign w:val="center"/>
          </w:tcPr>
          <w:p w14:paraId="225773F7">
            <w:pPr>
              <w:pStyle w:val="10"/>
              <w:rPr>
                <w:sz w:val="24"/>
                <w:szCs w:val="24"/>
                <w:highlight w:val="none"/>
              </w:rPr>
            </w:pPr>
            <w:r>
              <w:rPr>
                <w:rFonts w:hint="eastAsia"/>
                <w:sz w:val="24"/>
                <w:szCs w:val="24"/>
                <w:highlight w:val="none"/>
              </w:rPr>
              <w:t>总报价（人民币大写）：                   （￥            元）</w:t>
            </w:r>
          </w:p>
        </w:tc>
      </w:tr>
      <w:tr w14:paraId="26B35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8" w:hRule="atLeast"/>
          <w:jc w:val="center"/>
        </w:trPr>
        <w:tc>
          <w:tcPr>
            <w:tcW w:w="9085" w:type="dxa"/>
            <w:gridSpan w:val="8"/>
            <w:vAlign w:val="center"/>
          </w:tcPr>
          <w:p w14:paraId="3E55BF9E">
            <w:pPr>
              <w:pStyle w:val="10"/>
              <w:ind w:firstLine="210" w:firstLineChars="100"/>
              <w:rPr>
                <w:rFonts w:hint="eastAsia"/>
                <w:sz w:val="24"/>
                <w:szCs w:val="24"/>
                <w:highlight w:val="none"/>
              </w:rPr>
            </w:pPr>
            <w:r>
              <w:rPr>
                <w:rFonts w:hint="eastAsia" w:ascii="宋体" w:hAnsi="宋体" w:cs="宋体"/>
                <w:szCs w:val="21"/>
              </w:rPr>
              <w:t>竞标货物中，属于本国产品总值为</w:t>
            </w:r>
            <w:r>
              <w:rPr>
                <w:rFonts w:hint="eastAsia" w:ascii="宋体" w:hAnsi="宋体" w:cs="宋体"/>
                <w:szCs w:val="21"/>
                <w:u w:val="single"/>
              </w:rPr>
              <w:t>¥       元</w:t>
            </w:r>
            <w:r>
              <w:rPr>
                <w:rFonts w:hint="eastAsia" w:ascii="宋体" w:hAnsi="宋体" w:cs="宋体"/>
                <w:szCs w:val="21"/>
              </w:rPr>
              <w:t>（具体明细详见附表，附表格式自拟），占投标产品报价的比例为</w:t>
            </w:r>
            <w:r>
              <w:rPr>
                <w:rFonts w:hint="eastAsia" w:ascii="宋体" w:hAnsi="宋体" w:cs="宋体"/>
                <w:szCs w:val="21"/>
                <w:u w:val="single"/>
              </w:rPr>
              <w:t xml:space="preserve">    %</w:t>
            </w:r>
            <w:r>
              <w:rPr>
                <w:rFonts w:hint="eastAsia" w:ascii="宋体" w:hAnsi="宋体" w:cs="宋体"/>
                <w:szCs w:val="21"/>
              </w:rPr>
              <w:t>；属于优先采购节能产品总值为</w:t>
            </w:r>
            <w:r>
              <w:rPr>
                <w:rFonts w:hint="eastAsia" w:ascii="宋体" w:hAnsi="宋体" w:cs="宋体"/>
                <w:szCs w:val="21"/>
                <w:u w:val="single"/>
              </w:rPr>
              <w:t>¥       元</w:t>
            </w:r>
            <w:r>
              <w:rPr>
                <w:rFonts w:hint="eastAsia" w:ascii="宋体" w:hAnsi="宋体" w:cs="宋体"/>
                <w:szCs w:val="21"/>
              </w:rPr>
              <w:t>（具体明细详见附表，附表格式自拟），占本竞标报价的比例为</w:t>
            </w:r>
            <w:r>
              <w:rPr>
                <w:rFonts w:hint="eastAsia" w:ascii="宋体" w:hAnsi="宋体" w:cs="宋体"/>
                <w:szCs w:val="21"/>
                <w:u w:val="single"/>
              </w:rPr>
              <w:t xml:space="preserve">    %</w:t>
            </w:r>
            <w:r>
              <w:rPr>
                <w:rFonts w:hint="eastAsia" w:ascii="宋体" w:hAnsi="宋体" w:cs="宋体"/>
                <w:szCs w:val="21"/>
              </w:rPr>
              <w:t>；属于优先采购环境标志产品总值为</w:t>
            </w:r>
            <w:r>
              <w:rPr>
                <w:rFonts w:hint="eastAsia" w:ascii="宋体" w:hAnsi="宋体" w:cs="宋体"/>
                <w:szCs w:val="21"/>
                <w:u w:val="single"/>
              </w:rPr>
              <w:t>¥       元</w:t>
            </w:r>
            <w:r>
              <w:rPr>
                <w:rFonts w:hint="eastAsia" w:ascii="宋体" w:hAnsi="宋体" w:cs="宋体"/>
                <w:szCs w:val="21"/>
              </w:rPr>
              <w:t>（具体明细详见附表，附表格式自拟），占本竞标报价的比例为</w:t>
            </w:r>
            <w:r>
              <w:rPr>
                <w:rFonts w:hint="eastAsia" w:ascii="宋体" w:hAnsi="宋体" w:cs="宋体"/>
                <w:szCs w:val="21"/>
                <w:u w:val="single"/>
              </w:rPr>
              <w:t xml:space="preserve">   %</w:t>
            </w:r>
          </w:p>
        </w:tc>
      </w:tr>
      <w:tr w14:paraId="2D41E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0" w:hRule="atLeast"/>
          <w:jc w:val="center"/>
        </w:trPr>
        <w:tc>
          <w:tcPr>
            <w:tcW w:w="9085" w:type="dxa"/>
            <w:gridSpan w:val="8"/>
            <w:vAlign w:val="center"/>
          </w:tcPr>
          <w:p w14:paraId="5FEB8922">
            <w:pPr>
              <w:pStyle w:val="10"/>
              <w:rPr>
                <w:rFonts w:hint="eastAsia"/>
                <w:sz w:val="24"/>
                <w:szCs w:val="24"/>
                <w:highlight w:val="none"/>
              </w:rPr>
            </w:pPr>
            <w:r>
              <w:rPr>
                <w:rFonts w:hint="eastAsia"/>
                <w:sz w:val="24"/>
                <w:szCs w:val="24"/>
                <w:highlight w:val="none"/>
                <w:lang w:val="en-US" w:eastAsia="zh-CN"/>
              </w:rPr>
              <w:t>合同履行</w:t>
            </w:r>
            <w:r>
              <w:rPr>
                <w:rFonts w:hint="eastAsia"/>
                <w:sz w:val="24"/>
                <w:szCs w:val="24"/>
                <w:highlight w:val="none"/>
              </w:rPr>
              <w:t>期</w:t>
            </w:r>
            <w:r>
              <w:rPr>
                <w:rFonts w:hint="eastAsia"/>
                <w:sz w:val="24"/>
                <w:szCs w:val="24"/>
                <w:highlight w:val="none"/>
                <w:lang w:val="en-US" w:eastAsia="zh-CN"/>
              </w:rPr>
              <w:t>限</w:t>
            </w:r>
            <w:r>
              <w:rPr>
                <w:rFonts w:hint="eastAsia"/>
                <w:sz w:val="24"/>
                <w:szCs w:val="24"/>
                <w:highlight w:val="none"/>
              </w:rPr>
              <w:t>：</w:t>
            </w:r>
            <w:r>
              <w:rPr>
                <w:rFonts w:hint="eastAsia"/>
                <w:sz w:val="24"/>
                <w:szCs w:val="24"/>
                <w:highlight w:val="none"/>
                <w:u w:val="single"/>
              </w:rPr>
              <w:t xml:space="preserve">                               </w:t>
            </w:r>
            <w:r>
              <w:rPr>
                <w:rFonts w:hint="eastAsia"/>
                <w:sz w:val="24"/>
                <w:szCs w:val="24"/>
                <w:highlight w:val="none"/>
              </w:rPr>
              <w:t xml:space="preserve"> </w:t>
            </w:r>
          </w:p>
        </w:tc>
      </w:tr>
    </w:tbl>
    <w:p w14:paraId="2D7B132D">
      <w:pPr>
        <w:spacing w:line="276" w:lineRule="auto"/>
        <w:rPr>
          <w:rFonts w:ascii="宋体" w:hAnsi="宋体"/>
          <w:szCs w:val="21"/>
          <w:highlight w:val="none"/>
        </w:rPr>
      </w:pPr>
      <w:r>
        <w:rPr>
          <w:rFonts w:hint="eastAsia" w:ascii="宋体" w:hAnsi="宋体"/>
          <w:szCs w:val="21"/>
          <w:highlight w:val="none"/>
        </w:rPr>
        <w:t>注：</w:t>
      </w:r>
    </w:p>
    <w:p w14:paraId="5B3AE544">
      <w:pPr>
        <w:spacing w:line="276" w:lineRule="auto"/>
        <w:ind w:firstLine="420" w:firstLineChars="200"/>
        <w:rPr>
          <w:rFonts w:ascii="宋体" w:hAnsi="宋体"/>
          <w:szCs w:val="21"/>
          <w:highlight w:val="none"/>
        </w:rPr>
      </w:pPr>
      <w:r>
        <w:rPr>
          <w:rFonts w:hint="eastAsia" w:ascii="宋体" w:hAnsi="宋体"/>
          <w:szCs w:val="21"/>
          <w:highlight w:val="none"/>
        </w:rPr>
        <w:t>1、所有价格均用人民币表示，单位为元。</w:t>
      </w:r>
    </w:p>
    <w:p w14:paraId="50D540B5">
      <w:pPr>
        <w:spacing w:line="276" w:lineRule="auto"/>
        <w:ind w:firstLine="420" w:firstLineChars="200"/>
        <w:rPr>
          <w:rFonts w:ascii="宋体" w:hAnsi="宋体"/>
          <w:szCs w:val="21"/>
          <w:highlight w:val="none"/>
        </w:rPr>
      </w:pPr>
      <w:r>
        <w:rPr>
          <w:rFonts w:hint="eastAsia" w:ascii="宋体" w:hAnsi="宋体"/>
          <w:szCs w:val="21"/>
          <w:highlight w:val="none"/>
        </w:rPr>
        <w:t>2、以上竞标报价表中“标的名称、数量及单位、品牌、规格或型号”必须如实填写完整，品牌、规格型号没有则填无，填写有缺漏的，</w:t>
      </w:r>
      <w:r>
        <w:rPr>
          <w:rFonts w:hint="eastAsia" w:ascii="宋体" w:hAnsi="宋体"/>
          <w:b/>
          <w:bCs/>
          <w:szCs w:val="21"/>
          <w:highlight w:val="none"/>
        </w:rPr>
        <w:t>其响应文件按无效响应处理</w:t>
      </w:r>
      <w:r>
        <w:rPr>
          <w:rFonts w:hint="eastAsia" w:ascii="宋体" w:hAnsi="宋体"/>
          <w:szCs w:val="21"/>
          <w:highlight w:val="none"/>
        </w:rPr>
        <w:t>。</w:t>
      </w:r>
    </w:p>
    <w:p w14:paraId="4054B991">
      <w:pPr>
        <w:spacing w:line="276" w:lineRule="auto"/>
        <w:ind w:firstLine="420" w:firstLineChars="200"/>
        <w:rPr>
          <w:rFonts w:ascii="宋体" w:hAnsi="宋体"/>
          <w:szCs w:val="21"/>
          <w:highlight w:val="none"/>
        </w:rPr>
      </w:pPr>
      <w:r>
        <w:rPr>
          <w:rFonts w:hint="eastAsia" w:ascii="宋体" w:hAnsi="宋体"/>
          <w:szCs w:val="21"/>
          <w:highlight w:val="none"/>
        </w:rPr>
        <w:t>3、供应商的报价表必须加盖供应商公章（或电子签章）并由法定代表人或者委托代理人签字（或电子签章），</w:t>
      </w:r>
      <w:r>
        <w:rPr>
          <w:rFonts w:hint="eastAsia" w:ascii="宋体" w:hAnsi="宋体"/>
          <w:b/>
          <w:bCs/>
          <w:szCs w:val="21"/>
          <w:highlight w:val="none"/>
        </w:rPr>
        <w:t>否则其响应文件按无效响应处理。</w:t>
      </w:r>
    </w:p>
    <w:p w14:paraId="1957B27C">
      <w:pPr>
        <w:spacing w:line="276" w:lineRule="auto"/>
        <w:ind w:firstLine="420" w:firstLineChars="200"/>
        <w:rPr>
          <w:rFonts w:ascii="宋体" w:hAnsi="宋体"/>
          <w:szCs w:val="21"/>
          <w:highlight w:val="none"/>
        </w:rPr>
      </w:pPr>
      <w:r>
        <w:rPr>
          <w:rFonts w:hint="eastAsia" w:ascii="宋体" w:hAnsi="宋体"/>
          <w:szCs w:val="21"/>
          <w:highlight w:val="none"/>
        </w:rPr>
        <w:t>4、报价一经涂改，应在涂改处加盖供应商公章（或电子签章）或者由法定代表人或者授权委托人（签字或电子签章），</w:t>
      </w:r>
      <w:r>
        <w:rPr>
          <w:rFonts w:hint="eastAsia" w:ascii="宋体" w:hAnsi="宋体"/>
          <w:b/>
          <w:bCs/>
          <w:szCs w:val="21"/>
          <w:highlight w:val="none"/>
        </w:rPr>
        <w:t>否则其响应文件按无效响应处理</w:t>
      </w:r>
      <w:r>
        <w:rPr>
          <w:rFonts w:hint="eastAsia" w:ascii="宋体" w:hAnsi="宋体"/>
          <w:szCs w:val="21"/>
          <w:highlight w:val="none"/>
        </w:rPr>
        <w:t>。</w:t>
      </w:r>
    </w:p>
    <w:p w14:paraId="2A04FB7C">
      <w:pPr>
        <w:spacing w:line="276" w:lineRule="auto"/>
        <w:ind w:firstLine="420" w:firstLineChars="200"/>
        <w:rPr>
          <w:rFonts w:ascii="宋体" w:hAnsi="宋体"/>
          <w:szCs w:val="21"/>
          <w:highlight w:val="none"/>
        </w:rPr>
      </w:pPr>
      <w:r>
        <w:rPr>
          <w:rFonts w:hint="eastAsia" w:ascii="宋体" w:hAnsi="宋体"/>
          <w:szCs w:val="21"/>
          <w:highlight w:val="none"/>
        </w:rPr>
        <w:t>5、谈判文件中列明采购专用耗材的，应按谈判文件规定的耗材量或者按耗材的常规试用量提供报价。</w:t>
      </w:r>
    </w:p>
    <w:p w14:paraId="14E92809">
      <w:pPr>
        <w:spacing w:line="276" w:lineRule="auto"/>
        <w:ind w:firstLine="420" w:firstLineChars="200"/>
        <w:rPr>
          <w:rFonts w:ascii="宋体" w:hAnsi="宋体"/>
          <w:szCs w:val="21"/>
          <w:highlight w:val="none"/>
        </w:rPr>
      </w:pPr>
      <w:r>
        <w:rPr>
          <w:rFonts w:hint="eastAsia" w:ascii="宋体" w:hAnsi="宋体"/>
          <w:szCs w:val="21"/>
          <w:highlight w:val="none"/>
        </w:rPr>
        <w:t>6、如为联合体竞标,“供应商名称”处必须列明联合体各方名称，标注联合体牵头人名称，否则其响应文件按无效响应处理。（采购人可根据项目情况自行修改是否需要联合体各方签字盖章）。</w:t>
      </w:r>
    </w:p>
    <w:p w14:paraId="227104AC">
      <w:pPr>
        <w:spacing w:line="276" w:lineRule="auto"/>
        <w:ind w:firstLine="420" w:firstLineChars="200"/>
        <w:rPr>
          <w:rFonts w:ascii="宋体" w:hAnsi="宋体"/>
          <w:szCs w:val="21"/>
          <w:highlight w:val="none"/>
        </w:rPr>
      </w:pPr>
      <w:r>
        <w:rPr>
          <w:rFonts w:hint="eastAsia" w:ascii="宋体" w:hAnsi="宋体"/>
          <w:szCs w:val="21"/>
          <w:highlight w:val="none"/>
        </w:rPr>
        <w:t>7、如为联合体竞标,盖章处须加盖联合体各方公章，否则其响应文件按无效响应处理。</w:t>
      </w:r>
    </w:p>
    <w:p w14:paraId="33AC4FAB">
      <w:pPr>
        <w:spacing w:line="276" w:lineRule="auto"/>
        <w:ind w:firstLine="420" w:firstLineChars="200"/>
        <w:rPr>
          <w:szCs w:val="21"/>
          <w:highlight w:val="none"/>
        </w:rPr>
      </w:pPr>
      <w:r>
        <w:rPr>
          <w:rFonts w:hint="eastAsia" w:ascii="宋体" w:hAnsi="宋体"/>
          <w:szCs w:val="21"/>
          <w:highlight w:val="none"/>
        </w:rPr>
        <w:t>8、如有多分标，分别列明各分标的报价表，否则其响应文件按无效响应处理。（采购人可根据项目情况自行修改是否需要联合体各方签字盖章）</w:t>
      </w:r>
    </w:p>
    <w:p w14:paraId="22D915DE">
      <w:pPr>
        <w:pStyle w:val="10"/>
        <w:spacing w:line="360" w:lineRule="auto"/>
        <w:ind w:firstLine="743" w:firstLineChars="354"/>
        <w:rPr>
          <w:szCs w:val="21"/>
          <w:highlight w:val="none"/>
        </w:rPr>
      </w:pPr>
      <w:r>
        <w:rPr>
          <w:rFonts w:hint="eastAsia"/>
          <w:szCs w:val="21"/>
          <w:highlight w:val="none"/>
        </w:rPr>
        <w:t>供应商名称（电子签章）：</w:t>
      </w:r>
      <w:r>
        <w:rPr>
          <w:rFonts w:hint="eastAsia"/>
          <w:szCs w:val="21"/>
          <w:highlight w:val="none"/>
          <w:u w:val="single"/>
        </w:rPr>
        <w:t xml:space="preserve">                   </w:t>
      </w:r>
      <w:r>
        <w:rPr>
          <w:rFonts w:hint="eastAsia"/>
          <w:szCs w:val="21"/>
          <w:highlight w:val="none"/>
        </w:rPr>
        <w:t xml:space="preserve">   </w:t>
      </w:r>
    </w:p>
    <w:p w14:paraId="39E8398D">
      <w:pPr>
        <w:pStyle w:val="10"/>
        <w:spacing w:line="360" w:lineRule="auto"/>
        <w:ind w:firstLine="743" w:firstLineChars="354"/>
        <w:rPr>
          <w:szCs w:val="21"/>
          <w:highlight w:val="none"/>
        </w:rPr>
      </w:pPr>
      <w:r>
        <w:rPr>
          <w:rFonts w:hint="eastAsia"/>
          <w:szCs w:val="21"/>
          <w:highlight w:val="none"/>
        </w:rPr>
        <w:t>法定代表人或授权代表（签字或电子签章）:</w:t>
      </w:r>
      <w:r>
        <w:rPr>
          <w:rFonts w:hint="eastAsia"/>
          <w:szCs w:val="21"/>
          <w:highlight w:val="none"/>
          <w:u w:val="single"/>
        </w:rPr>
        <w:t xml:space="preserve">                </w:t>
      </w:r>
      <w:r>
        <w:rPr>
          <w:rFonts w:hint="eastAsia"/>
          <w:szCs w:val="21"/>
          <w:highlight w:val="none"/>
        </w:rPr>
        <w:t xml:space="preserve"> </w:t>
      </w:r>
    </w:p>
    <w:p w14:paraId="5DB2FFB6">
      <w:pPr>
        <w:pStyle w:val="11"/>
        <w:spacing w:line="360" w:lineRule="auto"/>
        <w:ind w:firstLine="743" w:firstLineChars="354"/>
        <w:rPr>
          <w:highlight w:val="none"/>
        </w:rPr>
      </w:pPr>
      <w:r>
        <w:rPr>
          <w:rFonts w:hint="eastAsia"/>
          <w:sz w:val="21"/>
          <w:szCs w:val="21"/>
          <w:highlight w:val="none"/>
        </w:rPr>
        <w:t>日期：</w:t>
      </w:r>
      <w:r>
        <w:rPr>
          <w:rFonts w:hint="eastAsia"/>
          <w:sz w:val="21"/>
          <w:szCs w:val="21"/>
          <w:highlight w:val="none"/>
          <w:u w:val="single"/>
        </w:rPr>
        <w:t xml:space="preserve">                 </w:t>
      </w:r>
      <w:r>
        <w:rPr>
          <w:rFonts w:hint="eastAsia"/>
          <w:sz w:val="21"/>
          <w:szCs w:val="21"/>
          <w:highlight w:val="none"/>
        </w:rPr>
        <w:t xml:space="preserve">   </w:t>
      </w:r>
      <w:r>
        <w:rPr>
          <w:rFonts w:hint="eastAsia"/>
          <w:sz w:val="24"/>
          <w:szCs w:val="24"/>
          <w:highlight w:val="none"/>
        </w:rPr>
        <w:t xml:space="preserve"> </w:t>
      </w:r>
    </w:p>
    <w:p w14:paraId="0341AEF1">
      <w:pPr>
        <w:spacing w:line="520" w:lineRule="exact"/>
        <w:jc w:val="center"/>
        <w:rPr>
          <w:rFonts w:ascii="仿宋_GB2312" w:hAnsi="仿宋_GB2312" w:eastAsia="仿宋_GB2312" w:cs="仿宋_GB2312"/>
          <w:sz w:val="32"/>
          <w:szCs w:val="32"/>
          <w:highlight w:val="none"/>
        </w:rPr>
      </w:pPr>
      <w:r>
        <w:rPr>
          <w:rFonts w:ascii="宋体"/>
          <w:b/>
          <w:sz w:val="24"/>
          <w:highlight w:val="none"/>
        </w:rPr>
        <w:br w:type="page"/>
      </w:r>
      <w:bookmarkEnd w:id="15"/>
      <w:r>
        <w:rPr>
          <w:rFonts w:hint="eastAsia" w:ascii="方正小标宋简体" w:hAnsi="方正小标宋简体" w:eastAsia="方正小标宋简体" w:cs="方正小标宋简体"/>
          <w:sz w:val="32"/>
          <w:szCs w:val="32"/>
          <w:highlight w:val="none"/>
        </w:rPr>
        <w:t>无串通竞标行为的承诺函</w:t>
      </w:r>
    </w:p>
    <w:p w14:paraId="1273FEFB">
      <w:pPr>
        <w:spacing w:line="360" w:lineRule="auto"/>
        <w:ind w:firstLine="640" w:firstLineChars="200"/>
        <w:contextualSpacing/>
        <w:rPr>
          <w:rFonts w:ascii="仿宋_GB2312" w:hAnsi="仿宋_GB2312" w:eastAsia="仿宋_GB2312" w:cs="仿宋_GB2312"/>
          <w:sz w:val="32"/>
          <w:szCs w:val="32"/>
          <w:highlight w:val="none"/>
        </w:rPr>
      </w:pPr>
    </w:p>
    <w:p w14:paraId="71FA0F80">
      <w:pPr>
        <w:spacing w:line="360" w:lineRule="auto"/>
        <w:ind w:firstLine="482" w:firstLineChars="200"/>
        <w:contextualSpacing/>
        <w:rPr>
          <w:rFonts w:ascii="宋体" w:hAnsi="宋体" w:cs="仿宋_GB2312"/>
          <w:b/>
          <w:bCs/>
          <w:sz w:val="24"/>
          <w:highlight w:val="none"/>
        </w:rPr>
      </w:pPr>
      <w:r>
        <w:rPr>
          <w:rFonts w:hint="eastAsia" w:ascii="宋体" w:hAnsi="宋体" w:cs="仿宋_GB2312"/>
          <w:b/>
          <w:bCs/>
          <w:sz w:val="24"/>
          <w:highlight w:val="none"/>
        </w:rPr>
        <w:t>一、我方承诺无下列相互串通竞标的情形：</w:t>
      </w:r>
    </w:p>
    <w:p w14:paraId="4233CEF1">
      <w:pPr>
        <w:spacing w:line="360" w:lineRule="auto"/>
        <w:ind w:firstLine="480" w:firstLineChars="200"/>
        <w:contextualSpacing/>
        <w:rPr>
          <w:rFonts w:ascii="宋体" w:hAnsi="宋体" w:cs="仿宋_GB2312"/>
          <w:sz w:val="24"/>
          <w:highlight w:val="none"/>
        </w:rPr>
      </w:pPr>
      <w:r>
        <w:rPr>
          <w:rFonts w:hint="eastAsia" w:ascii="宋体" w:hAnsi="宋体" w:cs="仿宋_GB2312"/>
          <w:sz w:val="24"/>
          <w:highlight w:val="none"/>
        </w:rPr>
        <w:t>1.不同供应商的响应文件由同一单位或者个人编制；</w:t>
      </w:r>
    </w:p>
    <w:p w14:paraId="6DF606B5">
      <w:pPr>
        <w:spacing w:line="360" w:lineRule="auto"/>
        <w:ind w:firstLine="480" w:firstLineChars="200"/>
        <w:contextualSpacing/>
        <w:rPr>
          <w:rFonts w:ascii="宋体" w:hAnsi="宋体" w:cs="仿宋_GB2312"/>
          <w:sz w:val="24"/>
          <w:highlight w:val="none"/>
        </w:rPr>
      </w:pPr>
      <w:r>
        <w:rPr>
          <w:rFonts w:hint="eastAsia" w:ascii="宋体" w:hAnsi="宋体" w:cs="仿宋_GB2312"/>
          <w:sz w:val="24"/>
          <w:highlight w:val="none"/>
        </w:rPr>
        <w:t>2.不同供应商委托同一单位或者个人办理竞标事宜；</w:t>
      </w:r>
    </w:p>
    <w:p w14:paraId="609C44D2">
      <w:pPr>
        <w:spacing w:line="360" w:lineRule="auto"/>
        <w:ind w:firstLine="480" w:firstLineChars="200"/>
        <w:contextualSpacing/>
        <w:rPr>
          <w:rFonts w:ascii="宋体" w:hAnsi="宋体" w:cs="仿宋_GB2312"/>
          <w:sz w:val="24"/>
          <w:highlight w:val="none"/>
        </w:rPr>
      </w:pPr>
      <w:r>
        <w:rPr>
          <w:rFonts w:hint="eastAsia" w:ascii="宋体" w:hAnsi="宋体" w:cs="仿宋_GB2312"/>
          <w:sz w:val="24"/>
          <w:highlight w:val="none"/>
        </w:rPr>
        <w:t>3.不同的供应商的响应文件载明的项目管理员为同一个人；</w:t>
      </w:r>
    </w:p>
    <w:p w14:paraId="11AD4F81">
      <w:pPr>
        <w:spacing w:line="360" w:lineRule="auto"/>
        <w:ind w:firstLine="480" w:firstLineChars="200"/>
        <w:contextualSpacing/>
        <w:rPr>
          <w:rFonts w:ascii="宋体" w:hAnsi="宋体" w:cs="仿宋_GB2312"/>
          <w:sz w:val="24"/>
          <w:highlight w:val="none"/>
        </w:rPr>
      </w:pPr>
      <w:r>
        <w:rPr>
          <w:rFonts w:hint="eastAsia" w:ascii="宋体" w:hAnsi="宋体" w:cs="仿宋_GB2312"/>
          <w:sz w:val="24"/>
          <w:highlight w:val="none"/>
        </w:rPr>
        <w:t>4.不</w:t>
      </w:r>
      <w:r>
        <w:rPr>
          <w:rFonts w:hint="eastAsia" w:ascii="宋体" w:hAnsi="宋体" w:cs="仿宋_GB2312"/>
          <w:spacing w:val="-6"/>
          <w:sz w:val="24"/>
          <w:highlight w:val="none"/>
        </w:rPr>
        <w:t>同供应商的响应文件异常一致或者竞标报价呈规律性差异；</w:t>
      </w:r>
    </w:p>
    <w:p w14:paraId="77C82456">
      <w:pPr>
        <w:spacing w:line="360" w:lineRule="auto"/>
        <w:ind w:firstLine="480" w:firstLineChars="200"/>
        <w:contextualSpacing/>
        <w:rPr>
          <w:rFonts w:ascii="宋体" w:hAnsi="宋体" w:cs="仿宋_GB2312"/>
          <w:sz w:val="24"/>
          <w:highlight w:val="none"/>
        </w:rPr>
      </w:pPr>
      <w:r>
        <w:rPr>
          <w:rFonts w:hint="eastAsia" w:ascii="宋体" w:hAnsi="宋体" w:cs="仿宋_GB2312"/>
          <w:sz w:val="24"/>
          <w:highlight w:val="none"/>
        </w:rPr>
        <w:t>5.不同供应商的响应文件相互混装；</w:t>
      </w:r>
    </w:p>
    <w:p w14:paraId="323099C2">
      <w:pPr>
        <w:spacing w:line="360" w:lineRule="auto"/>
        <w:ind w:firstLine="482" w:firstLineChars="200"/>
        <w:contextualSpacing/>
        <w:rPr>
          <w:rFonts w:ascii="宋体" w:hAnsi="宋体" w:cs="仿宋_GB2312"/>
          <w:b/>
          <w:bCs/>
          <w:sz w:val="24"/>
          <w:highlight w:val="none"/>
        </w:rPr>
      </w:pPr>
      <w:r>
        <w:rPr>
          <w:rFonts w:hint="eastAsia" w:ascii="宋体" w:hAnsi="宋体" w:cs="仿宋_GB2312"/>
          <w:b/>
          <w:bCs/>
          <w:sz w:val="24"/>
          <w:highlight w:val="none"/>
        </w:rPr>
        <w:t>二、我方承诺无下列恶意串通的情形：</w:t>
      </w:r>
    </w:p>
    <w:p w14:paraId="39411948">
      <w:pPr>
        <w:spacing w:line="360" w:lineRule="auto"/>
        <w:ind w:firstLine="480" w:firstLineChars="200"/>
        <w:contextualSpacing/>
        <w:rPr>
          <w:rFonts w:ascii="宋体" w:hAnsi="宋体" w:cs="仿宋_GB2312"/>
          <w:sz w:val="24"/>
          <w:highlight w:val="none"/>
        </w:rPr>
      </w:pPr>
      <w:r>
        <w:rPr>
          <w:rFonts w:hint="eastAsia" w:ascii="宋体" w:hAnsi="宋体" w:cs="仿宋_GB2312"/>
          <w:sz w:val="24"/>
          <w:highlight w:val="none"/>
        </w:rPr>
        <w:t>1.供应商直接或者间接从采购人或者采购代理机构处获得其他供应商的相关信息并修改其响应文件；</w:t>
      </w:r>
    </w:p>
    <w:p w14:paraId="6FF4FFA2">
      <w:pPr>
        <w:spacing w:line="360" w:lineRule="auto"/>
        <w:ind w:firstLine="480" w:firstLineChars="200"/>
        <w:contextualSpacing/>
        <w:rPr>
          <w:rFonts w:ascii="宋体" w:hAnsi="宋体" w:cs="仿宋_GB2312"/>
          <w:sz w:val="24"/>
          <w:highlight w:val="none"/>
        </w:rPr>
      </w:pPr>
      <w:r>
        <w:rPr>
          <w:rFonts w:hint="eastAsia" w:ascii="宋体" w:hAnsi="宋体" w:cs="仿宋_GB2312"/>
          <w:sz w:val="24"/>
          <w:highlight w:val="none"/>
        </w:rPr>
        <w:t>2.供应商按照采购人或者采购代理机构的授意撤换、修改响应文件；</w:t>
      </w:r>
    </w:p>
    <w:p w14:paraId="3285638E">
      <w:pPr>
        <w:spacing w:line="360" w:lineRule="auto"/>
        <w:ind w:firstLine="480" w:firstLineChars="200"/>
        <w:contextualSpacing/>
        <w:rPr>
          <w:rFonts w:ascii="宋体" w:hAnsi="宋体" w:cs="仿宋_GB2312"/>
          <w:sz w:val="24"/>
          <w:highlight w:val="none"/>
        </w:rPr>
      </w:pPr>
      <w:r>
        <w:rPr>
          <w:rFonts w:hint="eastAsia" w:ascii="宋体" w:hAnsi="宋体" w:cs="仿宋_GB2312"/>
          <w:sz w:val="24"/>
          <w:highlight w:val="none"/>
        </w:rPr>
        <w:t>3.供</w:t>
      </w:r>
      <w:r>
        <w:rPr>
          <w:rFonts w:hint="eastAsia" w:ascii="宋体" w:hAnsi="宋体" w:cs="仿宋_GB2312"/>
          <w:spacing w:val="-6"/>
          <w:sz w:val="24"/>
          <w:highlight w:val="none"/>
        </w:rPr>
        <w:t>应商之间协商报价、技术方案等响应文件的实质性内容；</w:t>
      </w:r>
    </w:p>
    <w:p w14:paraId="0E5A0DE1">
      <w:pPr>
        <w:spacing w:line="360" w:lineRule="auto"/>
        <w:ind w:firstLine="480" w:firstLineChars="200"/>
        <w:contextualSpacing/>
        <w:rPr>
          <w:rFonts w:ascii="宋体" w:hAnsi="宋体" w:cs="仿宋_GB2312"/>
          <w:sz w:val="24"/>
          <w:highlight w:val="none"/>
        </w:rPr>
      </w:pPr>
      <w:r>
        <w:rPr>
          <w:rFonts w:hint="eastAsia" w:ascii="宋体" w:hAnsi="宋体" w:cs="仿宋_GB2312"/>
          <w:sz w:val="24"/>
          <w:highlight w:val="none"/>
        </w:rPr>
        <w:t>4.属于同一集团、协会、商会等组织成员的供应商按照该组织要求协同参加政府采购活动；</w:t>
      </w:r>
    </w:p>
    <w:p w14:paraId="0EB73071">
      <w:pPr>
        <w:spacing w:line="360" w:lineRule="auto"/>
        <w:ind w:firstLine="480" w:firstLineChars="200"/>
        <w:contextualSpacing/>
        <w:rPr>
          <w:rFonts w:ascii="宋体" w:hAnsi="宋体" w:cs="仿宋_GB2312"/>
          <w:sz w:val="24"/>
          <w:highlight w:val="none"/>
        </w:rPr>
      </w:pPr>
      <w:r>
        <w:rPr>
          <w:rFonts w:hint="eastAsia" w:ascii="宋体" w:hAnsi="宋体" w:cs="仿宋_GB2312"/>
          <w:sz w:val="24"/>
          <w:highlight w:val="none"/>
        </w:rPr>
        <w:t>5.供应商之间事先约定一致抬高或者压低竞标报价，或者在竞争性谈判项目中事先约定轮流以高价位或者低价位成交，或者事先约定由某一特定供应商成交，然后再参加竞标；</w:t>
      </w:r>
    </w:p>
    <w:p w14:paraId="0D5626C0">
      <w:pPr>
        <w:spacing w:line="360" w:lineRule="auto"/>
        <w:ind w:firstLine="480" w:firstLineChars="200"/>
        <w:contextualSpacing/>
        <w:rPr>
          <w:rFonts w:ascii="宋体" w:hAnsi="宋体" w:cs="仿宋_GB2312"/>
          <w:sz w:val="24"/>
          <w:highlight w:val="none"/>
        </w:rPr>
      </w:pPr>
      <w:r>
        <w:rPr>
          <w:rFonts w:hint="eastAsia" w:ascii="宋体" w:hAnsi="宋体" w:cs="仿宋_GB2312"/>
          <w:sz w:val="24"/>
          <w:highlight w:val="none"/>
        </w:rPr>
        <w:t>6.供应商之间商定部分供应商放弃参加政府采购活动或者放弃成交；</w:t>
      </w:r>
    </w:p>
    <w:p w14:paraId="02C7F756">
      <w:pPr>
        <w:spacing w:line="360" w:lineRule="auto"/>
        <w:ind w:firstLine="480" w:firstLineChars="200"/>
        <w:contextualSpacing/>
        <w:rPr>
          <w:rFonts w:ascii="宋体" w:hAnsi="宋体" w:cs="仿宋_GB2312"/>
          <w:sz w:val="24"/>
          <w:highlight w:val="none"/>
        </w:rPr>
      </w:pPr>
      <w:r>
        <w:rPr>
          <w:rFonts w:hint="eastAsia" w:ascii="宋体" w:hAnsi="宋体" w:cs="仿宋_GB2312"/>
          <w:sz w:val="24"/>
          <w:highlight w:val="none"/>
        </w:rPr>
        <w:t>7.供应商与采购人或者采购代理机构之间、供应商相互之间，为</w:t>
      </w:r>
      <w:r>
        <w:rPr>
          <w:rFonts w:hint="eastAsia" w:ascii="宋体" w:hAnsi="宋体" w:cs="仿宋_GB2312"/>
          <w:spacing w:val="-6"/>
          <w:sz w:val="24"/>
          <w:highlight w:val="none"/>
        </w:rPr>
        <w:t>谋求特定供应商成交或者排斥其他供应商的其他串通行为。</w:t>
      </w:r>
    </w:p>
    <w:p w14:paraId="5476FB3D">
      <w:pPr>
        <w:spacing w:line="360" w:lineRule="auto"/>
        <w:ind w:firstLine="480" w:firstLineChars="200"/>
        <w:contextualSpacing/>
        <w:rPr>
          <w:rFonts w:ascii="宋体" w:hAnsi="宋体" w:cs="仿宋_GB2312"/>
          <w:sz w:val="24"/>
          <w:highlight w:val="none"/>
        </w:rPr>
      </w:pPr>
    </w:p>
    <w:p w14:paraId="54991AFE">
      <w:pPr>
        <w:spacing w:line="360" w:lineRule="auto"/>
        <w:ind w:firstLine="482" w:firstLineChars="200"/>
        <w:contextualSpacing/>
        <w:rPr>
          <w:rFonts w:ascii="宋体" w:hAnsi="宋体" w:cs="仿宋_GB2312"/>
          <w:b/>
          <w:bCs/>
          <w:sz w:val="24"/>
          <w:highlight w:val="none"/>
        </w:rPr>
      </w:pPr>
      <w:r>
        <w:rPr>
          <w:rFonts w:hint="eastAsia" w:ascii="宋体" w:hAnsi="宋体" w:cs="仿宋_GB2312"/>
          <w:b/>
          <w:bCs/>
          <w:sz w:val="24"/>
          <w:highlight w:val="none"/>
        </w:rPr>
        <w:t>以上情形一经核查属实，我方愿意承担一切后果，并不再寻求任何旨在减轻或者免除法律责任的辩解。</w:t>
      </w:r>
    </w:p>
    <w:p w14:paraId="35341474">
      <w:pPr>
        <w:spacing w:line="360" w:lineRule="auto"/>
        <w:contextualSpacing/>
        <w:rPr>
          <w:rFonts w:ascii="宋体" w:hAnsi="宋体" w:cs="仿宋_GB2312"/>
          <w:sz w:val="24"/>
          <w:highlight w:val="none"/>
        </w:rPr>
      </w:pPr>
    </w:p>
    <w:p w14:paraId="2BDA096C">
      <w:pPr>
        <w:spacing w:line="360" w:lineRule="auto"/>
        <w:ind w:firstLine="3600" w:firstLineChars="1500"/>
        <w:contextualSpacing/>
        <w:rPr>
          <w:rFonts w:ascii="宋体" w:hAnsi="宋体" w:cs="仿宋_GB2312"/>
          <w:sz w:val="24"/>
          <w:highlight w:val="none"/>
        </w:rPr>
      </w:pPr>
      <w:r>
        <w:rPr>
          <w:rFonts w:hint="eastAsia"/>
          <w:sz w:val="24"/>
          <w:highlight w:val="none"/>
        </w:rPr>
        <w:t>供应商名称</w:t>
      </w:r>
      <w:r>
        <w:rPr>
          <w:rFonts w:hint="eastAsia" w:ascii="宋体" w:hAnsi="宋体" w:cs="仿宋_GB2312"/>
          <w:sz w:val="24"/>
          <w:highlight w:val="none"/>
        </w:rPr>
        <w:t>（电子签章）：</w:t>
      </w:r>
    </w:p>
    <w:p w14:paraId="6FC29518">
      <w:pPr>
        <w:spacing w:line="300" w:lineRule="auto"/>
        <w:jc w:val="center"/>
        <w:rPr>
          <w:rFonts w:ascii="宋体"/>
          <w:b/>
          <w:sz w:val="24"/>
          <w:highlight w:val="none"/>
        </w:rPr>
      </w:pPr>
      <w:r>
        <w:rPr>
          <w:rFonts w:hint="eastAsia" w:ascii="宋体" w:hAnsi="宋体" w:cs="仿宋_GB2312"/>
          <w:sz w:val="24"/>
          <w:highlight w:val="none"/>
        </w:rPr>
        <w:t xml:space="preserve">                               年   月   日</w:t>
      </w:r>
    </w:p>
    <w:p w14:paraId="3382473A">
      <w:pPr>
        <w:widowControl/>
        <w:jc w:val="left"/>
        <w:rPr>
          <w:rFonts w:ascii="宋体"/>
          <w:b/>
          <w:sz w:val="24"/>
          <w:highlight w:val="none"/>
        </w:rPr>
      </w:pPr>
      <w:r>
        <w:rPr>
          <w:rFonts w:ascii="宋体"/>
          <w:b/>
          <w:sz w:val="24"/>
          <w:highlight w:val="none"/>
        </w:rPr>
        <w:br w:type="page"/>
      </w:r>
    </w:p>
    <w:p w14:paraId="5194FC31">
      <w:pPr>
        <w:spacing w:line="520" w:lineRule="exact"/>
        <w:jc w:val="center"/>
        <w:rPr>
          <w:rFonts w:ascii="宋体" w:hAnsi="宋体" w:cs="宋体"/>
          <w:sz w:val="36"/>
          <w:highlight w:val="none"/>
        </w:rPr>
      </w:pPr>
      <w:r>
        <w:rPr>
          <w:rFonts w:hint="eastAsia" w:ascii="宋体" w:hAnsi="宋体" w:cs="宋体"/>
          <w:bCs/>
          <w:sz w:val="36"/>
          <w:highlight w:val="none"/>
        </w:rPr>
        <w:t>法定代表人证明书</w:t>
      </w:r>
    </w:p>
    <w:p w14:paraId="2157C5F9">
      <w:pPr>
        <w:spacing w:line="520" w:lineRule="exact"/>
        <w:ind w:left="540"/>
        <w:rPr>
          <w:rFonts w:ascii="宋体" w:hAnsi="宋体" w:cs="宋体"/>
          <w:sz w:val="24"/>
          <w:highlight w:val="none"/>
        </w:rPr>
      </w:pPr>
    </w:p>
    <w:p w14:paraId="6321C4B1">
      <w:pPr>
        <w:spacing w:line="520" w:lineRule="exact"/>
        <w:ind w:left="540"/>
        <w:rPr>
          <w:rFonts w:ascii="宋体" w:hAnsi="宋体" w:cs="宋体"/>
          <w:sz w:val="24"/>
          <w:highlight w:val="none"/>
        </w:rPr>
      </w:pPr>
      <w:r>
        <w:rPr>
          <w:rFonts w:hint="eastAsia" w:ascii="宋体" w:hAnsi="宋体" w:cs="宋体"/>
          <w:sz w:val="24"/>
          <w:highlight w:val="none"/>
        </w:rPr>
        <w:t>供应商名称：</w:t>
      </w:r>
      <w:r>
        <w:rPr>
          <w:rFonts w:hint="eastAsia" w:ascii="宋体" w:hAnsi="宋体" w:cs="宋体"/>
          <w:sz w:val="24"/>
          <w:highlight w:val="none"/>
          <w:u w:val="single"/>
        </w:rPr>
        <w:t xml:space="preserve">                                                        </w:t>
      </w:r>
    </w:p>
    <w:p w14:paraId="320C3345">
      <w:pPr>
        <w:spacing w:line="520" w:lineRule="exact"/>
        <w:ind w:left="540"/>
        <w:rPr>
          <w:rFonts w:ascii="宋体" w:hAnsi="宋体" w:cs="宋体"/>
          <w:sz w:val="24"/>
          <w:highlight w:val="none"/>
        </w:rPr>
      </w:pPr>
      <w:r>
        <w:rPr>
          <w:rFonts w:hint="eastAsia" w:ascii="宋体" w:hAnsi="宋体" w:cs="宋体"/>
          <w:sz w:val="24"/>
          <w:highlight w:val="none"/>
        </w:rPr>
        <w:t>地    址：</w:t>
      </w:r>
      <w:r>
        <w:rPr>
          <w:rFonts w:hint="eastAsia" w:ascii="宋体" w:hAnsi="宋体" w:cs="宋体"/>
          <w:sz w:val="24"/>
          <w:highlight w:val="none"/>
          <w:u w:val="single"/>
        </w:rPr>
        <w:t xml:space="preserve">                                                        </w:t>
      </w:r>
    </w:p>
    <w:p w14:paraId="3D0114D8">
      <w:pPr>
        <w:spacing w:line="520" w:lineRule="exact"/>
        <w:ind w:left="540"/>
        <w:rPr>
          <w:rFonts w:ascii="宋体" w:hAnsi="宋体" w:cs="宋体"/>
          <w:sz w:val="24"/>
          <w:highlight w:val="none"/>
        </w:rPr>
      </w:pPr>
      <w:r>
        <w:rPr>
          <w:rFonts w:hint="eastAsia" w:ascii="宋体" w:hAnsi="宋体" w:cs="宋体"/>
          <w:sz w:val="24"/>
          <w:highlight w:val="none"/>
        </w:rPr>
        <w:t>成立时间：</w:t>
      </w:r>
      <w:r>
        <w:rPr>
          <w:rFonts w:hint="eastAsia" w:ascii="宋体" w:hAnsi="宋体" w:cs="宋体"/>
          <w:sz w:val="24"/>
          <w:highlight w:val="none"/>
          <w:u w:val="single"/>
        </w:rPr>
        <w:t xml:space="preserve">            </w:t>
      </w:r>
      <w:r>
        <w:rPr>
          <w:rFonts w:hint="eastAsia" w:ascii="宋体" w:hAnsi="宋体" w:cs="宋体"/>
          <w:sz w:val="24"/>
          <w:highlight w:val="none"/>
        </w:rPr>
        <w:t>年</w:t>
      </w:r>
      <w:r>
        <w:rPr>
          <w:rFonts w:hint="eastAsia" w:ascii="宋体" w:hAnsi="宋体" w:cs="宋体"/>
          <w:sz w:val="24"/>
          <w:highlight w:val="none"/>
          <w:u w:val="single"/>
        </w:rPr>
        <w:t xml:space="preserve">            </w:t>
      </w:r>
      <w:r>
        <w:rPr>
          <w:rFonts w:hint="eastAsia" w:ascii="宋体" w:hAnsi="宋体" w:cs="宋体"/>
          <w:sz w:val="24"/>
          <w:highlight w:val="none"/>
        </w:rPr>
        <w:t>月</w:t>
      </w:r>
      <w:r>
        <w:rPr>
          <w:rFonts w:hint="eastAsia" w:ascii="宋体" w:hAnsi="宋体" w:cs="宋体"/>
          <w:sz w:val="24"/>
          <w:highlight w:val="none"/>
          <w:u w:val="single"/>
        </w:rPr>
        <w:t xml:space="preserve">            </w:t>
      </w:r>
      <w:r>
        <w:rPr>
          <w:rFonts w:hint="eastAsia" w:ascii="宋体" w:hAnsi="宋体" w:cs="宋体"/>
          <w:sz w:val="24"/>
          <w:highlight w:val="none"/>
        </w:rPr>
        <w:t>日</w:t>
      </w:r>
    </w:p>
    <w:p w14:paraId="7B571817">
      <w:pPr>
        <w:spacing w:line="520" w:lineRule="exact"/>
        <w:ind w:left="540"/>
        <w:rPr>
          <w:rFonts w:ascii="宋体" w:hAnsi="宋体" w:cs="宋体"/>
          <w:sz w:val="24"/>
          <w:highlight w:val="none"/>
        </w:rPr>
      </w:pPr>
      <w:r>
        <w:rPr>
          <w:rFonts w:hint="eastAsia" w:ascii="宋体" w:hAnsi="宋体" w:cs="宋体"/>
          <w:sz w:val="24"/>
          <w:highlight w:val="none"/>
        </w:rPr>
        <w:t>经营期限：</w:t>
      </w:r>
      <w:r>
        <w:rPr>
          <w:rFonts w:hint="eastAsia" w:ascii="宋体" w:hAnsi="宋体" w:cs="宋体"/>
          <w:sz w:val="24"/>
          <w:highlight w:val="none"/>
          <w:u w:val="single"/>
        </w:rPr>
        <w:t xml:space="preserve">                                                        </w:t>
      </w:r>
    </w:p>
    <w:p w14:paraId="13714B16">
      <w:pPr>
        <w:spacing w:line="520" w:lineRule="exact"/>
        <w:ind w:left="540"/>
        <w:rPr>
          <w:rFonts w:ascii="宋体" w:hAnsi="宋体" w:cs="宋体"/>
          <w:sz w:val="24"/>
          <w:highlight w:val="none"/>
        </w:rPr>
      </w:pPr>
      <w:r>
        <w:rPr>
          <w:rFonts w:hint="eastAsia" w:ascii="宋体" w:hAnsi="宋体" w:cs="宋体"/>
          <w:sz w:val="24"/>
          <w:highlight w:val="none"/>
        </w:rPr>
        <w:t>姓    名：</w:t>
      </w:r>
      <w:r>
        <w:rPr>
          <w:rFonts w:hint="eastAsia" w:ascii="宋体" w:hAnsi="宋体" w:cs="宋体"/>
          <w:sz w:val="24"/>
          <w:highlight w:val="none"/>
          <w:u w:val="single"/>
        </w:rPr>
        <w:t xml:space="preserve">               </w:t>
      </w:r>
      <w:r>
        <w:rPr>
          <w:rFonts w:hint="eastAsia" w:ascii="宋体" w:hAnsi="宋体" w:cs="宋体"/>
          <w:sz w:val="24"/>
          <w:highlight w:val="none"/>
        </w:rPr>
        <w:t>性      别：</w:t>
      </w:r>
      <w:r>
        <w:rPr>
          <w:rFonts w:hint="eastAsia" w:ascii="宋体" w:hAnsi="宋体" w:cs="宋体"/>
          <w:sz w:val="24"/>
          <w:highlight w:val="none"/>
          <w:u w:val="single"/>
        </w:rPr>
        <w:t xml:space="preserve">                </w:t>
      </w:r>
    </w:p>
    <w:p w14:paraId="0C879495">
      <w:pPr>
        <w:spacing w:line="520" w:lineRule="exact"/>
        <w:ind w:left="540"/>
        <w:rPr>
          <w:rFonts w:ascii="宋体" w:hAnsi="宋体" w:cs="宋体"/>
          <w:sz w:val="24"/>
          <w:highlight w:val="none"/>
          <w:u w:val="single"/>
        </w:rPr>
      </w:pPr>
      <w:r>
        <w:rPr>
          <w:rFonts w:hint="eastAsia" w:ascii="宋体" w:hAnsi="宋体" w:cs="宋体"/>
          <w:sz w:val="24"/>
          <w:highlight w:val="none"/>
        </w:rPr>
        <w:t>年    龄：</w:t>
      </w:r>
      <w:r>
        <w:rPr>
          <w:rFonts w:hint="eastAsia" w:ascii="宋体" w:hAnsi="宋体" w:cs="宋体"/>
          <w:sz w:val="24"/>
          <w:highlight w:val="none"/>
          <w:u w:val="single"/>
        </w:rPr>
        <w:t xml:space="preserve">               </w:t>
      </w:r>
      <w:r>
        <w:rPr>
          <w:rFonts w:hint="eastAsia" w:ascii="宋体" w:hAnsi="宋体" w:cs="宋体"/>
          <w:sz w:val="24"/>
          <w:highlight w:val="none"/>
        </w:rPr>
        <w:t>职      务：</w:t>
      </w:r>
      <w:r>
        <w:rPr>
          <w:rFonts w:hint="eastAsia" w:ascii="宋体" w:hAnsi="宋体" w:cs="宋体"/>
          <w:sz w:val="24"/>
          <w:highlight w:val="none"/>
          <w:u w:val="single"/>
        </w:rPr>
        <w:t xml:space="preserve">                </w:t>
      </w:r>
    </w:p>
    <w:p w14:paraId="2FFD03FA">
      <w:pPr>
        <w:spacing w:line="520" w:lineRule="exact"/>
        <w:ind w:left="540"/>
        <w:rPr>
          <w:rFonts w:ascii="宋体" w:hAnsi="宋体" w:cs="宋体"/>
          <w:sz w:val="24"/>
          <w:highlight w:val="none"/>
        </w:rPr>
      </w:pPr>
      <w:r>
        <w:rPr>
          <w:rFonts w:hint="eastAsia" w:ascii="宋体" w:hAnsi="宋体" w:cs="宋体"/>
          <w:sz w:val="24"/>
          <w:highlight w:val="none"/>
        </w:rPr>
        <w:t>身份证号码：</w:t>
      </w:r>
      <w:r>
        <w:rPr>
          <w:rFonts w:hint="eastAsia" w:ascii="宋体" w:hAnsi="宋体" w:cs="宋体"/>
          <w:sz w:val="24"/>
          <w:highlight w:val="none"/>
          <w:u w:val="single"/>
        </w:rPr>
        <w:t xml:space="preserve">                                        </w:t>
      </w:r>
    </w:p>
    <w:p w14:paraId="792C6284">
      <w:pPr>
        <w:spacing w:line="520" w:lineRule="exact"/>
        <w:ind w:left="540"/>
        <w:rPr>
          <w:rFonts w:ascii="宋体" w:hAnsi="宋体" w:cs="宋体"/>
          <w:sz w:val="24"/>
          <w:highlight w:val="none"/>
        </w:rPr>
      </w:pPr>
      <w:r>
        <w:rPr>
          <w:rFonts w:hint="eastAsia" w:ascii="宋体" w:hAnsi="宋体" w:cs="宋体"/>
          <w:sz w:val="24"/>
          <w:highlight w:val="none"/>
        </w:rPr>
        <w:t>系</w:t>
      </w:r>
      <w:r>
        <w:rPr>
          <w:rFonts w:hint="eastAsia" w:ascii="宋体" w:hAnsi="宋体" w:cs="宋体"/>
          <w:sz w:val="24"/>
          <w:highlight w:val="none"/>
          <w:u w:val="single"/>
        </w:rPr>
        <w:t xml:space="preserve">                                </w:t>
      </w:r>
      <w:r>
        <w:rPr>
          <w:rFonts w:hint="eastAsia" w:ascii="宋体" w:hAnsi="宋体" w:cs="宋体"/>
          <w:sz w:val="24"/>
          <w:highlight w:val="none"/>
        </w:rPr>
        <w:t>（供应商名称）的法定代表人。</w:t>
      </w:r>
    </w:p>
    <w:p w14:paraId="55A3FD89">
      <w:pPr>
        <w:spacing w:line="520" w:lineRule="exact"/>
        <w:ind w:left="540"/>
        <w:rPr>
          <w:rFonts w:ascii="宋体" w:hAnsi="宋体" w:cs="宋体"/>
          <w:sz w:val="24"/>
          <w:highlight w:val="none"/>
        </w:rPr>
      </w:pPr>
      <w:r>
        <w:rPr>
          <w:rFonts w:hint="eastAsia" w:ascii="宋体" w:hAnsi="宋体" w:cs="宋体"/>
          <w:sz w:val="24"/>
          <w:highlight w:val="none"/>
        </w:rPr>
        <w:t>特此证明。</w:t>
      </w:r>
    </w:p>
    <w:p w14:paraId="7AB6A97A">
      <w:pPr>
        <w:spacing w:line="520" w:lineRule="exact"/>
        <w:ind w:left="540"/>
        <w:rPr>
          <w:rFonts w:ascii="宋体" w:hAnsi="宋体" w:cs="宋体"/>
          <w:sz w:val="24"/>
          <w:highlight w:val="none"/>
        </w:rPr>
      </w:pPr>
    </w:p>
    <w:p w14:paraId="206F8E3C">
      <w:pPr>
        <w:rPr>
          <w:highlight w:val="none"/>
        </w:rPr>
      </w:pPr>
    </w:p>
    <w:p w14:paraId="6942C94C">
      <w:pPr>
        <w:wordWrap w:val="0"/>
        <w:spacing w:line="520" w:lineRule="exact"/>
        <w:ind w:left="540"/>
        <w:jc w:val="right"/>
        <w:rPr>
          <w:rFonts w:ascii="宋体" w:hAnsi="宋体" w:cs="宋体"/>
          <w:sz w:val="24"/>
          <w:highlight w:val="none"/>
        </w:rPr>
      </w:pPr>
      <w:r>
        <w:rPr>
          <w:rFonts w:hint="eastAsia"/>
          <w:sz w:val="24"/>
          <w:highlight w:val="none"/>
        </w:rPr>
        <w:t>供应商名称（电子签章）</w:t>
      </w:r>
      <w:r>
        <w:rPr>
          <w:rFonts w:hint="eastAsia" w:ascii="宋体" w:hAnsi="宋体" w:cs="宋体"/>
          <w:sz w:val="24"/>
          <w:highlight w:val="none"/>
        </w:rPr>
        <w:t>：</w:t>
      </w:r>
      <w:r>
        <w:rPr>
          <w:rFonts w:hint="eastAsia" w:ascii="宋体" w:hAnsi="宋体" w:cs="宋体"/>
          <w:sz w:val="24"/>
          <w:highlight w:val="none"/>
          <w:u w:val="single"/>
        </w:rPr>
        <w:t xml:space="preserve">               </w:t>
      </w:r>
    </w:p>
    <w:p w14:paraId="6AF55EED">
      <w:pPr>
        <w:snapToGrid w:val="0"/>
        <w:spacing w:before="156" w:beforeLines="50" w:after="50" w:line="520" w:lineRule="exact"/>
        <w:ind w:firstLine="5280" w:firstLineChars="2200"/>
        <w:rPr>
          <w:rFonts w:ascii="宋体" w:hAnsi="宋体" w:cs="宋体"/>
          <w:sz w:val="24"/>
          <w:highlight w:val="none"/>
        </w:rPr>
      </w:pPr>
      <w:r>
        <w:rPr>
          <w:rFonts w:hint="eastAsia" w:ascii="宋体" w:hAnsi="宋体" w:cs="宋体"/>
          <w:sz w:val="24"/>
          <w:highlight w:val="none"/>
          <w:u w:val="single"/>
        </w:rPr>
        <w:t xml:space="preserve">     </w:t>
      </w:r>
      <w:r>
        <w:rPr>
          <w:rFonts w:hint="eastAsia" w:ascii="宋体" w:hAnsi="宋体" w:cs="宋体"/>
          <w:sz w:val="24"/>
          <w:highlight w:val="none"/>
        </w:rPr>
        <w:t>年</w:t>
      </w:r>
      <w:r>
        <w:rPr>
          <w:rFonts w:hint="eastAsia" w:ascii="宋体" w:hAnsi="宋体" w:cs="宋体"/>
          <w:sz w:val="24"/>
          <w:highlight w:val="none"/>
          <w:u w:val="single"/>
        </w:rPr>
        <w:t xml:space="preserve">     </w:t>
      </w:r>
      <w:r>
        <w:rPr>
          <w:rFonts w:hint="eastAsia" w:ascii="宋体" w:hAnsi="宋体" w:cs="宋体"/>
          <w:sz w:val="24"/>
          <w:highlight w:val="none"/>
        </w:rPr>
        <w:t>月</w:t>
      </w:r>
      <w:r>
        <w:rPr>
          <w:rFonts w:hint="eastAsia" w:ascii="宋体" w:hAnsi="宋体" w:cs="宋体"/>
          <w:sz w:val="24"/>
          <w:highlight w:val="none"/>
          <w:u w:val="single"/>
        </w:rPr>
        <w:t xml:space="preserve">     </w:t>
      </w:r>
      <w:r>
        <w:rPr>
          <w:rFonts w:hint="eastAsia" w:ascii="宋体" w:hAnsi="宋体" w:cs="宋体"/>
          <w:sz w:val="24"/>
          <w:highlight w:val="none"/>
        </w:rPr>
        <w:t>日</w:t>
      </w:r>
    </w:p>
    <w:p w14:paraId="1789ECDD">
      <w:pPr>
        <w:pStyle w:val="7"/>
        <w:rPr>
          <w:highlight w:val="none"/>
        </w:rPr>
      </w:pPr>
    </w:p>
    <w:p w14:paraId="6C6DE73E">
      <w:pPr>
        <w:snapToGrid w:val="0"/>
        <w:spacing w:line="400" w:lineRule="exact"/>
        <w:ind w:firstLine="413" w:firstLineChars="196"/>
        <w:jc w:val="left"/>
        <w:rPr>
          <w:rFonts w:ascii="宋体"/>
          <w:b/>
          <w:bCs/>
          <w:kern w:val="0"/>
          <w:szCs w:val="20"/>
          <w:highlight w:val="none"/>
        </w:rPr>
      </w:pPr>
      <w:r>
        <w:rPr>
          <w:rFonts w:hint="eastAsia" w:ascii="宋体"/>
          <w:b/>
          <w:bCs/>
          <w:kern w:val="0"/>
          <w:szCs w:val="20"/>
          <w:highlight w:val="none"/>
        </w:rPr>
        <w:t>附件：法定代表人有效身份证正反面复印件</w:t>
      </w:r>
    </w:p>
    <w:p w14:paraId="5AF2309D">
      <w:pPr>
        <w:pStyle w:val="7"/>
        <w:rPr>
          <w:highlight w:val="none"/>
        </w:rPr>
      </w:pPr>
    </w:p>
    <w:p w14:paraId="315AAFD1">
      <w:pPr>
        <w:pStyle w:val="7"/>
        <w:rPr>
          <w:highlight w:val="none"/>
        </w:rPr>
      </w:pPr>
    </w:p>
    <w:p w14:paraId="316CCCF0">
      <w:pPr>
        <w:pStyle w:val="7"/>
        <w:rPr>
          <w:highlight w:val="none"/>
        </w:rPr>
      </w:pPr>
    </w:p>
    <w:p w14:paraId="3B1AEF60">
      <w:pPr>
        <w:pStyle w:val="10"/>
        <w:spacing w:line="520" w:lineRule="exact"/>
        <w:ind w:firstLine="480"/>
        <w:rPr>
          <w:sz w:val="24"/>
          <w:szCs w:val="24"/>
          <w:highlight w:val="none"/>
        </w:rPr>
      </w:pPr>
      <w:r>
        <w:rPr>
          <w:rFonts w:hint="eastAsia" w:hAnsi="宋体" w:cs="宋体"/>
          <w:sz w:val="24"/>
          <w:highlight w:val="none"/>
        </w:rPr>
        <w:t>注：自然人竞标的无需提供</w:t>
      </w:r>
    </w:p>
    <w:p w14:paraId="5B612003">
      <w:pPr>
        <w:widowControl/>
        <w:jc w:val="left"/>
        <w:rPr>
          <w:rFonts w:ascii="宋体"/>
          <w:sz w:val="24"/>
          <w:highlight w:val="none"/>
        </w:rPr>
      </w:pPr>
      <w:r>
        <w:rPr>
          <w:sz w:val="24"/>
          <w:highlight w:val="none"/>
        </w:rPr>
        <w:br w:type="page"/>
      </w:r>
    </w:p>
    <w:p w14:paraId="4BA1909A">
      <w:pPr>
        <w:pStyle w:val="10"/>
        <w:spacing w:line="520" w:lineRule="exact"/>
        <w:ind w:firstLine="480"/>
        <w:rPr>
          <w:sz w:val="30"/>
          <w:szCs w:val="30"/>
          <w:highlight w:val="none"/>
        </w:rPr>
      </w:pPr>
    </w:p>
    <w:p w14:paraId="0964CDB6">
      <w:pPr>
        <w:adjustRightInd w:val="0"/>
        <w:snapToGrid w:val="0"/>
        <w:spacing w:line="300" w:lineRule="auto"/>
        <w:jc w:val="center"/>
        <w:rPr>
          <w:rFonts w:ascii="宋体"/>
          <w:b/>
          <w:sz w:val="30"/>
          <w:szCs w:val="30"/>
          <w:highlight w:val="none"/>
        </w:rPr>
      </w:pPr>
      <w:r>
        <w:rPr>
          <w:rFonts w:hint="eastAsia" w:ascii="宋体"/>
          <w:b/>
          <w:sz w:val="30"/>
          <w:szCs w:val="30"/>
          <w:highlight w:val="none"/>
        </w:rPr>
        <w:t>法定代表人授权委托书</w:t>
      </w:r>
    </w:p>
    <w:p w14:paraId="16F33006">
      <w:pPr>
        <w:spacing w:line="520" w:lineRule="exact"/>
        <w:rPr>
          <w:rFonts w:ascii="宋体"/>
          <w:sz w:val="24"/>
          <w:highlight w:val="none"/>
        </w:rPr>
      </w:pPr>
      <w:r>
        <w:rPr>
          <w:rFonts w:hint="eastAsia"/>
          <w:sz w:val="24"/>
          <w:highlight w:val="none"/>
          <w:u w:val="single"/>
        </w:rPr>
        <w:t xml:space="preserve">(采购代理机构) </w:t>
      </w:r>
      <w:r>
        <w:rPr>
          <w:rFonts w:hint="eastAsia" w:ascii="宋体"/>
          <w:sz w:val="24"/>
          <w:highlight w:val="none"/>
        </w:rPr>
        <w:t>：</w:t>
      </w:r>
    </w:p>
    <w:p w14:paraId="18BF59F8">
      <w:pPr>
        <w:spacing w:line="520" w:lineRule="exact"/>
        <w:ind w:firstLine="480" w:firstLineChars="200"/>
        <w:rPr>
          <w:rFonts w:ascii="宋体"/>
          <w:sz w:val="24"/>
          <w:highlight w:val="none"/>
        </w:rPr>
      </w:pPr>
      <w:r>
        <w:rPr>
          <w:rFonts w:hint="eastAsia" w:ascii="宋体"/>
          <w:sz w:val="24"/>
          <w:highlight w:val="none"/>
        </w:rPr>
        <w:t>兹授权</w:t>
      </w:r>
      <w:r>
        <w:rPr>
          <w:rFonts w:hint="eastAsia" w:ascii="宋体"/>
          <w:sz w:val="24"/>
          <w:highlight w:val="none"/>
          <w:u w:val="single"/>
        </w:rPr>
        <w:t xml:space="preserve">         </w:t>
      </w:r>
      <w:r>
        <w:rPr>
          <w:rFonts w:hint="eastAsia" w:ascii="宋体"/>
          <w:sz w:val="24"/>
          <w:highlight w:val="none"/>
        </w:rPr>
        <w:t>同志为我公司参加贵单位组织的</w:t>
      </w:r>
      <w:r>
        <w:rPr>
          <w:rFonts w:hint="eastAsia" w:ascii="宋体"/>
          <w:sz w:val="24"/>
          <w:highlight w:val="none"/>
          <w:u w:val="single"/>
        </w:rPr>
        <w:t xml:space="preserve">   （项目名称）  </w:t>
      </w:r>
      <w:r>
        <w:rPr>
          <w:rFonts w:hint="eastAsia" w:ascii="宋体"/>
          <w:sz w:val="24"/>
          <w:highlight w:val="none"/>
        </w:rPr>
        <w:t>竞标活动的竞标代表人，全权代表我公司处理在该项目活动中的一切事宜。</w:t>
      </w:r>
    </w:p>
    <w:p w14:paraId="061EC81C">
      <w:pPr>
        <w:spacing w:line="520" w:lineRule="exact"/>
        <w:ind w:firstLine="480" w:firstLineChars="200"/>
        <w:rPr>
          <w:rFonts w:ascii="宋体"/>
          <w:sz w:val="24"/>
          <w:highlight w:val="none"/>
        </w:rPr>
      </w:pPr>
      <w:r>
        <w:rPr>
          <w:rFonts w:hint="eastAsia" w:ascii="宋体"/>
          <w:sz w:val="24"/>
          <w:highlight w:val="none"/>
        </w:rPr>
        <w:t>我方对委托代理人的签字事项负全部责任。</w:t>
      </w:r>
    </w:p>
    <w:p w14:paraId="4FCE15A1">
      <w:pPr>
        <w:spacing w:line="520" w:lineRule="exact"/>
        <w:ind w:firstLine="480" w:firstLineChars="200"/>
        <w:rPr>
          <w:rFonts w:ascii="宋体"/>
          <w:sz w:val="24"/>
          <w:highlight w:val="none"/>
        </w:rPr>
      </w:pPr>
      <w:r>
        <w:rPr>
          <w:rFonts w:hint="eastAsia" w:ascii="宋体"/>
          <w:sz w:val="24"/>
          <w:highlight w:val="none"/>
        </w:rPr>
        <w:t>本授权书自签署之日起生效，在撤销授权的书面通知以前，本授权书一直有效。委托代理人在授权书有效期内签署的所有文件不因授权的撤销而失效。</w:t>
      </w:r>
    </w:p>
    <w:p w14:paraId="79D14ACF">
      <w:pPr>
        <w:spacing w:line="520" w:lineRule="exact"/>
        <w:ind w:firstLine="480" w:firstLineChars="200"/>
        <w:rPr>
          <w:rFonts w:ascii="宋体"/>
          <w:sz w:val="24"/>
          <w:highlight w:val="none"/>
        </w:rPr>
      </w:pPr>
      <w:r>
        <w:rPr>
          <w:rFonts w:hint="eastAsia" w:ascii="宋体"/>
          <w:sz w:val="24"/>
          <w:highlight w:val="none"/>
        </w:rPr>
        <w:t xml:space="preserve">委托代理人无转委托权，特此委托。 </w:t>
      </w:r>
    </w:p>
    <w:p w14:paraId="4ED52B77">
      <w:pPr>
        <w:spacing w:line="520" w:lineRule="exact"/>
        <w:rPr>
          <w:rFonts w:ascii="宋体"/>
          <w:sz w:val="24"/>
          <w:highlight w:val="none"/>
        </w:rPr>
      </w:pPr>
    </w:p>
    <w:p w14:paraId="19B1B813">
      <w:pPr>
        <w:spacing w:line="520" w:lineRule="exact"/>
        <w:ind w:firstLine="566" w:firstLineChars="236"/>
        <w:rPr>
          <w:rFonts w:ascii="宋体"/>
          <w:sz w:val="24"/>
          <w:highlight w:val="none"/>
        </w:rPr>
      </w:pPr>
      <w:r>
        <w:rPr>
          <w:rFonts w:hint="eastAsia" w:ascii="宋体"/>
          <w:sz w:val="24"/>
          <w:highlight w:val="none"/>
        </w:rPr>
        <w:t>授权单位：</w:t>
      </w:r>
      <w:r>
        <w:rPr>
          <w:rFonts w:hint="eastAsia" w:ascii="宋体"/>
          <w:sz w:val="24"/>
          <w:highlight w:val="none"/>
          <w:u w:val="single"/>
        </w:rPr>
        <w:t xml:space="preserve">                    </w:t>
      </w:r>
    </w:p>
    <w:p w14:paraId="2220B251">
      <w:pPr>
        <w:spacing w:line="520" w:lineRule="exact"/>
        <w:ind w:firstLine="566" w:firstLineChars="236"/>
        <w:rPr>
          <w:rFonts w:ascii="宋体"/>
          <w:sz w:val="24"/>
          <w:highlight w:val="none"/>
        </w:rPr>
      </w:pPr>
      <w:r>
        <w:rPr>
          <w:rFonts w:hint="eastAsia" w:ascii="宋体"/>
          <w:sz w:val="24"/>
          <w:highlight w:val="none"/>
        </w:rPr>
        <w:t>法定代表人</w:t>
      </w:r>
      <w:r>
        <w:rPr>
          <w:rFonts w:hint="eastAsia" w:ascii="宋体" w:hAnsi="宋体" w:cs="宋体"/>
          <w:sz w:val="22"/>
          <w:szCs w:val="22"/>
          <w:highlight w:val="none"/>
        </w:rPr>
        <w:t>（签字</w:t>
      </w:r>
      <w:r>
        <w:rPr>
          <w:rFonts w:hint="eastAsia" w:hAnsi="宋体" w:cs="宋体"/>
          <w:sz w:val="22"/>
          <w:szCs w:val="22"/>
          <w:highlight w:val="none"/>
        </w:rPr>
        <w:t>或电子签章</w:t>
      </w:r>
      <w:r>
        <w:rPr>
          <w:rFonts w:hint="eastAsia" w:ascii="宋体" w:hAnsi="宋体" w:cs="宋体"/>
          <w:sz w:val="22"/>
          <w:szCs w:val="22"/>
          <w:highlight w:val="none"/>
        </w:rPr>
        <w:t>）</w:t>
      </w:r>
      <w:r>
        <w:rPr>
          <w:rFonts w:hint="eastAsia" w:ascii="宋体"/>
          <w:sz w:val="24"/>
          <w:highlight w:val="none"/>
        </w:rPr>
        <w:t>：</w:t>
      </w:r>
      <w:r>
        <w:rPr>
          <w:rFonts w:hint="eastAsia" w:ascii="宋体"/>
          <w:sz w:val="24"/>
          <w:highlight w:val="none"/>
          <w:u w:val="single"/>
        </w:rPr>
        <w:t xml:space="preserve">                  </w:t>
      </w:r>
    </w:p>
    <w:p w14:paraId="5408D7E8">
      <w:pPr>
        <w:spacing w:line="520" w:lineRule="exact"/>
        <w:ind w:firstLine="600" w:firstLineChars="250"/>
        <w:rPr>
          <w:rFonts w:ascii="宋体"/>
          <w:sz w:val="24"/>
          <w:highlight w:val="none"/>
        </w:rPr>
      </w:pPr>
      <w:r>
        <w:rPr>
          <w:rFonts w:hint="eastAsia" w:ascii="宋体" w:hAnsi="宋体" w:cs="仿宋_GB2312"/>
          <w:sz w:val="24"/>
          <w:highlight w:val="none"/>
        </w:rPr>
        <w:t>委托代理人（签字</w:t>
      </w:r>
      <w:r>
        <w:rPr>
          <w:rFonts w:hint="eastAsia" w:hAnsi="宋体" w:cs="宋体"/>
          <w:sz w:val="22"/>
          <w:szCs w:val="22"/>
          <w:highlight w:val="none"/>
        </w:rPr>
        <w:t>或电子签章</w:t>
      </w:r>
      <w:r>
        <w:rPr>
          <w:rFonts w:hint="eastAsia" w:ascii="宋体" w:hAnsi="宋体" w:cs="仿宋_GB2312"/>
          <w:sz w:val="24"/>
          <w:highlight w:val="none"/>
        </w:rPr>
        <w:t>）：</w:t>
      </w:r>
      <w:r>
        <w:rPr>
          <w:rFonts w:hint="eastAsia" w:ascii="宋体"/>
          <w:sz w:val="24"/>
          <w:highlight w:val="none"/>
          <w:u w:val="single"/>
        </w:rPr>
        <w:t xml:space="preserve">                 </w:t>
      </w:r>
    </w:p>
    <w:p w14:paraId="500C1B60">
      <w:pPr>
        <w:spacing w:line="520" w:lineRule="exact"/>
        <w:ind w:firstLine="600" w:firstLineChars="250"/>
        <w:rPr>
          <w:rFonts w:ascii="宋体"/>
          <w:sz w:val="24"/>
          <w:highlight w:val="none"/>
        </w:rPr>
      </w:pPr>
      <w:r>
        <w:rPr>
          <w:rFonts w:hint="eastAsia" w:ascii="宋体"/>
          <w:sz w:val="24"/>
          <w:highlight w:val="none"/>
        </w:rPr>
        <w:t>职务：</w:t>
      </w:r>
      <w:r>
        <w:rPr>
          <w:rFonts w:hint="eastAsia" w:ascii="宋体"/>
          <w:sz w:val="24"/>
          <w:highlight w:val="none"/>
          <w:u w:val="single"/>
        </w:rPr>
        <w:t xml:space="preserve">            </w:t>
      </w:r>
      <w:r>
        <w:rPr>
          <w:rFonts w:hint="eastAsia" w:ascii="宋体"/>
          <w:sz w:val="24"/>
          <w:highlight w:val="none"/>
        </w:rPr>
        <w:t xml:space="preserve">      性别：</w:t>
      </w:r>
      <w:r>
        <w:rPr>
          <w:rFonts w:hint="eastAsia" w:ascii="宋体"/>
          <w:sz w:val="24"/>
          <w:highlight w:val="none"/>
          <w:u w:val="single"/>
        </w:rPr>
        <w:t xml:space="preserve">         </w:t>
      </w:r>
    </w:p>
    <w:p w14:paraId="3E65C25C">
      <w:pPr>
        <w:adjustRightInd w:val="0"/>
        <w:snapToGrid w:val="0"/>
        <w:spacing w:line="520" w:lineRule="exact"/>
        <w:ind w:firstLine="600" w:firstLineChars="250"/>
        <w:rPr>
          <w:rFonts w:ascii="宋体"/>
          <w:sz w:val="24"/>
          <w:highlight w:val="none"/>
          <w:u w:val="single"/>
        </w:rPr>
      </w:pPr>
      <w:r>
        <w:rPr>
          <w:rFonts w:hint="eastAsia" w:ascii="宋体" w:hAnsi="宋体" w:cs="仿宋_GB2312"/>
          <w:sz w:val="24"/>
          <w:highlight w:val="none"/>
        </w:rPr>
        <w:t>委托代理人</w:t>
      </w:r>
      <w:r>
        <w:rPr>
          <w:rFonts w:hint="eastAsia" w:ascii="宋体"/>
          <w:sz w:val="24"/>
          <w:highlight w:val="none"/>
        </w:rPr>
        <w:t>身份证号码：</w:t>
      </w:r>
      <w:r>
        <w:rPr>
          <w:rFonts w:hint="eastAsia" w:ascii="宋体"/>
          <w:sz w:val="24"/>
          <w:highlight w:val="none"/>
          <w:u w:val="single"/>
        </w:rPr>
        <w:t xml:space="preserve">                       </w:t>
      </w:r>
    </w:p>
    <w:p w14:paraId="210882AA">
      <w:pPr>
        <w:adjustRightInd w:val="0"/>
        <w:snapToGrid w:val="0"/>
        <w:spacing w:line="520" w:lineRule="exact"/>
        <w:ind w:firstLine="480" w:firstLineChars="200"/>
        <w:rPr>
          <w:rFonts w:ascii="宋体"/>
          <w:sz w:val="24"/>
          <w:highlight w:val="none"/>
          <w:u w:val="single"/>
        </w:rPr>
      </w:pPr>
    </w:p>
    <w:p w14:paraId="07A33912">
      <w:pPr>
        <w:pStyle w:val="11"/>
        <w:rPr>
          <w:highlight w:val="none"/>
        </w:rPr>
      </w:pPr>
    </w:p>
    <w:p w14:paraId="0A70BBA8">
      <w:pPr>
        <w:spacing w:line="360" w:lineRule="auto"/>
        <w:contextualSpacing/>
        <w:jc w:val="center"/>
        <w:rPr>
          <w:rFonts w:ascii="宋体" w:hAnsi="宋体" w:cs="仿宋_GB2312"/>
          <w:sz w:val="24"/>
          <w:highlight w:val="none"/>
        </w:rPr>
      </w:pPr>
      <w:r>
        <w:rPr>
          <w:rFonts w:hint="eastAsia"/>
          <w:sz w:val="24"/>
          <w:highlight w:val="none"/>
        </w:rPr>
        <w:t>供应商名称</w:t>
      </w:r>
      <w:r>
        <w:rPr>
          <w:rFonts w:hint="eastAsia" w:ascii="宋体" w:hAnsi="宋体" w:cs="仿宋_GB2312"/>
          <w:sz w:val="24"/>
          <w:highlight w:val="none"/>
        </w:rPr>
        <w:t>（盖公章</w:t>
      </w:r>
      <w:r>
        <w:rPr>
          <w:rFonts w:hint="eastAsia" w:hAnsi="宋体" w:cs="宋体"/>
          <w:sz w:val="22"/>
          <w:szCs w:val="22"/>
          <w:highlight w:val="none"/>
        </w:rPr>
        <w:t>或电子签章</w:t>
      </w:r>
      <w:r>
        <w:rPr>
          <w:rFonts w:hint="eastAsia" w:ascii="宋体" w:hAnsi="宋体" w:cs="仿宋_GB2312"/>
          <w:sz w:val="24"/>
          <w:highlight w:val="none"/>
        </w:rPr>
        <w:t>）：</w:t>
      </w:r>
      <w:r>
        <w:rPr>
          <w:rFonts w:hint="eastAsia" w:ascii="宋体"/>
          <w:sz w:val="24"/>
          <w:highlight w:val="none"/>
          <w:u w:val="single"/>
        </w:rPr>
        <w:t xml:space="preserve">              </w:t>
      </w:r>
    </w:p>
    <w:p w14:paraId="38764D70">
      <w:pPr>
        <w:rPr>
          <w:rFonts w:ascii="宋体" w:hAnsi="宋体" w:cs="仿宋_GB2312"/>
          <w:sz w:val="24"/>
          <w:highlight w:val="none"/>
        </w:rPr>
      </w:pPr>
      <w:r>
        <w:rPr>
          <w:rFonts w:hint="eastAsia" w:ascii="宋体" w:hAnsi="宋体" w:cs="仿宋_GB2312"/>
          <w:sz w:val="24"/>
          <w:highlight w:val="none"/>
        </w:rPr>
        <w:t xml:space="preserve">                                         年    月    日</w:t>
      </w:r>
    </w:p>
    <w:p w14:paraId="228E6F38">
      <w:pPr>
        <w:pStyle w:val="11"/>
        <w:rPr>
          <w:highlight w:val="none"/>
        </w:rPr>
      </w:pPr>
    </w:p>
    <w:p w14:paraId="7D421EFB">
      <w:pPr>
        <w:snapToGrid w:val="0"/>
        <w:spacing w:line="400" w:lineRule="exact"/>
        <w:ind w:firstLine="413" w:firstLineChars="196"/>
        <w:jc w:val="left"/>
        <w:rPr>
          <w:rFonts w:ascii="宋体"/>
          <w:b/>
          <w:bCs/>
          <w:kern w:val="0"/>
          <w:szCs w:val="20"/>
          <w:highlight w:val="none"/>
        </w:rPr>
      </w:pPr>
      <w:r>
        <w:rPr>
          <w:rFonts w:hint="eastAsia" w:ascii="宋体"/>
          <w:b/>
          <w:bCs/>
          <w:kern w:val="0"/>
          <w:szCs w:val="20"/>
          <w:highlight w:val="none"/>
        </w:rPr>
        <w:t>附：授权委托代理人有效的身份证正反面复印件（加盖电子签章）。</w:t>
      </w:r>
    </w:p>
    <w:p w14:paraId="5A2366AF">
      <w:pPr>
        <w:pStyle w:val="10"/>
        <w:spacing w:line="300" w:lineRule="auto"/>
        <w:rPr>
          <w:sz w:val="24"/>
          <w:szCs w:val="24"/>
          <w:highlight w:val="none"/>
        </w:rPr>
      </w:pPr>
    </w:p>
    <w:p w14:paraId="5277821F">
      <w:pPr>
        <w:pStyle w:val="10"/>
        <w:spacing w:line="300" w:lineRule="auto"/>
        <w:rPr>
          <w:sz w:val="24"/>
          <w:szCs w:val="24"/>
          <w:highlight w:val="none"/>
        </w:rPr>
      </w:pPr>
    </w:p>
    <w:p w14:paraId="09449301">
      <w:pPr>
        <w:widowControl/>
        <w:jc w:val="left"/>
        <w:rPr>
          <w:rFonts w:ascii="宋体"/>
          <w:b/>
          <w:sz w:val="24"/>
          <w:highlight w:val="none"/>
        </w:rPr>
      </w:pPr>
      <w:r>
        <w:rPr>
          <w:rFonts w:ascii="宋体"/>
          <w:b/>
          <w:sz w:val="24"/>
          <w:highlight w:val="none"/>
        </w:rPr>
        <w:br w:type="page"/>
      </w:r>
    </w:p>
    <w:p w14:paraId="3DF52696">
      <w:pPr>
        <w:spacing w:line="300" w:lineRule="auto"/>
        <w:jc w:val="center"/>
        <w:rPr>
          <w:rFonts w:ascii="宋体"/>
          <w:b/>
          <w:sz w:val="24"/>
          <w:highlight w:val="none"/>
        </w:rPr>
      </w:pPr>
    </w:p>
    <w:p w14:paraId="276B8E6F">
      <w:pPr>
        <w:spacing w:line="300" w:lineRule="auto"/>
        <w:jc w:val="center"/>
        <w:rPr>
          <w:rFonts w:ascii="宋体"/>
          <w:b/>
          <w:sz w:val="24"/>
          <w:highlight w:val="none"/>
        </w:rPr>
      </w:pPr>
      <w:r>
        <w:rPr>
          <w:rFonts w:hint="eastAsia" w:ascii="宋体"/>
          <w:b/>
          <w:sz w:val="24"/>
          <w:highlight w:val="none"/>
        </w:rPr>
        <w:t>商务响应及偏离情况说明表（格式）</w:t>
      </w:r>
    </w:p>
    <w:p w14:paraId="13479F75">
      <w:pPr>
        <w:pStyle w:val="11"/>
        <w:rPr>
          <w:rFonts w:hAnsi="宋体"/>
          <w:b/>
          <w:sz w:val="30"/>
          <w:szCs w:val="30"/>
          <w:highlight w:val="none"/>
        </w:rPr>
      </w:pPr>
    </w:p>
    <w:p w14:paraId="64B6B897">
      <w:pPr>
        <w:pStyle w:val="10"/>
        <w:rPr>
          <w:rFonts w:hint="eastAsia"/>
          <w:highlight w:val="none"/>
        </w:rPr>
      </w:pPr>
      <w:r>
        <w:rPr>
          <w:rFonts w:hint="eastAsia"/>
          <w:highlight w:val="none"/>
        </w:rPr>
        <w:t>项目名称:</w:t>
      </w:r>
      <w:r>
        <w:rPr>
          <w:rFonts w:hint="eastAsia"/>
          <w:highlight w:val="none"/>
          <w:u w:val="single"/>
        </w:rPr>
        <w:t xml:space="preserve">              </w:t>
      </w:r>
      <w:r>
        <w:rPr>
          <w:rFonts w:hint="eastAsia"/>
          <w:highlight w:val="none"/>
        </w:rPr>
        <w:t xml:space="preserve">  </w:t>
      </w:r>
    </w:p>
    <w:p w14:paraId="5800192D">
      <w:pPr>
        <w:pStyle w:val="10"/>
        <w:rPr>
          <w:highlight w:val="none"/>
        </w:rPr>
      </w:pPr>
      <w:r>
        <w:rPr>
          <w:rFonts w:hint="eastAsia"/>
          <w:highlight w:val="none"/>
        </w:rPr>
        <w:t>项目编号:</w:t>
      </w:r>
      <w:r>
        <w:rPr>
          <w:rFonts w:hint="eastAsia"/>
          <w:highlight w:val="none"/>
          <w:u w:val="single"/>
        </w:rPr>
        <w:t xml:space="preserve">                </w:t>
      </w:r>
      <w:r>
        <w:rPr>
          <w:rFonts w:hint="eastAsia"/>
          <w:highlight w:val="none"/>
        </w:rPr>
        <w:t xml:space="preserve"> </w:t>
      </w:r>
    </w:p>
    <w:tbl>
      <w:tblPr>
        <w:tblStyle w:val="19"/>
        <w:tblW w:w="9013"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244"/>
        <w:gridCol w:w="2753"/>
        <w:gridCol w:w="1571"/>
        <w:gridCol w:w="805"/>
      </w:tblGrid>
      <w:tr w14:paraId="4F31395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766" w:hRule="atLeast"/>
          <w:jc w:val="center"/>
        </w:trPr>
        <w:tc>
          <w:tcPr>
            <w:tcW w:w="640" w:type="dxa"/>
            <w:vAlign w:val="center"/>
          </w:tcPr>
          <w:p w14:paraId="66D0B924">
            <w:pPr>
              <w:pStyle w:val="10"/>
              <w:jc w:val="center"/>
              <w:rPr>
                <w:highlight w:val="none"/>
              </w:rPr>
            </w:pPr>
            <w:r>
              <w:rPr>
                <w:rFonts w:hint="eastAsia"/>
                <w:highlight w:val="none"/>
              </w:rPr>
              <w:t>序号</w:t>
            </w:r>
          </w:p>
        </w:tc>
        <w:tc>
          <w:tcPr>
            <w:tcW w:w="3244" w:type="dxa"/>
            <w:vAlign w:val="center"/>
          </w:tcPr>
          <w:p w14:paraId="551DADC9">
            <w:pPr>
              <w:pStyle w:val="10"/>
              <w:jc w:val="center"/>
              <w:rPr>
                <w:highlight w:val="none"/>
              </w:rPr>
            </w:pPr>
            <w:r>
              <w:rPr>
                <w:rFonts w:hint="eastAsia" w:cs="Courier New"/>
                <w:highlight w:val="none"/>
              </w:rPr>
              <w:t>采购文件要求</w:t>
            </w:r>
          </w:p>
        </w:tc>
        <w:tc>
          <w:tcPr>
            <w:tcW w:w="2753" w:type="dxa"/>
            <w:vAlign w:val="center"/>
          </w:tcPr>
          <w:p w14:paraId="416E37C9">
            <w:pPr>
              <w:pStyle w:val="10"/>
              <w:jc w:val="center"/>
              <w:rPr>
                <w:highlight w:val="none"/>
              </w:rPr>
            </w:pPr>
            <w:r>
              <w:rPr>
                <w:rFonts w:hint="eastAsia" w:cs="Courier New"/>
                <w:highlight w:val="none"/>
              </w:rPr>
              <w:t>竞标响应情况</w:t>
            </w:r>
          </w:p>
        </w:tc>
        <w:tc>
          <w:tcPr>
            <w:tcW w:w="1571" w:type="dxa"/>
            <w:vAlign w:val="center"/>
          </w:tcPr>
          <w:p w14:paraId="19FCB7CD">
            <w:pPr>
              <w:pStyle w:val="10"/>
              <w:jc w:val="center"/>
              <w:rPr>
                <w:highlight w:val="none"/>
              </w:rPr>
            </w:pPr>
            <w:r>
              <w:rPr>
                <w:rFonts w:hint="eastAsia"/>
                <w:highlight w:val="none"/>
              </w:rPr>
              <w:t>是否响应（响应/正偏离/负偏离）</w:t>
            </w:r>
          </w:p>
        </w:tc>
        <w:tc>
          <w:tcPr>
            <w:tcW w:w="805" w:type="dxa"/>
            <w:vAlign w:val="center"/>
          </w:tcPr>
          <w:p w14:paraId="4F38EE08">
            <w:pPr>
              <w:pStyle w:val="10"/>
              <w:jc w:val="center"/>
              <w:rPr>
                <w:highlight w:val="none"/>
              </w:rPr>
            </w:pPr>
            <w:r>
              <w:rPr>
                <w:rFonts w:hint="eastAsia"/>
                <w:highlight w:val="none"/>
              </w:rPr>
              <w:t>备注</w:t>
            </w:r>
          </w:p>
        </w:tc>
      </w:tr>
      <w:tr w14:paraId="69AAFC8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00" w:hRule="atLeast"/>
          <w:jc w:val="center"/>
        </w:trPr>
        <w:tc>
          <w:tcPr>
            <w:tcW w:w="640" w:type="dxa"/>
            <w:vAlign w:val="center"/>
          </w:tcPr>
          <w:p w14:paraId="37ECFEE3">
            <w:pPr>
              <w:pStyle w:val="10"/>
              <w:jc w:val="center"/>
              <w:rPr>
                <w:highlight w:val="none"/>
              </w:rPr>
            </w:pPr>
            <w:r>
              <w:rPr>
                <w:rFonts w:hint="eastAsia"/>
                <w:highlight w:val="none"/>
              </w:rPr>
              <w:t>1</w:t>
            </w:r>
          </w:p>
        </w:tc>
        <w:tc>
          <w:tcPr>
            <w:tcW w:w="3244" w:type="dxa"/>
            <w:vAlign w:val="center"/>
          </w:tcPr>
          <w:p w14:paraId="16D24DF0">
            <w:pPr>
              <w:pStyle w:val="10"/>
              <w:jc w:val="center"/>
              <w:rPr>
                <w:highlight w:val="none"/>
              </w:rPr>
            </w:pPr>
          </w:p>
        </w:tc>
        <w:tc>
          <w:tcPr>
            <w:tcW w:w="2753" w:type="dxa"/>
            <w:vAlign w:val="center"/>
          </w:tcPr>
          <w:p w14:paraId="6D41715A">
            <w:pPr>
              <w:pStyle w:val="10"/>
              <w:jc w:val="center"/>
              <w:rPr>
                <w:highlight w:val="none"/>
              </w:rPr>
            </w:pPr>
          </w:p>
        </w:tc>
        <w:tc>
          <w:tcPr>
            <w:tcW w:w="1571" w:type="dxa"/>
            <w:vAlign w:val="center"/>
          </w:tcPr>
          <w:p w14:paraId="3ECFF26A">
            <w:pPr>
              <w:pStyle w:val="10"/>
              <w:jc w:val="center"/>
              <w:rPr>
                <w:highlight w:val="none"/>
              </w:rPr>
            </w:pPr>
          </w:p>
        </w:tc>
        <w:tc>
          <w:tcPr>
            <w:tcW w:w="805" w:type="dxa"/>
            <w:vAlign w:val="center"/>
          </w:tcPr>
          <w:p w14:paraId="1966AAAB">
            <w:pPr>
              <w:pStyle w:val="10"/>
              <w:jc w:val="center"/>
              <w:rPr>
                <w:highlight w:val="none"/>
              </w:rPr>
            </w:pPr>
          </w:p>
        </w:tc>
      </w:tr>
      <w:tr w14:paraId="2D7E6CC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640" w:type="dxa"/>
            <w:vAlign w:val="center"/>
          </w:tcPr>
          <w:p w14:paraId="1D0893D8">
            <w:pPr>
              <w:pStyle w:val="10"/>
              <w:jc w:val="center"/>
              <w:rPr>
                <w:highlight w:val="none"/>
              </w:rPr>
            </w:pPr>
            <w:r>
              <w:rPr>
                <w:rFonts w:hint="eastAsia"/>
                <w:highlight w:val="none"/>
              </w:rPr>
              <w:t>2</w:t>
            </w:r>
          </w:p>
        </w:tc>
        <w:tc>
          <w:tcPr>
            <w:tcW w:w="3244" w:type="dxa"/>
            <w:vAlign w:val="center"/>
          </w:tcPr>
          <w:p w14:paraId="1DC42FAF">
            <w:pPr>
              <w:pStyle w:val="10"/>
              <w:jc w:val="center"/>
              <w:rPr>
                <w:highlight w:val="none"/>
              </w:rPr>
            </w:pPr>
          </w:p>
        </w:tc>
        <w:tc>
          <w:tcPr>
            <w:tcW w:w="2753" w:type="dxa"/>
            <w:vAlign w:val="center"/>
          </w:tcPr>
          <w:p w14:paraId="308E9965">
            <w:pPr>
              <w:pStyle w:val="10"/>
              <w:jc w:val="center"/>
              <w:rPr>
                <w:highlight w:val="none"/>
              </w:rPr>
            </w:pPr>
          </w:p>
        </w:tc>
        <w:tc>
          <w:tcPr>
            <w:tcW w:w="1571" w:type="dxa"/>
            <w:vAlign w:val="center"/>
          </w:tcPr>
          <w:p w14:paraId="191551CC">
            <w:pPr>
              <w:pStyle w:val="10"/>
              <w:jc w:val="center"/>
              <w:rPr>
                <w:highlight w:val="none"/>
              </w:rPr>
            </w:pPr>
          </w:p>
        </w:tc>
        <w:tc>
          <w:tcPr>
            <w:tcW w:w="805" w:type="dxa"/>
            <w:vAlign w:val="center"/>
          </w:tcPr>
          <w:p w14:paraId="2627CEC3">
            <w:pPr>
              <w:pStyle w:val="10"/>
              <w:jc w:val="center"/>
              <w:rPr>
                <w:highlight w:val="none"/>
              </w:rPr>
            </w:pPr>
          </w:p>
        </w:tc>
      </w:tr>
      <w:tr w14:paraId="4A5608C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640" w:type="dxa"/>
            <w:vAlign w:val="center"/>
          </w:tcPr>
          <w:p w14:paraId="59C7B9C6">
            <w:pPr>
              <w:pStyle w:val="10"/>
              <w:jc w:val="center"/>
              <w:rPr>
                <w:highlight w:val="none"/>
              </w:rPr>
            </w:pPr>
            <w:r>
              <w:rPr>
                <w:rFonts w:hint="eastAsia"/>
                <w:highlight w:val="none"/>
              </w:rPr>
              <w:t>3</w:t>
            </w:r>
          </w:p>
        </w:tc>
        <w:tc>
          <w:tcPr>
            <w:tcW w:w="3244" w:type="dxa"/>
            <w:vAlign w:val="center"/>
          </w:tcPr>
          <w:p w14:paraId="66A90D9D">
            <w:pPr>
              <w:pStyle w:val="10"/>
              <w:jc w:val="center"/>
              <w:rPr>
                <w:highlight w:val="none"/>
              </w:rPr>
            </w:pPr>
          </w:p>
        </w:tc>
        <w:tc>
          <w:tcPr>
            <w:tcW w:w="2753" w:type="dxa"/>
            <w:vAlign w:val="center"/>
          </w:tcPr>
          <w:p w14:paraId="2B0957C7">
            <w:pPr>
              <w:pStyle w:val="10"/>
              <w:jc w:val="center"/>
              <w:rPr>
                <w:highlight w:val="none"/>
              </w:rPr>
            </w:pPr>
          </w:p>
        </w:tc>
        <w:tc>
          <w:tcPr>
            <w:tcW w:w="1571" w:type="dxa"/>
            <w:vAlign w:val="center"/>
          </w:tcPr>
          <w:p w14:paraId="5BCD51C6">
            <w:pPr>
              <w:pStyle w:val="10"/>
              <w:jc w:val="center"/>
              <w:rPr>
                <w:highlight w:val="none"/>
              </w:rPr>
            </w:pPr>
          </w:p>
        </w:tc>
        <w:tc>
          <w:tcPr>
            <w:tcW w:w="805" w:type="dxa"/>
            <w:vAlign w:val="center"/>
          </w:tcPr>
          <w:p w14:paraId="668FDE37">
            <w:pPr>
              <w:pStyle w:val="10"/>
              <w:jc w:val="center"/>
              <w:rPr>
                <w:highlight w:val="none"/>
              </w:rPr>
            </w:pPr>
          </w:p>
        </w:tc>
      </w:tr>
      <w:tr w14:paraId="53B7ECE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640" w:type="dxa"/>
            <w:vAlign w:val="center"/>
          </w:tcPr>
          <w:p w14:paraId="73EC1FEA">
            <w:pPr>
              <w:pStyle w:val="10"/>
              <w:jc w:val="center"/>
              <w:rPr>
                <w:highlight w:val="none"/>
              </w:rPr>
            </w:pPr>
            <w:r>
              <w:rPr>
                <w:rFonts w:hint="eastAsia"/>
                <w:highlight w:val="none"/>
              </w:rPr>
              <w:t>4</w:t>
            </w:r>
          </w:p>
        </w:tc>
        <w:tc>
          <w:tcPr>
            <w:tcW w:w="3244" w:type="dxa"/>
            <w:vAlign w:val="center"/>
          </w:tcPr>
          <w:p w14:paraId="7EC11A8A">
            <w:pPr>
              <w:pStyle w:val="10"/>
              <w:jc w:val="center"/>
              <w:rPr>
                <w:highlight w:val="none"/>
              </w:rPr>
            </w:pPr>
          </w:p>
        </w:tc>
        <w:tc>
          <w:tcPr>
            <w:tcW w:w="2753" w:type="dxa"/>
            <w:vAlign w:val="center"/>
          </w:tcPr>
          <w:p w14:paraId="51747EBE">
            <w:pPr>
              <w:pStyle w:val="10"/>
              <w:jc w:val="center"/>
              <w:rPr>
                <w:highlight w:val="none"/>
              </w:rPr>
            </w:pPr>
          </w:p>
        </w:tc>
        <w:tc>
          <w:tcPr>
            <w:tcW w:w="1571" w:type="dxa"/>
            <w:vAlign w:val="center"/>
          </w:tcPr>
          <w:p w14:paraId="7C22AFAD">
            <w:pPr>
              <w:pStyle w:val="10"/>
              <w:jc w:val="center"/>
              <w:rPr>
                <w:highlight w:val="none"/>
              </w:rPr>
            </w:pPr>
          </w:p>
        </w:tc>
        <w:tc>
          <w:tcPr>
            <w:tcW w:w="805" w:type="dxa"/>
            <w:vAlign w:val="center"/>
          </w:tcPr>
          <w:p w14:paraId="4BC397E5">
            <w:pPr>
              <w:pStyle w:val="10"/>
              <w:jc w:val="center"/>
              <w:rPr>
                <w:highlight w:val="none"/>
              </w:rPr>
            </w:pPr>
          </w:p>
        </w:tc>
      </w:tr>
      <w:tr w14:paraId="386CF70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640" w:type="dxa"/>
            <w:vAlign w:val="center"/>
          </w:tcPr>
          <w:p w14:paraId="57C9E5B3">
            <w:pPr>
              <w:pStyle w:val="10"/>
              <w:jc w:val="center"/>
              <w:rPr>
                <w:highlight w:val="none"/>
              </w:rPr>
            </w:pPr>
            <w:r>
              <w:rPr>
                <w:rFonts w:hint="eastAsia"/>
                <w:highlight w:val="none"/>
              </w:rPr>
              <w:t>5</w:t>
            </w:r>
          </w:p>
        </w:tc>
        <w:tc>
          <w:tcPr>
            <w:tcW w:w="3244" w:type="dxa"/>
            <w:vAlign w:val="center"/>
          </w:tcPr>
          <w:p w14:paraId="56918F6A">
            <w:pPr>
              <w:pStyle w:val="10"/>
              <w:jc w:val="center"/>
              <w:rPr>
                <w:highlight w:val="none"/>
              </w:rPr>
            </w:pPr>
          </w:p>
        </w:tc>
        <w:tc>
          <w:tcPr>
            <w:tcW w:w="2753" w:type="dxa"/>
            <w:vAlign w:val="center"/>
          </w:tcPr>
          <w:p w14:paraId="13BB25F7">
            <w:pPr>
              <w:pStyle w:val="10"/>
              <w:jc w:val="center"/>
              <w:rPr>
                <w:highlight w:val="none"/>
              </w:rPr>
            </w:pPr>
          </w:p>
        </w:tc>
        <w:tc>
          <w:tcPr>
            <w:tcW w:w="1571" w:type="dxa"/>
            <w:vAlign w:val="center"/>
          </w:tcPr>
          <w:p w14:paraId="6CBBB149">
            <w:pPr>
              <w:pStyle w:val="10"/>
              <w:jc w:val="center"/>
              <w:rPr>
                <w:highlight w:val="none"/>
              </w:rPr>
            </w:pPr>
          </w:p>
        </w:tc>
        <w:tc>
          <w:tcPr>
            <w:tcW w:w="805" w:type="dxa"/>
            <w:vAlign w:val="center"/>
          </w:tcPr>
          <w:p w14:paraId="0A0A00AB">
            <w:pPr>
              <w:pStyle w:val="10"/>
              <w:jc w:val="center"/>
              <w:rPr>
                <w:highlight w:val="none"/>
              </w:rPr>
            </w:pPr>
          </w:p>
        </w:tc>
      </w:tr>
      <w:tr w14:paraId="6A3798B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640" w:type="dxa"/>
            <w:vAlign w:val="center"/>
          </w:tcPr>
          <w:p w14:paraId="2E76567D">
            <w:pPr>
              <w:pStyle w:val="10"/>
              <w:jc w:val="center"/>
              <w:rPr>
                <w:highlight w:val="none"/>
              </w:rPr>
            </w:pPr>
            <w:r>
              <w:rPr>
                <w:rFonts w:hint="eastAsia"/>
                <w:highlight w:val="none"/>
              </w:rPr>
              <w:t>…</w:t>
            </w:r>
          </w:p>
        </w:tc>
        <w:tc>
          <w:tcPr>
            <w:tcW w:w="3244" w:type="dxa"/>
            <w:vAlign w:val="center"/>
          </w:tcPr>
          <w:p w14:paraId="32F8889D">
            <w:pPr>
              <w:pStyle w:val="10"/>
              <w:jc w:val="center"/>
              <w:rPr>
                <w:highlight w:val="none"/>
              </w:rPr>
            </w:pPr>
          </w:p>
        </w:tc>
        <w:tc>
          <w:tcPr>
            <w:tcW w:w="2753" w:type="dxa"/>
            <w:vAlign w:val="center"/>
          </w:tcPr>
          <w:p w14:paraId="55181ADA">
            <w:pPr>
              <w:pStyle w:val="10"/>
              <w:jc w:val="center"/>
              <w:rPr>
                <w:highlight w:val="none"/>
              </w:rPr>
            </w:pPr>
          </w:p>
        </w:tc>
        <w:tc>
          <w:tcPr>
            <w:tcW w:w="1571" w:type="dxa"/>
            <w:tcBorders>
              <w:right w:val="single" w:color="auto" w:sz="4" w:space="0"/>
            </w:tcBorders>
            <w:vAlign w:val="center"/>
          </w:tcPr>
          <w:p w14:paraId="6043CF62">
            <w:pPr>
              <w:pStyle w:val="10"/>
              <w:jc w:val="center"/>
              <w:rPr>
                <w:highlight w:val="none"/>
              </w:rPr>
            </w:pPr>
          </w:p>
        </w:tc>
        <w:tc>
          <w:tcPr>
            <w:tcW w:w="805" w:type="dxa"/>
            <w:tcBorders>
              <w:left w:val="single" w:color="auto" w:sz="4" w:space="0"/>
            </w:tcBorders>
            <w:vAlign w:val="center"/>
          </w:tcPr>
          <w:p w14:paraId="23A76061">
            <w:pPr>
              <w:pStyle w:val="10"/>
              <w:jc w:val="center"/>
              <w:rPr>
                <w:highlight w:val="none"/>
              </w:rPr>
            </w:pPr>
          </w:p>
        </w:tc>
      </w:tr>
    </w:tbl>
    <w:p w14:paraId="52861B94">
      <w:pPr>
        <w:wordWrap w:val="0"/>
        <w:adjustRightInd w:val="0"/>
        <w:snapToGrid w:val="0"/>
        <w:spacing w:line="420" w:lineRule="exact"/>
        <w:rPr>
          <w:rFonts w:ascii="宋体" w:hAnsi="宋体"/>
          <w:szCs w:val="21"/>
          <w:highlight w:val="none"/>
        </w:rPr>
      </w:pPr>
    </w:p>
    <w:p w14:paraId="19EC23AB">
      <w:pPr>
        <w:snapToGrid w:val="0"/>
        <w:spacing w:line="400" w:lineRule="exact"/>
        <w:ind w:firstLine="411" w:firstLineChars="196"/>
        <w:jc w:val="left"/>
        <w:rPr>
          <w:rFonts w:ascii="宋体" w:hAnsi="宋体" w:cs="宋体"/>
          <w:bCs/>
          <w:sz w:val="24"/>
          <w:highlight w:val="none"/>
        </w:rPr>
      </w:pPr>
      <w:r>
        <w:rPr>
          <w:rFonts w:hint="eastAsia" w:ascii="宋体" w:hAnsi="宋体"/>
          <w:szCs w:val="21"/>
          <w:highlight w:val="none"/>
        </w:rPr>
        <w:t>说明：应对照采购文件“第三章 采购需求” 对应的商务要求逐条列出并按上述要求如实填写，并结合自身投标情况在“竞标响应情况”栏列明承诺，在“是否响应”栏注明“响应或正/负偏离”。如果在“采购文件要求”栏和“竞标响应情况”栏仅简单注明“符合”、“满足”或简单“完全响应”概括的，将导致竞标文件被拒绝。</w:t>
      </w:r>
    </w:p>
    <w:p w14:paraId="617E883F">
      <w:pPr>
        <w:pStyle w:val="11"/>
        <w:rPr>
          <w:b/>
          <w:sz w:val="24"/>
          <w:highlight w:val="none"/>
        </w:rPr>
      </w:pPr>
    </w:p>
    <w:p w14:paraId="306A39E8">
      <w:pPr>
        <w:pStyle w:val="11"/>
        <w:rPr>
          <w:b/>
          <w:sz w:val="24"/>
          <w:highlight w:val="none"/>
        </w:rPr>
      </w:pPr>
    </w:p>
    <w:p w14:paraId="6CC2E229">
      <w:pPr>
        <w:pStyle w:val="10"/>
        <w:spacing w:line="360" w:lineRule="auto"/>
        <w:ind w:firstLine="840" w:firstLineChars="350"/>
        <w:rPr>
          <w:sz w:val="24"/>
          <w:szCs w:val="24"/>
          <w:highlight w:val="none"/>
        </w:rPr>
      </w:pPr>
      <w:r>
        <w:rPr>
          <w:rFonts w:hint="eastAsia"/>
          <w:sz w:val="24"/>
          <w:highlight w:val="none"/>
        </w:rPr>
        <w:t>供应商名称（电子签章）</w:t>
      </w:r>
      <w:r>
        <w:rPr>
          <w:rFonts w:hint="eastAsia"/>
          <w:sz w:val="24"/>
          <w:szCs w:val="24"/>
          <w:highlight w:val="none"/>
        </w:rPr>
        <w:t>：</w:t>
      </w:r>
      <w:r>
        <w:rPr>
          <w:rFonts w:hint="eastAsia"/>
          <w:sz w:val="24"/>
          <w:szCs w:val="24"/>
          <w:highlight w:val="none"/>
          <w:u w:val="single"/>
        </w:rPr>
        <w:t xml:space="preserve">                   </w:t>
      </w:r>
      <w:r>
        <w:rPr>
          <w:rFonts w:hint="eastAsia"/>
          <w:sz w:val="24"/>
          <w:szCs w:val="24"/>
          <w:highlight w:val="none"/>
        </w:rPr>
        <w:t xml:space="preserve">   </w:t>
      </w:r>
    </w:p>
    <w:p w14:paraId="73C045A9">
      <w:pPr>
        <w:pStyle w:val="10"/>
        <w:spacing w:line="360" w:lineRule="auto"/>
        <w:ind w:firstLine="840" w:firstLineChars="350"/>
        <w:rPr>
          <w:sz w:val="24"/>
          <w:szCs w:val="24"/>
          <w:highlight w:val="none"/>
        </w:rPr>
      </w:pPr>
      <w:r>
        <w:rPr>
          <w:rFonts w:hint="eastAsia"/>
          <w:sz w:val="24"/>
          <w:szCs w:val="24"/>
          <w:highlight w:val="none"/>
        </w:rPr>
        <w:t>法定代表人或授权代表</w:t>
      </w:r>
      <w:r>
        <w:rPr>
          <w:rFonts w:hint="eastAsia" w:hAnsi="宋体" w:cs="宋体"/>
          <w:sz w:val="22"/>
          <w:szCs w:val="22"/>
          <w:highlight w:val="none"/>
        </w:rPr>
        <w:t>（签字或电子签章）</w:t>
      </w:r>
      <w:r>
        <w:rPr>
          <w:rFonts w:hint="eastAsia"/>
          <w:sz w:val="24"/>
          <w:szCs w:val="24"/>
          <w:highlight w:val="none"/>
        </w:rPr>
        <w:t>:</w:t>
      </w:r>
      <w:r>
        <w:rPr>
          <w:rFonts w:hint="eastAsia"/>
          <w:sz w:val="24"/>
          <w:szCs w:val="24"/>
          <w:highlight w:val="none"/>
          <w:u w:val="single"/>
        </w:rPr>
        <w:t xml:space="preserve">        </w:t>
      </w:r>
    </w:p>
    <w:p w14:paraId="7B7DFEE8">
      <w:pPr>
        <w:pStyle w:val="10"/>
        <w:spacing w:line="360" w:lineRule="auto"/>
        <w:ind w:firstLine="840" w:firstLineChars="350"/>
        <w:rPr>
          <w:sz w:val="24"/>
          <w:szCs w:val="24"/>
          <w:highlight w:val="none"/>
          <w:u w:val="single"/>
        </w:rPr>
      </w:pPr>
      <w:r>
        <w:rPr>
          <w:rFonts w:hint="eastAsia"/>
          <w:sz w:val="24"/>
          <w:highlight w:val="none"/>
        </w:rPr>
        <w:t>日  期：</w:t>
      </w:r>
      <w:r>
        <w:rPr>
          <w:sz w:val="24"/>
          <w:highlight w:val="none"/>
          <w:u w:val="single"/>
        </w:rPr>
        <w:t xml:space="preserve">                 </w:t>
      </w:r>
      <w:r>
        <w:rPr>
          <w:sz w:val="24"/>
          <w:highlight w:val="none"/>
        </w:rPr>
        <w:t xml:space="preserve"> </w:t>
      </w:r>
    </w:p>
    <w:p w14:paraId="20689143">
      <w:pPr>
        <w:spacing w:line="300" w:lineRule="auto"/>
        <w:jc w:val="center"/>
        <w:rPr>
          <w:rFonts w:ascii="宋体"/>
          <w:b/>
          <w:sz w:val="24"/>
          <w:highlight w:val="none"/>
        </w:rPr>
      </w:pPr>
      <w:r>
        <w:rPr>
          <w:rFonts w:ascii="宋体"/>
          <w:b/>
          <w:sz w:val="24"/>
          <w:highlight w:val="none"/>
        </w:rPr>
        <w:br w:type="page"/>
      </w:r>
    </w:p>
    <w:p w14:paraId="6F4FA670">
      <w:pPr>
        <w:spacing w:line="300" w:lineRule="auto"/>
        <w:jc w:val="center"/>
        <w:rPr>
          <w:rFonts w:ascii="宋体"/>
          <w:b/>
          <w:sz w:val="24"/>
          <w:highlight w:val="none"/>
        </w:rPr>
      </w:pPr>
    </w:p>
    <w:p w14:paraId="574DC0F1">
      <w:pPr>
        <w:spacing w:line="300" w:lineRule="auto"/>
        <w:jc w:val="center"/>
        <w:rPr>
          <w:rFonts w:ascii="宋体"/>
          <w:b/>
          <w:sz w:val="24"/>
          <w:highlight w:val="none"/>
        </w:rPr>
      </w:pPr>
      <w:r>
        <w:rPr>
          <w:rFonts w:hint="eastAsia" w:ascii="宋体"/>
          <w:b/>
          <w:sz w:val="24"/>
          <w:highlight w:val="none"/>
        </w:rPr>
        <w:t>技术响应及偏离情况说明表（格式）</w:t>
      </w:r>
    </w:p>
    <w:p w14:paraId="7C3FB0B7">
      <w:pPr>
        <w:spacing w:line="300" w:lineRule="auto"/>
        <w:rPr>
          <w:rFonts w:ascii="宋体"/>
          <w:sz w:val="24"/>
          <w:highlight w:val="none"/>
        </w:rPr>
      </w:pPr>
    </w:p>
    <w:p w14:paraId="26FCEB02">
      <w:pPr>
        <w:spacing w:line="300" w:lineRule="auto"/>
        <w:rPr>
          <w:rFonts w:hint="eastAsia" w:ascii="宋体" w:hAnsi="宋体" w:cs="仿宋_GB2312"/>
          <w:sz w:val="24"/>
          <w:highlight w:val="none"/>
        </w:rPr>
      </w:pPr>
      <w:r>
        <w:rPr>
          <w:rFonts w:hint="eastAsia" w:ascii="宋体"/>
          <w:szCs w:val="21"/>
          <w:highlight w:val="none"/>
        </w:rPr>
        <w:t>项目名称:</w:t>
      </w:r>
      <w:r>
        <w:rPr>
          <w:rFonts w:hint="eastAsia" w:ascii="宋体" w:hAnsi="宋体" w:cs="仿宋_GB2312"/>
          <w:sz w:val="24"/>
          <w:highlight w:val="none"/>
          <w:u w:val="single"/>
        </w:rPr>
        <w:t xml:space="preserve">               </w:t>
      </w:r>
      <w:r>
        <w:rPr>
          <w:rFonts w:hint="eastAsia" w:ascii="宋体" w:hAnsi="宋体" w:cs="仿宋_GB2312"/>
          <w:sz w:val="24"/>
          <w:highlight w:val="none"/>
        </w:rPr>
        <w:t xml:space="preserve">   </w:t>
      </w:r>
    </w:p>
    <w:p w14:paraId="671FD15A">
      <w:pPr>
        <w:spacing w:line="300" w:lineRule="auto"/>
        <w:rPr>
          <w:rFonts w:ascii="宋体"/>
          <w:sz w:val="24"/>
          <w:highlight w:val="none"/>
        </w:rPr>
      </w:pPr>
      <w:r>
        <w:rPr>
          <w:rFonts w:hint="eastAsia" w:ascii="宋体"/>
          <w:szCs w:val="21"/>
          <w:highlight w:val="none"/>
        </w:rPr>
        <w:t>项目编号:</w:t>
      </w:r>
      <w:r>
        <w:rPr>
          <w:rFonts w:hint="eastAsia" w:ascii="宋体" w:hAnsi="宋体" w:cs="仿宋_GB2312"/>
          <w:sz w:val="24"/>
          <w:highlight w:val="none"/>
          <w:u w:val="single"/>
        </w:rPr>
        <w:t xml:space="preserve">               </w:t>
      </w:r>
      <w:r>
        <w:rPr>
          <w:rFonts w:hint="eastAsia" w:ascii="宋体" w:hAnsi="宋体" w:cs="仿宋_GB2312"/>
          <w:sz w:val="24"/>
          <w:highlight w:val="none"/>
        </w:rPr>
        <w:t xml:space="preserve">  </w:t>
      </w:r>
    </w:p>
    <w:tbl>
      <w:tblPr>
        <w:tblStyle w:val="19"/>
        <w:tblW w:w="8800"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5"/>
        <w:gridCol w:w="1164"/>
        <w:gridCol w:w="1843"/>
        <w:gridCol w:w="2126"/>
        <w:gridCol w:w="2127"/>
        <w:gridCol w:w="895"/>
      </w:tblGrid>
      <w:tr w14:paraId="1D8B083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645" w:type="dxa"/>
            <w:vAlign w:val="center"/>
          </w:tcPr>
          <w:p w14:paraId="1BC898C6">
            <w:pPr>
              <w:jc w:val="center"/>
              <w:rPr>
                <w:highlight w:val="none"/>
              </w:rPr>
            </w:pPr>
            <w:bookmarkStart w:id="16" w:name="_Toc173211900"/>
            <w:bookmarkStart w:id="17" w:name="_Toc254970729"/>
            <w:bookmarkStart w:id="18" w:name="_Toc254970588"/>
            <w:bookmarkStart w:id="19" w:name="_Toc173066401"/>
            <w:r>
              <w:rPr>
                <w:rFonts w:hint="eastAsia"/>
                <w:highlight w:val="none"/>
              </w:rPr>
              <w:t>序号</w:t>
            </w:r>
            <w:bookmarkEnd w:id="16"/>
            <w:bookmarkEnd w:id="17"/>
            <w:bookmarkEnd w:id="18"/>
            <w:bookmarkEnd w:id="19"/>
          </w:p>
        </w:tc>
        <w:tc>
          <w:tcPr>
            <w:tcW w:w="1164" w:type="dxa"/>
            <w:vAlign w:val="center"/>
          </w:tcPr>
          <w:p w14:paraId="46AB0EBB">
            <w:pPr>
              <w:jc w:val="center"/>
              <w:rPr>
                <w:highlight w:val="none"/>
              </w:rPr>
            </w:pPr>
            <w:r>
              <w:rPr>
                <w:rFonts w:hint="eastAsia"/>
                <w:highlight w:val="none"/>
              </w:rPr>
              <w:t>标的名称</w:t>
            </w:r>
          </w:p>
        </w:tc>
        <w:tc>
          <w:tcPr>
            <w:tcW w:w="1843" w:type="dxa"/>
            <w:vAlign w:val="center"/>
          </w:tcPr>
          <w:p w14:paraId="0653F4B8">
            <w:pPr>
              <w:jc w:val="center"/>
              <w:rPr>
                <w:highlight w:val="none"/>
              </w:rPr>
            </w:pPr>
            <w:bookmarkStart w:id="20" w:name="_Toc173066402"/>
            <w:bookmarkStart w:id="21" w:name="_Toc254970589"/>
            <w:bookmarkStart w:id="22" w:name="_Toc254970730"/>
            <w:bookmarkStart w:id="23" w:name="_Toc173211901"/>
            <w:r>
              <w:rPr>
                <w:rFonts w:hint="eastAsia"/>
                <w:highlight w:val="none"/>
              </w:rPr>
              <w:t>采购文件要求</w:t>
            </w:r>
            <w:bookmarkEnd w:id="20"/>
            <w:bookmarkEnd w:id="21"/>
            <w:bookmarkEnd w:id="22"/>
            <w:bookmarkEnd w:id="23"/>
          </w:p>
        </w:tc>
        <w:tc>
          <w:tcPr>
            <w:tcW w:w="2126" w:type="dxa"/>
            <w:vAlign w:val="center"/>
          </w:tcPr>
          <w:p w14:paraId="29E5A0DD">
            <w:pPr>
              <w:jc w:val="center"/>
              <w:rPr>
                <w:highlight w:val="none"/>
              </w:rPr>
            </w:pPr>
            <w:r>
              <w:rPr>
                <w:rFonts w:hint="eastAsia"/>
                <w:highlight w:val="none"/>
              </w:rPr>
              <w:t>竞标响应情况</w:t>
            </w:r>
          </w:p>
        </w:tc>
        <w:tc>
          <w:tcPr>
            <w:tcW w:w="2127" w:type="dxa"/>
            <w:vAlign w:val="center"/>
          </w:tcPr>
          <w:p w14:paraId="35E925F8">
            <w:pPr>
              <w:jc w:val="center"/>
              <w:rPr>
                <w:highlight w:val="none"/>
              </w:rPr>
            </w:pPr>
            <w:r>
              <w:rPr>
                <w:rFonts w:hint="eastAsia" w:hAnsi="宋体" w:cs="Courier New"/>
                <w:szCs w:val="21"/>
                <w:highlight w:val="none"/>
              </w:rPr>
              <w:t>偏离情况（无偏离/正偏离/负偏离）</w:t>
            </w:r>
          </w:p>
        </w:tc>
        <w:tc>
          <w:tcPr>
            <w:tcW w:w="895" w:type="dxa"/>
            <w:vAlign w:val="center"/>
          </w:tcPr>
          <w:p w14:paraId="483DC960">
            <w:pPr>
              <w:jc w:val="center"/>
              <w:rPr>
                <w:highlight w:val="none"/>
              </w:rPr>
            </w:pPr>
            <w:r>
              <w:rPr>
                <w:rFonts w:hint="eastAsia"/>
                <w:highlight w:val="none"/>
              </w:rPr>
              <w:t>备注</w:t>
            </w:r>
          </w:p>
        </w:tc>
      </w:tr>
      <w:tr w14:paraId="58372F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00" w:hRule="atLeast"/>
        </w:trPr>
        <w:tc>
          <w:tcPr>
            <w:tcW w:w="645" w:type="dxa"/>
            <w:vAlign w:val="center"/>
          </w:tcPr>
          <w:p w14:paraId="546E60CF">
            <w:pPr>
              <w:rPr>
                <w:highlight w:val="none"/>
              </w:rPr>
            </w:pPr>
            <w:bookmarkStart w:id="24" w:name="_Toc173211905"/>
            <w:bookmarkStart w:id="25" w:name="_Toc254970593"/>
            <w:bookmarkStart w:id="26" w:name="_Toc173066406"/>
            <w:bookmarkStart w:id="27" w:name="_Toc254970734"/>
            <w:r>
              <w:rPr>
                <w:rFonts w:hint="eastAsia"/>
                <w:highlight w:val="none"/>
              </w:rPr>
              <w:t>1</w:t>
            </w:r>
            <w:bookmarkEnd w:id="24"/>
            <w:bookmarkEnd w:id="25"/>
            <w:bookmarkEnd w:id="26"/>
            <w:bookmarkEnd w:id="27"/>
          </w:p>
        </w:tc>
        <w:tc>
          <w:tcPr>
            <w:tcW w:w="1164" w:type="dxa"/>
          </w:tcPr>
          <w:p w14:paraId="19DAF1A9">
            <w:pPr>
              <w:rPr>
                <w:highlight w:val="none"/>
              </w:rPr>
            </w:pPr>
          </w:p>
        </w:tc>
        <w:tc>
          <w:tcPr>
            <w:tcW w:w="1843" w:type="dxa"/>
            <w:vAlign w:val="center"/>
          </w:tcPr>
          <w:p w14:paraId="026BAD75">
            <w:pPr>
              <w:rPr>
                <w:highlight w:val="none"/>
              </w:rPr>
            </w:pPr>
          </w:p>
        </w:tc>
        <w:tc>
          <w:tcPr>
            <w:tcW w:w="2126" w:type="dxa"/>
            <w:vAlign w:val="center"/>
          </w:tcPr>
          <w:p w14:paraId="2794187D">
            <w:pPr>
              <w:rPr>
                <w:highlight w:val="none"/>
              </w:rPr>
            </w:pPr>
          </w:p>
        </w:tc>
        <w:tc>
          <w:tcPr>
            <w:tcW w:w="2127" w:type="dxa"/>
            <w:vAlign w:val="center"/>
          </w:tcPr>
          <w:p w14:paraId="12083EDE">
            <w:pPr>
              <w:rPr>
                <w:highlight w:val="none"/>
              </w:rPr>
            </w:pPr>
          </w:p>
        </w:tc>
        <w:tc>
          <w:tcPr>
            <w:tcW w:w="895" w:type="dxa"/>
            <w:vAlign w:val="center"/>
          </w:tcPr>
          <w:p w14:paraId="507E717D">
            <w:pPr>
              <w:rPr>
                <w:highlight w:val="none"/>
              </w:rPr>
            </w:pPr>
          </w:p>
        </w:tc>
      </w:tr>
      <w:tr w14:paraId="25725EF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645" w:type="dxa"/>
            <w:vAlign w:val="center"/>
          </w:tcPr>
          <w:p w14:paraId="0AC4187C">
            <w:pPr>
              <w:rPr>
                <w:highlight w:val="none"/>
              </w:rPr>
            </w:pPr>
            <w:bookmarkStart w:id="28" w:name="_Toc254970735"/>
            <w:bookmarkStart w:id="29" w:name="_Toc173211906"/>
            <w:bookmarkStart w:id="30" w:name="_Toc173066407"/>
            <w:bookmarkStart w:id="31" w:name="_Toc254970594"/>
            <w:r>
              <w:rPr>
                <w:rFonts w:hint="eastAsia"/>
                <w:highlight w:val="none"/>
              </w:rPr>
              <w:t>2</w:t>
            </w:r>
            <w:bookmarkEnd w:id="28"/>
            <w:bookmarkEnd w:id="29"/>
            <w:bookmarkEnd w:id="30"/>
            <w:bookmarkEnd w:id="31"/>
          </w:p>
        </w:tc>
        <w:tc>
          <w:tcPr>
            <w:tcW w:w="1164" w:type="dxa"/>
          </w:tcPr>
          <w:p w14:paraId="6C783CBE">
            <w:pPr>
              <w:rPr>
                <w:highlight w:val="none"/>
              </w:rPr>
            </w:pPr>
          </w:p>
        </w:tc>
        <w:tc>
          <w:tcPr>
            <w:tcW w:w="1843" w:type="dxa"/>
            <w:vAlign w:val="center"/>
          </w:tcPr>
          <w:p w14:paraId="6B33C5C0">
            <w:pPr>
              <w:rPr>
                <w:highlight w:val="none"/>
              </w:rPr>
            </w:pPr>
          </w:p>
        </w:tc>
        <w:tc>
          <w:tcPr>
            <w:tcW w:w="2126" w:type="dxa"/>
            <w:vAlign w:val="center"/>
          </w:tcPr>
          <w:p w14:paraId="4B53C73D">
            <w:pPr>
              <w:rPr>
                <w:highlight w:val="none"/>
              </w:rPr>
            </w:pPr>
          </w:p>
        </w:tc>
        <w:tc>
          <w:tcPr>
            <w:tcW w:w="2127" w:type="dxa"/>
            <w:vAlign w:val="center"/>
          </w:tcPr>
          <w:p w14:paraId="128EB435">
            <w:pPr>
              <w:rPr>
                <w:highlight w:val="none"/>
              </w:rPr>
            </w:pPr>
          </w:p>
        </w:tc>
        <w:tc>
          <w:tcPr>
            <w:tcW w:w="895" w:type="dxa"/>
            <w:vAlign w:val="center"/>
          </w:tcPr>
          <w:p w14:paraId="432B4BDB">
            <w:pPr>
              <w:rPr>
                <w:highlight w:val="none"/>
              </w:rPr>
            </w:pPr>
          </w:p>
        </w:tc>
      </w:tr>
      <w:tr w14:paraId="670D6AF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645" w:type="dxa"/>
            <w:vAlign w:val="center"/>
          </w:tcPr>
          <w:p w14:paraId="1971E698">
            <w:pPr>
              <w:rPr>
                <w:highlight w:val="none"/>
              </w:rPr>
            </w:pPr>
            <w:bookmarkStart w:id="32" w:name="_Toc173066408"/>
            <w:bookmarkStart w:id="33" w:name="_Toc173211907"/>
            <w:bookmarkStart w:id="34" w:name="_Toc254970736"/>
            <w:bookmarkStart w:id="35" w:name="_Toc254970595"/>
            <w:r>
              <w:rPr>
                <w:rFonts w:hint="eastAsia"/>
                <w:highlight w:val="none"/>
              </w:rPr>
              <w:t>3</w:t>
            </w:r>
            <w:bookmarkEnd w:id="32"/>
            <w:bookmarkEnd w:id="33"/>
            <w:bookmarkEnd w:id="34"/>
            <w:bookmarkEnd w:id="35"/>
          </w:p>
        </w:tc>
        <w:tc>
          <w:tcPr>
            <w:tcW w:w="1164" w:type="dxa"/>
          </w:tcPr>
          <w:p w14:paraId="72367FF2">
            <w:pPr>
              <w:rPr>
                <w:highlight w:val="none"/>
              </w:rPr>
            </w:pPr>
          </w:p>
        </w:tc>
        <w:tc>
          <w:tcPr>
            <w:tcW w:w="1843" w:type="dxa"/>
            <w:vAlign w:val="center"/>
          </w:tcPr>
          <w:p w14:paraId="11458CF0">
            <w:pPr>
              <w:rPr>
                <w:highlight w:val="none"/>
              </w:rPr>
            </w:pPr>
          </w:p>
        </w:tc>
        <w:tc>
          <w:tcPr>
            <w:tcW w:w="2126" w:type="dxa"/>
            <w:vAlign w:val="center"/>
          </w:tcPr>
          <w:p w14:paraId="4BD3BD9B">
            <w:pPr>
              <w:rPr>
                <w:highlight w:val="none"/>
              </w:rPr>
            </w:pPr>
          </w:p>
        </w:tc>
        <w:tc>
          <w:tcPr>
            <w:tcW w:w="2127" w:type="dxa"/>
            <w:vAlign w:val="center"/>
          </w:tcPr>
          <w:p w14:paraId="449C1850">
            <w:pPr>
              <w:rPr>
                <w:highlight w:val="none"/>
              </w:rPr>
            </w:pPr>
          </w:p>
        </w:tc>
        <w:tc>
          <w:tcPr>
            <w:tcW w:w="895" w:type="dxa"/>
            <w:vAlign w:val="center"/>
          </w:tcPr>
          <w:p w14:paraId="0EBB7D0A">
            <w:pPr>
              <w:rPr>
                <w:highlight w:val="none"/>
              </w:rPr>
            </w:pPr>
          </w:p>
        </w:tc>
      </w:tr>
      <w:tr w14:paraId="4408213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645" w:type="dxa"/>
            <w:vAlign w:val="center"/>
          </w:tcPr>
          <w:p w14:paraId="5DD3BCEC">
            <w:pPr>
              <w:rPr>
                <w:highlight w:val="none"/>
              </w:rPr>
            </w:pPr>
            <w:r>
              <w:rPr>
                <w:rFonts w:hint="eastAsia"/>
                <w:highlight w:val="none"/>
              </w:rPr>
              <w:t>4</w:t>
            </w:r>
          </w:p>
        </w:tc>
        <w:tc>
          <w:tcPr>
            <w:tcW w:w="1164" w:type="dxa"/>
          </w:tcPr>
          <w:p w14:paraId="306BBCCA">
            <w:pPr>
              <w:rPr>
                <w:highlight w:val="none"/>
              </w:rPr>
            </w:pPr>
          </w:p>
        </w:tc>
        <w:tc>
          <w:tcPr>
            <w:tcW w:w="1843" w:type="dxa"/>
            <w:vAlign w:val="center"/>
          </w:tcPr>
          <w:p w14:paraId="4CD50139">
            <w:pPr>
              <w:rPr>
                <w:highlight w:val="none"/>
              </w:rPr>
            </w:pPr>
          </w:p>
        </w:tc>
        <w:tc>
          <w:tcPr>
            <w:tcW w:w="2126" w:type="dxa"/>
            <w:vAlign w:val="center"/>
          </w:tcPr>
          <w:p w14:paraId="0849458A">
            <w:pPr>
              <w:rPr>
                <w:highlight w:val="none"/>
              </w:rPr>
            </w:pPr>
          </w:p>
        </w:tc>
        <w:tc>
          <w:tcPr>
            <w:tcW w:w="2127" w:type="dxa"/>
            <w:vAlign w:val="center"/>
          </w:tcPr>
          <w:p w14:paraId="303F03C0">
            <w:pPr>
              <w:rPr>
                <w:highlight w:val="none"/>
              </w:rPr>
            </w:pPr>
          </w:p>
        </w:tc>
        <w:tc>
          <w:tcPr>
            <w:tcW w:w="895" w:type="dxa"/>
            <w:vAlign w:val="center"/>
          </w:tcPr>
          <w:p w14:paraId="11176EC3">
            <w:pPr>
              <w:rPr>
                <w:highlight w:val="none"/>
              </w:rPr>
            </w:pPr>
          </w:p>
        </w:tc>
      </w:tr>
      <w:tr w14:paraId="1D34996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645" w:type="dxa"/>
            <w:vAlign w:val="center"/>
          </w:tcPr>
          <w:p w14:paraId="0D2BCA57">
            <w:pPr>
              <w:rPr>
                <w:highlight w:val="none"/>
              </w:rPr>
            </w:pPr>
            <w:r>
              <w:rPr>
                <w:rFonts w:hint="eastAsia"/>
                <w:highlight w:val="none"/>
              </w:rPr>
              <w:t>5</w:t>
            </w:r>
          </w:p>
        </w:tc>
        <w:tc>
          <w:tcPr>
            <w:tcW w:w="1164" w:type="dxa"/>
          </w:tcPr>
          <w:p w14:paraId="2BD0824C">
            <w:pPr>
              <w:rPr>
                <w:highlight w:val="none"/>
              </w:rPr>
            </w:pPr>
          </w:p>
        </w:tc>
        <w:tc>
          <w:tcPr>
            <w:tcW w:w="1843" w:type="dxa"/>
            <w:vAlign w:val="center"/>
          </w:tcPr>
          <w:p w14:paraId="269A6F2E">
            <w:pPr>
              <w:rPr>
                <w:highlight w:val="none"/>
              </w:rPr>
            </w:pPr>
          </w:p>
        </w:tc>
        <w:tc>
          <w:tcPr>
            <w:tcW w:w="2126" w:type="dxa"/>
            <w:vAlign w:val="center"/>
          </w:tcPr>
          <w:p w14:paraId="54E87FD7">
            <w:pPr>
              <w:rPr>
                <w:highlight w:val="none"/>
              </w:rPr>
            </w:pPr>
          </w:p>
        </w:tc>
        <w:tc>
          <w:tcPr>
            <w:tcW w:w="2127" w:type="dxa"/>
            <w:vAlign w:val="center"/>
          </w:tcPr>
          <w:p w14:paraId="6C7B20BE">
            <w:pPr>
              <w:rPr>
                <w:highlight w:val="none"/>
              </w:rPr>
            </w:pPr>
          </w:p>
        </w:tc>
        <w:tc>
          <w:tcPr>
            <w:tcW w:w="895" w:type="dxa"/>
            <w:vAlign w:val="center"/>
          </w:tcPr>
          <w:p w14:paraId="4968C645">
            <w:pPr>
              <w:rPr>
                <w:highlight w:val="none"/>
              </w:rPr>
            </w:pPr>
          </w:p>
        </w:tc>
      </w:tr>
      <w:tr w14:paraId="3A0024E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trPr>
        <w:tc>
          <w:tcPr>
            <w:tcW w:w="645" w:type="dxa"/>
            <w:vAlign w:val="center"/>
          </w:tcPr>
          <w:p w14:paraId="2130E531">
            <w:pPr>
              <w:rPr>
                <w:highlight w:val="none"/>
              </w:rPr>
            </w:pPr>
            <w:bookmarkStart w:id="36" w:name="_Toc173211914"/>
            <w:bookmarkStart w:id="37" w:name="_Toc254970743"/>
            <w:bookmarkStart w:id="38" w:name="_Toc254970602"/>
            <w:bookmarkStart w:id="39" w:name="_Toc173066415"/>
            <w:r>
              <w:rPr>
                <w:rFonts w:hint="eastAsia"/>
                <w:highlight w:val="none"/>
              </w:rPr>
              <w:t>…</w:t>
            </w:r>
            <w:bookmarkEnd w:id="36"/>
            <w:bookmarkEnd w:id="37"/>
            <w:bookmarkEnd w:id="38"/>
            <w:bookmarkEnd w:id="39"/>
          </w:p>
        </w:tc>
        <w:tc>
          <w:tcPr>
            <w:tcW w:w="1164" w:type="dxa"/>
          </w:tcPr>
          <w:p w14:paraId="1DE51EF4">
            <w:pPr>
              <w:rPr>
                <w:highlight w:val="none"/>
              </w:rPr>
            </w:pPr>
          </w:p>
        </w:tc>
        <w:tc>
          <w:tcPr>
            <w:tcW w:w="1843" w:type="dxa"/>
            <w:vAlign w:val="center"/>
          </w:tcPr>
          <w:p w14:paraId="23E26580">
            <w:pPr>
              <w:rPr>
                <w:highlight w:val="none"/>
              </w:rPr>
            </w:pPr>
          </w:p>
        </w:tc>
        <w:tc>
          <w:tcPr>
            <w:tcW w:w="2126" w:type="dxa"/>
            <w:vAlign w:val="center"/>
          </w:tcPr>
          <w:p w14:paraId="31DBE328">
            <w:pPr>
              <w:rPr>
                <w:highlight w:val="none"/>
              </w:rPr>
            </w:pPr>
          </w:p>
        </w:tc>
        <w:tc>
          <w:tcPr>
            <w:tcW w:w="2127" w:type="dxa"/>
            <w:tcBorders>
              <w:right w:val="single" w:color="auto" w:sz="4" w:space="0"/>
            </w:tcBorders>
            <w:vAlign w:val="center"/>
          </w:tcPr>
          <w:p w14:paraId="57FEB2BA">
            <w:pPr>
              <w:rPr>
                <w:highlight w:val="none"/>
              </w:rPr>
            </w:pPr>
          </w:p>
        </w:tc>
        <w:tc>
          <w:tcPr>
            <w:tcW w:w="895" w:type="dxa"/>
            <w:tcBorders>
              <w:left w:val="single" w:color="auto" w:sz="4" w:space="0"/>
            </w:tcBorders>
            <w:vAlign w:val="center"/>
          </w:tcPr>
          <w:p w14:paraId="3A6C1D49">
            <w:pPr>
              <w:rPr>
                <w:highlight w:val="none"/>
              </w:rPr>
            </w:pPr>
          </w:p>
        </w:tc>
      </w:tr>
    </w:tbl>
    <w:p w14:paraId="2515F49B">
      <w:pPr>
        <w:snapToGrid w:val="0"/>
        <w:spacing w:line="400" w:lineRule="exact"/>
        <w:ind w:firstLine="470" w:firstLineChars="196"/>
        <w:jc w:val="left"/>
        <w:rPr>
          <w:sz w:val="24"/>
          <w:highlight w:val="none"/>
        </w:rPr>
      </w:pPr>
    </w:p>
    <w:p w14:paraId="3699BB64">
      <w:pPr>
        <w:spacing w:line="360" w:lineRule="auto"/>
        <w:rPr>
          <w:rFonts w:hint="eastAsia"/>
          <w:highlight w:val="none"/>
        </w:rPr>
      </w:pPr>
      <w:r>
        <w:rPr>
          <w:rFonts w:hint="eastAsia"/>
          <w:highlight w:val="none"/>
        </w:rPr>
        <w:t>说明：应对照竞争性谈判采购文件“第三章 采购需求”，逐条说明所提供货物和服务已对竞争性谈判采购文件的“技术规格及参数要求”做出了实质性的响应，并申明与技术规格条文的响应和偏离。</w:t>
      </w:r>
    </w:p>
    <w:p w14:paraId="60B79BE9">
      <w:pPr>
        <w:spacing w:line="360" w:lineRule="auto"/>
        <w:rPr>
          <w:highlight w:val="none"/>
        </w:rPr>
      </w:pPr>
      <w:r>
        <w:rPr>
          <w:rFonts w:hint="eastAsia"/>
          <w:highlight w:val="none"/>
        </w:rPr>
        <w:t>（1）表格内容均需按要求填写并盖章，不得留空，否则按竞标无效处理。</w:t>
      </w:r>
    </w:p>
    <w:p w14:paraId="646C43B2">
      <w:pPr>
        <w:spacing w:line="360" w:lineRule="auto"/>
        <w:rPr>
          <w:highlight w:val="none"/>
        </w:rPr>
      </w:pPr>
      <w:r>
        <w:rPr>
          <w:rFonts w:hint="eastAsia"/>
          <w:highlight w:val="none"/>
        </w:rPr>
        <w:t>（2）当竞标文件的技术参数或商务内容低于采购文件要求时，供应商应当如实写明“负偏离”，否则视为虚假应标。</w:t>
      </w:r>
    </w:p>
    <w:p w14:paraId="03399B36">
      <w:pPr>
        <w:pStyle w:val="10"/>
        <w:spacing w:line="300" w:lineRule="auto"/>
        <w:rPr>
          <w:sz w:val="24"/>
          <w:szCs w:val="24"/>
          <w:highlight w:val="none"/>
        </w:rPr>
      </w:pPr>
    </w:p>
    <w:p w14:paraId="12503505">
      <w:pPr>
        <w:pStyle w:val="10"/>
        <w:spacing w:line="360" w:lineRule="auto"/>
        <w:ind w:firstLine="840" w:firstLineChars="350"/>
        <w:rPr>
          <w:sz w:val="24"/>
          <w:szCs w:val="24"/>
          <w:highlight w:val="none"/>
        </w:rPr>
      </w:pPr>
      <w:r>
        <w:rPr>
          <w:rFonts w:hint="eastAsia"/>
          <w:sz w:val="24"/>
          <w:highlight w:val="none"/>
        </w:rPr>
        <w:t>供应商名称（电子签章）</w:t>
      </w:r>
      <w:r>
        <w:rPr>
          <w:rFonts w:hint="eastAsia"/>
          <w:sz w:val="24"/>
          <w:szCs w:val="24"/>
          <w:highlight w:val="none"/>
        </w:rPr>
        <w:t>：</w:t>
      </w:r>
      <w:r>
        <w:rPr>
          <w:rFonts w:hint="eastAsia"/>
          <w:sz w:val="24"/>
          <w:szCs w:val="24"/>
          <w:highlight w:val="none"/>
          <w:u w:val="single"/>
        </w:rPr>
        <w:t xml:space="preserve">                   </w:t>
      </w:r>
      <w:r>
        <w:rPr>
          <w:rFonts w:hint="eastAsia"/>
          <w:sz w:val="24"/>
          <w:szCs w:val="24"/>
          <w:highlight w:val="none"/>
        </w:rPr>
        <w:t xml:space="preserve">   </w:t>
      </w:r>
    </w:p>
    <w:p w14:paraId="2E3379CD">
      <w:pPr>
        <w:pStyle w:val="10"/>
        <w:spacing w:line="360" w:lineRule="auto"/>
        <w:ind w:firstLine="840" w:firstLineChars="350"/>
        <w:rPr>
          <w:sz w:val="24"/>
          <w:szCs w:val="24"/>
          <w:highlight w:val="none"/>
        </w:rPr>
      </w:pPr>
      <w:r>
        <w:rPr>
          <w:rFonts w:hint="eastAsia"/>
          <w:sz w:val="24"/>
          <w:szCs w:val="24"/>
          <w:highlight w:val="none"/>
        </w:rPr>
        <w:t>法定代表人或授权代表</w:t>
      </w:r>
      <w:r>
        <w:rPr>
          <w:rFonts w:hint="eastAsia" w:hAnsi="宋体" w:cs="宋体"/>
          <w:sz w:val="22"/>
          <w:szCs w:val="22"/>
          <w:highlight w:val="none"/>
        </w:rPr>
        <w:t>（签字或电子签章）</w:t>
      </w:r>
      <w:r>
        <w:rPr>
          <w:rFonts w:hint="eastAsia"/>
          <w:sz w:val="24"/>
          <w:szCs w:val="24"/>
          <w:highlight w:val="none"/>
        </w:rPr>
        <w:t>:</w:t>
      </w:r>
      <w:r>
        <w:rPr>
          <w:rFonts w:hint="eastAsia"/>
          <w:sz w:val="24"/>
          <w:szCs w:val="24"/>
          <w:highlight w:val="none"/>
          <w:u w:val="single"/>
        </w:rPr>
        <w:t xml:space="preserve">        </w:t>
      </w:r>
    </w:p>
    <w:p w14:paraId="40A7C209">
      <w:pPr>
        <w:pStyle w:val="10"/>
        <w:spacing w:line="360" w:lineRule="auto"/>
        <w:ind w:firstLine="840" w:firstLineChars="350"/>
        <w:rPr>
          <w:sz w:val="24"/>
          <w:szCs w:val="24"/>
          <w:highlight w:val="none"/>
          <w:u w:val="single"/>
        </w:rPr>
      </w:pPr>
      <w:r>
        <w:rPr>
          <w:rFonts w:hint="eastAsia"/>
          <w:sz w:val="24"/>
          <w:highlight w:val="none"/>
        </w:rPr>
        <w:t>日  期：</w:t>
      </w:r>
      <w:r>
        <w:rPr>
          <w:sz w:val="24"/>
          <w:highlight w:val="none"/>
          <w:u w:val="single"/>
        </w:rPr>
        <w:t xml:space="preserve">                 </w:t>
      </w:r>
      <w:r>
        <w:rPr>
          <w:sz w:val="24"/>
          <w:highlight w:val="none"/>
        </w:rPr>
        <w:t xml:space="preserve"> </w:t>
      </w:r>
    </w:p>
    <w:p w14:paraId="662BB6E0">
      <w:pPr>
        <w:spacing w:line="300" w:lineRule="auto"/>
        <w:jc w:val="center"/>
        <w:rPr>
          <w:rFonts w:ascii="宋体"/>
          <w:sz w:val="24"/>
          <w:highlight w:val="none"/>
        </w:rPr>
      </w:pPr>
      <w:r>
        <w:rPr>
          <w:rFonts w:ascii="宋体"/>
          <w:sz w:val="24"/>
          <w:highlight w:val="none"/>
        </w:rPr>
        <w:br w:type="page"/>
      </w:r>
    </w:p>
    <w:p w14:paraId="6C25E816">
      <w:pPr>
        <w:pStyle w:val="2"/>
        <w:ind w:firstLine="0"/>
        <w:jc w:val="left"/>
        <w:rPr>
          <w:rFonts w:hint="eastAsia" w:ascii="宋体" w:hAnsi="宋体"/>
          <w:b/>
          <w:bCs/>
          <w:sz w:val="28"/>
          <w:szCs w:val="28"/>
          <w:highlight w:val="none"/>
        </w:rPr>
      </w:pPr>
      <w:r>
        <w:rPr>
          <w:rFonts w:hint="eastAsia" w:ascii="宋体" w:hAnsi="宋体"/>
          <w:b/>
          <w:bCs/>
          <w:sz w:val="28"/>
          <w:szCs w:val="28"/>
          <w:highlight w:val="none"/>
        </w:rPr>
        <w:t>备注：在二次</w:t>
      </w:r>
      <w:r>
        <w:rPr>
          <w:rFonts w:hint="eastAsia" w:ascii="宋体" w:hAnsi="宋体"/>
          <w:b/>
          <w:bCs/>
          <w:sz w:val="28"/>
          <w:szCs w:val="28"/>
          <w:highlight w:val="none"/>
          <w:lang w:val="en-US" w:eastAsia="zh-CN"/>
        </w:rPr>
        <w:t>/最终</w:t>
      </w:r>
      <w:r>
        <w:rPr>
          <w:rFonts w:hint="eastAsia" w:ascii="宋体" w:hAnsi="宋体"/>
          <w:b/>
          <w:bCs/>
          <w:sz w:val="28"/>
          <w:szCs w:val="28"/>
          <w:highlight w:val="none"/>
        </w:rPr>
        <w:t>报价期间以附件形式</w:t>
      </w:r>
      <w:r>
        <w:rPr>
          <w:rFonts w:hint="eastAsia" w:ascii="宋体" w:hAnsi="宋体"/>
          <w:b/>
          <w:bCs/>
          <w:sz w:val="28"/>
          <w:szCs w:val="28"/>
          <w:highlight w:val="none"/>
          <w:lang w:val="en-US" w:eastAsia="zh-CN"/>
        </w:rPr>
        <w:t>上传或</w:t>
      </w:r>
      <w:r>
        <w:rPr>
          <w:rFonts w:hint="eastAsia" w:ascii="宋体" w:hAnsi="宋体"/>
          <w:b/>
          <w:bCs/>
          <w:sz w:val="28"/>
          <w:szCs w:val="28"/>
          <w:highlight w:val="none"/>
        </w:rPr>
        <w:t>提交</w:t>
      </w:r>
    </w:p>
    <w:p w14:paraId="61CC6D9D">
      <w:pPr>
        <w:pStyle w:val="11"/>
        <w:ind w:firstLine="2891" w:firstLineChars="900"/>
        <w:jc w:val="both"/>
        <w:rPr>
          <w:b/>
          <w:sz w:val="32"/>
          <w:szCs w:val="32"/>
          <w:highlight w:val="none"/>
        </w:rPr>
      </w:pPr>
      <w:r>
        <w:rPr>
          <w:rFonts w:hint="eastAsia"/>
          <w:b/>
          <w:sz w:val="32"/>
          <w:szCs w:val="32"/>
          <w:highlight w:val="none"/>
          <w:lang w:val="en-US" w:eastAsia="zh-CN"/>
        </w:rPr>
        <w:t>二次/最终</w:t>
      </w:r>
      <w:r>
        <w:rPr>
          <w:rFonts w:hint="eastAsia"/>
          <w:b/>
          <w:sz w:val="32"/>
          <w:szCs w:val="32"/>
          <w:highlight w:val="none"/>
        </w:rPr>
        <w:t xml:space="preserve"> 报 价 表</w:t>
      </w:r>
    </w:p>
    <w:p w14:paraId="5751D0F1">
      <w:pPr>
        <w:spacing w:line="500" w:lineRule="exact"/>
        <w:jc w:val="left"/>
        <w:rPr>
          <w:rFonts w:ascii="宋体"/>
          <w:szCs w:val="21"/>
          <w:highlight w:val="none"/>
        </w:rPr>
      </w:pPr>
      <w:r>
        <w:rPr>
          <w:rFonts w:hint="eastAsia" w:ascii="宋体"/>
          <w:szCs w:val="21"/>
          <w:highlight w:val="none"/>
        </w:rPr>
        <w:t>项目名称:</w:t>
      </w:r>
      <w:r>
        <w:rPr>
          <w:rFonts w:hint="eastAsia" w:ascii="宋体" w:hAnsi="宋体" w:cs="仿宋_GB2312"/>
          <w:sz w:val="24"/>
          <w:highlight w:val="none"/>
          <w:u w:val="single"/>
        </w:rPr>
        <w:t xml:space="preserve">               </w:t>
      </w:r>
      <w:r>
        <w:rPr>
          <w:rFonts w:hint="eastAsia" w:ascii="宋体" w:hAnsi="宋体" w:cs="仿宋_GB2312"/>
          <w:sz w:val="24"/>
          <w:highlight w:val="none"/>
        </w:rPr>
        <w:t xml:space="preserve">    </w:t>
      </w:r>
      <w:r>
        <w:rPr>
          <w:rFonts w:hint="eastAsia" w:ascii="宋体" w:hAnsi="宋体" w:cs="仿宋_GB2312"/>
          <w:sz w:val="24"/>
          <w:highlight w:val="none"/>
          <w:lang w:val="en-US" w:eastAsia="zh-CN"/>
        </w:rPr>
        <w:t xml:space="preserve">  </w:t>
      </w:r>
      <w:r>
        <w:rPr>
          <w:rFonts w:hint="eastAsia" w:ascii="宋体"/>
          <w:szCs w:val="21"/>
          <w:highlight w:val="none"/>
        </w:rPr>
        <w:t>项目编号:</w:t>
      </w:r>
      <w:r>
        <w:rPr>
          <w:rFonts w:hint="eastAsia" w:ascii="宋体" w:hAnsi="宋体" w:cs="仿宋_GB2312"/>
          <w:sz w:val="24"/>
          <w:highlight w:val="none"/>
          <w:u w:val="single"/>
        </w:rPr>
        <w:t xml:space="preserve">               </w:t>
      </w:r>
      <w:r>
        <w:rPr>
          <w:rFonts w:hint="eastAsia" w:ascii="宋体" w:hAnsi="宋体" w:cs="仿宋_GB2312"/>
          <w:sz w:val="24"/>
          <w:highlight w:val="none"/>
        </w:rPr>
        <w:t xml:space="preserve">   </w:t>
      </w:r>
    </w:p>
    <w:tbl>
      <w:tblPr>
        <w:tblStyle w:val="19"/>
        <w:tblW w:w="9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5"/>
        <w:gridCol w:w="1001"/>
        <w:gridCol w:w="945"/>
        <w:gridCol w:w="2218"/>
        <w:gridCol w:w="1940"/>
        <w:gridCol w:w="865"/>
        <w:gridCol w:w="1419"/>
        <w:gridCol w:w="583"/>
      </w:tblGrid>
      <w:tr w14:paraId="7A0D5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3" w:hRule="atLeast"/>
          <w:jc w:val="center"/>
        </w:trPr>
        <w:tc>
          <w:tcPr>
            <w:tcW w:w="565" w:type="dxa"/>
            <w:vAlign w:val="center"/>
          </w:tcPr>
          <w:p w14:paraId="2BC0A905">
            <w:pPr>
              <w:pStyle w:val="10"/>
              <w:jc w:val="center"/>
              <w:rPr>
                <w:szCs w:val="21"/>
                <w:highlight w:val="none"/>
              </w:rPr>
            </w:pPr>
            <w:r>
              <w:rPr>
                <w:rFonts w:hint="eastAsia"/>
                <w:szCs w:val="21"/>
                <w:highlight w:val="none"/>
              </w:rPr>
              <w:t>项号</w:t>
            </w:r>
          </w:p>
        </w:tc>
        <w:tc>
          <w:tcPr>
            <w:tcW w:w="1001" w:type="dxa"/>
            <w:vAlign w:val="center"/>
          </w:tcPr>
          <w:p w14:paraId="6CDD2E4E">
            <w:pPr>
              <w:pStyle w:val="10"/>
              <w:jc w:val="center"/>
              <w:rPr>
                <w:szCs w:val="21"/>
                <w:highlight w:val="none"/>
              </w:rPr>
            </w:pPr>
            <w:r>
              <w:rPr>
                <w:rFonts w:hint="eastAsia" w:ascii="Times New Roman" w:cs="宋体"/>
                <w:kern w:val="0"/>
                <w:szCs w:val="21"/>
                <w:highlight w:val="none"/>
              </w:rPr>
              <w:t>标的</w:t>
            </w:r>
            <w:r>
              <w:rPr>
                <w:rFonts w:hint="eastAsia"/>
                <w:szCs w:val="21"/>
                <w:highlight w:val="none"/>
              </w:rPr>
              <w:t>名称</w:t>
            </w:r>
          </w:p>
        </w:tc>
        <w:tc>
          <w:tcPr>
            <w:tcW w:w="945" w:type="dxa"/>
            <w:vAlign w:val="center"/>
          </w:tcPr>
          <w:p w14:paraId="124AC1BB">
            <w:pPr>
              <w:pStyle w:val="10"/>
              <w:jc w:val="center"/>
              <w:rPr>
                <w:szCs w:val="21"/>
                <w:highlight w:val="none"/>
              </w:rPr>
            </w:pPr>
            <w:r>
              <w:rPr>
                <w:rFonts w:hint="eastAsia"/>
                <w:szCs w:val="21"/>
                <w:highlight w:val="none"/>
              </w:rPr>
              <w:t>数量及单位</w:t>
            </w:r>
          </w:p>
          <w:p w14:paraId="0A53FBD2">
            <w:pPr>
              <w:pStyle w:val="10"/>
              <w:numPr>
                <w:ilvl w:val="0"/>
                <w:numId w:val="3"/>
              </w:numPr>
              <w:jc w:val="center"/>
              <w:rPr>
                <w:szCs w:val="21"/>
                <w:highlight w:val="none"/>
              </w:rPr>
            </w:pPr>
          </w:p>
        </w:tc>
        <w:tc>
          <w:tcPr>
            <w:tcW w:w="2218" w:type="dxa"/>
            <w:vAlign w:val="center"/>
          </w:tcPr>
          <w:p w14:paraId="4D347F7B">
            <w:pPr>
              <w:pStyle w:val="10"/>
              <w:jc w:val="center"/>
              <w:rPr>
                <w:szCs w:val="21"/>
                <w:highlight w:val="none"/>
              </w:rPr>
            </w:pPr>
            <w:r>
              <w:rPr>
                <w:rFonts w:hint="eastAsia"/>
                <w:szCs w:val="21"/>
                <w:highlight w:val="none"/>
              </w:rPr>
              <w:t>品牌</w:t>
            </w:r>
          </w:p>
        </w:tc>
        <w:tc>
          <w:tcPr>
            <w:tcW w:w="1940" w:type="dxa"/>
            <w:vAlign w:val="center"/>
          </w:tcPr>
          <w:p w14:paraId="25662421">
            <w:pPr>
              <w:pStyle w:val="10"/>
              <w:jc w:val="center"/>
              <w:rPr>
                <w:szCs w:val="21"/>
                <w:highlight w:val="none"/>
              </w:rPr>
            </w:pPr>
            <w:r>
              <w:rPr>
                <w:rFonts w:hint="eastAsia" w:hAnsi="宋体" w:cs="宋体"/>
                <w:szCs w:val="21"/>
                <w:highlight w:val="none"/>
              </w:rPr>
              <w:t>规格或型号</w:t>
            </w:r>
          </w:p>
        </w:tc>
        <w:tc>
          <w:tcPr>
            <w:tcW w:w="865" w:type="dxa"/>
            <w:vAlign w:val="center"/>
          </w:tcPr>
          <w:p w14:paraId="02C8B64E">
            <w:pPr>
              <w:pStyle w:val="10"/>
              <w:jc w:val="center"/>
              <w:rPr>
                <w:szCs w:val="21"/>
                <w:highlight w:val="none"/>
              </w:rPr>
            </w:pPr>
            <w:r>
              <w:rPr>
                <w:rFonts w:hint="eastAsia"/>
                <w:szCs w:val="21"/>
                <w:highlight w:val="none"/>
              </w:rPr>
              <w:t>单价</w:t>
            </w:r>
          </w:p>
          <w:p w14:paraId="130AEC61">
            <w:pPr>
              <w:pStyle w:val="10"/>
              <w:jc w:val="center"/>
              <w:rPr>
                <w:szCs w:val="21"/>
                <w:highlight w:val="none"/>
              </w:rPr>
            </w:pPr>
            <w:r>
              <w:rPr>
                <w:rFonts w:hint="eastAsia"/>
                <w:szCs w:val="21"/>
                <w:highlight w:val="none"/>
              </w:rPr>
              <w:t>（元)</w:t>
            </w:r>
          </w:p>
          <w:p w14:paraId="41372B60">
            <w:pPr>
              <w:pStyle w:val="10"/>
              <w:jc w:val="center"/>
              <w:rPr>
                <w:szCs w:val="21"/>
                <w:highlight w:val="none"/>
              </w:rPr>
            </w:pPr>
            <w:r>
              <w:rPr>
                <w:rFonts w:hint="eastAsia"/>
                <w:szCs w:val="21"/>
                <w:highlight w:val="none"/>
              </w:rPr>
              <w:t>②</w:t>
            </w:r>
          </w:p>
        </w:tc>
        <w:tc>
          <w:tcPr>
            <w:tcW w:w="1419" w:type="dxa"/>
            <w:vAlign w:val="center"/>
          </w:tcPr>
          <w:p w14:paraId="4502081F">
            <w:pPr>
              <w:pStyle w:val="10"/>
              <w:jc w:val="center"/>
              <w:rPr>
                <w:szCs w:val="21"/>
                <w:highlight w:val="none"/>
              </w:rPr>
            </w:pPr>
            <w:r>
              <w:rPr>
                <w:rFonts w:hint="eastAsia"/>
                <w:szCs w:val="21"/>
                <w:highlight w:val="none"/>
              </w:rPr>
              <w:t>单项合价（元）</w:t>
            </w:r>
          </w:p>
          <w:p w14:paraId="59F9FA49">
            <w:pPr>
              <w:pStyle w:val="10"/>
              <w:jc w:val="center"/>
              <w:rPr>
                <w:szCs w:val="21"/>
                <w:highlight w:val="none"/>
              </w:rPr>
            </w:pPr>
            <w:r>
              <w:rPr>
                <w:rFonts w:hint="eastAsia"/>
                <w:szCs w:val="21"/>
                <w:highlight w:val="none"/>
              </w:rPr>
              <w:t>③=①×②</w:t>
            </w:r>
          </w:p>
        </w:tc>
        <w:tc>
          <w:tcPr>
            <w:tcW w:w="583" w:type="dxa"/>
            <w:vAlign w:val="center"/>
          </w:tcPr>
          <w:p w14:paraId="77692F19">
            <w:pPr>
              <w:pStyle w:val="10"/>
              <w:jc w:val="center"/>
              <w:rPr>
                <w:szCs w:val="21"/>
                <w:highlight w:val="none"/>
              </w:rPr>
            </w:pPr>
            <w:r>
              <w:rPr>
                <w:rFonts w:hint="eastAsia"/>
                <w:szCs w:val="21"/>
                <w:highlight w:val="none"/>
              </w:rPr>
              <w:t>备注</w:t>
            </w:r>
          </w:p>
        </w:tc>
      </w:tr>
      <w:tr w14:paraId="48D65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8" w:hRule="atLeast"/>
          <w:jc w:val="center"/>
        </w:trPr>
        <w:tc>
          <w:tcPr>
            <w:tcW w:w="565" w:type="dxa"/>
            <w:vAlign w:val="center"/>
          </w:tcPr>
          <w:p w14:paraId="40622F5F">
            <w:pPr>
              <w:jc w:val="center"/>
              <w:rPr>
                <w:rFonts w:ascii="宋体"/>
                <w:sz w:val="24"/>
                <w:highlight w:val="none"/>
              </w:rPr>
            </w:pPr>
            <w:r>
              <w:rPr>
                <w:rFonts w:hint="eastAsia" w:ascii="宋体"/>
                <w:sz w:val="24"/>
                <w:highlight w:val="none"/>
              </w:rPr>
              <w:t>1</w:t>
            </w:r>
          </w:p>
        </w:tc>
        <w:tc>
          <w:tcPr>
            <w:tcW w:w="1001" w:type="dxa"/>
            <w:vAlign w:val="center"/>
          </w:tcPr>
          <w:p w14:paraId="4646F7C6">
            <w:pPr>
              <w:jc w:val="center"/>
              <w:rPr>
                <w:rFonts w:ascii="宋体"/>
                <w:sz w:val="24"/>
                <w:highlight w:val="none"/>
              </w:rPr>
            </w:pPr>
          </w:p>
        </w:tc>
        <w:tc>
          <w:tcPr>
            <w:tcW w:w="945" w:type="dxa"/>
            <w:vAlign w:val="center"/>
          </w:tcPr>
          <w:p w14:paraId="6F656C18">
            <w:pPr>
              <w:jc w:val="center"/>
              <w:rPr>
                <w:rFonts w:ascii="宋体"/>
                <w:sz w:val="24"/>
                <w:highlight w:val="none"/>
              </w:rPr>
            </w:pPr>
          </w:p>
        </w:tc>
        <w:tc>
          <w:tcPr>
            <w:tcW w:w="2218" w:type="dxa"/>
            <w:vAlign w:val="center"/>
          </w:tcPr>
          <w:p w14:paraId="1E96211C">
            <w:pPr>
              <w:pStyle w:val="10"/>
              <w:rPr>
                <w:sz w:val="24"/>
                <w:szCs w:val="24"/>
                <w:highlight w:val="none"/>
              </w:rPr>
            </w:pPr>
          </w:p>
        </w:tc>
        <w:tc>
          <w:tcPr>
            <w:tcW w:w="1940" w:type="dxa"/>
            <w:vAlign w:val="center"/>
          </w:tcPr>
          <w:p w14:paraId="32C68C16">
            <w:pPr>
              <w:pStyle w:val="10"/>
              <w:rPr>
                <w:sz w:val="24"/>
                <w:szCs w:val="24"/>
                <w:highlight w:val="none"/>
              </w:rPr>
            </w:pPr>
          </w:p>
        </w:tc>
        <w:tc>
          <w:tcPr>
            <w:tcW w:w="865" w:type="dxa"/>
            <w:vAlign w:val="center"/>
          </w:tcPr>
          <w:p w14:paraId="547D6E05">
            <w:pPr>
              <w:pStyle w:val="10"/>
              <w:rPr>
                <w:sz w:val="24"/>
                <w:szCs w:val="24"/>
                <w:highlight w:val="none"/>
              </w:rPr>
            </w:pPr>
          </w:p>
        </w:tc>
        <w:tc>
          <w:tcPr>
            <w:tcW w:w="1419" w:type="dxa"/>
            <w:vAlign w:val="center"/>
          </w:tcPr>
          <w:p w14:paraId="71F7C2AF">
            <w:pPr>
              <w:pStyle w:val="10"/>
              <w:rPr>
                <w:sz w:val="24"/>
                <w:szCs w:val="24"/>
                <w:highlight w:val="none"/>
              </w:rPr>
            </w:pPr>
          </w:p>
        </w:tc>
        <w:tc>
          <w:tcPr>
            <w:tcW w:w="583" w:type="dxa"/>
            <w:vAlign w:val="center"/>
          </w:tcPr>
          <w:p w14:paraId="31D5D7CC">
            <w:pPr>
              <w:pStyle w:val="10"/>
              <w:rPr>
                <w:sz w:val="24"/>
                <w:szCs w:val="24"/>
                <w:highlight w:val="none"/>
              </w:rPr>
            </w:pPr>
          </w:p>
        </w:tc>
      </w:tr>
      <w:tr w14:paraId="0FCFA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8" w:hRule="atLeast"/>
          <w:jc w:val="center"/>
        </w:trPr>
        <w:tc>
          <w:tcPr>
            <w:tcW w:w="565" w:type="dxa"/>
            <w:vAlign w:val="center"/>
          </w:tcPr>
          <w:p w14:paraId="6CE2EFBD">
            <w:pPr>
              <w:jc w:val="center"/>
              <w:rPr>
                <w:rFonts w:ascii="宋体"/>
                <w:sz w:val="24"/>
                <w:highlight w:val="none"/>
              </w:rPr>
            </w:pPr>
            <w:r>
              <w:rPr>
                <w:rFonts w:hint="eastAsia" w:ascii="宋体"/>
                <w:sz w:val="24"/>
                <w:highlight w:val="none"/>
              </w:rPr>
              <w:t>2</w:t>
            </w:r>
          </w:p>
        </w:tc>
        <w:tc>
          <w:tcPr>
            <w:tcW w:w="1001" w:type="dxa"/>
            <w:vAlign w:val="center"/>
          </w:tcPr>
          <w:p w14:paraId="0C8087A9">
            <w:pPr>
              <w:jc w:val="center"/>
              <w:rPr>
                <w:rFonts w:ascii="宋体"/>
                <w:sz w:val="24"/>
                <w:highlight w:val="none"/>
              </w:rPr>
            </w:pPr>
          </w:p>
        </w:tc>
        <w:tc>
          <w:tcPr>
            <w:tcW w:w="945" w:type="dxa"/>
            <w:vAlign w:val="center"/>
          </w:tcPr>
          <w:p w14:paraId="6311055D">
            <w:pPr>
              <w:jc w:val="center"/>
              <w:rPr>
                <w:rFonts w:ascii="宋体"/>
                <w:sz w:val="24"/>
                <w:highlight w:val="none"/>
              </w:rPr>
            </w:pPr>
          </w:p>
        </w:tc>
        <w:tc>
          <w:tcPr>
            <w:tcW w:w="2218" w:type="dxa"/>
            <w:vAlign w:val="center"/>
          </w:tcPr>
          <w:p w14:paraId="36E60EC5">
            <w:pPr>
              <w:pStyle w:val="10"/>
              <w:rPr>
                <w:sz w:val="24"/>
                <w:szCs w:val="24"/>
                <w:highlight w:val="none"/>
              </w:rPr>
            </w:pPr>
          </w:p>
        </w:tc>
        <w:tc>
          <w:tcPr>
            <w:tcW w:w="1940" w:type="dxa"/>
            <w:vAlign w:val="center"/>
          </w:tcPr>
          <w:p w14:paraId="48308427">
            <w:pPr>
              <w:pStyle w:val="10"/>
              <w:rPr>
                <w:sz w:val="24"/>
                <w:szCs w:val="24"/>
                <w:highlight w:val="none"/>
              </w:rPr>
            </w:pPr>
          </w:p>
        </w:tc>
        <w:tc>
          <w:tcPr>
            <w:tcW w:w="865" w:type="dxa"/>
            <w:vAlign w:val="center"/>
          </w:tcPr>
          <w:p w14:paraId="6048AC51">
            <w:pPr>
              <w:pStyle w:val="10"/>
              <w:rPr>
                <w:sz w:val="24"/>
                <w:szCs w:val="24"/>
                <w:highlight w:val="none"/>
              </w:rPr>
            </w:pPr>
          </w:p>
        </w:tc>
        <w:tc>
          <w:tcPr>
            <w:tcW w:w="1419" w:type="dxa"/>
            <w:vAlign w:val="center"/>
          </w:tcPr>
          <w:p w14:paraId="7402E95A">
            <w:pPr>
              <w:pStyle w:val="10"/>
              <w:rPr>
                <w:sz w:val="24"/>
                <w:szCs w:val="24"/>
                <w:highlight w:val="none"/>
              </w:rPr>
            </w:pPr>
          </w:p>
        </w:tc>
        <w:tc>
          <w:tcPr>
            <w:tcW w:w="583" w:type="dxa"/>
            <w:vAlign w:val="center"/>
          </w:tcPr>
          <w:p w14:paraId="5812F950">
            <w:pPr>
              <w:pStyle w:val="10"/>
              <w:rPr>
                <w:sz w:val="24"/>
                <w:szCs w:val="24"/>
                <w:highlight w:val="none"/>
              </w:rPr>
            </w:pPr>
          </w:p>
        </w:tc>
      </w:tr>
      <w:tr w14:paraId="31952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8" w:hRule="atLeast"/>
          <w:jc w:val="center"/>
        </w:trPr>
        <w:tc>
          <w:tcPr>
            <w:tcW w:w="565" w:type="dxa"/>
            <w:vAlign w:val="center"/>
          </w:tcPr>
          <w:p w14:paraId="5701B1DB">
            <w:pPr>
              <w:jc w:val="center"/>
              <w:rPr>
                <w:rFonts w:ascii="宋体"/>
                <w:sz w:val="24"/>
                <w:highlight w:val="none"/>
              </w:rPr>
            </w:pPr>
            <w:r>
              <w:rPr>
                <w:rFonts w:hint="eastAsia" w:ascii="宋体"/>
                <w:sz w:val="24"/>
                <w:highlight w:val="none"/>
              </w:rPr>
              <w:t>…</w:t>
            </w:r>
          </w:p>
        </w:tc>
        <w:tc>
          <w:tcPr>
            <w:tcW w:w="1001" w:type="dxa"/>
            <w:vAlign w:val="center"/>
          </w:tcPr>
          <w:p w14:paraId="75108DDB">
            <w:pPr>
              <w:jc w:val="center"/>
              <w:rPr>
                <w:rFonts w:ascii="宋体"/>
                <w:sz w:val="24"/>
                <w:highlight w:val="none"/>
              </w:rPr>
            </w:pPr>
          </w:p>
        </w:tc>
        <w:tc>
          <w:tcPr>
            <w:tcW w:w="945" w:type="dxa"/>
            <w:vAlign w:val="center"/>
          </w:tcPr>
          <w:p w14:paraId="2B167503">
            <w:pPr>
              <w:jc w:val="center"/>
              <w:rPr>
                <w:rFonts w:ascii="宋体"/>
                <w:sz w:val="24"/>
                <w:highlight w:val="none"/>
              </w:rPr>
            </w:pPr>
          </w:p>
        </w:tc>
        <w:tc>
          <w:tcPr>
            <w:tcW w:w="2218" w:type="dxa"/>
            <w:vAlign w:val="center"/>
          </w:tcPr>
          <w:p w14:paraId="5BFD154D">
            <w:pPr>
              <w:pStyle w:val="10"/>
              <w:rPr>
                <w:sz w:val="24"/>
                <w:szCs w:val="24"/>
                <w:highlight w:val="none"/>
              </w:rPr>
            </w:pPr>
          </w:p>
        </w:tc>
        <w:tc>
          <w:tcPr>
            <w:tcW w:w="1940" w:type="dxa"/>
            <w:vAlign w:val="center"/>
          </w:tcPr>
          <w:p w14:paraId="0E6ECD46">
            <w:pPr>
              <w:pStyle w:val="10"/>
              <w:rPr>
                <w:sz w:val="24"/>
                <w:szCs w:val="24"/>
                <w:highlight w:val="none"/>
              </w:rPr>
            </w:pPr>
          </w:p>
        </w:tc>
        <w:tc>
          <w:tcPr>
            <w:tcW w:w="865" w:type="dxa"/>
            <w:vAlign w:val="center"/>
          </w:tcPr>
          <w:p w14:paraId="22A99CE5">
            <w:pPr>
              <w:pStyle w:val="10"/>
              <w:rPr>
                <w:sz w:val="24"/>
                <w:szCs w:val="24"/>
                <w:highlight w:val="none"/>
              </w:rPr>
            </w:pPr>
          </w:p>
        </w:tc>
        <w:tc>
          <w:tcPr>
            <w:tcW w:w="1419" w:type="dxa"/>
            <w:vAlign w:val="center"/>
          </w:tcPr>
          <w:p w14:paraId="11444769">
            <w:pPr>
              <w:pStyle w:val="10"/>
              <w:rPr>
                <w:sz w:val="24"/>
                <w:szCs w:val="24"/>
                <w:highlight w:val="none"/>
              </w:rPr>
            </w:pPr>
          </w:p>
        </w:tc>
        <w:tc>
          <w:tcPr>
            <w:tcW w:w="583" w:type="dxa"/>
            <w:vAlign w:val="center"/>
          </w:tcPr>
          <w:p w14:paraId="26CD5096">
            <w:pPr>
              <w:pStyle w:val="10"/>
              <w:rPr>
                <w:sz w:val="24"/>
                <w:szCs w:val="24"/>
                <w:highlight w:val="none"/>
              </w:rPr>
            </w:pPr>
          </w:p>
        </w:tc>
      </w:tr>
      <w:tr w14:paraId="04C69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8" w:hRule="atLeast"/>
          <w:jc w:val="center"/>
        </w:trPr>
        <w:tc>
          <w:tcPr>
            <w:tcW w:w="565" w:type="dxa"/>
            <w:vAlign w:val="center"/>
          </w:tcPr>
          <w:p w14:paraId="348B4CBB">
            <w:pPr>
              <w:jc w:val="center"/>
              <w:rPr>
                <w:rFonts w:ascii="宋体"/>
                <w:sz w:val="24"/>
                <w:highlight w:val="none"/>
              </w:rPr>
            </w:pPr>
            <w:r>
              <w:rPr>
                <w:rFonts w:hint="eastAsia" w:ascii="宋体"/>
                <w:sz w:val="24"/>
                <w:highlight w:val="none"/>
              </w:rPr>
              <w:t>N</w:t>
            </w:r>
          </w:p>
        </w:tc>
        <w:tc>
          <w:tcPr>
            <w:tcW w:w="1001" w:type="dxa"/>
            <w:vAlign w:val="center"/>
          </w:tcPr>
          <w:p w14:paraId="5CB5AE3E">
            <w:pPr>
              <w:jc w:val="center"/>
              <w:rPr>
                <w:rFonts w:ascii="宋体"/>
                <w:sz w:val="24"/>
                <w:highlight w:val="none"/>
              </w:rPr>
            </w:pPr>
          </w:p>
        </w:tc>
        <w:tc>
          <w:tcPr>
            <w:tcW w:w="945" w:type="dxa"/>
            <w:vAlign w:val="center"/>
          </w:tcPr>
          <w:p w14:paraId="6AEA13C5">
            <w:pPr>
              <w:jc w:val="center"/>
              <w:rPr>
                <w:rFonts w:ascii="宋体"/>
                <w:sz w:val="24"/>
                <w:highlight w:val="none"/>
              </w:rPr>
            </w:pPr>
          </w:p>
        </w:tc>
        <w:tc>
          <w:tcPr>
            <w:tcW w:w="2218" w:type="dxa"/>
            <w:vAlign w:val="center"/>
          </w:tcPr>
          <w:p w14:paraId="543DE5C4">
            <w:pPr>
              <w:pStyle w:val="10"/>
              <w:rPr>
                <w:sz w:val="24"/>
                <w:szCs w:val="24"/>
                <w:highlight w:val="none"/>
              </w:rPr>
            </w:pPr>
          </w:p>
        </w:tc>
        <w:tc>
          <w:tcPr>
            <w:tcW w:w="1940" w:type="dxa"/>
            <w:vAlign w:val="center"/>
          </w:tcPr>
          <w:p w14:paraId="6D4417AA">
            <w:pPr>
              <w:pStyle w:val="10"/>
              <w:rPr>
                <w:sz w:val="24"/>
                <w:szCs w:val="24"/>
                <w:highlight w:val="none"/>
              </w:rPr>
            </w:pPr>
          </w:p>
        </w:tc>
        <w:tc>
          <w:tcPr>
            <w:tcW w:w="865" w:type="dxa"/>
            <w:vAlign w:val="center"/>
          </w:tcPr>
          <w:p w14:paraId="0EE28AC1">
            <w:pPr>
              <w:pStyle w:val="10"/>
              <w:rPr>
                <w:sz w:val="24"/>
                <w:szCs w:val="24"/>
                <w:highlight w:val="none"/>
              </w:rPr>
            </w:pPr>
          </w:p>
        </w:tc>
        <w:tc>
          <w:tcPr>
            <w:tcW w:w="1419" w:type="dxa"/>
            <w:vAlign w:val="center"/>
          </w:tcPr>
          <w:p w14:paraId="0F635F03">
            <w:pPr>
              <w:pStyle w:val="10"/>
              <w:rPr>
                <w:sz w:val="24"/>
                <w:szCs w:val="24"/>
                <w:highlight w:val="none"/>
              </w:rPr>
            </w:pPr>
          </w:p>
        </w:tc>
        <w:tc>
          <w:tcPr>
            <w:tcW w:w="583" w:type="dxa"/>
            <w:vAlign w:val="center"/>
          </w:tcPr>
          <w:p w14:paraId="0669EEB2">
            <w:pPr>
              <w:pStyle w:val="10"/>
              <w:rPr>
                <w:sz w:val="24"/>
                <w:szCs w:val="24"/>
                <w:highlight w:val="none"/>
              </w:rPr>
            </w:pPr>
          </w:p>
        </w:tc>
      </w:tr>
      <w:tr w14:paraId="292AD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6" w:hRule="atLeast"/>
          <w:jc w:val="center"/>
        </w:trPr>
        <w:tc>
          <w:tcPr>
            <w:tcW w:w="9536" w:type="dxa"/>
            <w:gridSpan w:val="8"/>
            <w:vAlign w:val="center"/>
          </w:tcPr>
          <w:p w14:paraId="57CFE9DC">
            <w:pPr>
              <w:pStyle w:val="10"/>
              <w:rPr>
                <w:sz w:val="24"/>
                <w:szCs w:val="24"/>
                <w:highlight w:val="none"/>
              </w:rPr>
            </w:pPr>
            <w:r>
              <w:rPr>
                <w:rFonts w:hint="eastAsia"/>
                <w:sz w:val="24"/>
                <w:szCs w:val="24"/>
                <w:highlight w:val="none"/>
              </w:rPr>
              <w:t>总报价（人民币大写）：                   （￥            元）</w:t>
            </w:r>
          </w:p>
        </w:tc>
      </w:tr>
      <w:tr w14:paraId="795FE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2" w:hRule="atLeast"/>
          <w:jc w:val="center"/>
        </w:trPr>
        <w:tc>
          <w:tcPr>
            <w:tcW w:w="9536" w:type="dxa"/>
            <w:gridSpan w:val="8"/>
            <w:vAlign w:val="center"/>
          </w:tcPr>
          <w:p w14:paraId="609E9C91">
            <w:pPr>
              <w:pStyle w:val="10"/>
              <w:rPr>
                <w:sz w:val="24"/>
                <w:szCs w:val="24"/>
                <w:highlight w:val="none"/>
              </w:rPr>
            </w:pPr>
            <w:r>
              <w:rPr>
                <w:rFonts w:hint="eastAsia"/>
                <w:sz w:val="24"/>
                <w:szCs w:val="24"/>
                <w:highlight w:val="none"/>
                <w:lang w:val="en-US" w:eastAsia="zh-CN"/>
              </w:rPr>
              <w:t>合同履行期限</w:t>
            </w:r>
            <w:r>
              <w:rPr>
                <w:rFonts w:hint="eastAsia"/>
                <w:sz w:val="24"/>
                <w:szCs w:val="24"/>
                <w:highlight w:val="none"/>
              </w:rPr>
              <w:t>：</w:t>
            </w:r>
            <w:r>
              <w:rPr>
                <w:rFonts w:hint="eastAsia"/>
                <w:sz w:val="24"/>
                <w:szCs w:val="24"/>
                <w:highlight w:val="none"/>
                <w:u w:val="single"/>
              </w:rPr>
              <w:t xml:space="preserve">                               </w:t>
            </w:r>
            <w:r>
              <w:rPr>
                <w:rFonts w:hint="eastAsia"/>
                <w:sz w:val="24"/>
                <w:szCs w:val="24"/>
                <w:highlight w:val="none"/>
              </w:rPr>
              <w:t xml:space="preserve"> </w:t>
            </w:r>
          </w:p>
        </w:tc>
      </w:tr>
      <w:tr w14:paraId="56714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2" w:hRule="atLeast"/>
          <w:jc w:val="center"/>
        </w:trPr>
        <w:tc>
          <w:tcPr>
            <w:tcW w:w="9536" w:type="dxa"/>
            <w:gridSpan w:val="8"/>
            <w:vAlign w:val="center"/>
          </w:tcPr>
          <w:p w14:paraId="64D88F64">
            <w:pPr>
              <w:pStyle w:val="10"/>
              <w:ind w:firstLine="210" w:firstLineChars="100"/>
              <w:rPr>
                <w:rFonts w:hint="eastAsia"/>
                <w:sz w:val="24"/>
                <w:szCs w:val="24"/>
                <w:highlight w:val="none"/>
              </w:rPr>
            </w:pPr>
            <w:r>
              <w:rPr>
                <w:rFonts w:hint="eastAsia" w:ascii="宋体" w:hAnsi="宋体" w:cs="宋体"/>
                <w:szCs w:val="21"/>
              </w:rPr>
              <w:t>竞标货物中，属于本国产品总值为</w:t>
            </w:r>
            <w:r>
              <w:rPr>
                <w:rFonts w:hint="eastAsia" w:ascii="宋体" w:hAnsi="宋体" w:cs="宋体"/>
                <w:szCs w:val="21"/>
                <w:u w:val="single"/>
              </w:rPr>
              <w:t>¥       元</w:t>
            </w:r>
            <w:r>
              <w:rPr>
                <w:rFonts w:hint="eastAsia" w:ascii="宋体" w:hAnsi="宋体" w:cs="宋体"/>
                <w:szCs w:val="21"/>
              </w:rPr>
              <w:t>（具体明细详见附表，附表格式自拟），占投标产品报价的比例为</w:t>
            </w:r>
            <w:r>
              <w:rPr>
                <w:rFonts w:hint="eastAsia" w:ascii="宋体" w:hAnsi="宋体" w:cs="宋体"/>
                <w:szCs w:val="21"/>
                <w:u w:val="single"/>
              </w:rPr>
              <w:t xml:space="preserve">    %</w:t>
            </w:r>
            <w:r>
              <w:rPr>
                <w:rFonts w:hint="eastAsia" w:ascii="宋体" w:hAnsi="宋体" w:cs="宋体"/>
                <w:szCs w:val="21"/>
              </w:rPr>
              <w:t>；属于优先采购节能产品总值为</w:t>
            </w:r>
            <w:r>
              <w:rPr>
                <w:rFonts w:hint="eastAsia" w:ascii="宋体" w:hAnsi="宋体" w:cs="宋体"/>
                <w:szCs w:val="21"/>
                <w:u w:val="single"/>
              </w:rPr>
              <w:t>¥       元</w:t>
            </w:r>
            <w:r>
              <w:rPr>
                <w:rFonts w:hint="eastAsia" w:ascii="宋体" w:hAnsi="宋体" w:cs="宋体"/>
                <w:szCs w:val="21"/>
              </w:rPr>
              <w:t>（具体明细详见附表，附表格式自拟），占本竞标报价的比例为</w:t>
            </w:r>
            <w:r>
              <w:rPr>
                <w:rFonts w:hint="eastAsia" w:ascii="宋体" w:hAnsi="宋体" w:cs="宋体"/>
                <w:szCs w:val="21"/>
                <w:u w:val="single"/>
              </w:rPr>
              <w:t xml:space="preserve">    %</w:t>
            </w:r>
            <w:r>
              <w:rPr>
                <w:rFonts w:hint="eastAsia" w:ascii="宋体" w:hAnsi="宋体" w:cs="宋体"/>
                <w:szCs w:val="21"/>
              </w:rPr>
              <w:t>；属于优先采购环境标志产品总值为</w:t>
            </w:r>
            <w:r>
              <w:rPr>
                <w:rFonts w:hint="eastAsia" w:ascii="宋体" w:hAnsi="宋体" w:cs="宋体"/>
                <w:szCs w:val="21"/>
                <w:u w:val="single"/>
              </w:rPr>
              <w:t>¥       元</w:t>
            </w:r>
            <w:r>
              <w:rPr>
                <w:rFonts w:hint="eastAsia" w:ascii="宋体" w:hAnsi="宋体" w:cs="宋体"/>
                <w:szCs w:val="21"/>
              </w:rPr>
              <w:t>（具体明细详见附表，附表格式自拟），占本竞标报价的比例为</w:t>
            </w:r>
            <w:r>
              <w:rPr>
                <w:rFonts w:hint="eastAsia" w:ascii="宋体" w:hAnsi="宋体" w:cs="宋体"/>
                <w:szCs w:val="21"/>
                <w:u w:val="single"/>
              </w:rPr>
              <w:t xml:space="preserve">   %</w:t>
            </w:r>
          </w:p>
        </w:tc>
      </w:tr>
    </w:tbl>
    <w:p w14:paraId="08127F06">
      <w:pPr>
        <w:spacing w:line="276" w:lineRule="auto"/>
        <w:rPr>
          <w:rFonts w:ascii="宋体" w:hAnsi="宋体"/>
          <w:szCs w:val="21"/>
          <w:highlight w:val="none"/>
        </w:rPr>
      </w:pPr>
      <w:r>
        <w:rPr>
          <w:rFonts w:hint="eastAsia" w:ascii="宋体" w:hAnsi="宋体"/>
          <w:szCs w:val="21"/>
          <w:highlight w:val="none"/>
        </w:rPr>
        <w:t>注：</w:t>
      </w:r>
    </w:p>
    <w:p w14:paraId="766E5456">
      <w:pPr>
        <w:spacing w:line="276" w:lineRule="auto"/>
        <w:ind w:firstLine="420" w:firstLineChars="200"/>
        <w:rPr>
          <w:rFonts w:ascii="宋体" w:hAnsi="宋体"/>
          <w:szCs w:val="21"/>
          <w:highlight w:val="none"/>
        </w:rPr>
      </w:pPr>
      <w:r>
        <w:rPr>
          <w:rFonts w:hint="eastAsia" w:ascii="宋体" w:hAnsi="宋体"/>
          <w:szCs w:val="21"/>
          <w:highlight w:val="none"/>
        </w:rPr>
        <w:t>1、所有价格均用人民币表示，单位为元。</w:t>
      </w:r>
    </w:p>
    <w:p w14:paraId="620BECC7">
      <w:pPr>
        <w:spacing w:line="276" w:lineRule="auto"/>
        <w:ind w:firstLine="420" w:firstLineChars="200"/>
        <w:rPr>
          <w:rFonts w:ascii="宋体" w:hAnsi="宋体"/>
          <w:szCs w:val="21"/>
          <w:highlight w:val="none"/>
        </w:rPr>
      </w:pPr>
      <w:r>
        <w:rPr>
          <w:rFonts w:hint="eastAsia" w:ascii="宋体" w:hAnsi="宋体"/>
          <w:szCs w:val="21"/>
          <w:highlight w:val="none"/>
        </w:rPr>
        <w:t>2、以上竞标报价表中“标的名称、数量及单位、品牌、规格或型号”必须如实填写完整，品牌、规格型号没有则填无，填写有缺漏的，</w:t>
      </w:r>
      <w:r>
        <w:rPr>
          <w:rFonts w:hint="eastAsia" w:ascii="宋体" w:hAnsi="宋体"/>
          <w:b/>
          <w:bCs/>
          <w:szCs w:val="21"/>
          <w:highlight w:val="none"/>
        </w:rPr>
        <w:t>其响应文件按无效响应处理</w:t>
      </w:r>
      <w:r>
        <w:rPr>
          <w:rFonts w:hint="eastAsia" w:ascii="宋体" w:hAnsi="宋体"/>
          <w:szCs w:val="21"/>
          <w:highlight w:val="none"/>
        </w:rPr>
        <w:t>。</w:t>
      </w:r>
    </w:p>
    <w:p w14:paraId="0BB242CB">
      <w:pPr>
        <w:spacing w:line="276" w:lineRule="auto"/>
        <w:ind w:firstLine="420" w:firstLineChars="200"/>
        <w:rPr>
          <w:rFonts w:ascii="宋体" w:hAnsi="宋体"/>
          <w:szCs w:val="21"/>
          <w:highlight w:val="none"/>
        </w:rPr>
      </w:pPr>
      <w:r>
        <w:rPr>
          <w:rFonts w:hint="eastAsia" w:ascii="宋体" w:hAnsi="宋体"/>
          <w:szCs w:val="21"/>
          <w:highlight w:val="none"/>
        </w:rPr>
        <w:t>3、供应商的报价表必须加盖供应商公章（或电子签章）并由法定代表人或者委托代理人签字（或电子签章），</w:t>
      </w:r>
      <w:r>
        <w:rPr>
          <w:rFonts w:hint="eastAsia" w:ascii="宋体" w:hAnsi="宋体"/>
          <w:b/>
          <w:bCs/>
          <w:szCs w:val="21"/>
          <w:highlight w:val="none"/>
        </w:rPr>
        <w:t>否则其响应文件按无效响应处理。</w:t>
      </w:r>
    </w:p>
    <w:p w14:paraId="086855E9">
      <w:pPr>
        <w:spacing w:line="276" w:lineRule="auto"/>
        <w:ind w:firstLine="420" w:firstLineChars="200"/>
        <w:rPr>
          <w:rFonts w:ascii="宋体" w:hAnsi="宋体"/>
          <w:szCs w:val="21"/>
          <w:highlight w:val="none"/>
        </w:rPr>
      </w:pPr>
      <w:r>
        <w:rPr>
          <w:rFonts w:hint="eastAsia" w:ascii="宋体" w:hAnsi="宋体"/>
          <w:szCs w:val="21"/>
          <w:highlight w:val="none"/>
        </w:rPr>
        <w:t>4、报价一经涂改，应在涂改处加盖供应商公章（或电子签章）或者由法定代表人或者授权委托人（签字或电子签章），</w:t>
      </w:r>
      <w:r>
        <w:rPr>
          <w:rFonts w:hint="eastAsia" w:ascii="宋体" w:hAnsi="宋体"/>
          <w:b/>
          <w:bCs/>
          <w:szCs w:val="21"/>
          <w:highlight w:val="none"/>
        </w:rPr>
        <w:t>否则其响应文件按无效响应处理</w:t>
      </w:r>
      <w:r>
        <w:rPr>
          <w:rFonts w:hint="eastAsia" w:ascii="宋体" w:hAnsi="宋体"/>
          <w:szCs w:val="21"/>
          <w:highlight w:val="none"/>
        </w:rPr>
        <w:t>。</w:t>
      </w:r>
    </w:p>
    <w:p w14:paraId="2281F3CC">
      <w:pPr>
        <w:spacing w:line="276" w:lineRule="auto"/>
        <w:ind w:firstLine="420" w:firstLineChars="200"/>
        <w:rPr>
          <w:rFonts w:ascii="宋体" w:hAnsi="宋体"/>
          <w:szCs w:val="21"/>
          <w:highlight w:val="none"/>
        </w:rPr>
      </w:pPr>
      <w:r>
        <w:rPr>
          <w:rFonts w:hint="eastAsia" w:ascii="宋体" w:hAnsi="宋体"/>
          <w:szCs w:val="21"/>
          <w:highlight w:val="none"/>
        </w:rPr>
        <w:t>5、谈判文件中列明采购专用耗材的，应按谈判文件规定的耗材量或者按耗材的常规试用量提供报价。</w:t>
      </w:r>
    </w:p>
    <w:p w14:paraId="09930E48">
      <w:pPr>
        <w:spacing w:line="276" w:lineRule="auto"/>
        <w:ind w:firstLine="420" w:firstLineChars="200"/>
        <w:rPr>
          <w:rFonts w:ascii="宋体" w:hAnsi="宋体"/>
          <w:szCs w:val="21"/>
          <w:highlight w:val="none"/>
        </w:rPr>
      </w:pPr>
      <w:r>
        <w:rPr>
          <w:rFonts w:hint="eastAsia" w:ascii="宋体" w:hAnsi="宋体"/>
          <w:szCs w:val="21"/>
          <w:highlight w:val="none"/>
        </w:rPr>
        <w:t>6、如为联合体竞标,“供应商名称”处必须列明联合体各方名称，标注联合体牵头人名称，否则其响应文件按无效响应处理。（采购人可根据项目情况自行修改是否需要联合体各方签字盖章）。</w:t>
      </w:r>
    </w:p>
    <w:p w14:paraId="09ED79CF">
      <w:pPr>
        <w:spacing w:line="276" w:lineRule="auto"/>
        <w:ind w:firstLine="420" w:firstLineChars="200"/>
        <w:rPr>
          <w:rFonts w:ascii="宋体" w:hAnsi="宋体"/>
          <w:szCs w:val="21"/>
          <w:highlight w:val="none"/>
        </w:rPr>
      </w:pPr>
      <w:r>
        <w:rPr>
          <w:rFonts w:hint="eastAsia" w:ascii="宋体" w:hAnsi="宋体"/>
          <w:szCs w:val="21"/>
          <w:highlight w:val="none"/>
        </w:rPr>
        <w:t>7、如为联合体竞标,盖章处须加盖联合体各方公章，否则其响应文件按无效响应处理。</w:t>
      </w:r>
    </w:p>
    <w:p w14:paraId="7393F050">
      <w:pPr>
        <w:spacing w:line="276" w:lineRule="auto"/>
        <w:ind w:firstLine="420" w:firstLineChars="200"/>
        <w:rPr>
          <w:rFonts w:ascii="宋体" w:hAnsi="宋体"/>
          <w:szCs w:val="21"/>
          <w:highlight w:val="none"/>
        </w:rPr>
      </w:pPr>
      <w:r>
        <w:rPr>
          <w:rFonts w:hint="eastAsia" w:ascii="宋体" w:hAnsi="宋体"/>
          <w:szCs w:val="21"/>
          <w:highlight w:val="none"/>
        </w:rPr>
        <w:t>8、如有多分标，分别列明各分标的报价表，否则其响应文件按无效响应处理。（采购人可根据项目情况自行修改是否需要联合体各方签字盖章）</w:t>
      </w:r>
    </w:p>
    <w:p w14:paraId="6C833828">
      <w:pPr>
        <w:pStyle w:val="10"/>
        <w:jc w:val="center"/>
        <w:rPr>
          <w:szCs w:val="21"/>
          <w:highlight w:val="none"/>
        </w:rPr>
      </w:pPr>
    </w:p>
    <w:p w14:paraId="3D872EB1">
      <w:pPr>
        <w:pStyle w:val="10"/>
        <w:spacing w:line="360" w:lineRule="auto"/>
        <w:ind w:left="0" w:leftChars="0" w:firstLine="840" w:firstLineChars="400"/>
        <w:rPr>
          <w:szCs w:val="21"/>
          <w:highlight w:val="none"/>
        </w:rPr>
      </w:pPr>
      <w:r>
        <w:rPr>
          <w:rFonts w:hint="eastAsia"/>
          <w:szCs w:val="21"/>
          <w:highlight w:val="none"/>
        </w:rPr>
        <w:t>供应商名称（电子签章）：</w:t>
      </w:r>
      <w:r>
        <w:rPr>
          <w:rFonts w:hint="eastAsia"/>
          <w:szCs w:val="21"/>
          <w:highlight w:val="none"/>
          <w:u w:val="single"/>
        </w:rPr>
        <w:t xml:space="preserve">                   </w:t>
      </w:r>
      <w:r>
        <w:rPr>
          <w:rFonts w:hint="eastAsia"/>
          <w:szCs w:val="21"/>
          <w:highlight w:val="none"/>
        </w:rPr>
        <w:t xml:space="preserve">   </w:t>
      </w:r>
    </w:p>
    <w:p w14:paraId="4BF1557B">
      <w:pPr>
        <w:pStyle w:val="10"/>
        <w:spacing w:line="360" w:lineRule="auto"/>
        <w:ind w:left="0" w:leftChars="0" w:firstLine="840" w:firstLineChars="400"/>
        <w:rPr>
          <w:szCs w:val="21"/>
          <w:highlight w:val="none"/>
        </w:rPr>
      </w:pPr>
      <w:r>
        <w:rPr>
          <w:rFonts w:hint="eastAsia"/>
          <w:szCs w:val="21"/>
          <w:highlight w:val="none"/>
        </w:rPr>
        <w:t>法定代表人或授权代表（签字或电子签章）:</w:t>
      </w:r>
      <w:r>
        <w:rPr>
          <w:rFonts w:hint="eastAsia"/>
          <w:szCs w:val="21"/>
          <w:highlight w:val="none"/>
          <w:u w:val="single"/>
        </w:rPr>
        <w:t xml:space="preserve">                </w:t>
      </w:r>
      <w:r>
        <w:rPr>
          <w:rFonts w:hint="eastAsia"/>
          <w:szCs w:val="21"/>
          <w:highlight w:val="none"/>
        </w:rPr>
        <w:t xml:space="preserve"> </w:t>
      </w:r>
    </w:p>
    <w:p w14:paraId="3DA36A7D">
      <w:pPr>
        <w:pStyle w:val="2"/>
        <w:ind w:left="0" w:leftChars="0" w:firstLine="840" w:firstLineChars="400"/>
        <w:jc w:val="left"/>
        <w:rPr>
          <w:rFonts w:hint="eastAsia" w:ascii="宋体" w:hAnsi="宋体"/>
          <w:b/>
          <w:bCs/>
          <w:sz w:val="28"/>
          <w:szCs w:val="28"/>
          <w:highlight w:val="none"/>
        </w:rPr>
      </w:pPr>
      <w:r>
        <w:rPr>
          <w:rFonts w:hint="eastAsia"/>
          <w:sz w:val="21"/>
          <w:szCs w:val="21"/>
          <w:highlight w:val="none"/>
        </w:rPr>
        <w:t>日期：</w:t>
      </w:r>
      <w:r>
        <w:rPr>
          <w:rFonts w:hint="eastAsia"/>
          <w:sz w:val="21"/>
          <w:szCs w:val="21"/>
          <w:highlight w:val="none"/>
          <w:u w:val="single"/>
        </w:rPr>
        <w:t xml:space="preserve">                 </w:t>
      </w:r>
      <w:r>
        <w:rPr>
          <w:rFonts w:hint="eastAsia"/>
          <w:sz w:val="21"/>
          <w:szCs w:val="21"/>
          <w:highlight w:val="none"/>
        </w:rPr>
        <w:t xml:space="preserve">  </w:t>
      </w:r>
    </w:p>
    <w:p w14:paraId="4795C456">
      <w:pPr>
        <w:jc w:val="center"/>
        <w:rPr>
          <w:b/>
          <w:bCs/>
          <w:sz w:val="30"/>
          <w:szCs w:val="30"/>
          <w:highlight w:val="none"/>
        </w:rPr>
      </w:pPr>
      <w:r>
        <w:rPr>
          <w:rFonts w:hint="eastAsia"/>
          <w:b/>
          <w:bCs/>
          <w:sz w:val="30"/>
          <w:szCs w:val="30"/>
          <w:highlight w:val="none"/>
        </w:rPr>
        <w:br w:type="page"/>
      </w:r>
      <w:r>
        <w:rPr>
          <w:rFonts w:hint="eastAsia"/>
          <w:b/>
          <w:bCs/>
          <w:sz w:val="30"/>
          <w:szCs w:val="30"/>
          <w:highlight w:val="none"/>
        </w:rPr>
        <w:t>联合体协议书</w:t>
      </w:r>
    </w:p>
    <w:p w14:paraId="7890B760">
      <w:pPr>
        <w:spacing w:line="300" w:lineRule="auto"/>
        <w:jc w:val="center"/>
        <w:rPr>
          <w:szCs w:val="21"/>
          <w:highlight w:val="none"/>
        </w:rPr>
      </w:pPr>
      <w:r>
        <w:rPr>
          <w:rFonts w:hint="eastAsia"/>
          <w:bCs/>
          <w:szCs w:val="21"/>
          <w:highlight w:val="none"/>
        </w:rPr>
        <w:t>（联合体竞标时请提供）</w:t>
      </w:r>
    </w:p>
    <w:p w14:paraId="12E75067">
      <w:pPr>
        <w:autoSpaceDE w:val="0"/>
        <w:autoSpaceDN w:val="0"/>
        <w:adjustRightInd w:val="0"/>
        <w:spacing w:line="360" w:lineRule="auto"/>
        <w:jc w:val="left"/>
        <w:rPr>
          <w:rFonts w:ascii="宋体" w:cs="宋体"/>
          <w:kern w:val="0"/>
          <w:szCs w:val="21"/>
          <w:highlight w:val="none"/>
        </w:rPr>
      </w:pPr>
      <w:r>
        <w:rPr>
          <w:rFonts w:hint="eastAsia" w:ascii="宋体" w:cs="宋体"/>
          <w:kern w:val="0"/>
          <w:szCs w:val="21"/>
          <w:highlight w:val="none"/>
          <w:u w:val="single"/>
        </w:rPr>
        <w:t xml:space="preserve">                                          </w:t>
      </w:r>
      <w:r>
        <w:rPr>
          <w:rFonts w:hint="eastAsia" w:ascii="宋体" w:cs="宋体"/>
          <w:kern w:val="0"/>
          <w:szCs w:val="21"/>
          <w:highlight w:val="none"/>
        </w:rPr>
        <w:t>（所有成员单位名称）自愿组成联合体，共同参加</w:t>
      </w:r>
      <w:r>
        <w:rPr>
          <w:rFonts w:hint="eastAsia" w:ascii="宋体" w:cs="宋体"/>
          <w:kern w:val="0"/>
          <w:szCs w:val="21"/>
          <w:highlight w:val="none"/>
          <w:u w:val="single"/>
        </w:rPr>
        <w:t xml:space="preserve">   （采购代理机构名称）    </w:t>
      </w:r>
      <w:r>
        <w:rPr>
          <w:rFonts w:hint="eastAsia" w:ascii="宋体" w:cs="宋体"/>
          <w:kern w:val="0"/>
          <w:szCs w:val="21"/>
          <w:highlight w:val="none"/>
        </w:rPr>
        <w:t>组织的</w:t>
      </w:r>
      <w:r>
        <w:rPr>
          <w:rFonts w:hint="eastAsia" w:ascii="宋体" w:cs="宋体"/>
          <w:kern w:val="0"/>
          <w:szCs w:val="21"/>
          <w:highlight w:val="none"/>
          <w:u w:val="single"/>
        </w:rPr>
        <w:t xml:space="preserve">     （项目名称）     </w:t>
      </w:r>
      <w:r>
        <w:rPr>
          <w:rFonts w:hint="eastAsia" w:ascii="宋体" w:cs="宋体"/>
          <w:kern w:val="0"/>
          <w:szCs w:val="21"/>
          <w:highlight w:val="none"/>
        </w:rPr>
        <w:t>（项目编号：</w:t>
      </w:r>
      <w:r>
        <w:rPr>
          <w:rFonts w:hint="eastAsia" w:ascii="宋体" w:cs="宋体"/>
          <w:kern w:val="0"/>
          <w:szCs w:val="21"/>
          <w:highlight w:val="none"/>
          <w:u w:val="single"/>
        </w:rPr>
        <w:t xml:space="preserve">            </w:t>
      </w:r>
      <w:r>
        <w:rPr>
          <w:rFonts w:hint="eastAsia" w:ascii="宋体" w:cs="宋体"/>
          <w:kern w:val="0"/>
          <w:szCs w:val="21"/>
          <w:highlight w:val="none"/>
        </w:rPr>
        <w:t>）竞标。现就联合体竞标事宜订立如下协议：</w:t>
      </w:r>
    </w:p>
    <w:p w14:paraId="5A81E0CC">
      <w:pPr>
        <w:autoSpaceDE w:val="0"/>
        <w:autoSpaceDN w:val="0"/>
        <w:adjustRightInd w:val="0"/>
        <w:spacing w:line="360" w:lineRule="auto"/>
        <w:ind w:firstLine="420"/>
        <w:jc w:val="left"/>
        <w:rPr>
          <w:rFonts w:ascii="宋体" w:hAnsi="宋体" w:cs="宋体"/>
          <w:kern w:val="0"/>
          <w:szCs w:val="21"/>
          <w:highlight w:val="none"/>
        </w:rPr>
      </w:pPr>
      <w:r>
        <w:rPr>
          <w:rFonts w:hint="eastAsia" w:ascii="宋体" w:hAnsi="宋体" w:cs="TimesNewRomanPSMT"/>
          <w:kern w:val="0"/>
          <w:szCs w:val="21"/>
          <w:highlight w:val="none"/>
        </w:rPr>
        <w:t>1</w:t>
      </w:r>
      <w:r>
        <w:rPr>
          <w:rFonts w:hint="eastAsia" w:ascii="宋体" w:hAnsi="宋体" w:cs="宋体"/>
          <w:kern w:val="0"/>
          <w:szCs w:val="21"/>
          <w:highlight w:val="none"/>
        </w:rPr>
        <w:t>、</w:t>
      </w:r>
      <w:r>
        <w:rPr>
          <w:highlight w:val="none"/>
        </w:rPr>
        <w:t>________________________</w:t>
      </w:r>
      <w:r>
        <w:rPr>
          <w:rFonts w:hint="eastAsia" w:ascii="宋体" w:hAnsi="宋体" w:cs="宋体"/>
          <w:kern w:val="0"/>
          <w:szCs w:val="21"/>
          <w:highlight w:val="none"/>
        </w:rPr>
        <w:t>（某成员单位名称）为联合体名称牵头人。</w:t>
      </w:r>
    </w:p>
    <w:p w14:paraId="095073C8">
      <w:pPr>
        <w:autoSpaceDE w:val="0"/>
        <w:autoSpaceDN w:val="0"/>
        <w:adjustRightInd w:val="0"/>
        <w:spacing w:line="360" w:lineRule="auto"/>
        <w:ind w:firstLine="420"/>
        <w:jc w:val="left"/>
        <w:rPr>
          <w:rFonts w:ascii="宋体" w:hAnsi="宋体" w:cs="宋体"/>
          <w:kern w:val="0"/>
          <w:szCs w:val="21"/>
          <w:highlight w:val="none"/>
        </w:rPr>
      </w:pPr>
      <w:r>
        <w:rPr>
          <w:rFonts w:hint="eastAsia" w:ascii="宋体" w:hAnsi="宋体" w:cs="TimesNewRomanPSMT"/>
          <w:kern w:val="0"/>
          <w:szCs w:val="21"/>
          <w:highlight w:val="none"/>
        </w:rPr>
        <w:t>2</w:t>
      </w:r>
      <w:r>
        <w:rPr>
          <w:rFonts w:hint="eastAsia" w:ascii="宋体" w:hAnsi="宋体" w:cs="宋体"/>
          <w:kern w:val="0"/>
          <w:szCs w:val="21"/>
          <w:highlight w:val="none"/>
        </w:rPr>
        <w:t>、联合体牵头人合法代表联合体各成员负责本招标项目竞标文件编制和合同谈判活动，并代表联合体提交和接收相关的资料、信息及指示，并处理与之有关的一切事务，负责合同实施阶段的主办、组织和协调工作。</w:t>
      </w:r>
    </w:p>
    <w:p w14:paraId="333E2999">
      <w:pPr>
        <w:autoSpaceDE w:val="0"/>
        <w:autoSpaceDN w:val="0"/>
        <w:adjustRightInd w:val="0"/>
        <w:spacing w:line="360" w:lineRule="auto"/>
        <w:ind w:firstLine="420"/>
        <w:jc w:val="left"/>
        <w:rPr>
          <w:rFonts w:ascii="宋体" w:hAnsi="宋体" w:cs="宋体"/>
          <w:kern w:val="0"/>
          <w:szCs w:val="21"/>
          <w:highlight w:val="none"/>
        </w:rPr>
      </w:pPr>
      <w:r>
        <w:rPr>
          <w:rFonts w:hint="eastAsia" w:ascii="宋体" w:hAnsi="宋体" w:cs="宋体"/>
          <w:kern w:val="0"/>
          <w:szCs w:val="21"/>
          <w:highlight w:val="none"/>
        </w:rPr>
        <w:t>3、联合体牵头人在本项目中签署和盖章的一切文件和处理的一切事宜，联合体各成员均予以承认。</w:t>
      </w:r>
      <w:r>
        <w:rPr>
          <w:rFonts w:ascii="宋体" w:hAnsi="宋体" w:cs="宋体"/>
          <w:kern w:val="0"/>
          <w:szCs w:val="21"/>
          <w:highlight w:val="none"/>
        </w:rPr>
        <w:t xml:space="preserve"> </w:t>
      </w:r>
      <w:r>
        <w:rPr>
          <w:rFonts w:hint="eastAsia" w:ascii="宋体" w:hAnsi="宋体" w:cs="宋体"/>
          <w:kern w:val="0"/>
          <w:szCs w:val="21"/>
          <w:highlight w:val="none"/>
        </w:rPr>
        <w:t>联合体各成员将严格按照招标文件、竞标文件和合同的要求全面履行义务，并向招标人承担连带责任。</w:t>
      </w:r>
    </w:p>
    <w:p w14:paraId="18372272">
      <w:pPr>
        <w:autoSpaceDE w:val="0"/>
        <w:autoSpaceDN w:val="0"/>
        <w:adjustRightInd w:val="0"/>
        <w:spacing w:line="360" w:lineRule="auto"/>
        <w:ind w:firstLine="420"/>
        <w:jc w:val="left"/>
        <w:rPr>
          <w:rFonts w:ascii="宋体" w:hAnsi="宋体" w:cs="宋体"/>
          <w:kern w:val="0"/>
          <w:szCs w:val="21"/>
          <w:highlight w:val="none"/>
        </w:rPr>
      </w:pPr>
      <w:r>
        <w:rPr>
          <w:rFonts w:hint="eastAsia" w:ascii="宋体" w:hAnsi="宋体" w:cs="TimesNewRomanPSMT"/>
          <w:kern w:val="0"/>
          <w:szCs w:val="21"/>
          <w:highlight w:val="none"/>
        </w:rPr>
        <w:t>4</w:t>
      </w:r>
      <w:r>
        <w:rPr>
          <w:rFonts w:hint="eastAsia" w:ascii="宋体" w:hAnsi="宋体" w:cs="宋体"/>
          <w:kern w:val="0"/>
          <w:szCs w:val="21"/>
          <w:highlight w:val="none"/>
        </w:rPr>
        <w:t>、联合体各成员单位内部的职责分工如下</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w:t>
      </w:r>
    </w:p>
    <w:p w14:paraId="7325219A">
      <w:pPr>
        <w:spacing w:line="360" w:lineRule="auto"/>
        <w:ind w:firstLine="420" w:firstLineChars="200"/>
        <w:rPr>
          <w:szCs w:val="21"/>
          <w:highlight w:val="none"/>
        </w:rPr>
      </w:pPr>
      <w:r>
        <w:rPr>
          <w:rFonts w:hint="eastAsia" w:ascii="宋体" w:hAnsi="宋体" w:cs="宋体"/>
          <w:kern w:val="0"/>
          <w:szCs w:val="20"/>
          <w:highlight w:val="none"/>
        </w:rPr>
        <w:t>5、本联合体中，</w:t>
      </w:r>
      <w:r>
        <w:rPr>
          <w:rFonts w:hint="eastAsia" w:ascii="宋体" w:hAnsi="宋体" w:cs="宋体"/>
          <w:kern w:val="0"/>
          <w:szCs w:val="21"/>
          <w:highlight w:val="none"/>
          <w:u w:val="single"/>
        </w:rPr>
        <w:t xml:space="preserve">          </w:t>
      </w:r>
      <w:r>
        <w:rPr>
          <w:rFonts w:hint="eastAsia" w:ascii="宋体" w:hAnsi="宋体" w:cs="宋体"/>
          <w:kern w:val="0"/>
          <w:szCs w:val="20"/>
          <w:highlight w:val="none"/>
        </w:rPr>
        <w:t>（某成员单位名称）为</w:t>
      </w:r>
      <w:r>
        <w:rPr>
          <w:rFonts w:hint="eastAsia" w:ascii="宋体" w:hAnsi="宋体" w:cs="宋体"/>
          <w:kern w:val="0"/>
          <w:szCs w:val="21"/>
          <w:highlight w:val="none"/>
          <w:u w:val="single"/>
        </w:rPr>
        <w:t xml:space="preserve">      </w:t>
      </w:r>
      <w:r>
        <w:rPr>
          <w:rFonts w:hint="eastAsia" w:ascii="宋体" w:hAnsi="Courier New"/>
          <w:szCs w:val="20"/>
          <w:highlight w:val="none"/>
        </w:rPr>
        <w:t>（请填写：中型、小型、微型）企业，其协议合同金额占联合体协议合同总金额的</w:t>
      </w:r>
      <w:r>
        <w:rPr>
          <w:rFonts w:hint="eastAsia" w:ascii="宋体" w:hAnsi="宋体" w:cs="宋体"/>
          <w:kern w:val="0"/>
          <w:szCs w:val="21"/>
          <w:highlight w:val="none"/>
          <w:u w:val="single"/>
        </w:rPr>
        <w:t xml:space="preserve">      </w:t>
      </w:r>
      <w:r>
        <w:rPr>
          <w:rFonts w:hint="eastAsia" w:ascii="宋体" w:hAnsi="Courier New"/>
          <w:szCs w:val="20"/>
          <w:highlight w:val="none"/>
        </w:rPr>
        <w:t>%。【如联合体成员中有小型、微型企业的，请填写此条，否则无需填写；如联合体成员中有多个小型、微型企业的，请逐一列出。】</w:t>
      </w:r>
    </w:p>
    <w:p w14:paraId="703A575D">
      <w:pPr>
        <w:autoSpaceDE w:val="0"/>
        <w:autoSpaceDN w:val="0"/>
        <w:adjustRightInd w:val="0"/>
        <w:spacing w:line="360" w:lineRule="auto"/>
        <w:ind w:firstLine="420"/>
        <w:jc w:val="left"/>
        <w:rPr>
          <w:rFonts w:ascii="宋体" w:hAnsi="宋体" w:cs="宋体"/>
          <w:kern w:val="0"/>
          <w:szCs w:val="21"/>
          <w:highlight w:val="none"/>
        </w:rPr>
      </w:pPr>
      <w:r>
        <w:rPr>
          <w:rFonts w:hint="eastAsia" w:ascii="宋体" w:hAnsi="宋体" w:cs="TimesNewRomanPSMT"/>
          <w:kern w:val="0"/>
          <w:szCs w:val="21"/>
          <w:highlight w:val="none"/>
        </w:rPr>
        <w:t>6</w:t>
      </w:r>
      <w:r>
        <w:rPr>
          <w:rFonts w:hint="eastAsia" w:ascii="宋体" w:hAnsi="宋体" w:cs="宋体"/>
          <w:kern w:val="0"/>
          <w:szCs w:val="21"/>
          <w:highlight w:val="none"/>
        </w:rPr>
        <w:t>、本协议书自签署之日起生效，合同履行完毕后自动失效。</w:t>
      </w:r>
    </w:p>
    <w:p w14:paraId="76C747A5">
      <w:pPr>
        <w:autoSpaceDE w:val="0"/>
        <w:autoSpaceDN w:val="0"/>
        <w:adjustRightInd w:val="0"/>
        <w:spacing w:line="360" w:lineRule="auto"/>
        <w:ind w:firstLine="420"/>
        <w:jc w:val="left"/>
        <w:rPr>
          <w:rFonts w:ascii="宋体" w:hAnsi="宋体" w:cs="宋体"/>
          <w:kern w:val="0"/>
          <w:szCs w:val="21"/>
          <w:highlight w:val="none"/>
        </w:rPr>
      </w:pPr>
      <w:r>
        <w:rPr>
          <w:rFonts w:hint="eastAsia" w:ascii="宋体" w:hAnsi="宋体" w:cs="TimesNewRomanPSMT"/>
          <w:kern w:val="0"/>
          <w:szCs w:val="21"/>
          <w:highlight w:val="none"/>
        </w:rPr>
        <w:t>7</w:t>
      </w:r>
      <w:r>
        <w:rPr>
          <w:rFonts w:hint="eastAsia" w:ascii="宋体" w:hAnsi="宋体" w:cs="宋体"/>
          <w:kern w:val="0"/>
          <w:szCs w:val="21"/>
          <w:highlight w:val="none"/>
        </w:rPr>
        <w:t>、本协议书一式</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份，联合体成员和采购代理机构各执一份。</w:t>
      </w:r>
    </w:p>
    <w:p w14:paraId="6094FA6A">
      <w:pPr>
        <w:autoSpaceDE w:val="0"/>
        <w:autoSpaceDN w:val="0"/>
        <w:adjustRightInd w:val="0"/>
        <w:spacing w:line="360" w:lineRule="auto"/>
        <w:ind w:firstLine="420"/>
        <w:jc w:val="left"/>
        <w:rPr>
          <w:rFonts w:ascii="宋体" w:cs="宋体"/>
          <w:kern w:val="0"/>
          <w:szCs w:val="21"/>
          <w:highlight w:val="none"/>
        </w:rPr>
      </w:pPr>
      <w:r>
        <w:rPr>
          <w:rFonts w:hint="eastAsia" w:ascii="宋体" w:cs="宋体"/>
          <w:kern w:val="0"/>
          <w:szCs w:val="21"/>
          <w:highlight w:val="none"/>
        </w:rPr>
        <w:t>注：本协议书由法定代表人签字的，应附法定代表人身份证明；本协议书由委托代理人签字的，应附法定代表人授权委托书。</w:t>
      </w:r>
    </w:p>
    <w:p w14:paraId="6A46B8C6">
      <w:pPr>
        <w:autoSpaceDE w:val="0"/>
        <w:autoSpaceDN w:val="0"/>
        <w:adjustRightInd w:val="0"/>
        <w:spacing w:line="360" w:lineRule="auto"/>
        <w:jc w:val="left"/>
        <w:rPr>
          <w:rFonts w:ascii="宋体" w:cs="宋体"/>
          <w:kern w:val="0"/>
          <w:szCs w:val="21"/>
          <w:highlight w:val="none"/>
        </w:rPr>
      </w:pPr>
    </w:p>
    <w:p w14:paraId="451D0FCC">
      <w:pPr>
        <w:autoSpaceDE w:val="0"/>
        <w:autoSpaceDN w:val="0"/>
        <w:adjustRightInd w:val="0"/>
        <w:spacing w:line="360" w:lineRule="auto"/>
        <w:jc w:val="left"/>
        <w:rPr>
          <w:rFonts w:ascii="宋体" w:cs="宋体"/>
          <w:kern w:val="0"/>
          <w:szCs w:val="21"/>
          <w:highlight w:val="none"/>
        </w:rPr>
      </w:pPr>
      <w:r>
        <w:rPr>
          <w:rFonts w:hint="eastAsia" w:ascii="宋体" w:cs="宋体"/>
          <w:kern w:val="0"/>
          <w:szCs w:val="21"/>
          <w:highlight w:val="none"/>
        </w:rPr>
        <w:t>牵头人名称：</w:t>
      </w:r>
      <w:r>
        <w:rPr>
          <w:rFonts w:hint="eastAsia" w:ascii="宋体" w:cs="宋体"/>
          <w:kern w:val="0"/>
          <w:szCs w:val="21"/>
          <w:highlight w:val="none"/>
          <w:u w:val="single"/>
        </w:rPr>
        <w:t xml:space="preserve">                                       </w:t>
      </w:r>
      <w:r>
        <w:rPr>
          <w:rFonts w:hint="eastAsia" w:ascii="宋体" w:cs="宋体"/>
          <w:kern w:val="0"/>
          <w:szCs w:val="21"/>
          <w:highlight w:val="none"/>
        </w:rPr>
        <w:t>（公章/电子签章）</w:t>
      </w:r>
    </w:p>
    <w:p w14:paraId="5E6E45B0">
      <w:pPr>
        <w:autoSpaceDE w:val="0"/>
        <w:autoSpaceDN w:val="0"/>
        <w:adjustRightInd w:val="0"/>
        <w:spacing w:line="360" w:lineRule="auto"/>
        <w:jc w:val="left"/>
        <w:rPr>
          <w:rFonts w:ascii="宋体" w:cs="宋体"/>
          <w:kern w:val="0"/>
          <w:szCs w:val="21"/>
          <w:highlight w:val="none"/>
        </w:rPr>
      </w:pPr>
      <w:r>
        <w:rPr>
          <w:rFonts w:hint="eastAsia" w:ascii="宋体" w:cs="宋体"/>
          <w:kern w:val="0"/>
          <w:szCs w:val="21"/>
          <w:highlight w:val="none"/>
        </w:rPr>
        <w:t>法定代表人或其委托代理人：</w:t>
      </w:r>
      <w:r>
        <w:rPr>
          <w:rFonts w:hint="eastAsia" w:ascii="宋体" w:cs="宋体"/>
          <w:kern w:val="0"/>
          <w:szCs w:val="21"/>
          <w:highlight w:val="none"/>
          <w:u w:val="single"/>
        </w:rPr>
        <w:t xml:space="preserve">                         </w:t>
      </w:r>
      <w:r>
        <w:rPr>
          <w:rFonts w:hint="eastAsia" w:ascii="宋体" w:cs="宋体"/>
          <w:kern w:val="0"/>
          <w:szCs w:val="21"/>
          <w:highlight w:val="none"/>
        </w:rPr>
        <w:t>（手写签名/电子签名）</w:t>
      </w:r>
    </w:p>
    <w:p w14:paraId="4546B160">
      <w:pPr>
        <w:autoSpaceDE w:val="0"/>
        <w:autoSpaceDN w:val="0"/>
        <w:adjustRightInd w:val="0"/>
        <w:spacing w:line="360" w:lineRule="auto"/>
        <w:jc w:val="left"/>
        <w:rPr>
          <w:rFonts w:ascii="宋体" w:cs="宋体"/>
          <w:kern w:val="0"/>
          <w:sz w:val="10"/>
          <w:szCs w:val="10"/>
          <w:highlight w:val="none"/>
        </w:rPr>
      </w:pPr>
    </w:p>
    <w:p w14:paraId="4CB5725D">
      <w:pPr>
        <w:autoSpaceDE w:val="0"/>
        <w:autoSpaceDN w:val="0"/>
        <w:adjustRightInd w:val="0"/>
        <w:spacing w:line="360" w:lineRule="auto"/>
        <w:jc w:val="left"/>
        <w:rPr>
          <w:rFonts w:ascii="宋体" w:cs="宋体"/>
          <w:kern w:val="0"/>
          <w:szCs w:val="21"/>
          <w:highlight w:val="none"/>
        </w:rPr>
      </w:pPr>
      <w:r>
        <w:rPr>
          <w:rFonts w:hint="eastAsia" w:ascii="宋体" w:cs="宋体"/>
          <w:kern w:val="0"/>
          <w:szCs w:val="21"/>
          <w:highlight w:val="none"/>
        </w:rPr>
        <w:t>成员一名称：</w:t>
      </w:r>
      <w:r>
        <w:rPr>
          <w:rFonts w:hint="eastAsia" w:ascii="宋体" w:cs="宋体"/>
          <w:kern w:val="0"/>
          <w:szCs w:val="21"/>
          <w:highlight w:val="none"/>
          <w:u w:val="single"/>
        </w:rPr>
        <w:t xml:space="preserve">                                       </w:t>
      </w:r>
      <w:r>
        <w:rPr>
          <w:rFonts w:hint="eastAsia" w:ascii="宋体" w:cs="宋体"/>
          <w:kern w:val="0"/>
          <w:szCs w:val="21"/>
          <w:highlight w:val="none"/>
        </w:rPr>
        <w:t>（公章/电子签章）</w:t>
      </w:r>
    </w:p>
    <w:p w14:paraId="25335836">
      <w:pPr>
        <w:autoSpaceDE w:val="0"/>
        <w:autoSpaceDN w:val="0"/>
        <w:adjustRightInd w:val="0"/>
        <w:spacing w:line="360" w:lineRule="auto"/>
        <w:jc w:val="left"/>
        <w:rPr>
          <w:rFonts w:ascii="宋体" w:cs="宋体"/>
          <w:kern w:val="0"/>
          <w:szCs w:val="21"/>
          <w:highlight w:val="none"/>
        </w:rPr>
      </w:pPr>
      <w:r>
        <w:rPr>
          <w:rFonts w:hint="eastAsia" w:ascii="宋体" w:cs="宋体"/>
          <w:kern w:val="0"/>
          <w:szCs w:val="21"/>
          <w:highlight w:val="none"/>
        </w:rPr>
        <w:t>法定代表人或其委托代理人：</w:t>
      </w:r>
      <w:r>
        <w:rPr>
          <w:rFonts w:hint="eastAsia" w:ascii="宋体" w:cs="宋体"/>
          <w:kern w:val="0"/>
          <w:szCs w:val="21"/>
          <w:highlight w:val="none"/>
          <w:u w:val="single"/>
        </w:rPr>
        <w:t xml:space="preserve">                         </w:t>
      </w:r>
      <w:r>
        <w:rPr>
          <w:rFonts w:hint="eastAsia" w:ascii="宋体" w:cs="宋体"/>
          <w:kern w:val="0"/>
          <w:szCs w:val="21"/>
          <w:highlight w:val="none"/>
        </w:rPr>
        <w:t>（手写签名/电子签名）</w:t>
      </w:r>
    </w:p>
    <w:p w14:paraId="6DB9D876">
      <w:pPr>
        <w:autoSpaceDE w:val="0"/>
        <w:autoSpaceDN w:val="0"/>
        <w:adjustRightInd w:val="0"/>
        <w:spacing w:line="360" w:lineRule="auto"/>
        <w:jc w:val="left"/>
        <w:rPr>
          <w:rFonts w:ascii="宋体" w:cs="宋体"/>
          <w:kern w:val="0"/>
          <w:sz w:val="10"/>
          <w:szCs w:val="10"/>
          <w:highlight w:val="none"/>
        </w:rPr>
      </w:pPr>
    </w:p>
    <w:p w14:paraId="2690B93F">
      <w:pPr>
        <w:autoSpaceDE w:val="0"/>
        <w:autoSpaceDN w:val="0"/>
        <w:adjustRightInd w:val="0"/>
        <w:spacing w:line="360" w:lineRule="auto"/>
        <w:jc w:val="left"/>
        <w:rPr>
          <w:rFonts w:ascii="宋体" w:cs="宋体"/>
          <w:kern w:val="0"/>
          <w:szCs w:val="21"/>
          <w:highlight w:val="none"/>
        </w:rPr>
      </w:pPr>
      <w:r>
        <w:rPr>
          <w:rFonts w:hint="eastAsia" w:ascii="宋体" w:cs="宋体"/>
          <w:kern w:val="0"/>
          <w:szCs w:val="21"/>
          <w:highlight w:val="none"/>
        </w:rPr>
        <w:t>成员二名称：</w:t>
      </w:r>
      <w:r>
        <w:rPr>
          <w:rFonts w:hint="eastAsia" w:ascii="宋体" w:cs="宋体"/>
          <w:kern w:val="0"/>
          <w:szCs w:val="21"/>
          <w:highlight w:val="none"/>
          <w:u w:val="single"/>
        </w:rPr>
        <w:t xml:space="preserve">                                       </w:t>
      </w:r>
      <w:r>
        <w:rPr>
          <w:rFonts w:hint="eastAsia" w:ascii="宋体" w:cs="宋体"/>
          <w:kern w:val="0"/>
          <w:szCs w:val="21"/>
          <w:highlight w:val="none"/>
        </w:rPr>
        <w:t>（公章/电子签章）</w:t>
      </w:r>
    </w:p>
    <w:p w14:paraId="713B93D0">
      <w:pPr>
        <w:snapToGrid w:val="0"/>
        <w:spacing w:line="400" w:lineRule="exact"/>
        <w:rPr>
          <w:rFonts w:cs="宋体"/>
          <w:kern w:val="0"/>
          <w:szCs w:val="21"/>
          <w:highlight w:val="none"/>
        </w:rPr>
      </w:pPr>
      <w:r>
        <w:rPr>
          <w:rFonts w:hint="eastAsia" w:cs="宋体"/>
          <w:kern w:val="0"/>
          <w:szCs w:val="21"/>
          <w:highlight w:val="none"/>
        </w:rPr>
        <w:t>法定代表人或其委托代理人：</w:t>
      </w:r>
      <w:r>
        <w:rPr>
          <w:rFonts w:hint="eastAsia" w:cs="宋体"/>
          <w:kern w:val="0"/>
          <w:szCs w:val="21"/>
          <w:highlight w:val="none"/>
          <w:u w:val="single"/>
        </w:rPr>
        <w:t xml:space="preserve">                         </w:t>
      </w:r>
      <w:r>
        <w:rPr>
          <w:rFonts w:hint="eastAsia" w:cs="宋体"/>
          <w:kern w:val="0"/>
          <w:szCs w:val="21"/>
          <w:highlight w:val="none"/>
        </w:rPr>
        <w:t>（手写签名/电子签名）</w:t>
      </w:r>
    </w:p>
    <w:p w14:paraId="7CE364BB">
      <w:pPr>
        <w:spacing w:line="360" w:lineRule="auto"/>
        <w:ind w:right="80" w:rightChars="38"/>
        <w:jc w:val="center"/>
        <w:rPr>
          <w:rFonts w:ascii="宋体" w:hAnsi="宋体"/>
          <w:b/>
          <w:bCs/>
          <w:sz w:val="32"/>
          <w:szCs w:val="32"/>
          <w:highlight w:val="none"/>
        </w:rPr>
      </w:pPr>
      <w:r>
        <w:rPr>
          <w:highlight w:val="none"/>
        </w:rPr>
        <w:br w:type="page"/>
      </w:r>
      <w:r>
        <w:rPr>
          <w:rFonts w:hint="eastAsia" w:ascii="宋体" w:hAnsi="宋体"/>
          <w:b/>
          <w:bCs/>
          <w:sz w:val="32"/>
          <w:szCs w:val="32"/>
          <w:highlight w:val="none"/>
        </w:rPr>
        <w:t>质疑函（格式）</w:t>
      </w:r>
    </w:p>
    <w:p w14:paraId="1CC1AAC6">
      <w:pPr>
        <w:snapToGrid w:val="0"/>
        <w:spacing w:line="360" w:lineRule="exact"/>
        <w:ind w:right="256" w:rightChars="122" w:firstLine="422" w:firstLineChars="200"/>
        <w:rPr>
          <w:rFonts w:ascii="宋体" w:hAnsi="宋体" w:cs="Courier New"/>
          <w:b/>
          <w:bCs/>
          <w:kern w:val="0"/>
          <w:szCs w:val="21"/>
          <w:highlight w:val="none"/>
        </w:rPr>
      </w:pPr>
      <w:r>
        <w:rPr>
          <w:rFonts w:hint="eastAsia" w:ascii="宋体" w:hAnsi="宋体" w:cs="Courier New"/>
          <w:b/>
          <w:bCs/>
          <w:kern w:val="0"/>
          <w:szCs w:val="21"/>
          <w:highlight w:val="none"/>
        </w:rPr>
        <w:t>一、质疑供应商基本信息：</w:t>
      </w:r>
    </w:p>
    <w:p w14:paraId="65110834">
      <w:pPr>
        <w:snapToGrid w:val="0"/>
        <w:spacing w:line="360" w:lineRule="exact"/>
        <w:ind w:right="256" w:rightChars="122" w:firstLine="420" w:firstLineChars="200"/>
        <w:rPr>
          <w:rFonts w:ascii="宋体" w:hAnsi="宋体" w:cs="Courier New"/>
          <w:bCs/>
          <w:kern w:val="0"/>
          <w:szCs w:val="21"/>
          <w:highlight w:val="none"/>
          <w:u w:val="single"/>
        </w:rPr>
      </w:pPr>
      <w:r>
        <w:rPr>
          <w:rFonts w:hint="eastAsia" w:ascii="宋体" w:hAnsi="宋体" w:cs="Courier New"/>
          <w:bCs/>
          <w:kern w:val="0"/>
          <w:szCs w:val="21"/>
          <w:highlight w:val="none"/>
        </w:rPr>
        <w:t>质疑供应商：</w:t>
      </w:r>
      <w:r>
        <w:rPr>
          <w:rFonts w:hint="eastAsia" w:ascii="宋体" w:hAnsi="宋体" w:cs="Courier New"/>
          <w:bCs/>
          <w:kern w:val="0"/>
          <w:szCs w:val="21"/>
          <w:highlight w:val="none"/>
          <w:u w:val="single"/>
        </w:rPr>
        <w:t xml:space="preserve">                                       </w:t>
      </w:r>
    </w:p>
    <w:p w14:paraId="7ADF1937">
      <w:pPr>
        <w:snapToGrid w:val="0"/>
        <w:spacing w:line="360" w:lineRule="exact"/>
        <w:ind w:right="256" w:rightChars="122" w:firstLine="420" w:firstLineChars="200"/>
        <w:rPr>
          <w:rFonts w:ascii="宋体" w:hAnsi="宋体" w:cs="Courier New"/>
          <w:bCs/>
          <w:kern w:val="0"/>
          <w:szCs w:val="21"/>
          <w:highlight w:val="none"/>
        </w:rPr>
      </w:pPr>
      <w:r>
        <w:rPr>
          <w:rFonts w:ascii="宋体" w:hAnsi="宋体" w:cs="Courier New"/>
          <w:bCs/>
          <w:kern w:val="0"/>
          <w:szCs w:val="21"/>
          <w:highlight w:val="none"/>
        </w:rPr>
        <w:t>地址</w:t>
      </w:r>
      <w:r>
        <w:rPr>
          <w:rFonts w:hint="eastAsia" w:ascii="宋体" w:hAnsi="宋体" w:cs="Courier New"/>
          <w:bCs/>
          <w:kern w:val="0"/>
          <w:szCs w:val="21"/>
          <w:highlight w:val="none"/>
        </w:rPr>
        <w:t>：</w:t>
      </w:r>
      <w:r>
        <w:rPr>
          <w:rFonts w:hint="eastAsia" w:ascii="宋体" w:hAnsi="宋体" w:cs="Courier New"/>
          <w:bCs/>
          <w:kern w:val="0"/>
          <w:szCs w:val="21"/>
          <w:highlight w:val="none"/>
          <w:u w:val="single"/>
        </w:rPr>
        <w:t xml:space="preserve">                                          </w:t>
      </w:r>
      <w:r>
        <w:rPr>
          <w:rFonts w:ascii="宋体" w:hAnsi="宋体" w:cs="Courier New"/>
          <w:bCs/>
          <w:kern w:val="0"/>
          <w:szCs w:val="21"/>
          <w:highlight w:val="none"/>
        </w:rPr>
        <w:t>邮编</w:t>
      </w:r>
      <w:r>
        <w:rPr>
          <w:rFonts w:hint="eastAsia" w:ascii="宋体" w:hAnsi="宋体" w:cs="Courier New"/>
          <w:bCs/>
          <w:kern w:val="0"/>
          <w:szCs w:val="21"/>
          <w:highlight w:val="none"/>
        </w:rPr>
        <w:t>：</w:t>
      </w:r>
      <w:r>
        <w:rPr>
          <w:rFonts w:hint="eastAsia" w:ascii="宋体" w:hAnsi="宋体" w:cs="Courier New"/>
          <w:bCs/>
          <w:kern w:val="0"/>
          <w:szCs w:val="21"/>
          <w:highlight w:val="none"/>
          <w:u w:val="single"/>
        </w:rPr>
        <w:t xml:space="preserve">                 </w:t>
      </w:r>
    </w:p>
    <w:p w14:paraId="6F474692">
      <w:pPr>
        <w:snapToGrid w:val="0"/>
        <w:spacing w:line="360" w:lineRule="exact"/>
        <w:ind w:right="256" w:rightChars="122" w:firstLine="420" w:firstLineChars="200"/>
        <w:rPr>
          <w:rFonts w:ascii="宋体" w:hAnsi="宋体" w:cs="Courier New"/>
          <w:bCs/>
          <w:kern w:val="0"/>
          <w:szCs w:val="21"/>
          <w:highlight w:val="none"/>
        </w:rPr>
      </w:pPr>
      <w:r>
        <w:rPr>
          <w:rFonts w:ascii="宋体" w:hAnsi="宋体" w:cs="Courier New"/>
          <w:bCs/>
          <w:kern w:val="0"/>
          <w:szCs w:val="21"/>
          <w:highlight w:val="none"/>
        </w:rPr>
        <w:t>联系人</w:t>
      </w:r>
      <w:r>
        <w:rPr>
          <w:rFonts w:hint="eastAsia" w:ascii="宋体" w:hAnsi="宋体" w:cs="Courier New"/>
          <w:bCs/>
          <w:kern w:val="0"/>
          <w:szCs w:val="21"/>
          <w:highlight w:val="none"/>
        </w:rPr>
        <w:t>：</w:t>
      </w:r>
      <w:r>
        <w:rPr>
          <w:rFonts w:hint="eastAsia" w:ascii="宋体" w:hAnsi="宋体" w:cs="Courier New"/>
          <w:bCs/>
          <w:kern w:val="0"/>
          <w:szCs w:val="21"/>
          <w:highlight w:val="none"/>
          <w:u w:val="single"/>
        </w:rPr>
        <w:t xml:space="preserve">                     </w:t>
      </w:r>
      <w:r>
        <w:rPr>
          <w:rFonts w:ascii="宋体" w:hAnsi="宋体" w:cs="Courier New"/>
          <w:bCs/>
          <w:kern w:val="0"/>
          <w:szCs w:val="21"/>
          <w:highlight w:val="none"/>
        </w:rPr>
        <w:t>联系电话</w:t>
      </w:r>
      <w:r>
        <w:rPr>
          <w:rFonts w:hint="eastAsia" w:ascii="宋体" w:hAnsi="宋体" w:cs="Courier New"/>
          <w:bCs/>
          <w:kern w:val="0"/>
          <w:szCs w:val="21"/>
          <w:highlight w:val="none"/>
        </w:rPr>
        <w:t>：</w:t>
      </w:r>
      <w:r>
        <w:rPr>
          <w:rFonts w:hint="eastAsia" w:ascii="宋体" w:hAnsi="宋体" w:cs="Courier New"/>
          <w:bCs/>
          <w:kern w:val="0"/>
          <w:szCs w:val="21"/>
          <w:highlight w:val="none"/>
          <w:u w:val="single"/>
        </w:rPr>
        <w:t xml:space="preserve">                 </w:t>
      </w:r>
    </w:p>
    <w:p w14:paraId="1541ACF3">
      <w:pPr>
        <w:snapToGrid w:val="0"/>
        <w:spacing w:line="360" w:lineRule="exact"/>
        <w:ind w:right="256" w:rightChars="122" w:firstLine="420" w:firstLineChars="200"/>
        <w:rPr>
          <w:rFonts w:ascii="宋体" w:hAnsi="宋体" w:cs="Courier New"/>
          <w:bCs/>
          <w:kern w:val="0"/>
          <w:szCs w:val="21"/>
          <w:highlight w:val="none"/>
        </w:rPr>
      </w:pPr>
      <w:r>
        <w:rPr>
          <w:rFonts w:hint="eastAsia" w:ascii="宋体" w:hAnsi="宋体" w:cs="Courier New"/>
          <w:bCs/>
          <w:kern w:val="0"/>
          <w:szCs w:val="21"/>
          <w:highlight w:val="none"/>
        </w:rPr>
        <w:t>授权代表：</w:t>
      </w:r>
      <w:r>
        <w:rPr>
          <w:rFonts w:hint="eastAsia" w:ascii="宋体" w:hAnsi="宋体" w:cs="Courier New"/>
          <w:bCs/>
          <w:kern w:val="0"/>
          <w:szCs w:val="21"/>
          <w:highlight w:val="none"/>
          <w:u w:val="single"/>
        </w:rPr>
        <w:t xml:space="preserve">                      </w:t>
      </w:r>
    </w:p>
    <w:p w14:paraId="2D5185CC">
      <w:pPr>
        <w:snapToGrid w:val="0"/>
        <w:spacing w:line="360" w:lineRule="exact"/>
        <w:ind w:right="256" w:rightChars="122" w:firstLine="420" w:firstLineChars="200"/>
        <w:rPr>
          <w:rFonts w:ascii="宋体" w:hAnsi="宋体" w:cs="Courier New"/>
          <w:bCs/>
          <w:kern w:val="0"/>
          <w:szCs w:val="21"/>
          <w:highlight w:val="none"/>
          <w:u w:val="single"/>
        </w:rPr>
      </w:pPr>
      <w:r>
        <w:rPr>
          <w:rFonts w:ascii="宋体" w:hAnsi="宋体" w:cs="Courier New"/>
          <w:bCs/>
          <w:kern w:val="0"/>
          <w:szCs w:val="21"/>
          <w:highlight w:val="none"/>
        </w:rPr>
        <w:t>联系</w:t>
      </w:r>
      <w:r>
        <w:rPr>
          <w:rFonts w:hint="eastAsia" w:ascii="宋体" w:hAnsi="宋体" w:cs="Courier New"/>
          <w:bCs/>
          <w:kern w:val="0"/>
          <w:szCs w:val="21"/>
          <w:highlight w:val="none"/>
        </w:rPr>
        <w:t>电话：</w:t>
      </w:r>
      <w:r>
        <w:rPr>
          <w:rFonts w:hint="eastAsia" w:ascii="宋体" w:hAnsi="宋体" w:cs="Courier New"/>
          <w:bCs/>
          <w:kern w:val="0"/>
          <w:szCs w:val="21"/>
          <w:highlight w:val="none"/>
          <w:u w:val="single"/>
        </w:rPr>
        <w:t xml:space="preserve">                      </w:t>
      </w:r>
    </w:p>
    <w:p w14:paraId="2CA24E19">
      <w:pPr>
        <w:snapToGrid w:val="0"/>
        <w:spacing w:line="360" w:lineRule="exact"/>
        <w:ind w:right="256" w:rightChars="122" w:firstLine="420" w:firstLineChars="200"/>
        <w:rPr>
          <w:rFonts w:ascii="宋体" w:hAnsi="宋体" w:cs="Courier New"/>
          <w:bCs/>
          <w:kern w:val="0"/>
          <w:szCs w:val="21"/>
          <w:highlight w:val="none"/>
        </w:rPr>
      </w:pPr>
      <w:r>
        <w:rPr>
          <w:rFonts w:ascii="宋体" w:hAnsi="宋体" w:cs="Courier New"/>
          <w:bCs/>
          <w:kern w:val="0"/>
          <w:szCs w:val="21"/>
          <w:highlight w:val="none"/>
        </w:rPr>
        <w:t>地址</w:t>
      </w:r>
      <w:r>
        <w:rPr>
          <w:rFonts w:hint="eastAsia" w:ascii="宋体" w:hAnsi="宋体" w:cs="Courier New"/>
          <w:bCs/>
          <w:kern w:val="0"/>
          <w:szCs w:val="21"/>
          <w:highlight w:val="none"/>
        </w:rPr>
        <w:t>：</w:t>
      </w:r>
      <w:r>
        <w:rPr>
          <w:rFonts w:hint="eastAsia" w:ascii="宋体" w:hAnsi="宋体" w:cs="Courier New"/>
          <w:bCs/>
          <w:kern w:val="0"/>
          <w:szCs w:val="21"/>
          <w:highlight w:val="none"/>
          <w:u w:val="single"/>
        </w:rPr>
        <w:t xml:space="preserve">                 </w:t>
      </w:r>
      <w:r>
        <w:rPr>
          <w:rFonts w:ascii="宋体" w:hAnsi="宋体" w:cs="Courier New"/>
          <w:bCs/>
          <w:kern w:val="0"/>
          <w:szCs w:val="21"/>
          <w:highlight w:val="none"/>
        </w:rPr>
        <w:t>邮编</w:t>
      </w:r>
      <w:r>
        <w:rPr>
          <w:rFonts w:hint="eastAsia" w:ascii="宋体" w:hAnsi="宋体" w:cs="Courier New"/>
          <w:bCs/>
          <w:kern w:val="0"/>
          <w:szCs w:val="21"/>
          <w:highlight w:val="none"/>
        </w:rPr>
        <w:t>：</w:t>
      </w:r>
      <w:r>
        <w:rPr>
          <w:rFonts w:hint="eastAsia" w:ascii="宋体" w:hAnsi="宋体" w:cs="Courier New"/>
          <w:bCs/>
          <w:kern w:val="0"/>
          <w:szCs w:val="21"/>
          <w:highlight w:val="none"/>
          <w:u w:val="single"/>
        </w:rPr>
        <w:t xml:space="preserve">                  </w:t>
      </w:r>
      <w:r>
        <w:rPr>
          <w:rFonts w:hint="eastAsia" w:ascii="宋体" w:hAnsi="宋体" w:cs="Courier New"/>
          <w:bCs/>
          <w:kern w:val="0"/>
          <w:szCs w:val="21"/>
          <w:highlight w:val="none"/>
        </w:rPr>
        <w:t xml:space="preserve">     </w:t>
      </w:r>
    </w:p>
    <w:p w14:paraId="66F15A9A">
      <w:pPr>
        <w:snapToGrid w:val="0"/>
        <w:spacing w:line="360" w:lineRule="exact"/>
        <w:ind w:right="256" w:rightChars="122" w:firstLine="422" w:firstLineChars="200"/>
        <w:rPr>
          <w:rFonts w:ascii="宋体" w:hAnsi="宋体" w:cs="Courier New"/>
          <w:b/>
          <w:bCs/>
          <w:kern w:val="0"/>
          <w:szCs w:val="21"/>
          <w:highlight w:val="none"/>
        </w:rPr>
      </w:pPr>
      <w:r>
        <w:rPr>
          <w:rFonts w:hint="eastAsia" w:ascii="宋体" w:hAnsi="宋体" w:cs="Courier New"/>
          <w:b/>
          <w:bCs/>
          <w:kern w:val="0"/>
          <w:szCs w:val="21"/>
          <w:highlight w:val="none"/>
        </w:rPr>
        <w:t>二、质疑项目基本情况：</w:t>
      </w:r>
    </w:p>
    <w:p w14:paraId="3323E512">
      <w:pPr>
        <w:spacing w:line="360" w:lineRule="exact"/>
        <w:ind w:left="25" w:leftChars="12" w:right="256" w:rightChars="122" w:firstLine="413" w:firstLineChars="197"/>
        <w:rPr>
          <w:rFonts w:ascii="宋体" w:hAnsi="宋体" w:cs="Courier New"/>
          <w:kern w:val="0"/>
          <w:szCs w:val="21"/>
          <w:highlight w:val="none"/>
        </w:rPr>
      </w:pPr>
      <w:r>
        <w:rPr>
          <w:rFonts w:hint="eastAsia" w:ascii="宋体" w:hAnsi="宋体" w:cs="Courier New"/>
          <w:bCs/>
          <w:kern w:val="0"/>
          <w:szCs w:val="21"/>
          <w:highlight w:val="none"/>
        </w:rPr>
        <w:t>质疑</w:t>
      </w:r>
      <w:r>
        <w:rPr>
          <w:rFonts w:hint="eastAsia" w:ascii="宋体" w:hAnsi="宋体" w:cs="Courier New"/>
          <w:kern w:val="0"/>
          <w:szCs w:val="21"/>
          <w:highlight w:val="none"/>
        </w:rPr>
        <w:t>项目的名称：</w:t>
      </w:r>
      <w:r>
        <w:rPr>
          <w:rFonts w:hint="eastAsia" w:ascii="宋体" w:hAnsi="宋体" w:cs="Courier New"/>
          <w:bCs/>
          <w:kern w:val="0"/>
          <w:szCs w:val="21"/>
          <w:highlight w:val="none"/>
          <w:u w:val="single"/>
        </w:rPr>
        <w:t xml:space="preserve">                                     </w:t>
      </w:r>
    </w:p>
    <w:p w14:paraId="2C88325A">
      <w:pPr>
        <w:spacing w:line="360" w:lineRule="exact"/>
        <w:ind w:left="25" w:leftChars="12" w:right="256" w:rightChars="122" w:firstLine="413" w:firstLineChars="197"/>
        <w:rPr>
          <w:rFonts w:ascii="宋体" w:hAnsi="宋体" w:cs="Courier New"/>
          <w:kern w:val="0"/>
          <w:szCs w:val="21"/>
          <w:highlight w:val="none"/>
        </w:rPr>
      </w:pPr>
      <w:r>
        <w:rPr>
          <w:rFonts w:hint="eastAsia" w:ascii="宋体" w:hAnsi="宋体" w:cs="Courier New"/>
          <w:bCs/>
          <w:kern w:val="0"/>
          <w:szCs w:val="21"/>
          <w:highlight w:val="none"/>
        </w:rPr>
        <w:t>质疑</w:t>
      </w:r>
      <w:r>
        <w:rPr>
          <w:rFonts w:hint="eastAsia" w:ascii="宋体" w:hAnsi="宋体" w:cs="Courier New"/>
          <w:kern w:val="0"/>
          <w:szCs w:val="21"/>
          <w:highlight w:val="none"/>
        </w:rPr>
        <w:t>项目的编号：</w:t>
      </w:r>
      <w:r>
        <w:rPr>
          <w:rFonts w:hint="eastAsia" w:ascii="宋体" w:hAnsi="宋体" w:cs="Courier New"/>
          <w:bCs/>
          <w:kern w:val="0"/>
          <w:szCs w:val="21"/>
          <w:highlight w:val="none"/>
          <w:u w:val="single"/>
        </w:rPr>
        <w:t xml:space="preserve">                                     </w:t>
      </w:r>
    </w:p>
    <w:p w14:paraId="040F50A9">
      <w:pPr>
        <w:spacing w:line="360" w:lineRule="exact"/>
        <w:ind w:left="25" w:leftChars="12" w:right="256" w:rightChars="122" w:firstLine="413" w:firstLineChars="197"/>
        <w:rPr>
          <w:rFonts w:ascii="宋体" w:hAnsi="宋体" w:cs="Courier New"/>
          <w:kern w:val="0"/>
          <w:szCs w:val="21"/>
          <w:highlight w:val="none"/>
        </w:rPr>
      </w:pPr>
      <w:r>
        <w:rPr>
          <w:rFonts w:hint="eastAsia" w:ascii="宋体" w:hAnsi="宋体" w:cs="Courier New"/>
          <w:kern w:val="0"/>
          <w:szCs w:val="21"/>
          <w:highlight w:val="none"/>
        </w:rPr>
        <w:t>采购人名称：</w:t>
      </w:r>
      <w:r>
        <w:rPr>
          <w:rFonts w:hint="eastAsia" w:ascii="宋体" w:hAnsi="宋体" w:cs="Courier New"/>
          <w:bCs/>
          <w:kern w:val="0"/>
          <w:szCs w:val="21"/>
          <w:highlight w:val="none"/>
          <w:u w:val="single"/>
        </w:rPr>
        <w:t xml:space="preserve">                                         </w:t>
      </w:r>
    </w:p>
    <w:p w14:paraId="2EBE85C6">
      <w:pPr>
        <w:spacing w:line="360" w:lineRule="exact"/>
        <w:ind w:left="25" w:leftChars="12" w:right="256" w:rightChars="122" w:firstLine="413" w:firstLineChars="197"/>
        <w:rPr>
          <w:rFonts w:ascii="宋体" w:hAnsi="宋体" w:cs="Courier New"/>
          <w:kern w:val="0"/>
          <w:szCs w:val="21"/>
          <w:highlight w:val="none"/>
        </w:rPr>
      </w:pPr>
      <w:r>
        <w:rPr>
          <w:rFonts w:hint="eastAsia" w:ascii="宋体" w:hAnsi="宋体" w:cs="Courier New"/>
          <w:kern w:val="0"/>
          <w:szCs w:val="21"/>
          <w:highlight w:val="none"/>
        </w:rPr>
        <w:t>质疑事项：</w:t>
      </w:r>
    </w:p>
    <w:p w14:paraId="506AD6C6">
      <w:pPr>
        <w:spacing w:line="360" w:lineRule="exact"/>
        <w:ind w:left="25" w:leftChars="12" w:right="256" w:rightChars="122" w:firstLine="308" w:firstLineChars="147"/>
        <w:rPr>
          <w:rFonts w:ascii="宋体" w:hAnsi="宋体" w:cs="Courier New"/>
          <w:kern w:val="0"/>
          <w:szCs w:val="21"/>
          <w:highlight w:val="none"/>
        </w:rPr>
      </w:pPr>
      <w:r>
        <w:rPr>
          <w:rFonts w:hint="eastAsia" w:ascii="宋体" w:hAnsi="宋体" w:cs="Courier New"/>
          <w:kern w:val="0"/>
          <w:szCs w:val="21"/>
          <w:highlight w:val="none"/>
        </w:rPr>
        <w:t>□采购文件   采购文件获取日期：</w:t>
      </w:r>
      <w:r>
        <w:rPr>
          <w:rFonts w:hint="eastAsia" w:ascii="宋体" w:hAnsi="宋体" w:cs="Courier New"/>
          <w:bCs/>
          <w:kern w:val="0"/>
          <w:szCs w:val="21"/>
          <w:highlight w:val="none"/>
          <w:u w:val="single"/>
        </w:rPr>
        <w:t xml:space="preserve">                                   </w:t>
      </w:r>
    </w:p>
    <w:p w14:paraId="0E7B1E5F">
      <w:pPr>
        <w:spacing w:line="360" w:lineRule="exact"/>
        <w:ind w:left="25" w:leftChars="12" w:right="256" w:rightChars="122" w:firstLine="308" w:firstLineChars="147"/>
        <w:rPr>
          <w:rFonts w:ascii="宋体" w:hAnsi="宋体" w:cs="Courier New"/>
          <w:kern w:val="0"/>
          <w:szCs w:val="21"/>
          <w:highlight w:val="none"/>
        </w:rPr>
      </w:pPr>
      <w:r>
        <w:rPr>
          <w:rFonts w:hint="eastAsia" w:ascii="宋体" w:hAnsi="宋体" w:cs="Courier New"/>
          <w:kern w:val="0"/>
          <w:szCs w:val="21"/>
          <w:highlight w:val="none"/>
        </w:rPr>
        <w:t xml:space="preserve">□采购过程   </w:t>
      </w:r>
    </w:p>
    <w:p w14:paraId="0B8B38B0">
      <w:pPr>
        <w:spacing w:line="360" w:lineRule="exact"/>
        <w:ind w:left="25" w:leftChars="12" w:right="256" w:rightChars="122" w:firstLine="308" w:firstLineChars="147"/>
        <w:rPr>
          <w:rFonts w:ascii="宋体" w:hAnsi="宋体" w:cs="Courier New"/>
          <w:bCs/>
          <w:kern w:val="0"/>
          <w:szCs w:val="21"/>
          <w:highlight w:val="none"/>
          <w:u w:val="single"/>
        </w:rPr>
      </w:pPr>
      <w:r>
        <w:rPr>
          <w:rFonts w:hint="eastAsia" w:ascii="宋体" w:hAnsi="宋体" w:cs="Courier New"/>
          <w:kern w:val="0"/>
          <w:szCs w:val="21"/>
          <w:highlight w:val="none"/>
        </w:rPr>
        <w:t xml:space="preserve">□成交结果   </w:t>
      </w:r>
    </w:p>
    <w:p w14:paraId="7DAF3DC3">
      <w:pPr>
        <w:spacing w:line="360" w:lineRule="exact"/>
        <w:ind w:left="25" w:leftChars="12" w:right="256" w:rightChars="122" w:firstLine="413" w:firstLineChars="196"/>
        <w:rPr>
          <w:rFonts w:ascii="宋体" w:hAnsi="宋体" w:cs="Courier New"/>
          <w:b/>
          <w:kern w:val="0"/>
          <w:szCs w:val="21"/>
          <w:highlight w:val="none"/>
        </w:rPr>
      </w:pPr>
      <w:r>
        <w:rPr>
          <w:rFonts w:hint="eastAsia" w:ascii="宋体" w:hAnsi="宋体" w:cs="Courier New"/>
          <w:b/>
          <w:kern w:val="0"/>
          <w:szCs w:val="21"/>
          <w:highlight w:val="none"/>
        </w:rPr>
        <w:t>三、质疑事项具体内容</w:t>
      </w:r>
    </w:p>
    <w:p w14:paraId="2C6999E6">
      <w:pPr>
        <w:spacing w:line="360" w:lineRule="exact"/>
        <w:ind w:left="25" w:leftChars="12" w:right="256" w:rightChars="122" w:firstLine="413" w:firstLineChars="197"/>
        <w:rPr>
          <w:rFonts w:ascii="宋体" w:hAnsi="宋体" w:cs="Courier New"/>
          <w:kern w:val="0"/>
          <w:szCs w:val="21"/>
          <w:highlight w:val="none"/>
        </w:rPr>
      </w:pPr>
      <w:r>
        <w:rPr>
          <w:rFonts w:hint="eastAsia" w:ascii="宋体" w:hAnsi="宋体" w:cs="Courier New"/>
          <w:kern w:val="0"/>
          <w:szCs w:val="21"/>
          <w:highlight w:val="none"/>
        </w:rPr>
        <w:t>质疑事项1：</w:t>
      </w:r>
      <w:r>
        <w:rPr>
          <w:rFonts w:hint="eastAsia" w:ascii="宋体" w:hAnsi="宋体" w:cs="Courier New"/>
          <w:bCs/>
          <w:kern w:val="0"/>
          <w:szCs w:val="21"/>
          <w:highlight w:val="none"/>
          <w:u w:val="single"/>
        </w:rPr>
        <w:t xml:space="preserve">                                                                  </w:t>
      </w:r>
    </w:p>
    <w:p w14:paraId="37989B41">
      <w:pPr>
        <w:spacing w:line="360" w:lineRule="exact"/>
        <w:ind w:left="25" w:leftChars="12" w:right="256" w:rightChars="122" w:firstLine="413" w:firstLineChars="197"/>
        <w:rPr>
          <w:rFonts w:ascii="宋体" w:hAnsi="宋体" w:cs="Courier New"/>
          <w:kern w:val="0"/>
          <w:szCs w:val="21"/>
          <w:highlight w:val="none"/>
        </w:rPr>
      </w:pPr>
      <w:r>
        <w:rPr>
          <w:rFonts w:hint="eastAsia" w:ascii="宋体" w:hAnsi="宋体" w:cs="Courier New"/>
          <w:kern w:val="0"/>
          <w:szCs w:val="21"/>
          <w:highlight w:val="none"/>
        </w:rPr>
        <w:t>事实依据：</w:t>
      </w:r>
      <w:r>
        <w:rPr>
          <w:rFonts w:hint="eastAsia" w:ascii="宋体" w:hAnsi="宋体" w:cs="Courier New"/>
          <w:bCs/>
          <w:kern w:val="0"/>
          <w:szCs w:val="21"/>
          <w:highlight w:val="none"/>
          <w:u w:val="single"/>
        </w:rPr>
        <w:t xml:space="preserve">                                                                   </w:t>
      </w:r>
    </w:p>
    <w:p w14:paraId="0320AF96">
      <w:pPr>
        <w:spacing w:line="360" w:lineRule="exact"/>
        <w:ind w:left="25" w:leftChars="12" w:right="256" w:rightChars="122" w:firstLine="413" w:firstLineChars="197"/>
        <w:rPr>
          <w:rFonts w:ascii="宋体" w:hAnsi="宋体" w:cs="Courier New"/>
          <w:kern w:val="0"/>
          <w:szCs w:val="21"/>
          <w:highlight w:val="none"/>
        </w:rPr>
      </w:pPr>
      <w:r>
        <w:rPr>
          <w:rFonts w:hint="eastAsia" w:ascii="宋体" w:hAnsi="宋体" w:cs="Courier New"/>
          <w:kern w:val="0"/>
          <w:szCs w:val="21"/>
          <w:highlight w:val="none"/>
        </w:rPr>
        <w:t>法律依据：</w:t>
      </w:r>
      <w:r>
        <w:rPr>
          <w:rFonts w:hint="eastAsia" w:ascii="宋体" w:hAnsi="宋体" w:cs="Courier New"/>
          <w:kern w:val="0"/>
          <w:szCs w:val="21"/>
          <w:highlight w:val="none"/>
          <w:u w:val="single"/>
        </w:rPr>
        <w:t xml:space="preserve">                                                        </w:t>
      </w:r>
      <w:r>
        <w:rPr>
          <w:rFonts w:hint="eastAsia" w:ascii="宋体" w:hAnsi="宋体" w:cs="Courier New"/>
          <w:bCs/>
          <w:kern w:val="0"/>
          <w:szCs w:val="21"/>
          <w:highlight w:val="none"/>
          <w:u w:val="single"/>
        </w:rPr>
        <w:t xml:space="preserve">           </w:t>
      </w:r>
    </w:p>
    <w:p w14:paraId="331C309A">
      <w:pPr>
        <w:spacing w:line="360" w:lineRule="exact"/>
        <w:ind w:left="25" w:leftChars="12" w:right="256" w:rightChars="122" w:firstLine="413" w:firstLineChars="197"/>
        <w:rPr>
          <w:rFonts w:ascii="宋体" w:hAnsi="宋体" w:cs="Courier New"/>
          <w:kern w:val="0"/>
          <w:szCs w:val="21"/>
          <w:highlight w:val="none"/>
        </w:rPr>
      </w:pPr>
      <w:r>
        <w:rPr>
          <w:rFonts w:hint="eastAsia" w:ascii="宋体" w:hAnsi="宋体" w:cs="Courier New"/>
          <w:kern w:val="0"/>
          <w:szCs w:val="21"/>
          <w:highlight w:val="none"/>
        </w:rPr>
        <w:t>质疑事项2</w:t>
      </w:r>
    </w:p>
    <w:p w14:paraId="15D9DB84">
      <w:pPr>
        <w:spacing w:line="360" w:lineRule="exact"/>
        <w:ind w:left="25" w:leftChars="12" w:right="256" w:rightChars="122" w:firstLine="413" w:firstLineChars="197"/>
        <w:rPr>
          <w:rFonts w:ascii="宋体" w:hAnsi="宋体" w:cs="Courier New"/>
          <w:kern w:val="0"/>
          <w:szCs w:val="21"/>
          <w:highlight w:val="none"/>
        </w:rPr>
      </w:pPr>
      <w:r>
        <w:rPr>
          <w:rFonts w:ascii="宋体" w:hAnsi="宋体" w:cs="Courier New"/>
          <w:kern w:val="0"/>
          <w:szCs w:val="21"/>
          <w:highlight w:val="none"/>
        </w:rPr>
        <w:t>……</w:t>
      </w:r>
    </w:p>
    <w:p w14:paraId="22188A1D">
      <w:pPr>
        <w:spacing w:line="360" w:lineRule="exact"/>
        <w:ind w:left="25" w:leftChars="12" w:right="256" w:rightChars="122" w:firstLine="413" w:firstLineChars="197"/>
        <w:rPr>
          <w:rFonts w:ascii="宋体" w:hAnsi="宋体" w:cs="Courier New"/>
          <w:kern w:val="0"/>
          <w:szCs w:val="21"/>
          <w:highlight w:val="none"/>
        </w:rPr>
      </w:pPr>
      <w:r>
        <w:rPr>
          <w:rFonts w:hint="eastAsia" w:ascii="宋体" w:hAnsi="宋体" w:cs="Courier New"/>
          <w:kern w:val="0"/>
          <w:szCs w:val="21"/>
          <w:highlight w:val="none"/>
        </w:rPr>
        <w:t>四、与质疑事项相关的质疑请求：</w:t>
      </w:r>
    </w:p>
    <w:p w14:paraId="75FD75EB">
      <w:pPr>
        <w:spacing w:line="360" w:lineRule="exact"/>
        <w:ind w:left="25" w:leftChars="12" w:right="256" w:rightChars="122" w:firstLine="413" w:firstLineChars="197"/>
        <w:rPr>
          <w:rFonts w:ascii="宋体" w:hAnsi="宋体" w:cs="Courier New"/>
          <w:kern w:val="0"/>
          <w:szCs w:val="21"/>
          <w:highlight w:val="none"/>
        </w:rPr>
      </w:pPr>
      <w:r>
        <w:rPr>
          <w:rFonts w:hint="eastAsia" w:ascii="宋体" w:hAnsi="宋体" w:cs="Courier New"/>
          <w:kern w:val="0"/>
          <w:szCs w:val="21"/>
          <w:highlight w:val="none"/>
        </w:rPr>
        <w:t>请求：</w:t>
      </w:r>
      <w:r>
        <w:rPr>
          <w:rFonts w:hint="eastAsia" w:ascii="宋体" w:hAnsi="宋体" w:cs="Courier New"/>
          <w:bCs/>
          <w:kern w:val="0"/>
          <w:szCs w:val="21"/>
          <w:highlight w:val="none"/>
          <w:u w:val="single"/>
        </w:rPr>
        <w:t xml:space="preserve">                                                                </w:t>
      </w:r>
    </w:p>
    <w:p w14:paraId="3DF8144B">
      <w:pPr>
        <w:spacing w:line="360" w:lineRule="exact"/>
        <w:ind w:left="25" w:leftChars="12" w:right="256" w:rightChars="122" w:firstLine="308" w:firstLineChars="147"/>
        <w:jc w:val="center"/>
        <w:rPr>
          <w:rFonts w:ascii="宋体" w:hAnsi="宋体" w:cs="Courier New"/>
          <w:kern w:val="0"/>
          <w:szCs w:val="21"/>
          <w:highlight w:val="none"/>
        </w:rPr>
      </w:pPr>
    </w:p>
    <w:p w14:paraId="11B487C3">
      <w:pPr>
        <w:spacing w:line="360" w:lineRule="exact"/>
        <w:ind w:left="25" w:leftChars="12" w:right="256" w:rightChars="122" w:firstLine="413" w:firstLineChars="197"/>
        <w:rPr>
          <w:rFonts w:ascii="宋体" w:hAnsi="宋体" w:cs="Courier New"/>
          <w:kern w:val="0"/>
          <w:szCs w:val="21"/>
          <w:highlight w:val="none"/>
        </w:rPr>
      </w:pPr>
      <w:r>
        <w:rPr>
          <w:rFonts w:hint="eastAsia" w:ascii="宋体" w:hAnsi="宋体" w:cs="Courier New"/>
          <w:kern w:val="0"/>
          <w:szCs w:val="21"/>
          <w:highlight w:val="none"/>
        </w:rPr>
        <w:t>签字（签章）：                                       公章：</w:t>
      </w:r>
    </w:p>
    <w:p w14:paraId="65FEDA19">
      <w:pPr>
        <w:spacing w:line="360" w:lineRule="exact"/>
        <w:ind w:left="25" w:leftChars="12" w:right="256" w:rightChars="122" w:firstLine="413" w:firstLineChars="197"/>
        <w:rPr>
          <w:rFonts w:ascii="宋体" w:hAnsi="宋体" w:cs="Courier New"/>
          <w:kern w:val="0"/>
          <w:szCs w:val="21"/>
          <w:highlight w:val="none"/>
        </w:rPr>
      </w:pPr>
      <w:r>
        <w:rPr>
          <w:rFonts w:hint="eastAsia" w:ascii="宋体" w:hAnsi="宋体" w:cs="Courier New"/>
          <w:kern w:val="0"/>
          <w:szCs w:val="21"/>
          <w:highlight w:val="none"/>
        </w:rPr>
        <w:t>日期：</w:t>
      </w:r>
    </w:p>
    <w:p w14:paraId="7599898D">
      <w:pPr>
        <w:snapToGrid w:val="0"/>
        <w:spacing w:line="360" w:lineRule="exact"/>
        <w:ind w:right="256" w:rightChars="122"/>
        <w:rPr>
          <w:rFonts w:ascii="宋体" w:hAnsi="宋体" w:cs="Courier New"/>
          <w:kern w:val="0"/>
          <w:szCs w:val="21"/>
          <w:highlight w:val="none"/>
        </w:rPr>
      </w:pPr>
      <w:r>
        <w:rPr>
          <w:rFonts w:hint="eastAsia" w:ascii="宋体" w:hAnsi="宋体" w:cs="Courier New"/>
          <w:kern w:val="0"/>
          <w:szCs w:val="21"/>
          <w:highlight w:val="none"/>
        </w:rPr>
        <w:t>说明：</w:t>
      </w:r>
    </w:p>
    <w:p w14:paraId="27013A2B">
      <w:pPr>
        <w:spacing w:line="360" w:lineRule="exact"/>
        <w:ind w:left="25" w:leftChars="12" w:right="256" w:rightChars="122" w:firstLine="308" w:firstLineChars="147"/>
        <w:rPr>
          <w:rFonts w:ascii="宋体" w:hAnsi="宋体" w:cs="Courier New"/>
          <w:bCs/>
          <w:kern w:val="0"/>
          <w:szCs w:val="21"/>
          <w:highlight w:val="none"/>
        </w:rPr>
      </w:pPr>
      <w:r>
        <w:rPr>
          <w:rFonts w:hint="eastAsia" w:ascii="宋体" w:hAnsi="宋体" w:cs="Courier New"/>
          <w:kern w:val="0"/>
          <w:szCs w:val="21"/>
          <w:highlight w:val="none"/>
        </w:rPr>
        <w:t>1.供应商提出质疑时，应提交质疑函和必要的证明材料</w:t>
      </w:r>
      <w:r>
        <w:rPr>
          <w:rFonts w:hint="eastAsia" w:ascii="宋体" w:hAnsi="宋体" w:cs="Courier New"/>
          <w:bCs/>
          <w:kern w:val="0"/>
          <w:szCs w:val="21"/>
          <w:highlight w:val="none"/>
        </w:rPr>
        <w:t>。</w:t>
      </w:r>
    </w:p>
    <w:p w14:paraId="5FC97445">
      <w:pPr>
        <w:spacing w:line="360" w:lineRule="exact"/>
        <w:ind w:left="25" w:leftChars="12" w:right="256" w:rightChars="122" w:firstLine="308" w:firstLineChars="147"/>
        <w:rPr>
          <w:rFonts w:ascii="宋体" w:hAnsi="宋体" w:cs="Courier New"/>
          <w:kern w:val="0"/>
          <w:szCs w:val="21"/>
          <w:highlight w:val="none"/>
        </w:rPr>
      </w:pPr>
      <w:r>
        <w:rPr>
          <w:rFonts w:hint="eastAsia" w:ascii="宋体" w:hAnsi="宋体" w:cs="Courier New"/>
          <w:kern w:val="0"/>
          <w:szCs w:val="21"/>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59EB7B9A">
      <w:pPr>
        <w:spacing w:line="360" w:lineRule="exact"/>
        <w:ind w:left="25" w:leftChars="12" w:right="256" w:rightChars="122" w:firstLine="308" w:firstLineChars="147"/>
        <w:rPr>
          <w:rFonts w:ascii="宋体" w:hAnsi="宋体" w:cs="Courier New"/>
          <w:kern w:val="0"/>
          <w:szCs w:val="21"/>
          <w:highlight w:val="none"/>
        </w:rPr>
      </w:pPr>
      <w:r>
        <w:rPr>
          <w:rFonts w:hint="eastAsia" w:ascii="宋体" w:hAnsi="宋体" w:cs="Courier New"/>
          <w:kern w:val="0"/>
          <w:szCs w:val="21"/>
          <w:highlight w:val="none"/>
        </w:rPr>
        <w:t>3.质疑函的质疑事项应具体、明确，并有必要的事实依据和法律依据。</w:t>
      </w:r>
    </w:p>
    <w:p w14:paraId="6B826265">
      <w:pPr>
        <w:spacing w:line="360" w:lineRule="exact"/>
        <w:ind w:left="25" w:leftChars="12" w:right="256" w:rightChars="122" w:firstLine="308" w:firstLineChars="147"/>
        <w:rPr>
          <w:rFonts w:ascii="宋体" w:hAnsi="宋体" w:cs="Courier New"/>
          <w:kern w:val="0"/>
          <w:szCs w:val="21"/>
          <w:highlight w:val="none"/>
        </w:rPr>
      </w:pPr>
      <w:r>
        <w:rPr>
          <w:rFonts w:hint="eastAsia" w:ascii="宋体" w:hAnsi="宋体" w:cs="Courier New"/>
          <w:kern w:val="0"/>
          <w:szCs w:val="21"/>
          <w:highlight w:val="none"/>
        </w:rPr>
        <w:t>4.质疑函的质疑请求应与质疑事项相关。</w:t>
      </w:r>
    </w:p>
    <w:p w14:paraId="2B78839E">
      <w:pPr>
        <w:pStyle w:val="10"/>
        <w:spacing w:line="360" w:lineRule="auto"/>
        <w:ind w:left="25" w:leftChars="12" w:firstLine="308" w:firstLineChars="147"/>
        <w:contextualSpacing/>
        <w:rPr>
          <w:rFonts w:hAnsi="宋体"/>
          <w:b/>
          <w:highlight w:val="none"/>
        </w:rPr>
      </w:pPr>
      <w:r>
        <w:rPr>
          <w:rFonts w:hint="eastAsia" w:hAnsi="宋体" w:cs="Courier New"/>
          <w:kern w:val="0"/>
          <w:szCs w:val="21"/>
          <w:highlight w:val="none"/>
        </w:rPr>
        <w:t>5.质疑供应商为法人或者其他组织的，质疑函应由法定代表人、主要负责人，或者其授权代表签字或者盖章，并加盖公章。</w:t>
      </w:r>
    </w:p>
    <w:p w14:paraId="0D7D5295">
      <w:pPr>
        <w:rPr>
          <w:highlight w:val="none"/>
        </w:rPr>
      </w:pPr>
      <w:r>
        <w:rPr>
          <w:highlight w:val="none"/>
        </w:rPr>
        <w:br w:type="page"/>
      </w:r>
    </w:p>
    <w:p w14:paraId="7546AEB9">
      <w:pPr>
        <w:spacing w:line="360" w:lineRule="auto"/>
        <w:ind w:right="256" w:rightChars="122"/>
        <w:jc w:val="center"/>
        <w:rPr>
          <w:b/>
          <w:bCs/>
          <w:sz w:val="28"/>
          <w:szCs w:val="28"/>
          <w:highlight w:val="none"/>
        </w:rPr>
      </w:pPr>
      <w:r>
        <w:rPr>
          <w:b/>
          <w:bCs/>
          <w:sz w:val="28"/>
          <w:szCs w:val="28"/>
          <w:highlight w:val="none"/>
        </w:rPr>
        <w:t>投诉书（格式）</w:t>
      </w:r>
    </w:p>
    <w:p w14:paraId="42DC5822">
      <w:pPr>
        <w:pStyle w:val="10"/>
        <w:snapToGrid w:val="0"/>
        <w:spacing w:line="360" w:lineRule="auto"/>
        <w:ind w:right="256" w:rightChars="122" w:firstLine="482" w:firstLineChars="200"/>
        <w:rPr>
          <w:rFonts w:ascii="Times New Roman"/>
          <w:b/>
          <w:bCs/>
          <w:sz w:val="24"/>
          <w:szCs w:val="24"/>
          <w:highlight w:val="none"/>
        </w:rPr>
      </w:pPr>
    </w:p>
    <w:p w14:paraId="4B8B6497">
      <w:pPr>
        <w:pStyle w:val="10"/>
        <w:snapToGrid w:val="0"/>
        <w:spacing w:before="120" w:after="120" w:line="360" w:lineRule="auto"/>
        <w:ind w:right="256" w:rightChars="122" w:firstLine="422" w:firstLineChars="200"/>
        <w:rPr>
          <w:rFonts w:ascii="Times New Roman"/>
          <w:b/>
          <w:bCs/>
          <w:highlight w:val="none"/>
        </w:rPr>
      </w:pPr>
      <w:r>
        <w:rPr>
          <w:rFonts w:ascii="Times New Roman"/>
          <w:b/>
          <w:bCs/>
          <w:highlight w:val="none"/>
        </w:rPr>
        <w:t>一、投诉相关主体基本情况</w:t>
      </w:r>
    </w:p>
    <w:p w14:paraId="3390DD92">
      <w:pPr>
        <w:pStyle w:val="10"/>
        <w:snapToGrid w:val="0"/>
        <w:spacing w:line="360" w:lineRule="auto"/>
        <w:ind w:right="256" w:rightChars="122" w:firstLine="420" w:firstLineChars="200"/>
        <w:rPr>
          <w:rFonts w:ascii="Times New Roman"/>
          <w:bCs/>
          <w:highlight w:val="none"/>
          <w:u w:val="single"/>
        </w:rPr>
      </w:pPr>
      <w:r>
        <w:rPr>
          <w:rFonts w:ascii="Times New Roman"/>
          <w:bCs/>
          <w:highlight w:val="none"/>
        </w:rPr>
        <w:t>供应商：</w:t>
      </w:r>
      <w:r>
        <w:rPr>
          <w:rFonts w:ascii="Times New Roman"/>
          <w:bCs/>
          <w:highlight w:val="none"/>
          <w:u w:val="single"/>
        </w:rPr>
        <w:t xml:space="preserve">                                                                   </w:t>
      </w:r>
    </w:p>
    <w:p w14:paraId="391C058A">
      <w:pPr>
        <w:pStyle w:val="10"/>
        <w:snapToGrid w:val="0"/>
        <w:spacing w:line="360" w:lineRule="auto"/>
        <w:ind w:right="256" w:rightChars="122" w:firstLine="420" w:firstLineChars="200"/>
        <w:rPr>
          <w:rFonts w:ascii="Times New Roman"/>
          <w:bCs/>
          <w:highlight w:val="none"/>
        </w:rPr>
      </w:pPr>
      <w:r>
        <w:rPr>
          <w:rFonts w:ascii="Times New Roman"/>
          <w:bCs/>
          <w:highlight w:val="none"/>
        </w:rPr>
        <w:t>地址：</w:t>
      </w:r>
      <w:r>
        <w:rPr>
          <w:rFonts w:ascii="Times New Roman"/>
          <w:bCs/>
          <w:highlight w:val="none"/>
          <w:u w:val="single"/>
        </w:rPr>
        <w:t xml:space="preserve">                                          </w:t>
      </w:r>
      <w:r>
        <w:rPr>
          <w:rFonts w:ascii="Times New Roman"/>
          <w:bCs/>
          <w:highlight w:val="none"/>
        </w:rPr>
        <w:t>邮编：</w:t>
      </w:r>
      <w:r>
        <w:rPr>
          <w:rFonts w:ascii="Times New Roman"/>
          <w:bCs/>
          <w:highlight w:val="none"/>
          <w:u w:val="single"/>
        </w:rPr>
        <w:t xml:space="preserve">                     </w:t>
      </w:r>
    </w:p>
    <w:p w14:paraId="3DD60E80">
      <w:pPr>
        <w:pStyle w:val="10"/>
        <w:snapToGrid w:val="0"/>
        <w:spacing w:line="360" w:lineRule="auto"/>
        <w:ind w:right="256" w:rightChars="122" w:firstLine="420" w:firstLineChars="200"/>
        <w:rPr>
          <w:rFonts w:ascii="Times New Roman"/>
          <w:bCs/>
          <w:highlight w:val="none"/>
          <w:u w:val="single"/>
        </w:rPr>
      </w:pPr>
      <w:r>
        <w:rPr>
          <w:rFonts w:ascii="Times New Roman"/>
          <w:bCs/>
          <w:highlight w:val="none"/>
        </w:rPr>
        <w:t>法定代表人/主要负责人：</w:t>
      </w:r>
      <w:r>
        <w:rPr>
          <w:rFonts w:ascii="Times New Roman"/>
          <w:bCs/>
          <w:highlight w:val="none"/>
          <w:u w:val="single"/>
        </w:rPr>
        <w:t xml:space="preserve">                                                    </w:t>
      </w:r>
    </w:p>
    <w:p w14:paraId="4E72DD4B">
      <w:pPr>
        <w:pStyle w:val="10"/>
        <w:snapToGrid w:val="0"/>
        <w:spacing w:line="360" w:lineRule="auto"/>
        <w:ind w:right="256" w:rightChars="122" w:firstLine="420" w:firstLineChars="200"/>
        <w:rPr>
          <w:rFonts w:ascii="Times New Roman"/>
          <w:bCs/>
          <w:highlight w:val="none"/>
        </w:rPr>
      </w:pPr>
      <w:r>
        <w:rPr>
          <w:rFonts w:ascii="Times New Roman"/>
          <w:bCs/>
          <w:highlight w:val="none"/>
        </w:rPr>
        <w:t>联系电话：</w:t>
      </w:r>
      <w:r>
        <w:rPr>
          <w:rFonts w:ascii="Times New Roman"/>
          <w:bCs/>
          <w:highlight w:val="none"/>
          <w:u w:val="single"/>
        </w:rPr>
        <w:t xml:space="preserve">                                         </w:t>
      </w:r>
    </w:p>
    <w:p w14:paraId="5E349BCE">
      <w:pPr>
        <w:pStyle w:val="10"/>
        <w:snapToGrid w:val="0"/>
        <w:spacing w:line="360" w:lineRule="auto"/>
        <w:ind w:right="256" w:rightChars="122" w:firstLine="420" w:firstLineChars="200"/>
        <w:rPr>
          <w:rFonts w:ascii="Times New Roman"/>
          <w:bCs/>
          <w:highlight w:val="none"/>
          <w:u w:val="single"/>
        </w:rPr>
      </w:pPr>
      <w:r>
        <w:rPr>
          <w:rFonts w:ascii="Times New Roman"/>
          <w:bCs/>
          <w:highlight w:val="none"/>
        </w:rPr>
        <w:t>授权代表：</w:t>
      </w:r>
      <w:r>
        <w:rPr>
          <w:rFonts w:ascii="Times New Roman"/>
          <w:bCs/>
          <w:highlight w:val="none"/>
          <w:u w:val="single"/>
        </w:rPr>
        <w:t xml:space="preserve">                                         </w:t>
      </w:r>
      <w:r>
        <w:rPr>
          <w:rFonts w:ascii="Times New Roman"/>
          <w:bCs/>
          <w:highlight w:val="none"/>
        </w:rPr>
        <w:t>联系电话：</w:t>
      </w:r>
      <w:r>
        <w:rPr>
          <w:rFonts w:ascii="Times New Roman"/>
          <w:bCs/>
          <w:highlight w:val="none"/>
          <w:u w:val="single"/>
        </w:rPr>
        <w:t xml:space="preserve">              </w:t>
      </w:r>
    </w:p>
    <w:p w14:paraId="0FB31372">
      <w:pPr>
        <w:pStyle w:val="10"/>
        <w:snapToGrid w:val="0"/>
        <w:spacing w:line="360" w:lineRule="auto"/>
        <w:ind w:right="256" w:rightChars="122" w:firstLine="420" w:firstLineChars="200"/>
        <w:rPr>
          <w:rFonts w:ascii="Times New Roman"/>
          <w:bCs/>
          <w:highlight w:val="none"/>
          <w:u w:val="single"/>
        </w:rPr>
      </w:pPr>
      <w:r>
        <w:rPr>
          <w:rFonts w:ascii="Times New Roman"/>
          <w:bCs/>
          <w:highlight w:val="none"/>
        </w:rPr>
        <w:t>地址：</w:t>
      </w:r>
      <w:r>
        <w:rPr>
          <w:rFonts w:ascii="Times New Roman"/>
          <w:bCs/>
          <w:highlight w:val="none"/>
          <w:u w:val="single"/>
        </w:rPr>
        <w:t xml:space="preserve">                                                            </w:t>
      </w:r>
    </w:p>
    <w:p w14:paraId="1228FADA">
      <w:pPr>
        <w:pStyle w:val="10"/>
        <w:snapToGrid w:val="0"/>
        <w:spacing w:line="360" w:lineRule="auto"/>
        <w:ind w:right="256" w:rightChars="122" w:firstLine="420" w:firstLineChars="200"/>
        <w:rPr>
          <w:rFonts w:ascii="Times New Roman"/>
          <w:bCs/>
          <w:highlight w:val="none"/>
        </w:rPr>
      </w:pPr>
      <w:r>
        <w:rPr>
          <w:rFonts w:ascii="Times New Roman"/>
          <w:bCs/>
          <w:highlight w:val="none"/>
        </w:rPr>
        <w:t>邮编：</w:t>
      </w:r>
      <w:r>
        <w:rPr>
          <w:rFonts w:ascii="Times New Roman"/>
          <w:bCs/>
          <w:highlight w:val="none"/>
          <w:u w:val="single"/>
        </w:rPr>
        <w:t xml:space="preserve">         </w:t>
      </w:r>
      <w:r>
        <w:rPr>
          <w:rFonts w:ascii="Times New Roman"/>
          <w:bCs/>
          <w:highlight w:val="none"/>
        </w:rPr>
        <w:t xml:space="preserve">   </w:t>
      </w:r>
    </w:p>
    <w:p w14:paraId="73D7DFB6">
      <w:pPr>
        <w:pStyle w:val="10"/>
        <w:snapToGrid w:val="0"/>
        <w:spacing w:line="360" w:lineRule="auto"/>
        <w:ind w:right="256" w:rightChars="122" w:firstLine="420" w:firstLineChars="200"/>
        <w:rPr>
          <w:rFonts w:ascii="Times New Roman"/>
          <w:bCs/>
          <w:highlight w:val="none"/>
        </w:rPr>
      </w:pPr>
      <w:r>
        <w:rPr>
          <w:rFonts w:ascii="Times New Roman"/>
          <w:bCs/>
          <w:highlight w:val="none"/>
        </w:rPr>
        <w:t>被投诉人1：</w:t>
      </w:r>
    </w:p>
    <w:p w14:paraId="62BFB776">
      <w:pPr>
        <w:pStyle w:val="10"/>
        <w:snapToGrid w:val="0"/>
        <w:spacing w:line="360" w:lineRule="auto"/>
        <w:ind w:right="256" w:rightChars="122" w:firstLine="420" w:firstLineChars="200"/>
        <w:rPr>
          <w:rFonts w:ascii="Times New Roman"/>
          <w:bCs/>
          <w:highlight w:val="none"/>
          <w:u w:val="single"/>
        </w:rPr>
      </w:pPr>
      <w:r>
        <w:rPr>
          <w:rFonts w:ascii="Times New Roman"/>
          <w:bCs/>
          <w:highlight w:val="none"/>
        </w:rPr>
        <w:t>地址：</w:t>
      </w:r>
      <w:r>
        <w:rPr>
          <w:rFonts w:ascii="Times New Roman"/>
          <w:bCs/>
          <w:highlight w:val="none"/>
          <w:u w:val="single"/>
        </w:rPr>
        <w:t xml:space="preserve">                                                            </w:t>
      </w:r>
    </w:p>
    <w:p w14:paraId="14B4B021">
      <w:pPr>
        <w:pStyle w:val="10"/>
        <w:snapToGrid w:val="0"/>
        <w:spacing w:line="360" w:lineRule="auto"/>
        <w:ind w:right="256" w:rightChars="122" w:firstLine="420" w:firstLineChars="200"/>
        <w:rPr>
          <w:rFonts w:ascii="Times New Roman"/>
          <w:bCs/>
          <w:highlight w:val="none"/>
        </w:rPr>
      </w:pPr>
      <w:r>
        <w:rPr>
          <w:rFonts w:ascii="Times New Roman"/>
          <w:bCs/>
          <w:highlight w:val="none"/>
        </w:rPr>
        <w:t>邮编：</w:t>
      </w:r>
      <w:r>
        <w:rPr>
          <w:rFonts w:ascii="Times New Roman"/>
          <w:bCs/>
          <w:highlight w:val="none"/>
          <w:u w:val="single"/>
        </w:rPr>
        <w:t xml:space="preserve">         </w:t>
      </w:r>
      <w:r>
        <w:rPr>
          <w:rFonts w:ascii="Times New Roman"/>
          <w:bCs/>
          <w:highlight w:val="none"/>
        </w:rPr>
        <w:t xml:space="preserve">  </w:t>
      </w:r>
    </w:p>
    <w:p w14:paraId="02917201">
      <w:pPr>
        <w:pStyle w:val="10"/>
        <w:snapToGrid w:val="0"/>
        <w:spacing w:line="360" w:lineRule="auto"/>
        <w:ind w:right="256" w:rightChars="122" w:firstLine="420" w:firstLineChars="200"/>
        <w:rPr>
          <w:rFonts w:ascii="Times New Roman"/>
          <w:bCs/>
          <w:highlight w:val="none"/>
          <w:u w:val="single"/>
        </w:rPr>
      </w:pPr>
      <w:r>
        <w:rPr>
          <w:rFonts w:ascii="Times New Roman"/>
          <w:bCs/>
          <w:highlight w:val="none"/>
        </w:rPr>
        <w:t>联系人：</w:t>
      </w:r>
      <w:r>
        <w:rPr>
          <w:rFonts w:ascii="Times New Roman"/>
          <w:bCs/>
          <w:highlight w:val="none"/>
          <w:u w:val="single"/>
        </w:rPr>
        <w:t xml:space="preserve">                                          </w:t>
      </w:r>
      <w:r>
        <w:rPr>
          <w:rFonts w:ascii="Times New Roman"/>
          <w:bCs/>
          <w:highlight w:val="none"/>
        </w:rPr>
        <w:t>联系电话：</w:t>
      </w:r>
      <w:r>
        <w:rPr>
          <w:rFonts w:ascii="Times New Roman"/>
          <w:bCs/>
          <w:highlight w:val="none"/>
          <w:u w:val="single"/>
        </w:rPr>
        <w:t xml:space="preserve">     </w:t>
      </w:r>
      <w:r>
        <w:rPr>
          <w:rFonts w:hint="eastAsia" w:ascii="Times New Roman"/>
          <w:bCs/>
          <w:highlight w:val="none"/>
          <w:u w:val="single"/>
        </w:rPr>
        <w:t xml:space="preserve">    </w:t>
      </w:r>
      <w:r>
        <w:rPr>
          <w:rFonts w:ascii="Times New Roman"/>
          <w:bCs/>
          <w:highlight w:val="none"/>
          <w:u w:val="single"/>
        </w:rPr>
        <w:t xml:space="preserve">     </w:t>
      </w:r>
    </w:p>
    <w:p w14:paraId="466FCA1C">
      <w:pPr>
        <w:pStyle w:val="10"/>
        <w:snapToGrid w:val="0"/>
        <w:spacing w:line="360" w:lineRule="auto"/>
        <w:ind w:right="256" w:rightChars="122" w:firstLine="420" w:firstLineChars="200"/>
        <w:rPr>
          <w:rFonts w:ascii="Times New Roman"/>
          <w:bCs/>
          <w:highlight w:val="none"/>
        </w:rPr>
      </w:pPr>
      <w:r>
        <w:rPr>
          <w:rFonts w:ascii="Times New Roman"/>
          <w:bCs/>
          <w:highlight w:val="none"/>
        </w:rPr>
        <w:t>被投诉人2：</w:t>
      </w:r>
    </w:p>
    <w:p w14:paraId="3F5C8E4E">
      <w:pPr>
        <w:pStyle w:val="10"/>
        <w:snapToGrid w:val="0"/>
        <w:spacing w:line="360" w:lineRule="auto"/>
        <w:ind w:right="256" w:rightChars="122" w:firstLine="420" w:firstLineChars="200"/>
        <w:rPr>
          <w:rFonts w:ascii="Times New Roman"/>
          <w:bCs/>
          <w:highlight w:val="none"/>
        </w:rPr>
      </w:pPr>
      <w:r>
        <w:rPr>
          <w:rFonts w:ascii="Times New Roman"/>
          <w:bCs/>
          <w:highlight w:val="none"/>
        </w:rPr>
        <w:t>……</w:t>
      </w:r>
    </w:p>
    <w:p w14:paraId="0E3695F1">
      <w:pPr>
        <w:pStyle w:val="10"/>
        <w:snapToGrid w:val="0"/>
        <w:spacing w:line="360" w:lineRule="auto"/>
        <w:ind w:right="256" w:rightChars="122" w:firstLine="420" w:firstLineChars="200"/>
        <w:rPr>
          <w:rFonts w:ascii="Times New Roman"/>
          <w:bCs/>
          <w:highlight w:val="none"/>
          <w:u w:val="single"/>
        </w:rPr>
      </w:pPr>
      <w:r>
        <w:rPr>
          <w:rFonts w:ascii="Times New Roman"/>
          <w:bCs/>
          <w:highlight w:val="none"/>
        </w:rPr>
        <w:t>相关供应商：</w:t>
      </w:r>
      <w:r>
        <w:rPr>
          <w:rFonts w:ascii="Times New Roman"/>
          <w:bCs/>
          <w:highlight w:val="none"/>
          <w:u w:val="single"/>
        </w:rPr>
        <w:t xml:space="preserve">                                                              </w:t>
      </w:r>
    </w:p>
    <w:p w14:paraId="6CE7998E">
      <w:pPr>
        <w:pStyle w:val="10"/>
        <w:snapToGrid w:val="0"/>
        <w:spacing w:line="360" w:lineRule="auto"/>
        <w:ind w:right="256" w:rightChars="122" w:firstLine="420" w:firstLineChars="200"/>
        <w:rPr>
          <w:rFonts w:ascii="Times New Roman"/>
          <w:bCs/>
          <w:highlight w:val="none"/>
          <w:u w:val="single"/>
        </w:rPr>
      </w:pPr>
      <w:r>
        <w:rPr>
          <w:rFonts w:ascii="Times New Roman"/>
          <w:bCs/>
          <w:highlight w:val="none"/>
        </w:rPr>
        <w:t>地址：</w:t>
      </w:r>
      <w:r>
        <w:rPr>
          <w:rFonts w:ascii="Times New Roman"/>
          <w:bCs/>
          <w:highlight w:val="none"/>
          <w:u w:val="single"/>
        </w:rPr>
        <w:t xml:space="preserve">                                              </w:t>
      </w:r>
      <w:r>
        <w:rPr>
          <w:rFonts w:ascii="Times New Roman"/>
          <w:bCs/>
          <w:highlight w:val="none"/>
        </w:rPr>
        <w:t>邮编：</w:t>
      </w:r>
      <w:r>
        <w:rPr>
          <w:rFonts w:ascii="Times New Roman"/>
          <w:bCs/>
          <w:highlight w:val="none"/>
          <w:u w:val="single"/>
        </w:rPr>
        <w:t xml:space="preserve">                </w:t>
      </w:r>
    </w:p>
    <w:p w14:paraId="4374EAC4">
      <w:pPr>
        <w:pStyle w:val="10"/>
        <w:snapToGrid w:val="0"/>
        <w:spacing w:line="360" w:lineRule="auto"/>
        <w:ind w:right="256" w:rightChars="122" w:firstLine="420" w:firstLineChars="200"/>
        <w:rPr>
          <w:rFonts w:ascii="Times New Roman"/>
          <w:bCs/>
          <w:highlight w:val="none"/>
        </w:rPr>
      </w:pPr>
      <w:r>
        <w:rPr>
          <w:rFonts w:ascii="Times New Roman"/>
          <w:bCs/>
          <w:highlight w:val="none"/>
        </w:rPr>
        <w:t>联系人：</w:t>
      </w:r>
      <w:r>
        <w:rPr>
          <w:rFonts w:ascii="Times New Roman"/>
          <w:bCs/>
          <w:highlight w:val="none"/>
          <w:u w:val="single"/>
        </w:rPr>
        <w:t xml:space="preserve">                                            </w:t>
      </w:r>
      <w:r>
        <w:rPr>
          <w:rFonts w:ascii="Times New Roman"/>
          <w:bCs/>
          <w:highlight w:val="none"/>
        </w:rPr>
        <w:t>联系电话：</w:t>
      </w:r>
      <w:r>
        <w:rPr>
          <w:rFonts w:ascii="Times New Roman"/>
          <w:bCs/>
          <w:highlight w:val="none"/>
          <w:u w:val="single"/>
        </w:rPr>
        <w:t xml:space="preserve">            </w:t>
      </w:r>
    </w:p>
    <w:p w14:paraId="1AFDB8E2">
      <w:pPr>
        <w:pStyle w:val="10"/>
        <w:snapToGrid w:val="0"/>
        <w:spacing w:before="120" w:after="120" w:line="360" w:lineRule="auto"/>
        <w:ind w:right="256" w:rightChars="122" w:firstLine="422" w:firstLineChars="200"/>
        <w:rPr>
          <w:rFonts w:ascii="Times New Roman"/>
          <w:b/>
          <w:bCs/>
          <w:highlight w:val="none"/>
        </w:rPr>
      </w:pPr>
      <w:r>
        <w:rPr>
          <w:rFonts w:ascii="Times New Roman"/>
          <w:b/>
          <w:bCs/>
          <w:highlight w:val="none"/>
        </w:rPr>
        <w:t>二、投诉项目基本情况</w:t>
      </w:r>
    </w:p>
    <w:p w14:paraId="0DEE8A98">
      <w:pPr>
        <w:pStyle w:val="10"/>
        <w:spacing w:line="360" w:lineRule="auto"/>
        <w:ind w:left="25" w:leftChars="12" w:right="256" w:rightChars="122" w:firstLine="413" w:firstLineChars="197"/>
        <w:rPr>
          <w:rFonts w:ascii="Times New Roman"/>
          <w:highlight w:val="none"/>
        </w:rPr>
      </w:pPr>
      <w:r>
        <w:rPr>
          <w:rFonts w:ascii="Times New Roman"/>
          <w:bCs/>
          <w:highlight w:val="none"/>
        </w:rPr>
        <w:t>采购</w:t>
      </w:r>
      <w:r>
        <w:rPr>
          <w:rFonts w:ascii="Times New Roman"/>
          <w:highlight w:val="none"/>
        </w:rPr>
        <w:t>项目的名称：</w:t>
      </w:r>
      <w:r>
        <w:rPr>
          <w:rFonts w:ascii="Times New Roman"/>
          <w:bCs/>
          <w:highlight w:val="none"/>
          <w:u w:val="single"/>
        </w:rPr>
        <w:t xml:space="preserve">                                                          </w:t>
      </w:r>
    </w:p>
    <w:p w14:paraId="68803245">
      <w:pPr>
        <w:pStyle w:val="10"/>
        <w:spacing w:line="360" w:lineRule="auto"/>
        <w:ind w:left="25" w:leftChars="12" w:right="256" w:rightChars="122" w:firstLine="413" w:firstLineChars="197"/>
        <w:rPr>
          <w:rFonts w:ascii="Times New Roman"/>
          <w:highlight w:val="none"/>
        </w:rPr>
      </w:pPr>
      <w:r>
        <w:rPr>
          <w:rFonts w:ascii="Times New Roman"/>
          <w:bCs/>
          <w:highlight w:val="none"/>
        </w:rPr>
        <w:t>采购</w:t>
      </w:r>
      <w:r>
        <w:rPr>
          <w:rFonts w:ascii="Times New Roman"/>
          <w:highlight w:val="none"/>
        </w:rPr>
        <w:t>项目的编号：</w:t>
      </w:r>
      <w:r>
        <w:rPr>
          <w:rFonts w:ascii="Times New Roman"/>
          <w:bCs/>
          <w:highlight w:val="none"/>
          <w:u w:val="single"/>
        </w:rPr>
        <w:t xml:space="preserve">                                          </w:t>
      </w:r>
    </w:p>
    <w:p w14:paraId="420368AD">
      <w:pPr>
        <w:pStyle w:val="10"/>
        <w:spacing w:line="360" w:lineRule="auto"/>
        <w:ind w:left="25" w:leftChars="12" w:right="256" w:rightChars="122" w:firstLine="413" w:firstLineChars="197"/>
        <w:rPr>
          <w:rFonts w:ascii="Times New Roman"/>
          <w:bCs/>
          <w:highlight w:val="none"/>
          <w:u w:val="single"/>
        </w:rPr>
      </w:pPr>
      <w:r>
        <w:rPr>
          <w:rFonts w:ascii="Times New Roman"/>
          <w:highlight w:val="none"/>
        </w:rPr>
        <w:t>采购人名称：</w:t>
      </w:r>
      <w:r>
        <w:rPr>
          <w:rFonts w:ascii="Times New Roman"/>
          <w:bCs/>
          <w:highlight w:val="none"/>
          <w:u w:val="single"/>
        </w:rPr>
        <w:t xml:space="preserve">                                                               </w:t>
      </w:r>
    </w:p>
    <w:p w14:paraId="0076C013">
      <w:pPr>
        <w:pStyle w:val="10"/>
        <w:spacing w:line="360" w:lineRule="auto"/>
        <w:ind w:left="25" w:leftChars="12" w:right="256" w:rightChars="122" w:firstLine="413" w:firstLineChars="197"/>
        <w:rPr>
          <w:rFonts w:ascii="Times New Roman"/>
          <w:bCs/>
          <w:highlight w:val="none"/>
          <w:u w:val="single"/>
        </w:rPr>
      </w:pPr>
      <w:r>
        <w:rPr>
          <w:rFonts w:ascii="Times New Roman"/>
          <w:highlight w:val="none"/>
        </w:rPr>
        <w:t>代理机构名称：</w:t>
      </w:r>
      <w:r>
        <w:rPr>
          <w:rFonts w:ascii="Times New Roman"/>
          <w:bCs/>
          <w:highlight w:val="none"/>
          <w:u w:val="single"/>
        </w:rPr>
        <w:t xml:space="preserve">                                                             </w:t>
      </w:r>
    </w:p>
    <w:p w14:paraId="0FD10100">
      <w:pPr>
        <w:pStyle w:val="10"/>
        <w:spacing w:line="360" w:lineRule="auto"/>
        <w:ind w:left="25" w:leftChars="12" w:right="256" w:rightChars="122" w:firstLine="413" w:firstLineChars="197"/>
        <w:rPr>
          <w:rFonts w:ascii="Times New Roman"/>
          <w:bCs/>
          <w:highlight w:val="none"/>
          <w:u w:val="single"/>
        </w:rPr>
      </w:pPr>
      <w:r>
        <w:rPr>
          <w:rFonts w:hint="eastAsia" w:ascii="Times New Roman"/>
          <w:bCs/>
          <w:highlight w:val="none"/>
        </w:rPr>
        <w:t>竞争性采购文件</w:t>
      </w:r>
      <w:r>
        <w:rPr>
          <w:rFonts w:ascii="Times New Roman"/>
          <w:bCs/>
          <w:highlight w:val="none"/>
        </w:rPr>
        <w:t>公告：</w:t>
      </w:r>
      <w:r>
        <w:rPr>
          <w:rFonts w:ascii="Times New Roman"/>
          <w:bCs/>
          <w:highlight w:val="none"/>
          <w:u w:val="single"/>
        </w:rPr>
        <w:t>是/否</w:t>
      </w:r>
      <w:r>
        <w:rPr>
          <w:rFonts w:ascii="Times New Roman"/>
          <w:bCs/>
          <w:highlight w:val="none"/>
        </w:rPr>
        <w:t>公告期限：</w:t>
      </w:r>
      <w:r>
        <w:rPr>
          <w:rFonts w:ascii="Times New Roman"/>
          <w:bCs/>
          <w:highlight w:val="none"/>
          <w:u w:val="single"/>
        </w:rPr>
        <w:t xml:space="preserve">                                         </w:t>
      </w:r>
    </w:p>
    <w:p w14:paraId="3AB0909D">
      <w:pPr>
        <w:pStyle w:val="10"/>
        <w:spacing w:line="360" w:lineRule="auto"/>
        <w:ind w:left="25" w:leftChars="12" w:right="256" w:rightChars="122" w:firstLine="413" w:firstLineChars="197"/>
        <w:rPr>
          <w:rFonts w:ascii="Times New Roman"/>
          <w:b/>
          <w:highlight w:val="none"/>
        </w:rPr>
      </w:pPr>
      <w:r>
        <w:rPr>
          <w:rFonts w:ascii="Times New Roman"/>
          <w:bCs/>
          <w:highlight w:val="none"/>
        </w:rPr>
        <w:t>采购结果公告：</w:t>
      </w:r>
      <w:r>
        <w:rPr>
          <w:rFonts w:ascii="Times New Roman"/>
          <w:bCs/>
          <w:highlight w:val="none"/>
          <w:u w:val="single"/>
        </w:rPr>
        <w:t>是/否</w:t>
      </w:r>
      <w:r>
        <w:rPr>
          <w:rFonts w:ascii="Times New Roman"/>
          <w:bCs/>
          <w:highlight w:val="none"/>
        </w:rPr>
        <w:t>公告期限：</w:t>
      </w:r>
      <w:r>
        <w:rPr>
          <w:rFonts w:ascii="Times New Roman"/>
          <w:bCs/>
          <w:highlight w:val="none"/>
          <w:u w:val="single"/>
        </w:rPr>
        <w:t xml:space="preserve">                                               </w:t>
      </w:r>
    </w:p>
    <w:p w14:paraId="05AB1D54">
      <w:pPr>
        <w:pStyle w:val="10"/>
        <w:spacing w:before="120" w:after="120" w:line="360" w:lineRule="auto"/>
        <w:ind w:left="25" w:leftChars="12" w:right="256" w:rightChars="122" w:firstLine="413" w:firstLineChars="196"/>
        <w:rPr>
          <w:rFonts w:ascii="Times New Roman"/>
          <w:b/>
          <w:highlight w:val="none"/>
        </w:rPr>
      </w:pPr>
      <w:r>
        <w:rPr>
          <w:rFonts w:ascii="Times New Roman"/>
          <w:b/>
          <w:highlight w:val="none"/>
        </w:rPr>
        <w:t>三、质疑基本情况</w:t>
      </w:r>
    </w:p>
    <w:p w14:paraId="423BDF3A">
      <w:pPr>
        <w:pStyle w:val="10"/>
        <w:spacing w:line="360" w:lineRule="auto"/>
        <w:ind w:right="256" w:rightChars="122" w:firstLine="420" w:firstLineChars="200"/>
        <w:rPr>
          <w:rFonts w:ascii="Times New Roman"/>
          <w:highlight w:val="none"/>
        </w:rPr>
      </w:pPr>
      <w:r>
        <w:rPr>
          <w:rFonts w:ascii="Times New Roman"/>
          <w:highlight w:val="none"/>
        </w:rPr>
        <w:t>投诉人于</w:t>
      </w:r>
      <w:r>
        <w:rPr>
          <w:rFonts w:ascii="Times New Roman"/>
          <w:highlight w:val="none"/>
          <w:u w:val="single"/>
        </w:rPr>
        <w:t xml:space="preserve">      </w:t>
      </w:r>
      <w:r>
        <w:rPr>
          <w:rFonts w:ascii="Times New Roman"/>
          <w:highlight w:val="none"/>
        </w:rPr>
        <w:t>年</w:t>
      </w:r>
      <w:r>
        <w:rPr>
          <w:rFonts w:ascii="Times New Roman"/>
          <w:highlight w:val="none"/>
          <w:u w:val="single"/>
        </w:rPr>
        <w:t xml:space="preserve">   </w:t>
      </w:r>
      <w:r>
        <w:rPr>
          <w:rFonts w:ascii="Times New Roman"/>
          <w:highlight w:val="none"/>
        </w:rPr>
        <w:t>月</w:t>
      </w:r>
      <w:r>
        <w:rPr>
          <w:rFonts w:ascii="Times New Roman"/>
          <w:highlight w:val="none"/>
          <w:u w:val="single"/>
        </w:rPr>
        <w:t xml:space="preserve">   </w:t>
      </w:r>
      <w:r>
        <w:rPr>
          <w:rFonts w:ascii="Times New Roman"/>
          <w:highlight w:val="none"/>
        </w:rPr>
        <w:t>日，向</w:t>
      </w:r>
      <w:r>
        <w:rPr>
          <w:rFonts w:ascii="Times New Roman"/>
          <w:highlight w:val="none"/>
          <w:u w:val="single"/>
        </w:rPr>
        <w:t xml:space="preserve">                                </w:t>
      </w:r>
      <w:r>
        <w:rPr>
          <w:rFonts w:ascii="Times New Roman"/>
          <w:highlight w:val="none"/>
        </w:rPr>
        <w:t>提出质疑，质疑事项为：</w:t>
      </w:r>
    </w:p>
    <w:p w14:paraId="32B4F83B">
      <w:pPr>
        <w:pStyle w:val="10"/>
        <w:spacing w:line="360" w:lineRule="auto"/>
        <w:ind w:right="256" w:rightChars="122" w:firstLine="241"/>
        <w:rPr>
          <w:rFonts w:ascii="Times New Roman"/>
          <w:bCs/>
          <w:highlight w:val="none"/>
          <w:u w:val="single"/>
        </w:rPr>
      </w:pPr>
      <w:r>
        <w:rPr>
          <w:rFonts w:ascii="Times New Roman"/>
          <w:highlight w:val="none"/>
        </w:rPr>
        <w:t xml:space="preserve">  </w:t>
      </w:r>
      <w:r>
        <w:rPr>
          <w:rFonts w:ascii="Times New Roman"/>
          <w:bCs/>
          <w:highlight w:val="none"/>
          <w:u w:val="single"/>
        </w:rPr>
        <w:t xml:space="preserve">                                                                          </w:t>
      </w:r>
    </w:p>
    <w:p w14:paraId="0D5D88EC">
      <w:pPr>
        <w:pStyle w:val="10"/>
        <w:spacing w:line="360" w:lineRule="auto"/>
        <w:ind w:right="256" w:rightChars="122" w:firstLine="241"/>
        <w:rPr>
          <w:rFonts w:ascii="Times New Roman"/>
          <w:bCs/>
          <w:highlight w:val="none"/>
          <w:u w:val="single"/>
        </w:rPr>
      </w:pPr>
      <w:r>
        <w:rPr>
          <w:rFonts w:ascii="Times New Roman"/>
          <w:bCs/>
          <w:highlight w:val="none"/>
        </w:rPr>
        <w:t xml:space="preserve">  </w:t>
      </w:r>
      <w:r>
        <w:rPr>
          <w:rFonts w:ascii="Times New Roman"/>
          <w:bCs/>
          <w:highlight w:val="none"/>
          <w:u w:val="single"/>
        </w:rPr>
        <w:t xml:space="preserve">                                                                    </w:t>
      </w:r>
      <w:r>
        <w:rPr>
          <w:rFonts w:hint="eastAsia" w:ascii="Times New Roman"/>
          <w:bCs/>
          <w:highlight w:val="none"/>
          <w:u w:val="single"/>
        </w:rPr>
        <w:t xml:space="preserve">  </w:t>
      </w:r>
      <w:r>
        <w:rPr>
          <w:rFonts w:ascii="Times New Roman"/>
          <w:bCs/>
          <w:highlight w:val="none"/>
          <w:u w:val="single"/>
        </w:rPr>
        <w:t xml:space="preserve">    </w:t>
      </w:r>
    </w:p>
    <w:p w14:paraId="6AE0B6AD">
      <w:pPr>
        <w:pStyle w:val="10"/>
        <w:spacing w:line="360" w:lineRule="auto"/>
        <w:ind w:right="256" w:rightChars="122" w:firstLine="420" w:firstLineChars="200"/>
        <w:rPr>
          <w:rFonts w:ascii="Times New Roman"/>
          <w:highlight w:val="none"/>
        </w:rPr>
      </w:pPr>
      <w:r>
        <w:rPr>
          <w:rFonts w:hint="eastAsia" w:ascii="Times New Roman"/>
          <w:bCs/>
          <w:highlight w:val="none"/>
          <w:u w:val="single"/>
        </w:rPr>
        <w:t xml:space="preserve">   采</w:t>
      </w:r>
      <w:r>
        <w:rPr>
          <w:rFonts w:ascii="Times New Roman"/>
          <w:bCs/>
          <w:highlight w:val="none"/>
          <w:u w:val="single"/>
        </w:rPr>
        <w:t>购人/代理机构</w:t>
      </w:r>
      <w:r>
        <w:rPr>
          <w:rFonts w:hint="eastAsia" w:ascii="Times New Roman"/>
          <w:bCs/>
          <w:highlight w:val="none"/>
          <w:u w:val="single"/>
        </w:rPr>
        <w:t xml:space="preserve">   </w:t>
      </w:r>
      <w:r>
        <w:rPr>
          <w:rFonts w:ascii="Times New Roman"/>
          <w:bCs/>
          <w:highlight w:val="none"/>
        </w:rPr>
        <w:t>于</w:t>
      </w:r>
      <w:r>
        <w:rPr>
          <w:rFonts w:ascii="Times New Roman"/>
          <w:highlight w:val="none"/>
          <w:u w:val="single"/>
        </w:rPr>
        <w:t xml:space="preserve">    </w:t>
      </w:r>
      <w:r>
        <w:rPr>
          <w:rFonts w:hint="eastAsia" w:ascii="Times New Roman"/>
          <w:highlight w:val="none"/>
          <w:u w:val="single"/>
        </w:rPr>
        <w:t xml:space="preserve"> </w:t>
      </w:r>
      <w:r>
        <w:rPr>
          <w:rFonts w:ascii="Times New Roman"/>
          <w:highlight w:val="none"/>
          <w:u w:val="single"/>
        </w:rPr>
        <w:t xml:space="preserve">  </w:t>
      </w:r>
      <w:r>
        <w:rPr>
          <w:rFonts w:ascii="Times New Roman"/>
          <w:highlight w:val="none"/>
        </w:rPr>
        <w:t>年</w:t>
      </w:r>
      <w:r>
        <w:rPr>
          <w:rFonts w:ascii="Times New Roman"/>
          <w:highlight w:val="none"/>
          <w:u w:val="single"/>
        </w:rPr>
        <w:t xml:space="preserve"> </w:t>
      </w:r>
      <w:r>
        <w:rPr>
          <w:rFonts w:hint="eastAsia" w:ascii="Times New Roman"/>
          <w:highlight w:val="none"/>
          <w:u w:val="single"/>
        </w:rPr>
        <w:t xml:space="preserve">   </w:t>
      </w:r>
      <w:r>
        <w:rPr>
          <w:rFonts w:ascii="Times New Roman"/>
          <w:highlight w:val="none"/>
          <w:u w:val="single"/>
        </w:rPr>
        <w:t xml:space="preserve">  </w:t>
      </w:r>
      <w:r>
        <w:rPr>
          <w:rFonts w:ascii="Times New Roman"/>
          <w:highlight w:val="none"/>
        </w:rPr>
        <w:t>月</w:t>
      </w:r>
      <w:r>
        <w:rPr>
          <w:rFonts w:ascii="Times New Roman"/>
          <w:highlight w:val="none"/>
          <w:u w:val="single"/>
        </w:rPr>
        <w:t xml:space="preserve"> </w:t>
      </w:r>
      <w:r>
        <w:rPr>
          <w:rFonts w:hint="eastAsia" w:ascii="Times New Roman"/>
          <w:highlight w:val="none"/>
          <w:u w:val="single"/>
        </w:rPr>
        <w:t xml:space="preserve">  </w:t>
      </w:r>
      <w:r>
        <w:rPr>
          <w:rFonts w:ascii="Times New Roman"/>
          <w:highlight w:val="none"/>
          <w:u w:val="single"/>
        </w:rPr>
        <w:t xml:space="preserve">  </w:t>
      </w:r>
      <w:r>
        <w:rPr>
          <w:rFonts w:ascii="Times New Roman"/>
          <w:highlight w:val="none"/>
        </w:rPr>
        <w:t>日，</w:t>
      </w:r>
      <w:r>
        <w:rPr>
          <w:rFonts w:ascii="Times New Roman"/>
          <w:bCs/>
          <w:highlight w:val="none"/>
        </w:rPr>
        <w:t xml:space="preserve">就质疑事项作出了答复/没有在法定期限内作出答复。                                                                                             </w:t>
      </w:r>
    </w:p>
    <w:p w14:paraId="511F8268">
      <w:pPr>
        <w:pStyle w:val="10"/>
        <w:spacing w:before="120" w:after="120" w:line="360" w:lineRule="auto"/>
        <w:ind w:left="25" w:leftChars="12" w:right="256" w:rightChars="122" w:firstLine="413" w:firstLineChars="196"/>
        <w:rPr>
          <w:rFonts w:ascii="Times New Roman"/>
          <w:b/>
          <w:highlight w:val="none"/>
        </w:rPr>
      </w:pPr>
      <w:r>
        <w:rPr>
          <w:rFonts w:ascii="Times New Roman"/>
          <w:b/>
          <w:highlight w:val="none"/>
        </w:rPr>
        <w:t>四、投诉事项具体内容</w:t>
      </w:r>
    </w:p>
    <w:p w14:paraId="77A888B6">
      <w:pPr>
        <w:pStyle w:val="10"/>
        <w:spacing w:line="360" w:lineRule="auto"/>
        <w:ind w:left="25" w:leftChars="12" w:right="256" w:rightChars="122" w:firstLine="413" w:firstLineChars="197"/>
        <w:rPr>
          <w:rFonts w:ascii="Times New Roman"/>
          <w:bCs/>
          <w:highlight w:val="none"/>
          <w:u w:val="single"/>
        </w:rPr>
      </w:pPr>
      <w:r>
        <w:rPr>
          <w:rFonts w:ascii="Times New Roman"/>
          <w:highlight w:val="none"/>
        </w:rPr>
        <w:t>投诉事项1：</w:t>
      </w:r>
      <w:r>
        <w:rPr>
          <w:rFonts w:ascii="Times New Roman"/>
          <w:bCs/>
          <w:highlight w:val="none"/>
          <w:u w:val="single"/>
        </w:rPr>
        <w:t xml:space="preserve">                                                                 </w:t>
      </w:r>
    </w:p>
    <w:p w14:paraId="2F3F3082">
      <w:pPr>
        <w:pStyle w:val="10"/>
        <w:spacing w:line="360" w:lineRule="auto"/>
        <w:ind w:right="256" w:rightChars="122" w:firstLine="420" w:firstLineChars="200"/>
        <w:rPr>
          <w:rFonts w:ascii="Times New Roman"/>
          <w:bCs/>
          <w:highlight w:val="none"/>
          <w:u w:val="single"/>
        </w:rPr>
      </w:pPr>
      <w:r>
        <w:rPr>
          <w:rFonts w:ascii="Times New Roman"/>
          <w:bCs/>
          <w:highlight w:val="none"/>
        </w:rPr>
        <w:t>事实依据：</w:t>
      </w:r>
      <w:r>
        <w:rPr>
          <w:rFonts w:ascii="Times New Roman"/>
          <w:highlight w:val="none"/>
        </w:rPr>
        <w:t xml:space="preserve"> </w:t>
      </w:r>
      <w:r>
        <w:rPr>
          <w:rFonts w:ascii="Times New Roman"/>
          <w:bCs/>
          <w:highlight w:val="none"/>
          <w:u w:val="single"/>
        </w:rPr>
        <w:t xml:space="preserve">                                                                  </w:t>
      </w:r>
    </w:p>
    <w:p w14:paraId="7D9A3CFE">
      <w:pPr>
        <w:pStyle w:val="10"/>
        <w:spacing w:line="360" w:lineRule="auto"/>
        <w:ind w:left="25" w:leftChars="12" w:right="256" w:rightChars="122" w:firstLine="413" w:firstLineChars="197"/>
        <w:rPr>
          <w:rFonts w:ascii="Times New Roman"/>
          <w:highlight w:val="none"/>
        </w:rPr>
      </w:pPr>
      <w:r>
        <w:rPr>
          <w:rFonts w:ascii="Times New Roman"/>
          <w:bCs/>
          <w:highlight w:val="none"/>
          <w:u w:val="single"/>
        </w:rPr>
        <w:t xml:space="preserve">                                                                             </w:t>
      </w:r>
    </w:p>
    <w:p w14:paraId="6A1868A9">
      <w:pPr>
        <w:pStyle w:val="10"/>
        <w:spacing w:line="360" w:lineRule="auto"/>
        <w:ind w:right="256" w:rightChars="122" w:firstLine="420" w:firstLineChars="200"/>
        <w:rPr>
          <w:rFonts w:ascii="Times New Roman"/>
          <w:bCs/>
          <w:highlight w:val="none"/>
          <w:u w:val="single"/>
        </w:rPr>
      </w:pPr>
      <w:r>
        <w:rPr>
          <w:rFonts w:ascii="Times New Roman"/>
          <w:bCs/>
          <w:highlight w:val="none"/>
        </w:rPr>
        <w:t>法律依据：</w:t>
      </w:r>
      <w:r>
        <w:rPr>
          <w:rFonts w:ascii="Times New Roman"/>
          <w:highlight w:val="none"/>
        </w:rPr>
        <w:t xml:space="preserve"> </w:t>
      </w:r>
      <w:r>
        <w:rPr>
          <w:rFonts w:ascii="Times New Roman"/>
          <w:bCs/>
          <w:highlight w:val="none"/>
          <w:u w:val="single"/>
        </w:rPr>
        <w:t xml:space="preserve">                                                                  </w:t>
      </w:r>
    </w:p>
    <w:p w14:paraId="5205D7D5">
      <w:pPr>
        <w:pStyle w:val="10"/>
        <w:spacing w:line="360" w:lineRule="auto"/>
        <w:ind w:left="25" w:leftChars="12" w:right="256" w:rightChars="122" w:firstLine="308" w:firstLineChars="147"/>
        <w:rPr>
          <w:rFonts w:ascii="Times New Roman"/>
          <w:bCs/>
          <w:highlight w:val="none"/>
          <w:u w:val="single"/>
        </w:rPr>
      </w:pPr>
      <w:r>
        <w:rPr>
          <w:rFonts w:ascii="Times New Roman"/>
          <w:bCs/>
          <w:highlight w:val="none"/>
        </w:rPr>
        <w:t xml:space="preserve"> </w:t>
      </w:r>
      <w:r>
        <w:rPr>
          <w:rFonts w:ascii="Times New Roman"/>
          <w:bCs/>
          <w:highlight w:val="none"/>
          <w:u w:val="single"/>
        </w:rPr>
        <w:t xml:space="preserve">                                                                             </w:t>
      </w:r>
    </w:p>
    <w:p w14:paraId="4F111234">
      <w:pPr>
        <w:pStyle w:val="10"/>
        <w:spacing w:line="360" w:lineRule="auto"/>
        <w:ind w:left="25" w:leftChars="12" w:right="256" w:rightChars="122" w:firstLine="413" w:firstLineChars="197"/>
        <w:rPr>
          <w:rFonts w:ascii="Times New Roman"/>
          <w:bCs/>
          <w:highlight w:val="none"/>
        </w:rPr>
      </w:pPr>
      <w:r>
        <w:rPr>
          <w:rFonts w:ascii="Times New Roman"/>
          <w:highlight w:val="none"/>
        </w:rPr>
        <w:t xml:space="preserve">投诉事项2  </w:t>
      </w:r>
      <w:r>
        <w:rPr>
          <w:rFonts w:ascii="Times New Roman"/>
          <w:bCs/>
          <w:highlight w:val="none"/>
        </w:rPr>
        <w:t xml:space="preserve">   </w:t>
      </w:r>
    </w:p>
    <w:p w14:paraId="4AEAD6D6">
      <w:pPr>
        <w:pStyle w:val="10"/>
        <w:spacing w:line="360" w:lineRule="auto"/>
        <w:ind w:left="25" w:leftChars="12" w:right="256" w:rightChars="122" w:firstLine="413" w:firstLineChars="197"/>
        <w:rPr>
          <w:rFonts w:ascii="Times New Roman"/>
          <w:bCs/>
          <w:highlight w:val="none"/>
        </w:rPr>
      </w:pPr>
      <w:r>
        <w:rPr>
          <w:rFonts w:ascii="Times New Roman"/>
          <w:bCs/>
          <w:highlight w:val="none"/>
        </w:rPr>
        <w:t>……</w:t>
      </w:r>
    </w:p>
    <w:p w14:paraId="4B365CCE">
      <w:pPr>
        <w:pStyle w:val="10"/>
        <w:spacing w:line="360" w:lineRule="auto"/>
        <w:ind w:left="25" w:leftChars="12" w:right="256" w:rightChars="122" w:firstLine="413" w:firstLineChars="196"/>
        <w:rPr>
          <w:rFonts w:ascii="Times New Roman"/>
          <w:b/>
          <w:highlight w:val="none"/>
        </w:rPr>
      </w:pPr>
      <w:r>
        <w:rPr>
          <w:rFonts w:ascii="Times New Roman"/>
          <w:b/>
          <w:highlight w:val="none"/>
        </w:rPr>
        <w:t>五、与投诉事项相关的投诉请求：</w:t>
      </w:r>
    </w:p>
    <w:p w14:paraId="53A878A4">
      <w:pPr>
        <w:pStyle w:val="10"/>
        <w:spacing w:line="360" w:lineRule="auto"/>
        <w:ind w:left="25" w:leftChars="12" w:right="256" w:rightChars="122" w:firstLine="413" w:firstLineChars="197"/>
        <w:rPr>
          <w:rFonts w:ascii="Times New Roman"/>
          <w:highlight w:val="none"/>
        </w:rPr>
      </w:pPr>
      <w:r>
        <w:rPr>
          <w:rFonts w:ascii="Times New Roman"/>
          <w:highlight w:val="none"/>
        </w:rPr>
        <w:t>请求：</w:t>
      </w:r>
      <w:r>
        <w:rPr>
          <w:rFonts w:ascii="Times New Roman"/>
          <w:bCs/>
          <w:highlight w:val="none"/>
          <w:u w:val="single"/>
        </w:rPr>
        <w:t xml:space="preserve">                                                                      </w:t>
      </w:r>
    </w:p>
    <w:p w14:paraId="444DAF03">
      <w:pPr>
        <w:pStyle w:val="10"/>
        <w:spacing w:line="360" w:lineRule="auto"/>
        <w:ind w:left="25" w:leftChars="12" w:right="256" w:rightChars="122" w:firstLine="308" w:firstLineChars="147"/>
        <w:rPr>
          <w:rFonts w:ascii="Times New Roman"/>
          <w:highlight w:val="none"/>
        </w:rPr>
      </w:pPr>
    </w:p>
    <w:p w14:paraId="4DDAAAFB">
      <w:pPr>
        <w:pStyle w:val="10"/>
        <w:spacing w:line="360" w:lineRule="auto"/>
        <w:ind w:left="25" w:leftChars="12" w:right="256" w:rightChars="122" w:firstLine="413" w:firstLineChars="197"/>
        <w:rPr>
          <w:rFonts w:ascii="Times New Roman"/>
          <w:highlight w:val="none"/>
        </w:rPr>
      </w:pPr>
      <w:r>
        <w:rPr>
          <w:rFonts w:ascii="Times New Roman"/>
          <w:highlight w:val="none"/>
        </w:rPr>
        <w:t>签字（签章）：                                       公章：</w:t>
      </w:r>
    </w:p>
    <w:p w14:paraId="602D6B6E">
      <w:pPr>
        <w:pStyle w:val="10"/>
        <w:spacing w:line="360" w:lineRule="auto"/>
        <w:ind w:left="25" w:leftChars="12" w:right="256" w:rightChars="122" w:firstLine="308" w:firstLineChars="147"/>
        <w:rPr>
          <w:rFonts w:ascii="Times New Roman"/>
          <w:highlight w:val="none"/>
        </w:rPr>
      </w:pPr>
    </w:p>
    <w:p w14:paraId="5DA041E9">
      <w:pPr>
        <w:pStyle w:val="10"/>
        <w:spacing w:line="360" w:lineRule="auto"/>
        <w:ind w:left="25" w:leftChars="12" w:right="256" w:rightChars="122" w:firstLine="413" w:firstLineChars="197"/>
        <w:rPr>
          <w:rFonts w:ascii="Times New Roman"/>
          <w:highlight w:val="none"/>
        </w:rPr>
      </w:pPr>
      <w:r>
        <w:rPr>
          <w:rFonts w:ascii="Times New Roman"/>
          <w:highlight w:val="none"/>
        </w:rPr>
        <w:t>日期：</w:t>
      </w:r>
    </w:p>
    <w:p w14:paraId="24A4F31E">
      <w:pPr>
        <w:pStyle w:val="10"/>
        <w:spacing w:line="360" w:lineRule="auto"/>
        <w:ind w:left="25" w:leftChars="12" w:right="256" w:rightChars="122" w:firstLine="413" w:firstLineChars="197"/>
        <w:rPr>
          <w:rFonts w:ascii="Times New Roman"/>
          <w:highlight w:val="none"/>
        </w:rPr>
      </w:pPr>
      <w:r>
        <w:rPr>
          <w:rFonts w:ascii="Times New Roman"/>
          <w:bCs/>
          <w:highlight w:val="none"/>
        </w:rPr>
        <w:t xml:space="preserve">  </w:t>
      </w:r>
    </w:p>
    <w:p w14:paraId="43C30B41">
      <w:pPr>
        <w:pStyle w:val="10"/>
        <w:snapToGrid w:val="0"/>
        <w:spacing w:line="360" w:lineRule="auto"/>
        <w:ind w:right="256" w:rightChars="122"/>
        <w:rPr>
          <w:rFonts w:ascii="Times New Roman"/>
          <w:b/>
          <w:highlight w:val="none"/>
        </w:rPr>
      </w:pPr>
      <w:r>
        <w:rPr>
          <w:rFonts w:ascii="Times New Roman"/>
          <w:b/>
          <w:highlight w:val="none"/>
        </w:rPr>
        <w:t>说明：</w:t>
      </w:r>
    </w:p>
    <w:p w14:paraId="2C40C270">
      <w:pPr>
        <w:pStyle w:val="10"/>
        <w:spacing w:line="360" w:lineRule="auto"/>
        <w:ind w:left="25" w:leftChars="12" w:right="256" w:rightChars="122" w:firstLine="310" w:firstLineChars="147"/>
        <w:rPr>
          <w:rFonts w:ascii="Times New Roman"/>
          <w:b/>
          <w:bCs/>
          <w:highlight w:val="none"/>
        </w:rPr>
      </w:pPr>
      <w:r>
        <w:rPr>
          <w:rFonts w:ascii="Times New Roman"/>
          <w:b/>
          <w:highlight w:val="none"/>
        </w:rPr>
        <w:t>1</w:t>
      </w:r>
      <w:r>
        <w:rPr>
          <w:rFonts w:ascii="Times New Roman"/>
          <w:highlight w:val="none"/>
        </w:rPr>
        <w:t>．</w:t>
      </w:r>
      <w:r>
        <w:rPr>
          <w:rFonts w:ascii="Times New Roman"/>
          <w:b/>
          <w:highlight w:val="none"/>
        </w:rPr>
        <w:t>投诉人提起投诉时，应当提交投诉书和必要的证明材料，并按照被投诉人和与投诉事项有关的供应商数量提供投诉书副本</w:t>
      </w:r>
      <w:r>
        <w:rPr>
          <w:rFonts w:ascii="Times New Roman"/>
          <w:b/>
          <w:bCs/>
          <w:highlight w:val="none"/>
        </w:rPr>
        <w:t>。</w:t>
      </w:r>
    </w:p>
    <w:p w14:paraId="4496A462">
      <w:pPr>
        <w:pStyle w:val="10"/>
        <w:spacing w:line="360" w:lineRule="auto"/>
        <w:ind w:left="25" w:leftChars="12" w:right="256" w:rightChars="122" w:firstLine="310" w:firstLineChars="147"/>
        <w:rPr>
          <w:rFonts w:ascii="Times New Roman"/>
          <w:b/>
          <w:highlight w:val="none"/>
        </w:rPr>
      </w:pPr>
      <w:r>
        <w:rPr>
          <w:rFonts w:ascii="Times New Roman"/>
          <w:b/>
          <w:highlight w:val="none"/>
        </w:rPr>
        <w:t>2</w:t>
      </w:r>
      <w:r>
        <w:rPr>
          <w:rFonts w:ascii="Times New Roman"/>
          <w:highlight w:val="none"/>
        </w:rPr>
        <w:t>．</w:t>
      </w:r>
      <w:r>
        <w:rPr>
          <w:rFonts w:ascii="Times New Roman"/>
          <w:b/>
          <w:highlight w:val="none"/>
        </w:rPr>
        <w:t>投诉人若委托代理人进行投诉的，投诉书应按要求列明“授权代表”的有关内容，并在附件中提交由投诉人签署的授权委托书。授权委托书应当载明代理人的姓名或者名称、代理事项、具体权限、期限和相关事项。</w:t>
      </w:r>
    </w:p>
    <w:p w14:paraId="4D0A208E">
      <w:pPr>
        <w:pStyle w:val="10"/>
        <w:spacing w:line="360" w:lineRule="auto"/>
        <w:ind w:left="25" w:leftChars="12" w:right="256" w:rightChars="122" w:firstLine="310" w:firstLineChars="147"/>
        <w:rPr>
          <w:rFonts w:ascii="Times New Roman"/>
          <w:b/>
          <w:highlight w:val="none"/>
        </w:rPr>
      </w:pPr>
      <w:r>
        <w:rPr>
          <w:rFonts w:ascii="Times New Roman"/>
          <w:b/>
          <w:highlight w:val="none"/>
        </w:rPr>
        <w:t>3</w:t>
      </w:r>
      <w:r>
        <w:rPr>
          <w:rFonts w:ascii="Times New Roman"/>
          <w:highlight w:val="none"/>
        </w:rPr>
        <w:t>．</w:t>
      </w:r>
      <w:r>
        <w:rPr>
          <w:rFonts w:ascii="Times New Roman"/>
          <w:b/>
          <w:highlight w:val="none"/>
        </w:rPr>
        <w:t>投诉书应简要列明质疑事项，质疑函、质疑答复等作为附件材料提供。</w:t>
      </w:r>
    </w:p>
    <w:p w14:paraId="09B91968">
      <w:pPr>
        <w:pStyle w:val="10"/>
        <w:spacing w:line="360" w:lineRule="auto"/>
        <w:ind w:left="25" w:leftChars="12" w:right="256" w:rightChars="122" w:firstLine="310" w:firstLineChars="147"/>
        <w:rPr>
          <w:rFonts w:ascii="Times New Roman"/>
          <w:b/>
          <w:highlight w:val="none"/>
        </w:rPr>
      </w:pPr>
      <w:r>
        <w:rPr>
          <w:rFonts w:ascii="Times New Roman"/>
          <w:b/>
          <w:highlight w:val="none"/>
        </w:rPr>
        <w:t>4</w:t>
      </w:r>
      <w:r>
        <w:rPr>
          <w:rFonts w:ascii="Times New Roman"/>
          <w:highlight w:val="none"/>
        </w:rPr>
        <w:t>．</w:t>
      </w:r>
      <w:r>
        <w:rPr>
          <w:rFonts w:ascii="Times New Roman"/>
          <w:b/>
          <w:highlight w:val="none"/>
        </w:rPr>
        <w:t>投诉书的投诉事项应具体、明确，并有必要的事实依据和法律依据。</w:t>
      </w:r>
    </w:p>
    <w:p w14:paraId="1B45FE65">
      <w:pPr>
        <w:pStyle w:val="10"/>
        <w:spacing w:line="360" w:lineRule="auto"/>
        <w:ind w:left="25" w:leftChars="12" w:right="256" w:rightChars="122" w:firstLine="310" w:firstLineChars="147"/>
        <w:rPr>
          <w:rFonts w:ascii="Times New Roman"/>
          <w:b/>
          <w:highlight w:val="none"/>
        </w:rPr>
      </w:pPr>
      <w:r>
        <w:rPr>
          <w:rFonts w:ascii="Times New Roman"/>
          <w:b/>
          <w:highlight w:val="none"/>
        </w:rPr>
        <w:t>5</w:t>
      </w:r>
      <w:r>
        <w:rPr>
          <w:rFonts w:ascii="Times New Roman"/>
          <w:highlight w:val="none"/>
        </w:rPr>
        <w:t>．</w:t>
      </w:r>
      <w:r>
        <w:rPr>
          <w:rFonts w:ascii="Times New Roman"/>
          <w:b/>
          <w:highlight w:val="none"/>
        </w:rPr>
        <w:t>投诉书的投诉请求应与投诉事项相关。</w:t>
      </w:r>
    </w:p>
    <w:p w14:paraId="68D21523">
      <w:pPr>
        <w:pStyle w:val="10"/>
        <w:spacing w:line="360" w:lineRule="auto"/>
        <w:ind w:right="256" w:rightChars="122" w:firstLine="413" w:firstLineChars="196"/>
        <w:jc w:val="left"/>
        <w:outlineLvl w:val="0"/>
        <w:rPr>
          <w:rFonts w:ascii="Times New Roman"/>
          <w:b/>
          <w:highlight w:val="none"/>
        </w:rPr>
      </w:pPr>
      <w:r>
        <w:rPr>
          <w:rFonts w:ascii="Times New Roman"/>
          <w:b/>
          <w:highlight w:val="none"/>
        </w:rPr>
        <w:t>6</w:t>
      </w:r>
      <w:r>
        <w:rPr>
          <w:rFonts w:ascii="Times New Roman"/>
          <w:highlight w:val="none"/>
        </w:rPr>
        <w:t>．</w:t>
      </w:r>
      <w:r>
        <w:rPr>
          <w:rFonts w:ascii="Times New Roman"/>
          <w:b/>
          <w:highlight w:val="none"/>
        </w:rPr>
        <w:t>投诉人为法人或者其他组织的，投诉书应由法定代表人、主要负责人，或者其授权代表签字或者盖章，并加盖公章。</w:t>
      </w:r>
    </w:p>
    <w:p w14:paraId="3E1A7146">
      <w:pPr>
        <w:rPr>
          <w:highlight w:val="none"/>
        </w:rPr>
      </w:pPr>
      <w:r>
        <w:rPr>
          <w:highlight w:val="none"/>
        </w:rPr>
        <w:br w:type="page"/>
      </w:r>
    </w:p>
    <w:p w14:paraId="01E429B4">
      <w:pPr>
        <w:widowControl/>
        <w:jc w:val="left"/>
        <w:rPr>
          <w:rFonts w:cs="新宋体"/>
          <w:kern w:val="0"/>
          <w:highlight w:val="none"/>
        </w:rPr>
      </w:pPr>
      <w:bookmarkStart w:id="40" w:name="_Toc119076889"/>
    </w:p>
    <w:p w14:paraId="7E1D30CC">
      <w:pPr>
        <w:pStyle w:val="3"/>
        <w:rPr>
          <w:szCs w:val="30"/>
          <w:highlight w:val="none"/>
        </w:rPr>
      </w:pPr>
      <w:r>
        <w:rPr>
          <w:rFonts w:hint="eastAsia"/>
          <w:szCs w:val="30"/>
          <w:highlight w:val="none"/>
        </w:rPr>
        <w:t>第六章  合同主要条款（</w:t>
      </w:r>
      <w:r>
        <w:rPr>
          <w:rFonts w:hint="eastAsia"/>
          <w:szCs w:val="30"/>
          <w:highlight w:val="none"/>
          <w:lang w:val="en-US" w:eastAsia="zh-CN"/>
        </w:rPr>
        <w:t>仅供</w:t>
      </w:r>
      <w:r>
        <w:rPr>
          <w:rFonts w:hint="eastAsia"/>
          <w:szCs w:val="30"/>
          <w:highlight w:val="none"/>
        </w:rPr>
        <w:t>参考格式</w:t>
      </w:r>
      <w:r>
        <w:rPr>
          <w:rFonts w:hint="eastAsia"/>
          <w:szCs w:val="30"/>
          <w:highlight w:val="none"/>
          <w:lang w:eastAsia="zh-CN"/>
        </w:rPr>
        <w:t>，</w:t>
      </w:r>
      <w:r>
        <w:rPr>
          <w:rFonts w:hint="eastAsia"/>
          <w:szCs w:val="30"/>
          <w:highlight w:val="none"/>
          <w:lang w:val="en-US" w:eastAsia="zh-CN"/>
        </w:rPr>
        <w:t>最终以签订为准</w:t>
      </w:r>
      <w:r>
        <w:rPr>
          <w:rFonts w:hint="eastAsia"/>
          <w:szCs w:val="30"/>
          <w:highlight w:val="none"/>
        </w:rPr>
        <w:t>）</w:t>
      </w:r>
    </w:p>
    <w:p w14:paraId="213AA8C9">
      <w:pPr>
        <w:snapToGrid w:val="0"/>
        <w:spacing w:line="400" w:lineRule="exact"/>
        <w:ind w:right="480" w:firstLine="5760" w:firstLineChars="2400"/>
        <w:rPr>
          <w:rFonts w:ascii="宋体"/>
          <w:bCs/>
          <w:sz w:val="24"/>
          <w:highlight w:val="none"/>
          <w:u w:val="single"/>
        </w:rPr>
      </w:pPr>
      <w:r>
        <w:rPr>
          <w:rFonts w:hint="eastAsia" w:ascii="宋体"/>
          <w:bCs/>
          <w:sz w:val="24"/>
          <w:highlight w:val="none"/>
        </w:rPr>
        <w:t>合同编号：</w:t>
      </w:r>
    </w:p>
    <w:p w14:paraId="41CCA54B">
      <w:pPr>
        <w:snapToGrid w:val="0"/>
        <w:spacing w:line="400" w:lineRule="exact"/>
        <w:rPr>
          <w:rFonts w:ascii="宋体"/>
          <w:sz w:val="21"/>
          <w:szCs w:val="21"/>
          <w:highlight w:val="none"/>
        </w:rPr>
      </w:pPr>
    </w:p>
    <w:p w14:paraId="0D2212A8">
      <w:pPr>
        <w:snapToGrid w:val="0"/>
        <w:spacing w:line="360" w:lineRule="auto"/>
        <w:rPr>
          <w:rFonts w:ascii="宋体"/>
          <w:sz w:val="21"/>
          <w:szCs w:val="21"/>
          <w:highlight w:val="none"/>
          <w:u w:val="single"/>
        </w:rPr>
      </w:pPr>
      <w:r>
        <w:rPr>
          <w:rFonts w:hint="eastAsia" w:ascii="宋体"/>
          <w:sz w:val="21"/>
          <w:szCs w:val="21"/>
          <w:highlight w:val="none"/>
        </w:rPr>
        <w:t>采购人（甲方）</w:t>
      </w:r>
      <w:r>
        <w:rPr>
          <w:rFonts w:hint="eastAsia" w:ascii="宋体"/>
          <w:sz w:val="21"/>
          <w:szCs w:val="21"/>
          <w:highlight w:val="none"/>
          <w:u w:val="single"/>
        </w:rPr>
        <w:t xml:space="preserve">                      </w:t>
      </w:r>
      <w:r>
        <w:rPr>
          <w:rFonts w:hint="eastAsia" w:ascii="宋体"/>
          <w:sz w:val="21"/>
          <w:szCs w:val="21"/>
          <w:highlight w:val="none"/>
        </w:rPr>
        <w:t xml:space="preserve">      </w:t>
      </w:r>
      <w:r>
        <w:rPr>
          <w:rFonts w:hint="eastAsia" w:ascii="宋体"/>
          <w:spacing w:val="-20"/>
          <w:sz w:val="21"/>
          <w:szCs w:val="21"/>
          <w:highlight w:val="none"/>
        </w:rPr>
        <w:t>采购计划号</w:t>
      </w:r>
      <w:r>
        <w:rPr>
          <w:rFonts w:hint="eastAsia" w:ascii="宋体"/>
          <w:sz w:val="21"/>
          <w:szCs w:val="21"/>
          <w:highlight w:val="none"/>
          <w:u w:val="single"/>
        </w:rPr>
        <w:t xml:space="preserve">   </w:t>
      </w:r>
      <w:r>
        <w:rPr>
          <w:rFonts w:hint="eastAsia" w:ascii="宋体"/>
          <w:sz w:val="21"/>
          <w:szCs w:val="21"/>
          <w:highlight w:val="none"/>
          <w:u w:val="single"/>
          <w:lang w:val="en-US" w:eastAsia="zh-CN"/>
        </w:rPr>
        <w:t xml:space="preserve">                </w:t>
      </w:r>
      <w:r>
        <w:rPr>
          <w:rFonts w:hint="eastAsia" w:ascii="宋体"/>
          <w:sz w:val="21"/>
          <w:szCs w:val="21"/>
          <w:highlight w:val="none"/>
          <w:u w:val="single"/>
        </w:rPr>
        <w:t xml:space="preserve"> </w:t>
      </w:r>
    </w:p>
    <w:p w14:paraId="7D6D05C8">
      <w:pPr>
        <w:snapToGrid w:val="0"/>
        <w:spacing w:line="360" w:lineRule="auto"/>
        <w:rPr>
          <w:rFonts w:ascii="宋体"/>
          <w:sz w:val="21"/>
          <w:szCs w:val="21"/>
          <w:highlight w:val="none"/>
          <w:u w:val="single"/>
        </w:rPr>
      </w:pPr>
      <w:r>
        <w:rPr>
          <w:rFonts w:hint="eastAsia" w:ascii="宋体"/>
          <w:sz w:val="21"/>
          <w:szCs w:val="21"/>
          <w:highlight w:val="none"/>
        </w:rPr>
        <w:t>供应商(乙方）</w:t>
      </w:r>
      <w:r>
        <w:rPr>
          <w:rFonts w:hint="eastAsia" w:ascii="宋体"/>
          <w:sz w:val="21"/>
          <w:szCs w:val="21"/>
          <w:highlight w:val="none"/>
          <w:u w:val="single"/>
        </w:rPr>
        <w:t xml:space="preserve">                       </w:t>
      </w:r>
    </w:p>
    <w:p w14:paraId="6F1EDBEC">
      <w:pPr>
        <w:pStyle w:val="11"/>
        <w:spacing w:line="360" w:lineRule="auto"/>
        <w:rPr>
          <w:sz w:val="21"/>
          <w:szCs w:val="21"/>
          <w:highlight w:val="none"/>
        </w:rPr>
      </w:pPr>
      <w:r>
        <w:rPr>
          <w:rFonts w:hint="eastAsia"/>
          <w:sz w:val="21"/>
          <w:szCs w:val="21"/>
          <w:highlight w:val="none"/>
        </w:rPr>
        <w:t xml:space="preserve">项目名称 </w:t>
      </w:r>
      <w:r>
        <w:rPr>
          <w:rFonts w:hint="eastAsia"/>
          <w:sz w:val="21"/>
          <w:szCs w:val="21"/>
          <w:highlight w:val="none"/>
          <w:u w:val="single"/>
        </w:rPr>
        <w:t xml:space="preserve">                           </w:t>
      </w:r>
      <w:r>
        <w:rPr>
          <w:rFonts w:hint="eastAsia"/>
          <w:sz w:val="21"/>
          <w:szCs w:val="21"/>
          <w:highlight w:val="none"/>
        </w:rPr>
        <w:t xml:space="preserve">      </w:t>
      </w:r>
      <w:r>
        <w:rPr>
          <w:rFonts w:hint="eastAsia"/>
          <w:spacing w:val="-20"/>
          <w:sz w:val="21"/>
          <w:szCs w:val="21"/>
          <w:highlight w:val="none"/>
        </w:rPr>
        <w:t>项目编号</w:t>
      </w:r>
      <w:r>
        <w:rPr>
          <w:rFonts w:hint="eastAsia"/>
          <w:sz w:val="21"/>
          <w:szCs w:val="21"/>
          <w:highlight w:val="none"/>
          <w:u w:val="single"/>
        </w:rPr>
        <w:t xml:space="preserve">                      </w:t>
      </w:r>
    </w:p>
    <w:p w14:paraId="03D4D38A">
      <w:pPr>
        <w:snapToGrid w:val="0"/>
        <w:spacing w:line="360" w:lineRule="auto"/>
        <w:rPr>
          <w:rFonts w:ascii="宋体"/>
          <w:sz w:val="21"/>
          <w:szCs w:val="21"/>
          <w:highlight w:val="none"/>
          <w:u w:val="single"/>
        </w:rPr>
      </w:pPr>
      <w:r>
        <w:rPr>
          <w:rFonts w:hint="eastAsia" w:ascii="宋体"/>
          <w:sz w:val="21"/>
          <w:szCs w:val="21"/>
          <w:highlight w:val="none"/>
        </w:rPr>
        <w:t xml:space="preserve">签订地点  </w:t>
      </w:r>
      <w:r>
        <w:rPr>
          <w:rFonts w:hint="eastAsia" w:ascii="宋体"/>
          <w:sz w:val="21"/>
          <w:szCs w:val="21"/>
          <w:highlight w:val="none"/>
          <w:u w:val="single"/>
        </w:rPr>
        <w:t xml:space="preserve">                          </w:t>
      </w:r>
      <w:r>
        <w:rPr>
          <w:rFonts w:hint="eastAsia" w:ascii="宋体"/>
          <w:sz w:val="21"/>
          <w:szCs w:val="21"/>
          <w:highlight w:val="none"/>
        </w:rPr>
        <w:t xml:space="preserve">      签订时间</w:t>
      </w:r>
      <w:r>
        <w:rPr>
          <w:rFonts w:hint="eastAsia" w:ascii="宋体"/>
          <w:sz w:val="21"/>
          <w:szCs w:val="21"/>
          <w:highlight w:val="none"/>
          <w:u w:val="single"/>
        </w:rPr>
        <w:t xml:space="preserve">                     </w:t>
      </w:r>
    </w:p>
    <w:p w14:paraId="55D68E4B">
      <w:pPr>
        <w:snapToGrid w:val="0"/>
        <w:spacing w:line="360" w:lineRule="auto"/>
        <w:rPr>
          <w:rFonts w:ascii="宋体"/>
          <w:sz w:val="21"/>
          <w:szCs w:val="21"/>
          <w:highlight w:val="none"/>
        </w:rPr>
      </w:pPr>
      <w:r>
        <w:rPr>
          <w:rFonts w:hint="eastAsia" w:ascii="宋体"/>
          <w:sz w:val="21"/>
          <w:szCs w:val="21"/>
          <w:highlight w:val="none"/>
        </w:rPr>
        <w:t>本合同为中小企业预留合同:</w:t>
      </w:r>
      <w:r>
        <w:rPr>
          <w:rFonts w:hint="eastAsia" w:ascii="宋体"/>
          <w:sz w:val="21"/>
          <w:szCs w:val="21"/>
          <w:highlight w:val="none"/>
          <w:u w:val="single"/>
        </w:rPr>
        <w:t xml:space="preserve">  (是/否)    </w:t>
      </w:r>
    </w:p>
    <w:p w14:paraId="3F7CBFAA">
      <w:pPr>
        <w:pStyle w:val="11"/>
        <w:rPr>
          <w:sz w:val="21"/>
          <w:szCs w:val="21"/>
          <w:highlight w:val="none"/>
        </w:rPr>
      </w:pPr>
    </w:p>
    <w:p w14:paraId="28D5F01E">
      <w:pPr>
        <w:snapToGrid w:val="0"/>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根据《中华人民共和国政府采购法》、《中华人民共和国民法典》等法律、法规规定，按照竞争性谈判文件规定条款和成交供应商承诺，甲乙双方签订本合同。</w:t>
      </w:r>
    </w:p>
    <w:p w14:paraId="09096B5C">
      <w:pPr>
        <w:snapToGrid w:val="0"/>
        <w:spacing w:line="360" w:lineRule="auto"/>
        <w:ind w:firstLine="422" w:firstLineChars="200"/>
        <w:rPr>
          <w:rFonts w:asciiTheme="minorEastAsia" w:hAnsiTheme="minorEastAsia" w:eastAsiaTheme="minorEastAsia"/>
          <w:b/>
          <w:szCs w:val="21"/>
          <w:highlight w:val="none"/>
        </w:rPr>
      </w:pPr>
      <w:r>
        <w:rPr>
          <w:rFonts w:hint="eastAsia" w:asciiTheme="minorEastAsia" w:hAnsiTheme="minorEastAsia" w:eastAsiaTheme="minorEastAsia"/>
          <w:b/>
          <w:szCs w:val="21"/>
          <w:highlight w:val="none"/>
        </w:rPr>
        <w:t>第一条　合同标的</w:t>
      </w:r>
    </w:p>
    <w:p w14:paraId="462155A1">
      <w:pPr>
        <w:snapToGrid w:val="0"/>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1、供货一览表</w:t>
      </w:r>
    </w:p>
    <w:tbl>
      <w:tblPr>
        <w:tblStyle w:val="19"/>
        <w:tblW w:w="9085"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6"/>
        <w:gridCol w:w="1669"/>
        <w:gridCol w:w="1134"/>
        <w:gridCol w:w="2268"/>
        <w:gridCol w:w="992"/>
        <w:gridCol w:w="851"/>
        <w:gridCol w:w="850"/>
        <w:gridCol w:w="825"/>
      </w:tblGrid>
      <w:tr w14:paraId="59F35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trPr>
        <w:tc>
          <w:tcPr>
            <w:tcW w:w="496" w:type="dxa"/>
            <w:vAlign w:val="center"/>
          </w:tcPr>
          <w:p w14:paraId="0E63A778">
            <w:pPr>
              <w:snapToGrid w:val="0"/>
              <w:spacing w:line="360" w:lineRule="auto"/>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序号</w:t>
            </w:r>
          </w:p>
        </w:tc>
        <w:tc>
          <w:tcPr>
            <w:tcW w:w="1669" w:type="dxa"/>
            <w:vAlign w:val="center"/>
          </w:tcPr>
          <w:p w14:paraId="4859CF55">
            <w:pPr>
              <w:snapToGrid w:val="0"/>
              <w:spacing w:line="360" w:lineRule="auto"/>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产品名称</w:t>
            </w:r>
          </w:p>
        </w:tc>
        <w:tc>
          <w:tcPr>
            <w:tcW w:w="1134" w:type="dxa"/>
            <w:vAlign w:val="center"/>
          </w:tcPr>
          <w:p w14:paraId="6CEC9F5F">
            <w:pPr>
              <w:snapToGrid w:val="0"/>
              <w:spacing w:line="360" w:lineRule="auto"/>
              <w:ind w:firstLine="420" w:firstLineChars="200"/>
              <w:jc w:val="both"/>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品牌</w:t>
            </w:r>
          </w:p>
        </w:tc>
        <w:tc>
          <w:tcPr>
            <w:tcW w:w="2268" w:type="dxa"/>
            <w:vAlign w:val="center"/>
          </w:tcPr>
          <w:p w14:paraId="2EEB6144">
            <w:pPr>
              <w:snapToGrid w:val="0"/>
              <w:spacing w:line="360" w:lineRule="auto"/>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规格型号</w:t>
            </w:r>
          </w:p>
        </w:tc>
        <w:tc>
          <w:tcPr>
            <w:tcW w:w="992" w:type="dxa"/>
            <w:vAlign w:val="center"/>
          </w:tcPr>
          <w:p w14:paraId="68FD3EC1">
            <w:pPr>
              <w:snapToGrid w:val="0"/>
              <w:spacing w:line="360" w:lineRule="auto"/>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数量</w:t>
            </w:r>
          </w:p>
        </w:tc>
        <w:tc>
          <w:tcPr>
            <w:tcW w:w="851" w:type="dxa"/>
            <w:vAlign w:val="center"/>
          </w:tcPr>
          <w:p w14:paraId="00E12764">
            <w:pPr>
              <w:snapToGrid w:val="0"/>
              <w:spacing w:line="360" w:lineRule="auto"/>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单位</w:t>
            </w:r>
          </w:p>
        </w:tc>
        <w:tc>
          <w:tcPr>
            <w:tcW w:w="850" w:type="dxa"/>
            <w:vAlign w:val="center"/>
          </w:tcPr>
          <w:p w14:paraId="6A617C47">
            <w:pPr>
              <w:snapToGrid w:val="0"/>
              <w:spacing w:line="360" w:lineRule="auto"/>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单价</w:t>
            </w:r>
          </w:p>
          <w:p w14:paraId="1230B599">
            <w:pPr>
              <w:snapToGrid w:val="0"/>
              <w:spacing w:line="360" w:lineRule="auto"/>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（元）</w:t>
            </w:r>
          </w:p>
        </w:tc>
        <w:tc>
          <w:tcPr>
            <w:tcW w:w="825" w:type="dxa"/>
            <w:vAlign w:val="center"/>
          </w:tcPr>
          <w:p w14:paraId="700302AC">
            <w:pPr>
              <w:snapToGrid w:val="0"/>
              <w:spacing w:line="360" w:lineRule="auto"/>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金额</w:t>
            </w:r>
          </w:p>
          <w:p w14:paraId="16D6632B">
            <w:pPr>
              <w:snapToGrid w:val="0"/>
              <w:spacing w:line="360" w:lineRule="auto"/>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（元）</w:t>
            </w:r>
          </w:p>
        </w:tc>
      </w:tr>
      <w:tr w14:paraId="0C0FB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496" w:type="dxa"/>
            <w:vAlign w:val="center"/>
          </w:tcPr>
          <w:p w14:paraId="25B73414">
            <w:pPr>
              <w:snapToGrid w:val="0"/>
              <w:spacing w:line="360" w:lineRule="auto"/>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1</w:t>
            </w:r>
          </w:p>
        </w:tc>
        <w:tc>
          <w:tcPr>
            <w:tcW w:w="1669" w:type="dxa"/>
            <w:vAlign w:val="center"/>
          </w:tcPr>
          <w:p w14:paraId="24A134D7">
            <w:pPr>
              <w:snapToGrid w:val="0"/>
              <w:spacing w:line="360" w:lineRule="auto"/>
              <w:jc w:val="center"/>
              <w:rPr>
                <w:rFonts w:asciiTheme="minorEastAsia" w:hAnsiTheme="minorEastAsia" w:eastAsiaTheme="minorEastAsia"/>
                <w:szCs w:val="21"/>
                <w:highlight w:val="none"/>
              </w:rPr>
            </w:pPr>
          </w:p>
        </w:tc>
        <w:tc>
          <w:tcPr>
            <w:tcW w:w="1134" w:type="dxa"/>
            <w:vAlign w:val="center"/>
          </w:tcPr>
          <w:p w14:paraId="5C1BDF26">
            <w:pPr>
              <w:snapToGrid w:val="0"/>
              <w:spacing w:line="360" w:lineRule="auto"/>
              <w:jc w:val="center"/>
              <w:rPr>
                <w:rFonts w:asciiTheme="minorEastAsia" w:hAnsiTheme="minorEastAsia" w:eastAsiaTheme="minorEastAsia"/>
                <w:szCs w:val="21"/>
                <w:highlight w:val="none"/>
              </w:rPr>
            </w:pPr>
          </w:p>
        </w:tc>
        <w:tc>
          <w:tcPr>
            <w:tcW w:w="2268" w:type="dxa"/>
            <w:vAlign w:val="center"/>
          </w:tcPr>
          <w:p w14:paraId="29D657F9">
            <w:pPr>
              <w:snapToGrid w:val="0"/>
              <w:spacing w:line="360" w:lineRule="auto"/>
              <w:jc w:val="center"/>
              <w:rPr>
                <w:rFonts w:asciiTheme="minorEastAsia" w:hAnsiTheme="minorEastAsia" w:eastAsiaTheme="minorEastAsia"/>
                <w:szCs w:val="21"/>
                <w:highlight w:val="none"/>
              </w:rPr>
            </w:pPr>
          </w:p>
        </w:tc>
        <w:tc>
          <w:tcPr>
            <w:tcW w:w="992" w:type="dxa"/>
          </w:tcPr>
          <w:p w14:paraId="30E25135">
            <w:pPr>
              <w:snapToGrid w:val="0"/>
              <w:spacing w:line="360" w:lineRule="auto"/>
              <w:jc w:val="center"/>
              <w:rPr>
                <w:rFonts w:asciiTheme="minorEastAsia" w:hAnsiTheme="minorEastAsia" w:eastAsiaTheme="minorEastAsia"/>
                <w:szCs w:val="21"/>
                <w:highlight w:val="none"/>
              </w:rPr>
            </w:pPr>
          </w:p>
        </w:tc>
        <w:tc>
          <w:tcPr>
            <w:tcW w:w="851" w:type="dxa"/>
          </w:tcPr>
          <w:p w14:paraId="3E8D11F1">
            <w:pPr>
              <w:snapToGrid w:val="0"/>
              <w:spacing w:line="360" w:lineRule="auto"/>
              <w:jc w:val="center"/>
              <w:rPr>
                <w:rFonts w:asciiTheme="minorEastAsia" w:hAnsiTheme="minorEastAsia" w:eastAsiaTheme="minorEastAsia"/>
                <w:szCs w:val="21"/>
                <w:highlight w:val="none"/>
              </w:rPr>
            </w:pPr>
          </w:p>
        </w:tc>
        <w:tc>
          <w:tcPr>
            <w:tcW w:w="850" w:type="dxa"/>
            <w:vAlign w:val="center"/>
          </w:tcPr>
          <w:p w14:paraId="412C1F4F">
            <w:pPr>
              <w:snapToGrid w:val="0"/>
              <w:spacing w:line="360" w:lineRule="auto"/>
              <w:jc w:val="center"/>
              <w:rPr>
                <w:rFonts w:asciiTheme="minorEastAsia" w:hAnsiTheme="minorEastAsia" w:eastAsiaTheme="minorEastAsia"/>
                <w:szCs w:val="21"/>
                <w:highlight w:val="none"/>
              </w:rPr>
            </w:pPr>
          </w:p>
        </w:tc>
        <w:tc>
          <w:tcPr>
            <w:tcW w:w="825" w:type="dxa"/>
            <w:vAlign w:val="center"/>
          </w:tcPr>
          <w:p w14:paraId="43C4C4EB">
            <w:pPr>
              <w:snapToGrid w:val="0"/>
              <w:spacing w:line="360" w:lineRule="auto"/>
              <w:jc w:val="center"/>
              <w:rPr>
                <w:rFonts w:asciiTheme="minorEastAsia" w:hAnsiTheme="minorEastAsia" w:eastAsiaTheme="minorEastAsia"/>
                <w:szCs w:val="21"/>
                <w:highlight w:val="none"/>
              </w:rPr>
            </w:pPr>
          </w:p>
        </w:tc>
      </w:tr>
      <w:tr w14:paraId="30F36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496" w:type="dxa"/>
            <w:vAlign w:val="center"/>
          </w:tcPr>
          <w:p w14:paraId="132C0898">
            <w:pPr>
              <w:snapToGrid w:val="0"/>
              <w:spacing w:line="360" w:lineRule="auto"/>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2</w:t>
            </w:r>
          </w:p>
        </w:tc>
        <w:tc>
          <w:tcPr>
            <w:tcW w:w="1669" w:type="dxa"/>
            <w:vAlign w:val="center"/>
          </w:tcPr>
          <w:p w14:paraId="4BFCACDD">
            <w:pPr>
              <w:snapToGrid w:val="0"/>
              <w:spacing w:line="360" w:lineRule="auto"/>
              <w:jc w:val="center"/>
              <w:rPr>
                <w:rFonts w:asciiTheme="minorEastAsia" w:hAnsiTheme="minorEastAsia" w:eastAsiaTheme="minorEastAsia"/>
                <w:szCs w:val="21"/>
                <w:highlight w:val="none"/>
              </w:rPr>
            </w:pPr>
          </w:p>
        </w:tc>
        <w:tc>
          <w:tcPr>
            <w:tcW w:w="1134" w:type="dxa"/>
            <w:vAlign w:val="center"/>
          </w:tcPr>
          <w:p w14:paraId="7594BA65">
            <w:pPr>
              <w:snapToGrid w:val="0"/>
              <w:spacing w:line="360" w:lineRule="auto"/>
              <w:jc w:val="center"/>
              <w:rPr>
                <w:rFonts w:asciiTheme="minorEastAsia" w:hAnsiTheme="minorEastAsia" w:eastAsiaTheme="minorEastAsia"/>
                <w:szCs w:val="21"/>
                <w:highlight w:val="none"/>
              </w:rPr>
            </w:pPr>
          </w:p>
        </w:tc>
        <w:tc>
          <w:tcPr>
            <w:tcW w:w="2268" w:type="dxa"/>
            <w:vAlign w:val="center"/>
          </w:tcPr>
          <w:p w14:paraId="3F14CA1D">
            <w:pPr>
              <w:snapToGrid w:val="0"/>
              <w:spacing w:line="360" w:lineRule="auto"/>
              <w:jc w:val="center"/>
              <w:rPr>
                <w:rFonts w:asciiTheme="minorEastAsia" w:hAnsiTheme="minorEastAsia" w:eastAsiaTheme="minorEastAsia"/>
                <w:szCs w:val="21"/>
                <w:highlight w:val="none"/>
              </w:rPr>
            </w:pPr>
          </w:p>
        </w:tc>
        <w:tc>
          <w:tcPr>
            <w:tcW w:w="992" w:type="dxa"/>
          </w:tcPr>
          <w:p w14:paraId="2A56100A">
            <w:pPr>
              <w:snapToGrid w:val="0"/>
              <w:spacing w:line="360" w:lineRule="auto"/>
              <w:jc w:val="center"/>
              <w:rPr>
                <w:rFonts w:asciiTheme="minorEastAsia" w:hAnsiTheme="minorEastAsia" w:eastAsiaTheme="minorEastAsia"/>
                <w:szCs w:val="21"/>
                <w:highlight w:val="none"/>
              </w:rPr>
            </w:pPr>
          </w:p>
        </w:tc>
        <w:tc>
          <w:tcPr>
            <w:tcW w:w="851" w:type="dxa"/>
          </w:tcPr>
          <w:p w14:paraId="384C316F">
            <w:pPr>
              <w:snapToGrid w:val="0"/>
              <w:spacing w:line="360" w:lineRule="auto"/>
              <w:jc w:val="center"/>
              <w:rPr>
                <w:rFonts w:asciiTheme="minorEastAsia" w:hAnsiTheme="minorEastAsia" w:eastAsiaTheme="minorEastAsia"/>
                <w:szCs w:val="21"/>
                <w:highlight w:val="none"/>
              </w:rPr>
            </w:pPr>
          </w:p>
        </w:tc>
        <w:tc>
          <w:tcPr>
            <w:tcW w:w="850" w:type="dxa"/>
            <w:vAlign w:val="center"/>
          </w:tcPr>
          <w:p w14:paraId="62C52131">
            <w:pPr>
              <w:snapToGrid w:val="0"/>
              <w:spacing w:line="360" w:lineRule="auto"/>
              <w:jc w:val="center"/>
              <w:rPr>
                <w:rFonts w:asciiTheme="minorEastAsia" w:hAnsiTheme="minorEastAsia" w:eastAsiaTheme="minorEastAsia"/>
                <w:szCs w:val="21"/>
                <w:highlight w:val="none"/>
              </w:rPr>
            </w:pPr>
          </w:p>
        </w:tc>
        <w:tc>
          <w:tcPr>
            <w:tcW w:w="825" w:type="dxa"/>
            <w:vAlign w:val="center"/>
          </w:tcPr>
          <w:p w14:paraId="142EF85A">
            <w:pPr>
              <w:snapToGrid w:val="0"/>
              <w:spacing w:line="360" w:lineRule="auto"/>
              <w:jc w:val="center"/>
              <w:rPr>
                <w:rFonts w:asciiTheme="minorEastAsia" w:hAnsiTheme="minorEastAsia" w:eastAsiaTheme="minorEastAsia"/>
                <w:szCs w:val="21"/>
                <w:highlight w:val="none"/>
              </w:rPr>
            </w:pPr>
          </w:p>
        </w:tc>
      </w:tr>
      <w:tr w14:paraId="0BF06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trPr>
        <w:tc>
          <w:tcPr>
            <w:tcW w:w="496" w:type="dxa"/>
            <w:vAlign w:val="center"/>
          </w:tcPr>
          <w:p w14:paraId="01EED5EF">
            <w:pPr>
              <w:snapToGrid w:val="0"/>
              <w:spacing w:line="360" w:lineRule="auto"/>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3</w:t>
            </w:r>
          </w:p>
        </w:tc>
        <w:tc>
          <w:tcPr>
            <w:tcW w:w="1669" w:type="dxa"/>
            <w:vAlign w:val="center"/>
          </w:tcPr>
          <w:p w14:paraId="5E8B7060">
            <w:pPr>
              <w:snapToGrid w:val="0"/>
              <w:spacing w:line="360" w:lineRule="auto"/>
              <w:jc w:val="center"/>
              <w:rPr>
                <w:rFonts w:asciiTheme="minorEastAsia" w:hAnsiTheme="minorEastAsia" w:eastAsiaTheme="minorEastAsia"/>
                <w:szCs w:val="21"/>
                <w:highlight w:val="none"/>
              </w:rPr>
            </w:pPr>
          </w:p>
        </w:tc>
        <w:tc>
          <w:tcPr>
            <w:tcW w:w="1134" w:type="dxa"/>
            <w:vAlign w:val="center"/>
          </w:tcPr>
          <w:p w14:paraId="4CD973BD">
            <w:pPr>
              <w:snapToGrid w:val="0"/>
              <w:spacing w:line="360" w:lineRule="auto"/>
              <w:jc w:val="center"/>
              <w:rPr>
                <w:rFonts w:asciiTheme="minorEastAsia" w:hAnsiTheme="minorEastAsia" w:eastAsiaTheme="minorEastAsia"/>
                <w:szCs w:val="21"/>
                <w:highlight w:val="none"/>
              </w:rPr>
            </w:pPr>
          </w:p>
        </w:tc>
        <w:tc>
          <w:tcPr>
            <w:tcW w:w="2268" w:type="dxa"/>
            <w:vAlign w:val="center"/>
          </w:tcPr>
          <w:p w14:paraId="003105C3">
            <w:pPr>
              <w:snapToGrid w:val="0"/>
              <w:spacing w:line="360" w:lineRule="auto"/>
              <w:jc w:val="center"/>
              <w:rPr>
                <w:rFonts w:asciiTheme="minorEastAsia" w:hAnsiTheme="minorEastAsia" w:eastAsiaTheme="minorEastAsia"/>
                <w:szCs w:val="21"/>
                <w:highlight w:val="none"/>
              </w:rPr>
            </w:pPr>
          </w:p>
        </w:tc>
        <w:tc>
          <w:tcPr>
            <w:tcW w:w="992" w:type="dxa"/>
          </w:tcPr>
          <w:p w14:paraId="0459C830">
            <w:pPr>
              <w:snapToGrid w:val="0"/>
              <w:spacing w:line="360" w:lineRule="auto"/>
              <w:jc w:val="center"/>
              <w:rPr>
                <w:rFonts w:asciiTheme="minorEastAsia" w:hAnsiTheme="minorEastAsia" w:eastAsiaTheme="minorEastAsia"/>
                <w:szCs w:val="21"/>
                <w:highlight w:val="none"/>
              </w:rPr>
            </w:pPr>
          </w:p>
        </w:tc>
        <w:tc>
          <w:tcPr>
            <w:tcW w:w="851" w:type="dxa"/>
          </w:tcPr>
          <w:p w14:paraId="2E13CE85">
            <w:pPr>
              <w:snapToGrid w:val="0"/>
              <w:spacing w:line="360" w:lineRule="auto"/>
              <w:jc w:val="center"/>
              <w:rPr>
                <w:rFonts w:asciiTheme="minorEastAsia" w:hAnsiTheme="minorEastAsia" w:eastAsiaTheme="minorEastAsia"/>
                <w:szCs w:val="21"/>
                <w:highlight w:val="none"/>
              </w:rPr>
            </w:pPr>
          </w:p>
        </w:tc>
        <w:tc>
          <w:tcPr>
            <w:tcW w:w="850" w:type="dxa"/>
            <w:vAlign w:val="center"/>
          </w:tcPr>
          <w:p w14:paraId="279A0807">
            <w:pPr>
              <w:snapToGrid w:val="0"/>
              <w:spacing w:line="360" w:lineRule="auto"/>
              <w:jc w:val="center"/>
              <w:rPr>
                <w:rFonts w:asciiTheme="minorEastAsia" w:hAnsiTheme="minorEastAsia" w:eastAsiaTheme="minorEastAsia"/>
                <w:szCs w:val="21"/>
                <w:highlight w:val="none"/>
              </w:rPr>
            </w:pPr>
          </w:p>
        </w:tc>
        <w:tc>
          <w:tcPr>
            <w:tcW w:w="825" w:type="dxa"/>
            <w:vAlign w:val="center"/>
          </w:tcPr>
          <w:p w14:paraId="235C7786">
            <w:pPr>
              <w:snapToGrid w:val="0"/>
              <w:spacing w:line="360" w:lineRule="auto"/>
              <w:jc w:val="center"/>
              <w:rPr>
                <w:rFonts w:asciiTheme="minorEastAsia" w:hAnsiTheme="minorEastAsia" w:eastAsiaTheme="minorEastAsia"/>
                <w:szCs w:val="21"/>
                <w:highlight w:val="none"/>
              </w:rPr>
            </w:pPr>
          </w:p>
        </w:tc>
      </w:tr>
      <w:tr w14:paraId="7C3EC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trPr>
        <w:tc>
          <w:tcPr>
            <w:tcW w:w="496" w:type="dxa"/>
            <w:vAlign w:val="center"/>
          </w:tcPr>
          <w:p w14:paraId="3B4173F5">
            <w:pPr>
              <w:snapToGrid w:val="0"/>
              <w:spacing w:line="360" w:lineRule="auto"/>
              <w:jc w:val="center"/>
              <w:rPr>
                <w:rFonts w:asciiTheme="minorEastAsia" w:hAnsiTheme="minorEastAsia" w:eastAsiaTheme="minorEastAsia"/>
                <w:szCs w:val="21"/>
                <w:highlight w:val="none"/>
              </w:rPr>
            </w:pPr>
            <w:r>
              <w:rPr>
                <w:rFonts w:asciiTheme="minorEastAsia" w:hAnsiTheme="minorEastAsia" w:eastAsiaTheme="minorEastAsia"/>
                <w:szCs w:val="21"/>
                <w:highlight w:val="none"/>
              </w:rPr>
              <w:t>…</w:t>
            </w:r>
          </w:p>
        </w:tc>
        <w:tc>
          <w:tcPr>
            <w:tcW w:w="1669" w:type="dxa"/>
            <w:vAlign w:val="center"/>
          </w:tcPr>
          <w:p w14:paraId="71863B66">
            <w:pPr>
              <w:snapToGrid w:val="0"/>
              <w:spacing w:line="360" w:lineRule="auto"/>
              <w:jc w:val="center"/>
              <w:rPr>
                <w:rFonts w:asciiTheme="minorEastAsia" w:hAnsiTheme="minorEastAsia" w:eastAsiaTheme="minorEastAsia"/>
                <w:szCs w:val="21"/>
                <w:highlight w:val="none"/>
              </w:rPr>
            </w:pPr>
          </w:p>
        </w:tc>
        <w:tc>
          <w:tcPr>
            <w:tcW w:w="1134" w:type="dxa"/>
            <w:vAlign w:val="center"/>
          </w:tcPr>
          <w:p w14:paraId="3A1E034E">
            <w:pPr>
              <w:snapToGrid w:val="0"/>
              <w:spacing w:line="360" w:lineRule="auto"/>
              <w:jc w:val="center"/>
              <w:rPr>
                <w:rFonts w:asciiTheme="minorEastAsia" w:hAnsiTheme="minorEastAsia" w:eastAsiaTheme="minorEastAsia"/>
                <w:szCs w:val="21"/>
                <w:highlight w:val="none"/>
              </w:rPr>
            </w:pPr>
          </w:p>
        </w:tc>
        <w:tc>
          <w:tcPr>
            <w:tcW w:w="2268" w:type="dxa"/>
            <w:vAlign w:val="center"/>
          </w:tcPr>
          <w:p w14:paraId="0E799B61">
            <w:pPr>
              <w:snapToGrid w:val="0"/>
              <w:spacing w:line="360" w:lineRule="auto"/>
              <w:jc w:val="center"/>
              <w:rPr>
                <w:rFonts w:asciiTheme="minorEastAsia" w:hAnsiTheme="minorEastAsia" w:eastAsiaTheme="minorEastAsia"/>
                <w:szCs w:val="21"/>
                <w:highlight w:val="none"/>
              </w:rPr>
            </w:pPr>
          </w:p>
        </w:tc>
        <w:tc>
          <w:tcPr>
            <w:tcW w:w="992" w:type="dxa"/>
          </w:tcPr>
          <w:p w14:paraId="15C91B57">
            <w:pPr>
              <w:snapToGrid w:val="0"/>
              <w:spacing w:line="360" w:lineRule="auto"/>
              <w:jc w:val="center"/>
              <w:rPr>
                <w:rFonts w:asciiTheme="minorEastAsia" w:hAnsiTheme="minorEastAsia" w:eastAsiaTheme="minorEastAsia"/>
                <w:szCs w:val="21"/>
                <w:highlight w:val="none"/>
              </w:rPr>
            </w:pPr>
          </w:p>
        </w:tc>
        <w:tc>
          <w:tcPr>
            <w:tcW w:w="851" w:type="dxa"/>
          </w:tcPr>
          <w:p w14:paraId="623CEFC5">
            <w:pPr>
              <w:snapToGrid w:val="0"/>
              <w:spacing w:line="360" w:lineRule="auto"/>
              <w:jc w:val="center"/>
              <w:rPr>
                <w:rFonts w:asciiTheme="minorEastAsia" w:hAnsiTheme="minorEastAsia" w:eastAsiaTheme="minorEastAsia"/>
                <w:szCs w:val="21"/>
                <w:highlight w:val="none"/>
              </w:rPr>
            </w:pPr>
          </w:p>
        </w:tc>
        <w:tc>
          <w:tcPr>
            <w:tcW w:w="850" w:type="dxa"/>
            <w:vAlign w:val="center"/>
          </w:tcPr>
          <w:p w14:paraId="75738629">
            <w:pPr>
              <w:snapToGrid w:val="0"/>
              <w:spacing w:line="360" w:lineRule="auto"/>
              <w:jc w:val="center"/>
              <w:rPr>
                <w:rFonts w:asciiTheme="minorEastAsia" w:hAnsiTheme="minorEastAsia" w:eastAsiaTheme="minorEastAsia"/>
                <w:szCs w:val="21"/>
                <w:highlight w:val="none"/>
              </w:rPr>
            </w:pPr>
          </w:p>
        </w:tc>
        <w:tc>
          <w:tcPr>
            <w:tcW w:w="825" w:type="dxa"/>
            <w:vAlign w:val="center"/>
          </w:tcPr>
          <w:p w14:paraId="3E37D4D7">
            <w:pPr>
              <w:snapToGrid w:val="0"/>
              <w:spacing w:line="360" w:lineRule="auto"/>
              <w:jc w:val="center"/>
              <w:rPr>
                <w:rFonts w:asciiTheme="minorEastAsia" w:hAnsiTheme="minorEastAsia" w:eastAsiaTheme="minorEastAsia"/>
                <w:szCs w:val="21"/>
                <w:highlight w:val="none"/>
              </w:rPr>
            </w:pPr>
          </w:p>
        </w:tc>
      </w:tr>
      <w:tr w14:paraId="2D015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9085" w:type="dxa"/>
            <w:gridSpan w:val="8"/>
          </w:tcPr>
          <w:p w14:paraId="0D772BA8">
            <w:pPr>
              <w:snapToGrid w:val="0"/>
              <w:spacing w:line="360" w:lineRule="auto"/>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 xml:space="preserve">人民币合计金额（大写） </w:t>
            </w:r>
            <w:r>
              <w:rPr>
                <w:rFonts w:hint="eastAsia" w:asciiTheme="minorEastAsia" w:hAnsiTheme="minorEastAsia" w:eastAsiaTheme="minorEastAsia"/>
                <w:szCs w:val="21"/>
                <w:highlight w:val="none"/>
                <w:u w:val="single"/>
              </w:rPr>
              <w:t xml:space="preserve">            </w:t>
            </w:r>
            <w:r>
              <w:rPr>
                <w:rFonts w:hint="eastAsia" w:asciiTheme="minorEastAsia" w:hAnsiTheme="minorEastAsia" w:eastAsiaTheme="minorEastAsia"/>
                <w:szCs w:val="21"/>
                <w:highlight w:val="none"/>
              </w:rPr>
              <w:t xml:space="preserve">    （小写） </w:t>
            </w:r>
            <w:r>
              <w:rPr>
                <w:rFonts w:hint="eastAsia" w:asciiTheme="minorEastAsia" w:hAnsiTheme="minorEastAsia" w:eastAsiaTheme="minorEastAsia"/>
                <w:szCs w:val="21"/>
                <w:highlight w:val="none"/>
                <w:u w:val="single"/>
              </w:rPr>
              <w:t xml:space="preserve">            </w:t>
            </w:r>
          </w:p>
        </w:tc>
      </w:tr>
    </w:tbl>
    <w:p w14:paraId="62D59F18">
      <w:pPr>
        <w:tabs>
          <w:tab w:val="left" w:pos="8820"/>
        </w:tabs>
        <w:snapToGrid w:val="0"/>
        <w:spacing w:line="360" w:lineRule="auto"/>
        <w:ind w:right="-32" w:rightChars="0" w:firstLine="420" w:firstLineChars="200"/>
        <w:rPr>
          <w:rFonts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2.合同合计金额包括竞标货物（包括备品备件、专用工具等）的价格（包括已在中国境内的进口货物完税后的仓库交货价、展室交货价或者货架交货价），竞标货物运输（含保险）、安装（如有）、调试、检验、技术服务、培训和竞争性谈判文件要求提供的所有伴随服务、工程等费用和税费。</w:t>
      </w:r>
    </w:p>
    <w:p w14:paraId="1E21AC07">
      <w:pPr>
        <w:snapToGrid w:val="0"/>
        <w:spacing w:line="360" w:lineRule="auto"/>
        <w:ind w:firstLine="422" w:firstLineChars="200"/>
        <w:rPr>
          <w:rFonts w:asciiTheme="minorEastAsia" w:hAnsiTheme="minorEastAsia" w:eastAsiaTheme="minorEastAsia"/>
          <w:szCs w:val="21"/>
          <w:highlight w:val="none"/>
        </w:rPr>
      </w:pPr>
      <w:r>
        <w:rPr>
          <w:rFonts w:hint="eastAsia" w:asciiTheme="minorEastAsia" w:hAnsiTheme="minorEastAsia" w:eastAsiaTheme="minorEastAsia"/>
          <w:b/>
          <w:szCs w:val="21"/>
          <w:highlight w:val="none"/>
        </w:rPr>
        <w:t>第二条　质量保证</w:t>
      </w:r>
    </w:p>
    <w:p w14:paraId="148EDEFE">
      <w:pPr>
        <w:snapToGrid w:val="0"/>
        <w:spacing w:line="360" w:lineRule="auto"/>
        <w:ind w:firstLine="420" w:firstLineChars="200"/>
        <w:rPr>
          <w:rFonts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1.乙方所提供的产品名称、商标品牌、生产厂家、规格型号、技术参数等质量必须与竞争性谈判文件规定及响应文件承诺相一致。乙方提供的节能和环保产品必须是列入政府采购品目清单的产品。</w:t>
      </w:r>
    </w:p>
    <w:p w14:paraId="3B7CB4FB">
      <w:pPr>
        <w:snapToGrid w:val="0"/>
        <w:spacing w:line="360" w:lineRule="auto"/>
        <w:ind w:firstLine="420" w:firstLineChars="200"/>
        <w:rPr>
          <w:rFonts w:hint="eastAsia"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2.乙方所提供的货物必须是全新、未使用的原装产品，且在正常安装、使用和保养条件下，其使用寿命期内各项指标均达到竞争性谈判文件规定或者响应文件承诺的质量要求。</w:t>
      </w:r>
    </w:p>
    <w:p w14:paraId="75040BE4">
      <w:pPr>
        <w:snapToGrid w:val="0"/>
        <w:spacing w:line="360" w:lineRule="auto"/>
        <w:ind w:firstLine="420" w:firstLineChars="200"/>
        <w:rPr>
          <w:rFonts w:cs="宋体" w:asciiTheme="minorEastAsia" w:hAnsiTheme="minorEastAsia" w:eastAsiaTheme="minorEastAsia"/>
          <w:szCs w:val="21"/>
          <w:highlight w:val="none"/>
          <w:u w:val="single"/>
        </w:rPr>
      </w:pPr>
      <w:r>
        <w:rPr>
          <w:rFonts w:hint="eastAsia" w:cs="宋体" w:asciiTheme="minorEastAsia" w:hAnsiTheme="minorEastAsia" w:eastAsiaTheme="minorEastAsia"/>
          <w:szCs w:val="21"/>
          <w:highlight w:val="none"/>
        </w:rPr>
        <w:t>3、乙方服从采购人的监督、协调、指导与管理。凡是《中华人民共和国食品安全法》禁止经营的食品一律不得采购和使用，严禁配送“三无”食品、有毒、有害、过期、变质、假冒伪劣等不合格食品。</w:t>
      </w:r>
    </w:p>
    <w:p w14:paraId="42CEFEA4">
      <w:pPr>
        <w:snapToGrid w:val="0"/>
        <w:spacing w:line="360" w:lineRule="auto"/>
        <w:ind w:firstLine="422" w:firstLineChars="200"/>
        <w:rPr>
          <w:rFonts w:asciiTheme="minorEastAsia" w:hAnsiTheme="minorEastAsia" w:eastAsiaTheme="minorEastAsia"/>
          <w:szCs w:val="21"/>
          <w:highlight w:val="none"/>
        </w:rPr>
      </w:pPr>
      <w:r>
        <w:rPr>
          <w:rFonts w:hint="eastAsia" w:asciiTheme="minorEastAsia" w:hAnsiTheme="minorEastAsia" w:eastAsiaTheme="minorEastAsia"/>
          <w:b/>
          <w:szCs w:val="21"/>
          <w:highlight w:val="none"/>
        </w:rPr>
        <w:t>第三条　权利保证</w:t>
      </w:r>
    </w:p>
    <w:p w14:paraId="7CA54A68">
      <w:pPr>
        <w:snapToGrid w:val="0"/>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1.乙方应保证所提供货物在使用时不会侵犯任何第三方的专利权、商标权、工业设计权或其他权利。</w:t>
      </w:r>
    </w:p>
    <w:p w14:paraId="5310B648">
      <w:pPr>
        <w:snapToGrid w:val="0"/>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2.乙方应按竞争性谈判采购文件规定的时间向甲方提供使用货物的有关技术资料。</w:t>
      </w:r>
    </w:p>
    <w:p w14:paraId="1C5B6FA7">
      <w:pPr>
        <w:snapToGrid w:val="0"/>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3.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2704C1BB">
      <w:pPr>
        <w:snapToGrid w:val="0"/>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4.乙方保证所交付的货物的所有权完全属于乙方且无任何抵押、质押、查封等产权瑕疵。</w:t>
      </w:r>
    </w:p>
    <w:p w14:paraId="6F5E67B9">
      <w:pPr>
        <w:snapToGrid w:val="0"/>
        <w:spacing w:line="360" w:lineRule="auto"/>
        <w:ind w:firstLine="422" w:firstLineChars="200"/>
        <w:rPr>
          <w:rFonts w:asciiTheme="minorEastAsia" w:hAnsiTheme="minorEastAsia" w:eastAsiaTheme="minorEastAsia"/>
          <w:b/>
          <w:szCs w:val="21"/>
          <w:highlight w:val="none"/>
        </w:rPr>
      </w:pPr>
      <w:r>
        <w:rPr>
          <w:rFonts w:hint="eastAsia" w:asciiTheme="minorEastAsia" w:hAnsiTheme="minorEastAsia" w:eastAsiaTheme="minorEastAsia"/>
          <w:b/>
          <w:szCs w:val="21"/>
          <w:highlight w:val="none"/>
        </w:rPr>
        <w:t>第四条　包装和运输</w:t>
      </w:r>
    </w:p>
    <w:p w14:paraId="731E2771">
      <w:pPr>
        <w:snapToGrid w:val="0"/>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1、乙方提供的货物均</w:t>
      </w:r>
      <w:r>
        <w:rPr>
          <w:rFonts w:hint="eastAsia" w:cs="宋体" w:asciiTheme="minorEastAsia" w:hAnsiTheme="minorEastAsia" w:eastAsiaTheme="minorEastAsia"/>
          <w:szCs w:val="21"/>
          <w:highlight w:val="none"/>
        </w:rPr>
        <w:t>按竞争性谈判文件规定或者响应文件承诺的要求</w:t>
      </w:r>
      <w:r>
        <w:rPr>
          <w:rFonts w:hint="eastAsia" w:asciiTheme="minorEastAsia" w:hAnsiTheme="minorEastAsia" w:eastAsiaTheme="minorEastAsia"/>
          <w:szCs w:val="21"/>
          <w:highlight w:val="none"/>
        </w:rPr>
        <w:t>的包装材料、包装标准、包装方式进行包装，每一包装单元内应附详细的装箱单和质量合格证。</w:t>
      </w:r>
    </w:p>
    <w:p w14:paraId="1A286AA6">
      <w:pPr>
        <w:snapToGrid w:val="0"/>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2、货物的运输方式：</w:t>
      </w:r>
      <w:r>
        <w:rPr>
          <w:rFonts w:hint="eastAsia" w:asciiTheme="minorEastAsia" w:hAnsiTheme="minorEastAsia" w:eastAsiaTheme="minorEastAsia"/>
          <w:szCs w:val="21"/>
          <w:highlight w:val="none"/>
          <w:u w:val="single"/>
        </w:rPr>
        <w:t xml:space="preserve">            </w:t>
      </w:r>
      <w:r>
        <w:rPr>
          <w:rFonts w:hint="eastAsia" w:asciiTheme="minorEastAsia" w:hAnsiTheme="minorEastAsia" w:eastAsiaTheme="minorEastAsia"/>
          <w:szCs w:val="21"/>
          <w:highlight w:val="none"/>
        </w:rPr>
        <w:t>。</w:t>
      </w:r>
    </w:p>
    <w:p w14:paraId="25C5FE3D">
      <w:pPr>
        <w:snapToGrid w:val="0"/>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3、乙方负责货物运输，货物运输合理损耗及计算方法：</w:t>
      </w:r>
      <w:r>
        <w:rPr>
          <w:rFonts w:hint="eastAsia" w:asciiTheme="minorEastAsia" w:hAnsiTheme="minorEastAsia" w:eastAsiaTheme="minorEastAsia"/>
          <w:szCs w:val="21"/>
          <w:highlight w:val="none"/>
          <w:u w:val="single"/>
        </w:rPr>
        <w:t xml:space="preserve">            </w:t>
      </w:r>
      <w:r>
        <w:rPr>
          <w:rFonts w:hint="eastAsia" w:asciiTheme="minorEastAsia" w:hAnsiTheme="minorEastAsia" w:eastAsiaTheme="minorEastAsia"/>
          <w:szCs w:val="21"/>
          <w:highlight w:val="none"/>
        </w:rPr>
        <w:t>。</w:t>
      </w:r>
    </w:p>
    <w:p w14:paraId="00A8D907">
      <w:pPr>
        <w:snapToGrid w:val="0"/>
        <w:spacing w:line="360" w:lineRule="auto"/>
        <w:ind w:firstLine="422" w:firstLineChars="200"/>
        <w:rPr>
          <w:rFonts w:asciiTheme="minorEastAsia" w:hAnsiTheme="minorEastAsia" w:eastAsiaTheme="minorEastAsia"/>
          <w:szCs w:val="21"/>
          <w:highlight w:val="none"/>
        </w:rPr>
      </w:pPr>
      <w:r>
        <w:rPr>
          <w:rFonts w:hint="eastAsia" w:asciiTheme="minorEastAsia" w:hAnsiTheme="minorEastAsia" w:eastAsiaTheme="minorEastAsia"/>
          <w:b/>
          <w:szCs w:val="21"/>
          <w:highlight w:val="none"/>
        </w:rPr>
        <w:t>第五条　交付和验收</w:t>
      </w:r>
    </w:p>
    <w:p w14:paraId="3404375C">
      <w:pPr>
        <w:snapToGrid w:val="0"/>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1、交付期：</w:t>
      </w:r>
      <w:r>
        <w:rPr>
          <w:rFonts w:hint="eastAsia" w:asciiTheme="minorEastAsia" w:hAnsiTheme="minorEastAsia" w:eastAsiaTheme="minorEastAsia"/>
          <w:szCs w:val="21"/>
          <w:highlight w:val="none"/>
          <w:u w:val="single"/>
        </w:rPr>
        <w:t xml:space="preserve">            </w:t>
      </w:r>
      <w:r>
        <w:rPr>
          <w:rFonts w:hint="eastAsia" w:asciiTheme="minorEastAsia" w:hAnsiTheme="minorEastAsia" w:eastAsiaTheme="minorEastAsia"/>
          <w:szCs w:val="21"/>
          <w:highlight w:val="none"/>
        </w:rPr>
        <w:t>；交付地点：</w:t>
      </w:r>
      <w:r>
        <w:rPr>
          <w:rFonts w:hint="eastAsia" w:asciiTheme="minorEastAsia" w:hAnsiTheme="minorEastAsia" w:eastAsiaTheme="minorEastAsia"/>
          <w:szCs w:val="21"/>
          <w:highlight w:val="none"/>
          <w:u w:val="single"/>
        </w:rPr>
        <w:t xml:space="preserve">            </w:t>
      </w:r>
      <w:r>
        <w:rPr>
          <w:rFonts w:hint="eastAsia" w:asciiTheme="minorEastAsia" w:hAnsiTheme="minorEastAsia" w:eastAsiaTheme="minorEastAsia"/>
          <w:szCs w:val="21"/>
          <w:highlight w:val="none"/>
        </w:rPr>
        <w:t>。</w:t>
      </w:r>
    </w:p>
    <w:p w14:paraId="00BB85DF">
      <w:pPr>
        <w:snapToGrid w:val="0"/>
        <w:spacing w:line="360" w:lineRule="auto"/>
        <w:ind w:firstLine="420" w:firstLineChars="200"/>
        <w:rPr>
          <w:rFonts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2.乙方提供不符合竞争性谈判文件规定或者响应文件承诺的和本合同规定的货物，甲方有权拒绝接受。</w:t>
      </w:r>
    </w:p>
    <w:p w14:paraId="63EC3D44">
      <w:pPr>
        <w:snapToGrid w:val="0"/>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3、</w:t>
      </w:r>
      <w:r>
        <w:rPr>
          <w:rFonts w:hint="eastAsia" w:cs="宋体" w:asciiTheme="minorEastAsia" w:hAnsiTheme="minorEastAsia" w:eastAsiaTheme="minorEastAsia"/>
          <w:szCs w:val="21"/>
          <w:highlight w:val="none"/>
        </w:rPr>
        <w:t>乙方应将所提供货物的装箱清单、用户手册、原厂保修卡、随机资料、工具和备品、备件等交付给甲方，货物属于进口产品的，供货时应同时附上中文使用说明书，如有缺失应在合理的规定时间内补齐，否则视为逾期交货。</w:t>
      </w:r>
    </w:p>
    <w:p w14:paraId="686E3417">
      <w:pPr>
        <w:snapToGrid w:val="0"/>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4、甲方应当在到货（安装、调试完）后7个工作日内进行验收，逾期不验收的，乙方可视同验收合格。验收合格后由甲乙双方签署货物验收单并加盖甲方公章，甲乙双方各执一份。</w:t>
      </w:r>
    </w:p>
    <w:p w14:paraId="5EEADB80">
      <w:pPr>
        <w:snapToGrid w:val="0"/>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5、采购人委托采购代理机构组织的验收项目，其验收时间以该项目验收方案确定的验收时间为准，验收结果以该项目验收报告结论为准。在验收过程中发现乙方有违约问题，可暂缓资金结算，待违约问题解决后，方可办理资金结算事宜。</w:t>
      </w:r>
    </w:p>
    <w:p w14:paraId="5EB66952">
      <w:pPr>
        <w:snapToGrid w:val="0"/>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6、甲方对验收有异议的，在验收后5个工作日内以书面形式向乙方提出，乙方应自收到甲方书面异议后</w:t>
      </w:r>
      <w:r>
        <w:rPr>
          <w:rFonts w:hint="eastAsia" w:asciiTheme="minorEastAsia" w:hAnsiTheme="minorEastAsia" w:eastAsiaTheme="minorEastAsia"/>
          <w:szCs w:val="21"/>
          <w:highlight w:val="none"/>
          <w:u w:val="single"/>
        </w:rPr>
        <w:t xml:space="preserve">       </w:t>
      </w:r>
      <w:r>
        <w:rPr>
          <w:rFonts w:hint="eastAsia" w:asciiTheme="minorEastAsia" w:hAnsiTheme="minorEastAsia" w:eastAsiaTheme="minorEastAsia"/>
          <w:szCs w:val="21"/>
          <w:highlight w:val="none"/>
        </w:rPr>
        <w:t>日内及时予以解决。</w:t>
      </w:r>
    </w:p>
    <w:p w14:paraId="0BA0E258">
      <w:pPr>
        <w:snapToGrid w:val="0"/>
        <w:spacing w:line="360" w:lineRule="auto"/>
        <w:ind w:firstLine="422" w:firstLineChars="200"/>
        <w:rPr>
          <w:rFonts w:asciiTheme="minorEastAsia" w:hAnsiTheme="minorEastAsia" w:eastAsiaTheme="minorEastAsia"/>
          <w:b/>
          <w:szCs w:val="21"/>
          <w:highlight w:val="none"/>
        </w:rPr>
      </w:pPr>
      <w:r>
        <w:rPr>
          <w:rFonts w:hint="eastAsia" w:asciiTheme="minorEastAsia" w:hAnsiTheme="minorEastAsia" w:eastAsiaTheme="minorEastAsia"/>
          <w:b/>
          <w:szCs w:val="21"/>
          <w:highlight w:val="none"/>
        </w:rPr>
        <w:t>第六条　安装和培训</w:t>
      </w:r>
    </w:p>
    <w:p w14:paraId="59B3D2CB">
      <w:pPr>
        <w:snapToGrid w:val="0"/>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1、甲方应提供必要安装条件（如场地、电源、水源等）。</w:t>
      </w:r>
    </w:p>
    <w:p w14:paraId="4ED7A36D">
      <w:pPr>
        <w:snapToGrid w:val="0"/>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2、乙方负责甲方有关人员的培训。培训时间、地点：</w:t>
      </w:r>
      <w:r>
        <w:rPr>
          <w:rFonts w:hint="eastAsia" w:asciiTheme="minorEastAsia" w:hAnsiTheme="minorEastAsia" w:eastAsiaTheme="minorEastAsia"/>
          <w:szCs w:val="21"/>
          <w:highlight w:val="none"/>
          <w:u w:val="single"/>
        </w:rPr>
        <w:t xml:space="preserve">            </w:t>
      </w:r>
      <w:r>
        <w:rPr>
          <w:rFonts w:hint="eastAsia" w:asciiTheme="minorEastAsia" w:hAnsiTheme="minorEastAsia" w:eastAsiaTheme="minorEastAsia"/>
          <w:szCs w:val="21"/>
          <w:highlight w:val="none"/>
        </w:rPr>
        <w:t>。</w:t>
      </w:r>
    </w:p>
    <w:p w14:paraId="17FD4928">
      <w:pPr>
        <w:snapToGrid w:val="0"/>
        <w:spacing w:line="360" w:lineRule="auto"/>
        <w:ind w:firstLine="422" w:firstLineChars="200"/>
        <w:rPr>
          <w:rFonts w:asciiTheme="minorEastAsia" w:hAnsiTheme="minorEastAsia" w:eastAsiaTheme="minorEastAsia"/>
          <w:b/>
          <w:szCs w:val="21"/>
          <w:highlight w:val="none"/>
        </w:rPr>
      </w:pPr>
      <w:r>
        <w:rPr>
          <w:rFonts w:hint="eastAsia" w:asciiTheme="minorEastAsia" w:hAnsiTheme="minorEastAsia" w:eastAsiaTheme="minorEastAsia"/>
          <w:b/>
          <w:szCs w:val="21"/>
          <w:highlight w:val="none"/>
        </w:rPr>
        <w:t>第七条  售后服务、保修期</w:t>
      </w:r>
    </w:p>
    <w:p w14:paraId="13AB814A">
      <w:pPr>
        <w:snapToGrid w:val="0"/>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1、乙方应按照国家有关法律法规和“三包”规定以及本合同所附的《售后服务承诺》，为甲方提供售后服务。</w:t>
      </w:r>
    </w:p>
    <w:p w14:paraId="73E4E509">
      <w:pPr>
        <w:snapToGrid w:val="0"/>
        <w:spacing w:line="360" w:lineRule="auto"/>
        <w:ind w:firstLine="420" w:firstLineChars="200"/>
        <w:rPr>
          <w:rFonts w:asciiTheme="minorEastAsia" w:hAnsiTheme="minorEastAsia" w:eastAsiaTheme="minorEastAsia"/>
          <w:szCs w:val="21"/>
          <w:highlight w:val="none"/>
          <w:u w:val="single"/>
        </w:rPr>
      </w:pPr>
      <w:r>
        <w:rPr>
          <w:rFonts w:hint="eastAsia" w:asciiTheme="minorEastAsia" w:hAnsiTheme="minorEastAsia" w:eastAsiaTheme="minorEastAsia"/>
          <w:szCs w:val="21"/>
          <w:highlight w:val="none"/>
        </w:rPr>
        <w:t>2、货物保修期：</w:t>
      </w:r>
      <w:r>
        <w:rPr>
          <w:rFonts w:hint="eastAsia" w:asciiTheme="minorEastAsia" w:hAnsiTheme="minorEastAsia" w:eastAsiaTheme="minorEastAsia"/>
          <w:szCs w:val="21"/>
          <w:highlight w:val="none"/>
          <w:u w:val="single"/>
        </w:rPr>
        <w:t xml:space="preserve">            </w:t>
      </w:r>
      <w:r>
        <w:rPr>
          <w:rFonts w:hint="eastAsia" w:asciiTheme="minorEastAsia" w:hAnsiTheme="minorEastAsia" w:eastAsiaTheme="minorEastAsia"/>
          <w:szCs w:val="21"/>
          <w:highlight w:val="none"/>
        </w:rPr>
        <w:t>。</w:t>
      </w:r>
    </w:p>
    <w:p w14:paraId="62805327">
      <w:pPr>
        <w:snapToGrid w:val="0"/>
        <w:spacing w:line="360" w:lineRule="auto"/>
        <w:ind w:firstLine="420" w:firstLineChars="200"/>
        <w:rPr>
          <w:rFonts w:asciiTheme="minorEastAsia" w:hAnsiTheme="minorEastAsia" w:eastAsiaTheme="minorEastAsia"/>
          <w:szCs w:val="21"/>
          <w:highlight w:val="none"/>
          <w:u w:val="single"/>
        </w:rPr>
      </w:pPr>
      <w:r>
        <w:rPr>
          <w:rFonts w:hint="eastAsia" w:asciiTheme="minorEastAsia" w:hAnsiTheme="minorEastAsia" w:eastAsiaTheme="minorEastAsia"/>
          <w:szCs w:val="21"/>
          <w:highlight w:val="none"/>
        </w:rPr>
        <w:t>3、乙方提供的服务承诺和售后服务及保修期责任等其它具体约定事项。（见合同附件）。</w:t>
      </w:r>
    </w:p>
    <w:p w14:paraId="1C506B07">
      <w:pPr>
        <w:snapToGrid w:val="0"/>
        <w:spacing w:line="360" w:lineRule="auto"/>
        <w:ind w:firstLine="422" w:firstLineChars="200"/>
        <w:rPr>
          <w:rFonts w:asciiTheme="minorEastAsia" w:hAnsiTheme="minorEastAsia" w:eastAsiaTheme="minorEastAsia"/>
          <w:szCs w:val="21"/>
          <w:highlight w:val="none"/>
        </w:rPr>
      </w:pPr>
      <w:r>
        <w:rPr>
          <w:rFonts w:hint="eastAsia" w:asciiTheme="minorEastAsia" w:hAnsiTheme="minorEastAsia" w:eastAsiaTheme="minorEastAsia"/>
          <w:b/>
          <w:szCs w:val="21"/>
          <w:highlight w:val="none"/>
        </w:rPr>
        <w:t>第八条　付款方式和保证金</w:t>
      </w:r>
    </w:p>
    <w:p w14:paraId="2144DDFB">
      <w:pPr>
        <w:snapToGrid w:val="0"/>
        <w:spacing w:line="360" w:lineRule="auto"/>
        <w:ind w:left="-61" w:leftChars="-29" w:firstLine="514" w:firstLineChars="245"/>
        <w:rPr>
          <w:rFonts w:asciiTheme="minorEastAsia" w:hAnsiTheme="minorEastAsia" w:eastAsiaTheme="minorEastAsia"/>
          <w:szCs w:val="21"/>
          <w:highlight w:val="none"/>
        </w:rPr>
      </w:pPr>
      <w:r>
        <w:rPr>
          <w:rFonts w:hint="eastAsia" w:asciiTheme="minorEastAsia" w:hAnsiTheme="minorEastAsia" w:eastAsiaTheme="minorEastAsia"/>
          <w:bCs/>
          <w:szCs w:val="21"/>
          <w:highlight w:val="none"/>
        </w:rPr>
        <w:t>1、</w:t>
      </w:r>
      <w:r>
        <w:rPr>
          <w:rFonts w:hint="eastAsia" w:asciiTheme="minorEastAsia" w:hAnsiTheme="minorEastAsia" w:eastAsiaTheme="minorEastAsia"/>
          <w:szCs w:val="21"/>
          <w:highlight w:val="none"/>
        </w:rPr>
        <w:t>当采购数量与实际使用数量不一致时，乙方应根据实际使用量供货，合同的最终结算金额按实际使用量乘以成交单价进行计算，</w:t>
      </w:r>
      <w:r>
        <w:rPr>
          <w:rFonts w:hint="eastAsia" w:cs="宋体" w:asciiTheme="minorEastAsia" w:hAnsiTheme="minorEastAsia" w:eastAsiaTheme="minorEastAsia"/>
          <w:szCs w:val="21"/>
          <w:highlight w:val="none"/>
        </w:rPr>
        <w:t>但不得超出合同价的10%。</w:t>
      </w:r>
    </w:p>
    <w:p w14:paraId="56B12457">
      <w:pPr>
        <w:snapToGrid w:val="0"/>
        <w:spacing w:line="360" w:lineRule="auto"/>
        <w:ind w:left="-61" w:leftChars="-29" w:firstLine="514" w:firstLineChars="245"/>
        <w:rPr>
          <w:rFonts w:asciiTheme="minorEastAsia" w:hAnsiTheme="minorEastAsia" w:eastAsiaTheme="minorEastAsia"/>
          <w:bCs/>
          <w:szCs w:val="21"/>
          <w:highlight w:val="none"/>
          <w:u w:val="single"/>
        </w:rPr>
      </w:pPr>
      <w:r>
        <w:rPr>
          <w:rFonts w:hint="eastAsia" w:asciiTheme="minorEastAsia" w:hAnsiTheme="minorEastAsia" w:eastAsiaTheme="minorEastAsia"/>
          <w:bCs/>
          <w:szCs w:val="21"/>
          <w:highlight w:val="none"/>
        </w:rPr>
        <w:t>2、资金性质：</w:t>
      </w:r>
      <w:r>
        <w:rPr>
          <w:rFonts w:hint="eastAsia" w:asciiTheme="minorEastAsia" w:hAnsiTheme="minorEastAsia" w:eastAsiaTheme="minorEastAsia"/>
          <w:bCs/>
          <w:szCs w:val="21"/>
          <w:highlight w:val="none"/>
          <w:u w:val="single"/>
        </w:rPr>
        <w:t>（财政资金）。</w:t>
      </w:r>
    </w:p>
    <w:p w14:paraId="703DCE05">
      <w:pPr>
        <w:snapToGrid w:val="0"/>
        <w:spacing w:line="360" w:lineRule="auto"/>
        <w:ind w:firstLine="476" w:firstLineChars="227"/>
        <w:rPr>
          <w:rFonts w:asciiTheme="minorEastAsia" w:hAnsiTheme="minorEastAsia" w:eastAsiaTheme="minorEastAsia"/>
          <w:szCs w:val="21"/>
          <w:highlight w:val="none"/>
        </w:rPr>
      </w:pPr>
      <w:r>
        <w:rPr>
          <w:rFonts w:hint="eastAsia" w:asciiTheme="minorEastAsia" w:hAnsiTheme="minorEastAsia" w:eastAsiaTheme="minorEastAsia"/>
          <w:bCs/>
          <w:szCs w:val="21"/>
          <w:highlight w:val="none"/>
        </w:rPr>
        <w:t>3、付款方式：</w:t>
      </w:r>
      <w:r>
        <w:rPr>
          <w:rFonts w:hint="eastAsia" w:asciiTheme="minorEastAsia" w:hAnsiTheme="minorEastAsia" w:eastAsiaTheme="minorEastAsia"/>
          <w:bCs/>
          <w:szCs w:val="21"/>
          <w:highlight w:val="none"/>
          <w:u w:val="single"/>
        </w:rPr>
        <w:t xml:space="preserve">              。</w:t>
      </w:r>
    </w:p>
    <w:p w14:paraId="3689A32B">
      <w:pPr>
        <w:snapToGrid w:val="0"/>
        <w:spacing w:line="360" w:lineRule="auto"/>
        <w:ind w:left="-61" w:leftChars="-29" w:firstLine="517" w:firstLineChars="245"/>
        <w:rPr>
          <w:rFonts w:asciiTheme="minorEastAsia" w:hAnsiTheme="minorEastAsia" w:eastAsiaTheme="minorEastAsia"/>
          <w:b/>
          <w:szCs w:val="21"/>
          <w:highlight w:val="none"/>
        </w:rPr>
      </w:pPr>
      <w:r>
        <w:rPr>
          <w:rFonts w:hint="eastAsia" w:asciiTheme="minorEastAsia" w:hAnsiTheme="minorEastAsia" w:eastAsiaTheme="minorEastAsia"/>
          <w:b/>
          <w:szCs w:val="21"/>
          <w:highlight w:val="none"/>
        </w:rPr>
        <w:t>第九条　履约保证金</w:t>
      </w:r>
    </w:p>
    <w:p w14:paraId="6C930C27">
      <w:pPr>
        <w:autoSpaceDE w:val="0"/>
        <w:autoSpaceDN w:val="0"/>
        <w:snapToGrid w:val="0"/>
        <w:spacing w:line="360" w:lineRule="auto"/>
        <w:ind w:firstLine="424" w:firstLineChars="202"/>
        <w:textAlignment w:val="bottom"/>
        <w:rPr>
          <w:rFonts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履约保证金金额：每分标按成交金额的</w:t>
      </w:r>
      <w:r>
        <w:rPr>
          <w:rFonts w:hint="eastAsia" w:cs="宋体" w:asciiTheme="minorEastAsia" w:hAnsiTheme="minorEastAsia" w:eastAsiaTheme="minorEastAsia"/>
          <w:szCs w:val="21"/>
          <w:highlight w:val="none"/>
          <w:u w:val="single"/>
        </w:rPr>
        <w:t xml:space="preserve">   %</w:t>
      </w:r>
      <w:r>
        <w:rPr>
          <w:rFonts w:hint="eastAsia" w:cs="宋体" w:asciiTheme="minorEastAsia" w:hAnsiTheme="minorEastAsia" w:eastAsiaTheme="minorEastAsia"/>
          <w:szCs w:val="21"/>
          <w:highlight w:val="none"/>
        </w:rPr>
        <w:t>。</w:t>
      </w:r>
    </w:p>
    <w:p w14:paraId="0960B9D7">
      <w:pPr>
        <w:autoSpaceDE w:val="0"/>
        <w:autoSpaceDN w:val="0"/>
        <w:snapToGrid w:val="0"/>
        <w:spacing w:line="360" w:lineRule="auto"/>
        <w:ind w:firstLine="424" w:firstLineChars="202"/>
        <w:textAlignment w:val="bottom"/>
        <w:rPr>
          <w:rFonts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履约保证金递交方式：支票、汇票、本票或者金融、担保机构出具的保函等非现金方式（参照竞标保证金）。</w:t>
      </w:r>
    </w:p>
    <w:p w14:paraId="1F980E54">
      <w:pPr>
        <w:autoSpaceDE w:val="0"/>
        <w:autoSpaceDN w:val="0"/>
        <w:snapToGrid w:val="0"/>
        <w:spacing w:line="360" w:lineRule="auto"/>
        <w:ind w:firstLine="424" w:firstLineChars="202"/>
        <w:textAlignment w:val="bottom"/>
        <w:rPr>
          <w:rFonts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履约保证金退付方式、时间及条件：由成交供应商向履约保证金收取单位提供《广西壮族自治区政府采购项目合同验收书》（详见桂财采〔2015〕22号），保证金收取单位在收到合格材料后5个工作日内办理退还手续（不计利息）。</w:t>
      </w:r>
    </w:p>
    <w:p w14:paraId="7C2F30CC">
      <w:pPr>
        <w:autoSpaceDE w:val="0"/>
        <w:autoSpaceDN w:val="0"/>
        <w:snapToGrid w:val="0"/>
        <w:spacing w:line="360" w:lineRule="auto"/>
        <w:ind w:firstLine="424" w:firstLineChars="202"/>
        <w:textAlignment w:val="bottom"/>
        <w:rPr>
          <w:rFonts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签订合同后，如成交供应商不按双方签订的合同规定履约，则没收其全部履约保证金，履约保证金不足以赔偿损失的，按实际损失赔偿。</w:t>
      </w:r>
    </w:p>
    <w:p w14:paraId="17EE42E2">
      <w:pPr>
        <w:snapToGrid w:val="0"/>
        <w:spacing w:line="360" w:lineRule="auto"/>
        <w:ind w:firstLine="422" w:firstLineChars="200"/>
        <w:rPr>
          <w:rFonts w:asciiTheme="minorEastAsia" w:hAnsiTheme="minorEastAsia" w:eastAsiaTheme="minorEastAsia"/>
          <w:b/>
          <w:szCs w:val="21"/>
          <w:highlight w:val="none"/>
        </w:rPr>
      </w:pPr>
      <w:r>
        <w:rPr>
          <w:rFonts w:hint="eastAsia" w:asciiTheme="minorEastAsia" w:hAnsiTheme="minorEastAsia" w:eastAsiaTheme="minorEastAsia"/>
          <w:b/>
          <w:szCs w:val="21"/>
          <w:highlight w:val="none"/>
        </w:rPr>
        <w:t>第十条、税费</w:t>
      </w:r>
    </w:p>
    <w:p w14:paraId="3FE23DE0">
      <w:pPr>
        <w:snapToGrid w:val="0"/>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本合同执行中相关的一切税费均由乙方负担，合同另有约定的除外。</w:t>
      </w:r>
    </w:p>
    <w:p w14:paraId="01D2911E">
      <w:pPr>
        <w:snapToGrid w:val="0"/>
        <w:spacing w:line="360" w:lineRule="auto"/>
        <w:ind w:firstLine="422" w:firstLineChars="200"/>
        <w:rPr>
          <w:rFonts w:asciiTheme="minorEastAsia" w:hAnsiTheme="minorEastAsia" w:eastAsiaTheme="minorEastAsia"/>
          <w:b/>
          <w:szCs w:val="21"/>
          <w:highlight w:val="none"/>
        </w:rPr>
      </w:pPr>
      <w:r>
        <w:rPr>
          <w:rFonts w:hint="eastAsia" w:asciiTheme="minorEastAsia" w:hAnsiTheme="minorEastAsia" w:eastAsiaTheme="minorEastAsia"/>
          <w:b/>
          <w:szCs w:val="21"/>
          <w:highlight w:val="none"/>
        </w:rPr>
        <w:t>第十一条、质量保证及售后服务</w:t>
      </w:r>
    </w:p>
    <w:p w14:paraId="4D2F7AE5">
      <w:pPr>
        <w:snapToGrid w:val="0"/>
        <w:spacing w:before="120" w:after="120" w:line="360" w:lineRule="auto"/>
        <w:ind w:firstLine="315" w:firstLineChars="15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1.乙方应按竞争性谈判文件规定的产品名称、商标品牌、生产厂家、规格型号、技术参数、质量标准向甲方提供未经使用的全新产品。不符合要求的，根据实际情况，经双方协商，可按以下办法处理：</w:t>
      </w:r>
    </w:p>
    <w:p w14:paraId="2C6C8EDB">
      <w:pPr>
        <w:snapToGrid w:val="0"/>
        <w:spacing w:before="120" w:after="120" w:line="360" w:lineRule="auto"/>
        <w:ind w:firstLine="315" w:firstLineChars="15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⑴更换：由乙方承担所发生的全部费用。</w:t>
      </w:r>
    </w:p>
    <w:p w14:paraId="19B4E4FA">
      <w:pPr>
        <w:snapToGrid w:val="0"/>
        <w:spacing w:before="120" w:after="120" w:line="360" w:lineRule="auto"/>
        <w:ind w:firstLine="315" w:firstLineChars="15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⑵贬值处理：由甲乙双方合议定价。</w:t>
      </w:r>
    </w:p>
    <w:p w14:paraId="22705D2E">
      <w:pPr>
        <w:snapToGrid w:val="0"/>
        <w:spacing w:before="120" w:after="120" w:line="360" w:lineRule="auto"/>
        <w:ind w:firstLine="315" w:firstLineChars="15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⑶退货处理：乙方应退还甲方支付的合同款，同时应承担该货物的直接费用（运输、保险、检验、货款利息及银行手续费等）。</w:t>
      </w:r>
    </w:p>
    <w:p w14:paraId="019F09EA">
      <w:pPr>
        <w:snapToGrid w:val="0"/>
        <w:spacing w:before="120" w:after="120" w:line="360" w:lineRule="auto"/>
        <w:ind w:firstLine="420" w:firstLineChars="200"/>
        <w:rPr>
          <w:rFonts w:cs="宋体" w:asciiTheme="minorEastAsia" w:hAnsiTheme="minorEastAsia" w:eastAsiaTheme="minorEastAsia"/>
          <w:szCs w:val="21"/>
          <w:highlight w:val="none"/>
        </w:rPr>
      </w:pPr>
      <w:r>
        <w:rPr>
          <w:rFonts w:hint="eastAsia" w:asciiTheme="minorEastAsia" w:hAnsiTheme="minorEastAsia" w:eastAsiaTheme="minorEastAsia"/>
          <w:szCs w:val="21"/>
          <w:highlight w:val="none"/>
        </w:rPr>
        <w:t>2、</w:t>
      </w:r>
      <w:r>
        <w:rPr>
          <w:rFonts w:hint="eastAsia" w:cs="宋体" w:asciiTheme="minorEastAsia" w:hAnsiTheme="minorEastAsia" w:eastAsiaTheme="minorEastAsia"/>
          <w:szCs w:val="21"/>
          <w:highlight w:val="none"/>
        </w:rPr>
        <w:t>如在使用过程中发生质量问题，乙方在接到甲方通知后到达甲方现场处理的时间（</w:t>
      </w:r>
      <w:r>
        <w:rPr>
          <w:rFonts w:hint="eastAsia" w:cs="宋体" w:asciiTheme="minorEastAsia" w:hAnsiTheme="minorEastAsia" w:eastAsiaTheme="minorEastAsia"/>
          <w:szCs w:val="21"/>
          <w:highlight w:val="none"/>
          <w:u w:val="single"/>
        </w:rPr>
        <w:t>按响应文件承诺的数据填写</w:t>
      </w:r>
      <w:r>
        <w:rPr>
          <w:rFonts w:hint="eastAsia" w:cs="宋体" w:asciiTheme="minorEastAsia" w:hAnsiTheme="minorEastAsia" w:eastAsiaTheme="minorEastAsia"/>
          <w:szCs w:val="21"/>
          <w:highlight w:val="none"/>
        </w:rPr>
        <w:t>）小时内。</w:t>
      </w:r>
    </w:p>
    <w:p w14:paraId="338502B5">
      <w:pPr>
        <w:snapToGrid w:val="0"/>
        <w:spacing w:before="120" w:after="120"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3、在保修期内，乙方应对货物出现的质量及安全问题负责处理解决并承担一切费用。</w:t>
      </w:r>
    </w:p>
    <w:p w14:paraId="16ADF728">
      <w:pPr>
        <w:snapToGrid w:val="0"/>
        <w:spacing w:line="360" w:lineRule="auto"/>
        <w:ind w:firstLine="420" w:firstLineChars="200"/>
        <w:rPr>
          <w:rFonts w:cs="宋体" w:asciiTheme="minorEastAsia" w:hAnsiTheme="minorEastAsia" w:eastAsiaTheme="minorEastAsia"/>
          <w:szCs w:val="21"/>
          <w:highlight w:val="none"/>
        </w:rPr>
      </w:pPr>
      <w:r>
        <w:rPr>
          <w:rFonts w:hint="eastAsia" w:asciiTheme="minorEastAsia" w:hAnsiTheme="minorEastAsia" w:eastAsiaTheme="minorEastAsia"/>
          <w:szCs w:val="21"/>
          <w:highlight w:val="none"/>
        </w:rPr>
        <w:t>4、上述的货物保修期为</w:t>
      </w:r>
      <w:r>
        <w:rPr>
          <w:rFonts w:hint="eastAsia" w:asciiTheme="minorEastAsia" w:hAnsiTheme="minorEastAsia" w:eastAsiaTheme="minorEastAsia"/>
          <w:szCs w:val="21"/>
          <w:highlight w:val="none"/>
          <w:u w:val="single"/>
        </w:rPr>
        <w:t xml:space="preserve">    </w:t>
      </w:r>
      <w:r>
        <w:rPr>
          <w:rFonts w:hint="eastAsia" w:asciiTheme="minorEastAsia" w:hAnsiTheme="minorEastAsia" w:eastAsiaTheme="minorEastAsia"/>
          <w:szCs w:val="21"/>
          <w:highlight w:val="none"/>
        </w:rPr>
        <w:t>年，因人为因素出现的问题不在免费保修期范围内。</w:t>
      </w:r>
      <w:r>
        <w:rPr>
          <w:rFonts w:hint="eastAsia" w:cs="宋体" w:asciiTheme="minorEastAsia" w:hAnsiTheme="minorEastAsia" w:eastAsiaTheme="minorEastAsia"/>
          <w:szCs w:val="21"/>
          <w:highlight w:val="none"/>
        </w:rPr>
        <w:t>超过保修期的产品，终生维修，维修时只收部件成本费。</w:t>
      </w:r>
    </w:p>
    <w:p w14:paraId="3538FB97">
      <w:pPr>
        <w:snapToGrid w:val="0"/>
        <w:spacing w:line="360" w:lineRule="auto"/>
        <w:ind w:left="-61" w:firstLine="514"/>
        <w:rPr>
          <w:rFonts w:cs="宋体" w:asciiTheme="minorEastAsia" w:hAnsiTheme="minorEastAsia" w:eastAsiaTheme="minorEastAsia"/>
          <w:szCs w:val="21"/>
          <w:highlight w:val="none"/>
        </w:rPr>
      </w:pPr>
      <w:r>
        <w:rPr>
          <w:rFonts w:hint="eastAsia" w:asciiTheme="minorEastAsia" w:hAnsiTheme="minorEastAsia" w:eastAsiaTheme="minorEastAsia"/>
          <w:b/>
          <w:szCs w:val="21"/>
          <w:highlight w:val="none"/>
        </w:rPr>
        <w:t>第十二条、调试和验收</w:t>
      </w:r>
      <w:r>
        <w:rPr>
          <w:rFonts w:hint="eastAsia" w:cs="宋体" w:asciiTheme="minorEastAsia" w:hAnsiTheme="minorEastAsia" w:eastAsiaTheme="minorEastAsia"/>
          <w:b/>
          <w:szCs w:val="21"/>
          <w:highlight w:val="none"/>
        </w:rPr>
        <w:t>（本条款适用于甲方自行验收，委托第三方验收的另行规定）</w:t>
      </w:r>
    </w:p>
    <w:p w14:paraId="3570C1BC">
      <w:pPr>
        <w:snapToGrid w:val="0"/>
        <w:spacing w:line="360" w:lineRule="auto"/>
        <w:ind w:firstLine="420" w:firstLineChars="200"/>
        <w:jc w:val="left"/>
        <w:rPr>
          <w:rFonts w:cs="宋体" w:asciiTheme="minorEastAsia" w:hAnsiTheme="minorEastAsia" w:eastAsiaTheme="minorEastAsia"/>
          <w:kern w:val="0"/>
          <w:szCs w:val="21"/>
          <w:highlight w:val="none"/>
        </w:rPr>
      </w:pPr>
      <w:r>
        <w:rPr>
          <w:rFonts w:hint="eastAsia" w:cs="宋体" w:asciiTheme="minorEastAsia" w:hAnsiTheme="minorEastAsia" w:eastAsiaTheme="minorEastAsia"/>
          <w:kern w:val="0"/>
          <w:szCs w:val="21"/>
          <w:highlight w:val="none"/>
        </w:rPr>
        <w:t>1.甲方对乙方提交的货物依据竞争性谈判文件上的技术规格要求和国家有关质量标准进行现场初步验收，外观、说明书符合竞争性谈判文件技术要求的，给予签收，初步验收不合格的不予签收。货到后，甲方应当在到货（安装、调试完）后七个工作日内进行验收。</w:t>
      </w:r>
    </w:p>
    <w:p w14:paraId="6CC3CACD">
      <w:pPr>
        <w:snapToGrid w:val="0"/>
        <w:spacing w:before="120" w:after="120"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2、乙方交货前应对产品作出全面检查和对验收文件进行整理，并列出清单，作为甲方验收和使用的技术条件依据，检验的结果应随货物交甲方。</w:t>
      </w:r>
    </w:p>
    <w:p w14:paraId="6CD0E6A0">
      <w:pPr>
        <w:snapToGrid w:val="0"/>
        <w:spacing w:line="360" w:lineRule="auto"/>
        <w:ind w:firstLine="420" w:firstLineChars="200"/>
        <w:rPr>
          <w:rFonts w:cs="宋体" w:asciiTheme="minorEastAsia" w:hAnsiTheme="minorEastAsia" w:eastAsiaTheme="minorEastAsia"/>
          <w:kern w:val="0"/>
          <w:szCs w:val="21"/>
          <w:highlight w:val="none"/>
        </w:rPr>
      </w:pPr>
      <w:r>
        <w:rPr>
          <w:rFonts w:hint="eastAsia" w:asciiTheme="minorEastAsia" w:hAnsiTheme="minorEastAsia" w:eastAsiaTheme="minorEastAsia"/>
          <w:szCs w:val="21"/>
          <w:highlight w:val="none"/>
        </w:rPr>
        <w:t>3、</w:t>
      </w:r>
      <w:r>
        <w:rPr>
          <w:rFonts w:hint="eastAsia" w:cs="宋体" w:asciiTheme="minorEastAsia" w:hAnsiTheme="minorEastAsia" w:eastAsiaTheme="minorEastAsia"/>
          <w:kern w:val="0"/>
          <w:szCs w:val="21"/>
          <w:highlight w:val="none"/>
        </w:rPr>
        <w:t>甲方对乙方提供的货物在使用前进行调试时，乙方需负责安装并培训甲方的使用操作人员，并协助甲方一起调试，直到符合技术要求，甲方才做最终验收。</w:t>
      </w:r>
    </w:p>
    <w:p w14:paraId="285A8CD6">
      <w:pPr>
        <w:snapToGrid w:val="0"/>
        <w:spacing w:before="120" w:after="120"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4、为确保采购慰问品质量，甲方收到乙方所有货物后，有权将随机抽样交由第三方质检部门进行检测，检测合格后予以验收。如乙方的产品检测结果与响应文件的承诺的技术参数不相符，甲方有权拒绝验收，并全部退货，由此造成的一切后果均由乙方自行承担。（本次送检所产生的费用全部由成交供应商承担）</w:t>
      </w:r>
    </w:p>
    <w:p w14:paraId="2A2B6947">
      <w:pPr>
        <w:snapToGrid w:val="0"/>
        <w:spacing w:before="120" w:after="120"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5、验收时乙方必须在现场，验收完毕后作出验收结果报告；验收费用由乙方负责。</w:t>
      </w:r>
    </w:p>
    <w:p w14:paraId="39D745AC">
      <w:pPr>
        <w:snapToGrid w:val="0"/>
        <w:spacing w:before="120" w:after="120" w:line="360" w:lineRule="auto"/>
        <w:ind w:firstLine="413" w:firstLineChars="196"/>
        <w:rPr>
          <w:rFonts w:asciiTheme="minorEastAsia" w:hAnsiTheme="minorEastAsia" w:eastAsiaTheme="minorEastAsia"/>
          <w:b/>
          <w:szCs w:val="21"/>
          <w:highlight w:val="none"/>
        </w:rPr>
      </w:pPr>
      <w:r>
        <w:rPr>
          <w:rFonts w:hint="eastAsia" w:asciiTheme="minorEastAsia" w:hAnsiTheme="minorEastAsia" w:eastAsiaTheme="minorEastAsia"/>
          <w:b/>
          <w:szCs w:val="21"/>
          <w:highlight w:val="none"/>
        </w:rPr>
        <w:t>第十三条、货物包装、发运及运输</w:t>
      </w:r>
    </w:p>
    <w:p w14:paraId="4027F398">
      <w:pPr>
        <w:snapToGrid w:val="0"/>
        <w:spacing w:before="120" w:after="120" w:line="360" w:lineRule="auto"/>
        <w:ind w:firstLine="367" w:firstLineChars="175"/>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1、乙方应在货物发运前对其进行满足运输距离、防潮、防震、防锈和防破损装卸等要求包装，以保证货物安全运达甲方指定地点。</w:t>
      </w:r>
    </w:p>
    <w:p w14:paraId="3E23E4EA">
      <w:pPr>
        <w:snapToGrid w:val="0"/>
        <w:spacing w:before="120" w:after="120" w:line="360" w:lineRule="auto"/>
        <w:ind w:firstLine="367" w:firstLineChars="175"/>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2、使用说明书（货物属于进口产品的，供货时应同时附上中文使用说明书）、质量检验证明书、随配附件和工具以及清单一并附于货物内。</w:t>
      </w:r>
    </w:p>
    <w:p w14:paraId="35055356">
      <w:pPr>
        <w:snapToGrid w:val="0"/>
        <w:spacing w:before="120" w:after="120" w:line="360" w:lineRule="auto"/>
        <w:ind w:firstLine="367" w:firstLineChars="175"/>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3、乙方在货物发运手续办理完毕后24小时内或货到甲方48小时前通知甲方，以准备接货。</w:t>
      </w:r>
    </w:p>
    <w:p w14:paraId="06DDB6CF">
      <w:pPr>
        <w:snapToGrid w:val="0"/>
        <w:spacing w:before="120" w:after="120" w:line="360" w:lineRule="auto"/>
        <w:ind w:left="420" w:left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4、货物在交付甲方前发生的风险均由乙方负责。</w:t>
      </w:r>
    </w:p>
    <w:p w14:paraId="73D878EC">
      <w:pPr>
        <w:snapToGrid w:val="0"/>
        <w:spacing w:line="360" w:lineRule="auto"/>
        <w:ind w:right="26" w:firstLine="367" w:firstLineChars="175"/>
        <w:rPr>
          <w:rFonts w:asciiTheme="minorEastAsia" w:hAnsiTheme="minorEastAsia" w:eastAsiaTheme="minorEastAsia"/>
          <w:spacing w:val="-8"/>
          <w:szCs w:val="21"/>
          <w:highlight w:val="none"/>
        </w:rPr>
      </w:pPr>
      <w:r>
        <w:rPr>
          <w:rFonts w:hint="eastAsia" w:asciiTheme="minorEastAsia" w:hAnsiTheme="minorEastAsia" w:eastAsiaTheme="minorEastAsia"/>
          <w:szCs w:val="21"/>
          <w:highlight w:val="none"/>
        </w:rPr>
        <w:t>5、货</w:t>
      </w:r>
      <w:r>
        <w:rPr>
          <w:rFonts w:hint="eastAsia" w:asciiTheme="minorEastAsia" w:hAnsiTheme="minorEastAsia" w:eastAsiaTheme="minorEastAsia"/>
          <w:spacing w:val="-8"/>
          <w:szCs w:val="21"/>
          <w:highlight w:val="none"/>
        </w:rPr>
        <w:t>物在规定的交付期限内由乙方送达甲方指定的地点视为交付，乙方同时需通知甲方货物已送达。</w:t>
      </w:r>
    </w:p>
    <w:p w14:paraId="2B50DD24">
      <w:pPr>
        <w:snapToGrid w:val="0"/>
        <w:spacing w:line="360" w:lineRule="auto"/>
        <w:ind w:firstLine="422" w:firstLineChars="200"/>
        <w:rPr>
          <w:rFonts w:asciiTheme="minorEastAsia" w:hAnsiTheme="minorEastAsia" w:eastAsiaTheme="minorEastAsia"/>
          <w:b/>
          <w:szCs w:val="21"/>
          <w:highlight w:val="none"/>
        </w:rPr>
      </w:pPr>
      <w:r>
        <w:rPr>
          <w:rFonts w:hint="eastAsia" w:asciiTheme="minorEastAsia" w:hAnsiTheme="minorEastAsia" w:eastAsiaTheme="minorEastAsia"/>
          <w:b/>
          <w:szCs w:val="21"/>
          <w:highlight w:val="none"/>
        </w:rPr>
        <w:t>第十四条　违约责任</w:t>
      </w:r>
    </w:p>
    <w:p w14:paraId="1FF9D19A">
      <w:pPr>
        <w:snapToGrid w:val="0"/>
        <w:spacing w:line="360" w:lineRule="auto"/>
        <w:ind w:firstLine="525" w:firstLineChars="250"/>
        <w:rPr>
          <w:rFonts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 xml:space="preserve">1、乙方所提供的产品名称、商标品牌、生产厂家、规格型号、技术参数等质量不合格的，应及时更换，更换不及时的按逾期交货处罚；因质量问题甲方不同意接收的或者特殊情况甲方同意接收的，乙方应向甲方支付违约货款额 </w:t>
      </w:r>
      <w:r>
        <w:rPr>
          <w:rFonts w:hint="eastAsia" w:asciiTheme="minorEastAsia" w:hAnsiTheme="minorEastAsia" w:eastAsiaTheme="minorEastAsia"/>
          <w:szCs w:val="21"/>
          <w:highlight w:val="none"/>
          <w:u w:val="single"/>
        </w:rPr>
        <w:t xml:space="preserve">     </w:t>
      </w:r>
      <w:r>
        <w:rPr>
          <w:rFonts w:hint="eastAsia" w:cs="宋体" w:asciiTheme="minorEastAsia" w:hAnsiTheme="minorEastAsia" w:eastAsiaTheme="minorEastAsia"/>
          <w:szCs w:val="21"/>
          <w:highlight w:val="none"/>
        </w:rPr>
        <w:t xml:space="preserve">%违约金并赔偿甲方经济损失。      </w:t>
      </w:r>
    </w:p>
    <w:p w14:paraId="35ABC50A">
      <w:pPr>
        <w:snapToGrid w:val="0"/>
        <w:spacing w:line="360" w:lineRule="auto"/>
        <w:ind w:firstLine="472" w:firstLineChars="225"/>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2、乙方提供的货物如侵犯了第三方合法权益而引发的任何纠纷或诉讼，均由乙方负责交涉并承担全部责任。</w:t>
      </w:r>
    </w:p>
    <w:p w14:paraId="46457B4A">
      <w:pPr>
        <w:snapToGrid w:val="0"/>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3、因包装、运输引起的货物损坏，按质量不合格处罚。</w:t>
      </w:r>
    </w:p>
    <w:p w14:paraId="7483D4DA">
      <w:pPr>
        <w:snapToGrid w:val="0"/>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4、甲方无故延期接收货物、乙方逾期交货的，每天向对方偿付违约货款额</w:t>
      </w:r>
      <w:r>
        <w:rPr>
          <w:rFonts w:hint="eastAsia" w:asciiTheme="minorEastAsia" w:hAnsiTheme="minorEastAsia" w:eastAsiaTheme="minorEastAsia"/>
          <w:szCs w:val="21"/>
          <w:highlight w:val="none"/>
          <w:u w:val="single"/>
        </w:rPr>
        <w:t xml:space="preserve">     </w:t>
      </w:r>
      <w:r>
        <w:rPr>
          <w:rFonts w:hint="eastAsia" w:asciiTheme="minorEastAsia" w:hAnsiTheme="minorEastAsia" w:eastAsiaTheme="minorEastAsia"/>
          <w:szCs w:val="21"/>
          <w:highlight w:val="none"/>
        </w:rPr>
        <w:t>‰违约金，但违约金累计不得超过违约货款额</w:t>
      </w:r>
      <w:r>
        <w:rPr>
          <w:rFonts w:hint="eastAsia" w:asciiTheme="minorEastAsia" w:hAnsiTheme="minorEastAsia" w:eastAsiaTheme="minorEastAsia"/>
          <w:szCs w:val="21"/>
          <w:highlight w:val="none"/>
          <w:u w:val="single"/>
        </w:rPr>
        <w:t xml:space="preserve">     </w:t>
      </w:r>
      <w:r>
        <w:rPr>
          <w:rFonts w:hint="eastAsia" w:asciiTheme="minorEastAsia" w:hAnsiTheme="minorEastAsia" w:eastAsiaTheme="minorEastAsia"/>
          <w:szCs w:val="21"/>
          <w:highlight w:val="none"/>
        </w:rPr>
        <w:t>%，超过</w:t>
      </w:r>
      <w:r>
        <w:rPr>
          <w:rFonts w:hint="eastAsia" w:asciiTheme="minorEastAsia" w:hAnsiTheme="minorEastAsia" w:eastAsiaTheme="minorEastAsia"/>
          <w:szCs w:val="21"/>
          <w:highlight w:val="none"/>
          <w:u w:val="single"/>
        </w:rPr>
        <w:t xml:space="preserve">     </w:t>
      </w:r>
      <w:r>
        <w:rPr>
          <w:rFonts w:hint="eastAsia" w:asciiTheme="minorEastAsia" w:hAnsiTheme="minorEastAsia" w:eastAsiaTheme="minorEastAsia"/>
          <w:szCs w:val="21"/>
          <w:highlight w:val="none"/>
        </w:rPr>
        <w:t>天对方有权解除合同，违约方承担因此给对方造成经济损失；甲方延期付货款的，每天向乙方偿付延期货款额3‰滞纳金，但滞纳金累计不得超过延期货款额</w:t>
      </w:r>
      <w:r>
        <w:rPr>
          <w:rFonts w:hint="eastAsia" w:asciiTheme="minorEastAsia" w:hAnsiTheme="minorEastAsia" w:eastAsiaTheme="minorEastAsia"/>
          <w:szCs w:val="21"/>
          <w:highlight w:val="none"/>
          <w:u w:val="single"/>
        </w:rPr>
        <w:t xml:space="preserve">     </w:t>
      </w:r>
      <w:r>
        <w:rPr>
          <w:rFonts w:hint="eastAsia" w:asciiTheme="minorEastAsia" w:hAnsiTheme="minorEastAsia" w:eastAsiaTheme="minorEastAsia"/>
          <w:szCs w:val="21"/>
          <w:highlight w:val="none"/>
        </w:rPr>
        <w:t>%。</w:t>
      </w:r>
      <w:r>
        <w:rPr>
          <w:rFonts w:hint="eastAsia" w:cs="宋体" w:asciiTheme="minorEastAsia" w:hAnsiTheme="minorEastAsia" w:eastAsiaTheme="minorEastAsia"/>
          <w:kern w:val="0"/>
          <w:szCs w:val="21"/>
          <w:highlight w:val="none"/>
        </w:rPr>
        <w:t>甲方无故延期退付履约保证金的，每天向对方偿付未退付履约保证金</w:t>
      </w:r>
      <w:r>
        <w:rPr>
          <w:rFonts w:hint="eastAsia" w:asciiTheme="minorEastAsia" w:hAnsiTheme="minorEastAsia" w:eastAsiaTheme="minorEastAsia"/>
          <w:szCs w:val="21"/>
          <w:highlight w:val="none"/>
          <w:u w:val="single"/>
        </w:rPr>
        <w:t xml:space="preserve">     </w:t>
      </w:r>
      <w:r>
        <w:rPr>
          <w:rFonts w:hint="eastAsia" w:cs="宋体" w:asciiTheme="minorEastAsia" w:hAnsiTheme="minorEastAsia" w:eastAsiaTheme="minorEastAsia"/>
          <w:kern w:val="0"/>
          <w:szCs w:val="21"/>
          <w:highlight w:val="none"/>
        </w:rPr>
        <w:t>‰的违约金。</w:t>
      </w:r>
    </w:p>
    <w:p w14:paraId="78CA9468">
      <w:pPr>
        <w:snapToGrid w:val="0"/>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5、乙方未按本合同和竞标文件中规定的服务承诺提供售后服务的，乙方应按本合同合计金额 5%向甲方支付违约金。</w:t>
      </w:r>
    </w:p>
    <w:p w14:paraId="3DA44D0B">
      <w:pPr>
        <w:snapToGrid w:val="0"/>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6、乙方提供的货物在质量保证期内，因设计、工艺或材料的缺陷和其它质量原因造成的问题，由乙方负责，费用从质量保证金中扣除，不足另补。</w:t>
      </w:r>
    </w:p>
    <w:p w14:paraId="61D0D138">
      <w:pPr>
        <w:snapToGrid w:val="0"/>
        <w:spacing w:line="360" w:lineRule="auto"/>
        <w:rPr>
          <w:rFonts w:cs="宋体" w:asciiTheme="minorEastAsia" w:hAnsiTheme="minorEastAsia" w:eastAsiaTheme="minorEastAsia"/>
          <w:kern w:val="0"/>
          <w:szCs w:val="21"/>
          <w:highlight w:val="none"/>
        </w:rPr>
      </w:pPr>
      <w:r>
        <w:rPr>
          <w:rFonts w:hint="eastAsia" w:asciiTheme="minorEastAsia" w:hAnsiTheme="minorEastAsia" w:eastAsiaTheme="minorEastAsia"/>
          <w:szCs w:val="21"/>
          <w:highlight w:val="none"/>
        </w:rPr>
        <w:t xml:space="preserve">    7、</w:t>
      </w:r>
      <w:r>
        <w:rPr>
          <w:rFonts w:hint="eastAsia" w:cs="宋体" w:asciiTheme="minorEastAsia" w:hAnsiTheme="minorEastAsia" w:eastAsiaTheme="minorEastAsia"/>
          <w:kern w:val="0"/>
          <w:szCs w:val="21"/>
          <w:highlight w:val="none"/>
        </w:rPr>
        <w:t>甲乙双方有其它违约行为的，由违约方向对方支付违约内容涉及货款额的5%，违约内容涉及货款额的5%不足以赔偿经济损失的按实际赔偿。</w:t>
      </w:r>
    </w:p>
    <w:p w14:paraId="3F00C4F2">
      <w:pPr>
        <w:snapToGrid w:val="0"/>
        <w:spacing w:line="360" w:lineRule="auto"/>
        <w:ind w:firstLine="422" w:firstLineChars="200"/>
        <w:rPr>
          <w:rFonts w:asciiTheme="minorEastAsia" w:hAnsiTheme="minorEastAsia" w:eastAsiaTheme="minorEastAsia"/>
          <w:b/>
          <w:szCs w:val="21"/>
          <w:highlight w:val="none"/>
        </w:rPr>
      </w:pPr>
      <w:r>
        <w:rPr>
          <w:rFonts w:hint="eastAsia" w:asciiTheme="minorEastAsia" w:hAnsiTheme="minorEastAsia" w:eastAsiaTheme="minorEastAsia"/>
          <w:b/>
          <w:szCs w:val="21"/>
          <w:highlight w:val="none"/>
        </w:rPr>
        <w:t>第十五条、不可抗力事件处理</w:t>
      </w:r>
    </w:p>
    <w:p w14:paraId="31DACA77">
      <w:pPr>
        <w:snapToGrid w:val="0"/>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1、在合同有效期内，任何一方因不可抗力事件导致不能履行合同，则合同履行期可延长，其延长期与不可抗力影响期相同。</w:t>
      </w:r>
    </w:p>
    <w:p w14:paraId="1C035DD1">
      <w:pPr>
        <w:snapToGrid w:val="0"/>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2、不可抗力事件发生后，应立即通知对方，并寄送有关权威机构出具的证明。</w:t>
      </w:r>
    </w:p>
    <w:p w14:paraId="0077BA4D">
      <w:pPr>
        <w:snapToGrid w:val="0"/>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3、不可抗力事件延续120天以上，双方应通过友好协商，确定是否继续履行合同。</w:t>
      </w:r>
    </w:p>
    <w:p w14:paraId="307314C0">
      <w:pPr>
        <w:snapToGrid w:val="0"/>
        <w:spacing w:line="360" w:lineRule="auto"/>
        <w:ind w:firstLine="422" w:firstLineChars="200"/>
        <w:rPr>
          <w:rFonts w:asciiTheme="minorEastAsia" w:hAnsiTheme="minorEastAsia" w:eastAsiaTheme="minorEastAsia"/>
          <w:szCs w:val="21"/>
          <w:highlight w:val="none"/>
        </w:rPr>
      </w:pPr>
      <w:r>
        <w:rPr>
          <w:rFonts w:hint="eastAsia" w:asciiTheme="minorEastAsia" w:hAnsiTheme="minorEastAsia" w:eastAsiaTheme="minorEastAsia"/>
          <w:b/>
          <w:szCs w:val="21"/>
          <w:highlight w:val="none"/>
        </w:rPr>
        <w:t>第十六条  合同争议解决</w:t>
      </w:r>
    </w:p>
    <w:p w14:paraId="6CD15314">
      <w:pPr>
        <w:snapToGrid w:val="0"/>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1、因货物质量问题发生争议的，应邀请国家认可的质量检测机构对货物质量进行鉴定。货物符合标准的，鉴定费由甲方承担；货物不符合标准的，鉴定费由乙方承担。</w:t>
      </w:r>
    </w:p>
    <w:p w14:paraId="427AAAC3">
      <w:pPr>
        <w:snapToGrid w:val="0"/>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2、因履行本合同引起的或与本合同有关的争议，甲乙双方应首先通过友好协商解决，如果协商不能解决，可向仲裁委员会申请仲裁或向人民法院提起诉讼。</w:t>
      </w:r>
    </w:p>
    <w:p w14:paraId="1EBCFDF3">
      <w:pPr>
        <w:snapToGrid w:val="0"/>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3、诉讼期间，本合同继续履行。</w:t>
      </w:r>
    </w:p>
    <w:p w14:paraId="2B5684C6">
      <w:pPr>
        <w:snapToGrid w:val="0"/>
        <w:spacing w:before="120" w:after="120" w:line="360" w:lineRule="auto"/>
        <w:ind w:left="561" w:leftChars="267"/>
        <w:rPr>
          <w:rFonts w:asciiTheme="minorEastAsia" w:hAnsiTheme="minorEastAsia" w:eastAsiaTheme="minorEastAsia"/>
          <w:b/>
          <w:szCs w:val="21"/>
          <w:highlight w:val="none"/>
        </w:rPr>
      </w:pPr>
      <w:r>
        <w:rPr>
          <w:rFonts w:hint="eastAsia" w:asciiTheme="minorEastAsia" w:hAnsiTheme="minorEastAsia" w:eastAsiaTheme="minorEastAsia"/>
          <w:b/>
          <w:szCs w:val="21"/>
          <w:highlight w:val="none"/>
        </w:rPr>
        <w:t>第十七条、合同生效及其它</w:t>
      </w:r>
    </w:p>
    <w:p w14:paraId="428528AA">
      <w:pPr>
        <w:snapToGrid w:val="0"/>
        <w:spacing w:line="360" w:lineRule="auto"/>
        <w:ind w:firstLine="420" w:firstLineChars="200"/>
        <w:rPr>
          <w:rFonts w:cs="宋体" w:asciiTheme="minorEastAsia" w:hAnsiTheme="minorEastAsia" w:eastAsiaTheme="minorEastAsia"/>
          <w:kern w:val="0"/>
          <w:szCs w:val="21"/>
          <w:highlight w:val="none"/>
        </w:rPr>
      </w:pPr>
      <w:r>
        <w:rPr>
          <w:rFonts w:hint="eastAsia" w:asciiTheme="minorEastAsia" w:hAnsiTheme="minorEastAsia" w:eastAsiaTheme="minorEastAsia"/>
          <w:szCs w:val="21"/>
          <w:highlight w:val="none"/>
        </w:rPr>
        <w:t>1、合同经双方法定代表人（负责人）或授权代表签字并加盖单位公章后生效</w:t>
      </w:r>
      <w:r>
        <w:rPr>
          <w:rFonts w:hint="eastAsia" w:cs="宋体" w:asciiTheme="minorEastAsia" w:hAnsiTheme="minorEastAsia" w:eastAsiaTheme="minorEastAsia"/>
          <w:kern w:val="0"/>
          <w:szCs w:val="21"/>
          <w:highlight w:val="none"/>
        </w:rPr>
        <w:t>（委托代理人签字的需后附授权委托书，格式自拟）。</w:t>
      </w:r>
    </w:p>
    <w:p w14:paraId="6072E539">
      <w:pPr>
        <w:snapToGrid w:val="0"/>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2、合同执行中涉及采购资金和采购内容修改或补充的，须经财政部门审批，并签书面补充协议报财政部门备案，方可作为主合同不可分割的一部分。</w:t>
      </w:r>
    </w:p>
    <w:p w14:paraId="3A1748C3">
      <w:pPr>
        <w:snapToGrid w:val="0"/>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3、本合同未尽事宜，遵照《中华人民共和国民法典》有关条文执行。</w:t>
      </w:r>
    </w:p>
    <w:p w14:paraId="3E122622">
      <w:pPr>
        <w:snapToGrid w:val="0"/>
        <w:spacing w:line="360" w:lineRule="auto"/>
        <w:ind w:firstLine="422" w:firstLineChars="200"/>
        <w:rPr>
          <w:rFonts w:asciiTheme="minorEastAsia" w:hAnsiTheme="minorEastAsia" w:eastAsiaTheme="minorEastAsia"/>
          <w:b/>
          <w:szCs w:val="21"/>
          <w:highlight w:val="none"/>
        </w:rPr>
      </w:pPr>
      <w:r>
        <w:rPr>
          <w:rFonts w:hint="eastAsia" w:asciiTheme="minorEastAsia" w:hAnsiTheme="minorEastAsia" w:eastAsiaTheme="minorEastAsia"/>
          <w:b/>
          <w:szCs w:val="21"/>
          <w:highlight w:val="none"/>
        </w:rPr>
        <w:t>第十八条　合同的变更、终止与转让</w:t>
      </w:r>
    </w:p>
    <w:p w14:paraId="769FD2E6">
      <w:pPr>
        <w:snapToGrid w:val="0"/>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1、除《中华人民共和国政府采购法》第50条规定的情形外，本合同一经签订，甲乙双方不得擅自变更、中止或终止。</w:t>
      </w:r>
    </w:p>
    <w:p w14:paraId="2C99AF7B">
      <w:pPr>
        <w:snapToGrid w:val="0"/>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2、乙方不得擅自转让（无进口资格的供应商委托进口货物除外）其应履行的合同义务。</w:t>
      </w:r>
    </w:p>
    <w:p w14:paraId="02B92D00">
      <w:pPr>
        <w:snapToGrid w:val="0"/>
        <w:spacing w:line="360" w:lineRule="auto"/>
        <w:ind w:firstLine="422" w:firstLineChars="200"/>
        <w:rPr>
          <w:rFonts w:asciiTheme="minorEastAsia" w:hAnsiTheme="minorEastAsia" w:eastAsiaTheme="minorEastAsia"/>
          <w:b/>
          <w:szCs w:val="21"/>
          <w:highlight w:val="none"/>
        </w:rPr>
      </w:pPr>
      <w:r>
        <w:rPr>
          <w:rFonts w:hint="eastAsia" w:asciiTheme="minorEastAsia" w:hAnsiTheme="minorEastAsia" w:eastAsiaTheme="minorEastAsia"/>
          <w:b/>
          <w:szCs w:val="21"/>
          <w:highlight w:val="none"/>
        </w:rPr>
        <w:t>第十九条　</w:t>
      </w:r>
      <w:r>
        <w:rPr>
          <w:rFonts w:hint="eastAsia" w:cs="宋体" w:asciiTheme="minorEastAsia" w:hAnsiTheme="minorEastAsia" w:eastAsiaTheme="minorEastAsia"/>
          <w:b/>
          <w:bCs/>
          <w:kern w:val="0"/>
          <w:szCs w:val="21"/>
          <w:highlight w:val="none"/>
        </w:rPr>
        <w:t>本合同书与下列文件一起构成合同文件</w:t>
      </w:r>
    </w:p>
    <w:p w14:paraId="1BF5439D">
      <w:pPr>
        <w:snapToGrid w:val="0"/>
        <w:spacing w:line="360" w:lineRule="auto"/>
        <w:ind w:left="420" w:leftChars="200"/>
        <w:rPr>
          <w:rFonts w:cs="宋体" w:asciiTheme="minorEastAsia" w:hAnsiTheme="minorEastAsia" w:eastAsiaTheme="minorEastAsia"/>
          <w:kern w:val="0"/>
          <w:szCs w:val="21"/>
          <w:highlight w:val="none"/>
        </w:rPr>
      </w:pPr>
      <w:r>
        <w:rPr>
          <w:rFonts w:hint="eastAsia" w:cs="宋体" w:asciiTheme="minorEastAsia" w:hAnsiTheme="minorEastAsia" w:eastAsiaTheme="minorEastAsia"/>
          <w:kern w:val="0"/>
          <w:szCs w:val="21"/>
          <w:highlight w:val="none"/>
        </w:rPr>
        <w:t>1.成交通知书；</w:t>
      </w:r>
    </w:p>
    <w:p w14:paraId="03955848">
      <w:pPr>
        <w:snapToGrid w:val="0"/>
        <w:spacing w:line="360" w:lineRule="auto"/>
        <w:ind w:left="420" w:leftChars="200"/>
        <w:rPr>
          <w:rFonts w:cs="宋体" w:asciiTheme="minorEastAsia" w:hAnsiTheme="minorEastAsia" w:eastAsiaTheme="minorEastAsia"/>
          <w:kern w:val="0"/>
          <w:szCs w:val="21"/>
          <w:highlight w:val="none"/>
        </w:rPr>
      </w:pPr>
      <w:r>
        <w:rPr>
          <w:rFonts w:hint="eastAsia" w:cs="宋体" w:asciiTheme="minorEastAsia" w:hAnsiTheme="minorEastAsia" w:eastAsiaTheme="minorEastAsia"/>
          <w:kern w:val="0"/>
          <w:szCs w:val="21"/>
          <w:highlight w:val="none"/>
        </w:rPr>
        <w:t>2.竞标声明书；</w:t>
      </w:r>
    </w:p>
    <w:p w14:paraId="6AEC7BE8">
      <w:pPr>
        <w:snapToGrid w:val="0"/>
        <w:spacing w:line="360" w:lineRule="auto"/>
        <w:ind w:left="420" w:leftChars="200"/>
        <w:rPr>
          <w:rFonts w:cs="宋体" w:asciiTheme="minorEastAsia" w:hAnsiTheme="minorEastAsia" w:eastAsiaTheme="minorEastAsia"/>
          <w:kern w:val="0"/>
          <w:szCs w:val="21"/>
          <w:highlight w:val="none"/>
        </w:rPr>
      </w:pPr>
      <w:r>
        <w:rPr>
          <w:rFonts w:hint="eastAsia" w:cs="宋体" w:asciiTheme="minorEastAsia" w:hAnsiTheme="minorEastAsia" w:eastAsiaTheme="minorEastAsia"/>
          <w:kern w:val="0"/>
          <w:szCs w:val="21"/>
          <w:highlight w:val="none"/>
        </w:rPr>
        <w:t>3.商务要求偏离表和技术要求偏离表；</w:t>
      </w:r>
    </w:p>
    <w:p w14:paraId="27049221">
      <w:pPr>
        <w:snapToGrid w:val="0"/>
        <w:spacing w:line="360" w:lineRule="auto"/>
        <w:ind w:left="420" w:leftChars="200"/>
        <w:rPr>
          <w:rFonts w:cs="宋体" w:asciiTheme="minorEastAsia" w:hAnsiTheme="minorEastAsia" w:eastAsiaTheme="minorEastAsia"/>
          <w:kern w:val="0"/>
          <w:szCs w:val="21"/>
          <w:highlight w:val="none"/>
        </w:rPr>
      </w:pPr>
      <w:r>
        <w:rPr>
          <w:rFonts w:hint="eastAsia" w:cs="宋体" w:asciiTheme="minorEastAsia" w:hAnsiTheme="minorEastAsia" w:eastAsiaTheme="minorEastAsia"/>
          <w:kern w:val="0"/>
          <w:szCs w:val="21"/>
          <w:highlight w:val="none"/>
        </w:rPr>
        <w:t>4.采购需求；</w:t>
      </w:r>
    </w:p>
    <w:p w14:paraId="71E015CC">
      <w:pPr>
        <w:snapToGrid w:val="0"/>
        <w:spacing w:line="360" w:lineRule="auto"/>
        <w:ind w:left="420" w:leftChars="200"/>
        <w:rPr>
          <w:rFonts w:cs="宋体" w:asciiTheme="minorEastAsia" w:hAnsiTheme="minorEastAsia" w:eastAsiaTheme="minorEastAsia"/>
          <w:kern w:val="0"/>
          <w:szCs w:val="21"/>
          <w:highlight w:val="none"/>
        </w:rPr>
      </w:pPr>
      <w:r>
        <w:rPr>
          <w:rFonts w:hint="eastAsia" w:cs="宋体" w:asciiTheme="minorEastAsia" w:hAnsiTheme="minorEastAsia" w:eastAsiaTheme="minorEastAsia"/>
          <w:kern w:val="0"/>
          <w:szCs w:val="21"/>
          <w:highlight w:val="none"/>
        </w:rPr>
        <w:t>5.竞标报价表；</w:t>
      </w:r>
    </w:p>
    <w:p w14:paraId="098A8328">
      <w:pPr>
        <w:snapToGrid w:val="0"/>
        <w:spacing w:line="360" w:lineRule="auto"/>
        <w:ind w:left="420" w:leftChars="200"/>
        <w:rPr>
          <w:rFonts w:cs="宋体" w:asciiTheme="minorEastAsia" w:hAnsiTheme="minorEastAsia" w:eastAsiaTheme="minorEastAsia"/>
          <w:kern w:val="0"/>
          <w:szCs w:val="21"/>
          <w:highlight w:val="none"/>
        </w:rPr>
      </w:pPr>
      <w:r>
        <w:rPr>
          <w:rFonts w:hint="eastAsia" w:cs="宋体" w:asciiTheme="minorEastAsia" w:hAnsiTheme="minorEastAsia" w:eastAsiaTheme="minorEastAsia"/>
          <w:kern w:val="0"/>
          <w:szCs w:val="21"/>
          <w:highlight w:val="none"/>
        </w:rPr>
        <w:t>6.其他合同文件。</w:t>
      </w:r>
    </w:p>
    <w:p w14:paraId="3798655D">
      <w:pPr>
        <w:snapToGrid w:val="0"/>
        <w:spacing w:line="360" w:lineRule="auto"/>
        <w:ind w:firstLine="371" w:firstLineChars="177"/>
        <w:rPr>
          <w:rFonts w:cs="宋体" w:asciiTheme="minorEastAsia" w:hAnsiTheme="minorEastAsia" w:eastAsiaTheme="minorEastAsia"/>
          <w:b/>
          <w:kern w:val="0"/>
          <w:szCs w:val="21"/>
          <w:highlight w:val="none"/>
        </w:rPr>
      </w:pPr>
      <w:r>
        <w:rPr>
          <w:rFonts w:hint="eastAsia" w:cs="宋体" w:asciiTheme="minorEastAsia" w:hAnsiTheme="minorEastAsia" w:eastAsiaTheme="minorEastAsia"/>
          <w:kern w:val="0"/>
          <w:szCs w:val="21"/>
          <w:highlight w:val="none"/>
        </w:rPr>
        <w:t>7.上述合同文件互相补充和解释。如果合同文件之间存在矛盾或者不一致之处，以上述文件的排列顺序在先者为准。</w:t>
      </w:r>
    </w:p>
    <w:p w14:paraId="7180FB6C">
      <w:pPr>
        <w:snapToGrid w:val="0"/>
        <w:spacing w:line="360" w:lineRule="auto"/>
        <w:ind w:firstLine="422" w:firstLineChars="200"/>
        <w:rPr>
          <w:rFonts w:asciiTheme="minorEastAsia" w:hAnsiTheme="minorEastAsia" w:eastAsiaTheme="minorEastAsia"/>
          <w:szCs w:val="21"/>
          <w:highlight w:val="none"/>
        </w:rPr>
      </w:pPr>
      <w:r>
        <w:rPr>
          <w:rFonts w:hint="eastAsia" w:asciiTheme="minorEastAsia" w:hAnsiTheme="minorEastAsia" w:eastAsiaTheme="minorEastAsia"/>
          <w:b/>
          <w:szCs w:val="21"/>
          <w:highlight w:val="none"/>
        </w:rPr>
        <w:t>第二十条　</w:t>
      </w:r>
      <w:r>
        <w:rPr>
          <w:rFonts w:hint="eastAsia" w:asciiTheme="minorEastAsia" w:hAnsiTheme="minorEastAsia" w:eastAsiaTheme="minorEastAsia"/>
          <w:szCs w:val="21"/>
          <w:highlight w:val="none"/>
        </w:rPr>
        <w:t>本合同一式四份，具有同等法律效力，财政部门（政府采购监管部门）、采购代理机构各一份，甲乙双方各一份（可根据需要另增加）。</w:t>
      </w:r>
    </w:p>
    <w:p w14:paraId="36B24CB4">
      <w:pPr>
        <w:snapToGrid w:val="0"/>
        <w:spacing w:line="360" w:lineRule="auto"/>
        <w:ind w:left="-61" w:firstLine="514"/>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本合同甲乙双方签字盖章后生效，自签订之日起七个工作日内，甲方应当将合同副本报同级财政部门备案。</w:t>
      </w:r>
    </w:p>
    <w:p w14:paraId="0FA151C1">
      <w:pPr>
        <w:spacing w:line="360" w:lineRule="auto"/>
        <w:ind w:left="0" w:leftChars="0" w:firstLine="420" w:firstLineChars="200"/>
        <w:rPr>
          <w:rFonts w:hint="eastAsia"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本合同自签订之日起2个工作日内，甲方或</w:t>
      </w:r>
      <w:r>
        <w:rPr>
          <w:rFonts w:hint="eastAsia" w:asciiTheme="minorEastAsia" w:hAnsiTheme="minorEastAsia" w:eastAsiaTheme="minorEastAsia"/>
          <w:szCs w:val="21"/>
          <w:highlight w:val="none"/>
        </w:rPr>
        <w:t>委托的政府采购代理机构在相关网上公告，但政府采购合同中涉及国家秘密、商业秘密的内容除外。</w:t>
      </w:r>
    </w:p>
    <w:p w14:paraId="0E06E693">
      <w:pPr>
        <w:pStyle w:val="7"/>
        <w:rPr>
          <w:highlight w:val="none"/>
        </w:rPr>
      </w:pP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6"/>
        <w:gridCol w:w="4517"/>
      </w:tblGrid>
      <w:tr w14:paraId="23332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8" w:hRule="atLeast"/>
        </w:trPr>
        <w:tc>
          <w:tcPr>
            <w:tcW w:w="4516" w:type="dxa"/>
            <w:vAlign w:val="center"/>
          </w:tcPr>
          <w:p w14:paraId="423A26BA">
            <w:pPr>
              <w:snapToGrid w:val="0"/>
              <w:spacing w:line="400" w:lineRule="exact"/>
              <w:rPr>
                <w:rFonts w:ascii="宋体"/>
                <w:sz w:val="21"/>
                <w:szCs w:val="21"/>
                <w:highlight w:val="none"/>
              </w:rPr>
            </w:pPr>
            <w:r>
              <w:rPr>
                <w:rFonts w:hint="eastAsia" w:ascii="宋体"/>
                <w:sz w:val="21"/>
                <w:szCs w:val="21"/>
                <w:highlight w:val="none"/>
              </w:rPr>
              <w:t xml:space="preserve">甲方（章）           </w:t>
            </w:r>
          </w:p>
          <w:p w14:paraId="7ADFEB2B">
            <w:pPr>
              <w:snapToGrid w:val="0"/>
              <w:spacing w:line="400" w:lineRule="exact"/>
              <w:rPr>
                <w:rFonts w:ascii="宋体"/>
                <w:sz w:val="21"/>
                <w:szCs w:val="21"/>
                <w:highlight w:val="none"/>
              </w:rPr>
            </w:pPr>
          </w:p>
          <w:p w14:paraId="6A70BDFF">
            <w:pPr>
              <w:snapToGrid w:val="0"/>
              <w:spacing w:line="400" w:lineRule="exact"/>
              <w:ind w:firstLine="945" w:firstLineChars="450"/>
              <w:jc w:val="right"/>
              <w:rPr>
                <w:rFonts w:ascii="宋体"/>
                <w:sz w:val="21"/>
                <w:szCs w:val="21"/>
                <w:highlight w:val="none"/>
              </w:rPr>
            </w:pPr>
            <w:r>
              <w:rPr>
                <w:rFonts w:hint="eastAsia" w:ascii="宋体"/>
                <w:sz w:val="21"/>
                <w:szCs w:val="21"/>
                <w:highlight w:val="none"/>
              </w:rPr>
              <w:t>年   月   日</w:t>
            </w:r>
          </w:p>
        </w:tc>
        <w:tc>
          <w:tcPr>
            <w:tcW w:w="4517" w:type="dxa"/>
            <w:vAlign w:val="center"/>
          </w:tcPr>
          <w:p w14:paraId="07D17F35">
            <w:pPr>
              <w:snapToGrid w:val="0"/>
              <w:spacing w:line="400" w:lineRule="exact"/>
              <w:rPr>
                <w:rFonts w:ascii="宋体"/>
                <w:sz w:val="21"/>
                <w:szCs w:val="21"/>
                <w:highlight w:val="none"/>
              </w:rPr>
            </w:pPr>
            <w:r>
              <w:rPr>
                <w:rFonts w:hint="eastAsia" w:ascii="宋体"/>
                <w:sz w:val="21"/>
                <w:szCs w:val="21"/>
                <w:highlight w:val="none"/>
              </w:rPr>
              <w:t xml:space="preserve">乙方（章）              </w:t>
            </w:r>
          </w:p>
          <w:p w14:paraId="5C887C33">
            <w:pPr>
              <w:snapToGrid w:val="0"/>
              <w:spacing w:line="400" w:lineRule="exact"/>
              <w:rPr>
                <w:rFonts w:ascii="宋体"/>
                <w:sz w:val="21"/>
                <w:szCs w:val="21"/>
                <w:highlight w:val="none"/>
              </w:rPr>
            </w:pPr>
          </w:p>
          <w:p w14:paraId="41A13951">
            <w:pPr>
              <w:snapToGrid w:val="0"/>
              <w:spacing w:line="400" w:lineRule="exact"/>
              <w:jc w:val="right"/>
              <w:rPr>
                <w:rFonts w:ascii="宋体"/>
                <w:sz w:val="21"/>
                <w:szCs w:val="21"/>
                <w:highlight w:val="none"/>
              </w:rPr>
            </w:pPr>
            <w:r>
              <w:rPr>
                <w:rFonts w:hint="eastAsia" w:ascii="宋体"/>
                <w:sz w:val="21"/>
                <w:szCs w:val="21"/>
                <w:highlight w:val="none"/>
              </w:rPr>
              <w:t xml:space="preserve"> 年   月   日</w:t>
            </w:r>
          </w:p>
        </w:tc>
      </w:tr>
      <w:tr w14:paraId="3971F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trPr>
        <w:tc>
          <w:tcPr>
            <w:tcW w:w="4516" w:type="dxa"/>
            <w:vAlign w:val="center"/>
          </w:tcPr>
          <w:p w14:paraId="2D5D12C8">
            <w:pPr>
              <w:snapToGrid w:val="0"/>
              <w:spacing w:line="400" w:lineRule="exact"/>
              <w:rPr>
                <w:rFonts w:ascii="宋体"/>
                <w:sz w:val="21"/>
                <w:szCs w:val="21"/>
                <w:highlight w:val="none"/>
              </w:rPr>
            </w:pPr>
            <w:r>
              <w:rPr>
                <w:rFonts w:hint="eastAsia" w:ascii="宋体"/>
                <w:sz w:val="21"/>
                <w:szCs w:val="21"/>
                <w:highlight w:val="none"/>
              </w:rPr>
              <w:t>单位地址：</w:t>
            </w:r>
          </w:p>
        </w:tc>
        <w:tc>
          <w:tcPr>
            <w:tcW w:w="4517" w:type="dxa"/>
            <w:vAlign w:val="center"/>
          </w:tcPr>
          <w:p w14:paraId="4444B501">
            <w:pPr>
              <w:snapToGrid w:val="0"/>
              <w:spacing w:line="400" w:lineRule="exact"/>
              <w:rPr>
                <w:rFonts w:ascii="宋体"/>
                <w:sz w:val="21"/>
                <w:szCs w:val="21"/>
                <w:highlight w:val="none"/>
              </w:rPr>
            </w:pPr>
            <w:r>
              <w:rPr>
                <w:rFonts w:hint="eastAsia" w:ascii="宋体"/>
                <w:sz w:val="21"/>
                <w:szCs w:val="21"/>
                <w:highlight w:val="none"/>
              </w:rPr>
              <w:t>单位地址：</w:t>
            </w:r>
          </w:p>
        </w:tc>
      </w:tr>
      <w:tr w14:paraId="66DD3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9" w:hRule="atLeast"/>
        </w:trPr>
        <w:tc>
          <w:tcPr>
            <w:tcW w:w="4516" w:type="dxa"/>
            <w:vAlign w:val="center"/>
          </w:tcPr>
          <w:p w14:paraId="5A3945E3">
            <w:pPr>
              <w:snapToGrid w:val="0"/>
              <w:spacing w:line="400" w:lineRule="exact"/>
              <w:rPr>
                <w:rFonts w:ascii="宋体"/>
                <w:sz w:val="21"/>
                <w:szCs w:val="21"/>
                <w:highlight w:val="none"/>
              </w:rPr>
            </w:pPr>
            <w:r>
              <w:rPr>
                <w:rFonts w:hint="eastAsia" w:ascii="宋体"/>
                <w:sz w:val="21"/>
                <w:szCs w:val="21"/>
                <w:highlight w:val="none"/>
              </w:rPr>
              <w:t>法定代表人：</w:t>
            </w:r>
          </w:p>
        </w:tc>
        <w:tc>
          <w:tcPr>
            <w:tcW w:w="4517" w:type="dxa"/>
            <w:vAlign w:val="center"/>
          </w:tcPr>
          <w:p w14:paraId="283E8B60">
            <w:pPr>
              <w:snapToGrid w:val="0"/>
              <w:spacing w:line="400" w:lineRule="exact"/>
              <w:rPr>
                <w:rFonts w:ascii="宋体"/>
                <w:sz w:val="21"/>
                <w:szCs w:val="21"/>
                <w:highlight w:val="none"/>
              </w:rPr>
            </w:pPr>
            <w:r>
              <w:rPr>
                <w:rFonts w:hint="eastAsia" w:ascii="宋体"/>
                <w:sz w:val="21"/>
                <w:szCs w:val="21"/>
                <w:highlight w:val="none"/>
              </w:rPr>
              <w:t>法定代表人：</w:t>
            </w:r>
          </w:p>
        </w:tc>
      </w:tr>
      <w:tr w14:paraId="4400C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trPr>
        <w:tc>
          <w:tcPr>
            <w:tcW w:w="4516" w:type="dxa"/>
            <w:vAlign w:val="center"/>
          </w:tcPr>
          <w:p w14:paraId="67844716">
            <w:pPr>
              <w:snapToGrid w:val="0"/>
              <w:spacing w:line="400" w:lineRule="exact"/>
              <w:rPr>
                <w:rFonts w:ascii="宋体"/>
                <w:sz w:val="21"/>
                <w:szCs w:val="21"/>
                <w:highlight w:val="none"/>
              </w:rPr>
            </w:pPr>
            <w:r>
              <w:rPr>
                <w:rFonts w:hint="eastAsia" w:ascii="宋体"/>
                <w:sz w:val="21"/>
                <w:szCs w:val="21"/>
                <w:highlight w:val="none"/>
              </w:rPr>
              <w:t>委托代理人：</w:t>
            </w:r>
          </w:p>
        </w:tc>
        <w:tc>
          <w:tcPr>
            <w:tcW w:w="4517" w:type="dxa"/>
            <w:vAlign w:val="center"/>
          </w:tcPr>
          <w:p w14:paraId="0711B3AD">
            <w:pPr>
              <w:snapToGrid w:val="0"/>
              <w:spacing w:line="400" w:lineRule="exact"/>
              <w:rPr>
                <w:rFonts w:ascii="宋体"/>
                <w:sz w:val="21"/>
                <w:szCs w:val="21"/>
                <w:highlight w:val="none"/>
              </w:rPr>
            </w:pPr>
            <w:r>
              <w:rPr>
                <w:rFonts w:hint="eastAsia" w:ascii="宋体"/>
                <w:sz w:val="21"/>
                <w:szCs w:val="21"/>
                <w:highlight w:val="none"/>
              </w:rPr>
              <w:t>委托代理人</w:t>
            </w:r>
          </w:p>
        </w:tc>
      </w:tr>
      <w:tr w14:paraId="0DFD4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trPr>
        <w:tc>
          <w:tcPr>
            <w:tcW w:w="4516" w:type="dxa"/>
            <w:vAlign w:val="center"/>
          </w:tcPr>
          <w:p w14:paraId="02543717">
            <w:pPr>
              <w:snapToGrid w:val="0"/>
              <w:spacing w:line="400" w:lineRule="exact"/>
              <w:rPr>
                <w:rFonts w:ascii="宋体"/>
                <w:sz w:val="21"/>
                <w:szCs w:val="21"/>
                <w:highlight w:val="none"/>
              </w:rPr>
            </w:pPr>
            <w:r>
              <w:rPr>
                <w:rFonts w:hint="eastAsia" w:ascii="宋体"/>
                <w:sz w:val="21"/>
                <w:szCs w:val="21"/>
                <w:highlight w:val="none"/>
              </w:rPr>
              <w:t>电话：</w:t>
            </w:r>
          </w:p>
        </w:tc>
        <w:tc>
          <w:tcPr>
            <w:tcW w:w="4517" w:type="dxa"/>
            <w:vAlign w:val="center"/>
          </w:tcPr>
          <w:p w14:paraId="26963691">
            <w:pPr>
              <w:snapToGrid w:val="0"/>
              <w:spacing w:line="400" w:lineRule="exact"/>
              <w:rPr>
                <w:rFonts w:ascii="宋体"/>
                <w:sz w:val="21"/>
                <w:szCs w:val="21"/>
                <w:highlight w:val="none"/>
              </w:rPr>
            </w:pPr>
            <w:r>
              <w:rPr>
                <w:rFonts w:hint="eastAsia" w:ascii="宋体"/>
                <w:sz w:val="21"/>
                <w:szCs w:val="21"/>
                <w:highlight w:val="none"/>
              </w:rPr>
              <w:t>电话：</w:t>
            </w:r>
          </w:p>
        </w:tc>
      </w:tr>
      <w:tr w14:paraId="2734F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trPr>
        <w:tc>
          <w:tcPr>
            <w:tcW w:w="4516" w:type="dxa"/>
            <w:vAlign w:val="center"/>
          </w:tcPr>
          <w:p w14:paraId="1CACB70F">
            <w:pPr>
              <w:snapToGrid w:val="0"/>
              <w:spacing w:line="400" w:lineRule="exact"/>
              <w:rPr>
                <w:rFonts w:ascii="宋体"/>
                <w:sz w:val="21"/>
                <w:szCs w:val="21"/>
                <w:highlight w:val="none"/>
              </w:rPr>
            </w:pPr>
            <w:r>
              <w:rPr>
                <w:rFonts w:hint="eastAsia" w:ascii="宋体"/>
                <w:sz w:val="21"/>
                <w:szCs w:val="21"/>
                <w:highlight w:val="none"/>
              </w:rPr>
              <w:t>电子邮箱：</w:t>
            </w:r>
          </w:p>
        </w:tc>
        <w:tc>
          <w:tcPr>
            <w:tcW w:w="4517" w:type="dxa"/>
            <w:vAlign w:val="center"/>
          </w:tcPr>
          <w:p w14:paraId="61BA02BE">
            <w:pPr>
              <w:snapToGrid w:val="0"/>
              <w:spacing w:line="400" w:lineRule="exact"/>
              <w:rPr>
                <w:rFonts w:ascii="宋体"/>
                <w:sz w:val="21"/>
                <w:szCs w:val="21"/>
                <w:highlight w:val="none"/>
              </w:rPr>
            </w:pPr>
            <w:r>
              <w:rPr>
                <w:rFonts w:hint="eastAsia" w:ascii="宋体"/>
                <w:sz w:val="21"/>
                <w:szCs w:val="21"/>
                <w:highlight w:val="none"/>
              </w:rPr>
              <w:t>电子邮箱：</w:t>
            </w:r>
          </w:p>
        </w:tc>
      </w:tr>
      <w:tr w14:paraId="0BA34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4516" w:type="dxa"/>
            <w:vAlign w:val="center"/>
          </w:tcPr>
          <w:p w14:paraId="4D81F5C7">
            <w:pPr>
              <w:snapToGrid w:val="0"/>
              <w:spacing w:line="400" w:lineRule="exact"/>
              <w:rPr>
                <w:rFonts w:ascii="宋体"/>
                <w:sz w:val="21"/>
                <w:szCs w:val="21"/>
                <w:highlight w:val="none"/>
              </w:rPr>
            </w:pPr>
            <w:r>
              <w:rPr>
                <w:rFonts w:hint="eastAsia" w:ascii="宋体"/>
                <w:sz w:val="21"/>
                <w:szCs w:val="21"/>
                <w:highlight w:val="none"/>
              </w:rPr>
              <w:t>开户银行：</w:t>
            </w:r>
          </w:p>
        </w:tc>
        <w:tc>
          <w:tcPr>
            <w:tcW w:w="4517" w:type="dxa"/>
            <w:vAlign w:val="center"/>
          </w:tcPr>
          <w:p w14:paraId="27D091C3">
            <w:pPr>
              <w:snapToGrid w:val="0"/>
              <w:spacing w:line="400" w:lineRule="exact"/>
              <w:rPr>
                <w:rFonts w:ascii="宋体"/>
                <w:sz w:val="21"/>
                <w:szCs w:val="21"/>
                <w:highlight w:val="none"/>
              </w:rPr>
            </w:pPr>
            <w:r>
              <w:rPr>
                <w:rFonts w:hint="eastAsia" w:ascii="宋体"/>
                <w:sz w:val="21"/>
                <w:szCs w:val="21"/>
                <w:highlight w:val="none"/>
              </w:rPr>
              <w:t>开户银行：</w:t>
            </w:r>
          </w:p>
        </w:tc>
      </w:tr>
      <w:tr w14:paraId="53831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trPr>
        <w:tc>
          <w:tcPr>
            <w:tcW w:w="4516" w:type="dxa"/>
            <w:vAlign w:val="center"/>
          </w:tcPr>
          <w:p w14:paraId="59194BC5">
            <w:pPr>
              <w:snapToGrid w:val="0"/>
              <w:spacing w:line="400" w:lineRule="exact"/>
              <w:rPr>
                <w:rFonts w:ascii="宋体"/>
                <w:sz w:val="21"/>
                <w:szCs w:val="21"/>
                <w:highlight w:val="none"/>
              </w:rPr>
            </w:pPr>
            <w:r>
              <w:rPr>
                <w:rFonts w:hint="eastAsia" w:ascii="宋体"/>
                <w:sz w:val="21"/>
                <w:szCs w:val="21"/>
                <w:highlight w:val="none"/>
              </w:rPr>
              <w:t>账号：</w:t>
            </w:r>
          </w:p>
        </w:tc>
        <w:tc>
          <w:tcPr>
            <w:tcW w:w="4517" w:type="dxa"/>
            <w:vAlign w:val="center"/>
          </w:tcPr>
          <w:p w14:paraId="68BB9356">
            <w:pPr>
              <w:snapToGrid w:val="0"/>
              <w:spacing w:line="400" w:lineRule="exact"/>
              <w:rPr>
                <w:rFonts w:ascii="宋体"/>
                <w:sz w:val="21"/>
                <w:szCs w:val="21"/>
                <w:highlight w:val="none"/>
              </w:rPr>
            </w:pPr>
            <w:r>
              <w:rPr>
                <w:rFonts w:hint="eastAsia" w:ascii="宋体"/>
                <w:sz w:val="21"/>
                <w:szCs w:val="21"/>
                <w:highlight w:val="none"/>
              </w:rPr>
              <w:t>账号：</w:t>
            </w:r>
          </w:p>
        </w:tc>
      </w:tr>
      <w:tr w14:paraId="4FD21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8" w:hRule="atLeast"/>
        </w:trPr>
        <w:tc>
          <w:tcPr>
            <w:tcW w:w="4516" w:type="dxa"/>
            <w:vAlign w:val="center"/>
          </w:tcPr>
          <w:p w14:paraId="1DAEF66B">
            <w:pPr>
              <w:snapToGrid w:val="0"/>
              <w:spacing w:line="400" w:lineRule="exact"/>
              <w:rPr>
                <w:rFonts w:ascii="宋体"/>
                <w:sz w:val="21"/>
                <w:szCs w:val="21"/>
                <w:highlight w:val="none"/>
              </w:rPr>
            </w:pPr>
            <w:r>
              <w:rPr>
                <w:rFonts w:hint="eastAsia" w:ascii="宋体"/>
                <w:sz w:val="21"/>
                <w:szCs w:val="21"/>
                <w:highlight w:val="none"/>
              </w:rPr>
              <w:t>邮政编码：</w:t>
            </w:r>
          </w:p>
        </w:tc>
        <w:tc>
          <w:tcPr>
            <w:tcW w:w="4517" w:type="dxa"/>
            <w:vAlign w:val="center"/>
          </w:tcPr>
          <w:p w14:paraId="12717E45">
            <w:pPr>
              <w:snapToGrid w:val="0"/>
              <w:spacing w:line="400" w:lineRule="exact"/>
              <w:rPr>
                <w:rFonts w:ascii="宋体"/>
                <w:sz w:val="21"/>
                <w:szCs w:val="21"/>
                <w:highlight w:val="none"/>
              </w:rPr>
            </w:pPr>
            <w:r>
              <w:rPr>
                <w:rFonts w:hint="eastAsia" w:ascii="宋体"/>
                <w:sz w:val="21"/>
                <w:szCs w:val="21"/>
                <w:highlight w:val="none"/>
              </w:rPr>
              <w:t>邮政编码：</w:t>
            </w:r>
          </w:p>
        </w:tc>
      </w:tr>
      <w:tr w14:paraId="6B83A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7" w:hRule="atLeast"/>
        </w:trPr>
        <w:tc>
          <w:tcPr>
            <w:tcW w:w="9033" w:type="dxa"/>
            <w:gridSpan w:val="2"/>
          </w:tcPr>
          <w:p w14:paraId="591EB6EC">
            <w:pPr>
              <w:snapToGrid w:val="0"/>
              <w:spacing w:line="400" w:lineRule="exact"/>
              <w:ind w:left="2430" w:leftChars="1007" w:hanging="315" w:hangingChars="150"/>
              <w:rPr>
                <w:rFonts w:ascii="宋体"/>
                <w:sz w:val="21"/>
                <w:szCs w:val="21"/>
                <w:highlight w:val="none"/>
              </w:rPr>
            </w:pPr>
            <w:r>
              <w:rPr>
                <w:rFonts w:hint="eastAsia" w:ascii="宋体"/>
                <w:sz w:val="21"/>
                <w:szCs w:val="21"/>
                <w:highlight w:val="none"/>
              </w:rPr>
              <w:t xml:space="preserve">                            </w:t>
            </w:r>
          </w:p>
          <w:p w14:paraId="2E5C47F6">
            <w:pPr>
              <w:snapToGrid w:val="0"/>
              <w:spacing w:line="400" w:lineRule="exact"/>
              <w:ind w:firstLine="1890" w:firstLineChars="900"/>
              <w:rPr>
                <w:rFonts w:ascii="宋体"/>
                <w:sz w:val="21"/>
                <w:szCs w:val="21"/>
                <w:highlight w:val="none"/>
              </w:rPr>
            </w:pPr>
          </w:p>
          <w:p w14:paraId="3B8F1627">
            <w:pPr>
              <w:snapToGrid w:val="0"/>
              <w:spacing w:line="400" w:lineRule="exact"/>
              <w:rPr>
                <w:rFonts w:ascii="宋体"/>
                <w:sz w:val="21"/>
                <w:szCs w:val="21"/>
                <w:highlight w:val="none"/>
              </w:rPr>
            </w:pPr>
            <w:r>
              <w:rPr>
                <w:rFonts w:hint="eastAsia" w:ascii="宋体"/>
                <w:sz w:val="21"/>
                <w:szCs w:val="21"/>
                <w:highlight w:val="none"/>
              </w:rPr>
              <w:t>经办人：</w:t>
            </w:r>
          </w:p>
          <w:p w14:paraId="16891A09">
            <w:pPr>
              <w:snapToGrid w:val="0"/>
              <w:spacing w:line="400" w:lineRule="exact"/>
              <w:ind w:firstLine="630" w:firstLineChars="300"/>
              <w:jc w:val="right"/>
              <w:rPr>
                <w:rFonts w:ascii="宋体"/>
                <w:sz w:val="21"/>
                <w:szCs w:val="21"/>
                <w:highlight w:val="none"/>
              </w:rPr>
            </w:pPr>
            <w:r>
              <w:rPr>
                <w:rFonts w:hint="eastAsia" w:ascii="宋体"/>
                <w:sz w:val="21"/>
                <w:szCs w:val="21"/>
                <w:highlight w:val="none"/>
              </w:rPr>
              <w:t>年    月    日</w:t>
            </w:r>
          </w:p>
        </w:tc>
      </w:tr>
    </w:tbl>
    <w:p w14:paraId="63F436A2">
      <w:pPr>
        <w:snapToGrid w:val="0"/>
        <w:ind w:left="480" w:hanging="480" w:hangingChars="200"/>
        <w:rPr>
          <w:rFonts w:ascii="宋体"/>
          <w:sz w:val="24"/>
          <w:highlight w:val="none"/>
        </w:rPr>
      </w:pPr>
    </w:p>
    <w:p w14:paraId="1E00339F">
      <w:pPr>
        <w:widowControl/>
        <w:jc w:val="left"/>
        <w:rPr>
          <w:rFonts w:ascii="Arial" w:hAnsi="Arial" w:cs="新宋体"/>
          <w:b/>
          <w:bCs/>
          <w:kern w:val="0"/>
          <w:sz w:val="32"/>
          <w:szCs w:val="32"/>
          <w:highlight w:val="none"/>
        </w:rPr>
      </w:pPr>
      <w:r>
        <w:rPr>
          <w:rFonts w:hint="eastAsia" w:ascii="宋体"/>
          <w:b/>
          <w:sz w:val="24"/>
          <w:highlight w:val="none"/>
        </w:rPr>
        <w:br w:type="page"/>
      </w:r>
    </w:p>
    <w:p w14:paraId="08EC963E">
      <w:pPr>
        <w:pStyle w:val="4"/>
        <w:rPr>
          <w:rFonts w:cs="新宋体"/>
          <w:kern w:val="0"/>
          <w:highlight w:val="none"/>
        </w:rPr>
      </w:pPr>
      <w:r>
        <w:rPr>
          <w:rFonts w:hint="eastAsia" w:cs="新宋体"/>
          <w:kern w:val="0"/>
          <w:highlight w:val="none"/>
        </w:rPr>
        <w:t>政府采购项目</w:t>
      </w:r>
      <w:r>
        <w:rPr>
          <w:rFonts w:hint="eastAsia"/>
          <w:kern w:val="0"/>
          <w:highlight w:val="none"/>
        </w:rPr>
        <w:t>合同验收报告（格式）</w:t>
      </w:r>
      <w:bookmarkEnd w:id="40"/>
    </w:p>
    <w:p w14:paraId="4C470241">
      <w:pPr>
        <w:widowControl/>
        <w:snapToGrid w:val="0"/>
        <w:spacing w:before="100" w:beforeAutospacing="1" w:after="100" w:afterAutospacing="1" w:line="440" w:lineRule="exact"/>
        <w:ind w:firstLine="480" w:firstLineChars="200"/>
        <w:jc w:val="left"/>
        <w:rPr>
          <w:rFonts w:ascii="仿宋" w:eastAsia="仿宋" w:cs="宋体"/>
          <w:kern w:val="0"/>
          <w:sz w:val="24"/>
          <w:highlight w:val="none"/>
        </w:rPr>
      </w:pPr>
      <w:r>
        <w:rPr>
          <w:rFonts w:hint="eastAsia" w:ascii="仿宋" w:eastAsia="仿宋" w:cs="宋体"/>
          <w:kern w:val="0"/>
          <w:sz w:val="24"/>
          <w:highlight w:val="none"/>
        </w:rPr>
        <w:t>根据政府采购合同（采购合同编号：　　）的约定，我单位对</w:t>
      </w:r>
      <w:r>
        <w:rPr>
          <w:rFonts w:hint="eastAsia" w:ascii="仿宋" w:eastAsia="仿宋" w:cs="宋体"/>
          <w:kern w:val="0"/>
          <w:sz w:val="24"/>
          <w:highlight w:val="none"/>
          <w:u w:val="single"/>
        </w:rPr>
        <w:t>（项目名称）　　　　</w:t>
      </w:r>
      <w:r>
        <w:rPr>
          <w:rFonts w:hint="eastAsia" w:ascii="仿宋" w:eastAsia="仿宋" w:cs="宋体"/>
          <w:kern w:val="0"/>
          <w:sz w:val="24"/>
          <w:highlight w:val="none"/>
        </w:rPr>
        <w:t>政府采购项目中标（或成交）供应商</w:t>
      </w:r>
      <w:r>
        <w:rPr>
          <w:rFonts w:hint="eastAsia" w:ascii="仿宋" w:eastAsia="仿宋" w:cs="宋体"/>
          <w:kern w:val="0"/>
          <w:sz w:val="24"/>
          <w:highlight w:val="none"/>
          <w:u w:val="single"/>
        </w:rPr>
        <w:t>（公司名称）　　　　</w:t>
      </w:r>
      <w:r>
        <w:rPr>
          <w:rFonts w:hint="eastAsia" w:ascii="仿宋" w:eastAsia="仿宋" w:cs="宋体"/>
          <w:kern w:val="0"/>
          <w:sz w:val="24"/>
          <w:highlight w:val="none"/>
        </w:rPr>
        <w:t>提供的货物（或服务）进行了验收，验收情况如下：</w:t>
      </w:r>
    </w:p>
    <w:tbl>
      <w:tblPr>
        <w:tblStyle w:val="19"/>
        <w:tblW w:w="9529"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1519"/>
        <w:gridCol w:w="1963"/>
        <w:gridCol w:w="1579"/>
        <w:gridCol w:w="1862"/>
        <w:gridCol w:w="660"/>
        <w:gridCol w:w="338"/>
        <w:gridCol w:w="1608"/>
      </w:tblGrid>
      <w:tr w14:paraId="25656E6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97" w:hRule="atLeast"/>
          <w:jc w:val="center"/>
        </w:trPr>
        <w:tc>
          <w:tcPr>
            <w:tcW w:w="3482" w:type="dxa"/>
            <w:gridSpan w:val="2"/>
            <w:tcBorders>
              <w:top w:val="single" w:color="auto" w:sz="8" w:space="0"/>
              <w:left w:val="single" w:color="auto" w:sz="8" w:space="0"/>
              <w:bottom w:val="single" w:color="auto" w:sz="8" w:space="0"/>
              <w:right w:val="single" w:color="auto" w:sz="8" w:space="0"/>
            </w:tcBorders>
            <w:vAlign w:val="center"/>
          </w:tcPr>
          <w:p w14:paraId="68097B7E">
            <w:pPr>
              <w:widowControl/>
              <w:snapToGrid w:val="0"/>
              <w:ind w:left="-3"/>
              <w:jc w:val="center"/>
              <w:rPr>
                <w:rFonts w:ascii="仿宋" w:eastAsia="仿宋" w:cs="宋体"/>
                <w:kern w:val="0"/>
                <w:sz w:val="24"/>
                <w:highlight w:val="none"/>
              </w:rPr>
            </w:pPr>
            <w:r>
              <w:rPr>
                <w:rFonts w:hint="eastAsia" w:ascii="仿宋" w:eastAsia="仿宋" w:cs="宋体"/>
                <w:kern w:val="0"/>
                <w:sz w:val="24"/>
                <w:highlight w:val="none"/>
              </w:rPr>
              <w:t>验收方式：</w:t>
            </w:r>
          </w:p>
        </w:tc>
        <w:tc>
          <w:tcPr>
            <w:tcW w:w="6047" w:type="dxa"/>
            <w:gridSpan w:val="5"/>
            <w:tcBorders>
              <w:top w:val="single" w:color="auto" w:sz="8" w:space="0"/>
              <w:left w:val="single" w:color="auto" w:sz="8" w:space="0"/>
              <w:bottom w:val="single" w:color="auto" w:sz="8" w:space="0"/>
              <w:right w:val="single" w:color="auto" w:sz="8" w:space="0"/>
            </w:tcBorders>
            <w:vAlign w:val="center"/>
          </w:tcPr>
          <w:p w14:paraId="4899A329">
            <w:pPr>
              <w:widowControl/>
              <w:snapToGrid w:val="0"/>
              <w:ind w:left="-3"/>
              <w:jc w:val="center"/>
              <w:rPr>
                <w:rFonts w:ascii="仿宋" w:eastAsia="仿宋" w:cs="宋体"/>
                <w:kern w:val="0"/>
                <w:sz w:val="24"/>
                <w:highlight w:val="none"/>
              </w:rPr>
            </w:pPr>
            <w:r>
              <w:rPr>
                <w:rFonts w:hint="eastAsia" w:ascii="仿宋" w:eastAsia="仿宋" w:cs="宋体"/>
                <w:kern w:val="0"/>
                <w:sz w:val="24"/>
                <w:highlight w:val="none"/>
              </w:rPr>
              <w:t>□自行验收</w:t>
            </w:r>
            <w:r>
              <w:rPr>
                <w:rFonts w:hint="eastAsia" w:ascii="宋体" w:hAnsi="宋体" w:eastAsia="仿宋" w:cs="宋体"/>
                <w:kern w:val="0"/>
                <w:sz w:val="24"/>
                <w:highlight w:val="none"/>
              </w:rPr>
              <w:t>        </w:t>
            </w:r>
            <w:r>
              <w:rPr>
                <w:rFonts w:hint="eastAsia" w:ascii="仿宋" w:eastAsia="仿宋" w:cs="宋体"/>
                <w:kern w:val="0"/>
                <w:sz w:val="24"/>
                <w:highlight w:val="none"/>
              </w:rPr>
              <w:t xml:space="preserve"> □联合验收</w:t>
            </w:r>
          </w:p>
        </w:tc>
      </w:tr>
      <w:tr w14:paraId="22C2AFA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92" w:hRule="atLeast"/>
          <w:jc w:val="center"/>
        </w:trPr>
        <w:tc>
          <w:tcPr>
            <w:tcW w:w="1519" w:type="dxa"/>
            <w:tcBorders>
              <w:top w:val="single" w:color="auto" w:sz="8" w:space="0"/>
              <w:left w:val="single" w:color="auto" w:sz="8" w:space="0"/>
              <w:bottom w:val="single" w:color="auto" w:sz="8" w:space="0"/>
              <w:right w:val="single" w:color="auto" w:sz="8" w:space="0"/>
            </w:tcBorders>
            <w:vAlign w:val="center"/>
          </w:tcPr>
          <w:p w14:paraId="622AAF13">
            <w:pPr>
              <w:widowControl/>
              <w:snapToGrid w:val="0"/>
              <w:jc w:val="center"/>
              <w:rPr>
                <w:rFonts w:ascii="仿宋" w:eastAsia="仿宋" w:cs="宋体"/>
                <w:kern w:val="0"/>
                <w:sz w:val="24"/>
                <w:highlight w:val="none"/>
              </w:rPr>
            </w:pPr>
            <w:r>
              <w:rPr>
                <w:rFonts w:hint="eastAsia" w:ascii="仿宋" w:eastAsia="仿宋" w:cs="宋体"/>
                <w:kern w:val="0"/>
                <w:sz w:val="24"/>
                <w:highlight w:val="none"/>
              </w:rPr>
              <w:t>序号</w:t>
            </w:r>
          </w:p>
        </w:tc>
        <w:tc>
          <w:tcPr>
            <w:tcW w:w="1963" w:type="dxa"/>
            <w:tcBorders>
              <w:top w:val="single" w:color="auto" w:sz="8" w:space="0"/>
              <w:left w:val="single" w:color="auto" w:sz="8" w:space="0"/>
              <w:bottom w:val="single" w:color="auto" w:sz="8" w:space="0"/>
              <w:right w:val="single" w:color="auto" w:sz="8" w:space="0"/>
            </w:tcBorders>
            <w:vAlign w:val="center"/>
          </w:tcPr>
          <w:p w14:paraId="3EAB87AF">
            <w:pPr>
              <w:widowControl/>
              <w:snapToGrid w:val="0"/>
              <w:ind w:left="-3"/>
              <w:jc w:val="center"/>
              <w:rPr>
                <w:rFonts w:ascii="仿宋" w:eastAsia="仿宋" w:cs="宋体"/>
                <w:kern w:val="0"/>
                <w:sz w:val="24"/>
                <w:highlight w:val="none"/>
              </w:rPr>
            </w:pPr>
            <w:r>
              <w:rPr>
                <w:rFonts w:hint="eastAsia" w:ascii="仿宋" w:eastAsia="仿宋" w:cs="宋体"/>
                <w:kern w:val="0"/>
                <w:sz w:val="24"/>
                <w:highlight w:val="none"/>
              </w:rPr>
              <w:t>货物名称</w:t>
            </w:r>
          </w:p>
        </w:tc>
        <w:tc>
          <w:tcPr>
            <w:tcW w:w="3441" w:type="dxa"/>
            <w:gridSpan w:val="2"/>
            <w:tcBorders>
              <w:top w:val="single" w:color="auto" w:sz="8" w:space="0"/>
              <w:left w:val="single" w:color="auto" w:sz="8" w:space="0"/>
              <w:bottom w:val="single" w:color="auto" w:sz="8" w:space="0"/>
              <w:right w:val="single" w:color="auto" w:sz="8" w:space="0"/>
            </w:tcBorders>
            <w:vAlign w:val="center"/>
          </w:tcPr>
          <w:p w14:paraId="28EBFAEF">
            <w:pPr>
              <w:widowControl/>
              <w:snapToGrid w:val="0"/>
              <w:ind w:left="-3"/>
              <w:jc w:val="center"/>
              <w:rPr>
                <w:rFonts w:ascii="仿宋" w:eastAsia="仿宋" w:cs="宋体"/>
                <w:kern w:val="0"/>
                <w:sz w:val="24"/>
                <w:highlight w:val="none"/>
              </w:rPr>
            </w:pPr>
            <w:r>
              <w:rPr>
                <w:rFonts w:hint="eastAsia" w:ascii="仿宋" w:eastAsia="仿宋" w:cs="宋体"/>
                <w:kern w:val="0"/>
                <w:sz w:val="24"/>
                <w:highlight w:val="none"/>
              </w:rPr>
              <w:t>货物型号规格、标准及配置</w:t>
            </w:r>
          </w:p>
          <w:p w14:paraId="55A60BE7">
            <w:pPr>
              <w:widowControl/>
              <w:snapToGrid w:val="0"/>
              <w:jc w:val="center"/>
              <w:rPr>
                <w:rFonts w:ascii="仿宋" w:eastAsia="仿宋" w:cs="宋体"/>
                <w:kern w:val="0"/>
                <w:sz w:val="24"/>
                <w:highlight w:val="none"/>
              </w:rPr>
            </w:pPr>
            <w:r>
              <w:rPr>
                <w:rFonts w:hint="eastAsia" w:ascii="仿宋" w:eastAsia="仿宋" w:cs="宋体"/>
                <w:kern w:val="0"/>
                <w:sz w:val="24"/>
                <w:highlight w:val="none"/>
              </w:rPr>
              <w:t>（或服务内容、标准）</w:t>
            </w:r>
          </w:p>
        </w:tc>
        <w:tc>
          <w:tcPr>
            <w:tcW w:w="998" w:type="dxa"/>
            <w:gridSpan w:val="2"/>
            <w:tcBorders>
              <w:top w:val="single" w:color="auto" w:sz="8" w:space="0"/>
              <w:left w:val="single" w:color="auto" w:sz="8" w:space="0"/>
              <w:bottom w:val="single" w:color="auto" w:sz="8" w:space="0"/>
              <w:right w:val="single" w:color="auto" w:sz="8" w:space="0"/>
            </w:tcBorders>
            <w:vAlign w:val="center"/>
          </w:tcPr>
          <w:p w14:paraId="45914B72">
            <w:pPr>
              <w:widowControl/>
              <w:snapToGrid w:val="0"/>
              <w:jc w:val="center"/>
              <w:rPr>
                <w:rFonts w:ascii="仿宋" w:eastAsia="仿宋" w:cs="宋体"/>
                <w:kern w:val="0"/>
                <w:sz w:val="24"/>
                <w:highlight w:val="none"/>
              </w:rPr>
            </w:pPr>
            <w:r>
              <w:rPr>
                <w:rFonts w:hint="eastAsia" w:ascii="仿宋" w:eastAsia="仿宋" w:cs="宋体"/>
                <w:kern w:val="0"/>
                <w:sz w:val="24"/>
                <w:highlight w:val="none"/>
              </w:rPr>
              <w:t>数量</w:t>
            </w:r>
          </w:p>
        </w:tc>
        <w:tc>
          <w:tcPr>
            <w:tcW w:w="1608" w:type="dxa"/>
            <w:tcBorders>
              <w:top w:val="single" w:color="auto" w:sz="8" w:space="0"/>
              <w:left w:val="single" w:color="auto" w:sz="8" w:space="0"/>
              <w:bottom w:val="single" w:color="auto" w:sz="8" w:space="0"/>
              <w:right w:val="single" w:color="auto" w:sz="8" w:space="0"/>
            </w:tcBorders>
            <w:vAlign w:val="center"/>
          </w:tcPr>
          <w:p w14:paraId="677CF4F4">
            <w:pPr>
              <w:widowControl/>
              <w:snapToGrid w:val="0"/>
              <w:ind w:left="-3"/>
              <w:jc w:val="center"/>
              <w:rPr>
                <w:rFonts w:ascii="仿宋" w:eastAsia="仿宋" w:cs="宋体"/>
                <w:kern w:val="0"/>
                <w:sz w:val="24"/>
                <w:highlight w:val="none"/>
              </w:rPr>
            </w:pPr>
            <w:r>
              <w:rPr>
                <w:rFonts w:hint="eastAsia" w:ascii="仿宋" w:eastAsia="仿宋" w:cs="宋体"/>
                <w:kern w:val="0"/>
                <w:sz w:val="24"/>
                <w:highlight w:val="none"/>
              </w:rPr>
              <w:t>与合同约定</w:t>
            </w:r>
          </w:p>
          <w:p w14:paraId="7A6BFF71">
            <w:pPr>
              <w:widowControl/>
              <w:snapToGrid w:val="0"/>
              <w:ind w:left="-3"/>
              <w:jc w:val="center"/>
              <w:rPr>
                <w:rFonts w:ascii="仿宋" w:eastAsia="仿宋" w:cs="宋体"/>
                <w:kern w:val="0"/>
                <w:sz w:val="24"/>
                <w:highlight w:val="none"/>
              </w:rPr>
            </w:pPr>
            <w:r>
              <w:rPr>
                <w:rFonts w:hint="eastAsia" w:ascii="仿宋" w:eastAsia="仿宋" w:cs="宋体"/>
                <w:kern w:val="0"/>
                <w:sz w:val="24"/>
                <w:highlight w:val="none"/>
              </w:rPr>
              <w:t>是否一致</w:t>
            </w:r>
          </w:p>
        </w:tc>
      </w:tr>
      <w:tr w14:paraId="7154BAB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87" w:hRule="atLeast"/>
          <w:jc w:val="center"/>
        </w:trPr>
        <w:tc>
          <w:tcPr>
            <w:tcW w:w="1519" w:type="dxa"/>
            <w:tcBorders>
              <w:top w:val="single" w:color="auto" w:sz="8" w:space="0"/>
              <w:left w:val="single" w:color="auto" w:sz="8" w:space="0"/>
              <w:bottom w:val="single" w:color="auto" w:sz="8" w:space="0"/>
              <w:right w:val="single" w:color="auto" w:sz="8" w:space="0"/>
            </w:tcBorders>
            <w:vAlign w:val="center"/>
          </w:tcPr>
          <w:p w14:paraId="56EA302C">
            <w:pPr>
              <w:widowControl/>
              <w:snapToGrid w:val="0"/>
              <w:ind w:left="-3" w:firstLine="576"/>
              <w:jc w:val="left"/>
              <w:rPr>
                <w:rFonts w:ascii="仿宋" w:eastAsia="仿宋" w:cs="宋体"/>
                <w:kern w:val="0"/>
                <w:sz w:val="24"/>
                <w:highlight w:val="none"/>
              </w:rPr>
            </w:pPr>
            <w:r>
              <w:rPr>
                <w:rFonts w:hint="eastAsia" w:ascii="宋体" w:hAnsi="宋体" w:eastAsia="仿宋" w:cs="宋体"/>
                <w:kern w:val="0"/>
                <w:sz w:val="24"/>
                <w:highlight w:val="none"/>
              </w:rPr>
              <w:t> </w:t>
            </w:r>
          </w:p>
        </w:tc>
        <w:tc>
          <w:tcPr>
            <w:tcW w:w="1963" w:type="dxa"/>
            <w:tcBorders>
              <w:top w:val="single" w:color="auto" w:sz="8" w:space="0"/>
              <w:left w:val="single" w:color="auto" w:sz="8" w:space="0"/>
              <w:bottom w:val="single" w:color="auto" w:sz="8" w:space="0"/>
              <w:right w:val="single" w:color="auto" w:sz="8" w:space="0"/>
            </w:tcBorders>
            <w:vAlign w:val="center"/>
          </w:tcPr>
          <w:p w14:paraId="2160D2B9">
            <w:pPr>
              <w:widowControl/>
              <w:snapToGrid w:val="0"/>
              <w:ind w:left="-3" w:firstLine="576"/>
              <w:jc w:val="left"/>
              <w:rPr>
                <w:rFonts w:ascii="仿宋" w:eastAsia="仿宋" w:cs="宋体"/>
                <w:kern w:val="0"/>
                <w:sz w:val="24"/>
                <w:highlight w:val="none"/>
              </w:rPr>
            </w:pPr>
            <w:r>
              <w:rPr>
                <w:rFonts w:hint="eastAsia" w:ascii="宋体" w:hAnsi="宋体" w:eastAsia="仿宋" w:cs="宋体"/>
                <w:kern w:val="0"/>
                <w:sz w:val="24"/>
                <w:highlight w:val="none"/>
              </w:rPr>
              <w:t> </w:t>
            </w:r>
          </w:p>
        </w:tc>
        <w:tc>
          <w:tcPr>
            <w:tcW w:w="3441" w:type="dxa"/>
            <w:gridSpan w:val="2"/>
            <w:tcBorders>
              <w:top w:val="single" w:color="auto" w:sz="8" w:space="0"/>
              <w:left w:val="single" w:color="auto" w:sz="8" w:space="0"/>
              <w:bottom w:val="single" w:color="auto" w:sz="8" w:space="0"/>
              <w:right w:val="single" w:color="auto" w:sz="8" w:space="0"/>
            </w:tcBorders>
            <w:vAlign w:val="center"/>
          </w:tcPr>
          <w:p w14:paraId="3F2FA1D9">
            <w:pPr>
              <w:widowControl/>
              <w:snapToGrid w:val="0"/>
              <w:ind w:left="-3" w:firstLine="576"/>
              <w:jc w:val="left"/>
              <w:rPr>
                <w:rFonts w:ascii="仿宋" w:eastAsia="仿宋" w:cs="宋体"/>
                <w:kern w:val="0"/>
                <w:sz w:val="24"/>
                <w:highlight w:val="none"/>
              </w:rPr>
            </w:pPr>
            <w:r>
              <w:rPr>
                <w:rFonts w:hint="eastAsia" w:ascii="宋体" w:hAnsi="宋体" w:eastAsia="仿宋" w:cs="宋体"/>
                <w:kern w:val="0"/>
                <w:sz w:val="24"/>
                <w:highlight w:val="none"/>
              </w:rPr>
              <w:t> </w:t>
            </w:r>
          </w:p>
        </w:tc>
        <w:tc>
          <w:tcPr>
            <w:tcW w:w="998" w:type="dxa"/>
            <w:gridSpan w:val="2"/>
            <w:tcBorders>
              <w:top w:val="single" w:color="auto" w:sz="8" w:space="0"/>
              <w:left w:val="single" w:color="auto" w:sz="8" w:space="0"/>
              <w:bottom w:val="single" w:color="auto" w:sz="8" w:space="0"/>
              <w:right w:val="single" w:color="auto" w:sz="8" w:space="0"/>
            </w:tcBorders>
            <w:vAlign w:val="center"/>
          </w:tcPr>
          <w:p w14:paraId="01A33496">
            <w:pPr>
              <w:widowControl/>
              <w:snapToGrid w:val="0"/>
              <w:jc w:val="left"/>
              <w:rPr>
                <w:rFonts w:ascii="仿宋" w:eastAsia="仿宋" w:cs="宋体"/>
                <w:kern w:val="0"/>
                <w:sz w:val="24"/>
                <w:highlight w:val="none"/>
              </w:rPr>
            </w:pPr>
            <w:r>
              <w:rPr>
                <w:rFonts w:hint="eastAsia" w:ascii="宋体" w:hAnsi="宋体" w:eastAsia="仿宋" w:cs="宋体"/>
                <w:kern w:val="0"/>
                <w:sz w:val="24"/>
                <w:highlight w:val="none"/>
              </w:rPr>
              <w:t> </w:t>
            </w:r>
          </w:p>
        </w:tc>
        <w:tc>
          <w:tcPr>
            <w:tcW w:w="1608" w:type="dxa"/>
            <w:tcBorders>
              <w:top w:val="single" w:color="auto" w:sz="8" w:space="0"/>
              <w:left w:val="single" w:color="auto" w:sz="8" w:space="0"/>
              <w:bottom w:val="single" w:color="auto" w:sz="8" w:space="0"/>
              <w:right w:val="single" w:color="auto" w:sz="8" w:space="0"/>
            </w:tcBorders>
            <w:vAlign w:val="center"/>
          </w:tcPr>
          <w:p w14:paraId="04FB7723">
            <w:pPr>
              <w:widowControl/>
              <w:snapToGrid w:val="0"/>
              <w:jc w:val="left"/>
              <w:rPr>
                <w:rFonts w:ascii="仿宋" w:eastAsia="仿宋" w:cs="宋体"/>
                <w:kern w:val="0"/>
                <w:sz w:val="24"/>
                <w:highlight w:val="none"/>
              </w:rPr>
            </w:pPr>
            <w:r>
              <w:rPr>
                <w:rFonts w:hint="eastAsia" w:ascii="宋体" w:hAnsi="宋体" w:eastAsia="仿宋" w:cs="宋体"/>
                <w:kern w:val="0"/>
                <w:sz w:val="24"/>
                <w:highlight w:val="none"/>
              </w:rPr>
              <w:t> </w:t>
            </w:r>
          </w:p>
        </w:tc>
      </w:tr>
      <w:tr w14:paraId="1033FB3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87" w:hRule="atLeast"/>
          <w:jc w:val="center"/>
        </w:trPr>
        <w:tc>
          <w:tcPr>
            <w:tcW w:w="1519" w:type="dxa"/>
            <w:tcBorders>
              <w:top w:val="single" w:color="auto" w:sz="8" w:space="0"/>
              <w:left w:val="single" w:color="auto" w:sz="8" w:space="0"/>
              <w:bottom w:val="single" w:color="auto" w:sz="8" w:space="0"/>
              <w:right w:val="single" w:color="auto" w:sz="8" w:space="0"/>
            </w:tcBorders>
            <w:vAlign w:val="center"/>
          </w:tcPr>
          <w:p w14:paraId="7A6C2FDF">
            <w:pPr>
              <w:widowControl/>
              <w:snapToGrid w:val="0"/>
              <w:ind w:left="-3" w:firstLine="576"/>
              <w:jc w:val="left"/>
              <w:rPr>
                <w:rFonts w:ascii="仿宋" w:eastAsia="仿宋" w:cs="宋体"/>
                <w:kern w:val="0"/>
                <w:sz w:val="24"/>
                <w:highlight w:val="none"/>
              </w:rPr>
            </w:pPr>
            <w:r>
              <w:rPr>
                <w:rFonts w:hint="eastAsia" w:ascii="宋体" w:hAnsi="宋体" w:eastAsia="仿宋" w:cs="宋体"/>
                <w:kern w:val="0"/>
                <w:sz w:val="24"/>
                <w:highlight w:val="none"/>
              </w:rPr>
              <w:t> </w:t>
            </w:r>
          </w:p>
        </w:tc>
        <w:tc>
          <w:tcPr>
            <w:tcW w:w="1963" w:type="dxa"/>
            <w:tcBorders>
              <w:top w:val="single" w:color="auto" w:sz="8" w:space="0"/>
              <w:left w:val="single" w:color="auto" w:sz="8" w:space="0"/>
              <w:bottom w:val="single" w:color="auto" w:sz="8" w:space="0"/>
              <w:right w:val="single" w:color="auto" w:sz="8" w:space="0"/>
            </w:tcBorders>
            <w:vAlign w:val="center"/>
          </w:tcPr>
          <w:p w14:paraId="7E63321D">
            <w:pPr>
              <w:widowControl/>
              <w:snapToGrid w:val="0"/>
              <w:ind w:left="-3" w:firstLine="576"/>
              <w:jc w:val="left"/>
              <w:rPr>
                <w:rFonts w:ascii="仿宋" w:eastAsia="仿宋" w:cs="宋体"/>
                <w:kern w:val="0"/>
                <w:sz w:val="24"/>
                <w:highlight w:val="none"/>
              </w:rPr>
            </w:pPr>
            <w:r>
              <w:rPr>
                <w:rFonts w:hint="eastAsia" w:ascii="宋体" w:hAnsi="宋体" w:eastAsia="仿宋" w:cs="宋体"/>
                <w:kern w:val="0"/>
                <w:sz w:val="24"/>
                <w:highlight w:val="none"/>
              </w:rPr>
              <w:t> </w:t>
            </w:r>
          </w:p>
        </w:tc>
        <w:tc>
          <w:tcPr>
            <w:tcW w:w="3441" w:type="dxa"/>
            <w:gridSpan w:val="2"/>
            <w:tcBorders>
              <w:top w:val="single" w:color="auto" w:sz="8" w:space="0"/>
              <w:left w:val="single" w:color="auto" w:sz="8" w:space="0"/>
              <w:bottom w:val="single" w:color="auto" w:sz="8" w:space="0"/>
              <w:right w:val="single" w:color="auto" w:sz="8" w:space="0"/>
            </w:tcBorders>
            <w:vAlign w:val="center"/>
          </w:tcPr>
          <w:p w14:paraId="030C3C51">
            <w:pPr>
              <w:widowControl/>
              <w:snapToGrid w:val="0"/>
              <w:ind w:left="-3" w:firstLine="576"/>
              <w:jc w:val="left"/>
              <w:rPr>
                <w:rFonts w:ascii="仿宋" w:eastAsia="仿宋" w:cs="宋体"/>
                <w:kern w:val="0"/>
                <w:sz w:val="24"/>
                <w:highlight w:val="none"/>
              </w:rPr>
            </w:pPr>
            <w:r>
              <w:rPr>
                <w:rFonts w:hint="eastAsia" w:ascii="宋体" w:hAnsi="宋体" w:eastAsia="仿宋" w:cs="宋体"/>
                <w:kern w:val="0"/>
                <w:sz w:val="24"/>
                <w:highlight w:val="none"/>
              </w:rPr>
              <w:t> </w:t>
            </w:r>
          </w:p>
        </w:tc>
        <w:tc>
          <w:tcPr>
            <w:tcW w:w="998" w:type="dxa"/>
            <w:gridSpan w:val="2"/>
            <w:tcBorders>
              <w:top w:val="single" w:color="auto" w:sz="8" w:space="0"/>
              <w:left w:val="single" w:color="auto" w:sz="8" w:space="0"/>
              <w:bottom w:val="single" w:color="auto" w:sz="8" w:space="0"/>
              <w:right w:val="single" w:color="auto" w:sz="8" w:space="0"/>
            </w:tcBorders>
            <w:vAlign w:val="center"/>
          </w:tcPr>
          <w:p w14:paraId="08C66DC8">
            <w:pPr>
              <w:widowControl/>
              <w:snapToGrid w:val="0"/>
              <w:jc w:val="left"/>
              <w:rPr>
                <w:rFonts w:ascii="仿宋" w:eastAsia="仿宋" w:cs="宋体"/>
                <w:kern w:val="0"/>
                <w:sz w:val="24"/>
                <w:highlight w:val="none"/>
              </w:rPr>
            </w:pPr>
            <w:r>
              <w:rPr>
                <w:rFonts w:hint="eastAsia" w:ascii="宋体" w:hAnsi="宋体" w:eastAsia="仿宋" w:cs="宋体"/>
                <w:kern w:val="0"/>
                <w:sz w:val="24"/>
                <w:highlight w:val="none"/>
              </w:rPr>
              <w:t> </w:t>
            </w:r>
          </w:p>
        </w:tc>
        <w:tc>
          <w:tcPr>
            <w:tcW w:w="1608" w:type="dxa"/>
            <w:tcBorders>
              <w:top w:val="single" w:color="auto" w:sz="8" w:space="0"/>
              <w:left w:val="single" w:color="auto" w:sz="8" w:space="0"/>
              <w:bottom w:val="single" w:color="auto" w:sz="8" w:space="0"/>
              <w:right w:val="single" w:color="auto" w:sz="8" w:space="0"/>
            </w:tcBorders>
            <w:vAlign w:val="center"/>
          </w:tcPr>
          <w:p w14:paraId="54B4C3F2">
            <w:pPr>
              <w:widowControl/>
              <w:snapToGrid w:val="0"/>
              <w:jc w:val="left"/>
              <w:rPr>
                <w:rFonts w:ascii="仿宋" w:eastAsia="仿宋" w:cs="宋体"/>
                <w:kern w:val="0"/>
                <w:sz w:val="24"/>
                <w:highlight w:val="none"/>
              </w:rPr>
            </w:pPr>
            <w:r>
              <w:rPr>
                <w:rFonts w:hint="eastAsia" w:ascii="宋体" w:hAnsi="宋体" w:eastAsia="仿宋" w:cs="宋体"/>
                <w:kern w:val="0"/>
                <w:sz w:val="24"/>
                <w:highlight w:val="none"/>
              </w:rPr>
              <w:t> </w:t>
            </w:r>
          </w:p>
        </w:tc>
      </w:tr>
      <w:tr w14:paraId="25C4837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87" w:hRule="atLeast"/>
          <w:jc w:val="center"/>
        </w:trPr>
        <w:tc>
          <w:tcPr>
            <w:tcW w:w="1519" w:type="dxa"/>
            <w:tcBorders>
              <w:top w:val="single" w:color="auto" w:sz="8" w:space="0"/>
              <w:left w:val="single" w:color="auto" w:sz="8" w:space="0"/>
              <w:bottom w:val="single" w:color="auto" w:sz="8" w:space="0"/>
              <w:right w:val="single" w:color="auto" w:sz="8" w:space="0"/>
            </w:tcBorders>
            <w:vAlign w:val="center"/>
          </w:tcPr>
          <w:p w14:paraId="46AF2DF1">
            <w:pPr>
              <w:widowControl/>
              <w:snapToGrid w:val="0"/>
              <w:ind w:left="-3" w:firstLine="576"/>
              <w:jc w:val="left"/>
              <w:rPr>
                <w:rFonts w:ascii="仿宋" w:eastAsia="仿宋" w:cs="宋体"/>
                <w:kern w:val="0"/>
                <w:sz w:val="24"/>
                <w:highlight w:val="none"/>
              </w:rPr>
            </w:pPr>
            <w:r>
              <w:rPr>
                <w:rFonts w:hint="eastAsia" w:ascii="宋体" w:hAnsi="宋体" w:eastAsia="仿宋" w:cs="宋体"/>
                <w:kern w:val="0"/>
                <w:sz w:val="24"/>
                <w:highlight w:val="none"/>
              </w:rPr>
              <w:t> </w:t>
            </w:r>
          </w:p>
        </w:tc>
        <w:tc>
          <w:tcPr>
            <w:tcW w:w="1963" w:type="dxa"/>
            <w:tcBorders>
              <w:top w:val="single" w:color="auto" w:sz="8" w:space="0"/>
              <w:left w:val="single" w:color="auto" w:sz="8" w:space="0"/>
              <w:bottom w:val="single" w:color="auto" w:sz="8" w:space="0"/>
              <w:right w:val="single" w:color="auto" w:sz="8" w:space="0"/>
            </w:tcBorders>
            <w:vAlign w:val="center"/>
          </w:tcPr>
          <w:p w14:paraId="26357292">
            <w:pPr>
              <w:widowControl/>
              <w:snapToGrid w:val="0"/>
              <w:ind w:left="-3" w:firstLine="576"/>
              <w:jc w:val="left"/>
              <w:rPr>
                <w:rFonts w:ascii="仿宋" w:eastAsia="仿宋" w:cs="宋体"/>
                <w:kern w:val="0"/>
                <w:sz w:val="24"/>
                <w:highlight w:val="none"/>
              </w:rPr>
            </w:pPr>
            <w:r>
              <w:rPr>
                <w:rFonts w:hint="eastAsia" w:ascii="宋体" w:hAnsi="宋体" w:eastAsia="仿宋" w:cs="宋体"/>
                <w:kern w:val="0"/>
                <w:sz w:val="24"/>
                <w:highlight w:val="none"/>
              </w:rPr>
              <w:t> </w:t>
            </w:r>
          </w:p>
        </w:tc>
        <w:tc>
          <w:tcPr>
            <w:tcW w:w="3441" w:type="dxa"/>
            <w:gridSpan w:val="2"/>
            <w:tcBorders>
              <w:top w:val="single" w:color="auto" w:sz="8" w:space="0"/>
              <w:left w:val="single" w:color="auto" w:sz="8" w:space="0"/>
              <w:bottom w:val="single" w:color="auto" w:sz="8" w:space="0"/>
              <w:right w:val="single" w:color="auto" w:sz="8" w:space="0"/>
            </w:tcBorders>
            <w:vAlign w:val="center"/>
          </w:tcPr>
          <w:p w14:paraId="4AFE5487">
            <w:pPr>
              <w:widowControl/>
              <w:snapToGrid w:val="0"/>
              <w:ind w:left="-3" w:firstLine="576"/>
              <w:jc w:val="left"/>
              <w:rPr>
                <w:rFonts w:ascii="仿宋" w:eastAsia="仿宋" w:cs="宋体"/>
                <w:kern w:val="0"/>
                <w:sz w:val="24"/>
                <w:highlight w:val="none"/>
              </w:rPr>
            </w:pPr>
            <w:r>
              <w:rPr>
                <w:rFonts w:hint="eastAsia" w:ascii="宋体" w:hAnsi="宋体" w:eastAsia="仿宋" w:cs="宋体"/>
                <w:kern w:val="0"/>
                <w:sz w:val="24"/>
                <w:highlight w:val="none"/>
              </w:rPr>
              <w:t> </w:t>
            </w:r>
          </w:p>
        </w:tc>
        <w:tc>
          <w:tcPr>
            <w:tcW w:w="998" w:type="dxa"/>
            <w:gridSpan w:val="2"/>
            <w:tcBorders>
              <w:top w:val="single" w:color="auto" w:sz="8" w:space="0"/>
              <w:left w:val="single" w:color="auto" w:sz="8" w:space="0"/>
              <w:bottom w:val="single" w:color="auto" w:sz="8" w:space="0"/>
              <w:right w:val="single" w:color="auto" w:sz="8" w:space="0"/>
            </w:tcBorders>
            <w:vAlign w:val="center"/>
          </w:tcPr>
          <w:p w14:paraId="7FB780B6">
            <w:pPr>
              <w:widowControl/>
              <w:snapToGrid w:val="0"/>
              <w:jc w:val="left"/>
              <w:rPr>
                <w:rFonts w:ascii="仿宋" w:eastAsia="仿宋" w:cs="宋体"/>
                <w:kern w:val="0"/>
                <w:sz w:val="24"/>
                <w:highlight w:val="none"/>
              </w:rPr>
            </w:pPr>
            <w:r>
              <w:rPr>
                <w:rFonts w:hint="eastAsia" w:ascii="宋体" w:hAnsi="宋体" w:eastAsia="仿宋" w:cs="宋体"/>
                <w:kern w:val="0"/>
                <w:sz w:val="24"/>
                <w:highlight w:val="none"/>
              </w:rPr>
              <w:t> </w:t>
            </w:r>
          </w:p>
        </w:tc>
        <w:tc>
          <w:tcPr>
            <w:tcW w:w="1608" w:type="dxa"/>
            <w:tcBorders>
              <w:top w:val="single" w:color="auto" w:sz="8" w:space="0"/>
              <w:left w:val="single" w:color="auto" w:sz="8" w:space="0"/>
              <w:bottom w:val="single" w:color="auto" w:sz="8" w:space="0"/>
              <w:right w:val="single" w:color="auto" w:sz="8" w:space="0"/>
            </w:tcBorders>
            <w:vAlign w:val="center"/>
          </w:tcPr>
          <w:p w14:paraId="37D542D8">
            <w:pPr>
              <w:widowControl/>
              <w:snapToGrid w:val="0"/>
              <w:jc w:val="left"/>
              <w:rPr>
                <w:rFonts w:ascii="仿宋" w:eastAsia="仿宋" w:cs="宋体"/>
                <w:kern w:val="0"/>
                <w:sz w:val="24"/>
                <w:highlight w:val="none"/>
              </w:rPr>
            </w:pPr>
            <w:r>
              <w:rPr>
                <w:rFonts w:hint="eastAsia" w:ascii="宋体" w:hAnsi="宋体" w:eastAsia="仿宋" w:cs="宋体"/>
                <w:kern w:val="0"/>
                <w:sz w:val="24"/>
                <w:highlight w:val="none"/>
              </w:rPr>
              <w:t> </w:t>
            </w:r>
          </w:p>
        </w:tc>
      </w:tr>
      <w:tr w14:paraId="08B20BE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87" w:hRule="atLeast"/>
          <w:jc w:val="center"/>
        </w:trPr>
        <w:tc>
          <w:tcPr>
            <w:tcW w:w="1519" w:type="dxa"/>
            <w:tcBorders>
              <w:top w:val="single" w:color="auto" w:sz="8" w:space="0"/>
              <w:left w:val="single" w:color="auto" w:sz="8" w:space="0"/>
              <w:bottom w:val="single" w:color="auto" w:sz="8" w:space="0"/>
              <w:right w:val="single" w:color="auto" w:sz="8" w:space="0"/>
            </w:tcBorders>
            <w:vAlign w:val="center"/>
          </w:tcPr>
          <w:p w14:paraId="3A23702B">
            <w:pPr>
              <w:widowControl/>
              <w:snapToGrid w:val="0"/>
              <w:ind w:left="-3" w:firstLine="576"/>
              <w:jc w:val="left"/>
              <w:rPr>
                <w:rFonts w:ascii="仿宋" w:eastAsia="仿宋" w:cs="宋体"/>
                <w:kern w:val="0"/>
                <w:sz w:val="24"/>
                <w:highlight w:val="none"/>
              </w:rPr>
            </w:pPr>
            <w:r>
              <w:rPr>
                <w:rFonts w:hint="eastAsia" w:ascii="宋体" w:hAnsi="宋体" w:eastAsia="仿宋" w:cs="宋体"/>
                <w:kern w:val="0"/>
                <w:sz w:val="24"/>
                <w:highlight w:val="none"/>
              </w:rPr>
              <w:t> </w:t>
            </w:r>
          </w:p>
        </w:tc>
        <w:tc>
          <w:tcPr>
            <w:tcW w:w="1963" w:type="dxa"/>
            <w:tcBorders>
              <w:top w:val="single" w:color="auto" w:sz="8" w:space="0"/>
              <w:left w:val="single" w:color="auto" w:sz="8" w:space="0"/>
              <w:bottom w:val="single" w:color="auto" w:sz="8" w:space="0"/>
              <w:right w:val="single" w:color="auto" w:sz="8" w:space="0"/>
            </w:tcBorders>
            <w:vAlign w:val="center"/>
          </w:tcPr>
          <w:p w14:paraId="1B297298">
            <w:pPr>
              <w:widowControl/>
              <w:snapToGrid w:val="0"/>
              <w:ind w:left="-3" w:firstLine="576"/>
              <w:jc w:val="left"/>
              <w:rPr>
                <w:rFonts w:ascii="仿宋" w:eastAsia="仿宋" w:cs="宋体"/>
                <w:kern w:val="0"/>
                <w:sz w:val="24"/>
                <w:highlight w:val="none"/>
              </w:rPr>
            </w:pPr>
            <w:r>
              <w:rPr>
                <w:rFonts w:hint="eastAsia" w:ascii="宋体" w:hAnsi="宋体" w:eastAsia="仿宋" w:cs="宋体"/>
                <w:kern w:val="0"/>
                <w:sz w:val="24"/>
                <w:highlight w:val="none"/>
              </w:rPr>
              <w:t> </w:t>
            </w:r>
          </w:p>
        </w:tc>
        <w:tc>
          <w:tcPr>
            <w:tcW w:w="3441" w:type="dxa"/>
            <w:gridSpan w:val="2"/>
            <w:tcBorders>
              <w:top w:val="single" w:color="auto" w:sz="8" w:space="0"/>
              <w:left w:val="single" w:color="auto" w:sz="8" w:space="0"/>
              <w:bottom w:val="single" w:color="auto" w:sz="8" w:space="0"/>
              <w:right w:val="single" w:color="auto" w:sz="8" w:space="0"/>
            </w:tcBorders>
            <w:vAlign w:val="center"/>
          </w:tcPr>
          <w:p w14:paraId="35CCEE4C">
            <w:pPr>
              <w:widowControl/>
              <w:snapToGrid w:val="0"/>
              <w:ind w:left="-3" w:firstLine="576"/>
              <w:jc w:val="left"/>
              <w:rPr>
                <w:rFonts w:ascii="仿宋" w:eastAsia="仿宋" w:cs="宋体"/>
                <w:kern w:val="0"/>
                <w:sz w:val="24"/>
                <w:highlight w:val="none"/>
              </w:rPr>
            </w:pPr>
            <w:r>
              <w:rPr>
                <w:rFonts w:hint="eastAsia" w:ascii="宋体" w:hAnsi="宋体" w:eastAsia="仿宋" w:cs="宋体"/>
                <w:kern w:val="0"/>
                <w:sz w:val="24"/>
                <w:highlight w:val="none"/>
              </w:rPr>
              <w:t> </w:t>
            </w:r>
          </w:p>
        </w:tc>
        <w:tc>
          <w:tcPr>
            <w:tcW w:w="998" w:type="dxa"/>
            <w:gridSpan w:val="2"/>
            <w:tcBorders>
              <w:top w:val="single" w:color="auto" w:sz="8" w:space="0"/>
              <w:left w:val="single" w:color="auto" w:sz="8" w:space="0"/>
              <w:bottom w:val="single" w:color="auto" w:sz="8" w:space="0"/>
              <w:right w:val="single" w:color="auto" w:sz="8" w:space="0"/>
            </w:tcBorders>
            <w:vAlign w:val="center"/>
          </w:tcPr>
          <w:p w14:paraId="64275803">
            <w:pPr>
              <w:widowControl/>
              <w:snapToGrid w:val="0"/>
              <w:jc w:val="left"/>
              <w:rPr>
                <w:rFonts w:ascii="仿宋" w:eastAsia="仿宋" w:cs="宋体"/>
                <w:kern w:val="0"/>
                <w:sz w:val="24"/>
                <w:highlight w:val="none"/>
              </w:rPr>
            </w:pPr>
            <w:r>
              <w:rPr>
                <w:rFonts w:hint="eastAsia" w:ascii="宋体" w:hAnsi="宋体" w:eastAsia="仿宋" w:cs="宋体"/>
                <w:kern w:val="0"/>
                <w:sz w:val="24"/>
                <w:highlight w:val="none"/>
              </w:rPr>
              <w:t> </w:t>
            </w:r>
          </w:p>
        </w:tc>
        <w:tc>
          <w:tcPr>
            <w:tcW w:w="1608" w:type="dxa"/>
            <w:tcBorders>
              <w:top w:val="single" w:color="auto" w:sz="8" w:space="0"/>
              <w:left w:val="single" w:color="auto" w:sz="8" w:space="0"/>
              <w:bottom w:val="single" w:color="auto" w:sz="8" w:space="0"/>
              <w:right w:val="single" w:color="auto" w:sz="8" w:space="0"/>
            </w:tcBorders>
            <w:vAlign w:val="center"/>
          </w:tcPr>
          <w:p w14:paraId="7A242F26">
            <w:pPr>
              <w:widowControl/>
              <w:snapToGrid w:val="0"/>
              <w:jc w:val="left"/>
              <w:rPr>
                <w:rFonts w:ascii="仿宋" w:eastAsia="仿宋" w:cs="宋体"/>
                <w:kern w:val="0"/>
                <w:sz w:val="24"/>
                <w:highlight w:val="none"/>
              </w:rPr>
            </w:pPr>
            <w:r>
              <w:rPr>
                <w:rFonts w:hint="eastAsia" w:ascii="宋体" w:hAnsi="宋体" w:eastAsia="仿宋" w:cs="宋体"/>
                <w:kern w:val="0"/>
                <w:sz w:val="24"/>
                <w:highlight w:val="none"/>
              </w:rPr>
              <w:t> </w:t>
            </w:r>
          </w:p>
        </w:tc>
      </w:tr>
      <w:tr w14:paraId="0E2210E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87" w:hRule="atLeast"/>
          <w:jc w:val="center"/>
        </w:trPr>
        <w:tc>
          <w:tcPr>
            <w:tcW w:w="1519" w:type="dxa"/>
            <w:tcBorders>
              <w:top w:val="single" w:color="auto" w:sz="8" w:space="0"/>
              <w:left w:val="single" w:color="auto" w:sz="8" w:space="0"/>
              <w:bottom w:val="single" w:color="auto" w:sz="8" w:space="0"/>
              <w:right w:val="single" w:color="auto" w:sz="8" w:space="0"/>
            </w:tcBorders>
            <w:vAlign w:val="center"/>
          </w:tcPr>
          <w:p w14:paraId="5636E5E3">
            <w:pPr>
              <w:widowControl/>
              <w:snapToGrid w:val="0"/>
              <w:ind w:left="-3" w:firstLine="576"/>
              <w:jc w:val="left"/>
              <w:rPr>
                <w:rFonts w:ascii="仿宋" w:eastAsia="仿宋" w:cs="宋体"/>
                <w:kern w:val="0"/>
                <w:sz w:val="24"/>
                <w:highlight w:val="none"/>
              </w:rPr>
            </w:pPr>
          </w:p>
        </w:tc>
        <w:tc>
          <w:tcPr>
            <w:tcW w:w="1963" w:type="dxa"/>
            <w:tcBorders>
              <w:top w:val="single" w:color="auto" w:sz="8" w:space="0"/>
              <w:left w:val="single" w:color="auto" w:sz="8" w:space="0"/>
              <w:bottom w:val="single" w:color="auto" w:sz="8" w:space="0"/>
              <w:right w:val="single" w:color="auto" w:sz="8" w:space="0"/>
            </w:tcBorders>
            <w:vAlign w:val="center"/>
          </w:tcPr>
          <w:p w14:paraId="3ACFA7A6">
            <w:pPr>
              <w:widowControl/>
              <w:snapToGrid w:val="0"/>
              <w:ind w:left="-3" w:firstLine="576"/>
              <w:jc w:val="left"/>
              <w:rPr>
                <w:rFonts w:ascii="仿宋" w:eastAsia="仿宋" w:cs="宋体"/>
                <w:kern w:val="0"/>
                <w:sz w:val="24"/>
                <w:highlight w:val="none"/>
              </w:rPr>
            </w:pPr>
          </w:p>
        </w:tc>
        <w:tc>
          <w:tcPr>
            <w:tcW w:w="3441" w:type="dxa"/>
            <w:gridSpan w:val="2"/>
            <w:tcBorders>
              <w:top w:val="single" w:color="auto" w:sz="8" w:space="0"/>
              <w:left w:val="single" w:color="auto" w:sz="8" w:space="0"/>
              <w:bottom w:val="single" w:color="auto" w:sz="8" w:space="0"/>
              <w:right w:val="single" w:color="auto" w:sz="8" w:space="0"/>
            </w:tcBorders>
            <w:vAlign w:val="center"/>
          </w:tcPr>
          <w:p w14:paraId="27355CEA">
            <w:pPr>
              <w:widowControl/>
              <w:snapToGrid w:val="0"/>
              <w:ind w:left="-3" w:firstLine="576"/>
              <w:jc w:val="left"/>
              <w:rPr>
                <w:rFonts w:ascii="仿宋" w:eastAsia="仿宋" w:cs="宋体"/>
                <w:kern w:val="0"/>
                <w:sz w:val="24"/>
                <w:highlight w:val="none"/>
              </w:rPr>
            </w:pPr>
          </w:p>
        </w:tc>
        <w:tc>
          <w:tcPr>
            <w:tcW w:w="998" w:type="dxa"/>
            <w:gridSpan w:val="2"/>
            <w:tcBorders>
              <w:top w:val="single" w:color="auto" w:sz="8" w:space="0"/>
              <w:left w:val="single" w:color="auto" w:sz="8" w:space="0"/>
              <w:bottom w:val="single" w:color="auto" w:sz="8" w:space="0"/>
              <w:right w:val="single" w:color="auto" w:sz="8" w:space="0"/>
            </w:tcBorders>
            <w:vAlign w:val="center"/>
          </w:tcPr>
          <w:p w14:paraId="2DE4B8B3">
            <w:pPr>
              <w:widowControl/>
              <w:snapToGrid w:val="0"/>
              <w:jc w:val="left"/>
              <w:rPr>
                <w:rFonts w:ascii="仿宋" w:eastAsia="仿宋" w:cs="宋体"/>
                <w:kern w:val="0"/>
                <w:sz w:val="24"/>
                <w:highlight w:val="none"/>
              </w:rPr>
            </w:pPr>
          </w:p>
        </w:tc>
        <w:tc>
          <w:tcPr>
            <w:tcW w:w="1608" w:type="dxa"/>
            <w:tcBorders>
              <w:top w:val="single" w:color="auto" w:sz="8" w:space="0"/>
              <w:left w:val="single" w:color="auto" w:sz="8" w:space="0"/>
              <w:bottom w:val="single" w:color="auto" w:sz="8" w:space="0"/>
              <w:right w:val="single" w:color="auto" w:sz="8" w:space="0"/>
            </w:tcBorders>
            <w:vAlign w:val="center"/>
          </w:tcPr>
          <w:p w14:paraId="6CCA8674">
            <w:pPr>
              <w:widowControl/>
              <w:snapToGrid w:val="0"/>
              <w:jc w:val="left"/>
              <w:rPr>
                <w:rFonts w:ascii="仿宋" w:eastAsia="仿宋" w:cs="宋体"/>
                <w:kern w:val="0"/>
                <w:sz w:val="24"/>
                <w:highlight w:val="none"/>
              </w:rPr>
            </w:pPr>
          </w:p>
        </w:tc>
      </w:tr>
      <w:tr w14:paraId="4A2074A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87" w:hRule="atLeast"/>
          <w:jc w:val="center"/>
        </w:trPr>
        <w:tc>
          <w:tcPr>
            <w:tcW w:w="1519" w:type="dxa"/>
            <w:tcBorders>
              <w:top w:val="single" w:color="auto" w:sz="8" w:space="0"/>
              <w:left w:val="single" w:color="auto" w:sz="8" w:space="0"/>
              <w:bottom w:val="single" w:color="auto" w:sz="8" w:space="0"/>
              <w:right w:val="single" w:color="auto" w:sz="8" w:space="0"/>
            </w:tcBorders>
            <w:vAlign w:val="center"/>
          </w:tcPr>
          <w:p w14:paraId="78351C59">
            <w:pPr>
              <w:widowControl/>
              <w:snapToGrid w:val="0"/>
              <w:ind w:left="-3" w:firstLine="576"/>
              <w:jc w:val="left"/>
              <w:rPr>
                <w:rFonts w:ascii="仿宋" w:eastAsia="仿宋" w:cs="宋体"/>
                <w:kern w:val="0"/>
                <w:sz w:val="24"/>
                <w:highlight w:val="none"/>
              </w:rPr>
            </w:pPr>
          </w:p>
        </w:tc>
        <w:tc>
          <w:tcPr>
            <w:tcW w:w="1963" w:type="dxa"/>
            <w:tcBorders>
              <w:top w:val="single" w:color="auto" w:sz="8" w:space="0"/>
              <w:left w:val="single" w:color="auto" w:sz="8" w:space="0"/>
              <w:bottom w:val="single" w:color="auto" w:sz="8" w:space="0"/>
              <w:right w:val="single" w:color="auto" w:sz="8" w:space="0"/>
            </w:tcBorders>
            <w:vAlign w:val="center"/>
          </w:tcPr>
          <w:p w14:paraId="7694F46A">
            <w:pPr>
              <w:widowControl/>
              <w:snapToGrid w:val="0"/>
              <w:ind w:left="-3" w:firstLine="576"/>
              <w:jc w:val="left"/>
              <w:rPr>
                <w:rFonts w:ascii="仿宋" w:eastAsia="仿宋" w:cs="宋体"/>
                <w:kern w:val="0"/>
                <w:sz w:val="24"/>
                <w:highlight w:val="none"/>
              </w:rPr>
            </w:pPr>
          </w:p>
        </w:tc>
        <w:tc>
          <w:tcPr>
            <w:tcW w:w="3441" w:type="dxa"/>
            <w:gridSpan w:val="2"/>
            <w:tcBorders>
              <w:top w:val="single" w:color="auto" w:sz="8" w:space="0"/>
              <w:left w:val="single" w:color="auto" w:sz="8" w:space="0"/>
              <w:bottom w:val="single" w:color="auto" w:sz="8" w:space="0"/>
              <w:right w:val="single" w:color="auto" w:sz="8" w:space="0"/>
            </w:tcBorders>
            <w:vAlign w:val="center"/>
          </w:tcPr>
          <w:p w14:paraId="006FB345">
            <w:pPr>
              <w:widowControl/>
              <w:snapToGrid w:val="0"/>
              <w:ind w:left="-3" w:firstLine="576"/>
              <w:jc w:val="left"/>
              <w:rPr>
                <w:rFonts w:ascii="仿宋" w:eastAsia="仿宋" w:cs="宋体"/>
                <w:kern w:val="0"/>
                <w:sz w:val="24"/>
                <w:highlight w:val="none"/>
              </w:rPr>
            </w:pPr>
          </w:p>
        </w:tc>
        <w:tc>
          <w:tcPr>
            <w:tcW w:w="998" w:type="dxa"/>
            <w:gridSpan w:val="2"/>
            <w:tcBorders>
              <w:top w:val="single" w:color="auto" w:sz="8" w:space="0"/>
              <w:left w:val="single" w:color="auto" w:sz="8" w:space="0"/>
              <w:bottom w:val="single" w:color="auto" w:sz="8" w:space="0"/>
              <w:right w:val="single" w:color="auto" w:sz="8" w:space="0"/>
            </w:tcBorders>
            <w:vAlign w:val="center"/>
          </w:tcPr>
          <w:p w14:paraId="5D077826">
            <w:pPr>
              <w:widowControl/>
              <w:snapToGrid w:val="0"/>
              <w:jc w:val="left"/>
              <w:rPr>
                <w:rFonts w:ascii="仿宋" w:eastAsia="仿宋" w:cs="宋体"/>
                <w:kern w:val="0"/>
                <w:sz w:val="24"/>
                <w:highlight w:val="none"/>
              </w:rPr>
            </w:pPr>
          </w:p>
        </w:tc>
        <w:tc>
          <w:tcPr>
            <w:tcW w:w="1608" w:type="dxa"/>
            <w:tcBorders>
              <w:top w:val="single" w:color="auto" w:sz="8" w:space="0"/>
              <w:left w:val="single" w:color="auto" w:sz="8" w:space="0"/>
              <w:bottom w:val="single" w:color="auto" w:sz="8" w:space="0"/>
              <w:right w:val="single" w:color="auto" w:sz="8" w:space="0"/>
            </w:tcBorders>
            <w:vAlign w:val="center"/>
          </w:tcPr>
          <w:p w14:paraId="1631D3A3">
            <w:pPr>
              <w:widowControl/>
              <w:snapToGrid w:val="0"/>
              <w:jc w:val="left"/>
              <w:rPr>
                <w:rFonts w:ascii="仿宋" w:eastAsia="仿宋" w:cs="宋体"/>
                <w:kern w:val="0"/>
                <w:sz w:val="24"/>
                <w:highlight w:val="none"/>
              </w:rPr>
            </w:pPr>
          </w:p>
        </w:tc>
      </w:tr>
      <w:tr w14:paraId="7F7B54B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87" w:hRule="atLeast"/>
          <w:jc w:val="center"/>
        </w:trPr>
        <w:tc>
          <w:tcPr>
            <w:tcW w:w="1519" w:type="dxa"/>
            <w:tcBorders>
              <w:top w:val="single" w:color="auto" w:sz="8" w:space="0"/>
              <w:left w:val="single" w:color="auto" w:sz="8" w:space="0"/>
              <w:bottom w:val="single" w:color="auto" w:sz="8" w:space="0"/>
              <w:right w:val="single" w:color="auto" w:sz="8" w:space="0"/>
            </w:tcBorders>
            <w:vAlign w:val="center"/>
          </w:tcPr>
          <w:p w14:paraId="40000F0D">
            <w:pPr>
              <w:widowControl/>
              <w:snapToGrid w:val="0"/>
              <w:ind w:left="-3" w:firstLine="576"/>
              <w:jc w:val="left"/>
              <w:rPr>
                <w:rFonts w:ascii="仿宋" w:eastAsia="仿宋" w:cs="宋体"/>
                <w:kern w:val="0"/>
                <w:sz w:val="24"/>
                <w:highlight w:val="none"/>
              </w:rPr>
            </w:pPr>
          </w:p>
        </w:tc>
        <w:tc>
          <w:tcPr>
            <w:tcW w:w="1963" w:type="dxa"/>
            <w:tcBorders>
              <w:top w:val="single" w:color="auto" w:sz="8" w:space="0"/>
              <w:left w:val="single" w:color="auto" w:sz="8" w:space="0"/>
              <w:bottom w:val="single" w:color="auto" w:sz="8" w:space="0"/>
              <w:right w:val="single" w:color="auto" w:sz="8" w:space="0"/>
            </w:tcBorders>
            <w:vAlign w:val="center"/>
          </w:tcPr>
          <w:p w14:paraId="59D63CDE">
            <w:pPr>
              <w:widowControl/>
              <w:snapToGrid w:val="0"/>
              <w:ind w:left="-3" w:firstLine="576"/>
              <w:jc w:val="left"/>
              <w:rPr>
                <w:rFonts w:ascii="仿宋" w:eastAsia="仿宋" w:cs="宋体"/>
                <w:kern w:val="0"/>
                <w:sz w:val="24"/>
                <w:highlight w:val="none"/>
              </w:rPr>
            </w:pPr>
          </w:p>
        </w:tc>
        <w:tc>
          <w:tcPr>
            <w:tcW w:w="3441" w:type="dxa"/>
            <w:gridSpan w:val="2"/>
            <w:tcBorders>
              <w:top w:val="single" w:color="auto" w:sz="8" w:space="0"/>
              <w:left w:val="single" w:color="auto" w:sz="8" w:space="0"/>
              <w:bottom w:val="single" w:color="auto" w:sz="8" w:space="0"/>
              <w:right w:val="single" w:color="auto" w:sz="8" w:space="0"/>
            </w:tcBorders>
            <w:vAlign w:val="center"/>
          </w:tcPr>
          <w:p w14:paraId="61520018">
            <w:pPr>
              <w:widowControl/>
              <w:snapToGrid w:val="0"/>
              <w:ind w:left="-3" w:firstLine="576"/>
              <w:jc w:val="left"/>
              <w:rPr>
                <w:rFonts w:ascii="仿宋" w:eastAsia="仿宋" w:cs="宋体"/>
                <w:kern w:val="0"/>
                <w:sz w:val="24"/>
                <w:highlight w:val="none"/>
              </w:rPr>
            </w:pPr>
          </w:p>
        </w:tc>
        <w:tc>
          <w:tcPr>
            <w:tcW w:w="998" w:type="dxa"/>
            <w:gridSpan w:val="2"/>
            <w:tcBorders>
              <w:top w:val="single" w:color="auto" w:sz="8" w:space="0"/>
              <w:left w:val="single" w:color="auto" w:sz="8" w:space="0"/>
              <w:bottom w:val="single" w:color="auto" w:sz="8" w:space="0"/>
              <w:right w:val="single" w:color="auto" w:sz="8" w:space="0"/>
            </w:tcBorders>
            <w:vAlign w:val="center"/>
          </w:tcPr>
          <w:p w14:paraId="00862540">
            <w:pPr>
              <w:widowControl/>
              <w:snapToGrid w:val="0"/>
              <w:jc w:val="left"/>
              <w:rPr>
                <w:rFonts w:ascii="仿宋" w:eastAsia="仿宋" w:cs="宋体"/>
                <w:kern w:val="0"/>
                <w:sz w:val="24"/>
                <w:highlight w:val="none"/>
              </w:rPr>
            </w:pPr>
          </w:p>
        </w:tc>
        <w:tc>
          <w:tcPr>
            <w:tcW w:w="1608" w:type="dxa"/>
            <w:tcBorders>
              <w:top w:val="single" w:color="auto" w:sz="8" w:space="0"/>
              <w:left w:val="single" w:color="auto" w:sz="8" w:space="0"/>
              <w:bottom w:val="single" w:color="auto" w:sz="8" w:space="0"/>
              <w:right w:val="single" w:color="auto" w:sz="8" w:space="0"/>
            </w:tcBorders>
            <w:vAlign w:val="center"/>
          </w:tcPr>
          <w:p w14:paraId="051837CF">
            <w:pPr>
              <w:widowControl/>
              <w:snapToGrid w:val="0"/>
              <w:jc w:val="left"/>
              <w:rPr>
                <w:rFonts w:ascii="仿宋" w:eastAsia="仿宋" w:cs="宋体"/>
                <w:kern w:val="0"/>
                <w:sz w:val="24"/>
                <w:highlight w:val="none"/>
              </w:rPr>
            </w:pPr>
          </w:p>
        </w:tc>
      </w:tr>
      <w:tr w14:paraId="371C989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87" w:hRule="atLeast"/>
          <w:jc w:val="center"/>
        </w:trPr>
        <w:tc>
          <w:tcPr>
            <w:tcW w:w="1519" w:type="dxa"/>
            <w:tcBorders>
              <w:top w:val="single" w:color="auto" w:sz="8" w:space="0"/>
              <w:left w:val="single" w:color="auto" w:sz="8" w:space="0"/>
              <w:bottom w:val="single" w:color="auto" w:sz="8" w:space="0"/>
              <w:right w:val="single" w:color="auto" w:sz="8" w:space="0"/>
            </w:tcBorders>
            <w:vAlign w:val="center"/>
          </w:tcPr>
          <w:p w14:paraId="1DC44B34">
            <w:pPr>
              <w:widowControl/>
              <w:snapToGrid w:val="0"/>
              <w:ind w:left="-3" w:firstLine="576"/>
              <w:jc w:val="left"/>
              <w:rPr>
                <w:rFonts w:ascii="仿宋" w:eastAsia="仿宋" w:cs="宋体"/>
                <w:kern w:val="0"/>
                <w:sz w:val="24"/>
                <w:highlight w:val="none"/>
              </w:rPr>
            </w:pPr>
          </w:p>
        </w:tc>
        <w:tc>
          <w:tcPr>
            <w:tcW w:w="1963" w:type="dxa"/>
            <w:tcBorders>
              <w:top w:val="single" w:color="auto" w:sz="8" w:space="0"/>
              <w:left w:val="single" w:color="auto" w:sz="8" w:space="0"/>
              <w:bottom w:val="single" w:color="auto" w:sz="8" w:space="0"/>
              <w:right w:val="single" w:color="auto" w:sz="8" w:space="0"/>
            </w:tcBorders>
            <w:vAlign w:val="center"/>
          </w:tcPr>
          <w:p w14:paraId="303734D2">
            <w:pPr>
              <w:widowControl/>
              <w:snapToGrid w:val="0"/>
              <w:ind w:left="-3" w:firstLine="576"/>
              <w:jc w:val="left"/>
              <w:rPr>
                <w:rFonts w:ascii="仿宋" w:eastAsia="仿宋" w:cs="宋体"/>
                <w:kern w:val="0"/>
                <w:sz w:val="24"/>
                <w:highlight w:val="none"/>
              </w:rPr>
            </w:pPr>
          </w:p>
        </w:tc>
        <w:tc>
          <w:tcPr>
            <w:tcW w:w="3441" w:type="dxa"/>
            <w:gridSpan w:val="2"/>
            <w:tcBorders>
              <w:top w:val="single" w:color="auto" w:sz="8" w:space="0"/>
              <w:left w:val="single" w:color="auto" w:sz="8" w:space="0"/>
              <w:bottom w:val="single" w:color="auto" w:sz="8" w:space="0"/>
              <w:right w:val="single" w:color="auto" w:sz="8" w:space="0"/>
            </w:tcBorders>
            <w:vAlign w:val="center"/>
          </w:tcPr>
          <w:p w14:paraId="55C1EBFD">
            <w:pPr>
              <w:widowControl/>
              <w:snapToGrid w:val="0"/>
              <w:ind w:left="-3" w:firstLine="576"/>
              <w:jc w:val="left"/>
              <w:rPr>
                <w:rFonts w:ascii="仿宋" w:eastAsia="仿宋" w:cs="宋体"/>
                <w:kern w:val="0"/>
                <w:sz w:val="24"/>
                <w:highlight w:val="none"/>
              </w:rPr>
            </w:pPr>
          </w:p>
        </w:tc>
        <w:tc>
          <w:tcPr>
            <w:tcW w:w="998" w:type="dxa"/>
            <w:gridSpan w:val="2"/>
            <w:tcBorders>
              <w:top w:val="single" w:color="auto" w:sz="8" w:space="0"/>
              <w:left w:val="single" w:color="auto" w:sz="8" w:space="0"/>
              <w:bottom w:val="single" w:color="auto" w:sz="8" w:space="0"/>
              <w:right w:val="single" w:color="auto" w:sz="8" w:space="0"/>
            </w:tcBorders>
            <w:vAlign w:val="center"/>
          </w:tcPr>
          <w:p w14:paraId="158CB134">
            <w:pPr>
              <w:widowControl/>
              <w:snapToGrid w:val="0"/>
              <w:jc w:val="left"/>
              <w:rPr>
                <w:rFonts w:ascii="仿宋" w:eastAsia="仿宋" w:cs="宋体"/>
                <w:kern w:val="0"/>
                <w:sz w:val="24"/>
                <w:highlight w:val="none"/>
              </w:rPr>
            </w:pPr>
          </w:p>
        </w:tc>
        <w:tc>
          <w:tcPr>
            <w:tcW w:w="1608" w:type="dxa"/>
            <w:tcBorders>
              <w:top w:val="single" w:color="auto" w:sz="8" w:space="0"/>
              <w:left w:val="single" w:color="auto" w:sz="8" w:space="0"/>
              <w:bottom w:val="single" w:color="auto" w:sz="8" w:space="0"/>
              <w:right w:val="single" w:color="auto" w:sz="8" w:space="0"/>
            </w:tcBorders>
            <w:vAlign w:val="center"/>
          </w:tcPr>
          <w:p w14:paraId="32C1C103">
            <w:pPr>
              <w:widowControl/>
              <w:snapToGrid w:val="0"/>
              <w:jc w:val="left"/>
              <w:rPr>
                <w:rFonts w:ascii="仿宋" w:eastAsia="仿宋" w:cs="宋体"/>
                <w:kern w:val="0"/>
                <w:sz w:val="24"/>
                <w:highlight w:val="none"/>
              </w:rPr>
            </w:pPr>
          </w:p>
        </w:tc>
      </w:tr>
      <w:tr w14:paraId="0A7DE0C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41" w:hRule="atLeast"/>
          <w:jc w:val="center"/>
        </w:trPr>
        <w:tc>
          <w:tcPr>
            <w:tcW w:w="1519" w:type="dxa"/>
            <w:tcBorders>
              <w:top w:val="single" w:color="auto" w:sz="8" w:space="0"/>
              <w:left w:val="single" w:color="auto" w:sz="8" w:space="0"/>
              <w:bottom w:val="single" w:color="auto" w:sz="8" w:space="0"/>
              <w:right w:val="single" w:color="auto" w:sz="8" w:space="0"/>
            </w:tcBorders>
            <w:vAlign w:val="center"/>
          </w:tcPr>
          <w:p w14:paraId="1A8570A3">
            <w:pPr>
              <w:widowControl/>
              <w:snapToGrid w:val="0"/>
              <w:jc w:val="left"/>
              <w:rPr>
                <w:rFonts w:ascii="仿宋" w:eastAsia="仿宋" w:cs="宋体"/>
                <w:kern w:val="0"/>
                <w:sz w:val="24"/>
                <w:highlight w:val="none"/>
              </w:rPr>
            </w:pPr>
            <w:r>
              <w:rPr>
                <w:rFonts w:hint="eastAsia" w:ascii="仿宋" w:eastAsia="仿宋" w:cs="宋体"/>
                <w:kern w:val="0"/>
                <w:sz w:val="24"/>
                <w:highlight w:val="none"/>
              </w:rPr>
              <w:t>实际供货日期</w:t>
            </w:r>
          </w:p>
        </w:tc>
        <w:tc>
          <w:tcPr>
            <w:tcW w:w="3542" w:type="dxa"/>
            <w:gridSpan w:val="2"/>
            <w:tcBorders>
              <w:top w:val="single" w:color="auto" w:sz="8" w:space="0"/>
              <w:left w:val="single" w:color="auto" w:sz="8" w:space="0"/>
              <w:bottom w:val="single" w:color="auto" w:sz="8" w:space="0"/>
              <w:right w:val="single" w:color="auto" w:sz="8" w:space="0"/>
            </w:tcBorders>
            <w:vAlign w:val="center"/>
          </w:tcPr>
          <w:p w14:paraId="090C495C">
            <w:pPr>
              <w:snapToGrid w:val="0"/>
              <w:jc w:val="left"/>
              <w:rPr>
                <w:rFonts w:ascii="仿宋" w:eastAsia="仿宋" w:cs="宋体"/>
                <w:kern w:val="0"/>
                <w:sz w:val="24"/>
                <w:highlight w:val="none"/>
              </w:rPr>
            </w:pPr>
          </w:p>
        </w:tc>
        <w:tc>
          <w:tcPr>
            <w:tcW w:w="2522" w:type="dxa"/>
            <w:gridSpan w:val="2"/>
            <w:tcBorders>
              <w:top w:val="single" w:color="auto" w:sz="8" w:space="0"/>
              <w:left w:val="single" w:color="auto" w:sz="8" w:space="0"/>
              <w:bottom w:val="single" w:color="auto" w:sz="8" w:space="0"/>
              <w:right w:val="single" w:color="auto" w:sz="8" w:space="0"/>
            </w:tcBorders>
            <w:vAlign w:val="center"/>
          </w:tcPr>
          <w:p w14:paraId="38F0E2FF">
            <w:pPr>
              <w:snapToGrid w:val="0"/>
              <w:ind w:left="215"/>
              <w:jc w:val="left"/>
              <w:rPr>
                <w:rFonts w:ascii="仿宋" w:eastAsia="仿宋" w:cs="宋体"/>
                <w:kern w:val="0"/>
                <w:sz w:val="24"/>
                <w:highlight w:val="none"/>
              </w:rPr>
            </w:pPr>
            <w:r>
              <w:rPr>
                <w:rFonts w:hint="eastAsia" w:ascii="仿宋" w:eastAsia="仿宋" w:cs="宋体"/>
                <w:kern w:val="0"/>
                <w:sz w:val="24"/>
                <w:highlight w:val="none"/>
              </w:rPr>
              <w:t>合同交货验收日期</w:t>
            </w:r>
          </w:p>
        </w:tc>
        <w:tc>
          <w:tcPr>
            <w:tcW w:w="1946" w:type="dxa"/>
            <w:gridSpan w:val="2"/>
            <w:tcBorders>
              <w:top w:val="single" w:color="auto" w:sz="8" w:space="0"/>
              <w:left w:val="single" w:color="auto" w:sz="8" w:space="0"/>
              <w:bottom w:val="single" w:color="auto" w:sz="8" w:space="0"/>
              <w:right w:val="single" w:color="auto" w:sz="8" w:space="0"/>
            </w:tcBorders>
            <w:vAlign w:val="center"/>
          </w:tcPr>
          <w:p w14:paraId="334F9CD2">
            <w:pPr>
              <w:snapToGrid w:val="0"/>
              <w:jc w:val="left"/>
              <w:rPr>
                <w:rFonts w:ascii="仿宋" w:eastAsia="仿宋" w:cs="宋体"/>
                <w:kern w:val="0"/>
                <w:sz w:val="24"/>
                <w:highlight w:val="none"/>
              </w:rPr>
            </w:pPr>
          </w:p>
        </w:tc>
      </w:tr>
      <w:tr w14:paraId="2F0FECD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93" w:hRule="atLeast"/>
          <w:jc w:val="center"/>
        </w:trPr>
        <w:tc>
          <w:tcPr>
            <w:tcW w:w="1519"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26BE7133">
            <w:pPr>
              <w:widowControl/>
              <w:snapToGrid w:val="0"/>
              <w:jc w:val="left"/>
              <w:rPr>
                <w:rFonts w:ascii="仿宋" w:eastAsia="仿宋" w:cs="宋体"/>
                <w:kern w:val="0"/>
                <w:sz w:val="24"/>
                <w:highlight w:val="none"/>
              </w:rPr>
            </w:pPr>
            <w:r>
              <w:rPr>
                <w:rFonts w:hint="eastAsia" w:ascii="仿宋" w:eastAsia="仿宋" w:cs="宋体"/>
                <w:kern w:val="0"/>
                <w:sz w:val="24"/>
                <w:highlight w:val="none"/>
              </w:rPr>
              <w:t>验收具体内容</w:t>
            </w:r>
          </w:p>
        </w:tc>
        <w:tc>
          <w:tcPr>
            <w:tcW w:w="8010" w:type="dxa"/>
            <w:gridSpan w:val="6"/>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18C3CA45">
            <w:pPr>
              <w:widowControl/>
              <w:snapToGrid w:val="0"/>
              <w:jc w:val="left"/>
              <w:rPr>
                <w:rFonts w:ascii="仿宋" w:eastAsia="仿宋" w:cs="宋体"/>
                <w:kern w:val="0"/>
                <w:sz w:val="24"/>
                <w:highlight w:val="none"/>
              </w:rPr>
            </w:pPr>
            <w:r>
              <w:rPr>
                <w:rFonts w:hint="eastAsia" w:ascii="宋体" w:hAnsi="宋体" w:eastAsia="仿宋" w:cs="宋体"/>
                <w:kern w:val="0"/>
                <w:sz w:val="24"/>
                <w:highlight w:val="none"/>
              </w:rPr>
              <w:t> </w:t>
            </w:r>
            <w:r>
              <w:rPr>
                <w:rFonts w:hint="eastAsia" w:ascii="仿宋" w:eastAsia="仿宋" w:cs="宋体"/>
                <w:kern w:val="0"/>
                <w:sz w:val="24"/>
                <w:highlight w:val="none"/>
              </w:rPr>
              <w:t>(按招标采购文件、竞标文件及验收方案等。可附件)</w:t>
            </w:r>
          </w:p>
        </w:tc>
      </w:tr>
      <w:tr w14:paraId="252D3F0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449" w:hRule="atLeast"/>
          <w:jc w:val="center"/>
        </w:trPr>
        <w:tc>
          <w:tcPr>
            <w:tcW w:w="1519"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45ED5239">
            <w:pPr>
              <w:widowControl/>
              <w:jc w:val="left"/>
              <w:rPr>
                <w:rFonts w:ascii="仿宋" w:eastAsia="仿宋" w:cs="宋体"/>
                <w:kern w:val="0"/>
                <w:sz w:val="24"/>
                <w:highlight w:val="none"/>
              </w:rPr>
            </w:pPr>
            <w:r>
              <w:rPr>
                <w:rFonts w:hint="eastAsia" w:ascii="仿宋" w:eastAsia="仿宋" w:cs="宋体"/>
                <w:kern w:val="0"/>
                <w:sz w:val="24"/>
                <w:highlight w:val="none"/>
              </w:rPr>
              <w:t>验收小组意见</w:t>
            </w:r>
          </w:p>
        </w:tc>
        <w:tc>
          <w:tcPr>
            <w:tcW w:w="8010" w:type="dxa"/>
            <w:gridSpan w:val="6"/>
            <w:tcBorders>
              <w:top w:val="single" w:color="auto" w:sz="8" w:space="0"/>
              <w:left w:val="single" w:color="auto" w:sz="8" w:space="0"/>
              <w:bottom w:val="single" w:color="auto" w:sz="8" w:space="0"/>
              <w:right w:val="single" w:color="auto" w:sz="8" w:space="0"/>
            </w:tcBorders>
            <w:vAlign w:val="center"/>
          </w:tcPr>
          <w:p w14:paraId="701115F4">
            <w:pPr>
              <w:widowControl/>
              <w:jc w:val="left"/>
              <w:rPr>
                <w:rFonts w:ascii="仿宋" w:eastAsia="仿宋" w:cs="宋体"/>
                <w:kern w:val="0"/>
                <w:sz w:val="24"/>
                <w:highlight w:val="none"/>
              </w:rPr>
            </w:pPr>
            <w:r>
              <w:rPr>
                <w:rFonts w:hint="eastAsia" w:ascii="宋体" w:hAnsi="宋体" w:eastAsia="仿宋" w:cs="宋体"/>
                <w:kern w:val="0"/>
                <w:sz w:val="24"/>
                <w:highlight w:val="none"/>
              </w:rPr>
              <w:t> </w:t>
            </w:r>
          </w:p>
          <w:p w14:paraId="349B33F0">
            <w:pPr>
              <w:widowControl/>
              <w:jc w:val="left"/>
              <w:rPr>
                <w:rFonts w:ascii="仿宋" w:eastAsia="仿宋" w:cs="宋体"/>
                <w:kern w:val="0"/>
                <w:sz w:val="24"/>
                <w:highlight w:val="none"/>
              </w:rPr>
            </w:pPr>
            <w:r>
              <w:rPr>
                <w:rFonts w:hint="eastAsia" w:ascii="宋体" w:hAnsi="宋体" w:eastAsia="仿宋" w:cs="宋体"/>
                <w:kern w:val="0"/>
                <w:sz w:val="24"/>
                <w:highlight w:val="none"/>
              </w:rPr>
              <w:t> </w:t>
            </w:r>
          </w:p>
        </w:tc>
      </w:tr>
      <w:tr w14:paraId="17B9578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11" w:hRule="atLeast"/>
          <w:jc w:val="center"/>
        </w:trPr>
        <w:tc>
          <w:tcPr>
            <w:tcW w:w="9529" w:type="dxa"/>
            <w:gridSpan w:val="7"/>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45A87FEE">
            <w:pPr>
              <w:widowControl/>
              <w:jc w:val="left"/>
              <w:rPr>
                <w:rFonts w:ascii="仿宋" w:eastAsia="仿宋" w:cs="宋体"/>
                <w:kern w:val="0"/>
                <w:sz w:val="24"/>
                <w:highlight w:val="none"/>
              </w:rPr>
            </w:pPr>
            <w:r>
              <w:rPr>
                <w:rFonts w:hint="eastAsia" w:ascii="仿宋" w:eastAsia="仿宋" w:cs="宋体"/>
                <w:kern w:val="0"/>
                <w:sz w:val="24"/>
                <w:highlight w:val="none"/>
              </w:rPr>
              <w:t>验收小组成员签字：</w:t>
            </w:r>
          </w:p>
        </w:tc>
      </w:tr>
      <w:tr w14:paraId="13250E5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11" w:hRule="atLeast"/>
          <w:jc w:val="center"/>
        </w:trPr>
        <w:tc>
          <w:tcPr>
            <w:tcW w:w="9529" w:type="dxa"/>
            <w:gridSpan w:val="7"/>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078550CC">
            <w:pPr>
              <w:widowControl/>
              <w:jc w:val="left"/>
              <w:rPr>
                <w:rFonts w:ascii="仿宋" w:eastAsia="仿宋" w:cs="宋体"/>
                <w:kern w:val="0"/>
                <w:sz w:val="24"/>
                <w:highlight w:val="none"/>
              </w:rPr>
            </w:pPr>
            <w:r>
              <w:rPr>
                <w:rFonts w:hint="eastAsia" w:ascii="仿宋" w:eastAsia="仿宋" w:cs="宋体"/>
                <w:kern w:val="0"/>
                <w:sz w:val="24"/>
                <w:highlight w:val="none"/>
              </w:rPr>
              <w:t>参与验收其他或监督人员签字：</w:t>
            </w:r>
          </w:p>
        </w:tc>
      </w:tr>
      <w:tr w14:paraId="124150F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113" w:hRule="atLeast"/>
          <w:jc w:val="center"/>
        </w:trPr>
        <w:tc>
          <w:tcPr>
            <w:tcW w:w="5061" w:type="dxa"/>
            <w:gridSpan w:val="3"/>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633BD044">
            <w:pPr>
              <w:widowControl/>
              <w:jc w:val="left"/>
              <w:rPr>
                <w:rFonts w:ascii="仿宋" w:eastAsia="仿宋" w:cs="宋体"/>
                <w:kern w:val="0"/>
                <w:sz w:val="24"/>
                <w:highlight w:val="none"/>
              </w:rPr>
            </w:pPr>
            <w:r>
              <w:rPr>
                <w:rFonts w:hint="eastAsia" w:ascii="仿宋" w:eastAsia="仿宋" w:cs="宋体"/>
                <w:kern w:val="0"/>
                <w:sz w:val="24"/>
                <w:highlight w:val="none"/>
              </w:rPr>
              <w:t>供应商签字或盖章：</w:t>
            </w:r>
          </w:p>
          <w:p w14:paraId="37FFB7AF">
            <w:pPr>
              <w:widowControl/>
              <w:jc w:val="left"/>
              <w:rPr>
                <w:rFonts w:ascii="仿宋" w:eastAsia="仿宋" w:cs="宋体"/>
                <w:kern w:val="0"/>
                <w:sz w:val="24"/>
                <w:highlight w:val="none"/>
              </w:rPr>
            </w:pPr>
            <w:r>
              <w:rPr>
                <w:rFonts w:hint="eastAsia" w:ascii="仿宋" w:eastAsia="仿宋" w:cs="宋体"/>
                <w:kern w:val="0"/>
                <w:sz w:val="24"/>
                <w:highlight w:val="none"/>
              </w:rPr>
              <w:t>联系方式：</w:t>
            </w:r>
            <w:r>
              <w:rPr>
                <w:rFonts w:hint="eastAsia" w:ascii="宋体" w:hAnsi="宋体" w:eastAsia="仿宋" w:cs="宋体"/>
                <w:kern w:val="0"/>
                <w:sz w:val="24"/>
                <w:highlight w:val="none"/>
              </w:rPr>
              <w:t>      </w:t>
            </w:r>
            <w:r>
              <w:rPr>
                <w:rFonts w:hint="eastAsia" w:ascii="仿宋" w:eastAsia="仿宋" w:cs="宋体"/>
                <w:kern w:val="0"/>
                <w:sz w:val="24"/>
                <w:highlight w:val="none"/>
              </w:rPr>
              <w:t xml:space="preserve"> </w:t>
            </w:r>
            <w:r>
              <w:rPr>
                <w:rFonts w:hint="eastAsia" w:ascii="宋体" w:hAnsi="宋体" w:eastAsia="仿宋" w:cs="宋体"/>
                <w:kern w:val="0"/>
                <w:sz w:val="24"/>
                <w:highlight w:val="none"/>
              </w:rPr>
              <w:t>  </w:t>
            </w:r>
            <w:r>
              <w:rPr>
                <w:rFonts w:hint="eastAsia" w:ascii="仿宋" w:eastAsia="仿宋" w:cs="宋体"/>
                <w:kern w:val="0"/>
                <w:sz w:val="24"/>
                <w:highlight w:val="none"/>
              </w:rPr>
              <w:t>年</w:t>
            </w:r>
            <w:r>
              <w:rPr>
                <w:rFonts w:hint="eastAsia" w:ascii="宋体" w:hAnsi="宋体" w:eastAsia="仿宋" w:cs="宋体"/>
                <w:kern w:val="0"/>
                <w:sz w:val="24"/>
                <w:highlight w:val="none"/>
              </w:rPr>
              <w:t> </w:t>
            </w:r>
            <w:r>
              <w:rPr>
                <w:rFonts w:hint="eastAsia" w:ascii="仿宋" w:eastAsia="仿宋" w:cs="宋体"/>
                <w:kern w:val="0"/>
                <w:sz w:val="24"/>
                <w:highlight w:val="none"/>
              </w:rPr>
              <w:t>月</w:t>
            </w:r>
            <w:r>
              <w:rPr>
                <w:rFonts w:hint="eastAsia" w:ascii="宋体" w:hAnsi="宋体" w:eastAsia="仿宋" w:cs="宋体"/>
                <w:kern w:val="0"/>
                <w:sz w:val="24"/>
                <w:highlight w:val="none"/>
              </w:rPr>
              <w:t> </w:t>
            </w:r>
            <w:r>
              <w:rPr>
                <w:rFonts w:hint="eastAsia" w:ascii="仿宋" w:eastAsia="仿宋" w:cs="宋体"/>
                <w:kern w:val="0"/>
                <w:sz w:val="24"/>
                <w:highlight w:val="none"/>
              </w:rPr>
              <w:t>日</w:t>
            </w:r>
          </w:p>
        </w:tc>
        <w:tc>
          <w:tcPr>
            <w:tcW w:w="4468" w:type="dxa"/>
            <w:gridSpan w:val="4"/>
            <w:tcBorders>
              <w:top w:val="single" w:color="auto" w:sz="8" w:space="0"/>
              <w:left w:val="single" w:color="auto" w:sz="8" w:space="0"/>
              <w:bottom w:val="single" w:color="auto" w:sz="8" w:space="0"/>
              <w:right w:val="single" w:color="auto" w:sz="8" w:space="0"/>
            </w:tcBorders>
            <w:vAlign w:val="center"/>
          </w:tcPr>
          <w:p w14:paraId="3D51A192">
            <w:pPr>
              <w:widowControl/>
              <w:jc w:val="left"/>
              <w:rPr>
                <w:rFonts w:ascii="仿宋" w:eastAsia="仿宋" w:cs="宋体"/>
                <w:kern w:val="0"/>
                <w:sz w:val="24"/>
                <w:highlight w:val="none"/>
              </w:rPr>
            </w:pPr>
            <w:r>
              <w:rPr>
                <w:rFonts w:hint="eastAsia" w:ascii="宋体" w:hAnsi="宋体" w:eastAsia="仿宋" w:cs="宋体"/>
                <w:kern w:val="0"/>
                <w:sz w:val="24"/>
                <w:highlight w:val="none"/>
              </w:rPr>
              <w:t> </w:t>
            </w:r>
            <w:r>
              <w:rPr>
                <w:rFonts w:hint="eastAsia" w:ascii="仿宋" w:eastAsia="仿宋" w:cs="宋体"/>
                <w:kern w:val="0"/>
                <w:sz w:val="24"/>
                <w:highlight w:val="none"/>
              </w:rPr>
              <w:t>采购单位盖章：</w:t>
            </w:r>
          </w:p>
          <w:p w14:paraId="7B6D2E10">
            <w:pPr>
              <w:widowControl/>
              <w:ind w:firstLine="2119"/>
              <w:jc w:val="left"/>
              <w:rPr>
                <w:rFonts w:ascii="仿宋" w:eastAsia="仿宋" w:cs="宋体"/>
                <w:kern w:val="0"/>
                <w:sz w:val="24"/>
                <w:highlight w:val="none"/>
              </w:rPr>
            </w:pPr>
            <w:r>
              <w:rPr>
                <w:rFonts w:hint="eastAsia" w:ascii="仿宋" w:eastAsia="仿宋" w:cs="宋体"/>
                <w:kern w:val="0"/>
                <w:sz w:val="24"/>
                <w:highlight w:val="none"/>
              </w:rPr>
              <w:t>年</w:t>
            </w:r>
            <w:r>
              <w:rPr>
                <w:rFonts w:hint="eastAsia" w:ascii="宋体" w:hAnsi="宋体" w:eastAsia="仿宋" w:cs="宋体"/>
                <w:kern w:val="0"/>
                <w:sz w:val="24"/>
                <w:highlight w:val="none"/>
              </w:rPr>
              <w:t> </w:t>
            </w:r>
            <w:r>
              <w:rPr>
                <w:rFonts w:hint="eastAsia" w:ascii="仿宋" w:eastAsia="仿宋" w:cs="宋体"/>
                <w:kern w:val="0"/>
                <w:sz w:val="24"/>
                <w:highlight w:val="none"/>
              </w:rPr>
              <w:t>月</w:t>
            </w:r>
            <w:r>
              <w:rPr>
                <w:rFonts w:hint="eastAsia" w:ascii="宋体" w:hAnsi="宋体" w:eastAsia="仿宋" w:cs="宋体"/>
                <w:kern w:val="0"/>
                <w:sz w:val="24"/>
                <w:highlight w:val="none"/>
              </w:rPr>
              <w:t> </w:t>
            </w:r>
            <w:r>
              <w:rPr>
                <w:rFonts w:hint="eastAsia" w:ascii="仿宋" w:eastAsia="仿宋" w:cs="宋体"/>
                <w:kern w:val="0"/>
                <w:sz w:val="24"/>
                <w:highlight w:val="none"/>
              </w:rPr>
              <w:t>日</w:t>
            </w:r>
          </w:p>
        </w:tc>
      </w:tr>
    </w:tbl>
    <w:p w14:paraId="2C83DA0F">
      <w:r>
        <w:rPr>
          <w:rFonts w:hint="eastAsia" w:ascii="仿宋" w:eastAsia="仿宋" w:cs="宋体"/>
          <w:kern w:val="0"/>
          <w:sz w:val="18"/>
          <w:szCs w:val="18"/>
          <w:highlight w:val="none"/>
        </w:rPr>
        <w:t>备注：本报告单一式4份（采购单位1份、供应商1份、采购监督部门备案1份、采购代理机构1份）。</w:t>
      </w:r>
    </w:p>
    <w:p w14:paraId="56FA8530">
      <w:pPr>
        <w:pStyle w:val="11"/>
      </w:pPr>
    </w:p>
    <w:sectPr>
      <w:headerReference r:id="rId6" w:type="default"/>
      <w:footerReference r:id="rId7" w:type="default"/>
      <w:pgSz w:w="11906" w:h="16838"/>
      <w:pgMar w:top="1134" w:right="1531" w:bottom="113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华文新魏">
    <w:altName w:val="宋体"/>
    <w:panose1 w:val="02010800040101010101"/>
    <w:charset w:val="86"/>
    <w:family w:val="auto"/>
    <w:pitch w:val="default"/>
    <w:sig w:usb0="00000000" w:usb1="00000000" w:usb2="00000000" w:usb3="00000000" w:csb0="00040000" w:csb1="00000000"/>
  </w:font>
  <w:font w:name="方正美黑简体">
    <w:altName w:val="黑体"/>
    <w:panose1 w:val="03000509000000000000"/>
    <w:charset w:val="86"/>
    <w:family w:val="auto"/>
    <w:pitch w:val="default"/>
    <w:sig w:usb0="00000000" w:usb1="00000000" w:usb2="00000000" w:usb3="00000000" w:csb0="00040000" w:csb1="00000000"/>
  </w:font>
  <w:font w:name="汉仪魏碑简">
    <w:altName w:val="黑体"/>
    <w:panose1 w:val="00000000000000000000"/>
    <w:charset w:val="86"/>
    <w:family w:val="modern"/>
    <w:pitch w:val="default"/>
    <w:sig w:usb0="00000000" w:usb1="00000000" w:usb2="00000012"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微软雅黑">
    <w:panose1 w:val="020B0503020204020204"/>
    <w:charset w:val="86"/>
    <w:family w:val="swiss"/>
    <w:pitch w:val="default"/>
    <w:sig w:usb0="80000287" w:usb1="2ACF3C50" w:usb2="00000016" w:usb3="00000000" w:csb0="0004001F" w:csb1="00000000"/>
  </w:font>
  <w:font w:name="方正小标宋简体">
    <w:altName w:val="黑体"/>
    <w:panose1 w:val="02010601030101010101"/>
    <w:charset w:val="86"/>
    <w:family w:val="auto"/>
    <w:pitch w:val="default"/>
    <w:sig w:usb0="00000000" w:usb1="00000000" w:usb2="00000000" w:usb3="00000000" w:csb0="00040000" w:csb1="00000000"/>
  </w:font>
  <w:font w:name="TimesNewRomanPSMT">
    <w:altName w:val="Times New Roman"/>
    <w:panose1 w:val="00000000000000000000"/>
    <w:charset w:val="00"/>
    <w:family w:val="roman"/>
    <w:pitch w:val="default"/>
    <w:sig w:usb0="00000000" w:usb1="00000000" w:usb2="00000000" w:usb3="00000000" w:csb0="00000001" w:csb1="00000000"/>
  </w:font>
  <w:font w:name="新宋体">
    <w:panose1 w:val="02010609030101010101"/>
    <w:charset w:val="86"/>
    <w:family w:val="modern"/>
    <w:pitch w:val="default"/>
    <w:sig w:usb0="00000283" w:usb1="288F0000" w:usb2="00000006" w:usb3="00000000" w:csb0="00040001"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SOF439EEF5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F6B76">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E4B8258">
                          <w:pPr>
                            <w:pStyle w:val="11"/>
                          </w:pPr>
                          <w:r>
                            <w:fldChar w:fldCharType="begin"/>
                          </w:r>
                          <w:r>
                            <w:instrText xml:space="preserve"> PAGE  \* MERGEFORMAT </w:instrText>
                          </w:r>
                          <w:r>
                            <w:fldChar w:fldCharType="separate"/>
                          </w:r>
                          <w:r>
                            <w:t>8</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ovrIMkBAACZAwAADgAAAGRycy9lMm9Eb2MueG1srVPNjtMwEL4j8Q6W&#10;79RptUJ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qi+sgyQEAAJkDAAAOAAAAAAAAAAEAIAAAAB4BAABkcnMvZTJvRG9j&#10;LnhtbFBLBQYAAAAABgAGAFkBAABZBQAAAAA=&#10;">
              <v:fill on="f" focussize="0,0"/>
              <v:stroke on="f"/>
              <v:imagedata o:title=""/>
              <o:lock v:ext="edit" aspectratio="f"/>
              <v:textbox inset="0mm,0mm,0mm,0mm" style="mso-fit-shape-to-text:t;">
                <w:txbxContent>
                  <w:p w14:paraId="6E4B8258">
                    <w:pPr>
                      <w:pStyle w:val="11"/>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53972">
    <w:pPr>
      <w:pStyle w:val="11"/>
      <w:framePr w:wrap="around" w:vAnchor="text" w:hAnchor="margin" w:xAlign="center" w:y="1"/>
      <w:rPr>
        <w:rStyle w:val="23"/>
      </w:rPr>
    </w:pPr>
    <w:r>
      <w:fldChar w:fldCharType="begin"/>
    </w:r>
    <w:r>
      <w:rPr>
        <w:rStyle w:val="23"/>
      </w:rPr>
      <w:instrText xml:space="preserve">PAGE  </w:instrText>
    </w:r>
    <w:r>
      <w:fldChar w:fldCharType="separate"/>
    </w:r>
    <w:r>
      <w:rPr>
        <w:rStyle w:val="23"/>
      </w:rPr>
      <w:t>1</w:t>
    </w:r>
    <w:r>
      <w:fldChar w:fldCharType="end"/>
    </w:r>
  </w:p>
  <w:p w14:paraId="449BEE86">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8769B">
    <w:pPr>
      <w:pStyle w:val="11"/>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F7E9515">
                          <w:pPr>
                            <w:pStyle w:val="11"/>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vvpskBAACZAwAADgAAAGRycy9lMm9Eb2MueG1srVPNjtMwEL4j8Q6W&#10;79RpV0J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6u++myQEAAJkDAAAOAAAAAAAAAAEAIAAAAB4BAABkcnMvZTJvRG9j&#10;LnhtbFBLBQYAAAAABgAGAFkBAABZBQAAAAA=&#10;">
              <v:fill on="f" focussize="0,0"/>
              <v:stroke on="f"/>
              <v:imagedata o:title=""/>
              <o:lock v:ext="edit" aspectratio="f"/>
              <v:textbox inset="0mm,0mm,0mm,0mm" style="mso-fit-shape-to-text:t;">
                <w:txbxContent>
                  <w:p w14:paraId="1F7E9515">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3926C">
    <w:pPr>
      <w:pStyle w:val="11"/>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115CC56">
                          <w:pPr>
                            <w:pStyle w:val="11"/>
                          </w:pPr>
                          <w:r>
                            <w:fldChar w:fldCharType="begin"/>
                          </w:r>
                          <w:r>
                            <w:instrText xml:space="preserve"> PAGE  \* MERGEFORMAT </w:instrText>
                          </w:r>
                          <w:r>
                            <w:fldChar w:fldCharType="separate"/>
                          </w:r>
                          <w:r>
                            <w:t>78</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u1cF8kBAACZAwAADgAAAGRycy9lMm9Eb2MueG1srVPNjtMwEL4j8Q6W&#10;79RppUV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a7VwXyQEAAJkDAAAOAAAAAAAAAAEAIAAAAB4BAABkcnMvZTJvRG9j&#10;LnhtbFBLBQYAAAAABgAGAFkBAABZBQAAAAA=&#10;">
              <v:fill on="f" focussize="0,0"/>
              <v:stroke on="f"/>
              <v:imagedata o:title=""/>
              <o:lock v:ext="edit" aspectratio="f"/>
              <v:textbox inset="0mm,0mm,0mm,0mm" style="mso-fit-shape-to-text:t;">
                <w:txbxContent>
                  <w:p w14:paraId="4115CC56">
                    <w:pPr>
                      <w:pStyle w:val="11"/>
                    </w:pPr>
                    <w:r>
                      <w:fldChar w:fldCharType="begin"/>
                    </w:r>
                    <w:r>
                      <w:instrText xml:space="preserve"> PAGE  \* MERGEFORMAT </w:instrText>
                    </w:r>
                    <w:r>
                      <w:fldChar w:fldCharType="separate"/>
                    </w:r>
                    <w:r>
                      <w:t>78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E33D0">
    <w:pPr>
      <w:pStyle w:val="12"/>
      <w:rPr>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536EA1"/>
    <w:multiLevelType w:val="singleLevel"/>
    <w:tmpl w:val="B8536EA1"/>
    <w:lvl w:ilvl="0" w:tentative="0">
      <w:start w:val="1"/>
      <w:numFmt w:val="decimal"/>
      <w:suff w:val="nothing"/>
      <w:lvlText w:val="（%1）"/>
      <w:lvlJc w:val="left"/>
    </w:lvl>
  </w:abstractNum>
  <w:abstractNum w:abstractNumId="1">
    <w:nsid w:val="BF839357"/>
    <w:multiLevelType w:val="singleLevel"/>
    <w:tmpl w:val="BF839357"/>
    <w:lvl w:ilvl="0" w:tentative="0">
      <w:start w:val="6"/>
      <w:numFmt w:val="decimal"/>
      <w:suff w:val="space"/>
      <w:lvlText w:val="%1."/>
      <w:lvlJc w:val="left"/>
    </w:lvl>
  </w:abstractNum>
  <w:abstractNum w:abstractNumId="2">
    <w:nsid w:val="7AE747BB"/>
    <w:multiLevelType w:val="multilevel"/>
    <w:tmpl w:val="7AE747BB"/>
    <w:lvl w:ilvl="0" w:tentative="0">
      <w:start w:val="1"/>
      <w:numFmt w:val="decimalEnclosedCircle"/>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QzZjVhOTU5YmNkYWNiMTgyNTRjNTdjODNmY2NhZjkifQ=="/>
  </w:docVars>
  <w:rsids>
    <w:rsidRoot w:val="008E6949"/>
    <w:rsid w:val="00007A86"/>
    <w:rsid w:val="00025B26"/>
    <w:rsid w:val="0004787F"/>
    <w:rsid w:val="00097296"/>
    <w:rsid w:val="000B6652"/>
    <w:rsid w:val="000D46D0"/>
    <w:rsid w:val="000F4B8A"/>
    <w:rsid w:val="0011250B"/>
    <w:rsid w:val="00161F2D"/>
    <w:rsid w:val="001D2A8B"/>
    <w:rsid w:val="0026499B"/>
    <w:rsid w:val="002B6923"/>
    <w:rsid w:val="002C6160"/>
    <w:rsid w:val="002D2DD7"/>
    <w:rsid w:val="003015D3"/>
    <w:rsid w:val="00305858"/>
    <w:rsid w:val="003246DD"/>
    <w:rsid w:val="00377DFD"/>
    <w:rsid w:val="003C16C2"/>
    <w:rsid w:val="003D4D69"/>
    <w:rsid w:val="003E0180"/>
    <w:rsid w:val="003E50A1"/>
    <w:rsid w:val="003F061D"/>
    <w:rsid w:val="00422992"/>
    <w:rsid w:val="00463D4A"/>
    <w:rsid w:val="00474764"/>
    <w:rsid w:val="00487492"/>
    <w:rsid w:val="0050603A"/>
    <w:rsid w:val="005A6B0C"/>
    <w:rsid w:val="006139E9"/>
    <w:rsid w:val="00626A93"/>
    <w:rsid w:val="006274B8"/>
    <w:rsid w:val="006501BD"/>
    <w:rsid w:val="00666404"/>
    <w:rsid w:val="00695371"/>
    <w:rsid w:val="006C537A"/>
    <w:rsid w:val="006F0954"/>
    <w:rsid w:val="006F6DB1"/>
    <w:rsid w:val="007171FC"/>
    <w:rsid w:val="00724552"/>
    <w:rsid w:val="007357BF"/>
    <w:rsid w:val="00775988"/>
    <w:rsid w:val="007C2D41"/>
    <w:rsid w:val="00801E97"/>
    <w:rsid w:val="00822CEC"/>
    <w:rsid w:val="00867EBB"/>
    <w:rsid w:val="008A38CF"/>
    <w:rsid w:val="008B35D8"/>
    <w:rsid w:val="008B5AFF"/>
    <w:rsid w:val="008E6949"/>
    <w:rsid w:val="008F4327"/>
    <w:rsid w:val="00922746"/>
    <w:rsid w:val="009578BF"/>
    <w:rsid w:val="00974A1C"/>
    <w:rsid w:val="00A24B0D"/>
    <w:rsid w:val="00AA28C6"/>
    <w:rsid w:val="00AB5DF0"/>
    <w:rsid w:val="00AC4417"/>
    <w:rsid w:val="00AC5E40"/>
    <w:rsid w:val="00AE3F7D"/>
    <w:rsid w:val="00AE4512"/>
    <w:rsid w:val="00B37C80"/>
    <w:rsid w:val="00B54165"/>
    <w:rsid w:val="00C47652"/>
    <w:rsid w:val="00C7337D"/>
    <w:rsid w:val="00C811B0"/>
    <w:rsid w:val="00D06DD6"/>
    <w:rsid w:val="00D15D67"/>
    <w:rsid w:val="00D208B4"/>
    <w:rsid w:val="00D23242"/>
    <w:rsid w:val="00D51D8E"/>
    <w:rsid w:val="00D65D43"/>
    <w:rsid w:val="00D94D18"/>
    <w:rsid w:val="00DB4ECD"/>
    <w:rsid w:val="00E16A75"/>
    <w:rsid w:val="00E27CF4"/>
    <w:rsid w:val="00E313C9"/>
    <w:rsid w:val="00E33AF0"/>
    <w:rsid w:val="00E52F76"/>
    <w:rsid w:val="00EC1219"/>
    <w:rsid w:val="00EC167D"/>
    <w:rsid w:val="00F10830"/>
    <w:rsid w:val="00F11795"/>
    <w:rsid w:val="00F7253C"/>
    <w:rsid w:val="00FB7B64"/>
    <w:rsid w:val="019127B6"/>
    <w:rsid w:val="01B2494B"/>
    <w:rsid w:val="01B841E6"/>
    <w:rsid w:val="01FE5971"/>
    <w:rsid w:val="022E4F76"/>
    <w:rsid w:val="02A20E4E"/>
    <w:rsid w:val="02A604E3"/>
    <w:rsid w:val="02BA4A6E"/>
    <w:rsid w:val="02F25BE5"/>
    <w:rsid w:val="035E0DBD"/>
    <w:rsid w:val="03C14D77"/>
    <w:rsid w:val="03F23F02"/>
    <w:rsid w:val="04115E30"/>
    <w:rsid w:val="04237339"/>
    <w:rsid w:val="044216AA"/>
    <w:rsid w:val="04911C2D"/>
    <w:rsid w:val="058645FB"/>
    <w:rsid w:val="06255BC2"/>
    <w:rsid w:val="06392B1B"/>
    <w:rsid w:val="06DD649D"/>
    <w:rsid w:val="06E4782C"/>
    <w:rsid w:val="072E3B67"/>
    <w:rsid w:val="07A305E0"/>
    <w:rsid w:val="07DF72C2"/>
    <w:rsid w:val="07EF6488"/>
    <w:rsid w:val="0803562C"/>
    <w:rsid w:val="080B1BCE"/>
    <w:rsid w:val="0895349E"/>
    <w:rsid w:val="094E3682"/>
    <w:rsid w:val="09880942"/>
    <w:rsid w:val="09A03EDE"/>
    <w:rsid w:val="09A92667"/>
    <w:rsid w:val="09DF6B75"/>
    <w:rsid w:val="09E162A4"/>
    <w:rsid w:val="0A083831"/>
    <w:rsid w:val="0A1C108A"/>
    <w:rsid w:val="0A644B38"/>
    <w:rsid w:val="0A6F1B02"/>
    <w:rsid w:val="0AA572D2"/>
    <w:rsid w:val="0AE93662"/>
    <w:rsid w:val="0B23671A"/>
    <w:rsid w:val="0BA10CE2"/>
    <w:rsid w:val="0BCB5357"/>
    <w:rsid w:val="0BE107DE"/>
    <w:rsid w:val="0BE45BD8"/>
    <w:rsid w:val="0BFA1670"/>
    <w:rsid w:val="0C364685"/>
    <w:rsid w:val="0CAB4F43"/>
    <w:rsid w:val="0CBC51D5"/>
    <w:rsid w:val="0D044784"/>
    <w:rsid w:val="0D1624EF"/>
    <w:rsid w:val="0D2564A8"/>
    <w:rsid w:val="0D3112F1"/>
    <w:rsid w:val="0D35493D"/>
    <w:rsid w:val="0DA1660A"/>
    <w:rsid w:val="0DAA3099"/>
    <w:rsid w:val="0E091442"/>
    <w:rsid w:val="0E2C407B"/>
    <w:rsid w:val="0E3F3599"/>
    <w:rsid w:val="0E625C06"/>
    <w:rsid w:val="0E6426BD"/>
    <w:rsid w:val="0E8536A2"/>
    <w:rsid w:val="0ED91C40"/>
    <w:rsid w:val="0EF1082C"/>
    <w:rsid w:val="0EF141A1"/>
    <w:rsid w:val="0F0E7CF3"/>
    <w:rsid w:val="0F2C0E62"/>
    <w:rsid w:val="0F2F360E"/>
    <w:rsid w:val="0F601A19"/>
    <w:rsid w:val="0FB23063"/>
    <w:rsid w:val="0FC709ED"/>
    <w:rsid w:val="10594627"/>
    <w:rsid w:val="10C85EC9"/>
    <w:rsid w:val="10FC080A"/>
    <w:rsid w:val="10FE598E"/>
    <w:rsid w:val="110E1F50"/>
    <w:rsid w:val="11A629AF"/>
    <w:rsid w:val="11EB777E"/>
    <w:rsid w:val="11FC016B"/>
    <w:rsid w:val="12463148"/>
    <w:rsid w:val="129B0ABC"/>
    <w:rsid w:val="129D0D2A"/>
    <w:rsid w:val="131274CE"/>
    <w:rsid w:val="1376180B"/>
    <w:rsid w:val="13833F28"/>
    <w:rsid w:val="13A179F5"/>
    <w:rsid w:val="13BD38DE"/>
    <w:rsid w:val="13EB21F9"/>
    <w:rsid w:val="14044B7C"/>
    <w:rsid w:val="142522CB"/>
    <w:rsid w:val="14294AD0"/>
    <w:rsid w:val="146D179A"/>
    <w:rsid w:val="147E7347"/>
    <w:rsid w:val="148443FC"/>
    <w:rsid w:val="14FC6B60"/>
    <w:rsid w:val="150F121E"/>
    <w:rsid w:val="151463C7"/>
    <w:rsid w:val="153567EB"/>
    <w:rsid w:val="155D221B"/>
    <w:rsid w:val="167F30CD"/>
    <w:rsid w:val="169052DA"/>
    <w:rsid w:val="16B23F8B"/>
    <w:rsid w:val="16C736A9"/>
    <w:rsid w:val="173619DD"/>
    <w:rsid w:val="17493974"/>
    <w:rsid w:val="175212DA"/>
    <w:rsid w:val="17D82143"/>
    <w:rsid w:val="180E797D"/>
    <w:rsid w:val="18C43019"/>
    <w:rsid w:val="190A2398"/>
    <w:rsid w:val="1921046B"/>
    <w:rsid w:val="195C1829"/>
    <w:rsid w:val="19B1359D"/>
    <w:rsid w:val="19CE23A9"/>
    <w:rsid w:val="19FE07AD"/>
    <w:rsid w:val="1A044015"/>
    <w:rsid w:val="1AEC0D6E"/>
    <w:rsid w:val="1AFD2812"/>
    <w:rsid w:val="1B3E70B3"/>
    <w:rsid w:val="1B44206A"/>
    <w:rsid w:val="1B5A1A13"/>
    <w:rsid w:val="1B8D3B96"/>
    <w:rsid w:val="1B965141"/>
    <w:rsid w:val="1BB235FD"/>
    <w:rsid w:val="1BE539D2"/>
    <w:rsid w:val="1BED0AD9"/>
    <w:rsid w:val="1BEF4851"/>
    <w:rsid w:val="1C9E06F1"/>
    <w:rsid w:val="1CC82A58"/>
    <w:rsid w:val="1CDF48C5"/>
    <w:rsid w:val="1CFB590A"/>
    <w:rsid w:val="1D13456F"/>
    <w:rsid w:val="1D241D81"/>
    <w:rsid w:val="1E3649B9"/>
    <w:rsid w:val="1E3707CF"/>
    <w:rsid w:val="1E3B0AAC"/>
    <w:rsid w:val="1E483963"/>
    <w:rsid w:val="1E566E09"/>
    <w:rsid w:val="1EE03865"/>
    <w:rsid w:val="1F297F8A"/>
    <w:rsid w:val="1FAA498A"/>
    <w:rsid w:val="1FD07FB1"/>
    <w:rsid w:val="20112853"/>
    <w:rsid w:val="20136BAE"/>
    <w:rsid w:val="20E33826"/>
    <w:rsid w:val="2107663E"/>
    <w:rsid w:val="21142B46"/>
    <w:rsid w:val="212925B3"/>
    <w:rsid w:val="213F3D14"/>
    <w:rsid w:val="215B0293"/>
    <w:rsid w:val="216B2906"/>
    <w:rsid w:val="219128D3"/>
    <w:rsid w:val="220A4EE9"/>
    <w:rsid w:val="226513C9"/>
    <w:rsid w:val="227718B4"/>
    <w:rsid w:val="22CC731F"/>
    <w:rsid w:val="22D81D7F"/>
    <w:rsid w:val="23892362"/>
    <w:rsid w:val="2483022C"/>
    <w:rsid w:val="24DC0CD0"/>
    <w:rsid w:val="25A43D67"/>
    <w:rsid w:val="25A641D2"/>
    <w:rsid w:val="25DE1319"/>
    <w:rsid w:val="25EC6EF7"/>
    <w:rsid w:val="263F5385"/>
    <w:rsid w:val="26FE3B9A"/>
    <w:rsid w:val="27D35027"/>
    <w:rsid w:val="27F25BDF"/>
    <w:rsid w:val="27FC457D"/>
    <w:rsid w:val="28B210E0"/>
    <w:rsid w:val="28BF2022"/>
    <w:rsid w:val="29157C90"/>
    <w:rsid w:val="299A5CFA"/>
    <w:rsid w:val="29B87CEA"/>
    <w:rsid w:val="29E04FC9"/>
    <w:rsid w:val="2A2C0A1E"/>
    <w:rsid w:val="2A4E308A"/>
    <w:rsid w:val="2A7C7BF7"/>
    <w:rsid w:val="2A7D01E8"/>
    <w:rsid w:val="2AA333D6"/>
    <w:rsid w:val="2AA9602F"/>
    <w:rsid w:val="2ACA0963"/>
    <w:rsid w:val="2B26370D"/>
    <w:rsid w:val="2B553615"/>
    <w:rsid w:val="2B830B12"/>
    <w:rsid w:val="2B960845"/>
    <w:rsid w:val="2BAA609E"/>
    <w:rsid w:val="2C155C0E"/>
    <w:rsid w:val="2C2E429F"/>
    <w:rsid w:val="2C385597"/>
    <w:rsid w:val="2C723060"/>
    <w:rsid w:val="2CA46F92"/>
    <w:rsid w:val="2CE16BE7"/>
    <w:rsid w:val="2D012636"/>
    <w:rsid w:val="2D6E4218"/>
    <w:rsid w:val="2D7B0133"/>
    <w:rsid w:val="2D8E266F"/>
    <w:rsid w:val="2D916D03"/>
    <w:rsid w:val="2DE0224B"/>
    <w:rsid w:val="2DFC4CDE"/>
    <w:rsid w:val="2E45411B"/>
    <w:rsid w:val="2EBA0CB5"/>
    <w:rsid w:val="2F775834"/>
    <w:rsid w:val="2FD23E16"/>
    <w:rsid w:val="2FD24826"/>
    <w:rsid w:val="2FDE6C5E"/>
    <w:rsid w:val="307B4E99"/>
    <w:rsid w:val="30A34416"/>
    <w:rsid w:val="30B81163"/>
    <w:rsid w:val="30C61BCC"/>
    <w:rsid w:val="30C94839"/>
    <w:rsid w:val="30D53BBD"/>
    <w:rsid w:val="315E67F8"/>
    <w:rsid w:val="317C228B"/>
    <w:rsid w:val="3187742C"/>
    <w:rsid w:val="31F91B2E"/>
    <w:rsid w:val="32290665"/>
    <w:rsid w:val="322A618B"/>
    <w:rsid w:val="330128DD"/>
    <w:rsid w:val="33034B28"/>
    <w:rsid w:val="331F3816"/>
    <w:rsid w:val="334A4865"/>
    <w:rsid w:val="337D2302"/>
    <w:rsid w:val="341744ED"/>
    <w:rsid w:val="34411DCF"/>
    <w:rsid w:val="34790D04"/>
    <w:rsid w:val="34963664"/>
    <w:rsid w:val="349D0859"/>
    <w:rsid w:val="34AF4725"/>
    <w:rsid w:val="34B92637"/>
    <w:rsid w:val="36343AA4"/>
    <w:rsid w:val="3647730B"/>
    <w:rsid w:val="36793399"/>
    <w:rsid w:val="367E2601"/>
    <w:rsid w:val="3681501F"/>
    <w:rsid w:val="36D74020"/>
    <w:rsid w:val="376251F3"/>
    <w:rsid w:val="376E6B1A"/>
    <w:rsid w:val="38F566EC"/>
    <w:rsid w:val="391E70E9"/>
    <w:rsid w:val="393B0C7E"/>
    <w:rsid w:val="397744D6"/>
    <w:rsid w:val="397F1A7C"/>
    <w:rsid w:val="39EA2D41"/>
    <w:rsid w:val="3A331955"/>
    <w:rsid w:val="3A3D0A8F"/>
    <w:rsid w:val="3A3E0A25"/>
    <w:rsid w:val="3A5C534F"/>
    <w:rsid w:val="3A6D4E67"/>
    <w:rsid w:val="3A981C42"/>
    <w:rsid w:val="3AF27BF8"/>
    <w:rsid w:val="3B181276"/>
    <w:rsid w:val="3BC66F24"/>
    <w:rsid w:val="3BFA6BCE"/>
    <w:rsid w:val="3C89317B"/>
    <w:rsid w:val="3D411AD9"/>
    <w:rsid w:val="3D485717"/>
    <w:rsid w:val="3D962926"/>
    <w:rsid w:val="3D991205"/>
    <w:rsid w:val="3DC14C7A"/>
    <w:rsid w:val="3DE752AE"/>
    <w:rsid w:val="3E063608"/>
    <w:rsid w:val="3E3839DE"/>
    <w:rsid w:val="3E455441"/>
    <w:rsid w:val="3E565DE1"/>
    <w:rsid w:val="3E830E87"/>
    <w:rsid w:val="3E976963"/>
    <w:rsid w:val="3EC91D6A"/>
    <w:rsid w:val="3EE53B65"/>
    <w:rsid w:val="3EF23B8C"/>
    <w:rsid w:val="3F0C65A2"/>
    <w:rsid w:val="3F2D72BA"/>
    <w:rsid w:val="3F4F4CA2"/>
    <w:rsid w:val="3F584337"/>
    <w:rsid w:val="3F5E7EDA"/>
    <w:rsid w:val="3F60143E"/>
    <w:rsid w:val="3F7E1A6B"/>
    <w:rsid w:val="3FF961F3"/>
    <w:rsid w:val="40080A2B"/>
    <w:rsid w:val="40297539"/>
    <w:rsid w:val="404341EA"/>
    <w:rsid w:val="409D6B76"/>
    <w:rsid w:val="40F747BB"/>
    <w:rsid w:val="411A73CB"/>
    <w:rsid w:val="413873D6"/>
    <w:rsid w:val="41C01307"/>
    <w:rsid w:val="41D45489"/>
    <w:rsid w:val="41FC384A"/>
    <w:rsid w:val="422F6EA6"/>
    <w:rsid w:val="42770F78"/>
    <w:rsid w:val="42B20202"/>
    <w:rsid w:val="42CD0B98"/>
    <w:rsid w:val="432E715D"/>
    <w:rsid w:val="4367312A"/>
    <w:rsid w:val="437F16F7"/>
    <w:rsid w:val="438A4CDB"/>
    <w:rsid w:val="43BB2B7F"/>
    <w:rsid w:val="43EC49B0"/>
    <w:rsid w:val="445B14BB"/>
    <w:rsid w:val="446A45CF"/>
    <w:rsid w:val="447C0BA3"/>
    <w:rsid w:val="44843C65"/>
    <w:rsid w:val="448E03D5"/>
    <w:rsid w:val="44AE67A8"/>
    <w:rsid w:val="450236A3"/>
    <w:rsid w:val="454E1745"/>
    <w:rsid w:val="458E24E4"/>
    <w:rsid w:val="46315F44"/>
    <w:rsid w:val="46747887"/>
    <w:rsid w:val="46761547"/>
    <w:rsid w:val="46C6427C"/>
    <w:rsid w:val="47126918"/>
    <w:rsid w:val="47243313"/>
    <w:rsid w:val="47472423"/>
    <w:rsid w:val="47541D2E"/>
    <w:rsid w:val="477535AD"/>
    <w:rsid w:val="477E58F2"/>
    <w:rsid w:val="47866373"/>
    <w:rsid w:val="47C6636F"/>
    <w:rsid w:val="48404B56"/>
    <w:rsid w:val="48822425"/>
    <w:rsid w:val="48BD520B"/>
    <w:rsid w:val="48EE3617"/>
    <w:rsid w:val="4951655A"/>
    <w:rsid w:val="496F7754"/>
    <w:rsid w:val="49B7651B"/>
    <w:rsid w:val="49B90028"/>
    <w:rsid w:val="49FE3D2D"/>
    <w:rsid w:val="4A0F35C1"/>
    <w:rsid w:val="4A121587"/>
    <w:rsid w:val="4BC82845"/>
    <w:rsid w:val="4C2D4456"/>
    <w:rsid w:val="4C63431C"/>
    <w:rsid w:val="4C656055"/>
    <w:rsid w:val="4C6836E0"/>
    <w:rsid w:val="4C9B1D07"/>
    <w:rsid w:val="4CB00C05"/>
    <w:rsid w:val="4CC870DD"/>
    <w:rsid w:val="4D332E81"/>
    <w:rsid w:val="4D7D31BB"/>
    <w:rsid w:val="4DB02ECD"/>
    <w:rsid w:val="4E067654"/>
    <w:rsid w:val="4E2125F7"/>
    <w:rsid w:val="4E326885"/>
    <w:rsid w:val="4E37780E"/>
    <w:rsid w:val="4E3C4E24"/>
    <w:rsid w:val="4E8A3DE2"/>
    <w:rsid w:val="4E9B5FEF"/>
    <w:rsid w:val="4EFD0A57"/>
    <w:rsid w:val="4F4E12B3"/>
    <w:rsid w:val="4F585C8E"/>
    <w:rsid w:val="4FE06846"/>
    <w:rsid w:val="501047BA"/>
    <w:rsid w:val="50281B04"/>
    <w:rsid w:val="50334005"/>
    <w:rsid w:val="503F29AA"/>
    <w:rsid w:val="504D51C4"/>
    <w:rsid w:val="506B379F"/>
    <w:rsid w:val="507C7F21"/>
    <w:rsid w:val="507F724A"/>
    <w:rsid w:val="50BB4726"/>
    <w:rsid w:val="51263CA3"/>
    <w:rsid w:val="512E4EF8"/>
    <w:rsid w:val="512F6359"/>
    <w:rsid w:val="51354BD2"/>
    <w:rsid w:val="51475FBA"/>
    <w:rsid w:val="514E7348"/>
    <w:rsid w:val="51513355"/>
    <w:rsid w:val="519136D9"/>
    <w:rsid w:val="51C55131"/>
    <w:rsid w:val="51E57844"/>
    <w:rsid w:val="525941F7"/>
    <w:rsid w:val="52727066"/>
    <w:rsid w:val="52D23FA9"/>
    <w:rsid w:val="52E3635F"/>
    <w:rsid w:val="530B16F1"/>
    <w:rsid w:val="5347011E"/>
    <w:rsid w:val="538B673E"/>
    <w:rsid w:val="53BD5F66"/>
    <w:rsid w:val="53C27B7A"/>
    <w:rsid w:val="53F221DA"/>
    <w:rsid w:val="5406215C"/>
    <w:rsid w:val="5434276E"/>
    <w:rsid w:val="545B68A0"/>
    <w:rsid w:val="54BA4CF5"/>
    <w:rsid w:val="54CC2FCE"/>
    <w:rsid w:val="55225534"/>
    <w:rsid w:val="55711857"/>
    <w:rsid w:val="55985036"/>
    <w:rsid w:val="55AA399A"/>
    <w:rsid w:val="55BA3C7F"/>
    <w:rsid w:val="55C867B3"/>
    <w:rsid w:val="55CE6B31"/>
    <w:rsid w:val="563805C7"/>
    <w:rsid w:val="56571E91"/>
    <w:rsid w:val="56A874FB"/>
    <w:rsid w:val="56CA56C3"/>
    <w:rsid w:val="56F30C69"/>
    <w:rsid w:val="57131B1C"/>
    <w:rsid w:val="57241A15"/>
    <w:rsid w:val="57BA51C6"/>
    <w:rsid w:val="57E26A3C"/>
    <w:rsid w:val="57FF139C"/>
    <w:rsid w:val="5849729B"/>
    <w:rsid w:val="589A10C5"/>
    <w:rsid w:val="58F9403E"/>
    <w:rsid w:val="5905251C"/>
    <w:rsid w:val="59281F8A"/>
    <w:rsid w:val="59AD29EA"/>
    <w:rsid w:val="59D32AE1"/>
    <w:rsid w:val="59ED41B0"/>
    <w:rsid w:val="5A1B6236"/>
    <w:rsid w:val="5A1D5B0A"/>
    <w:rsid w:val="5A6B0F71"/>
    <w:rsid w:val="5A7124E5"/>
    <w:rsid w:val="5B7532A0"/>
    <w:rsid w:val="5B800A46"/>
    <w:rsid w:val="5BEE01C6"/>
    <w:rsid w:val="5BEE05B8"/>
    <w:rsid w:val="5C2B3E3A"/>
    <w:rsid w:val="5C2E3756"/>
    <w:rsid w:val="5C4066A5"/>
    <w:rsid w:val="5CA05217"/>
    <w:rsid w:val="5CA6628A"/>
    <w:rsid w:val="5CB52971"/>
    <w:rsid w:val="5CCA24F5"/>
    <w:rsid w:val="5CF52A39"/>
    <w:rsid w:val="5D663C6C"/>
    <w:rsid w:val="5D740137"/>
    <w:rsid w:val="5D8A5738"/>
    <w:rsid w:val="5D973D9E"/>
    <w:rsid w:val="5DC34C1A"/>
    <w:rsid w:val="5DD376C4"/>
    <w:rsid w:val="5E176D14"/>
    <w:rsid w:val="5E1A7FEC"/>
    <w:rsid w:val="5E367223"/>
    <w:rsid w:val="5E4C5202"/>
    <w:rsid w:val="5E677C9B"/>
    <w:rsid w:val="5E940365"/>
    <w:rsid w:val="5ECA3D86"/>
    <w:rsid w:val="5EE26529"/>
    <w:rsid w:val="5F0B4F95"/>
    <w:rsid w:val="5F0F2852"/>
    <w:rsid w:val="5F5226F9"/>
    <w:rsid w:val="5FED42DC"/>
    <w:rsid w:val="605A162D"/>
    <w:rsid w:val="60966A4E"/>
    <w:rsid w:val="60AA0540"/>
    <w:rsid w:val="60F5158E"/>
    <w:rsid w:val="61340294"/>
    <w:rsid w:val="617630F5"/>
    <w:rsid w:val="61B826C3"/>
    <w:rsid w:val="621E0449"/>
    <w:rsid w:val="62AD115F"/>
    <w:rsid w:val="62B54124"/>
    <w:rsid w:val="62D378CB"/>
    <w:rsid w:val="62DA4E8E"/>
    <w:rsid w:val="633345F0"/>
    <w:rsid w:val="63400ABB"/>
    <w:rsid w:val="636447A9"/>
    <w:rsid w:val="63716EC6"/>
    <w:rsid w:val="63A77F35"/>
    <w:rsid w:val="640135E7"/>
    <w:rsid w:val="64472EB9"/>
    <w:rsid w:val="64581871"/>
    <w:rsid w:val="64662B1A"/>
    <w:rsid w:val="64800838"/>
    <w:rsid w:val="64F1206D"/>
    <w:rsid w:val="656F7435"/>
    <w:rsid w:val="66416B36"/>
    <w:rsid w:val="6665218B"/>
    <w:rsid w:val="66EB5F63"/>
    <w:rsid w:val="674C1F07"/>
    <w:rsid w:val="675F19D2"/>
    <w:rsid w:val="676254A4"/>
    <w:rsid w:val="67901217"/>
    <w:rsid w:val="67A94E81"/>
    <w:rsid w:val="67BD6B7E"/>
    <w:rsid w:val="67C85765"/>
    <w:rsid w:val="682E5386"/>
    <w:rsid w:val="687E00BB"/>
    <w:rsid w:val="689567D0"/>
    <w:rsid w:val="6921427E"/>
    <w:rsid w:val="693A042A"/>
    <w:rsid w:val="69E44896"/>
    <w:rsid w:val="69EA4DEB"/>
    <w:rsid w:val="6A706374"/>
    <w:rsid w:val="6A876FCF"/>
    <w:rsid w:val="6AB41186"/>
    <w:rsid w:val="6AD1632C"/>
    <w:rsid w:val="6AEE5FBB"/>
    <w:rsid w:val="6B0D3978"/>
    <w:rsid w:val="6BCD183B"/>
    <w:rsid w:val="6BEA5A68"/>
    <w:rsid w:val="6BF80185"/>
    <w:rsid w:val="6C2216A6"/>
    <w:rsid w:val="6C581E94"/>
    <w:rsid w:val="6C797600"/>
    <w:rsid w:val="6DF5784D"/>
    <w:rsid w:val="6E4F6056"/>
    <w:rsid w:val="6E522AE8"/>
    <w:rsid w:val="6E5518BE"/>
    <w:rsid w:val="6E60347E"/>
    <w:rsid w:val="6E804461"/>
    <w:rsid w:val="6EEF1D13"/>
    <w:rsid w:val="6F437969"/>
    <w:rsid w:val="6F9B77A5"/>
    <w:rsid w:val="6FEB4A8E"/>
    <w:rsid w:val="701D465E"/>
    <w:rsid w:val="70394621"/>
    <w:rsid w:val="704936A5"/>
    <w:rsid w:val="70622DBC"/>
    <w:rsid w:val="70875F7B"/>
    <w:rsid w:val="70947387"/>
    <w:rsid w:val="70C40F7D"/>
    <w:rsid w:val="70C8281B"/>
    <w:rsid w:val="70D74A08"/>
    <w:rsid w:val="71290DE0"/>
    <w:rsid w:val="71381F3C"/>
    <w:rsid w:val="71503AEC"/>
    <w:rsid w:val="71600CA6"/>
    <w:rsid w:val="71675EF6"/>
    <w:rsid w:val="717554E7"/>
    <w:rsid w:val="71791D68"/>
    <w:rsid w:val="71B20DD6"/>
    <w:rsid w:val="71B96F67"/>
    <w:rsid w:val="720D425E"/>
    <w:rsid w:val="72916C3D"/>
    <w:rsid w:val="72C54B39"/>
    <w:rsid w:val="72D53EA3"/>
    <w:rsid w:val="74657B3B"/>
    <w:rsid w:val="74AA048A"/>
    <w:rsid w:val="752B15CB"/>
    <w:rsid w:val="754442D0"/>
    <w:rsid w:val="75483236"/>
    <w:rsid w:val="75581306"/>
    <w:rsid w:val="755C3532"/>
    <w:rsid w:val="757F36C5"/>
    <w:rsid w:val="75C86E1A"/>
    <w:rsid w:val="7601057E"/>
    <w:rsid w:val="76032465"/>
    <w:rsid w:val="762A725C"/>
    <w:rsid w:val="770420D4"/>
    <w:rsid w:val="773F0EE6"/>
    <w:rsid w:val="77470212"/>
    <w:rsid w:val="77563723"/>
    <w:rsid w:val="77977785"/>
    <w:rsid w:val="77C33D3D"/>
    <w:rsid w:val="77D065DB"/>
    <w:rsid w:val="781315D7"/>
    <w:rsid w:val="78372035"/>
    <w:rsid w:val="789363FB"/>
    <w:rsid w:val="78A73B5B"/>
    <w:rsid w:val="78F543CA"/>
    <w:rsid w:val="79385CAE"/>
    <w:rsid w:val="79B11037"/>
    <w:rsid w:val="79FF6B82"/>
    <w:rsid w:val="7A344A7E"/>
    <w:rsid w:val="7AE04C06"/>
    <w:rsid w:val="7AE244DA"/>
    <w:rsid w:val="7B30264C"/>
    <w:rsid w:val="7B3867F0"/>
    <w:rsid w:val="7B4F58E7"/>
    <w:rsid w:val="7B5D1DB2"/>
    <w:rsid w:val="7B7261BD"/>
    <w:rsid w:val="7B9A4DB4"/>
    <w:rsid w:val="7C374271"/>
    <w:rsid w:val="7C402716"/>
    <w:rsid w:val="7CB41EA6"/>
    <w:rsid w:val="7D1D5C9D"/>
    <w:rsid w:val="7D2C7C8E"/>
    <w:rsid w:val="7D5B1628"/>
    <w:rsid w:val="7D6A07B6"/>
    <w:rsid w:val="7DC26892"/>
    <w:rsid w:val="7DDB3462"/>
    <w:rsid w:val="7DDC0FE0"/>
    <w:rsid w:val="7DF369FE"/>
    <w:rsid w:val="7E026C41"/>
    <w:rsid w:val="7E0830FB"/>
    <w:rsid w:val="7E1102B5"/>
    <w:rsid w:val="7E2334EC"/>
    <w:rsid w:val="7E6873EC"/>
    <w:rsid w:val="7EB27693"/>
    <w:rsid w:val="7EDB5E10"/>
    <w:rsid w:val="7EE822DB"/>
    <w:rsid w:val="7F343663"/>
    <w:rsid w:val="7F4734A5"/>
    <w:rsid w:val="7FB126CD"/>
    <w:rsid w:val="7FF53A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spacing w:line="340" w:lineRule="exact"/>
      <w:jc w:val="center"/>
      <w:outlineLvl w:val="0"/>
    </w:pPr>
    <w:rPr>
      <w:b/>
      <w:bCs/>
      <w:sz w:val="32"/>
    </w:rPr>
  </w:style>
  <w:style w:type="paragraph" w:styleId="4">
    <w:name w:val="heading 2"/>
    <w:basedOn w:val="1"/>
    <w:next w:val="1"/>
    <w:qFormat/>
    <w:uiPriority w:val="0"/>
    <w:pPr>
      <w:keepNext/>
      <w:keepLines/>
      <w:spacing w:before="260" w:after="260" w:line="415" w:lineRule="auto"/>
      <w:jc w:val="center"/>
      <w:outlineLvl w:val="1"/>
    </w:pPr>
    <w:rPr>
      <w:rFonts w:ascii="Arial" w:hAnsi="Arial"/>
      <w:b/>
      <w:bCs/>
      <w:sz w:val="32"/>
      <w:szCs w:val="32"/>
    </w:rPr>
  </w:style>
  <w:style w:type="paragraph" w:styleId="5">
    <w:name w:val="heading 4"/>
    <w:basedOn w:val="1"/>
    <w:next w:val="1"/>
    <w:qFormat/>
    <w:uiPriority w:val="0"/>
    <w:pPr>
      <w:keepNext/>
      <w:keepLines/>
      <w:spacing w:before="280" w:after="290" w:line="376" w:lineRule="auto"/>
      <w:outlineLvl w:val="3"/>
    </w:pPr>
    <w:rPr>
      <w:rFonts w:ascii="宋体" w:hAnsi="宋体" w:eastAsia="黑体"/>
      <w:b/>
      <w:sz w:val="24"/>
      <w:szCs w:val="20"/>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paragraph" w:styleId="6">
    <w:name w:val="annotation text"/>
    <w:basedOn w:val="1"/>
    <w:qFormat/>
    <w:uiPriority w:val="0"/>
    <w:pPr>
      <w:jc w:val="left"/>
    </w:pPr>
  </w:style>
  <w:style w:type="paragraph" w:styleId="7">
    <w:name w:val="Body Text"/>
    <w:basedOn w:val="1"/>
    <w:qFormat/>
    <w:uiPriority w:val="0"/>
    <w:pPr>
      <w:autoSpaceDE w:val="0"/>
      <w:autoSpaceDN w:val="0"/>
      <w:adjustRightInd w:val="0"/>
      <w:spacing w:after="120"/>
      <w:jc w:val="left"/>
    </w:pPr>
    <w:rPr>
      <w:rFonts w:ascii="宋体"/>
      <w:kern w:val="0"/>
      <w:sz w:val="34"/>
      <w:szCs w:val="20"/>
    </w:rPr>
  </w:style>
  <w:style w:type="paragraph" w:styleId="8">
    <w:name w:val="Body Text Indent"/>
    <w:basedOn w:val="1"/>
    <w:next w:val="9"/>
    <w:qFormat/>
    <w:uiPriority w:val="0"/>
    <w:pPr>
      <w:ind w:firstLine="830" w:firstLineChars="352"/>
    </w:pPr>
    <w:rPr>
      <w:rFonts w:ascii="仿宋_GB2312" w:eastAsia="仿宋_GB2312"/>
      <w:kern w:val="0"/>
      <w:sz w:val="32"/>
      <w:szCs w:val="20"/>
    </w:rPr>
  </w:style>
  <w:style w:type="paragraph" w:styleId="9">
    <w:name w:val="envelope return"/>
    <w:basedOn w:val="1"/>
    <w:qFormat/>
    <w:uiPriority w:val="0"/>
    <w:pPr>
      <w:snapToGrid w:val="0"/>
      <w:spacing w:line="400" w:lineRule="exact"/>
      <w:ind w:firstLine="1044" w:firstLineChars="200"/>
      <w:jc w:val="left"/>
    </w:pPr>
    <w:rPr>
      <w:rFonts w:ascii="仿宋_GB2312" w:hAnsi="仿宋_GB2312" w:cs="仿宋_GB2312"/>
      <w:szCs w:val="24"/>
    </w:rPr>
  </w:style>
  <w:style w:type="paragraph" w:styleId="10">
    <w:name w:val="Plain Text"/>
    <w:basedOn w:val="1"/>
    <w:next w:val="5"/>
    <w:qFormat/>
    <w:uiPriority w:val="99"/>
    <w:rPr>
      <w:rFonts w:ascii="宋体"/>
      <w:szCs w:val="20"/>
    </w:rPr>
  </w:style>
  <w:style w:type="paragraph" w:styleId="11">
    <w:name w:val="footer"/>
    <w:basedOn w:val="1"/>
    <w:next w:val="1"/>
    <w:qFormat/>
    <w:uiPriority w:val="99"/>
    <w:pPr>
      <w:tabs>
        <w:tab w:val="center" w:pos="4153"/>
        <w:tab w:val="right" w:pos="8306"/>
      </w:tabs>
      <w:snapToGrid w:val="0"/>
      <w:jc w:val="left"/>
    </w:pPr>
    <w:rPr>
      <w:rFonts w:ascii="宋体"/>
      <w:sz w:val="18"/>
      <w:szCs w:val="20"/>
    </w:rPr>
  </w:style>
  <w:style w:type="paragraph" w:styleId="12">
    <w:name w:val="header"/>
    <w:basedOn w:val="1"/>
    <w:qFormat/>
    <w:uiPriority w:val="0"/>
    <w:pPr>
      <w:pBdr>
        <w:bottom w:val="single" w:color="auto" w:sz="6" w:space="1"/>
      </w:pBdr>
      <w:tabs>
        <w:tab w:val="center" w:pos="4153"/>
        <w:tab w:val="right" w:pos="8306"/>
      </w:tabs>
      <w:snapToGrid w:val="0"/>
      <w:jc w:val="center"/>
    </w:pPr>
    <w:rPr>
      <w:rFonts w:ascii="宋体"/>
      <w:sz w:val="18"/>
      <w:szCs w:val="20"/>
    </w:rPr>
  </w:style>
  <w:style w:type="paragraph" w:styleId="13">
    <w:name w:val="toc 1"/>
    <w:basedOn w:val="1"/>
    <w:next w:val="1"/>
    <w:unhideWhenUsed/>
    <w:qFormat/>
    <w:uiPriority w:val="39"/>
  </w:style>
  <w:style w:type="paragraph" w:styleId="14">
    <w:name w:val="Subtitle"/>
    <w:basedOn w:val="1"/>
    <w:next w:val="1"/>
    <w:qFormat/>
    <w:uiPriority w:val="0"/>
    <w:pPr>
      <w:spacing w:before="240" w:after="60" w:line="312" w:lineRule="auto"/>
      <w:jc w:val="center"/>
      <w:outlineLvl w:val="1"/>
    </w:pPr>
    <w:rPr>
      <w:rFonts w:ascii="Cambria" w:hAnsi="Cambria" w:cs="Cambria"/>
      <w:b/>
      <w:bCs/>
      <w:kern w:val="28"/>
      <w:sz w:val="32"/>
      <w:szCs w:val="32"/>
    </w:rPr>
  </w:style>
  <w:style w:type="paragraph" w:styleId="15">
    <w:name w:val="toc 2"/>
    <w:basedOn w:val="1"/>
    <w:next w:val="1"/>
    <w:unhideWhenUsed/>
    <w:qFormat/>
    <w:uiPriority w:val="39"/>
    <w:pPr>
      <w:ind w:left="420" w:leftChars="200"/>
    </w:pPr>
  </w:style>
  <w:style w:type="paragraph" w:styleId="16">
    <w:name w:val="Normal (Web)"/>
    <w:basedOn w:val="1"/>
    <w:qFormat/>
    <w:uiPriority w:val="0"/>
    <w:pPr>
      <w:spacing w:before="100" w:beforeAutospacing="1" w:after="100" w:afterAutospacing="1"/>
      <w:jc w:val="left"/>
    </w:pPr>
    <w:rPr>
      <w:kern w:val="0"/>
      <w:sz w:val="24"/>
    </w:rPr>
  </w:style>
  <w:style w:type="paragraph" w:styleId="17">
    <w:name w:val="index 1"/>
    <w:basedOn w:val="1"/>
    <w:next w:val="1"/>
    <w:qFormat/>
    <w:uiPriority w:val="0"/>
    <w:pPr>
      <w:spacing w:line="360" w:lineRule="exact"/>
      <w:ind w:firstLine="240" w:firstLineChars="240"/>
    </w:pPr>
    <w:rPr>
      <w:rFonts w:ascii="宋体"/>
      <w:bCs/>
      <w:sz w:val="18"/>
      <w:szCs w:val="18"/>
    </w:rPr>
  </w:style>
  <w:style w:type="paragraph" w:styleId="18">
    <w:name w:val="Body Text First Indent 2"/>
    <w:basedOn w:val="8"/>
    <w:unhideWhenUsed/>
    <w:qFormat/>
    <w:uiPriority w:val="99"/>
    <w:pPr>
      <w:ind w:firstLine="420" w:firstLineChars="200"/>
    </w:pPr>
  </w:style>
  <w:style w:type="table" w:styleId="20">
    <w:name w:val="Table Grid"/>
    <w:basedOn w:val="1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22">
    <w:name w:val="Strong"/>
    <w:qFormat/>
    <w:uiPriority w:val="0"/>
    <w:rPr>
      <w:b/>
      <w:bCs/>
    </w:rPr>
  </w:style>
  <w:style w:type="character" w:styleId="23">
    <w:name w:val="page number"/>
    <w:qFormat/>
    <w:uiPriority w:val="0"/>
  </w:style>
  <w:style w:type="character" w:styleId="24">
    <w:name w:val="Hyperlink"/>
    <w:qFormat/>
    <w:uiPriority w:val="99"/>
    <w:rPr>
      <w:color w:val="333333"/>
      <w:u w:val="none"/>
    </w:rPr>
  </w:style>
  <w:style w:type="paragraph" w:customStyle="1" w:styleId="25">
    <w:name w:val="TOC 标题1"/>
    <w:basedOn w:val="3"/>
    <w:next w:val="1"/>
    <w:semiHidden/>
    <w:unhideWhenUsed/>
    <w:qFormat/>
    <w:uiPriority w:val="39"/>
    <w:pPr>
      <w:keepLines/>
      <w:widowControl/>
      <w:spacing w:before="480" w:line="276" w:lineRule="auto"/>
      <w:jc w:val="left"/>
      <w:outlineLvl w:val="9"/>
    </w:pPr>
    <w:rPr>
      <w:rFonts w:ascii="Cambria" w:hAnsi="Cambria"/>
      <w:color w:val="365F91"/>
      <w:kern w:val="0"/>
      <w:sz w:val="28"/>
      <w:szCs w:val="28"/>
    </w:rPr>
  </w:style>
  <w:style w:type="character" w:customStyle="1" w:styleId="26">
    <w:name w:val="UserStyle_8"/>
    <w:qFormat/>
    <w:uiPriority w:val="0"/>
  </w:style>
  <w:style w:type="paragraph" w:styleId="27">
    <w:name w:val="List Paragraph"/>
    <w:basedOn w:val="1"/>
    <w:qFormat/>
    <w:uiPriority w:val="99"/>
    <w:pPr>
      <w:ind w:firstLine="200" w:firstLineChars="200"/>
    </w:pPr>
    <w:rPr>
      <w:szCs w:val="22"/>
    </w:rPr>
  </w:style>
  <w:style w:type="paragraph" w:customStyle="1" w:styleId="28">
    <w:name w:val="WPSOffice手动目录 1"/>
    <w:autoRedefine/>
    <w:qFormat/>
    <w:uiPriority w:val="0"/>
    <w:pPr>
      <w:tabs>
        <w:tab w:val="right" w:leader="dot" w:pos="8306"/>
      </w:tabs>
    </w:pPr>
    <w:rPr>
      <w:rFonts w:ascii="Times New Roman" w:hAnsi="Times New Roman" w:eastAsia="宋体" w:cs="Times New Roman"/>
      <w:b/>
      <w:sz w:val="28"/>
      <w:szCs w:val="28"/>
      <w:lang w:val="en-US" w:eastAsia="zh-CN" w:bidi="ar-SA"/>
    </w:rPr>
  </w:style>
  <w:style w:type="character" w:customStyle="1" w:styleId="29">
    <w:name w:val="NormalCharacter"/>
    <w:basedOn w:val="21"/>
    <w:link w:val="30"/>
    <w:autoRedefine/>
    <w:qFormat/>
    <w:uiPriority w:val="0"/>
  </w:style>
  <w:style w:type="paragraph" w:customStyle="1" w:styleId="30">
    <w:name w:val="样式"/>
    <w:basedOn w:val="1"/>
    <w:link w:val="29"/>
    <w:autoRedefine/>
    <w:qFormat/>
    <w:uiPriority w:val="0"/>
    <w:pPr>
      <w:widowControl/>
      <w:spacing w:after="160" w:line="240" w:lineRule="exact"/>
      <w:jc w:val="left"/>
      <w:textAlignment w:val="baseline"/>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69</Pages>
  <Words>16651</Words>
  <Characters>17793</Characters>
  <Lines>112</Lines>
  <Paragraphs>130</Paragraphs>
  <TotalTime>37</TotalTime>
  <ScaleCrop>false</ScaleCrop>
  <LinksUpToDate>false</LinksUpToDate>
  <CharactersWithSpaces>18052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2024-11-06T03:19:00Z</dcterms:created>
  <dc:creator>Administrator</dc:creator>
  <cp:lastModifiedBy>susu</cp:lastModifiedBy>
  <cp:lastPrinted>2025-07-24T08:55:00Z</cp:lastPrinted>
  <dcterms:modified xsi:type="dcterms:W3CDTF">2026-09-23T08:19:55Z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BE46A10EDD5C478CA97EDB5441A9C142_13</vt:lpwstr>
  </property>
  <property fmtid="{D5CDD505-2E9C-101B-9397-08002B2CF9AE}" pid="4" name="KSOTemplateDocerSaveRecord">
    <vt:lpwstr>eyJoZGlkIjoiN2ZiNWYzMjY0NjhmYjY3OTI1Y2Y3MTc4YzY3ZmI0OTkiLCJ1c2VySWQiOiI0NjA1NDIwNjIifQ==</vt:lpwstr>
  </property>
</Properties>
</file>