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8E20B">
      <w:pPr>
        <w:snapToGrid w:val="0"/>
        <w:spacing w:beforeLines="50" w:line="360" w:lineRule="auto"/>
        <w:jc w:val="both"/>
        <w:rPr>
          <w:rFonts w:hint="eastAsia" w:ascii="宋体" w:hAnsi="宋体"/>
          <w:b/>
          <w:color w:val="auto"/>
          <w:sz w:val="44"/>
          <w:highlight w:val="none"/>
        </w:rPr>
      </w:pPr>
      <w:r>
        <w:rPr>
          <w:rFonts w:hint="eastAsia" w:ascii="宋体" w:hAnsi="宋体" w:cs="宋体"/>
          <w:b/>
          <w:color w:val="auto"/>
          <w:sz w:val="52"/>
          <w:szCs w:val="52"/>
          <w:highlight w:val="none"/>
          <w:lang w:eastAsia="zh-CN"/>
        </w:rPr>
        <w:drawing>
          <wp:inline distT="0" distB="0" distL="114300" distR="114300">
            <wp:extent cx="6315710" cy="8972550"/>
            <wp:effectExtent l="0" t="0" r="8890" b="0"/>
            <wp:docPr id="2" name="图片 2" descr="ef7387dd-2dc7-4a93-bfc7-3b47809c70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f7387dd-2dc7-4a93-bfc7-3b47809c70f4"/>
                    <pic:cNvPicPr>
                      <a:picLocks noChangeAspect="1"/>
                    </pic:cNvPicPr>
                  </pic:nvPicPr>
                  <pic:blipFill>
                    <a:blip r:embed="rId7"/>
                    <a:stretch>
                      <a:fillRect/>
                    </a:stretch>
                  </pic:blipFill>
                  <pic:spPr>
                    <a:xfrm>
                      <a:off x="0" y="0"/>
                      <a:ext cx="6315710" cy="8972550"/>
                    </a:xfrm>
                    <a:prstGeom prst="rect">
                      <a:avLst/>
                    </a:prstGeom>
                  </pic:spPr>
                </pic:pic>
              </a:graphicData>
            </a:graphic>
          </wp:inline>
        </w:drawing>
      </w:r>
      <w:bookmarkStart w:id="599" w:name="_GoBack"/>
      <w:bookmarkEnd w:id="599"/>
    </w:p>
    <w:p w14:paraId="2ACDFB7F">
      <w:pPr>
        <w:pStyle w:val="58"/>
        <w:rPr>
          <w:rFonts w:hint="eastAsia"/>
          <w:color w:val="auto"/>
          <w:highlight w:val="none"/>
        </w:rPr>
      </w:pPr>
    </w:p>
    <w:p w14:paraId="47A963D7">
      <w:pPr>
        <w:pStyle w:val="29"/>
        <w:jc w:val="center"/>
        <w:rPr>
          <w:rFonts w:ascii="宋体" w:hAnsi="宋体"/>
          <w:b/>
          <w:color w:val="auto"/>
          <w:sz w:val="44"/>
          <w:highlight w:val="none"/>
        </w:rPr>
      </w:pPr>
      <w:r>
        <w:rPr>
          <w:rFonts w:hint="eastAsia" w:ascii="宋体" w:hAnsi="宋体"/>
          <w:b/>
          <w:color w:val="auto"/>
          <w:sz w:val="44"/>
          <w:highlight w:val="none"/>
        </w:rPr>
        <w:t>目  录</w:t>
      </w:r>
    </w:p>
    <w:p w14:paraId="5A82CBA3">
      <w:pPr>
        <w:spacing w:line="460" w:lineRule="exact"/>
        <w:jc w:val="center"/>
        <w:rPr>
          <w:rFonts w:ascii="宋体" w:hAnsi="宋体"/>
          <w:b/>
          <w:color w:val="auto"/>
          <w:sz w:val="30"/>
          <w:szCs w:val="30"/>
          <w:highlight w:val="none"/>
        </w:rPr>
      </w:pPr>
    </w:p>
    <w:p w14:paraId="6E3036BC">
      <w:pPr>
        <w:pStyle w:val="37"/>
        <w:tabs>
          <w:tab w:val="right" w:leader="dot" w:pos="9880"/>
        </w:tabs>
        <w:ind w:left="0" w:leftChars="0" w:firstLine="0" w:firstLineChars="0"/>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w:instrText>
      </w:r>
      <w:r>
        <w:rPr>
          <w:rFonts w:hint="eastAsia" w:ascii="宋体" w:hAnsi="宋体"/>
          <w:color w:val="auto"/>
          <w:sz w:val="30"/>
          <w:szCs w:val="30"/>
          <w:highlight w:val="none"/>
        </w:rPr>
        <w:instrText xml:space="preserve">TOC \o "1-3" \h \z \u</w:instrText>
      </w:r>
      <w:r>
        <w:rPr>
          <w:rFonts w:ascii="宋体" w:hAnsi="宋体"/>
          <w:color w:val="auto"/>
          <w:sz w:val="30"/>
          <w:szCs w:val="30"/>
          <w:highlight w:val="none"/>
        </w:rPr>
        <w:instrText xml:space="preserve"> </w:instrText>
      </w:r>
      <w:r>
        <w:rPr>
          <w:rFonts w:ascii="宋体" w:hAnsi="宋体"/>
          <w:color w:val="auto"/>
          <w:sz w:val="30"/>
          <w:szCs w:val="30"/>
          <w:highlight w:val="none"/>
        </w:rPr>
        <w:fldChar w:fldCharType="separate"/>
      </w: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_Toc559 </w:instrText>
      </w:r>
      <w:r>
        <w:rPr>
          <w:rFonts w:ascii="宋体" w:hAnsi="宋体"/>
          <w:color w:val="auto"/>
          <w:sz w:val="30"/>
          <w:szCs w:val="30"/>
          <w:highlight w:val="none"/>
        </w:rPr>
        <w:fldChar w:fldCharType="separate"/>
      </w:r>
      <w:r>
        <w:rPr>
          <w:rFonts w:hint="eastAsia" w:ascii="宋体" w:hAnsi="宋体" w:eastAsia="宋体"/>
          <w:color w:val="auto"/>
          <w:sz w:val="30"/>
          <w:szCs w:val="30"/>
          <w:highlight w:val="none"/>
        </w:rPr>
        <w:t>第一章 竞争性磋商公告</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_Toc559 \h </w:instrText>
      </w:r>
      <w:r>
        <w:rPr>
          <w:color w:val="auto"/>
          <w:sz w:val="30"/>
          <w:szCs w:val="30"/>
          <w:highlight w:val="none"/>
        </w:rPr>
        <w:fldChar w:fldCharType="separate"/>
      </w:r>
      <w:r>
        <w:rPr>
          <w:color w:val="auto"/>
          <w:sz w:val="30"/>
          <w:szCs w:val="30"/>
          <w:highlight w:val="none"/>
        </w:rPr>
        <w:t>3</w:t>
      </w:r>
      <w:r>
        <w:rPr>
          <w:color w:val="auto"/>
          <w:sz w:val="30"/>
          <w:szCs w:val="30"/>
          <w:highlight w:val="none"/>
        </w:rPr>
        <w:fldChar w:fldCharType="end"/>
      </w:r>
      <w:r>
        <w:rPr>
          <w:rFonts w:ascii="宋体" w:hAnsi="宋体"/>
          <w:color w:val="auto"/>
          <w:sz w:val="30"/>
          <w:szCs w:val="30"/>
          <w:highlight w:val="none"/>
        </w:rPr>
        <w:fldChar w:fldCharType="end"/>
      </w:r>
    </w:p>
    <w:p w14:paraId="3EBC5E55">
      <w:pPr>
        <w:pStyle w:val="37"/>
        <w:tabs>
          <w:tab w:val="right" w:leader="dot" w:pos="9880"/>
        </w:tabs>
        <w:ind w:left="0" w:leftChars="0" w:firstLine="0" w:firstLineChars="0"/>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_Toc9445 </w:instrText>
      </w:r>
      <w:r>
        <w:rPr>
          <w:rFonts w:ascii="宋体" w:hAnsi="宋体"/>
          <w:color w:val="auto"/>
          <w:sz w:val="30"/>
          <w:szCs w:val="30"/>
          <w:highlight w:val="none"/>
        </w:rPr>
        <w:fldChar w:fldCharType="separate"/>
      </w:r>
      <w:r>
        <w:rPr>
          <w:rFonts w:hint="eastAsia" w:ascii="宋体" w:hAnsi="宋体" w:eastAsia="宋体"/>
          <w:color w:val="auto"/>
          <w:sz w:val="30"/>
          <w:szCs w:val="30"/>
          <w:highlight w:val="none"/>
        </w:rPr>
        <w:t>第二章  供应商须知及前附表</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_Toc9445 \h </w:instrText>
      </w:r>
      <w:r>
        <w:rPr>
          <w:color w:val="auto"/>
          <w:sz w:val="30"/>
          <w:szCs w:val="30"/>
          <w:highlight w:val="none"/>
        </w:rPr>
        <w:fldChar w:fldCharType="separate"/>
      </w:r>
      <w:r>
        <w:rPr>
          <w:color w:val="auto"/>
          <w:sz w:val="30"/>
          <w:szCs w:val="30"/>
          <w:highlight w:val="none"/>
        </w:rPr>
        <w:t>7</w:t>
      </w:r>
      <w:r>
        <w:rPr>
          <w:color w:val="auto"/>
          <w:sz w:val="30"/>
          <w:szCs w:val="30"/>
          <w:highlight w:val="none"/>
        </w:rPr>
        <w:fldChar w:fldCharType="end"/>
      </w:r>
      <w:r>
        <w:rPr>
          <w:rFonts w:ascii="宋体" w:hAnsi="宋体"/>
          <w:color w:val="auto"/>
          <w:sz w:val="30"/>
          <w:szCs w:val="30"/>
          <w:highlight w:val="none"/>
        </w:rPr>
        <w:fldChar w:fldCharType="end"/>
      </w:r>
    </w:p>
    <w:p w14:paraId="0079DFAF">
      <w:pPr>
        <w:pStyle w:val="31"/>
        <w:tabs>
          <w:tab w:val="right" w:leader="dot" w:pos="9880"/>
          <w:tab w:val="clear" w:pos="840"/>
          <w:tab w:val="clear" w:pos="9628"/>
        </w:tabs>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_Toc20054 </w:instrText>
      </w:r>
      <w:r>
        <w:rPr>
          <w:rFonts w:ascii="宋体" w:hAnsi="宋体"/>
          <w:color w:val="auto"/>
          <w:sz w:val="30"/>
          <w:szCs w:val="30"/>
          <w:highlight w:val="none"/>
        </w:rPr>
        <w:fldChar w:fldCharType="separate"/>
      </w:r>
      <w:r>
        <w:rPr>
          <w:rFonts w:hint="eastAsia" w:ascii="宋体" w:hAnsi="宋体" w:cs="宋体"/>
          <w:color w:val="auto"/>
          <w:sz w:val="30"/>
          <w:szCs w:val="30"/>
          <w:highlight w:val="none"/>
        </w:rPr>
        <w:t>第三章 合同条款及格式</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_Toc20054 \h </w:instrText>
      </w:r>
      <w:r>
        <w:rPr>
          <w:color w:val="auto"/>
          <w:sz w:val="30"/>
          <w:szCs w:val="30"/>
          <w:highlight w:val="none"/>
        </w:rPr>
        <w:fldChar w:fldCharType="separate"/>
      </w:r>
      <w:r>
        <w:rPr>
          <w:color w:val="auto"/>
          <w:sz w:val="30"/>
          <w:szCs w:val="30"/>
          <w:highlight w:val="none"/>
        </w:rPr>
        <w:t>23</w:t>
      </w:r>
      <w:r>
        <w:rPr>
          <w:color w:val="auto"/>
          <w:sz w:val="30"/>
          <w:szCs w:val="30"/>
          <w:highlight w:val="none"/>
        </w:rPr>
        <w:fldChar w:fldCharType="end"/>
      </w:r>
      <w:r>
        <w:rPr>
          <w:rFonts w:ascii="宋体" w:hAnsi="宋体"/>
          <w:color w:val="auto"/>
          <w:sz w:val="30"/>
          <w:szCs w:val="30"/>
          <w:highlight w:val="none"/>
        </w:rPr>
        <w:fldChar w:fldCharType="end"/>
      </w:r>
    </w:p>
    <w:p w14:paraId="5849AF75">
      <w:pPr>
        <w:pStyle w:val="31"/>
        <w:tabs>
          <w:tab w:val="right" w:leader="dot" w:pos="9880"/>
          <w:tab w:val="clear" w:pos="840"/>
          <w:tab w:val="clear" w:pos="9628"/>
        </w:tabs>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_Toc25225 </w:instrText>
      </w:r>
      <w:r>
        <w:rPr>
          <w:rFonts w:ascii="宋体" w:hAnsi="宋体"/>
          <w:color w:val="auto"/>
          <w:sz w:val="30"/>
          <w:szCs w:val="30"/>
          <w:highlight w:val="none"/>
        </w:rPr>
        <w:fldChar w:fldCharType="separate"/>
      </w:r>
      <w:r>
        <w:rPr>
          <w:rFonts w:hint="eastAsia" w:ascii="宋体" w:hAnsi="宋体" w:cs="宋体"/>
          <w:color w:val="auto"/>
          <w:sz w:val="30"/>
          <w:szCs w:val="30"/>
          <w:highlight w:val="none"/>
        </w:rPr>
        <w:t>第四章  图纸</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_Toc25225 \h </w:instrText>
      </w:r>
      <w:r>
        <w:rPr>
          <w:color w:val="auto"/>
          <w:sz w:val="30"/>
          <w:szCs w:val="30"/>
          <w:highlight w:val="none"/>
        </w:rPr>
        <w:fldChar w:fldCharType="separate"/>
      </w:r>
      <w:r>
        <w:rPr>
          <w:color w:val="auto"/>
          <w:sz w:val="30"/>
          <w:szCs w:val="30"/>
          <w:highlight w:val="none"/>
        </w:rPr>
        <w:t>38</w:t>
      </w:r>
      <w:r>
        <w:rPr>
          <w:color w:val="auto"/>
          <w:sz w:val="30"/>
          <w:szCs w:val="30"/>
          <w:highlight w:val="none"/>
        </w:rPr>
        <w:fldChar w:fldCharType="end"/>
      </w:r>
      <w:r>
        <w:rPr>
          <w:rFonts w:ascii="宋体" w:hAnsi="宋体"/>
          <w:color w:val="auto"/>
          <w:sz w:val="30"/>
          <w:szCs w:val="30"/>
          <w:highlight w:val="none"/>
        </w:rPr>
        <w:fldChar w:fldCharType="end"/>
      </w:r>
    </w:p>
    <w:p w14:paraId="5954C0DC">
      <w:pPr>
        <w:pStyle w:val="31"/>
        <w:tabs>
          <w:tab w:val="right" w:leader="dot" w:pos="9880"/>
          <w:tab w:val="clear" w:pos="840"/>
          <w:tab w:val="clear" w:pos="9628"/>
        </w:tabs>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_Toc5969 </w:instrText>
      </w:r>
      <w:r>
        <w:rPr>
          <w:rFonts w:ascii="宋体" w:hAnsi="宋体"/>
          <w:color w:val="auto"/>
          <w:sz w:val="30"/>
          <w:szCs w:val="30"/>
          <w:highlight w:val="none"/>
        </w:rPr>
        <w:fldChar w:fldCharType="separate"/>
      </w:r>
      <w:r>
        <w:rPr>
          <w:rFonts w:hint="eastAsia" w:ascii="宋体" w:hAnsi="宋体"/>
          <w:color w:val="auto"/>
          <w:sz w:val="30"/>
          <w:szCs w:val="30"/>
          <w:highlight w:val="none"/>
        </w:rPr>
        <w:t>第五章  技术规范</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_Toc5969 \h </w:instrText>
      </w:r>
      <w:r>
        <w:rPr>
          <w:color w:val="auto"/>
          <w:sz w:val="30"/>
          <w:szCs w:val="30"/>
          <w:highlight w:val="none"/>
        </w:rPr>
        <w:fldChar w:fldCharType="separate"/>
      </w:r>
      <w:r>
        <w:rPr>
          <w:color w:val="auto"/>
          <w:sz w:val="30"/>
          <w:szCs w:val="30"/>
          <w:highlight w:val="none"/>
        </w:rPr>
        <w:t>39</w:t>
      </w:r>
      <w:r>
        <w:rPr>
          <w:color w:val="auto"/>
          <w:sz w:val="30"/>
          <w:szCs w:val="30"/>
          <w:highlight w:val="none"/>
        </w:rPr>
        <w:fldChar w:fldCharType="end"/>
      </w:r>
      <w:r>
        <w:rPr>
          <w:rFonts w:ascii="宋体" w:hAnsi="宋体"/>
          <w:color w:val="auto"/>
          <w:sz w:val="30"/>
          <w:szCs w:val="30"/>
          <w:highlight w:val="none"/>
        </w:rPr>
        <w:fldChar w:fldCharType="end"/>
      </w:r>
    </w:p>
    <w:p w14:paraId="2EC5D0F4">
      <w:pPr>
        <w:pStyle w:val="31"/>
        <w:tabs>
          <w:tab w:val="right" w:leader="dot" w:pos="9880"/>
          <w:tab w:val="clear" w:pos="840"/>
          <w:tab w:val="clear" w:pos="9628"/>
        </w:tabs>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_Toc1649 </w:instrText>
      </w:r>
      <w:r>
        <w:rPr>
          <w:rFonts w:ascii="宋体" w:hAnsi="宋体"/>
          <w:color w:val="auto"/>
          <w:sz w:val="30"/>
          <w:szCs w:val="30"/>
          <w:highlight w:val="none"/>
        </w:rPr>
        <w:fldChar w:fldCharType="separate"/>
      </w:r>
      <w:r>
        <w:rPr>
          <w:rFonts w:ascii="宋体" w:hAnsi="宋体"/>
          <w:color w:val="auto"/>
          <w:sz w:val="30"/>
          <w:szCs w:val="30"/>
          <w:highlight w:val="none"/>
        </w:rPr>
        <w:t>第</w:t>
      </w:r>
      <w:r>
        <w:rPr>
          <w:rFonts w:hint="eastAsia" w:ascii="宋体" w:hAnsi="宋体"/>
          <w:color w:val="auto"/>
          <w:sz w:val="30"/>
          <w:szCs w:val="30"/>
          <w:highlight w:val="none"/>
        </w:rPr>
        <w:t>六</w:t>
      </w:r>
      <w:r>
        <w:rPr>
          <w:rFonts w:ascii="宋体" w:hAnsi="宋体"/>
          <w:color w:val="auto"/>
          <w:sz w:val="30"/>
          <w:szCs w:val="30"/>
          <w:highlight w:val="none"/>
        </w:rPr>
        <w:t>章</w:t>
      </w:r>
      <w:r>
        <w:rPr>
          <w:rFonts w:hint="eastAsia" w:ascii="宋体" w:hAnsi="宋体"/>
          <w:color w:val="auto"/>
          <w:sz w:val="30"/>
          <w:szCs w:val="30"/>
          <w:highlight w:val="none"/>
        </w:rPr>
        <w:t xml:space="preserve">  </w:t>
      </w:r>
      <w:r>
        <w:rPr>
          <w:rFonts w:ascii="宋体" w:hAnsi="宋体"/>
          <w:color w:val="auto"/>
          <w:sz w:val="30"/>
          <w:szCs w:val="30"/>
          <w:highlight w:val="none"/>
        </w:rPr>
        <w:t>工程量清单</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_Toc1649 \h </w:instrText>
      </w:r>
      <w:r>
        <w:rPr>
          <w:color w:val="auto"/>
          <w:sz w:val="30"/>
          <w:szCs w:val="30"/>
          <w:highlight w:val="none"/>
        </w:rPr>
        <w:fldChar w:fldCharType="separate"/>
      </w:r>
      <w:r>
        <w:rPr>
          <w:color w:val="auto"/>
          <w:sz w:val="30"/>
          <w:szCs w:val="30"/>
          <w:highlight w:val="none"/>
        </w:rPr>
        <w:t>40</w:t>
      </w:r>
      <w:r>
        <w:rPr>
          <w:color w:val="auto"/>
          <w:sz w:val="30"/>
          <w:szCs w:val="30"/>
          <w:highlight w:val="none"/>
        </w:rPr>
        <w:fldChar w:fldCharType="end"/>
      </w:r>
      <w:r>
        <w:rPr>
          <w:rFonts w:ascii="宋体" w:hAnsi="宋体"/>
          <w:color w:val="auto"/>
          <w:sz w:val="30"/>
          <w:szCs w:val="30"/>
          <w:highlight w:val="none"/>
        </w:rPr>
        <w:fldChar w:fldCharType="end"/>
      </w:r>
    </w:p>
    <w:p w14:paraId="6A16E2BB">
      <w:pPr>
        <w:pStyle w:val="31"/>
        <w:tabs>
          <w:tab w:val="right" w:leader="dot" w:pos="9880"/>
          <w:tab w:val="clear" w:pos="840"/>
          <w:tab w:val="clear" w:pos="9628"/>
        </w:tabs>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_Toc29132 </w:instrText>
      </w:r>
      <w:r>
        <w:rPr>
          <w:rFonts w:ascii="宋体" w:hAnsi="宋体"/>
          <w:color w:val="auto"/>
          <w:sz w:val="30"/>
          <w:szCs w:val="30"/>
          <w:highlight w:val="none"/>
        </w:rPr>
        <w:fldChar w:fldCharType="separate"/>
      </w:r>
      <w:r>
        <w:rPr>
          <w:rFonts w:hint="eastAsia" w:ascii="宋体" w:hAnsi="宋体"/>
          <w:color w:val="auto"/>
          <w:sz w:val="30"/>
          <w:szCs w:val="30"/>
          <w:highlight w:val="none"/>
        </w:rPr>
        <w:t>第七章  响应文件格式</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_Toc29132 \h </w:instrText>
      </w:r>
      <w:r>
        <w:rPr>
          <w:color w:val="auto"/>
          <w:sz w:val="30"/>
          <w:szCs w:val="30"/>
          <w:highlight w:val="none"/>
        </w:rPr>
        <w:fldChar w:fldCharType="separate"/>
      </w:r>
      <w:r>
        <w:rPr>
          <w:color w:val="auto"/>
          <w:sz w:val="30"/>
          <w:szCs w:val="30"/>
          <w:highlight w:val="none"/>
        </w:rPr>
        <w:t>41</w:t>
      </w:r>
      <w:r>
        <w:rPr>
          <w:color w:val="auto"/>
          <w:sz w:val="30"/>
          <w:szCs w:val="30"/>
          <w:highlight w:val="none"/>
        </w:rPr>
        <w:fldChar w:fldCharType="end"/>
      </w:r>
      <w:r>
        <w:rPr>
          <w:rFonts w:ascii="宋体" w:hAnsi="宋体"/>
          <w:color w:val="auto"/>
          <w:sz w:val="30"/>
          <w:szCs w:val="30"/>
          <w:highlight w:val="none"/>
        </w:rPr>
        <w:fldChar w:fldCharType="end"/>
      </w:r>
    </w:p>
    <w:p w14:paraId="55C4C141">
      <w:pPr>
        <w:pStyle w:val="31"/>
        <w:spacing w:line="460" w:lineRule="exact"/>
        <w:rPr>
          <w:rFonts w:ascii="宋体" w:hAnsi="宋体"/>
          <w:color w:val="auto"/>
          <w:sz w:val="30"/>
          <w:szCs w:val="30"/>
          <w:highlight w:val="none"/>
        </w:rPr>
      </w:pPr>
      <w:r>
        <w:rPr>
          <w:rFonts w:ascii="宋体" w:hAnsi="宋体"/>
          <w:color w:val="auto"/>
          <w:sz w:val="30"/>
          <w:szCs w:val="30"/>
          <w:highlight w:val="none"/>
        </w:rPr>
        <w:fldChar w:fldCharType="end"/>
      </w:r>
    </w:p>
    <w:p w14:paraId="4FC0A8E7">
      <w:pPr>
        <w:pStyle w:val="4"/>
        <w:spacing w:after="0" w:line="460" w:lineRule="exact"/>
        <w:jc w:val="center"/>
        <w:rPr>
          <w:rFonts w:ascii="宋体" w:hAnsi="宋体" w:eastAsia="宋体"/>
          <w:color w:val="auto"/>
          <w:szCs w:val="24"/>
          <w:highlight w:val="none"/>
        </w:rPr>
      </w:pPr>
      <w:r>
        <w:rPr>
          <w:rFonts w:ascii="宋体" w:hAnsi="宋体" w:eastAsia="宋体"/>
          <w:color w:val="auto"/>
          <w:sz w:val="30"/>
          <w:szCs w:val="30"/>
          <w:highlight w:val="none"/>
        </w:rPr>
        <w:br w:type="page"/>
      </w:r>
      <w:bookmarkStart w:id="0" w:name="_Toc559"/>
      <w:r>
        <w:rPr>
          <w:rFonts w:hint="eastAsia" w:ascii="宋体" w:hAnsi="宋体" w:eastAsia="宋体"/>
          <w:color w:val="auto"/>
          <w:sz w:val="36"/>
          <w:szCs w:val="24"/>
          <w:highlight w:val="none"/>
        </w:rPr>
        <w:t>第一章 竞争性磋商公告</w:t>
      </w:r>
      <w:bookmarkEnd w:id="0"/>
    </w:p>
    <w:p w14:paraId="5AE13916">
      <w:pPr>
        <w:rPr>
          <w:rFonts w:ascii="宋体" w:hAnsi="宋体"/>
          <w:color w:val="auto"/>
          <w:highlight w:val="none"/>
        </w:rPr>
      </w:pPr>
    </w:p>
    <w:p w14:paraId="2A509F58">
      <w:pPr>
        <w:spacing w:line="540" w:lineRule="exact"/>
        <w:jc w:val="center"/>
        <w:rPr>
          <w:rFonts w:hint="eastAsia" w:ascii="宋体" w:hAnsi="宋体"/>
          <w:b/>
          <w:color w:val="auto"/>
          <w:sz w:val="28"/>
          <w:szCs w:val="28"/>
          <w:highlight w:val="none"/>
        </w:rPr>
      </w:pPr>
      <w:r>
        <w:rPr>
          <w:rFonts w:hint="eastAsia" w:ascii="宋体" w:hAnsi="宋体"/>
          <w:b/>
          <w:color w:val="auto"/>
          <w:sz w:val="28"/>
          <w:szCs w:val="28"/>
          <w:highlight w:val="none"/>
          <w:lang w:eastAsia="zh-CN"/>
        </w:rPr>
        <w:t>凤村上凤小型农田水利项目</w:t>
      </w:r>
      <w:r>
        <w:rPr>
          <w:rFonts w:hint="eastAsia" w:ascii="宋体" w:hAnsi="宋体"/>
          <w:b/>
          <w:color w:val="auto"/>
          <w:sz w:val="28"/>
          <w:szCs w:val="28"/>
          <w:highlight w:val="none"/>
        </w:rPr>
        <w:t>（项目编号：</w:t>
      </w:r>
      <w:r>
        <w:rPr>
          <w:rFonts w:hint="eastAsia" w:ascii="宋体" w:hAnsi="宋体"/>
          <w:b/>
          <w:color w:val="auto"/>
          <w:sz w:val="28"/>
          <w:szCs w:val="28"/>
          <w:highlight w:val="none"/>
          <w:lang w:eastAsia="zh-CN"/>
        </w:rPr>
        <w:t>YLZC2026-C2-020100-GXQL</w:t>
      </w:r>
      <w:r>
        <w:rPr>
          <w:rFonts w:hint="eastAsia" w:ascii="宋体" w:hAnsi="宋体"/>
          <w:b/>
          <w:color w:val="auto"/>
          <w:sz w:val="28"/>
          <w:szCs w:val="28"/>
          <w:highlight w:val="none"/>
        </w:rPr>
        <w:t>）</w:t>
      </w:r>
    </w:p>
    <w:p w14:paraId="523A417A">
      <w:pPr>
        <w:spacing w:line="540" w:lineRule="exact"/>
        <w:jc w:val="center"/>
        <w:rPr>
          <w:rFonts w:ascii="宋体" w:hAnsi="宋体"/>
          <w:b/>
          <w:color w:val="auto"/>
          <w:sz w:val="28"/>
          <w:highlight w:val="none"/>
        </w:rPr>
      </w:pPr>
      <w:r>
        <w:rPr>
          <w:rFonts w:hint="eastAsia" w:ascii="宋体" w:hAnsi="宋体"/>
          <w:b/>
          <w:color w:val="auto"/>
          <w:sz w:val="28"/>
          <w:highlight w:val="none"/>
        </w:rPr>
        <w:t>竞争性磋商公告</w:t>
      </w:r>
    </w:p>
    <w:p w14:paraId="3FF650BE">
      <w:pPr>
        <w:pBdr>
          <w:top w:val="single" w:color="auto" w:sz="4" w:space="0"/>
          <w:left w:val="single" w:color="auto" w:sz="4" w:space="0"/>
          <w:bottom w:val="single" w:color="auto" w:sz="4" w:space="0"/>
          <w:right w:val="single" w:color="auto" w:sz="4" w:space="0"/>
        </w:pBdr>
        <w:spacing w:line="380" w:lineRule="exact"/>
        <w:ind w:firstLine="442" w:firstLineChars="200"/>
        <w:rPr>
          <w:rFonts w:ascii="宋体" w:hAnsi="宋体"/>
          <w:color w:val="auto"/>
          <w:sz w:val="22"/>
          <w:szCs w:val="22"/>
          <w:highlight w:val="none"/>
        </w:rPr>
      </w:pPr>
      <w:r>
        <w:rPr>
          <w:rFonts w:hint="eastAsia" w:ascii="宋体" w:hAnsi="宋体"/>
          <w:b/>
          <w:bCs/>
          <w:color w:val="auto"/>
          <w:sz w:val="22"/>
          <w:szCs w:val="22"/>
          <w:highlight w:val="none"/>
        </w:rPr>
        <w:t>项目概况</w:t>
      </w:r>
    </w:p>
    <w:p w14:paraId="32605242">
      <w:pPr>
        <w:pBdr>
          <w:top w:val="single" w:color="auto" w:sz="4" w:space="0"/>
          <w:left w:val="single" w:color="auto" w:sz="4" w:space="0"/>
          <w:bottom w:val="single" w:color="auto" w:sz="4" w:space="0"/>
          <w:right w:val="single" w:color="auto" w:sz="4" w:space="0"/>
        </w:pBdr>
        <w:spacing w:line="380" w:lineRule="exact"/>
        <w:ind w:firstLine="440" w:firstLineChars="200"/>
        <w:rPr>
          <w:rFonts w:ascii="宋体" w:hAnsi="宋体"/>
          <w:b/>
          <w:color w:val="auto"/>
          <w:sz w:val="20"/>
          <w:szCs w:val="20"/>
          <w:highlight w:val="none"/>
        </w:rPr>
      </w:pPr>
      <w:r>
        <w:rPr>
          <w:rFonts w:hint="eastAsia" w:ascii="宋体" w:hAnsi="宋体"/>
          <w:color w:val="auto"/>
          <w:sz w:val="22"/>
          <w:szCs w:val="22"/>
          <w:highlight w:val="none"/>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eastAsia="zh-CN"/>
        </w:rPr>
        <w:t>凤村上凤小型农田水利项目 项目的</w:t>
      </w:r>
      <w:r>
        <w:rPr>
          <w:rFonts w:hint="eastAsia" w:ascii="宋体" w:hAnsi="宋体"/>
          <w:color w:val="auto"/>
          <w:szCs w:val="21"/>
          <w:highlight w:val="none"/>
        </w:rPr>
        <w:t>潜在供应商应在广西政府采购云平台（https://www.gcy.zfcg.gxzf.gov.cn/）获取采购文件，并于</w:t>
      </w:r>
      <w:r>
        <w:rPr>
          <w:rFonts w:hint="eastAsia" w:ascii="宋体" w:hAnsi="宋体"/>
          <w:color w:val="auto"/>
          <w:szCs w:val="21"/>
          <w:highlight w:val="none"/>
        </w:rPr>
        <w:t>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12</w:t>
      </w:r>
      <w:r>
        <w:rPr>
          <w:rFonts w:hint="eastAsia" w:ascii="宋体" w:hAnsi="宋体"/>
          <w:color w:val="auto"/>
          <w:szCs w:val="21"/>
          <w:highlight w:val="none"/>
        </w:rPr>
        <w:t>日 09:</w:t>
      </w:r>
      <w:r>
        <w:rPr>
          <w:rFonts w:hint="eastAsia" w:ascii="宋体" w:hAnsi="宋体"/>
          <w:color w:val="auto"/>
          <w:szCs w:val="21"/>
          <w:highlight w:val="none"/>
          <w:lang w:val="en-US" w:eastAsia="zh-CN"/>
        </w:rPr>
        <w:t>3</w:t>
      </w:r>
      <w:r>
        <w:rPr>
          <w:rFonts w:hint="eastAsia" w:ascii="宋体" w:hAnsi="宋体"/>
          <w:color w:val="auto"/>
          <w:szCs w:val="21"/>
          <w:highlight w:val="none"/>
        </w:rPr>
        <w:t>0</w:t>
      </w:r>
      <w:r>
        <w:rPr>
          <w:rFonts w:hint="eastAsia" w:ascii="宋体" w:hAnsi="宋体"/>
          <w:color w:val="auto"/>
          <w:szCs w:val="21"/>
          <w:highlight w:val="none"/>
        </w:rPr>
        <w:t>（北京时间）前提交响应文件</w:t>
      </w:r>
    </w:p>
    <w:p w14:paraId="1561A21C">
      <w:pPr>
        <w:pStyle w:val="41"/>
        <w:spacing w:before="75" w:beforeAutospacing="0" w:after="75" w:afterAutospacing="0" w:line="405" w:lineRule="atLeast"/>
        <w:ind w:firstLine="420"/>
        <w:jc w:val="both"/>
        <w:rPr>
          <w:rFonts w:cs="宋体"/>
          <w:color w:val="auto"/>
          <w:sz w:val="21"/>
          <w:szCs w:val="21"/>
          <w:highlight w:val="none"/>
          <w:lang w:bidi="zh-CN"/>
        </w:rPr>
      </w:pPr>
      <w:r>
        <w:rPr>
          <w:rFonts w:hint="eastAsia" w:cs="宋体"/>
          <w:b/>
          <w:bCs/>
          <w:color w:val="auto"/>
          <w:sz w:val="21"/>
          <w:szCs w:val="21"/>
          <w:highlight w:val="none"/>
          <w:lang w:bidi="zh-CN"/>
        </w:rPr>
        <w:t>一、项目基本情况</w:t>
      </w:r>
    </w:p>
    <w:p w14:paraId="616290A4">
      <w:pPr>
        <w:spacing w:line="540" w:lineRule="exact"/>
        <w:ind w:firstLine="420" w:firstLineChars="200"/>
        <w:rPr>
          <w:rFonts w:ascii="宋体" w:hAnsi="宋体" w:cs="宋体"/>
          <w:color w:val="auto"/>
          <w:kern w:val="0"/>
          <w:szCs w:val="21"/>
          <w:highlight w:val="none"/>
          <w:lang w:bidi="zh-CN"/>
        </w:rPr>
      </w:pPr>
      <w:r>
        <w:rPr>
          <w:rFonts w:hint="eastAsia" w:ascii="宋体" w:hAnsi="宋体" w:cs="宋体"/>
          <w:color w:val="auto"/>
          <w:szCs w:val="21"/>
          <w:highlight w:val="none"/>
          <w:lang w:bidi="zh-CN"/>
        </w:rPr>
        <w:t>项目编号：</w:t>
      </w:r>
      <w:r>
        <w:rPr>
          <w:rFonts w:hint="eastAsia" w:ascii="宋体" w:hAnsi="宋体" w:cs="宋体"/>
          <w:color w:val="auto"/>
          <w:kern w:val="0"/>
          <w:szCs w:val="21"/>
          <w:highlight w:val="none"/>
          <w:lang w:bidi="zh-CN"/>
        </w:rPr>
        <w:t>YLZC2026-C2-020100-GXQL</w:t>
      </w:r>
    </w:p>
    <w:p w14:paraId="60B9ACAE">
      <w:pPr>
        <w:pStyle w:val="41"/>
        <w:spacing w:before="75" w:beforeAutospacing="0" w:after="75" w:afterAutospacing="0" w:line="405" w:lineRule="atLeast"/>
        <w:ind w:firstLine="420"/>
        <w:jc w:val="both"/>
        <w:rPr>
          <w:rFonts w:hint="eastAsia" w:cs="宋体"/>
          <w:color w:val="auto"/>
          <w:sz w:val="21"/>
          <w:szCs w:val="21"/>
          <w:highlight w:val="none"/>
          <w:lang w:val="en-US" w:eastAsia="zh-CN" w:bidi="zh-CN"/>
        </w:rPr>
      </w:pPr>
      <w:r>
        <w:rPr>
          <w:rFonts w:hint="eastAsia" w:cs="宋体"/>
          <w:color w:val="auto"/>
          <w:sz w:val="21"/>
          <w:szCs w:val="21"/>
          <w:highlight w:val="none"/>
          <w:lang w:bidi="zh-CN"/>
        </w:rPr>
        <w:t>政府采购计划编号：</w:t>
      </w:r>
      <w:r>
        <w:rPr>
          <w:rFonts w:hint="eastAsia" w:cs="宋体"/>
          <w:color w:val="auto"/>
          <w:sz w:val="21"/>
          <w:szCs w:val="21"/>
          <w:highlight w:val="none"/>
          <w:lang w:val="en-US" w:eastAsia="zh-CN" w:bidi="zh-CN"/>
        </w:rPr>
        <w:t>YLZC2026-C2-20854-001、YLZC2026-C2-20854-002</w:t>
      </w:r>
    </w:p>
    <w:p w14:paraId="2028239A">
      <w:pPr>
        <w:pStyle w:val="41"/>
        <w:spacing w:before="75" w:beforeAutospacing="0" w:after="75" w:afterAutospacing="0" w:line="405" w:lineRule="atLeast"/>
        <w:ind w:firstLine="420"/>
        <w:jc w:val="both"/>
        <w:rPr>
          <w:rFonts w:cs="宋体"/>
          <w:color w:val="auto"/>
          <w:sz w:val="21"/>
          <w:szCs w:val="21"/>
          <w:highlight w:val="none"/>
          <w:lang w:bidi="zh-CN"/>
        </w:rPr>
      </w:pPr>
      <w:r>
        <w:rPr>
          <w:rFonts w:hint="eastAsia" w:cs="宋体"/>
          <w:color w:val="auto"/>
          <w:sz w:val="21"/>
          <w:szCs w:val="21"/>
          <w:highlight w:val="none"/>
          <w:lang w:bidi="zh-CN"/>
        </w:rPr>
        <w:t xml:space="preserve">项目名称：凤村上凤小型农田水利项目 </w:t>
      </w:r>
    </w:p>
    <w:p w14:paraId="660A878B">
      <w:pPr>
        <w:pStyle w:val="41"/>
        <w:spacing w:before="75" w:beforeAutospacing="0" w:after="75" w:afterAutospacing="0" w:line="405" w:lineRule="atLeast"/>
        <w:ind w:firstLine="420"/>
        <w:jc w:val="both"/>
        <w:rPr>
          <w:rFonts w:cs="宋体"/>
          <w:color w:val="auto"/>
          <w:sz w:val="21"/>
          <w:szCs w:val="21"/>
          <w:highlight w:val="none"/>
          <w:lang w:bidi="zh-CN"/>
        </w:rPr>
      </w:pPr>
      <w:r>
        <w:rPr>
          <w:rFonts w:hint="eastAsia" w:cs="宋体"/>
          <w:color w:val="auto"/>
          <w:sz w:val="21"/>
          <w:szCs w:val="21"/>
          <w:highlight w:val="none"/>
          <w:lang w:bidi="zh-CN"/>
        </w:rPr>
        <w:t xml:space="preserve">采购方式：竞争性磋商 </w:t>
      </w:r>
    </w:p>
    <w:p w14:paraId="321CDE86">
      <w:pPr>
        <w:pStyle w:val="41"/>
        <w:tabs>
          <w:tab w:val="center" w:pos="4734"/>
        </w:tabs>
        <w:spacing w:before="75" w:beforeAutospacing="0" w:after="75" w:afterAutospacing="0" w:line="405" w:lineRule="atLeast"/>
        <w:ind w:firstLine="420"/>
        <w:jc w:val="both"/>
        <w:rPr>
          <w:rFonts w:cs="宋体"/>
          <w:color w:val="auto"/>
          <w:sz w:val="21"/>
          <w:szCs w:val="21"/>
          <w:highlight w:val="none"/>
          <w:lang w:bidi="zh-CN"/>
        </w:rPr>
      </w:pPr>
      <w:r>
        <w:rPr>
          <w:rFonts w:hint="eastAsia" w:cs="宋体"/>
          <w:color w:val="auto"/>
          <w:sz w:val="21"/>
          <w:szCs w:val="21"/>
          <w:highlight w:val="none"/>
          <w:lang w:bidi="zh-CN"/>
        </w:rPr>
        <w:t>预算金额：</w:t>
      </w:r>
      <w:r>
        <w:rPr>
          <w:rFonts w:hint="eastAsia" w:cs="宋体"/>
          <w:color w:val="auto"/>
          <w:sz w:val="21"/>
          <w:szCs w:val="21"/>
          <w:highlight w:val="none"/>
          <w:lang w:val="en-US" w:bidi="zh-CN"/>
        </w:rPr>
        <w:t>545526.71</w:t>
      </w:r>
      <w:r>
        <w:rPr>
          <w:rFonts w:hint="eastAsia" w:cs="宋体"/>
          <w:color w:val="auto"/>
          <w:sz w:val="21"/>
          <w:szCs w:val="21"/>
          <w:highlight w:val="none"/>
          <w:lang w:bidi="zh-CN"/>
        </w:rPr>
        <w:t>元</w:t>
      </w:r>
      <w:r>
        <w:rPr>
          <w:rFonts w:hint="eastAsia" w:cs="宋体"/>
          <w:color w:val="auto"/>
          <w:sz w:val="21"/>
          <w:szCs w:val="21"/>
          <w:highlight w:val="none"/>
          <w:lang w:bidi="zh-CN"/>
        </w:rPr>
        <w:tab/>
      </w:r>
    </w:p>
    <w:p w14:paraId="592F98CE">
      <w:pPr>
        <w:pStyle w:val="41"/>
        <w:spacing w:before="75" w:beforeAutospacing="0" w:after="75" w:afterAutospacing="0" w:line="405" w:lineRule="atLeast"/>
        <w:ind w:firstLine="420"/>
        <w:jc w:val="both"/>
        <w:rPr>
          <w:rFonts w:cs="宋体"/>
          <w:color w:val="auto"/>
          <w:sz w:val="21"/>
          <w:szCs w:val="21"/>
          <w:highlight w:val="none"/>
          <w:lang w:bidi="zh-CN"/>
        </w:rPr>
      </w:pPr>
      <w:r>
        <w:rPr>
          <w:rFonts w:hint="eastAsia" w:cs="宋体"/>
          <w:color w:val="auto"/>
          <w:sz w:val="21"/>
          <w:szCs w:val="21"/>
          <w:highlight w:val="none"/>
          <w:lang w:bidi="zh-CN"/>
        </w:rPr>
        <w:t>最高限价：与预算金额一致</w:t>
      </w:r>
    </w:p>
    <w:p w14:paraId="040A8E0D">
      <w:pPr>
        <w:pStyle w:val="41"/>
        <w:spacing w:before="75" w:beforeAutospacing="0" w:after="75" w:afterAutospacing="0" w:line="405" w:lineRule="atLeast"/>
        <w:ind w:firstLine="420"/>
        <w:jc w:val="both"/>
        <w:rPr>
          <w:rFonts w:hint="eastAsia" w:cs="宋体"/>
          <w:color w:val="auto"/>
          <w:sz w:val="21"/>
          <w:szCs w:val="21"/>
          <w:highlight w:val="none"/>
          <w:lang w:val="en-US" w:eastAsia="zh-CN" w:bidi="zh-CN"/>
        </w:rPr>
      </w:pPr>
      <w:r>
        <w:rPr>
          <w:rFonts w:hint="eastAsia" w:cs="宋体"/>
          <w:color w:val="auto"/>
          <w:sz w:val="21"/>
          <w:szCs w:val="21"/>
          <w:highlight w:val="none"/>
          <w:lang w:bidi="zh-CN"/>
        </w:rPr>
        <w:t>采购需求及采购内容：</w:t>
      </w:r>
      <w:r>
        <w:rPr>
          <w:rFonts w:hint="eastAsia" w:cs="宋体"/>
          <w:color w:val="auto"/>
          <w:sz w:val="21"/>
          <w:szCs w:val="21"/>
          <w:highlight w:val="none"/>
          <w:lang w:eastAsia="zh-CN" w:bidi="zh-CN"/>
        </w:rPr>
        <w:t>主要建设内容为小型水利项目，本工程建设三面光水渠，水渠内空2.2米，内高1.5米，总长276米</w:t>
      </w:r>
      <w:r>
        <w:rPr>
          <w:rFonts w:hint="eastAsia" w:cs="宋体"/>
          <w:color w:val="auto"/>
          <w:sz w:val="21"/>
          <w:szCs w:val="21"/>
          <w:highlight w:val="none"/>
          <w:lang w:bidi="zh-CN"/>
        </w:rPr>
        <w:t>。</w:t>
      </w:r>
    </w:p>
    <w:p w14:paraId="1983296D">
      <w:pPr>
        <w:pStyle w:val="41"/>
        <w:spacing w:before="75" w:beforeAutospacing="0" w:after="75" w:afterAutospacing="0" w:line="405" w:lineRule="atLeast"/>
        <w:ind w:firstLine="420" w:firstLineChars="200"/>
        <w:jc w:val="both"/>
        <w:rPr>
          <w:rFonts w:hint="eastAsia" w:cs="宋体"/>
          <w:color w:val="auto"/>
          <w:sz w:val="21"/>
          <w:szCs w:val="21"/>
          <w:highlight w:val="none"/>
          <w:lang w:bidi="zh-CN"/>
        </w:rPr>
      </w:pPr>
      <w:r>
        <w:rPr>
          <w:rFonts w:hint="eastAsia" w:cs="宋体"/>
          <w:color w:val="auto"/>
          <w:sz w:val="21"/>
          <w:szCs w:val="21"/>
          <w:highlight w:val="none"/>
          <w:lang w:bidi="zh-CN"/>
        </w:rPr>
        <w:t xml:space="preserve">合同履约期限： </w:t>
      </w:r>
      <w:r>
        <w:rPr>
          <w:rFonts w:hint="eastAsia" w:cs="宋体"/>
          <w:color w:val="auto"/>
          <w:sz w:val="21"/>
          <w:szCs w:val="21"/>
          <w:highlight w:val="none"/>
          <w:lang w:bidi="zh-CN"/>
        </w:rPr>
        <w:t>工期</w:t>
      </w:r>
      <w:r>
        <w:rPr>
          <w:rFonts w:hint="eastAsia" w:cs="宋体"/>
          <w:color w:val="auto"/>
          <w:sz w:val="21"/>
          <w:szCs w:val="21"/>
          <w:highlight w:val="none"/>
          <w:lang w:val="en-US" w:bidi="zh-CN"/>
        </w:rPr>
        <w:t>90天（日历天）</w:t>
      </w:r>
      <w:r>
        <w:rPr>
          <w:rFonts w:hint="eastAsia" w:cs="宋体"/>
          <w:color w:val="auto"/>
          <w:sz w:val="21"/>
          <w:szCs w:val="21"/>
          <w:highlight w:val="none"/>
          <w:lang w:bidi="zh-CN"/>
        </w:rPr>
        <w:t>。</w:t>
      </w:r>
    </w:p>
    <w:p w14:paraId="0A95F77A">
      <w:pPr>
        <w:pStyle w:val="41"/>
        <w:spacing w:before="75" w:beforeAutospacing="0" w:after="75" w:afterAutospacing="0" w:line="405" w:lineRule="atLeast"/>
        <w:ind w:left="420" w:leftChars="200" w:firstLine="0" w:firstLineChars="0"/>
        <w:jc w:val="both"/>
        <w:rPr>
          <w:rFonts w:hint="eastAsia" w:cs="宋体"/>
          <w:color w:val="auto"/>
          <w:sz w:val="21"/>
          <w:szCs w:val="21"/>
          <w:highlight w:val="none"/>
          <w:lang w:bidi="zh-CN"/>
        </w:rPr>
      </w:pPr>
      <w:r>
        <w:rPr>
          <w:rFonts w:hint="eastAsia" w:cs="宋体"/>
          <w:color w:val="auto"/>
          <w:sz w:val="21"/>
          <w:szCs w:val="21"/>
          <w:highlight w:val="none"/>
          <w:lang w:bidi="zh-CN"/>
        </w:rPr>
        <w:t>本标项（否）接受联合体投标</w:t>
      </w:r>
      <w:r>
        <w:rPr>
          <w:rFonts w:hint="eastAsia" w:cs="宋体"/>
          <w:color w:val="auto"/>
          <w:sz w:val="21"/>
          <w:szCs w:val="21"/>
          <w:highlight w:val="none"/>
          <w:lang w:bidi="zh-CN"/>
        </w:rPr>
        <w:br w:type="textWrapping"/>
      </w:r>
      <w:r>
        <w:rPr>
          <w:rFonts w:hint="eastAsia" w:cs="宋体"/>
          <w:color w:val="auto"/>
          <w:sz w:val="21"/>
          <w:szCs w:val="21"/>
          <w:highlight w:val="none"/>
          <w:lang w:bidi="zh-CN"/>
        </w:rPr>
        <w:t>备注：</w:t>
      </w:r>
    </w:p>
    <w:p w14:paraId="593BBBEB">
      <w:pPr>
        <w:spacing w:line="440" w:lineRule="exact"/>
        <w:ind w:firstLine="422" w:firstLineChars="200"/>
        <w:rPr>
          <w:rFonts w:ascii="宋体" w:hAnsi="宋体"/>
          <w:color w:val="auto"/>
          <w:szCs w:val="21"/>
          <w:highlight w:val="none"/>
        </w:rPr>
      </w:pPr>
      <w:r>
        <w:rPr>
          <w:rFonts w:hint="eastAsia" w:ascii="宋体" w:hAnsi="宋体"/>
          <w:b/>
          <w:color w:val="auto"/>
          <w:szCs w:val="21"/>
          <w:highlight w:val="none"/>
        </w:rPr>
        <w:t>二、申请人的资格要求</w:t>
      </w:r>
    </w:p>
    <w:p w14:paraId="66CD3493">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2444D48D">
      <w:pPr>
        <w:spacing w:line="440" w:lineRule="exact"/>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color w:val="auto"/>
          <w:szCs w:val="21"/>
          <w:highlight w:val="none"/>
        </w:rPr>
        <w:t>本项目属于专门面向中小企业采购的项目，供应商应为中小微企业或监狱企业或残疾人福利性单位；</w:t>
      </w:r>
    </w:p>
    <w:p w14:paraId="3D2C6195">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3.本项目的特定资格要求：分标1供应商须具备</w:t>
      </w:r>
      <w:bookmarkStart w:id="1" w:name="_Hlk87627428"/>
      <w:r>
        <w:rPr>
          <w:rFonts w:hint="eastAsia" w:ascii="宋体" w:hAnsi="宋体"/>
          <w:b/>
          <w:bCs/>
          <w:color w:val="auto"/>
          <w:szCs w:val="21"/>
          <w:highlight w:val="none"/>
          <w:u w:val="single"/>
          <w:lang w:eastAsia="zh-CN"/>
        </w:rPr>
        <w:t>水利水电工程施工总承包叁级（含叁级）</w:t>
      </w:r>
      <w:r>
        <w:rPr>
          <w:rFonts w:hint="eastAsia" w:ascii="宋体" w:hAnsi="宋体"/>
          <w:color w:val="auto"/>
          <w:szCs w:val="21"/>
          <w:highlight w:val="none"/>
        </w:rPr>
        <w:t>以上资质，并在人员、设备、资金等方面具备相应的施工能力，具备有效的安全生产许可证。</w:t>
      </w:r>
    </w:p>
    <w:bookmarkEnd w:id="1"/>
    <w:p w14:paraId="7F02E033">
      <w:pPr>
        <w:spacing w:line="440" w:lineRule="exact"/>
        <w:ind w:firstLine="422" w:firstLineChars="200"/>
        <w:rPr>
          <w:rFonts w:ascii="宋体" w:hAnsi="宋体"/>
          <w:b/>
          <w:color w:val="auto"/>
          <w:szCs w:val="21"/>
          <w:highlight w:val="none"/>
        </w:rPr>
      </w:pPr>
      <w:r>
        <w:rPr>
          <w:rFonts w:hint="eastAsia" w:ascii="宋体" w:hAnsi="宋体"/>
          <w:b/>
          <w:color w:val="auto"/>
          <w:szCs w:val="21"/>
          <w:highlight w:val="none"/>
        </w:rPr>
        <w:t>三、获取采购文件</w:t>
      </w:r>
    </w:p>
    <w:p w14:paraId="723C358C">
      <w:pPr>
        <w:pStyle w:val="41"/>
        <w:spacing w:before="75" w:beforeAutospacing="0" w:after="75" w:afterAutospacing="0" w:line="405" w:lineRule="atLeast"/>
        <w:ind w:firstLine="420"/>
        <w:jc w:val="both"/>
        <w:rPr>
          <w:color w:val="auto"/>
          <w:kern w:val="2"/>
          <w:sz w:val="21"/>
          <w:szCs w:val="21"/>
          <w:highlight w:val="none"/>
          <w:lang w:val="zh-CN"/>
        </w:rPr>
      </w:pPr>
      <w:r>
        <w:rPr>
          <w:rFonts w:hint="eastAsia"/>
          <w:color w:val="auto"/>
          <w:kern w:val="2"/>
          <w:sz w:val="21"/>
          <w:szCs w:val="21"/>
          <w:highlight w:val="none"/>
          <w:lang w:val="zh-CN"/>
        </w:rPr>
        <w:t>时间：</w:t>
      </w:r>
      <w:r>
        <w:rPr>
          <w:rFonts w:hint="eastAsia"/>
          <w:color w:val="auto"/>
          <w:kern w:val="2"/>
          <w:sz w:val="21"/>
          <w:szCs w:val="21"/>
          <w:highlight w:val="none"/>
          <w:lang w:val="zh-CN"/>
        </w:rPr>
        <w:t>202</w:t>
      </w:r>
      <w:r>
        <w:rPr>
          <w:rFonts w:hint="eastAsia"/>
          <w:color w:val="auto"/>
          <w:kern w:val="2"/>
          <w:sz w:val="21"/>
          <w:szCs w:val="21"/>
          <w:highlight w:val="none"/>
          <w:lang w:val="en-US" w:eastAsia="zh-CN"/>
        </w:rPr>
        <w:t>6</w:t>
      </w:r>
      <w:r>
        <w:rPr>
          <w:rFonts w:hint="eastAsia"/>
          <w:color w:val="auto"/>
          <w:kern w:val="2"/>
          <w:sz w:val="21"/>
          <w:szCs w:val="21"/>
          <w:highlight w:val="none"/>
          <w:lang w:val="zh-CN"/>
        </w:rPr>
        <w:t>年</w:t>
      </w:r>
      <w:r>
        <w:rPr>
          <w:rFonts w:hint="eastAsia"/>
          <w:color w:val="auto"/>
          <w:kern w:val="2"/>
          <w:sz w:val="21"/>
          <w:szCs w:val="21"/>
          <w:highlight w:val="none"/>
          <w:lang w:val="en-US" w:eastAsia="zh-CN"/>
        </w:rPr>
        <w:t>9</w:t>
      </w:r>
      <w:r>
        <w:rPr>
          <w:rFonts w:hint="eastAsia"/>
          <w:color w:val="auto"/>
          <w:kern w:val="2"/>
          <w:sz w:val="21"/>
          <w:szCs w:val="21"/>
          <w:highlight w:val="none"/>
          <w:lang w:val="zh-CN"/>
        </w:rPr>
        <w:t>月</w:t>
      </w:r>
      <w:r>
        <w:rPr>
          <w:rFonts w:hint="eastAsia"/>
          <w:color w:val="auto"/>
          <w:kern w:val="2"/>
          <w:sz w:val="21"/>
          <w:szCs w:val="21"/>
          <w:highlight w:val="none"/>
          <w:lang w:val="en-US" w:eastAsia="zh-CN"/>
        </w:rPr>
        <w:t>21</w:t>
      </w:r>
      <w:r>
        <w:rPr>
          <w:rFonts w:hint="eastAsia"/>
          <w:color w:val="auto"/>
          <w:kern w:val="2"/>
          <w:sz w:val="21"/>
          <w:szCs w:val="21"/>
          <w:highlight w:val="none"/>
          <w:lang w:val="zh-CN"/>
        </w:rPr>
        <w:t>日</w:t>
      </w:r>
      <w:r>
        <w:rPr>
          <w:rFonts w:hint="eastAsia"/>
          <w:color w:val="auto"/>
          <w:kern w:val="2"/>
          <w:sz w:val="21"/>
          <w:szCs w:val="21"/>
          <w:highlight w:val="none"/>
        </w:rPr>
        <w:t>起</w:t>
      </w:r>
      <w:r>
        <w:rPr>
          <w:rFonts w:hint="eastAsia"/>
          <w:color w:val="auto"/>
          <w:kern w:val="2"/>
          <w:sz w:val="21"/>
          <w:szCs w:val="21"/>
          <w:highlight w:val="none"/>
          <w:lang w:val="zh-CN"/>
        </w:rPr>
        <w:t>至</w:t>
      </w:r>
      <w:r>
        <w:rPr>
          <w:rFonts w:hint="eastAsia"/>
          <w:color w:val="auto"/>
          <w:kern w:val="2"/>
          <w:sz w:val="21"/>
          <w:szCs w:val="21"/>
          <w:highlight w:val="none"/>
          <w:lang w:val="zh-CN"/>
        </w:rPr>
        <w:t>202</w:t>
      </w:r>
      <w:r>
        <w:rPr>
          <w:rFonts w:hint="eastAsia"/>
          <w:color w:val="auto"/>
          <w:kern w:val="2"/>
          <w:sz w:val="21"/>
          <w:szCs w:val="21"/>
          <w:highlight w:val="none"/>
          <w:lang w:val="en-US" w:eastAsia="zh-CN"/>
        </w:rPr>
        <w:t>6</w:t>
      </w:r>
      <w:r>
        <w:rPr>
          <w:rFonts w:hint="eastAsia"/>
          <w:color w:val="auto"/>
          <w:kern w:val="2"/>
          <w:sz w:val="21"/>
          <w:szCs w:val="21"/>
          <w:highlight w:val="none"/>
          <w:lang w:val="zh-CN"/>
        </w:rPr>
        <w:t>年</w:t>
      </w:r>
      <w:r>
        <w:rPr>
          <w:rFonts w:hint="eastAsia"/>
          <w:color w:val="auto"/>
          <w:kern w:val="2"/>
          <w:sz w:val="21"/>
          <w:szCs w:val="21"/>
          <w:highlight w:val="none"/>
          <w:lang w:val="en-US" w:eastAsia="zh-CN"/>
        </w:rPr>
        <w:t>9</w:t>
      </w:r>
      <w:r>
        <w:rPr>
          <w:rFonts w:hint="eastAsia"/>
          <w:color w:val="auto"/>
          <w:kern w:val="2"/>
          <w:sz w:val="21"/>
          <w:szCs w:val="21"/>
          <w:highlight w:val="none"/>
          <w:lang w:val="zh-CN"/>
        </w:rPr>
        <w:t>月</w:t>
      </w:r>
      <w:r>
        <w:rPr>
          <w:rFonts w:hint="eastAsia"/>
          <w:color w:val="auto"/>
          <w:kern w:val="2"/>
          <w:sz w:val="21"/>
          <w:szCs w:val="21"/>
          <w:highlight w:val="none"/>
          <w:lang w:val="en-US" w:eastAsia="zh-CN"/>
        </w:rPr>
        <w:t>29</w:t>
      </w:r>
      <w:r>
        <w:rPr>
          <w:rFonts w:hint="eastAsia"/>
          <w:color w:val="auto"/>
          <w:kern w:val="2"/>
          <w:sz w:val="21"/>
          <w:szCs w:val="21"/>
          <w:highlight w:val="none"/>
          <w:lang w:val="zh-CN"/>
        </w:rPr>
        <w:t>日止</w:t>
      </w:r>
      <w:r>
        <w:rPr>
          <w:rFonts w:hint="eastAsia"/>
          <w:color w:val="auto"/>
          <w:kern w:val="2"/>
          <w:sz w:val="21"/>
          <w:szCs w:val="21"/>
          <w:highlight w:val="none"/>
          <w:lang w:val="zh-CN"/>
        </w:rPr>
        <w:t>（工作日），每天8:00至12:00，15:00至1</w:t>
      </w:r>
      <w:r>
        <w:rPr>
          <w:rFonts w:hint="eastAsia"/>
          <w:color w:val="auto"/>
          <w:kern w:val="2"/>
          <w:sz w:val="21"/>
          <w:szCs w:val="21"/>
          <w:highlight w:val="none"/>
        </w:rPr>
        <w:t>7</w:t>
      </w:r>
      <w:r>
        <w:rPr>
          <w:rFonts w:hint="eastAsia"/>
          <w:color w:val="auto"/>
          <w:kern w:val="2"/>
          <w:sz w:val="21"/>
          <w:szCs w:val="21"/>
          <w:highlight w:val="none"/>
          <w:lang w:val="zh-CN"/>
        </w:rPr>
        <w:t>:</w:t>
      </w:r>
      <w:r>
        <w:rPr>
          <w:rFonts w:hint="eastAsia"/>
          <w:color w:val="auto"/>
          <w:kern w:val="2"/>
          <w:sz w:val="21"/>
          <w:szCs w:val="21"/>
          <w:highlight w:val="none"/>
        </w:rPr>
        <w:t>3</w:t>
      </w:r>
      <w:r>
        <w:rPr>
          <w:rFonts w:hint="eastAsia"/>
          <w:color w:val="auto"/>
          <w:kern w:val="2"/>
          <w:sz w:val="21"/>
          <w:szCs w:val="21"/>
          <w:highlight w:val="none"/>
          <w:lang w:val="zh-CN"/>
        </w:rPr>
        <w:t>0（北京时间，法定节假日除外）</w:t>
      </w:r>
    </w:p>
    <w:p w14:paraId="44B9C81E">
      <w:pPr>
        <w:pStyle w:val="41"/>
        <w:spacing w:before="75" w:beforeAutospacing="0" w:after="75" w:afterAutospacing="0" w:line="405" w:lineRule="atLeast"/>
        <w:ind w:firstLine="420"/>
        <w:jc w:val="both"/>
        <w:rPr>
          <w:color w:val="auto"/>
          <w:kern w:val="2"/>
          <w:sz w:val="21"/>
          <w:szCs w:val="21"/>
          <w:highlight w:val="none"/>
          <w:lang w:val="zh-CN"/>
        </w:rPr>
      </w:pPr>
      <w:r>
        <w:rPr>
          <w:rFonts w:hint="eastAsia"/>
          <w:color w:val="auto"/>
          <w:kern w:val="2"/>
          <w:sz w:val="21"/>
          <w:szCs w:val="21"/>
          <w:highlight w:val="none"/>
          <w:lang w:val="zh-CN"/>
        </w:rPr>
        <w:t>2.获取方式：实行供应商实名制在线免费获取竞争性磋商文件。</w:t>
      </w:r>
    </w:p>
    <w:p w14:paraId="46091FA0">
      <w:pPr>
        <w:pStyle w:val="41"/>
        <w:spacing w:before="75" w:beforeAutospacing="0" w:after="75" w:afterAutospacing="0" w:line="405" w:lineRule="atLeast"/>
        <w:ind w:firstLine="420"/>
        <w:jc w:val="both"/>
        <w:rPr>
          <w:color w:val="auto"/>
          <w:kern w:val="2"/>
          <w:sz w:val="21"/>
          <w:szCs w:val="21"/>
          <w:highlight w:val="none"/>
          <w:lang w:val="zh-CN"/>
        </w:rPr>
      </w:pPr>
      <w:r>
        <w:rPr>
          <w:rFonts w:hint="eastAsia"/>
          <w:color w:val="auto"/>
          <w:kern w:val="2"/>
          <w:sz w:val="21"/>
          <w:szCs w:val="21"/>
          <w:highlight w:val="none"/>
          <w:lang w:val="zh-CN"/>
        </w:rPr>
        <w:t>注：（1)供应商须登录广西政府采购云平台https://www.gcy.zfcg.gxzf.gov.cn在“供应商入驻”完成账号注册后，登录广西政府采购云平台“项目采购——获取采购文件”模块自行下载竞争性磋商文件。</w:t>
      </w:r>
    </w:p>
    <w:p w14:paraId="4ED7B76B">
      <w:pPr>
        <w:pStyle w:val="41"/>
        <w:spacing w:before="75" w:beforeAutospacing="0" w:after="75" w:afterAutospacing="0" w:line="405" w:lineRule="atLeast"/>
        <w:ind w:firstLine="420"/>
        <w:jc w:val="both"/>
        <w:rPr>
          <w:color w:val="auto"/>
          <w:kern w:val="2"/>
          <w:sz w:val="21"/>
          <w:szCs w:val="21"/>
          <w:highlight w:val="none"/>
          <w:lang w:val="zh-CN"/>
        </w:rPr>
      </w:pPr>
      <w:r>
        <w:rPr>
          <w:rFonts w:hint="eastAsia"/>
          <w:color w:val="auto"/>
          <w:kern w:val="2"/>
          <w:sz w:val="21"/>
          <w:szCs w:val="21"/>
          <w:highlight w:val="none"/>
          <w:lang w:val="zh-CN"/>
        </w:rPr>
        <w:t>(2)已获取竞争性磋商文件的供应商不等于符合本项目的供应商资格条件。</w:t>
      </w:r>
    </w:p>
    <w:p w14:paraId="00F24FD6">
      <w:pPr>
        <w:pStyle w:val="41"/>
        <w:spacing w:before="75" w:beforeAutospacing="0" w:after="75" w:afterAutospacing="0" w:line="405" w:lineRule="atLeast"/>
        <w:ind w:firstLine="420"/>
        <w:jc w:val="both"/>
        <w:rPr>
          <w:color w:val="auto"/>
          <w:kern w:val="2"/>
          <w:sz w:val="21"/>
          <w:szCs w:val="21"/>
          <w:highlight w:val="none"/>
        </w:rPr>
      </w:pPr>
      <w:r>
        <w:rPr>
          <w:rFonts w:hint="eastAsia"/>
          <w:color w:val="auto"/>
          <w:kern w:val="2"/>
          <w:sz w:val="21"/>
          <w:szCs w:val="21"/>
          <w:highlight w:val="none"/>
          <w:lang w:val="zh-CN"/>
        </w:rPr>
        <w:t>(3)如在广西政府采购云平台操作过程中遇到问题或者需要技术支持，请致电广西政府采购云客服热线：400-881-7190。</w:t>
      </w:r>
    </w:p>
    <w:p w14:paraId="2BF07490">
      <w:pPr>
        <w:widowControl/>
        <w:spacing w:line="44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提示</w:t>
      </w:r>
      <w:r>
        <w:rPr>
          <w:rFonts w:ascii="宋体" w:hAnsi="宋体" w:cs="宋体"/>
          <w:color w:val="auto"/>
          <w:kern w:val="0"/>
          <w:szCs w:val="21"/>
          <w:highlight w:val="none"/>
        </w:rPr>
        <w:t>：</w:t>
      </w:r>
    </w:p>
    <w:p w14:paraId="4DBE7615">
      <w:pPr>
        <w:widowControl/>
        <w:numPr>
          <w:ilvl w:val="0"/>
          <w:numId w:val="2"/>
        </w:num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供应商在“</w:t>
      </w:r>
      <w:r>
        <w:rPr>
          <w:rFonts w:hint="eastAsia" w:ascii="宋体" w:hAnsi="宋体"/>
          <w:color w:val="auto"/>
          <w:szCs w:val="21"/>
          <w:highlight w:val="none"/>
          <w:lang w:eastAsia="zh-CN"/>
        </w:rPr>
        <w:t>广西政府采购云</w:t>
      </w:r>
      <w:r>
        <w:rPr>
          <w:rFonts w:hint="eastAsia" w:ascii="宋体" w:hAnsi="宋体"/>
          <w:color w:val="auto"/>
          <w:szCs w:val="21"/>
          <w:highlight w:val="none"/>
        </w:rPr>
        <w:t>平台”“获取采购文件”时填写的联系人手机号应当为磋商代表的手机号。</w:t>
      </w:r>
    </w:p>
    <w:p w14:paraId="327E6466">
      <w:pPr>
        <w:widowControl/>
        <w:spacing w:line="440" w:lineRule="exact"/>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2.</w:t>
      </w:r>
      <w:r>
        <w:rPr>
          <w:rFonts w:hint="eastAsia" w:ascii="宋体" w:hAnsi="宋体" w:cs="宋体"/>
          <w:color w:val="auto"/>
          <w:kern w:val="0"/>
          <w:szCs w:val="21"/>
          <w:highlight w:val="none"/>
        </w:rPr>
        <w:t>供应商</w:t>
      </w:r>
      <w:r>
        <w:rPr>
          <w:rFonts w:ascii="宋体" w:hAnsi="宋体" w:cs="宋体"/>
          <w:color w:val="auto"/>
          <w:kern w:val="0"/>
          <w:szCs w:val="21"/>
          <w:highlight w:val="none"/>
        </w:rPr>
        <w:t>只有在“</w:t>
      </w:r>
      <w:r>
        <w:rPr>
          <w:rFonts w:hint="eastAsia" w:ascii="宋体" w:hAnsi="宋体" w:cs="宋体"/>
          <w:color w:val="auto"/>
          <w:kern w:val="0"/>
          <w:szCs w:val="21"/>
          <w:highlight w:val="none"/>
          <w:lang w:eastAsia="zh-CN"/>
        </w:rPr>
        <w:t>广西政府采购云</w:t>
      </w:r>
      <w:r>
        <w:rPr>
          <w:rFonts w:ascii="宋体" w:hAnsi="宋体" w:cs="宋体"/>
          <w:color w:val="auto"/>
          <w:kern w:val="0"/>
          <w:szCs w:val="21"/>
          <w:highlight w:val="none"/>
        </w:rPr>
        <w:t>平台”完成获取</w:t>
      </w:r>
      <w:r>
        <w:rPr>
          <w:rFonts w:hint="eastAsia" w:ascii="宋体" w:hAnsi="宋体" w:cs="宋体"/>
          <w:color w:val="auto"/>
          <w:kern w:val="0"/>
          <w:szCs w:val="21"/>
          <w:highlight w:val="none"/>
        </w:rPr>
        <w:t>磋商</w:t>
      </w:r>
      <w:r>
        <w:rPr>
          <w:rFonts w:ascii="宋体" w:hAnsi="宋体" w:cs="宋体"/>
          <w:color w:val="auto"/>
          <w:kern w:val="0"/>
          <w:szCs w:val="21"/>
          <w:highlight w:val="none"/>
        </w:rPr>
        <w:t>文件申请并下载了</w:t>
      </w:r>
      <w:r>
        <w:rPr>
          <w:rFonts w:hint="eastAsia" w:ascii="宋体" w:hAnsi="宋体" w:cs="宋体"/>
          <w:color w:val="auto"/>
          <w:kern w:val="0"/>
          <w:szCs w:val="21"/>
          <w:highlight w:val="none"/>
        </w:rPr>
        <w:t>磋商</w:t>
      </w:r>
      <w:r>
        <w:rPr>
          <w:rFonts w:ascii="宋体" w:hAnsi="宋体" w:cs="宋体"/>
          <w:color w:val="auto"/>
          <w:kern w:val="0"/>
          <w:szCs w:val="21"/>
          <w:highlight w:val="none"/>
        </w:rPr>
        <w:t>文件后才视作依法获取</w:t>
      </w:r>
      <w:r>
        <w:rPr>
          <w:rFonts w:hint="eastAsia" w:ascii="宋体" w:hAnsi="宋体" w:cs="宋体"/>
          <w:color w:val="auto"/>
          <w:kern w:val="0"/>
          <w:szCs w:val="21"/>
          <w:highlight w:val="none"/>
        </w:rPr>
        <w:t>磋商</w:t>
      </w:r>
      <w:r>
        <w:rPr>
          <w:rFonts w:ascii="宋体" w:hAnsi="宋体" w:cs="宋体"/>
          <w:color w:val="auto"/>
          <w:kern w:val="0"/>
          <w:szCs w:val="21"/>
          <w:highlight w:val="none"/>
        </w:rPr>
        <w:t>文件（法律法规所指的</w:t>
      </w:r>
      <w:r>
        <w:rPr>
          <w:rFonts w:hint="eastAsia" w:ascii="宋体" w:hAnsi="宋体" w:cs="宋体"/>
          <w:color w:val="auto"/>
          <w:kern w:val="0"/>
          <w:szCs w:val="21"/>
          <w:highlight w:val="none"/>
        </w:rPr>
        <w:t>供应商</w:t>
      </w:r>
      <w:r>
        <w:rPr>
          <w:rFonts w:ascii="宋体" w:hAnsi="宋体" w:cs="宋体"/>
          <w:color w:val="auto"/>
          <w:kern w:val="0"/>
          <w:szCs w:val="21"/>
          <w:highlight w:val="none"/>
        </w:rPr>
        <w:t>获取</w:t>
      </w:r>
      <w:r>
        <w:rPr>
          <w:rFonts w:hint="eastAsia" w:ascii="宋体" w:hAnsi="宋体" w:cs="宋体"/>
          <w:color w:val="auto"/>
          <w:kern w:val="0"/>
          <w:szCs w:val="21"/>
          <w:highlight w:val="none"/>
        </w:rPr>
        <w:t>磋商</w:t>
      </w:r>
      <w:r>
        <w:rPr>
          <w:rFonts w:ascii="宋体" w:hAnsi="宋体" w:cs="宋体"/>
          <w:color w:val="auto"/>
          <w:kern w:val="0"/>
          <w:szCs w:val="21"/>
          <w:highlight w:val="none"/>
        </w:rPr>
        <w:t>文件时间以</w:t>
      </w:r>
      <w:r>
        <w:rPr>
          <w:rFonts w:hint="eastAsia" w:ascii="宋体" w:hAnsi="宋体" w:cs="宋体"/>
          <w:color w:val="auto"/>
          <w:kern w:val="0"/>
          <w:szCs w:val="21"/>
          <w:highlight w:val="none"/>
        </w:rPr>
        <w:t>供应商</w:t>
      </w:r>
      <w:r>
        <w:rPr>
          <w:rFonts w:ascii="宋体" w:hAnsi="宋体" w:cs="宋体"/>
          <w:color w:val="auto"/>
          <w:kern w:val="0"/>
          <w:szCs w:val="21"/>
          <w:highlight w:val="none"/>
        </w:rPr>
        <w:t>完成获取</w:t>
      </w:r>
      <w:r>
        <w:rPr>
          <w:rFonts w:hint="eastAsia" w:ascii="宋体" w:hAnsi="宋体" w:cs="宋体"/>
          <w:color w:val="auto"/>
          <w:kern w:val="0"/>
          <w:szCs w:val="21"/>
          <w:highlight w:val="none"/>
        </w:rPr>
        <w:t>磋商</w:t>
      </w:r>
      <w:r>
        <w:rPr>
          <w:rFonts w:ascii="宋体" w:hAnsi="宋体" w:cs="宋体"/>
          <w:color w:val="auto"/>
          <w:kern w:val="0"/>
          <w:szCs w:val="21"/>
          <w:highlight w:val="none"/>
        </w:rPr>
        <w:t>文件申请后下载</w:t>
      </w:r>
      <w:r>
        <w:rPr>
          <w:rFonts w:hint="eastAsia" w:ascii="宋体" w:hAnsi="宋体" w:cs="宋体"/>
          <w:color w:val="auto"/>
          <w:kern w:val="0"/>
          <w:szCs w:val="21"/>
          <w:highlight w:val="none"/>
        </w:rPr>
        <w:t>磋商</w:t>
      </w:r>
      <w:r>
        <w:rPr>
          <w:rFonts w:ascii="宋体" w:hAnsi="宋体" w:cs="宋体"/>
          <w:color w:val="auto"/>
          <w:kern w:val="0"/>
          <w:szCs w:val="21"/>
          <w:highlight w:val="none"/>
        </w:rPr>
        <w:t>文件的时间为准）</w:t>
      </w:r>
      <w:r>
        <w:rPr>
          <w:rFonts w:hint="eastAsia" w:ascii="宋体" w:hAnsi="宋体" w:cs="宋体"/>
          <w:color w:val="auto"/>
          <w:kern w:val="0"/>
          <w:szCs w:val="21"/>
          <w:highlight w:val="none"/>
        </w:rPr>
        <w:t>。</w:t>
      </w:r>
    </w:p>
    <w:p w14:paraId="4A8EDFEE">
      <w:pPr>
        <w:spacing w:line="440" w:lineRule="exact"/>
        <w:ind w:firstLine="422" w:firstLineChars="200"/>
        <w:rPr>
          <w:rFonts w:ascii="宋体" w:hAnsi="宋体"/>
          <w:b/>
          <w:color w:val="auto"/>
          <w:szCs w:val="21"/>
          <w:highlight w:val="none"/>
        </w:rPr>
      </w:pPr>
      <w:bookmarkStart w:id="2" w:name="_Hlk87630394"/>
      <w:r>
        <w:rPr>
          <w:rFonts w:hint="eastAsia" w:ascii="宋体" w:hAnsi="宋体"/>
          <w:b/>
          <w:color w:val="auto"/>
          <w:szCs w:val="21"/>
          <w:highlight w:val="none"/>
        </w:rPr>
        <w:t>四、响应文件提交</w:t>
      </w:r>
    </w:p>
    <w:p w14:paraId="085A5C1F">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截止时间：</w:t>
      </w:r>
      <w:r>
        <w:rPr>
          <w:rFonts w:hint="eastAsia"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12</w:t>
      </w:r>
      <w:r>
        <w:rPr>
          <w:rFonts w:hint="eastAsia" w:ascii="宋体" w:hAnsi="宋体"/>
          <w:color w:val="auto"/>
          <w:szCs w:val="21"/>
          <w:highlight w:val="none"/>
        </w:rPr>
        <w:t>日</w:t>
      </w:r>
      <w:r>
        <w:rPr>
          <w:rFonts w:hint="eastAsia" w:ascii="宋体" w:hAnsi="宋体"/>
          <w:color w:val="auto"/>
          <w:szCs w:val="21"/>
          <w:highlight w:val="none"/>
          <w:lang w:eastAsia="zh-CN"/>
        </w:rPr>
        <w:t>北京时间</w:t>
      </w:r>
      <w:r>
        <w:rPr>
          <w:rFonts w:hint="eastAsia" w:ascii="宋体" w:hAnsi="宋体"/>
          <w:color w:val="auto"/>
          <w:szCs w:val="21"/>
          <w:highlight w:val="none"/>
          <w:lang w:val="en-US" w:eastAsia="zh-CN"/>
        </w:rPr>
        <w:t>09</w:t>
      </w:r>
      <w:r>
        <w:rPr>
          <w:rFonts w:hint="eastAsia" w:ascii="宋体" w:hAnsi="宋体"/>
          <w:color w:val="auto"/>
          <w:szCs w:val="21"/>
          <w:highlight w:val="none"/>
          <w:lang w:eastAsia="zh-CN"/>
        </w:rPr>
        <w:t>时</w:t>
      </w:r>
      <w:r>
        <w:rPr>
          <w:rFonts w:hint="eastAsia" w:ascii="宋体" w:hAnsi="宋体"/>
          <w:color w:val="auto"/>
          <w:szCs w:val="21"/>
          <w:highlight w:val="none"/>
          <w:lang w:val="en-US" w:eastAsia="zh-CN"/>
        </w:rPr>
        <w:t>3</w:t>
      </w:r>
      <w:r>
        <w:rPr>
          <w:rFonts w:hint="eastAsia" w:ascii="宋体" w:hAnsi="宋体"/>
          <w:color w:val="auto"/>
          <w:szCs w:val="21"/>
          <w:highlight w:val="none"/>
        </w:rPr>
        <w:t>0</w:t>
      </w:r>
      <w:r>
        <w:rPr>
          <w:rFonts w:hint="eastAsia" w:ascii="宋体" w:hAnsi="宋体"/>
          <w:color w:val="auto"/>
          <w:szCs w:val="21"/>
          <w:highlight w:val="none"/>
          <w:lang w:eastAsia="zh-CN"/>
        </w:rPr>
        <w:t>分</w:t>
      </w:r>
      <w:r>
        <w:rPr>
          <w:rFonts w:hint="eastAsia" w:ascii="宋体" w:hAnsi="宋体"/>
          <w:color w:val="auto"/>
          <w:szCs w:val="21"/>
          <w:highlight w:val="none"/>
        </w:rPr>
        <w:t>。</w:t>
      </w:r>
    </w:p>
    <w:p w14:paraId="44976017">
      <w:pPr>
        <w:spacing w:line="440" w:lineRule="exact"/>
        <w:ind w:firstLine="420" w:firstLineChars="200"/>
        <w:rPr>
          <w:rFonts w:ascii="宋体" w:hAnsi="宋体"/>
          <w:b/>
          <w:color w:val="auto"/>
          <w:szCs w:val="21"/>
          <w:highlight w:val="none"/>
        </w:rPr>
      </w:pPr>
      <w:r>
        <w:rPr>
          <w:rFonts w:hint="eastAsia" w:ascii="宋体" w:hAnsi="宋体"/>
          <w:color w:val="auto"/>
          <w:szCs w:val="21"/>
          <w:highlight w:val="none"/>
        </w:rPr>
        <w:t>地点</w:t>
      </w:r>
      <w:r>
        <w:rPr>
          <w:rFonts w:ascii="宋体" w:hAnsi="宋体"/>
          <w:color w:val="auto"/>
          <w:szCs w:val="21"/>
          <w:highlight w:val="none"/>
        </w:rPr>
        <w:t>（网址）：通过</w:t>
      </w:r>
      <w:r>
        <w:rPr>
          <w:rFonts w:hint="eastAsia" w:ascii="宋体" w:hAnsi="宋体"/>
          <w:color w:val="auto"/>
          <w:szCs w:val="21"/>
          <w:highlight w:val="none"/>
          <w:lang w:eastAsia="zh-CN"/>
        </w:rPr>
        <w:t>广西政府采购云</w:t>
      </w:r>
      <w:r>
        <w:rPr>
          <w:rFonts w:ascii="宋体" w:hAnsi="宋体"/>
          <w:color w:val="auto"/>
          <w:szCs w:val="21"/>
          <w:highlight w:val="none"/>
        </w:rPr>
        <w:t>平台在线提交</w:t>
      </w:r>
      <w:r>
        <w:rPr>
          <w:rFonts w:hint="eastAsia" w:ascii="宋体" w:hAnsi="宋体"/>
          <w:color w:val="auto"/>
          <w:szCs w:val="21"/>
          <w:highlight w:val="none"/>
        </w:rPr>
        <w:t>。</w:t>
      </w:r>
    </w:p>
    <w:bookmarkEnd w:id="2"/>
    <w:p w14:paraId="5E19677D">
      <w:pPr>
        <w:spacing w:line="440" w:lineRule="exact"/>
        <w:ind w:firstLine="422" w:firstLineChars="200"/>
        <w:rPr>
          <w:rFonts w:ascii="宋体" w:hAnsi="宋体"/>
          <w:b/>
          <w:color w:val="auto"/>
          <w:szCs w:val="21"/>
          <w:highlight w:val="none"/>
        </w:rPr>
      </w:pPr>
      <w:r>
        <w:rPr>
          <w:rFonts w:hint="eastAsia" w:ascii="宋体" w:hAnsi="宋体"/>
          <w:b/>
          <w:color w:val="auto"/>
          <w:szCs w:val="21"/>
          <w:highlight w:val="none"/>
        </w:rPr>
        <w:t>五、开启</w:t>
      </w:r>
    </w:p>
    <w:p w14:paraId="6A81FB3C">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时间：</w:t>
      </w:r>
      <w:r>
        <w:rPr>
          <w:rFonts w:hint="eastAsia"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12</w:t>
      </w:r>
      <w:r>
        <w:rPr>
          <w:rFonts w:hint="eastAsia" w:ascii="宋体" w:hAnsi="宋体"/>
          <w:color w:val="auto"/>
          <w:szCs w:val="21"/>
          <w:highlight w:val="none"/>
        </w:rPr>
        <w:t>日</w:t>
      </w:r>
      <w:r>
        <w:rPr>
          <w:rFonts w:hint="eastAsia" w:ascii="宋体" w:hAnsi="宋体"/>
          <w:color w:val="auto"/>
          <w:szCs w:val="21"/>
          <w:highlight w:val="none"/>
          <w:lang w:eastAsia="zh-CN"/>
        </w:rPr>
        <w:t>北京时间</w:t>
      </w:r>
      <w:r>
        <w:rPr>
          <w:rFonts w:hint="eastAsia" w:ascii="宋体" w:hAnsi="宋体"/>
          <w:color w:val="auto"/>
          <w:szCs w:val="21"/>
          <w:highlight w:val="none"/>
          <w:lang w:val="en-US" w:eastAsia="zh-CN"/>
        </w:rPr>
        <w:t>09</w:t>
      </w:r>
      <w:r>
        <w:rPr>
          <w:rFonts w:hint="eastAsia" w:ascii="宋体" w:hAnsi="宋体"/>
          <w:color w:val="auto"/>
          <w:szCs w:val="21"/>
          <w:highlight w:val="none"/>
          <w:lang w:eastAsia="zh-CN"/>
        </w:rPr>
        <w:t>时</w:t>
      </w:r>
      <w:r>
        <w:rPr>
          <w:rFonts w:hint="eastAsia" w:ascii="宋体" w:hAnsi="宋体"/>
          <w:color w:val="auto"/>
          <w:szCs w:val="21"/>
          <w:highlight w:val="none"/>
          <w:lang w:val="en-US" w:eastAsia="zh-CN"/>
        </w:rPr>
        <w:t>3</w:t>
      </w:r>
      <w:r>
        <w:rPr>
          <w:rFonts w:hint="eastAsia" w:ascii="宋体" w:hAnsi="宋体"/>
          <w:color w:val="auto"/>
          <w:szCs w:val="21"/>
          <w:highlight w:val="none"/>
        </w:rPr>
        <w:t>0</w:t>
      </w:r>
      <w:r>
        <w:rPr>
          <w:rFonts w:hint="eastAsia" w:ascii="宋体" w:hAnsi="宋体"/>
          <w:color w:val="auto"/>
          <w:szCs w:val="21"/>
          <w:highlight w:val="none"/>
          <w:lang w:eastAsia="zh-CN"/>
        </w:rPr>
        <w:t>分</w:t>
      </w:r>
      <w:r>
        <w:rPr>
          <w:rFonts w:hint="eastAsia" w:ascii="宋体" w:hAnsi="宋体"/>
          <w:color w:val="auto"/>
          <w:szCs w:val="21"/>
          <w:highlight w:val="none"/>
        </w:rPr>
        <w:t>后。</w:t>
      </w:r>
    </w:p>
    <w:p w14:paraId="0B9A0769">
      <w:pPr>
        <w:spacing w:line="440" w:lineRule="exact"/>
        <w:ind w:firstLine="420" w:firstLineChars="200"/>
        <w:rPr>
          <w:rFonts w:ascii="宋体" w:hAnsi="宋体"/>
          <w:color w:val="auto"/>
          <w:kern w:val="0"/>
          <w:szCs w:val="21"/>
          <w:highlight w:val="none"/>
        </w:rPr>
      </w:pPr>
      <w:r>
        <w:rPr>
          <w:rFonts w:hint="eastAsia" w:ascii="宋体" w:hAnsi="宋体"/>
          <w:color w:val="auto"/>
          <w:szCs w:val="21"/>
          <w:highlight w:val="none"/>
        </w:rPr>
        <w:t>地点</w:t>
      </w:r>
      <w:r>
        <w:rPr>
          <w:rFonts w:ascii="宋体" w:hAnsi="宋体"/>
          <w:color w:val="auto"/>
          <w:szCs w:val="21"/>
          <w:highlight w:val="none"/>
        </w:rPr>
        <w:t>（网址）</w:t>
      </w:r>
      <w:r>
        <w:rPr>
          <w:rFonts w:hint="eastAsia" w:ascii="宋体" w:hAnsi="宋体"/>
          <w:color w:val="auto"/>
          <w:szCs w:val="21"/>
          <w:highlight w:val="none"/>
        </w:rPr>
        <w:t>：</w:t>
      </w:r>
      <w:r>
        <w:rPr>
          <w:rFonts w:ascii="宋体" w:hAnsi="宋体"/>
          <w:color w:val="auto"/>
          <w:szCs w:val="21"/>
          <w:highlight w:val="none"/>
        </w:rPr>
        <w:t>通过</w:t>
      </w:r>
      <w:r>
        <w:rPr>
          <w:rFonts w:hint="eastAsia" w:ascii="宋体" w:hAnsi="宋体"/>
          <w:color w:val="auto"/>
          <w:szCs w:val="21"/>
          <w:highlight w:val="none"/>
          <w:lang w:eastAsia="zh-CN"/>
        </w:rPr>
        <w:t>广西政府采购云</w:t>
      </w:r>
      <w:r>
        <w:rPr>
          <w:rFonts w:ascii="宋体" w:hAnsi="宋体"/>
          <w:color w:val="auto"/>
          <w:szCs w:val="21"/>
          <w:highlight w:val="none"/>
        </w:rPr>
        <w:t>平台在线解密开启。 </w:t>
      </w:r>
    </w:p>
    <w:p w14:paraId="6005F3C4">
      <w:pPr>
        <w:spacing w:line="440" w:lineRule="exact"/>
        <w:ind w:firstLine="422" w:firstLineChars="200"/>
        <w:rPr>
          <w:rFonts w:ascii="宋体" w:hAnsi="宋体"/>
          <w:b/>
          <w:color w:val="auto"/>
          <w:szCs w:val="21"/>
          <w:highlight w:val="none"/>
        </w:rPr>
      </w:pPr>
      <w:r>
        <w:rPr>
          <w:rFonts w:hint="eastAsia" w:ascii="宋体" w:hAnsi="宋体"/>
          <w:b/>
          <w:color w:val="auto"/>
          <w:szCs w:val="21"/>
          <w:highlight w:val="none"/>
        </w:rPr>
        <w:t>六、公告期限：</w:t>
      </w:r>
    </w:p>
    <w:p w14:paraId="3CBC8F4F">
      <w:pPr>
        <w:spacing w:line="44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自本公告发布之日起</w:t>
      </w:r>
      <w:r>
        <w:rPr>
          <w:rFonts w:hint="eastAsia" w:ascii="宋体" w:hAnsi="宋体"/>
          <w:color w:val="auto"/>
          <w:kern w:val="0"/>
          <w:szCs w:val="21"/>
          <w:highlight w:val="none"/>
          <w:lang w:val="en-US" w:eastAsia="zh-CN"/>
        </w:rPr>
        <w:t>5</w:t>
      </w:r>
      <w:r>
        <w:rPr>
          <w:rFonts w:hint="eastAsia" w:ascii="宋体" w:hAnsi="宋体"/>
          <w:color w:val="auto"/>
          <w:kern w:val="0"/>
          <w:szCs w:val="21"/>
          <w:highlight w:val="none"/>
        </w:rPr>
        <w:t>个工作日。</w:t>
      </w:r>
    </w:p>
    <w:p w14:paraId="60CB7939">
      <w:pPr>
        <w:spacing w:line="440" w:lineRule="exact"/>
        <w:ind w:firstLine="422" w:firstLineChars="200"/>
        <w:rPr>
          <w:rFonts w:ascii="宋体" w:hAnsi="宋体"/>
          <w:b/>
          <w:color w:val="auto"/>
          <w:szCs w:val="21"/>
          <w:highlight w:val="none"/>
        </w:rPr>
      </w:pPr>
      <w:r>
        <w:rPr>
          <w:rFonts w:hint="eastAsia" w:ascii="宋体" w:hAnsi="宋体"/>
          <w:b/>
          <w:color w:val="auto"/>
          <w:szCs w:val="21"/>
          <w:highlight w:val="none"/>
        </w:rPr>
        <w:t>七、其他补充事宜：</w:t>
      </w:r>
    </w:p>
    <w:p w14:paraId="3BC74E6C">
      <w:pPr>
        <w:spacing w:line="440" w:lineRule="exact"/>
        <w:ind w:firstLine="420" w:firstLineChars="200"/>
        <w:rPr>
          <w:rFonts w:ascii="宋体" w:hAnsi="宋体"/>
          <w:b/>
          <w:color w:val="auto"/>
          <w:szCs w:val="21"/>
          <w:highlight w:val="none"/>
        </w:rPr>
      </w:pPr>
      <w:r>
        <w:rPr>
          <w:rFonts w:ascii="宋体" w:hAnsi="宋体"/>
          <w:color w:val="auto"/>
          <w:kern w:val="0"/>
          <w:szCs w:val="21"/>
          <w:highlight w:val="none"/>
        </w:rPr>
        <w:t>1.本项目不收取磋商保证金。</w:t>
      </w:r>
    </w:p>
    <w:p w14:paraId="00588E63">
      <w:pPr>
        <w:autoSpaceDE w:val="0"/>
        <w:autoSpaceDN w:val="0"/>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2.本项目需要落实的政府采购政策：（1）本项目属于专门面向中小企业采购的项目，供应商应为符合《政府采购促进中小企业发展管理办法》（财库〔2020〕46 号）、《关于政府采购支持监狱企业发展有关问题的通知》（财库〔2014〕68 号）、《关于促进残疾人就业政府采购政策的通知》（财库〔2017〕141 号）等规定的条件的中小微企业，或监狱企业，或残疾人福利性单位。</w:t>
      </w:r>
    </w:p>
    <w:p w14:paraId="0D32AB22">
      <w:pPr>
        <w:autoSpaceDE w:val="0"/>
        <w:autoSpaceDN w:val="0"/>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（2）专门面向中小企业预留份额为：100%。</w:t>
      </w:r>
    </w:p>
    <w:p w14:paraId="5BC77599">
      <w:pPr>
        <w:autoSpaceDE w:val="0"/>
        <w:autoSpaceDN w:val="0"/>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（3）本项目属于专门面向中小企业采购的项目或者采购包，不再执行价格评审优惠的扶持政策。</w:t>
      </w:r>
    </w:p>
    <w:p w14:paraId="0E59A463">
      <w:pPr>
        <w:autoSpaceDE w:val="0"/>
        <w:autoSpaceDN w:val="0"/>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本项目属于专门面向中小企业采购的项目，依据《政府采购促进中小企业发展管理办法》规定享受扶持政策获得政府采购合同的，小微企业不得将合同分包给大中型企业，中型企业不得将合同分包给大型企业。</w:t>
      </w:r>
    </w:p>
    <w:p w14:paraId="0DBCC889">
      <w:pPr>
        <w:autoSpaceDE w:val="0"/>
        <w:autoSpaceDN w:val="0"/>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3.网上公告媒体查询：中国政府采购网、广西壮族自治区政府采购网、广西玉林市玉州区人民政府门户网站。</w:t>
      </w:r>
    </w:p>
    <w:p w14:paraId="2C98CCC7">
      <w:pPr>
        <w:widowControl/>
        <w:spacing w:line="460" w:lineRule="exact"/>
        <w:ind w:firstLine="420" w:firstLineChars="200"/>
        <w:jc w:val="left"/>
        <w:rPr>
          <w:rFonts w:ascii="宋体" w:hAnsi="宋体" w:cs="Arial"/>
          <w:color w:val="auto"/>
          <w:kern w:val="0"/>
          <w:szCs w:val="21"/>
          <w:highlight w:val="none"/>
        </w:rPr>
      </w:pPr>
      <w:r>
        <w:rPr>
          <w:rFonts w:hint="eastAsia" w:ascii="宋体" w:hAnsi="宋体"/>
          <w:color w:val="auto"/>
          <w:szCs w:val="21"/>
          <w:highlight w:val="none"/>
        </w:rPr>
        <w:t>4.</w:t>
      </w:r>
      <w:r>
        <w:rPr>
          <w:rFonts w:hint="eastAsia" w:ascii="宋体" w:hAnsi="宋体" w:cs="Arial"/>
          <w:color w:val="auto"/>
          <w:kern w:val="0"/>
          <w:szCs w:val="21"/>
          <w:highlight w:val="none"/>
        </w:rPr>
        <w:t>在线响应（网上</w:t>
      </w:r>
      <w:r>
        <w:rPr>
          <w:rFonts w:ascii="宋体" w:hAnsi="宋体" w:cs="Arial"/>
          <w:color w:val="auto"/>
          <w:kern w:val="0"/>
          <w:szCs w:val="21"/>
          <w:highlight w:val="none"/>
        </w:rPr>
        <w:t>磋商</w:t>
      </w:r>
      <w:r>
        <w:rPr>
          <w:rFonts w:hint="eastAsia" w:ascii="宋体" w:hAnsi="宋体" w:cs="Arial"/>
          <w:color w:val="auto"/>
          <w:kern w:val="0"/>
          <w:szCs w:val="21"/>
          <w:highlight w:val="none"/>
        </w:rPr>
        <w:t>）说明</w:t>
      </w:r>
    </w:p>
    <w:p w14:paraId="7DF50099">
      <w:pPr>
        <w:spacing w:line="440" w:lineRule="exact"/>
        <w:ind w:firstLine="420" w:firstLineChars="200"/>
        <w:rPr>
          <w:rFonts w:hint="eastAsia" w:ascii="宋体" w:hAnsi="宋体"/>
          <w:b w:val="0"/>
          <w:bCs/>
          <w:color w:val="auto"/>
          <w:szCs w:val="21"/>
          <w:highlight w:val="none"/>
        </w:rPr>
      </w:pPr>
      <w:r>
        <w:rPr>
          <w:rFonts w:hint="eastAsia" w:ascii="宋体" w:hAnsi="宋体"/>
          <w:b w:val="0"/>
          <w:bCs/>
          <w:color w:val="auto"/>
          <w:szCs w:val="21"/>
          <w:highlight w:val="none"/>
        </w:rPr>
        <w:t>（1）本项目通过</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平台实行在线投标响应（电子投标），供应商需要先安装“</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电子交易客户端”，并按照本竞争性磋商采购文件和</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平台的要求，通过“</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电子交易客户端”编制并加密响应文件。供应商未按规定编制并加密的响应文件，</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平台将予以拒收。“</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电子交易客户端”请自行前往广西政府采购网下载并安装；电子投标具体操作流程参考《政府采购项目电子交易管理操作指南-供应商》；在使用</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投标客户端时，建议使用WIN7及以上操作系统，通过</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平台参与在线投标时如遇平台技术问题详询400-881-7190。</w:t>
      </w:r>
      <w:r>
        <w:rPr>
          <w:rFonts w:hint="eastAsia" w:ascii="宋体" w:hAnsi="宋体"/>
          <w:b w:val="0"/>
          <w:bCs/>
          <w:color w:val="auto"/>
          <w:szCs w:val="21"/>
          <w:highlight w:val="none"/>
        </w:rPr>
        <w:br w:type="textWrapping"/>
      </w:r>
      <w:r>
        <w:rPr>
          <w:rFonts w:hint="eastAsia" w:ascii="宋体" w:hAnsi="宋体"/>
          <w:b w:val="0"/>
          <w:bCs/>
          <w:color w:val="auto"/>
          <w:szCs w:val="21"/>
          <w:highlight w:val="none"/>
          <w:lang w:val="en-US" w:eastAsia="zh-CN"/>
        </w:rPr>
        <w:t xml:space="preserve">    </w:t>
      </w:r>
      <w:r>
        <w:rPr>
          <w:rFonts w:hint="eastAsia" w:ascii="宋体" w:hAnsi="宋体"/>
          <w:b w:val="0"/>
          <w:bCs/>
          <w:color w:val="auto"/>
          <w:szCs w:val="21"/>
          <w:highlight w:val="none"/>
        </w:rPr>
        <w:t>（2）为确保网上操作合法、有效和安全，磋商供应商应当在开标截止时间前完成在“政府采购云平台”的身份认证，确保在电子投标过程中能够对相关数据电文进行加密和使用电子签章。使用“</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电子交易客户端”需要提前申领CA数字证书，申领流程请自行前往相关网站进行查阅（完成CA数字证书办理预计一周左右，建议供应商获取竞争性磋商采购文件后立即办理）。</w:t>
      </w:r>
      <w:r>
        <w:rPr>
          <w:rFonts w:hint="eastAsia" w:ascii="宋体" w:hAnsi="宋体"/>
          <w:b w:val="0"/>
          <w:bCs/>
          <w:color w:val="auto"/>
          <w:szCs w:val="21"/>
          <w:highlight w:val="none"/>
        </w:rPr>
        <w:br w:type="textWrapping"/>
      </w:r>
      <w:r>
        <w:rPr>
          <w:rFonts w:hint="eastAsia" w:ascii="宋体" w:hAnsi="宋体"/>
          <w:b w:val="0"/>
          <w:bCs/>
          <w:color w:val="auto"/>
          <w:szCs w:val="21"/>
          <w:highlight w:val="none"/>
          <w:lang w:val="en-US" w:eastAsia="zh-CN"/>
        </w:rPr>
        <w:t xml:space="preserve">    </w:t>
      </w:r>
      <w:r>
        <w:rPr>
          <w:rFonts w:hint="eastAsia" w:ascii="宋体" w:hAnsi="宋体"/>
          <w:b w:val="0"/>
          <w:bCs/>
          <w:color w:val="auto"/>
          <w:szCs w:val="21"/>
          <w:highlight w:val="none"/>
        </w:rPr>
        <w:t>（3）磋商供应商应当在开标截止时间前，将生成的“电子磋商响应文件”上传递交至</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平台。开标截止时间前可以补充、修改或者撤回电子磋商响应文件。补充或者修改电子磋商响应文件的，应当先行撤回原文件，补充、修改后重新传输递交，开标截止时间前未完成传输的，视为撤回磋商响应文件。</w:t>
      </w:r>
      <w:r>
        <w:rPr>
          <w:rFonts w:hint="eastAsia" w:ascii="宋体" w:hAnsi="宋体"/>
          <w:b w:val="0"/>
          <w:bCs/>
          <w:color w:val="auto"/>
          <w:szCs w:val="21"/>
          <w:highlight w:val="none"/>
        </w:rPr>
        <w:br w:type="textWrapping"/>
      </w:r>
      <w:r>
        <w:rPr>
          <w:rFonts w:hint="eastAsia" w:ascii="宋体" w:hAnsi="宋体"/>
          <w:b w:val="0"/>
          <w:bCs/>
          <w:color w:val="auto"/>
          <w:szCs w:val="21"/>
          <w:highlight w:val="none"/>
          <w:lang w:val="en-US" w:eastAsia="zh-CN"/>
        </w:rPr>
        <w:t xml:space="preserve">    </w:t>
      </w:r>
      <w:r>
        <w:rPr>
          <w:rFonts w:hint="eastAsia" w:ascii="宋体" w:hAnsi="宋体"/>
          <w:b w:val="0"/>
          <w:bCs/>
          <w:color w:val="auto"/>
          <w:szCs w:val="21"/>
          <w:highlight w:val="none"/>
        </w:rPr>
        <w:t>（4）若磋商供应商的电子加密磋商响应文件无法按时解密可在30分钟内向代理机构提供电子备份磋商响应文件，逾期送达的将予以拒收，所造成的后果由投标供应商自行承担。</w:t>
      </w:r>
      <w:r>
        <w:rPr>
          <w:rFonts w:hint="eastAsia" w:ascii="宋体" w:hAnsi="宋体"/>
          <w:b w:val="0"/>
          <w:bCs/>
          <w:color w:val="auto"/>
          <w:szCs w:val="21"/>
          <w:highlight w:val="none"/>
        </w:rPr>
        <w:br w:type="textWrapping"/>
      </w:r>
      <w:r>
        <w:rPr>
          <w:rFonts w:hint="eastAsia" w:ascii="宋体" w:hAnsi="宋体"/>
          <w:b w:val="0"/>
          <w:bCs/>
          <w:color w:val="auto"/>
          <w:szCs w:val="21"/>
          <w:highlight w:val="none"/>
          <w:lang w:val="en-US" w:eastAsia="zh-CN"/>
        </w:rPr>
        <w:t xml:space="preserve">    </w:t>
      </w:r>
      <w:r>
        <w:rPr>
          <w:rFonts w:hint="eastAsia" w:ascii="宋体" w:hAnsi="宋体"/>
          <w:b w:val="0"/>
          <w:bCs/>
          <w:color w:val="auto"/>
          <w:szCs w:val="21"/>
          <w:highlight w:val="none"/>
        </w:rPr>
        <w:t>（5）在磋商供应商提交了电子备份磋商响应文件后，如通过</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平台上传递交的电子加密磋商响应文件无法按时解密且无法通过</w:t>
      </w:r>
      <w:r>
        <w:rPr>
          <w:rFonts w:hint="eastAsia" w:ascii="宋体" w:hAnsi="宋体"/>
          <w:b w:val="0"/>
          <w:bCs/>
          <w:color w:val="auto"/>
          <w:szCs w:val="21"/>
          <w:highlight w:val="none"/>
          <w:lang w:eastAsia="zh-CN"/>
        </w:rPr>
        <w:t>广西政府采购云</w:t>
      </w:r>
      <w:r>
        <w:rPr>
          <w:rFonts w:hint="eastAsia" w:ascii="宋体" w:hAnsi="宋体"/>
          <w:b w:val="0"/>
          <w:bCs/>
          <w:color w:val="auto"/>
          <w:szCs w:val="21"/>
          <w:highlight w:val="none"/>
        </w:rPr>
        <w:t>“异常处理”端口处理的视为磋商响应文件撤回，所造成的后果由投标供应商自行承担。</w:t>
      </w:r>
    </w:p>
    <w:p w14:paraId="61B662CB">
      <w:pPr>
        <w:spacing w:line="440" w:lineRule="exact"/>
        <w:ind w:firstLine="420" w:firstLineChars="200"/>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5.本项目为远程异地全流程电子评标。评标主会场地址：玉林市玉州区公共资源交易中心（玉林市金港路388号26幢）；评标副会场地址：梧州市蒙山县公共资源交易中心（广西梧州市蒙山县政务中心4楼）。</w:t>
      </w:r>
    </w:p>
    <w:p w14:paraId="7C044CFF">
      <w:pPr>
        <w:spacing w:line="440" w:lineRule="exact"/>
        <w:ind w:firstLine="422" w:firstLineChars="200"/>
        <w:rPr>
          <w:rFonts w:ascii="宋体" w:hAnsi="宋体"/>
          <w:b/>
          <w:color w:val="auto"/>
          <w:szCs w:val="21"/>
          <w:highlight w:val="none"/>
        </w:rPr>
      </w:pPr>
      <w:r>
        <w:rPr>
          <w:rFonts w:hint="eastAsia" w:ascii="宋体" w:hAnsi="宋体"/>
          <w:b/>
          <w:color w:val="auto"/>
          <w:szCs w:val="21"/>
          <w:highlight w:val="none"/>
        </w:rPr>
        <w:t>八、凡对本次采购提出询问，请按以下方式联系。</w:t>
      </w:r>
    </w:p>
    <w:p w14:paraId="1A6126B1">
      <w:pPr>
        <w:widowControl/>
        <w:spacing w:line="440" w:lineRule="exact"/>
        <w:rPr>
          <w:rFonts w:ascii="宋体" w:hAnsi="宋体"/>
          <w:color w:val="auto"/>
          <w:szCs w:val="21"/>
          <w:highlight w:val="none"/>
        </w:rPr>
      </w:pPr>
      <w:r>
        <w:rPr>
          <w:rFonts w:hint="eastAsia" w:ascii="宋体" w:hAnsi="宋体"/>
          <w:color w:val="auto"/>
          <w:szCs w:val="21"/>
          <w:highlight w:val="none"/>
        </w:rPr>
        <w:t>1、采购人信息：</w:t>
      </w:r>
    </w:p>
    <w:p w14:paraId="494ED356">
      <w:pPr>
        <w:widowControl/>
        <w:spacing w:line="440" w:lineRule="exact"/>
        <w:rPr>
          <w:rFonts w:hint="eastAsia" w:ascii="宋体" w:hAnsi="宋体" w:eastAsia="宋体"/>
          <w:color w:val="auto"/>
          <w:szCs w:val="21"/>
          <w:highlight w:val="none"/>
          <w:lang w:eastAsia="zh-CN"/>
        </w:rPr>
      </w:pPr>
      <w:r>
        <w:rPr>
          <w:rFonts w:hint="eastAsia" w:ascii="宋体" w:hAnsi="宋体"/>
          <w:color w:val="auto"/>
          <w:szCs w:val="21"/>
          <w:highlight w:val="none"/>
        </w:rPr>
        <w:t>名称：</w:t>
      </w:r>
      <w:r>
        <w:rPr>
          <w:rFonts w:hint="eastAsia" w:ascii="宋体" w:hAnsi="宋体"/>
          <w:color w:val="auto"/>
          <w:szCs w:val="21"/>
          <w:highlight w:val="none"/>
          <w:lang w:eastAsia="zh-CN"/>
        </w:rPr>
        <w:t>玉林市玉州区城北街道办事处</w:t>
      </w:r>
    </w:p>
    <w:p w14:paraId="46E0BC2C">
      <w:pPr>
        <w:widowControl/>
        <w:spacing w:line="440" w:lineRule="exact"/>
        <w:rPr>
          <w:rFonts w:hint="eastAsia" w:ascii="宋体" w:hAnsi="宋体"/>
          <w:color w:val="auto"/>
          <w:szCs w:val="21"/>
          <w:highlight w:val="none"/>
          <w:lang w:eastAsia="zh-CN"/>
        </w:rPr>
      </w:pPr>
      <w:r>
        <w:rPr>
          <w:rFonts w:hint="eastAsia" w:ascii="宋体" w:hAnsi="宋体"/>
          <w:color w:val="auto"/>
          <w:szCs w:val="21"/>
          <w:highlight w:val="none"/>
        </w:rPr>
        <w:t>地址：</w:t>
      </w:r>
      <w:r>
        <w:rPr>
          <w:rFonts w:hint="eastAsia" w:ascii="宋体" w:hAnsi="宋体"/>
          <w:color w:val="auto"/>
          <w:szCs w:val="21"/>
          <w:highlight w:val="none"/>
          <w:lang w:eastAsia="zh-CN"/>
        </w:rPr>
        <w:t>玉州区日华路1号</w:t>
      </w:r>
    </w:p>
    <w:p w14:paraId="17D12332">
      <w:pPr>
        <w:pStyle w:val="59"/>
        <w:rPr>
          <w:color w:val="auto"/>
          <w:highlight w:val="none"/>
        </w:rPr>
      </w:pPr>
      <w:r>
        <w:rPr>
          <w:rFonts w:hint="eastAsia"/>
          <w:color w:val="auto"/>
          <w:highlight w:val="none"/>
        </w:rPr>
        <w:t>联系人：</w:t>
      </w:r>
      <w:r>
        <w:rPr>
          <w:rFonts w:hint="eastAsia" w:ascii="宋体" w:hAnsi="宋体"/>
          <w:color w:val="auto"/>
          <w:szCs w:val="21"/>
          <w:highlight w:val="none"/>
          <w:lang w:eastAsia="zh-CN"/>
        </w:rPr>
        <w:t>林承俊</w:t>
      </w:r>
    </w:p>
    <w:p w14:paraId="0A5BD604">
      <w:pPr>
        <w:widowControl/>
        <w:spacing w:line="440" w:lineRule="exact"/>
        <w:rPr>
          <w:rFonts w:hint="eastAsia" w:ascii="宋体" w:hAnsi="宋体" w:eastAsia="宋体"/>
          <w:color w:val="auto"/>
          <w:szCs w:val="21"/>
          <w:highlight w:val="none"/>
          <w:lang w:eastAsia="zh-CN"/>
        </w:rPr>
      </w:pPr>
      <w:r>
        <w:rPr>
          <w:rFonts w:hint="eastAsia" w:ascii="宋体" w:hAnsi="宋体"/>
          <w:color w:val="auto"/>
          <w:szCs w:val="21"/>
          <w:highlight w:val="none"/>
        </w:rPr>
        <w:t>联系方式：</w:t>
      </w:r>
      <w:r>
        <w:rPr>
          <w:rFonts w:hint="eastAsia" w:ascii="宋体" w:hAnsi="宋体"/>
          <w:color w:val="auto"/>
          <w:szCs w:val="21"/>
          <w:highlight w:val="none"/>
          <w:lang w:eastAsia="zh-CN"/>
        </w:rPr>
        <w:t>0775-2384021</w:t>
      </w:r>
    </w:p>
    <w:p w14:paraId="237D3CED">
      <w:pPr>
        <w:widowControl/>
        <w:spacing w:line="440" w:lineRule="exact"/>
        <w:rPr>
          <w:rFonts w:ascii="宋体" w:hAnsi="宋体"/>
          <w:color w:val="auto"/>
          <w:szCs w:val="21"/>
          <w:highlight w:val="none"/>
        </w:rPr>
      </w:pPr>
      <w:r>
        <w:rPr>
          <w:rFonts w:hint="eastAsia" w:ascii="宋体" w:hAnsi="宋体"/>
          <w:color w:val="auto"/>
          <w:szCs w:val="21"/>
          <w:highlight w:val="none"/>
        </w:rPr>
        <w:t>2.采购代理机构信息</w:t>
      </w:r>
    </w:p>
    <w:p w14:paraId="2DDE6745">
      <w:pPr>
        <w:widowControl/>
        <w:spacing w:line="440" w:lineRule="exact"/>
        <w:rPr>
          <w:rFonts w:hint="eastAsia" w:ascii="宋体" w:hAnsi="宋体" w:eastAsia="宋体"/>
          <w:color w:val="auto"/>
          <w:szCs w:val="21"/>
          <w:highlight w:val="none"/>
          <w:lang w:eastAsia="zh-CN"/>
        </w:rPr>
      </w:pPr>
      <w:r>
        <w:rPr>
          <w:rFonts w:hint="eastAsia" w:ascii="宋体" w:hAnsi="宋体"/>
          <w:color w:val="auto"/>
          <w:szCs w:val="21"/>
          <w:highlight w:val="none"/>
        </w:rPr>
        <w:t>名称：</w:t>
      </w:r>
      <w:r>
        <w:rPr>
          <w:rFonts w:hint="eastAsia" w:ascii="宋体" w:hAnsi="宋体"/>
          <w:color w:val="auto"/>
          <w:szCs w:val="21"/>
          <w:highlight w:val="none"/>
          <w:lang w:eastAsia="zh-CN"/>
        </w:rPr>
        <w:t>广西琪丽达工程管理有限公司</w:t>
      </w:r>
    </w:p>
    <w:p w14:paraId="4E9E0241">
      <w:pPr>
        <w:widowControl/>
        <w:spacing w:line="440" w:lineRule="exact"/>
        <w:rPr>
          <w:rFonts w:hint="eastAsia" w:ascii="宋体" w:hAnsi="宋体"/>
          <w:color w:val="auto"/>
          <w:szCs w:val="21"/>
          <w:highlight w:val="none"/>
          <w:lang w:eastAsia="zh-CN"/>
        </w:rPr>
      </w:pPr>
      <w:r>
        <w:rPr>
          <w:rFonts w:hint="eastAsia" w:ascii="宋体" w:hAnsi="宋体"/>
          <w:color w:val="auto"/>
          <w:szCs w:val="21"/>
          <w:highlight w:val="none"/>
        </w:rPr>
        <w:t>地址：</w:t>
      </w:r>
      <w:r>
        <w:rPr>
          <w:rFonts w:hint="eastAsia" w:ascii="宋体" w:hAnsi="宋体"/>
          <w:color w:val="auto"/>
          <w:szCs w:val="21"/>
          <w:highlight w:val="none"/>
          <w:lang w:eastAsia="zh-CN"/>
        </w:rPr>
        <w:t>玉林市连胜路23号</w:t>
      </w:r>
    </w:p>
    <w:p w14:paraId="223A307A">
      <w:pPr>
        <w:pStyle w:val="59"/>
        <w:rPr>
          <w:rFonts w:hint="eastAsia"/>
          <w:color w:val="auto"/>
          <w:highlight w:val="none"/>
          <w:lang w:eastAsia="zh-CN"/>
        </w:rPr>
      </w:pPr>
      <w:r>
        <w:rPr>
          <w:rFonts w:hint="eastAsia"/>
          <w:color w:val="auto"/>
          <w:highlight w:val="none"/>
        </w:rPr>
        <w:t>联系人：</w:t>
      </w:r>
      <w:r>
        <w:rPr>
          <w:rFonts w:hint="eastAsia" w:ascii="宋体" w:hAnsi="宋体" w:cs="Arial"/>
          <w:color w:val="auto"/>
          <w:kern w:val="0"/>
          <w:szCs w:val="21"/>
          <w:highlight w:val="none"/>
          <w:lang w:eastAsia="zh-CN"/>
        </w:rPr>
        <w:t>刘秋霞</w:t>
      </w:r>
    </w:p>
    <w:p w14:paraId="381B432A">
      <w:pPr>
        <w:widowControl/>
        <w:spacing w:line="440" w:lineRule="exact"/>
        <w:rPr>
          <w:rFonts w:ascii="宋体" w:hAnsi="宋体"/>
          <w:color w:val="auto"/>
          <w:szCs w:val="21"/>
          <w:highlight w:val="none"/>
        </w:rPr>
      </w:pPr>
      <w:r>
        <w:rPr>
          <w:rFonts w:hint="eastAsia" w:ascii="宋体" w:hAnsi="宋体"/>
          <w:color w:val="auto"/>
          <w:szCs w:val="21"/>
          <w:highlight w:val="none"/>
        </w:rPr>
        <w:t>联系方式：</w:t>
      </w:r>
      <w:r>
        <w:rPr>
          <w:rFonts w:hint="eastAsia" w:ascii="宋体" w:hAnsi="宋体"/>
          <w:color w:val="auto"/>
          <w:szCs w:val="21"/>
          <w:highlight w:val="none"/>
          <w:lang w:val="en-US" w:eastAsia="zh-CN"/>
        </w:rPr>
        <w:t>0775-2263266</w:t>
      </w:r>
    </w:p>
    <w:p w14:paraId="5BD9B652">
      <w:pPr>
        <w:spacing w:line="440" w:lineRule="exact"/>
        <w:ind w:firstLine="420" w:firstLineChars="200"/>
        <w:rPr>
          <w:rFonts w:ascii="宋体" w:hAnsi="宋体"/>
          <w:color w:val="auto"/>
          <w:szCs w:val="21"/>
          <w:highlight w:val="none"/>
        </w:rPr>
      </w:pPr>
    </w:p>
    <w:p w14:paraId="373E2E2F">
      <w:pPr>
        <w:spacing w:line="440" w:lineRule="exact"/>
        <w:jc w:val="both"/>
        <w:rPr>
          <w:rFonts w:hint="eastAsia" w:ascii="宋体" w:hAnsi="宋体" w:eastAsia="宋体"/>
          <w:color w:val="auto"/>
          <w:szCs w:val="21"/>
          <w:highlight w:val="none"/>
          <w:lang w:eastAsia="zh-CN"/>
        </w:rPr>
      </w:pPr>
      <w:r>
        <w:rPr>
          <w:rFonts w:hint="eastAsia" w:ascii="宋体" w:hAnsi="宋体"/>
          <w:color w:val="auto"/>
          <w:szCs w:val="21"/>
          <w:highlight w:val="none"/>
        </w:rPr>
        <w:t xml:space="preserve">                           </w:t>
      </w:r>
    </w:p>
    <w:p w14:paraId="28B8EA18">
      <w:pPr>
        <w:spacing w:line="440" w:lineRule="exact"/>
        <w:jc w:val="center"/>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采购代理机构：</w:t>
      </w:r>
      <w:r>
        <w:rPr>
          <w:rFonts w:hint="eastAsia" w:ascii="宋体" w:hAnsi="宋体"/>
          <w:color w:val="auto"/>
          <w:szCs w:val="21"/>
          <w:highlight w:val="none"/>
          <w:lang w:eastAsia="zh-CN"/>
        </w:rPr>
        <w:t>广西琪丽达工程管理有限公司</w:t>
      </w:r>
      <w:r>
        <w:rPr>
          <w:rFonts w:hint="eastAsia" w:ascii="宋体" w:hAnsi="宋体"/>
          <w:color w:val="auto"/>
          <w:szCs w:val="21"/>
          <w:highlight w:val="none"/>
        </w:rPr>
        <w:t xml:space="preserve">                                                           </w:t>
      </w:r>
    </w:p>
    <w:p w14:paraId="13D882A0">
      <w:pPr>
        <w:spacing w:line="440" w:lineRule="exact"/>
        <w:ind w:firstLine="6090" w:firstLineChars="2900"/>
        <w:rPr>
          <w:rFonts w:ascii="宋体" w:hAnsi="宋体"/>
          <w:color w:val="auto"/>
          <w:szCs w:val="21"/>
          <w:highlight w:val="none"/>
        </w:rPr>
      </w:pPr>
      <w:r>
        <w:rPr>
          <w:rFonts w:hint="eastAsia"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val="en-US" w:eastAsia="zh-CN"/>
        </w:rPr>
        <w:t>9</w:t>
      </w:r>
      <w:r>
        <w:rPr>
          <w:rFonts w:hint="eastAsia" w:ascii="宋体" w:hAnsi="宋体"/>
          <w:color w:val="auto"/>
          <w:szCs w:val="21"/>
          <w:highlight w:val="none"/>
        </w:rPr>
        <w:t>月</w:t>
      </w:r>
      <w:r>
        <w:rPr>
          <w:rFonts w:hint="eastAsia" w:ascii="宋体" w:hAnsi="宋体"/>
          <w:color w:val="auto"/>
          <w:szCs w:val="21"/>
          <w:highlight w:val="none"/>
          <w:lang w:val="en-US" w:eastAsia="zh-CN"/>
        </w:rPr>
        <w:t>21</w:t>
      </w:r>
      <w:r>
        <w:rPr>
          <w:rFonts w:hint="eastAsia" w:ascii="宋体" w:hAnsi="宋体"/>
          <w:color w:val="auto"/>
          <w:szCs w:val="21"/>
          <w:highlight w:val="none"/>
        </w:rPr>
        <w:t>日</w:t>
      </w:r>
    </w:p>
    <w:p w14:paraId="56F07345">
      <w:pPr>
        <w:pStyle w:val="4"/>
        <w:spacing w:line="460" w:lineRule="exact"/>
        <w:jc w:val="center"/>
        <w:rPr>
          <w:rFonts w:ascii="宋体" w:hAnsi="宋体" w:eastAsia="宋体"/>
          <w:color w:val="auto"/>
          <w:szCs w:val="24"/>
          <w:highlight w:val="none"/>
        </w:rPr>
      </w:pPr>
      <w:r>
        <w:rPr>
          <w:rFonts w:ascii="宋体" w:hAnsi="宋体" w:eastAsia="宋体"/>
          <w:b w:val="0"/>
          <w:bCs w:val="0"/>
          <w:color w:val="auto"/>
          <w:sz w:val="24"/>
          <w:szCs w:val="24"/>
          <w:highlight w:val="none"/>
        </w:rPr>
        <w:br w:type="page"/>
      </w:r>
      <w:bookmarkStart w:id="3" w:name="_Toc9445"/>
      <w:r>
        <w:rPr>
          <w:rFonts w:hint="eastAsia" w:ascii="宋体" w:hAnsi="宋体" w:eastAsia="宋体"/>
          <w:color w:val="auto"/>
          <w:szCs w:val="24"/>
          <w:highlight w:val="none"/>
        </w:rPr>
        <w:t>第二章  供应商须知及前附表</w:t>
      </w:r>
      <w:bookmarkEnd w:id="3"/>
    </w:p>
    <w:p w14:paraId="54DADE97">
      <w:pPr>
        <w:pStyle w:val="4"/>
        <w:spacing w:before="0" w:after="0" w:line="276" w:lineRule="auto"/>
        <w:jc w:val="center"/>
        <w:rPr>
          <w:rFonts w:ascii="宋体" w:hAnsi="宋体" w:eastAsia="宋体"/>
          <w:color w:val="auto"/>
          <w:sz w:val="30"/>
          <w:szCs w:val="30"/>
          <w:highlight w:val="none"/>
        </w:rPr>
      </w:pPr>
      <w:bookmarkStart w:id="4" w:name="_Toc18682802"/>
      <w:bookmarkStart w:id="5" w:name="_Toc5351"/>
      <w:bookmarkStart w:id="6" w:name="_Toc18682862"/>
      <w:bookmarkStart w:id="7" w:name="_Toc80818614"/>
      <w:r>
        <w:rPr>
          <w:rFonts w:hint="eastAsia" w:ascii="宋体" w:hAnsi="宋体" w:eastAsia="宋体"/>
          <w:color w:val="auto"/>
          <w:sz w:val="30"/>
          <w:szCs w:val="30"/>
          <w:highlight w:val="none"/>
        </w:rPr>
        <w:t>前附表</w:t>
      </w:r>
      <w:bookmarkEnd w:id="4"/>
      <w:bookmarkEnd w:id="5"/>
      <w:bookmarkEnd w:id="6"/>
      <w:bookmarkEnd w:id="7"/>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682"/>
        <w:gridCol w:w="6965"/>
      </w:tblGrid>
      <w:tr w14:paraId="08DB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518" w:type="dxa"/>
            <w:vAlign w:val="center"/>
          </w:tcPr>
          <w:p w14:paraId="34D2CCF8">
            <w:pPr>
              <w:spacing w:line="440" w:lineRule="exact"/>
              <w:jc w:val="center"/>
              <w:rPr>
                <w:rFonts w:ascii="宋体" w:hAnsi="宋体" w:cs="Courier New"/>
                <w:b/>
                <w:color w:val="auto"/>
                <w:spacing w:val="2"/>
                <w:szCs w:val="21"/>
                <w:highlight w:val="none"/>
              </w:rPr>
            </w:pPr>
            <w:bookmarkStart w:id="8" w:name="_Hlk87630531"/>
            <w:r>
              <w:rPr>
                <w:rFonts w:hint="eastAsia" w:ascii="宋体" w:hAnsi="宋体" w:cs="Courier New"/>
                <w:b/>
                <w:color w:val="auto"/>
                <w:spacing w:val="2"/>
                <w:szCs w:val="21"/>
                <w:highlight w:val="none"/>
              </w:rPr>
              <w:t>项号</w:t>
            </w:r>
          </w:p>
        </w:tc>
        <w:tc>
          <w:tcPr>
            <w:tcW w:w="1682" w:type="dxa"/>
            <w:vAlign w:val="center"/>
          </w:tcPr>
          <w:p w14:paraId="35061B30">
            <w:pPr>
              <w:spacing w:line="440" w:lineRule="exact"/>
              <w:jc w:val="center"/>
              <w:rPr>
                <w:rFonts w:ascii="宋体" w:hAnsi="宋体" w:cs="Courier New"/>
                <w:b/>
                <w:color w:val="auto"/>
                <w:spacing w:val="2"/>
                <w:szCs w:val="21"/>
                <w:highlight w:val="none"/>
              </w:rPr>
            </w:pPr>
            <w:r>
              <w:rPr>
                <w:rFonts w:hint="eastAsia" w:ascii="宋体" w:hAnsi="宋体" w:cs="Courier New"/>
                <w:b/>
                <w:color w:val="auto"/>
                <w:spacing w:val="2"/>
                <w:szCs w:val="21"/>
                <w:highlight w:val="none"/>
              </w:rPr>
              <w:t>内容</w:t>
            </w:r>
          </w:p>
        </w:tc>
        <w:tc>
          <w:tcPr>
            <w:tcW w:w="6965" w:type="dxa"/>
            <w:vAlign w:val="center"/>
          </w:tcPr>
          <w:p w14:paraId="72E2AF7B">
            <w:pPr>
              <w:spacing w:line="440" w:lineRule="exact"/>
              <w:jc w:val="center"/>
              <w:rPr>
                <w:rFonts w:ascii="宋体" w:hAnsi="宋体" w:cs="Courier New"/>
                <w:b/>
                <w:color w:val="auto"/>
                <w:spacing w:val="2"/>
                <w:szCs w:val="21"/>
                <w:highlight w:val="none"/>
              </w:rPr>
            </w:pPr>
            <w:r>
              <w:rPr>
                <w:rFonts w:hint="eastAsia" w:ascii="宋体" w:hAnsi="宋体" w:cs="Courier New"/>
                <w:b/>
                <w:color w:val="auto"/>
                <w:spacing w:val="2"/>
                <w:szCs w:val="21"/>
                <w:highlight w:val="none"/>
              </w:rPr>
              <w:t>说明与要求</w:t>
            </w:r>
          </w:p>
        </w:tc>
      </w:tr>
      <w:tr w14:paraId="59D2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518" w:type="dxa"/>
            <w:vAlign w:val="center"/>
          </w:tcPr>
          <w:p w14:paraId="1F8CFD93">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w:t>
            </w:r>
          </w:p>
        </w:tc>
        <w:tc>
          <w:tcPr>
            <w:tcW w:w="1682" w:type="dxa"/>
            <w:vAlign w:val="center"/>
          </w:tcPr>
          <w:p w14:paraId="56D01BEC">
            <w:pPr>
              <w:spacing w:line="440" w:lineRule="exact"/>
              <w:jc w:val="center"/>
              <w:rPr>
                <w:rFonts w:ascii="宋体" w:hAnsi="宋体"/>
                <w:color w:val="auto"/>
                <w:szCs w:val="21"/>
                <w:highlight w:val="none"/>
              </w:rPr>
            </w:pPr>
            <w:r>
              <w:rPr>
                <w:rFonts w:hint="eastAsia" w:ascii="宋体" w:hAnsi="宋体"/>
                <w:color w:val="auto"/>
                <w:szCs w:val="21"/>
                <w:highlight w:val="none"/>
              </w:rPr>
              <w:t>采购项目名称及编号</w:t>
            </w:r>
          </w:p>
        </w:tc>
        <w:tc>
          <w:tcPr>
            <w:tcW w:w="6965" w:type="dxa"/>
          </w:tcPr>
          <w:p w14:paraId="264A69A7">
            <w:pPr>
              <w:spacing w:line="420" w:lineRule="exact"/>
              <w:jc w:val="left"/>
              <w:rPr>
                <w:rFonts w:ascii="宋体" w:hAnsi="宋体"/>
                <w:color w:val="auto"/>
                <w:szCs w:val="21"/>
                <w:highlight w:val="none"/>
              </w:rPr>
            </w:pPr>
            <w:r>
              <w:rPr>
                <w:rFonts w:hint="eastAsia" w:ascii="宋体" w:hAnsi="宋体"/>
                <w:color w:val="auto"/>
                <w:szCs w:val="21"/>
                <w:highlight w:val="none"/>
              </w:rPr>
              <w:t>采购项目名称：</w:t>
            </w:r>
            <w:r>
              <w:rPr>
                <w:rFonts w:hint="eastAsia" w:ascii="宋体" w:hAnsi="宋体" w:cs="宋体"/>
                <w:color w:val="auto"/>
                <w:szCs w:val="21"/>
                <w:highlight w:val="none"/>
                <w:lang w:bidi="zh-CN"/>
              </w:rPr>
              <w:t xml:space="preserve">凤村上凤小型农田水利项目 </w:t>
            </w:r>
          </w:p>
          <w:p w14:paraId="365FBC56">
            <w:pPr>
              <w:spacing w:line="540" w:lineRule="exact"/>
              <w:rPr>
                <w:rFonts w:ascii="宋体" w:hAnsi="宋体"/>
                <w:color w:val="auto"/>
                <w:szCs w:val="21"/>
                <w:highlight w:val="none"/>
              </w:rPr>
            </w:pPr>
            <w:r>
              <w:rPr>
                <w:rFonts w:hint="eastAsia" w:ascii="宋体" w:hAnsi="宋体"/>
                <w:color w:val="auto"/>
                <w:szCs w:val="21"/>
                <w:highlight w:val="none"/>
              </w:rPr>
              <w:t>项目编号：</w:t>
            </w:r>
            <w:r>
              <w:rPr>
                <w:rFonts w:hint="eastAsia" w:ascii="宋体" w:hAnsi="宋体" w:cs="宋体"/>
                <w:color w:val="auto"/>
                <w:kern w:val="0"/>
                <w:szCs w:val="21"/>
                <w:highlight w:val="none"/>
                <w:lang w:bidi="zh-CN"/>
              </w:rPr>
              <w:t>YLZC2026-C2-020100-GXQL</w:t>
            </w:r>
          </w:p>
        </w:tc>
      </w:tr>
      <w:tr w14:paraId="1051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518" w:type="dxa"/>
            <w:vAlign w:val="center"/>
          </w:tcPr>
          <w:p w14:paraId="0C30D84A">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w:t>
            </w:r>
          </w:p>
        </w:tc>
        <w:tc>
          <w:tcPr>
            <w:tcW w:w="1682" w:type="dxa"/>
            <w:vAlign w:val="center"/>
          </w:tcPr>
          <w:p w14:paraId="78C164E2">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建设地点</w:t>
            </w:r>
          </w:p>
        </w:tc>
        <w:tc>
          <w:tcPr>
            <w:tcW w:w="6965" w:type="dxa"/>
            <w:vAlign w:val="center"/>
          </w:tcPr>
          <w:p w14:paraId="4A36D453">
            <w:pPr>
              <w:spacing w:line="420" w:lineRule="exact"/>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广西玉林市玉州区内</w:t>
            </w:r>
          </w:p>
        </w:tc>
      </w:tr>
      <w:tr w14:paraId="6D91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18" w:type="dxa"/>
            <w:vAlign w:val="center"/>
          </w:tcPr>
          <w:p w14:paraId="3D3DAB79">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3</w:t>
            </w:r>
          </w:p>
        </w:tc>
        <w:tc>
          <w:tcPr>
            <w:tcW w:w="1682" w:type="dxa"/>
            <w:vAlign w:val="center"/>
          </w:tcPr>
          <w:p w14:paraId="2E43BD0A">
            <w:pPr>
              <w:spacing w:line="440" w:lineRule="exact"/>
              <w:jc w:val="center"/>
              <w:rPr>
                <w:rFonts w:ascii="宋体" w:hAnsi="宋体"/>
                <w:color w:val="auto"/>
                <w:szCs w:val="21"/>
                <w:highlight w:val="none"/>
              </w:rPr>
            </w:pPr>
            <w:r>
              <w:rPr>
                <w:rFonts w:hint="eastAsia" w:ascii="宋体" w:hAnsi="宋体"/>
                <w:color w:val="auto"/>
                <w:szCs w:val="21"/>
                <w:highlight w:val="none"/>
              </w:rPr>
              <w:t>建设概况</w:t>
            </w:r>
          </w:p>
        </w:tc>
        <w:tc>
          <w:tcPr>
            <w:tcW w:w="6965" w:type="dxa"/>
            <w:vAlign w:val="center"/>
          </w:tcPr>
          <w:p w14:paraId="45D49705">
            <w:pPr>
              <w:spacing w:line="460" w:lineRule="exact"/>
              <w:rPr>
                <w:rFonts w:ascii="宋体" w:hAnsi="宋体"/>
                <w:color w:val="auto"/>
                <w:szCs w:val="21"/>
                <w:highlight w:val="none"/>
              </w:rPr>
            </w:pPr>
            <w:r>
              <w:rPr>
                <w:rFonts w:hint="eastAsia" w:ascii="宋体" w:hAnsi="宋体"/>
                <w:color w:val="auto"/>
                <w:highlight w:val="none"/>
                <w:lang w:val="en-US" w:eastAsia="zh-CN"/>
              </w:rPr>
              <w:t>主要建设内容为小型水利项目，本工程建设三面光水渠，水渠内空2.2米，内高1.5米，总长276米。（</w:t>
            </w:r>
            <w:r>
              <w:rPr>
                <w:rFonts w:hint="eastAsia" w:ascii="宋体" w:hAnsi="宋体"/>
                <w:color w:val="auto"/>
                <w:szCs w:val="21"/>
                <w:highlight w:val="none"/>
              </w:rPr>
              <w:t>具体内容详见图纸及工程量清单</w:t>
            </w:r>
            <w:r>
              <w:rPr>
                <w:rFonts w:hint="eastAsia" w:ascii="宋体" w:hAnsi="宋体"/>
                <w:color w:val="auto"/>
                <w:highlight w:val="none"/>
                <w:lang w:val="en-US" w:eastAsia="zh-CN"/>
              </w:rPr>
              <w:t>）</w:t>
            </w:r>
          </w:p>
        </w:tc>
      </w:tr>
      <w:tr w14:paraId="617E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8" w:type="dxa"/>
            <w:vAlign w:val="center"/>
          </w:tcPr>
          <w:p w14:paraId="72866810">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4</w:t>
            </w:r>
          </w:p>
        </w:tc>
        <w:tc>
          <w:tcPr>
            <w:tcW w:w="1682" w:type="dxa"/>
            <w:vAlign w:val="center"/>
          </w:tcPr>
          <w:p w14:paraId="22D9D07D">
            <w:pPr>
              <w:spacing w:line="440" w:lineRule="exact"/>
              <w:jc w:val="center"/>
              <w:rPr>
                <w:rFonts w:ascii="宋体" w:hAnsi="宋体"/>
                <w:b/>
                <w:color w:val="auto"/>
                <w:szCs w:val="21"/>
                <w:highlight w:val="none"/>
              </w:rPr>
            </w:pPr>
            <w:r>
              <w:rPr>
                <w:rFonts w:hint="eastAsia" w:ascii="宋体" w:hAnsi="宋体"/>
                <w:color w:val="auto"/>
                <w:szCs w:val="21"/>
                <w:highlight w:val="none"/>
              </w:rPr>
              <w:t>采购预算金额</w:t>
            </w:r>
          </w:p>
        </w:tc>
        <w:tc>
          <w:tcPr>
            <w:tcW w:w="6965" w:type="dxa"/>
            <w:vAlign w:val="center"/>
          </w:tcPr>
          <w:p w14:paraId="699A4E58">
            <w:pPr>
              <w:spacing w:line="420" w:lineRule="exact"/>
              <w:ind w:firstLine="430" w:firstLineChars="200"/>
              <w:jc w:val="left"/>
              <w:rPr>
                <w:rFonts w:ascii="宋体" w:hAnsi="宋体" w:cs="Courier New"/>
                <w:b/>
                <w:color w:val="auto"/>
                <w:spacing w:val="2"/>
                <w:szCs w:val="21"/>
                <w:highlight w:val="none"/>
              </w:rPr>
            </w:pPr>
            <w:r>
              <w:rPr>
                <w:rFonts w:hint="eastAsia" w:ascii="宋体" w:hAnsi="宋体" w:cs="Courier New"/>
                <w:b/>
                <w:color w:val="auto"/>
                <w:spacing w:val="2"/>
                <w:szCs w:val="21"/>
                <w:highlight w:val="none"/>
              </w:rPr>
              <w:t>本项目采购预算金额为：</w:t>
            </w:r>
            <w:r>
              <w:rPr>
                <w:rFonts w:hint="eastAsia" w:ascii="宋体" w:hAnsi="宋体" w:cs="宋体"/>
                <w:color w:val="auto"/>
                <w:szCs w:val="21"/>
                <w:highlight w:val="none"/>
                <w:lang w:val="en-US" w:bidi="zh-CN"/>
              </w:rPr>
              <w:t>545526.71</w:t>
            </w:r>
            <w:r>
              <w:rPr>
                <w:rFonts w:hint="eastAsia" w:ascii="宋体" w:hAnsi="宋体" w:cs="宋体"/>
                <w:color w:val="auto"/>
                <w:szCs w:val="21"/>
                <w:highlight w:val="none"/>
                <w:lang w:bidi="zh-CN"/>
              </w:rPr>
              <w:t>元，</w:t>
            </w:r>
            <w:r>
              <w:rPr>
                <w:rFonts w:hint="eastAsia" w:ascii="宋体" w:hAnsi="宋体"/>
                <w:color w:val="auto"/>
                <w:szCs w:val="21"/>
                <w:highlight w:val="none"/>
              </w:rPr>
              <w:t>本采购项目的有效磋商报价范围为：</w:t>
            </w:r>
            <w:r>
              <w:rPr>
                <w:rFonts w:hint="eastAsia" w:ascii="宋体" w:hAnsi="宋体" w:cs="Courier New"/>
                <w:b/>
                <w:color w:val="auto"/>
                <w:spacing w:val="2"/>
                <w:szCs w:val="21"/>
                <w:highlight w:val="none"/>
              </w:rPr>
              <w:t>供应商的最终磋商报价不能高于本项目的采购预算金额。</w:t>
            </w:r>
          </w:p>
        </w:tc>
      </w:tr>
      <w:tr w14:paraId="4E49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518" w:type="dxa"/>
            <w:vAlign w:val="center"/>
          </w:tcPr>
          <w:p w14:paraId="7E2EF03A">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5</w:t>
            </w:r>
          </w:p>
        </w:tc>
        <w:tc>
          <w:tcPr>
            <w:tcW w:w="1682" w:type="dxa"/>
            <w:vAlign w:val="center"/>
          </w:tcPr>
          <w:p w14:paraId="55C3D34D">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质量标准</w:t>
            </w:r>
          </w:p>
        </w:tc>
        <w:tc>
          <w:tcPr>
            <w:tcW w:w="6965" w:type="dxa"/>
            <w:vAlign w:val="center"/>
          </w:tcPr>
          <w:p w14:paraId="02C16DEC">
            <w:pPr>
              <w:spacing w:line="420" w:lineRule="exact"/>
              <w:rPr>
                <w:rFonts w:ascii="宋体" w:hAnsi="宋体"/>
                <w:color w:val="auto"/>
                <w:szCs w:val="21"/>
                <w:highlight w:val="none"/>
              </w:rPr>
            </w:pPr>
            <w:r>
              <w:rPr>
                <w:rFonts w:hint="eastAsia" w:ascii="宋体" w:hAnsi="宋体"/>
                <w:color w:val="auto"/>
                <w:szCs w:val="21"/>
                <w:highlight w:val="none"/>
                <w:lang w:eastAsia="zh-CN"/>
              </w:rPr>
              <w:t>符合</w:t>
            </w:r>
            <w:r>
              <w:rPr>
                <w:rFonts w:hint="eastAsia" w:ascii="宋体" w:hAnsi="宋体"/>
                <w:color w:val="auto"/>
                <w:szCs w:val="21"/>
                <w:highlight w:val="none"/>
              </w:rPr>
              <w:t>国家竣工验收规范的合格标准。</w:t>
            </w:r>
          </w:p>
        </w:tc>
      </w:tr>
      <w:tr w14:paraId="1A9A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18" w:type="dxa"/>
            <w:vAlign w:val="center"/>
          </w:tcPr>
          <w:p w14:paraId="46C6A4C9">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6</w:t>
            </w:r>
          </w:p>
        </w:tc>
        <w:tc>
          <w:tcPr>
            <w:tcW w:w="1682" w:type="dxa"/>
            <w:vAlign w:val="center"/>
          </w:tcPr>
          <w:p w14:paraId="383C884B">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采购范围</w:t>
            </w:r>
          </w:p>
        </w:tc>
        <w:tc>
          <w:tcPr>
            <w:tcW w:w="6965" w:type="dxa"/>
            <w:vAlign w:val="center"/>
          </w:tcPr>
          <w:p w14:paraId="727F0D3D">
            <w:pPr>
              <w:spacing w:line="420" w:lineRule="exact"/>
              <w:rPr>
                <w:rFonts w:ascii="宋体" w:hAnsi="宋体"/>
                <w:color w:val="auto"/>
                <w:szCs w:val="21"/>
                <w:highlight w:val="none"/>
              </w:rPr>
            </w:pPr>
            <w:r>
              <w:rPr>
                <w:rFonts w:hint="eastAsia" w:ascii="宋体" w:hAnsi="宋体"/>
                <w:color w:val="auto"/>
                <w:szCs w:val="21"/>
                <w:highlight w:val="none"/>
              </w:rPr>
              <w:t>工程采购图纸及清单包含及其附属工程等全部内容（具体内容详见图纸及工程量清单）。</w:t>
            </w:r>
          </w:p>
        </w:tc>
      </w:tr>
      <w:tr w14:paraId="186F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518" w:type="dxa"/>
            <w:vAlign w:val="center"/>
          </w:tcPr>
          <w:p w14:paraId="06C722B5">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7</w:t>
            </w:r>
          </w:p>
        </w:tc>
        <w:tc>
          <w:tcPr>
            <w:tcW w:w="1682" w:type="dxa"/>
            <w:vAlign w:val="center"/>
          </w:tcPr>
          <w:p w14:paraId="0E3D4341">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工期要求</w:t>
            </w:r>
          </w:p>
        </w:tc>
        <w:tc>
          <w:tcPr>
            <w:tcW w:w="6965" w:type="dxa"/>
            <w:vAlign w:val="center"/>
          </w:tcPr>
          <w:p w14:paraId="05FEBA71">
            <w:pPr>
              <w:pStyle w:val="41"/>
              <w:widowControl w:val="0"/>
              <w:adjustRightInd w:val="0"/>
              <w:snapToGrid w:val="0"/>
              <w:spacing w:before="0" w:beforeAutospacing="0" w:after="0" w:afterAutospacing="0" w:line="400" w:lineRule="exact"/>
              <w:rPr>
                <w:color w:val="auto"/>
                <w:kern w:val="2"/>
                <w:sz w:val="21"/>
                <w:szCs w:val="21"/>
                <w:highlight w:val="none"/>
              </w:rPr>
            </w:pPr>
            <w:r>
              <w:rPr>
                <w:rFonts w:hint="eastAsia"/>
                <w:color w:val="auto"/>
                <w:kern w:val="2"/>
                <w:sz w:val="21"/>
                <w:szCs w:val="21"/>
                <w:highlight w:val="none"/>
              </w:rPr>
              <w:t>计划工期:</w:t>
            </w:r>
            <w:r>
              <w:rPr>
                <w:rFonts w:hint="eastAsia" w:cs="宋体"/>
                <w:color w:val="auto"/>
                <w:sz w:val="21"/>
                <w:szCs w:val="21"/>
                <w:highlight w:val="none"/>
                <w:lang w:val="en-US" w:bidi="zh-CN"/>
              </w:rPr>
              <w:t>90天（日历天）</w:t>
            </w:r>
          </w:p>
        </w:tc>
      </w:tr>
      <w:bookmarkEnd w:id="8"/>
      <w:tr w14:paraId="2AB2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518" w:type="dxa"/>
            <w:vAlign w:val="center"/>
          </w:tcPr>
          <w:p w14:paraId="478AA747">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8</w:t>
            </w:r>
          </w:p>
        </w:tc>
        <w:tc>
          <w:tcPr>
            <w:tcW w:w="1682" w:type="dxa"/>
            <w:vAlign w:val="center"/>
          </w:tcPr>
          <w:p w14:paraId="1B3A891D">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供应商资格要求</w:t>
            </w:r>
          </w:p>
        </w:tc>
        <w:tc>
          <w:tcPr>
            <w:tcW w:w="6965" w:type="dxa"/>
          </w:tcPr>
          <w:p w14:paraId="073B57BD">
            <w:pPr>
              <w:spacing w:line="440" w:lineRule="exact"/>
              <w:ind w:firstLine="420" w:firstLineChars="200"/>
              <w:rPr>
                <w:rFonts w:ascii="宋体" w:hAnsi="宋体"/>
                <w:color w:val="auto"/>
                <w:highlight w:val="none"/>
              </w:rPr>
            </w:pPr>
            <w:r>
              <w:rPr>
                <w:rFonts w:hint="eastAsia" w:ascii="宋体" w:hAnsi="宋体"/>
                <w:color w:val="auto"/>
                <w:highlight w:val="none"/>
              </w:rPr>
              <w:t>1.满足《中华人民共和国政府采购法》第二十二条规定；</w:t>
            </w:r>
          </w:p>
          <w:p w14:paraId="5B017A5F">
            <w:pPr>
              <w:spacing w:line="440" w:lineRule="exact"/>
              <w:ind w:firstLine="420" w:firstLineChars="200"/>
              <w:rPr>
                <w:rFonts w:ascii="宋体" w:hAnsi="宋体"/>
                <w:color w:val="auto"/>
                <w:highlight w:val="none"/>
              </w:rPr>
            </w:pPr>
            <w:r>
              <w:rPr>
                <w:rFonts w:ascii="宋体" w:hAnsi="宋体"/>
                <w:color w:val="auto"/>
                <w:highlight w:val="none"/>
              </w:rPr>
              <w:t>2</w:t>
            </w:r>
            <w:r>
              <w:rPr>
                <w:rFonts w:hint="eastAsia" w:ascii="宋体" w:hAnsi="宋体"/>
                <w:color w:val="auto"/>
                <w:highlight w:val="none"/>
              </w:rPr>
              <w:t>.落实政府采购政策需满足的资格要求：</w:t>
            </w:r>
            <w:r>
              <w:rPr>
                <w:rFonts w:hint="eastAsia" w:ascii="宋体" w:hAnsi="宋体"/>
                <w:color w:val="auto"/>
                <w:szCs w:val="21"/>
                <w:highlight w:val="none"/>
              </w:rPr>
              <w:t>本项目属于专门面向中小企业采购的项目，供应商应为中小微企业或监狱企业或残疾人福利性单位；</w:t>
            </w:r>
          </w:p>
          <w:p w14:paraId="1529333F">
            <w:pPr>
              <w:spacing w:line="440" w:lineRule="exact"/>
              <w:ind w:firstLine="420" w:firstLineChars="200"/>
              <w:rPr>
                <w:rFonts w:ascii="宋体" w:hAnsi="宋体"/>
                <w:color w:val="auto"/>
                <w:highlight w:val="none"/>
              </w:rPr>
            </w:pPr>
            <w:r>
              <w:rPr>
                <w:rFonts w:hint="eastAsia" w:ascii="宋体" w:hAnsi="宋体"/>
                <w:color w:val="auto"/>
                <w:highlight w:val="none"/>
              </w:rPr>
              <w:t>3.本项目的特定资格要求：</w:t>
            </w:r>
          </w:p>
          <w:p w14:paraId="02C0B714">
            <w:pPr>
              <w:spacing w:line="440" w:lineRule="exact"/>
              <w:ind w:firstLine="420" w:firstLineChars="200"/>
              <w:rPr>
                <w:rFonts w:ascii="宋体" w:hAnsi="宋体"/>
                <w:color w:val="auto"/>
                <w:highlight w:val="none"/>
              </w:rPr>
            </w:pPr>
            <w:r>
              <w:rPr>
                <w:rFonts w:hint="eastAsia" w:ascii="宋体" w:hAnsi="宋体"/>
                <w:color w:val="auto"/>
                <w:highlight w:val="none"/>
              </w:rPr>
              <w:t>（1）供应商须具备</w:t>
            </w:r>
            <w:r>
              <w:rPr>
                <w:rFonts w:hint="eastAsia" w:ascii="宋体" w:hAnsi="宋体"/>
                <w:color w:val="auto"/>
                <w:highlight w:val="none"/>
                <w:lang w:eastAsia="zh-CN"/>
              </w:rPr>
              <w:t>水利水电工程施工总承包叁级（含叁级）</w:t>
            </w:r>
            <w:r>
              <w:rPr>
                <w:rFonts w:hint="eastAsia" w:ascii="宋体" w:hAnsi="宋体"/>
                <w:color w:val="auto"/>
                <w:highlight w:val="none"/>
              </w:rPr>
              <w:t>以上资质，并在人员、设备、资金等方面具备相应的施工能力，具备有效的安全生产许可证。</w:t>
            </w:r>
          </w:p>
          <w:p w14:paraId="6C55DBE4">
            <w:pPr>
              <w:spacing w:line="440" w:lineRule="exact"/>
              <w:ind w:firstLine="420" w:firstLineChars="200"/>
              <w:rPr>
                <w:rFonts w:ascii="宋体" w:hAnsi="宋体"/>
                <w:color w:val="auto"/>
                <w:highlight w:val="none"/>
              </w:rPr>
            </w:pPr>
            <w:r>
              <w:rPr>
                <w:rFonts w:hint="eastAsia" w:ascii="宋体" w:hAnsi="宋体"/>
                <w:color w:val="auto"/>
                <w:highlight w:val="none"/>
              </w:rPr>
              <w:t>（2）拟投入本项目的项目经理必须具备</w:t>
            </w:r>
            <w:r>
              <w:rPr>
                <w:rFonts w:hint="eastAsia" w:ascii="宋体" w:hAnsi="宋体"/>
                <w:color w:val="auto"/>
                <w:highlight w:val="none"/>
                <w:lang w:eastAsia="zh-CN"/>
              </w:rPr>
              <w:t>水利水电工程</w:t>
            </w:r>
            <w:r>
              <w:rPr>
                <w:rFonts w:hint="eastAsia" w:ascii="宋体" w:hAnsi="宋体"/>
                <w:color w:val="auto"/>
                <w:highlight w:val="none"/>
              </w:rPr>
              <w:t>专业贰级（含贰级）以上的注册建造师证，</w:t>
            </w:r>
            <w:r>
              <w:rPr>
                <w:rFonts w:hint="eastAsia" w:ascii="宋体" w:hAnsi="宋体"/>
                <w:color w:val="auto"/>
                <w:szCs w:val="21"/>
                <w:highlight w:val="none"/>
                <w:lang w:eastAsia="zh-CN"/>
              </w:rPr>
              <w:t>有效的</w:t>
            </w:r>
            <w:r>
              <w:rPr>
                <w:rFonts w:hint="eastAsia" w:ascii="宋体" w:hAnsi="宋体"/>
                <w:color w:val="auto"/>
                <w:szCs w:val="21"/>
                <w:highlight w:val="none"/>
              </w:rPr>
              <w:t>安全生产考核合格证书（B类）</w:t>
            </w:r>
            <w:r>
              <w:rPr>
                <w:rFonts w:hint="eastAsia" w:ascii="宋体" w:hAnsi="宋体"/>
                <w:color w:val="auto"/>
                <w:highlight w:val="none"/>
              </w:rPr>
              <w:t>。</w:t>
            </w:r>
          </w:p>
          <w:p w14:paraId="027AB1CE">
            <w:pPr>
              <w:spacing w:line="440" w:lineRule="exact"/>
              <w:ind w:firstLine="421"/>
              <w:rPr>
                <w:rFonts w:ascii="宋体" w:hAnsi="宋体"/>
                <w:color w:val="auto"/>
                <w:highlight w:val="none"/>
              </w:rPr>
            </w:pPr>
            <w:r>
              <w:rPr>
                <w:rFonts w:hint="eastAsia" w:ascii="宋体" w:hAnsi="宋体"/>
                <w:color w:val="auto"/>
                <w:highlight w:val="none"/>
              </w:rPr>
              <w:t>（3）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14:paraId="41F7CDEA">
            <w:pPr>
              <w:widowControl/>
              <w:spacing w:line="440" w:lineRule="exact"/>
              <w:ind w:firstLine="420" w:firstLineChars="200"/>
              <w:jc w:val="left"/>
              <w:rPr>
                <w:rFonts w:hint="eastAsia" w:ascii="宋体" w:hAnsi="宋体"/>
                <w:snapToGrid w:val="0"/>
                <w:color w:val="auto"/>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w:t>
            </w:r>
            <w:r>
              <w:rPr>
                <w:rFonts w:hint="eastAsia" w:ascii="宋体" w:hAnsi="宋体"/>
                <w:snapToGrid w:val="0"/>
                <w:color w:val="auto"/>
                <w:szCs w:val="21"/>
                <w:highlight w:val="none"/>
                <w:lang w:val="en-US" w:eastAsia="zh-CN"/>
              </w:rPr>
              <w:t>4）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0B1C60E3">
            <w:pPr>
              <w:widowControl/>
              <w:spacing w:line="440" w:lineRule="exact"/>
              <w:ind w:firstLine="420" w:firstLineChars="200"/>
              <w:jc w:val="left"/>
              <w:rPr>
                <w:rFonts w:hint="eastAsia" w:ascii="宋体" w:hAnsi="宋体"/>
                <w:snapToGrid w:val="0"/>
                <w:color w:val="auto"/>
                <w:szCs w:val="21"/>
                <w:highlight w:val="none"/>
                <w:lang w:val="zh-CN" w:eastAsia="zh-CN"/>
              </w:rPr>
            </w:pPr>
            <w:r>
              <w:rPr>
                <w:rFonts w:hint="eastAsia" w:ascii="宋体" w:hAnsi="宋体"/>
                <w:snapToGrid w:val="0"/>
                <w:color w:val="auto"/>
                <w:szCs w:val="21"/>
                <w:highlight w:val="none"/>
                <w:lang w:val="zh-CN" w:eastAsia="zh-CN"/>
              </w:rPr>
              <w:t>（</w:t>
            </w:r>
            <w:r>
              <w:rPr>
                <w:rFonts w:hint="eastAsia" w:ascii="宋体" w:hAnsi="宋体"/>
                <w:snapToGrid w:val="0"/>
                <w:color w:val="auto"/>
                <w:szCs w:val="21"/>
                <w:highlight w:val="none"/>
                <w:lang w:val="en-US" w:eastAsia="zh-CN"/>
              </w:rPr>
              <w:t>5</w:t>
            </w:r>
            <w:r>
              <w:rPr>
                <w:rFonts w:hint="eastAsia" w:ascii="宋体" w:hAnsi="宋体"/>
                <w:snapToGrid w:val="0"/>
                <w:color w:val="auto"/>
                <w:szCs w:val="21"/>
                <w:highlight w:val="none"/>
                <w:lang w:val="zh-CN" w:eastAsia="zh-CN"/>
              </w:rPr>
              <w:t>）不接受未按本竞争性磋商公告要求获取采购文件的供应商竞标。</w:t>
            </w:r>
          </w:p>
          <w:p w14:paraId="7A63592F">
            <w:pPr>
              <w:widowControl/>
              <w:spacing w:line="440" w:lineRule="exact"/>
              <w:ind w:firstLine="420" w:firstLineChars="200"/>
              <w:jc w:val="left"/>
              <w:rPr>
                <w:rFonts w:hint="eastAsia" w:ascii="宋体" w:hAnsi="宋体"/>
                <w:snapToGrid w:val="0"/>
                <w:color w:val="auto"/>
                <w:szCs w:val="21"/>
                <w:highlight w:val="none"/>
                <w:lang w:val="zh-CN" w:eastAsia="zh-CN"/>
              </w:rPr>
            </w:pPr>
            <w:r>
              <w:rPr>
                <w:rFonts w:hint="eastAsia" w:ascii="宋体" w:hAnsi="宋体"/>
                <w:snapToGrid w:val="0"/>
                <w:color w:val="auto"/>
                <w:szCs w:val="21"/>
                <w:highlight w:val="none"/>
                <w:lang w:val="zh-CN" w:eastAsia="zh-CN"/>
              </w:rPr>
              <w:t>（</w:t>
            </w:r>
            <w:r>
              <w:rPr>
                <w:rFonts w:hint="eastAsia" w:ascii="宋体" w:hAnsi="宋体"/>
                <w:snapToGrid w:val="0"/>
                <w:color w:val="auto"/>
                <w:szCs w:val="21"/>
                <w:highlight w:val="none"/>
                <w:lang w:val="en-US" w:eastAsia="zh-CN"/>
              </w:rPr>
              <w:t>6</w:t>
            </w:r>
            <w:r>
              <w:rPr>
                <w:rFonts w:hint="eastAsia" w:ascii="宋体" w:hAnsi="宋体"/>
                <w:snapToGrid w:val="0"/>
                <w:color w:val="auto"/>
                <w:szCs w:val="21"/>
                <w:highlight w:val="none"/>
                <w:lang w:val="zh-CN" w:eastAsia="zh-CN"/>
              </w:rPr>
              <w:t>）本项目不接受联合体竞标,不允许转包和分包。</w:t>
            </w:r>
          </w:p>
          <w:p w14:paraId="31B16E90">
            <w:pPr>
              <w:widowControl/>
              <w:spacing w:line="440" w:lineRule="exact"/>
              <w:jc w:val="left"/>
              <w:rPr>
                <w:rFonts w:ascii="宋体" w:hAnsi="宋体"/>
                <w:color w:val="auto"/>
                <w:highlight w:val="none"/>
                <w:lang w:val="zh-CN"/>
              </w:rPr>
            </w:pPr>
          </w:p>
        </w:tc>
      </w:tr>
      <w:tr w14:paraId="042F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18" w:type="dxa"/>
            <w:vAlign w:val="center"/>
          </w:tcPr>
          <w:p w14:paraId="132AEC5C">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9</w:t>
            </w:r>
          </w:p>
        </w:tc>
        <w:tc>
          <w:tcPr>
            <w:tcW w:w="1682" w:type="dxa"/>
            <w:vAlign w:val="center"/>
          </w:tcPr>
          <w:p w14:paraId="13EEB67E">
            <w:pPr>
              <w:spacing w:line="440" w:lineRule="exact"/>
              <w:jc w:val="center"/>
              <w:rPr>
                <w:rFonts w:ascii="宋体" w:hAnsi="宋体" w:cs="Courier New"/>
                <w:color w:val="auto"/>
                <w:spacing w:val="2"/>
                <w:szCs w:val="21"/>
                <w:highlight w:val="none"/>
              </w:rPr>
            </w:pPr>
            <w:r>
              <w:rPr>
                <w:rFonts w:hint="eastAsia" w:ascii="宋体" w:hAnsi="宋体"/>
                <w:bCs/>
                <w:color w:val="auto"/>
                <w:szCs w:val="21"/>
                <w:highlight w:val="none"/>
              </w:rPr>
              <w:t>报价方式</w:t>
            </w:r>
          </w:p>
        </w:tc>
        <w:tc>
          <w:tcPr>
            <w:tcW w:w="6965" w:type="dxa"/>
            <w:vAlign w:val="center"/>
          </w:tcPr>
          <w:p w14:paraId="04ED7BDA">
            <w:pPr>
              <w:pStyle w:val="200"/>
              <w:spacing w:line="420" w:lineRule="exact"/>
              <w:rPr>
                <w:rFonts w:hAnsi="宋体"/>
                <w:color w:val="auto"/>
                <w:szCs w:val="21"/>
                <w:highlight w:val="none"/>
              </w:rPr>
            </w:pPr>
            <w:r>
              <w:rPr>
                <w:rFonts w:hint="eastAsia" w:hAnsi="宋体"/>
                <w:bCs/>
                <w:color w:val="auto"/>
                <w:szCs w:val="21"/>
                <w:highlight w:val="none"/>
              </w:rPr>
              <w:t>工程量清单报价（</w:t>
            </w:r>
            <w:r>
              <w:rPr>
                <w:rFonts w:hint="eastAsia" w:hAnsi="宋体"/>
                <w:b/>
                <w:bCs/>
                <w:color w:val="auto"/>
                <w:szCs w:val="21"/>
                <w:highlight w:val="none"/>
              </w:rPr>
              <w:t>清单计价法），</w:t>
            </w:r>
            <w:r>
              <w:rPr>
                <w:rFonts w:hint="eastAsia" w:hAnsi="宋体"/>
                <w:color w:val="auto"/>
                <w:szCs w:val="21"/>
                <w:highlight w:val="none"/>
              </w:rPr>
              <w:t>供应商按照采购人提供的工程量清单填写。</w:t>
            </w:r>
          </w:p>
        </w:tc>
      </w:tr>
      <w:tr w14:paraId="6CB8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518" w:type="dxa"/>
            <w:vAlign w:val="center"/>
          </w:tcPr>
          <w:p w14:paraId="174FDC0F">
            <w:pPr>
              <w:spacing w:line="440" w:lineRule="exact"/>
              <w:jc w:val="center"/>
              <w:rPr>
                <w:rFonts w:ascii="宋体" w:hAnsi="宋体" w:cs="Courier New"/>
                <w:color w:val="auto"/>
                <w:spacing w:val="2"/>
                <w:szCs w:val="21"/>
                <w:highlight w:val="none"/>
              </w:rPr>
            </w:pPr>
            <w:bookmarkStart w:id="9" w:name="_Hlk87630554"/>
            <w:r>
              <w:rPr>
                <w:rFonts w:hint="eastAsia" w:ascii="宋体" w:hAnsi="宋体" w:cs="Courier New"/>
                <w:color w:val="auto"/>
                <w:spacing w:val="2"/>
                <w:szCs w:val="21"/>
                <w:highlight w:val="none"/>
              </w:rPr>
              <w:t>10</w:t>
            </w:r>
          </w:p>
        </w:tc>
        <w:tc>
          <w:tcPr>
            <w:tcW w:w="1682" w:type="dxa"/>
            <w:vAlign w:val="center"/>
          </w:tcPr>
          <w:p w14:paraId="66764B5B">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磋商有效期</w:t>
            </w:r>
          </w:p>
        </w:tc>
        <w:tc>
          <w:tcPr>
            <w:tcW w:w="6965" w:type="dxa"/>
            <w:vAlign w:val="center"/>
          </w:tcPr>
          <w:p w14:paraId="2E2A904D">
            <w:pPr>
              <w:spacing w:line="420" w:lineRule="exact"/>
              <w:rPr>
                <w:rFonts w:ascii="宋体" w:hAnsi="宋体" w:cs="Courier New"/>
                <w:color w:val="auto"/>
                <w:spacing w:val="2"/>
                <w:szCs w:val="21"/>
                <w:highlight w:val="none"/>
              </w:rPr>
            </w:pPr>
            <w:r>
              <w:rPr>
                <w:rFonts w:hint="eastAsia" w:ascii="宋体" w:hAnsi="宋体" w:cs="Courier New"/>
                <w:color w:val="auto"/>
                <w:spacing w:val="2"/>
                <w:szCs w:val="21"/>
                <w:highlight w:val="none"/>
              </w:rPr>
              <w:t>磋商截止之日后</w:t>
            </w:r>
            <w:r>
              <w:rPr>
                <w:rFonts w:hint="eastAsia" w:ascii="宋体" w:hAnsi="宋体" w:cs="Courier New"/>
                <w:color w:val="auto"/>
                <w:spacing w:val="2"/>
                <w:szCs w:val="21"/>
                <w:highlight w:val="none"/>
                <w:u w:val="single"/>
              </w:rPr>
              <w:t>60</w:t>
            </w:r>
            <w:r>
              <w:rPr>
                <w:rFonts w:hint="eastAsia" w:ascii="宋体" w:hAnsi="宋体" w:cs="Courier New"/>
                <w:color w:val="auto"/>
                <w:spacing w:val="2"/>
                <w:szCs w:val="21"/>
                <w:highlight w:val="none"/>
              </w:rPr>
              <w:t>日历天</w:t>
            </w:r>
          </w:p>
        </w:tc>
      </w:tr>
      <w:bookmarkEnd w:id="9"/>
      <w:tr w14:paraId="10E8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518" w:type="dxa"/>
            <w:vAlign w:val="center"/>
          </w:tcPr>
          <w:p w14:paraId="0BD3FE6A">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11</w:t>
            </w:r>
          </w:p>
        </w:tc>
        <w:tc>
          <w:tcPr>
            <w:tcW w:w="1682" w:type="dxa"/>
            <w:vAlign w:val="center"/>
          </w:tcPr>
          <w:p w14:paraId="653C0603">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磋商保证金</w:t>
            </w:r>
          </w:p>
        </w:tc>
        <w:tc>
          <w:tcPr>
            <w:tcW w:w="6965" w:type="dxa"/>
            <w:vAlign w:val="center"/>
          </w:tcPr>
          <w:p w14:paraId="6F48FC99">
            <w:pPr>
              <w:spacing w:line="420" w:lineRule="exact"/>
              <w:rPr>
                <w:rFonts w:ascii="宋体" w:hAnsi="宋体"/>
                <w:color w:val="auto"/>
                <w:kern w:val="0"/>
                <w:szCs w:val="21"/>
                <w:highlight w:val="none"/>
              </w:rPr>
            </w:pPr>
            <w:r>
              <w:rPr>
                <w:rFonts w:hint="eastAsia" w:ascii="宋体" w:hAnsi="宋体"/>
                <w:color w:val="auto"/>
                <w:kern w:val="0"/>
                <w:szCs w:val="21"/>
                <w:highlight w:val="none"/>
              </w:rPr>
              <w:t>本项目不收取磋商保证金</w:t>
            </w:r>
          </w:p>
        </w:tc>
      </w:tr>
      <w:tr w14:paraId="7785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518" w:type="dxa"/>
            <w:vAlign w:val="center"/>
          </w:tcPr>
          <w:p w14:paraId="0FA55CE0">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12</w:t>
            </w:r>
          </w:p>
        </w:tc>
        <w:tc>
          <w:tcPr>
            <w:tcW w:w="1682" w:type="dxa"/>
            <w:vAlign w:val="center"/>
          </w:tcPr>
          <w:p w14:paraId="23B112CD">
            <w:pPr>
              <w:spacing w:line="440" w:lineRule="exact"/>
              <w:jc w:val="center"/>
              <w:rPr>
                <w:rFonts w:ascii="宋体" w:hAnsi="宋体" w:cs="Courier New"/>
                <w:color w:val="auto"/>
                <w:spacing w:val="2"/>
                <w:szCs w:val="21"/>
                <w:highlight w:val="none"/>
              </w:rPr>
            </w:pPr>
            <w:r>
              <w:rPr>
                <w:rFonts w:hint="eastAsia" w:ascii="宋体" w:hAnsi="宋体" w:cs="Courier New"/>
                <w:bCs/>
                <w:color w:val="auto"/>
                <w:spacing w:val="2"/>
                <w:szCs w:val="21"/>
                <w:highlight w:val="none"/>
              </w:rPr>
              <w:t>现场勘查</w:t>
            </w:r>
          </w:p>
        </w:tc>
        <w:tc>
          <w:tcPr>
            <w:tcW w:w="6965" w:type="dxa"/>
            <w:vAlign w:val="center"/>
          </w:tcPr>
          <w:p w14:paraId="026F6AAE">
            <w:pPr>
              <w:spacing w:line="420" w:lineRule="exact"/>
              <w:rPr>
                <w:rFonts w:ascii="宋体" w:hAnsi="宋体" w:cs="Courier New"/>
                <w:bCs/>
                <w:color w:val="auto"/>
                <w:spacing w:val="2"/>
                <w:szCs w:val="21"/>
                <w:highlight w:val="none"/>
              </w:rPr>
            </w:pPr>
            <w:r>
              <w:rPr>
                <w:rFonts w:hint="eastAsia" w:ascii="宋体" w:hAnsi="宋体" w:cs="Courier New"/>
                <w:bCs/>
                <w:color w:val="auto"/>
                <w:spacing w:val="2"/>
                <w:szCs w:val="21"/>
                <w:highlight w:val="none"/>
              </w:rPr>
              <w:t>采购人不组织现场踏勘，供应商自行现场勘查。</w:t>
            </w:r>
          </w:p>
        </w:tc>
      </w:tr>
      <w:tr w14:paraId="45F1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Align w:val="center"/>
          </w:tcPr>
          <w:p w14:paraId="389B00BA">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13</w:t>
            </w:r>
          </w:p>
        </w:tc>
        <w:tc>
          <w:tcPr>
            <w:tcW w:w="1682" w:type="dxa"/>
            <w:vAlign w:val="center"/>
          </w:tcPr>
          <w:p w14:paraId="2EC85DD1">
            <w:pPr>
              <w:spacing w:line="440" w:lineRule="exact"/>
              <w:jc w:val="center"/>
              <w:rPr>
                <w:rFonts w:ascii="宋体" w:hAnsi="宋体" w:cs="Courier New"/>
                <w:color w:val="auto"/>
                <w:spacing w:val="2"/>
                <w:szCs w:val="21"/>
                <w:highlight w:val="none"/>
              </w:rPr>
            </w:pPr>
            <w:r>
              <w:rPr>
                <w:rFonts w:hint="eastAsia" w:ascii="宋体" w:hAnsi="宋体"/>
                <w:color w:val="auto"/>
                <w:szCs w:val="21"/>
                <w:highlight w:val="none"/>
              </w:rPr>
              <w:t>响应文件形式</w:t>
            </w:r>
          </w:p>
        </w:tc>
        <w:tc>
          <w:tcPr>
            <w:tcW w:w="6965" w:type="dxa"/>
            <w:vAlign w:val="center"/>
          </w:tcPr>
          <w:p w14:paraId="0A77874F">
            <w:pPr>
              <w:spacing w:line="440" w:lineRule="exact"/>
              <w:rPr>
                <w:rFonts w:ascii="宋体" w:hAnsi="宋体"/>
                <w:snapToGrid w:val="0"/>
                <w:color w:val="auto"/>
                <w:szCs w:val="21"/>
                <w:highlight w:val="none"/>
              </w:rPr>
            </w:pPr>
            <w:r>
              <w:rPr>
                <w:rFonts w:hint="eastAsia" w:ascii="宋体" w:hAnsi="宋体"/>
                <w:snapToGrid w:val="0"/>
                <w:color w:val="auto"/>
                <w:szCs w:val="21"/>
                <w:highlight w:val="none"/>
              </w:rPr>
              <w:t>供应商应准备电子</w:t>
            </w:r>
            <w:r>
              <w:rPr>
                <w:rFonts w:hint="eastAsia" w:ascii="宋体" w:hAnsi="宋体"/>
                <w:color w:val="auto"/>
                <w:szCs w:val="21"/>
                <w:highlight w:val="none"/>
              </w:rPr>
              <w:t>响应</w:t>
            </w:r>
            <w:r>
              <w:rPr>
                <w:rFonts w:hint="eastAsia" w:ascii="宋体" w:hAnsi="宋体"/>
                <w:snapToGrid w:val="0"/>
                <w:color w:val="auto"/>
                <w:szCs w:val="21"/>
                <w:highlight w:val="none"/>
              </w:rPr>
              <w:t>文件。电子</w:t>
            </w:r>
            <w:r>
              <w:rPr>
                <w:rFonts w:hint="eastAsia" w:ascii="宋体" w:hAnsi="宋体"/>
                <w:color w:val="auto"/>
                <w:szCs w:val="21"/>
                <w:highlight w:val="none"/>
              </w:rPr>
              <w:t>响应</w:t>
            </w:r>
            <w:r>
              <w:rPr>
                <w:rFonts w:hint="eastAsia" w:ascii="宋体" w:hAnsi="宋体"/>
                <w:snapToGrid w:val="0"/>
                <w:color w:val="auto"/>
                <w:szCs w:val="21"/>
                <w:highlight w:val="none"/>
              </w:rPr>
              <w:t>文件是指通过“</w:t>
            </w:r>
            <w:r>
              <w:rPr>
                <w:rFonts w:hint="eastAsia" w:ascii="宋体" w:hAnsi="宋体"/>
                <w:snapToGrid w:val="0"/>
                <w:color w:val="auto"/>
                <w:szCs w:val="21"/>
                <w:highlight w:val="none"/>
                <w:lang w:eastAsia="zh-CN"/>
              </w:rPr>
              <w:t>广西政府采购云</w:t>
            </w:r>
            <w:r>
              <w:rPr>
                <w:rFonts w:ascii="宋体" w:hAnsi="宋体"/>
                <w:color w:val="auto"/>
                <w:szCs w:val="21"/>
                <w:highlight w:val="none"/>
              </w:rPr>
              <w:t>电子投标</w:t>
            </w:r>
            <w:r>
              <w:rPr>
                <w:rFonts w:hint="eastAsia" w:ascii="宋体" w:hAnsi="宋体"/>
                <w:snapToGrid w:val="0"/>
                <w:color w:val="auto"/>
                <w:szCs w:val="21"/>
                <w:highlight w:val="none"/>
              </w:rPr>
              <w:t>客户端”完成</w:t>
            </w:r>
            <w:r>
              <w:rPr>
                <w:rFonts w:hint="eastAsia" w:ascii="宋体" w:hAnsi="宋体"/>
                <w:color w:val="auto"/>
                <w:szCs w:val="21"/>
                <w:highlight w:val="none"/>
              </w:rPr>
              <w:t>响应</w:t>
            </w:r>
            <w:r>
              <w:rPr>
                <w:rFonts w:hint="eastAsia" w:ascii="宋体" w:hAnsi="宋体"/>
                <w:snapToGrid w:val="0"/>
                <w:color w:val="auto"/>
                <w:szCs w:val="21"/>
                <w:highlight w:val="none"/>
              </w:rPr>
              <w:t>文件编制后生成并加密的数据电文形式的电子加密</w:t>
            </w:r>
            <w:r>
              <w:rPr>
                <w:rFonts w:hint="eastAsia" w:ascii="宋体" w:hAnsi="宋体"/>
                <w:color w:val="auto"/>
                <w:szCs w:val="21"/>
                <w:highlight w:val="none"/>
              </w:rPr>
              <w:t>响应</w:t>
            </w:r>
            <w:r>
              <w:rPr>
                <w:rFonts w:hint="eastAsia" w:ascii="宋体" w:hAnsi="宋体"/>
                <w:snapToGrid w:val="0"/>
                <w:color w:val="auto"/>
                <w:szCs w:val="21"/>
                <w:highlight w:val="none"/>
              </w:rPr>
              <w:t>文件。</w:t>
            </w:r>
          </w:p>
        </w:tc>
      </w:tr>
      <w:tr w14:paraId="71AB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Align w:val="center"/>
          </w:tcPr>
          <w:p w14:paraId="0F6A638B">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14</w:t>
            </w:r>
          </w:p>
        </w:tc>
        <w:tc>
          <w:tcPr>
            <w:tcW w:w="1682" w:type="dxa"/>
            <w:vAlign w:val="center"/>
          </w:tcPr>
          <w:p w14:paraId="55903AF0">
            <w:pPr>
              <w:spacing w:line="440" w:lineRule="exact"/>
              <w:jc w:val="center"/>
              <w:rPr>
                <w:rFonts w:ascii="宋体" w:hAnsi="宋体" w:cs="Courier New"/>
                <w:color w:val="auto"/>
                <w:spacing w:val="2"/>
                <w:szCs w:val="21"/>
                <w:highlight w:val="none"/>
              </w:rPr>
            </w:pPr>
            <w:r>
              <w:rPr>
                <w:rFonts w:hint="eastAsia" w:ascii="宋体" w:hAnsi="宋体"/>
                <w:color w:val="auto"/>
                <w:szCs w:val="21"/>
                <w:highlight w:val="none"/>
              </w:rPr>
              <w:t>响应</w:t>
            </w:r>
            <w:r>
              <w:rPr>
                <w:rFonts w:hint="eastAsia" w:ascii="宋体" w:hAnsi="宋体"/>
                <w:snapToGrid w:val="0"/>
                <w:color w:val="auto"/>
                <w:szCs w:val="21"/>
                <w:highlight w:val="none"/>
              </w:rPr>
              <w:t>文件的编制</w:t>
            </w:r>
          </w:p>
        </w:tc>
        <w:tc>
          <w:tcPr>
            <w:tcW w:w="6965" w:type="dxa"/>
            <w:vAlign w:val="center"/>
          </w:tcPr>
          <w:p w14:paraId="6A6A594E">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供应商应先安装“</w:t>
            </w:r>
            <w:r>
              <w:rPr>
                <w:rFonts w:hint="eastAsia" w:ascii="宋体" w:hAnsi="宋体"/>
                <w:snapToGrid w:val="0"/>
                <w:color w:val="auto"/>
                <w:szCs w:val="21"/>
                <w:highlight w:val="none"/>
                <w:lang w:eastAsia="zh-CN"/>
              </w:rPr>
              <w:t>广西政府采购云</w:t>
            </w:r>
            <w:r>
              <w:rPr>
                <w:rFonts w:ascii="宋体" w:hAnsi="宋体"/>
                <w:color w:val="auto"/>
                <w:szCs w:val="21"/>
                <w:highlight w:val="none"/>
              </w:rPr>
              <w:t>电子投标</w:t>
            </w:r>
            <w:r>
              <w:rPr>
                <w:rFonts w:hint="eastAsia" w:ascii="宋体" w:hAnsi="宋体"/>
                <w:snapToGrid w:val="0"/>
                <w:color w:val="auto"/>
                <w:szCs w:val="21"/>
                <w:highlight w:val="none"/>
              </w:rPr>
              <w:t>客户端”，并按照本磋商文件和“</w:t>
            </w:r>
            <w:r>
              <w:rPr>
                <w:rFonts w:hint="eastAsia" w:ascii="宋体" w:hAnsi="宋体"/>
                <w:snapToGrid w:val="0"/>
                <w:color w:val="auto"/>
                <w:szCs w:val="21"/>
                <w:highlight w:val="none"/>
                <w:lang w:eastAsia="zh-CN"/>
              </w:rPr>
              <w:t>广西政府采购云</w:t>
            </w:r>
            <w:r>
              <w:rPr>
                <w:rFonts w:hint="eastAsia" w:ascii="宋体" w:hAnsi="宋体"/>
                <w:snapToGrid w:val="0"/>
                <w:color w:val="auto"/>
                <w:szCs w:val="21"/>
                <w:highlight w:val="none"/>
              </w:rPr>
              <w:t>平台”的要求，通过“</w:t>
            </w:r>
            <w:r>
              <w:rPr>
                <w:rFonts w:hint="eastAsia" w:ascii="宋体" w:hAnsi="宋体"/>
                <w:snapToGrid w:val="0"/>
                <w:color w:val="auto"/>
                <w:szCs w:val="21"/>
                <w:highlight w:val="none"/>
                <w:lang w:eastAsia="zh-CN"/>
              </w:rPr>
              <w:t>广西政府采购云</w:t>
            </w:r>
            <w:r>
              <w:rPr>
                <w:rFonts w:ascii="宋体" w:hAnsi="宋体"/>
                <w:color w:val="auto"/>
                <w:szCs w:val="21"/>
                <w:highlight w:val="none"/>
              </w:rPr>
              <w:t>电子投标</w:t>
            </w:r>
            <w:r>
              <w:rPr>
                <w:rFonts w:hint="eastAsia" w:ascii="宋体" w:hAnsi="宋体"/>
                <w:snapToGrid w:val="0"/>
                <w:color w:val="auto"/>
                <w:szCs w:val="21"/>
                <w:highlight w:val="none"/>
              </w:rPr>
              <w:t>客户端”编制并加密</w:t>
            </w:r>
            <w:r>
              <w:rPr>
                <w:rFonts w:hint="eastAsia" w:ascii="宋体" w:hAnsi="宋体"/>
                <w:color w:val="auto"/>
                <w:szCs w:val="21"/>
                <w:highlight w:val="none"/>
              </w:rPr>
              <w:t>响应</w:t>
            </w:r>
            <w:r>
              <w:rPr>
                <w:rFonts w:hint="eastAsia" w:ascii="宋体" w:hAnsi="宋体"/>
                <w:snapToGrid w:val="0"/>
                <w:color w:val="auto"/>
                <w:szCs w:val="21"/>
                <w:highlight w:val="none"/>
              </w:rPr>
              <w:t>文件。</w:t>
            </w:r>
          </w:p>
        </w:tc>
      </w:tr>
      <w:tr w14:paraId="5937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Align w:val="center"/>
          </w:tcPr>
          <w:p w14:paraId="18569DBD">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15</w:t>
            </w:r>
          </w:p>
        </w:tc>
        <w:tc>
          <w:tcPr>
            <w:tcW w:w="1682" w:type="dxa"/>
            <w:vAlign w:val="center"/>
          </w:tcPr>
          <w:p w14:paraId="58631E5C">
            <w:pPr>
              <w:spacing w:line="440" w:lineRule="exact"/>
              <w:jc w:val="center"/>
              <w:rPr>
                <w:rFonts w:ascii="宋体" w:hAnsi="宋体" w:cs="Courier New"/>
                <w:color w:val="auto"/>
                <w:spacing w:val="2"/>
                <w:szCs w:val="21"/>
                <w:highlight w:val="none"/>
              </w:rPr>
            </w:pPr>
            <w:r>
              <w:rPr>
                <w:rFonts w:hint="eastAsia" w:ascii="宋体" w:hAnsi="宋体"/>
                <w:color w:val="auto"/>
                <w:szCs w:val="21"/>
                <w:highlight w:val="none"/>
              </w:rPr>
              <w:t>响应</w:t>
            </w:r>
            <w:r>
              <w:rPr>
                <w:rFonts w:hint="eastAsia" w:ascii="宋体" w:hAnsi="宋体"/>
                <w:snapToGrid w:val="0"/>
                <w:color w:val="auto"/>
                <w:szCs w:val="21"/>
                <w:highlight w:val="none"/>
              </w:rPr>
              <w:t>文件的盖章</w:t>
            </w:r>
          </w:p>
        </w:tc>
        <w:tc>
          <w:tcPr>
            <w:tcW w:w="6965" w:type="dxa"/>
            <w:vAlign w:val="center"/>
          </w:tcPr>
          <w:p w14:paraId="2227C6E8">
            <w:pPr>
              <w:widowControl/>
              <w:spacing w:line="440" w:lineRule="exact"/>
              <w:jc w:val="left"/>
              <w:rPr>
                <w:rFonts w:ascii="宋体" w:hAnsi="宋体"/>
                <w:snapToGrid w:val="0"/>
                <w:color w:val="auto"/>
                <w:szCs w:val="21"/>
                <w:highlight w:val="none"/>
              </w:rPr>
            </w:pPr>
            <w:r>
              <w:rPr>
                <w:rFonts w:hint="eastAsia" w:ascii="宋体" w:hAnsi="宋体"/>
                <w:color w:val="auto"/>
                <w:szCs w:val="21"/>
                <w:highlight w:val="none"/>
              </w:rPr>
              <w:t>响应</w:t>
            </w:r>
            <w:r>
              <w:rPr>
                <w:rFonts w:hint="eastAsia" w:ascii="宋体" w:hAnsi="宋体"/>
                <w:snapToGrid w:val="0"/>
                <w:color w:val="auto"/>
                <w:szCs w:val="21"/>
                <w:highlight w:val="none"/>
              </w:rPr>
              <w:t>文件中所涉及的加盖公章均采用CA电子签章。</w:t>
            </w:r>
          </w:p>
        </w:tc>
      </w:tr>
      <w:tr w14:paraId="32E0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Align w:val="center"/>
          </w:tcPr>
          <w:p w14:paraId="3F8A81A1">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16</w:t>
            </w:r>
          </w:p>
        </w:tc>
        <w:tc>
          <w:tcPr>
            <w:tcW w:w="1682" w:type="dxa"/>
            <w:vAlign w:val="center"/>
          </w:tcPr>
          <w:p w14:paraId="735EB105">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响应文件</w:t>
            </w:r>
          </w:p>
          <w:p w14:paraId="49D3C721">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份数</w:t>
            </w:r>
          </w:p>
        </w:tc>
        <w:tc>
          <w:tcPr>
            <w:tcW w:w="6965" w:type="dxa"/>
            <w:vAlign w:val="center"/>
          </w:tcPr>
          <w:p w14:paraId="3F0545C0">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供应商应准备电子加密响应文件、以介质存储的数据电文形式的电子备份响应文件份数： </w:t>
            </w:r>
          </w:p>
          <w:p w14:paraId="31A4C1E8">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1.电子加密响应文件按</w:t>
            </w:r>
            <w:r>
              <w:rPr>
                <w:rFonts w:hint="eastAsia" w:ascii="宋体" w:hAnsi="宋体"/>
                <w:snapToGrid w:val="0"/>
                <w:color w:val="auto"/>
                <w:szCs w:val="21"/>
                <w:highlight w:val="none"/>
                <w:lang w:eastAsia="zh-CN"/>
              </w:rPr>
              <w:t>广西政府采购云</w:t>
            </w:r>
            <w:r>
              <w:rPr>
                <w:rFonts w:hint="eastAsia" w:ascii="宋体" w:hAnsi="宋体"/>
                <w:snapToGrid w:val="0"/>
                <w:color w:val="auto"/>
                <w:szCs w:val="21"/>
                <w:highlight w:val="none"/>
              </w:rPr>
              <w:t>平台要求及本磋商文件要求制作、加密，并</w:t>
            </w:r>
            <w:r>
              <w:rPr>
                <w:rFonts w:ascii="宋体" w:hAnsi="宋体"/>
                <w:snapToGrid w:val="0"/>
                <w:color w:val="auto"/>
                <w:szCs w:val="21"/>
                <w:highlight w:val="none"/>
              </w:rPr>
              <w:t>在</w:t>
            </w:r>
            <w:r>
              <w:rPr>
                <w:rFonts w:hint="eastAsia" w:ascii="宋体" w:hAnsi="宋体"/>
                <w:snapToGrid w:val="0"/>
                <w:color w:val="auto"/>
                <w:szCs w:val="21"/>
                <w:highlight w:val="none"/>
              </w:rPr>
              <w:t>响应文件提交</w:t>
            </w:r>
            <w:r>
              <w:rPr>
                <w:rFonts w:ascii="宋体" w:hAnsi="宋体"/>
                <w:snapToGrid w:val="0"/>
                <w:color w:val="auto"/>
                <w:szCs w:val="21"/>
                <w:highlight w:val="none"/>
              </w:rPr>
              <w:t>截止时间前</w:t>
            </w:r>
            <w:r>
              <w:rPr>
                <w:rFonts w:hint="eastAsia" w:ascii="宋体" w:hAnsi="宋体"/>
                <w:snapToGrid w:val="0"/>
                <w:color w:val="auto"/>
                <w:szCs w:val="21"/>
                <w:highlight w:val="none"/>
              </w:rPr>
              <w:t>成功上传提交至“</w:t>
            </w:r>
            <w:r>
              <w:rPr>
                <w:rFonts w:hint="eastAsia" w:ascii="宋体" w:hAnsi="宋体"/>
                <w:snapToGrid w:val="0"/>
                <w:color w:val="auto"/>
                <w:szCs w:val="21"/>
                <w:highlight w:val="none"/>
                <w:lang w:eastAsia="zh-CN"/>
              </w:rPr>
              <w:t>广西政府采购云</w:t>
            </w:r>
            <w:r>
              <w:rPr>
                <w:rFonts w:hint="eastAsia" w:ascii="宋体" w:hAnsi="宋体"/>
                <w:snapToGrid w:val="0"/>
                <w:color w:val="auto"/>
                <w:szCs w:val="21"/>
                <w:highlight w:val="none"/>
              </w:rPr>
              <w:t>平台”。“电子加密投标文件”成功上传提交后，供应商可自行打印响应文件接收回执。</w:t>
            </w:r>
          </w:p>
          <w:p w14:paraId="58105BC7">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2.以介质存储的数据电文形式的电子备份响应文件，按</w:t>
            </w:r>
            <w:r>
              <w:rPr>
                <w:rFonts w:hint="eastAsia" w:ascii="宋体" w:hAnsi="宋体"/>
                <w:snapToGrid w:val="0"/>
                <w:color w:val="auto"/>
                <w:szCs w:val="21"/>
                <w:highlight w:val="none"/>
                <w:lang w:eastAsia="zh-CN"/>
              </w:rPr>
              <w:t>广西政府采购云</w:t>
            </w:r>
            <w:r>
              <w:rPr>
                <w:rFonts w:hint="eastAsia" w:ascii="宋体" w:hAnsi="宋体"/>
                <w:snapToGrid w:val="0"/>
                <w:color w:val="auto"/>
                <w:szCs w:val="21"/>
                <w:highlight w:val="none"/>
              </w:rPr>
              <w:t xml:space="preserve">平台《政府采购项目电子交易管理操作指南-供应商》中上传的电子响应文件格式，以U 盘的形式提供。数量为 1 份。 </w:t>
            </w:r>
          </w:p>
          <w:p w14:paraId="27E760AA">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3. 响应文件启用顺序和效力。响应文件的启用，按先后顺位分别为电子加密响应文件、以介质存储的数据电文形式的电子备份响应文件。顺位在先的响应文件已按时解密的，下一顺位响应文件自动失效。在下一顺位的响应文件启用时，前一顺位的响应文件自动失效。 </w:t>
            </w:r>
          </w:p>
          <w:p w14:paraId="0742BF8B">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未</w:t>
            </w:r>
            <w:r>
              <w:rPr>
                <w:rFonts w:ascii="宋体" w:hAnsi="宋体"/>
                <w:snapToGrid w:val="0"/>
                <w:color w:val="auto"/>
                <w:szCs w:val="21"/>
                <w:highlight w:val="none"/>
              </w:rPr>
              <w:t>在</w:t>
            </w:r>
            <w:r>
              <w:rPr>
                <w:rFonts w:hint="eastAsia" w:ascii="宋体" w:hAnsi="宋体"/>
                <w:snapToGrid w:val="0"/>
                <w:color w:val="auto"/>
                <w:szCs w:val="21"/>
                <w:highlight w:val="none"/>
              </w:rPr>
              <w:t>响应文件提交</w:t>
            </w:r>
            <w:r>
              <w:rPr>
                <w:rFonts w:ascii="宋体" w:hAnsi="宋体"/>
                <w:snapToGrid w:val="0"/>
                <w:color w:val="auto"/>
                <w:szCs w:val="21"/>
                <w:highlight w:val="none"/>
              </w:rPr>
              <w:t>截止时间前</w:t>
            </w:r>
            <w:r>
              <w:rPr>
                <w:rFonts w:hint="eastAsia" w:ascii="宋体" w:hAnsi="宋体"/>
                <w:snapToGrid w:val="0"/>
                <w:color w:val="auto"/>
                <w:szCs w:val="21"/>
                <w:highlight w:val="none"/>
              </w:rPr>
              <w:t xml:space="preserve">传输提交电子加密响应文件的，响应无效。 </w:t>
            </w:r>
          </w:p>
          <w:p w14:paraId="6ADD3083">
            <w:pPr>
              <w:spacing w:line="420" w:lineRule="exact"/>
              <w:rPr>
                <w:rFonts w:ascii="宋体" w:hAnsi="宋体" w:cs="Courier New"/>
                <w:color w:val="auto"/>
                <w:spacing w:val="2"/>
                <w:szCs w:val="21"/>
                <w:highlight w:val="none"/>
              </w:rPr>
            </w:pPr>
            <w:r>
              <w:rPr>
                <w:rFonts w:hint="eastAsia" w:ascii="宋体" w:hAnsi="宋体"/>
                <w:snapToGrid w:val="0"/>
                <w:color w:val="auto"/>
                <w:szCs w:val="21"/>
                <w:highlight w:val="none"/>
              </w:rPr>
              <w:t>未按规定提供相应的备份响应文件，造成项目开评标活动无法进行下去的，响应无效。</w:t>
            </w:r>
          </w:p>
        </w:tc>
      </w:tr>
      <w:tr w14:paraId="7BAC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518" w:type="dxa"/>
            <w:vAlign w:val="center"/>
          </w:tcPr>
          <w:p w14:paraId="75B434D2">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17</w:t>
            </w:r>
          </w:p>
        </w:tc>
        <w:tc>
          <w:tcPr>
            <w:tcW w:w="1682" w:type="dxa"/>
            <w:vAlign w:val="center"/>
          </w:tcPr>
          <w:p w14:paraId="220148E2">
            <w:pPr>
              <w:spacing w:line="440" w:lineRule="exact"/>
              <w:jc w:val="center"/>
              <w:rPr>
                <w:rFonts w:ascii="宋体" w:hAnsi="宋体" w:cs="宋体"/>
                <w:color w:val="auto"/>
                <w:spacing w:val="2"/>
                <w:szCs w:val="21"/>
                <w:highlight w:val="none"/>
              </w:rPr>
            </w:pPr>
            <w:r>
              <w:rPr>
                <w:rFonts w:hint="eastAsia" w:ascii="宋体" w:hAnsi="宋体"/>
                <w:snapToGrid w:val="0"/>
                <w:color w:val="auto"/>
                <w:szCs w:val="21"/>
                <w:highlight w:val="none"/>
              </w:rPr>
              <w:t>电子响应文件的解密</w:t>
            </w:r>
          </w:p>
        </w:tc>
        <w:tc>
          <w:tcPr>
            <w:tcW w:w="6965" w:type="dxa"/>
            <w:vAlign w:val="center"/>
          </w:tcPr>
          <w:p w14:paraId="41888C0D">
            <w:pPr>
              <w:adjustRightInd w:val="0"/>
              <w:spacing w:line="420" w:lineRule="exact"/>
              <w:ind w:firstLine="420" w:firstLineChars="200"/>
              <w:rPr>
                <w:rFonts w:ascii="宋体" w:hAnsi="宋体" w:cs="宋体"/>
                <w:color w:val="auto"/>
                <w:spacing w:val="2"/>
                <w:szCs w:val="21"/>
                <w:highlight w:val="none"/>
              </w:rPr>
            </w:pPr>
            <w:r>
              <w:rPr>
                <w:rFonts w:hint="eastAsia" w:ascii="宋体" w:hAnsi="宋体"/>
                <w:snapToGrid w:val="0"/>
                <w:color w:val="auto"/>
                <w:szCs w:val="21"/>
                <w:highlight w:val="none"/>
              </w:rPr>
              <w:t>响应文件提交截止时间后 30 分钟内，供应商必须在此时间段内登录</w:t>
            </w:r>
            <w:r>
              <w:rPr>
                <w:rFonts w:hint="eastAsia" w:ascii="宋体" w:hAnsi="宋体"/>
                <w:snapToGrid w:val="0"/>
                <w:color w:val="auto"/>
                <w:szCs w:val="21"/>
                <w:highlight w:val="none"/>
                <w:lang w:eastAsia="zh-CN"/>
              </w:rPr>
              <w:t>广西政府采购云</w:t>
            </w:r>
            <w:r>
              <w:rPr>
                <w:rFonts w:hint="eastAsia" w:ascii="宋体" w:hAnsi="宋体"/>
                <w:snapToGrid w:val="0"/>
                <w:color w:val="auto"/>
                <w:szCs w:val="21"/>
                <w:highlight w:val="none"/>
              </w:rPr>
              <w:t>平台，用“项目采购-开标评标”功能完成电子响应文件的解密。若供应商在规定时间内未按时解密的，供应商已递交了电子备份响应文件的，以电子备份响应文件为依据，未能按时解密且未提交电子备份响应文件的视为响应文件撤回。</w:t>
            </w:r>
          </w:p>
        </w:tc>
      </w:tr>
      <w:tr w14:paraId="5CD7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518" w:type="dxa"/>
            <w:vAlign w:val="center"/>
          </w:tcPr>
          <w:p w14:paraId="1A3104A8">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18</w:t>
            </w:r>
          </w:p>
        </w:tc>
        <w:tc>
          <w:tcPr>
            <w:tcW w:w="1682" w:type="dxa"/>
            <w:vAlign w:val="center"/>
          </w:tcPr>
          <w:p w14:paraId="58C62A8E">
            <w:pPr>
              <w:spacing w:line="44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响应文件提交地点及截止时间</w:t>
            </w:r>
          </w:p>
        </w:tc>
        <w:tc>
          <w:tcPr>
            <w:tcW w:w="6965" w:type="dxa"/>
            <w:vAlign w:val="center"/>
          </w:tcPr>
          <w:p w14:paraId="47623745">
            <w:pPr>
              <w:adjustRightInd w:val="0"/>
              <w:spacing w:line="420" w:lineRule="exact"/>
              <w:ind w:firstLine="428" w:firstLineChars="200"/>
              <w:rPr>
                <w:rFonts w:ascii="宋体" w:hAnsi="宋体" w:cs="Arial"/>
                <w:color w:val="auto"/>
                <w:szCs w:val="21"/>
                <w:highlight w:val="none"/>
                <w:u w:val="single"/>
              </w:rPr>
            </w:pPr>
            <w:r>
              <w:rPr>
                <w:rFonts w:hint="eastAsia" w:ascii="宋体" w:hAnsi="宋体" w:cs="宋体"/>
                <w:color w:val="auto"/>
                <w:spacing w:val="2"/>
                <w:szCs w:val="21"/>
                <w:highlight w:val="none"/>
              </w:rPr>
              <w:t>截止时间：</w:t>
            </w:r>
            <w:r>
              <w:rPr>
                <w:rFonts w:hint="eastAsia" w:ascii="宋体" w:hAnsi="宋体" w:cs="宋体"/>
                <w:color w:val="auto"/>
                <w:spacing w:val="2"/>
                <w:szCs w:val="21"/>
                <w:highlight w:val="none"/>
              </w:rPr>
              <w:t>202</w:t>
            </w:r>
            <w:r>
              <w:rPr>
                <w:rFonts w:hint="eastAsia" w:ascii="宋体" w:hAnsi="宋体" w:cs="宋体"/>
                <w:color w:val="auto"/>
                <w:spacing w:val="2"/>
                <w:szCs w:val="21"/>
                <w:highlight w:val="none"/>
                <w:lang w:val="en-US" w:eastAsia="zh-CN"/>
              </w:rPr>
              <w:t>6</w:t>
            </w:r>
            <w:r>
              <w:rPr>
                <w:rFonts w:hint="eastAsia" w:ascii="宋体" w:hAnsi="宋体" w:cs="宋体"/>
                <w:color w:val="auto"/>
                <w:spacing w:val="2"/>
                <w:szCs w:val="21"/>
                <w:highlight w:val="none"/>
              </w:rPr>
              <w:t>年</w:t>
            </w:r>
            <w:r>
              <w:rPr>
                <w:rFonts w:hint="eastAsia" w:ascii="宋体" w:hAnsi="宋体" w:cs="宋体"/>
                <w:color w:val="auto"/>
                <w:spacing w:val="2"/>
                <w:szCs w:val="21"/>
                <w:highlight w:val="none"/>
                <w:lang w:val="en-US" w:eastAsia="zh-CN"/>
              </w:rPr>
              <w:t>10</w:t>
            </w:r>
            <w:r>
              <w:rPr>
                <w:rFonts w:hint="eastAsia" w:ascii="宋体" w:hAnsi="宋体" w:cs="宋体"/>
                <w:color w:val="auto"/>
                <w:spacing w:val="2"/>
                <w:szCs w:val="21"/>
                <w:highlight w:val="none"/>
              </w:rPr>
              <w:t>月</w:t>
            </w:r>
            <w:r>
              <w:rPr>
                <w:rFonts w:hint="eastAsia" w:ascii="宋体" w:hAnsi="宋体" w:cs="宋体"/>
                <w:color w:val="auto"/>
                <w:spacing w:val="2"/>
                <w:szCs w:val="21"/>
                <w:highlight w:val="none"/>
                <w:lang w:val="en-US" w:eastAsia="zh-CN"/>
              </w:rPr>
              <w:t>12</w:t>
            </w:r>
            <w:r>
              <w:rPr>
                <w:rFonts w:hint="eastAsia" w:ascii="宋体" w:hAnsi="宋体" w:cs="宋体"/>
                <w:color w:val="auto"/>
                <w:spacing w:val="2"/>
                <w:szCs w:val="21"/>
                <w:highlight w:val="none"/>
              </w:rPr>
              <w:t>日</w:t>
            </w:r>
            <w:r>
              <w:rPr>
                <w:rFonts w:hint="eastAsia" w:ascii="宋体" w:hAnsi="宋体" w:cs="宋体"/>
                <w:color w:val="auto"/>
                <w:spacing w:val="2"/>
                <w:szCs w:val="21"/>
                <w:highlight w:val="none"/>
                <w:lang w:eastAsia="zh-CN"/>
              </w:rPr>
              <w:t>北京时间</w:t>
            </w:r>
            <w:r>
              <w:rPr>
                <w:rFonts w:hint="eastAsia" w:ascii="宋体" w:hAnsi="宋体" w:cs="宋体"/>
                <w:color w:val="auto"/>
                <w:spacing w:val="2"/>
                <w:szCs w:val="21"/>
                <w:highlight w:val="none"/>
                <w:lang w:val="en-US" w:eastAsia="zh-CN"/>
              </w:rPr>
              <w:t>09</w:t>
            </w:r>
            <w:r>
              <w:rPr>
                <w:rFonts w:hint="eastAsia" w:ascii="宋体" w:hAnsi="宋体" w:cs="宋体"/>
                <w:color w:val="auto"/>
                <w:spacing w:val="2"/>
                <w:szCs w:val="21"/>
                <w:highlight w:val="none"/>
                <w:lang w:eastAsia="zh-CN"/>
              </w:rPr>
              <w:t>时</w:t>
            </w:r>
            <w:r>
              <w:rPr>
                <w:rFonts w:hint="eastAsia" w:ascii="宋体" w:hAnsi="宋体" w:cs="宋体"/>
                <w:color w:val="auto"/>
                <w:spacing w:val="2"/>
                <w:szCs w:val="21"/>
                <w:highlight w:val="none"/>
                <w:lang w:val="en-US" w:eastAsia="zh-CN"/>
              </w:rPr>
              <w:t>3</w:t>
            </w:r>
            <w:r>
              <w:rPr>
                <w:rFonts w:hint="eastAsia" w:ascii="宋体" w:hAnsi="宋体" w:cs="宋体"/>
                <w:color w:val="auto"/>
                <w:spacing w:val="2"/>
                <w:szCs w:val="21"/>
                <w:highlight w:val="none"/>
              </w:rPr>
              <w:t>0</w:t>
            </w:r>
            <w:r>
              <w:rPr>
                <w:rFonts w:hint="eastAsia" w:ascii="宋体" w:hAnsi="宋体" w:cs="宋体"/>
                <w:color w:val="auto"/>
                <w:spacing w:val="2"/>
                <w:szCs w:val="21"/>
                <w:highlight w:val="none"/>
                <w:lang w:eastAsia="zh-CN"/>
              </w:rPr>
              <w:t>分</w:t>
            </w:r>
          </w:p>
          <w:p w14:paraId="3DB06363">
            <w:pPr>
              <w:spacing w:line="420" w:lineRule="exact"/>
              <w:ind w:firstLine="428" w:firstLineChars="200"/>
              <w:rPr>
                <w:rFonts w:ascii="宋体" w:hAnsi="宋体"/>
                <w:color w:val="auto"/>
                <w:kern w:val="0"/>
                <w:szCs w:val="21"/>
                <w:highlight w:val="none"/>
              </w:rPr>
            </w:pPr>
            <w:r>
              <w:rPr>
                <w:rFonts w:hint="eastAsia" w:ascii="宋体" w:hAnsi="宋体" w:cs="宋体"/>
                <w:color w:val="auto"/>
                <w:spacing w:val="2"/>
                <w:szCs w:val="21"/>
                <w:highlight w:val="none"/>
              </w:rPr>
              <w:t>地点</w:t>
            </w:r>
            <w:r>
              <w:rPr>
                <w:rFonts w:hint="eastAsia" w:ascii="宋体" w:hAnsi="宋体"/>
                <w:color w:val="auto"/>
                <w:kern w:val="0"/>
                <w:szCs w:val="21"/>
                <w:highlight w:val="none"/>
              </w:rPr>
              <w:t>：</w:t>
            </w:r>
            <w:r>
              <w:rPr>
                <w:rFonts w:hint="eastAsia" w:ascii="宋体" w:hAnsi="宋体"/>
                <w:color w:val="auto"/>
                <w:szCs w:val="21"/>
                <w:highlight w:val="none"/>
              </w:rPr>
              <w:t>通过</w:t>
            </w:r>
            <w:r>
              <w:rPr>
                <w:rFonts w:hint="eastAsia" w:ascii="宋体" w:hAnsi="宋体"/>
                <w:color w:val="auto"/>
                <w:szCs w:val="21"/>
                <w:highlight w:val="none"/>
                <w:lang w:eastAsia="zh-CN"/>
              </w:rPr>
              <w:t>广西政府采购云</w:t>
            </w:r>
            <w:r>
              <w:rPr>
                <w:rFonts w:hint="eastAsia" w:ascii="宋体" w:hAnsi="宋体"/>
                <w:color w:val="auto"/>
                <w:szCs w:val="21"/>
                <w:highlight w:val="none"/>
              </w:rPr>
              <w:t>平台（网址：http://www.zcygov.cn）实行在线响应（本项目采用在线开评标方式，供应商无须前往开标现场）。</w:t>
            </w:r>
          </w:p>
        </w:tc>
      </w:tr>
      <w:tr w14:paraId="1C09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518" w:type="dxa"/>
            <w:vAlign w:val="center"/>
          </w:tcPr>
          <w:p w14:paraId="50666D71">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19</w:t>
            </w:r>
          </w:p>
        </w:tc>
        <w:tc>
          <w:tcPr>
            <w:tcW w:w="1682" w:type="dxa"/>
            <w:vAlign w:val="center"/>
          </w:tcPr>
          <w:p w14:paraId="3DFA05A2">
            <w:pPr>
              <w:spacing w:line="440" w:lineRule="exact"/>
              <w:jc w:val="center"/>
              <w:rPr>
                <w:rFonts w:ascii="宋体" w:hAnsi="宋体" w:cs="宋体"/>
                <w:color w:val="auto"/>
                <w:spacing w:val="2"/>
                <w:szCs w:val="21"/>
                <w:highlight w:val="none"/>
              </w:rPr>
            </w:pPr>
            <w:r>
              <w:rPr>
                <w:rFonts w:hint="eastAsia" w:ascii="宋体" w:hAnsi="宋体" w:cs="Courier New"/>
                <w:color w:val="auto"/>
                <w:spacing w:val="2"/>
                <w:szCs w:val="21"/>
                <w:highlight w:val="none"/>
              </w:rPr>
              <w:t>磋商</w:t>
            </w:r>
            <w:r>
              <w:rPr>
                <w:rFonts w:hint="eastAsia" w:ascii="宋体" w:hAnsi="宋体" w:cs="宋体"/>
                <w:color w:val="auto"/>
                <w:szCs w:val="21"/>
                <w:highlight w:val="none"/>
              </w:rPr>
              <w:t>时间及</w:t>
            </w:r>
            <w:r>
              <w:rPr>
                <w:rFonts w:hint="eastAsia" w:ascii="宋体" w:hAnsi="宋体" w:cs="Courier New"/>
                <w:color w:val="auto"/>
                <w:spacing w:val="2"/>
                <w:szCs w:val="21"/>
                <w:highlight w:val="none"/>
              </w:rPr>
              <w:t>磋商</w:t>
            </w:r>
            <w:r>
              <w:rPr>
                <w:rFonts w:hint="eastAsia" w:ascii="宋体" w:hAnsi="宋体" w:cs="宋体"/>
                <w:color w:val="auto"/>
                <w:spacing w:val="2"/>
                <w:szCs w:val="21"/>
                <w:highlight w:val="none"/>
              </w:rPr>
              <w:t>地点</w:t>
            </w:r>
          </w:p>
        </w:tc>
        <w:tc>
          <w:tcPr>
            <w:tcW w:w="6965" w:type="dxa"/>
            <w:vAlign w:val="center"/>
          </w:tcPr>
          <w:p w14:paraId="2C321A68">
            <w:pPr>
              <w:spacing w:line="420" w:lineRule="exact"/>
              <w:ind w:firstLine="420" w:firstLineChars="200"/>
              <w:rPr>
                <w:rFonts w:ascii="宋体" w:hAnsi="宋体" w:cs="Arial"/>
                <w:color w:val="auto"/>
                <w:szCs w:val="21"/>
                <w:highlight w:val="none"/>
              </w:rPr>
            </w:pPr>
            <w:r>
              <w:rPr>
                <w:rFonts w:hint="eastAsia" w:ascii="宋体" w:hAnsi="宋体" w:cs="Arial"/>
                <w:color w:val="auto"/>
                <w:szCs w:val="21"/>
                <w:highlight w:val="none"/>
              </w:rPr>
              <w:t>磋商时间：</w:t>
            </w:r>
            <w:r>
              <w:rPr>
                <w:rFonts w:hint="eastAsia" w:ascii="宋体" w:hAnsi="宋体" w:cs="Arial"/>
                <w:color w:val="auto"/>
                <w:szCs w:val="21"/>
                <w:highlight w:val="none"/>
              </w:rPr>
              <w:t>202</w:t>
            </w:r>
            <w:r>
              <w:rPr>
                <w:rFonts w:hint="eastAsia" w:ascii="宋体" w:hAnsi="宋体" w:cs="Arial"/>
                <w:color w:val="auto"/>
                <w:szCs w:val="21"/>
                <w:highlight w:val="none"/>
                <w:lang w:val="en-US" w:eastAsia="zh-CN"/>
              </w:rPr>
              <w:t>6</w:t>
            </w:r>
            <w:r>
              <w:rPr>
                <w:rFonts w:hint="eastAsia" w:ascii="宋体" w:hAnsi="宋体" w:cs="Arial"/>
                <w:color w:val="auto"/>
                <w:szCs w:val="21"/>
                <w:highlight w:val="none"/>
              </w:rPr>
              <w:t>年</w:t>
            </w:r>
            <w:r>
              <w:rPr>
                <w:rFonts w:hint="eastAsia" w:ascii="宋体" w:hAnsi="宋体" w:cs="Arial"/>
                <w:color w:val="auto"/>
                <w:szCs w:val="21"/>
                <w:highlight w:val="none"/>
                <w:lang w:val="en-US" w:eastAsia="zh-CN"/>
              </w:rPr>
              <w:t>10</w:t>
            </w:r>
            <w:r>
              <w:rPr>
                <w:rFonts w:hint="eastAsia" w:ascii="宋体" w:hAnsi="宋体" w:cs="Arial"/>
                <w:color w:val="auto"/>
                <w:szCs w:val="21"/>
                <w:highlight w:val="none"/>
              </w:rPr>
              <w:t>月</w:t>
            </w:r>
            <w:r>
              <w:rPr>
                <w:rFonts w:hint="eastAsia" w:ascii="宋体" w:hAnsi="宋体" w:cs="Arial"/>
                <w:color w:val="auto"/>
                <w:szCs w:val="21"/>
                <w:highlight w:val="none"/>
                <w:lang w:val="en-US" w:eastAsia="zh-CN"/>
              </w:rPr>
              <w:t>12</w:t>
            </w:r>
            <w:r>
              <w:rPr>
                <w:rFonts w:hint="eastAsia" w:ascii="宋体" w:hAnsi="宋体" w:cs="Arial"/>
                <w:color w:val="auto"/>
                <w:szCs w:val="21"/>
                <w:highlight w:val="none"/>
              </w:rPr>
              <w:t>日</w:t>
            </w:r>
            <w:r>
              <w:rPr>
                <w:rFonts w:hint="eastAsia" w:ascii="宋体" w:hAnsi="宋体" w:cs="Arial"/>
                <w:color w:val="auto"/>
                <w:szCs w:val="21"/>
                <w:highlight w:val="none"/>
                <w:lang w:eastAsia="zh-CN"/>
              </w:rPr>
              <w:t>北京时间</w:t>
            </w:r>
            <w:r>
              <w:rPr>
                <w:rFonts w:hint="eastAsia" w:ascii="宋体" w:hAnsi="宋体" w:cs="Arial"/>
                <w:color w:val="auto"/>
                <w:szCs w:val="21"/>
                <w:highlight w:val="none"/>
                <w:lang w:val="en-US" w:eastAsia="zh-CN"/>
              </w:rPr>
              <w:t>09</w:t>
            </w:r>
            <w:r>
              <w:rPr>
                <w:rFonts w:hint="eastAsia" w:ascii="宋体" w:hAnsi="宋体" w:cs="Arial"/>
                <w:color w:val="auto"/>
                <w:szCs w:val="21"/>
                <w:highlight w:val="none"/>
                <w:lang w:eastAsia="zh-CN"/>
              </w:rPr>
              <w:t>时</w:t>
            </w:r>
            <w:r>
              <w:rPr>
                <w:rFonts w:hint="eastAsia" w:ascii="宋体" w:hAnsi="宋体" w:cs="Arial"/>
                <w:color w:val="auto"/>
                <w:szCs w:val="21"/>
                <w:highlight w:val="none"/>
                <w:lang w:val="en-US" w:eastAsia="zh-CN"/>
              </w:rPr>
              <w:t>3</w:t>
            </w:r>
            <w:r>
              <w:rPr>
                <w:rFonts w:hint="eastAsia" w:ascii="宋体" w:hAnsi="宋体" w:cs="Arial"/>
                <w:color w:val="auto"/>
                <w:szCs w:val="21"/>
                <w:highlight w:val="none"/>
              </w:rPr>
              <w:t>0</w:t>
            </w:r>
            <w:r>
              <w:rPr>
                <w:rFonts w:hint="eastAsia" w:ascii="宋体" w:hAnsi="宋体" w:cs="Arial"/>
                <w:color w:val="auto"/>
                <w:szCs w:val="21"/>
                <w:highlight w:val="none"/>
                <w:lang w:eastAsia="zh-CN"/>
              </w:rPr>
              <w:t>分</w:t>
            </w:r>
            <w:r>
              <w:rPr>
                <w:rFonts w:hint="eastAsia" w:ascii="宋体" w:hAnsi="宋体" w:cs="Arial"/>
                <w:color w:val="auto"/>
                <w:szCs w:val="21"/>
                <w:highlight w:val="none"/>
              </w:rPr>
              <w:t>截标后</w:t>
            </w:r>
            <w:r>
              <w:rPr>
                <w:rFonts w:hint="eastAsia" w:ascii="宋体" w:hAnsi="宋体" w:cs="Arial"/>
                <w:color w:val="auto"/>
                <w:szCs w:val="21"/>
                <w:highlight w:val="none"/>
              </w:rPr>
              <w:t>（具体时间由采购代理机构另行通知）；</w:t>
            </w:r>
          </w:p>
          <w:p w14:paraId="6D21675B">
            <w:pPr>
              <w:spacing w:line="420" w:lineRule="exact"/>
              <w:ind w:firstLine="420" w:firstLineChars="200"/>
              <w:rPr>
                <w:rFonts w:ascii="宋体" w:hAnsi="宋体"/>
                <w:color w:val="auto"/>
                <w:kern w:val="0"/>
                <w:szCs w:val="21"/>
                <w:highlight w:val="none"/>
              </w:rPr>
            </w:pPr>
            <w:r>
              <w:rPr>
                <w:rFonts w:hint="eastAsia" w:ascii="宋体" w:hAnsi="宋体" w:cs="Arial"/>
                <w:color w:val="auto"/>
                <w:szCs w:val="21"/>
                <w:highlight w:val="none"/>
              </w:rPr>
              <w:t>磋商地点：通过</w:t>
            </w:r>
            <w:r>
              <w:rPr>
                <w:rFonts w:hint="eastAsia" w:ascii="宋体" w:hAnsi="宋体" w:cs="Arial"/>
                <w:color w:val="auto"/>
                <w:szCs w:val="21"/>
                <w:highlight w:val="none"/>
                <w:lang w:eastAsia="zh-CN"/>
              </w:rPr>
              <w:t>广西政府采购云</w:t>
            </w:r>
            <w:r>
              <w:rPr>
                <w:rFonts w:hint="eastAsia" w:ascii="宋体" w:hAnsi="宋体" w:cs="Arial"/>
                <w:color w:val="auto"/>
                <w:szCs w:val="21"/>
                <w:highlight w:val="none"/>
              </w:rPr>
              <w:t>平台（网址：http://www.zcygov.cn）实行在线响应（本项目采用在线开评标方式，供应商无须前往开标现场）。</w:t>
            </w:r>
          </w:p>
        </w:tc>
      </w:tr>
      <w:tr w14:paraId="3D29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Align w:val="center"/>
          </w:tcPr>
          <w:p w14:paraId="69422C64">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20</w:t>
            </w:r>
          </w:p>
        </w:tc>
        <w:tc>
          <w:tcPr>
            <w:tcW w:w="1682" w:type="dxa"/>
            <w:vAlign w:val="center"/>
          </w:tcPr>
          <w:p w14:paraId="6ED7F737">
            <w:pPr>
              <w:spacing w:line="440" w:lineRule="exact"/>
              <w:jc w:val="center"/>
              <w:rPr>
                <w:rFonts w:ascii="宋体" w:hAnsi="宋体"/>
                <w:color w:val="auto"/>
                <w:szCs w:val="21"/>
                <w:highlight w:val="none"/>
              </w:rPr>
            </w:pPr>
            <w:r>
              <w:rPr>
                <w:rFonts w:hint="eastAsia" w:ascii="宋体" w:hAnsi="宋体"/>
                <w:color w:val="auto"/>
                <w:szCs w:val="21"/>
                <w:highlight w:val="none"/>
              </w:rPr>
              <w:t>资格审查</w:t>
            </w:r>
          </w:p>
          <w:p w14:paraId="016E06A0">
            <w:pPr>
              <w:spacing w:line="440" w:lineRule="exact"/>
              <w:jc w:val="center"/>
              <w:rPr>
                <w:rFonts w:ascii="宋体" w:hAnsi="宋体"/>
                <w:color w:val="auto"/>
                <w:szCs w:val="21"/>
                <w:highlight w:val="none"/>
              </w:rPr>
            </w:pPr>
            <w:r>
              <w:rPr>
                <w:rFonts w:hint="eastAsia" w:ascii="宋体" w:hAnsi="宋体"/>
                <w:color w:val="auto"/>
                <w:szCs w:val="21"/>
                <w:highlight w:val="none"/>
              </w:rPr>
              <w:t>方式</w:t>
            </w:r>
          </w:p>
        </w:tc>
        <w:tc>
          <w:tcPr>
            <w:tcW w:w="6965" w:type="dxa"/>
            <w:vAlign w:val="center"/>
          </w:tcPr>
          <w:p w14:paraId="17495E1D">
            <w:pPr>
              <w:spacing w:line="420" w:lineRule="exact"/>
              <w:rPr>
                <w:rFonts w:ascii="宋体" w:hAnsi="宋体"/>
                <w:color w:val="auto"/>
                <w:szCs w:val="21"/>
                <w:highlight w:val="none"/>
              </w:rPr>
            </w:pPr>
            <w:r>
              <w:rPr>
                <w:rFonts w:hint="eastAsia" w:ascii="宋体" w:hAnsi="宋体"/>
                <w:color w:val="auto"/>
                <w:szCs w:val="21"/>
                <w:highlight w:val="none"/>
              </w:rPr>
              <w:t>资格后审</w:t>
            </w:r>
          </w:p>
        </w:tc>
      </w:tr>
      <w:tr w14:paraId="5C05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Align w:val="center"/>
          </w:tcPr>
          <w:p w14:paraId="1BEB8DBB">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21</w:t>
            </w:r>
          </w:p>
        </w:tc>
        <w:tc>
          <w:tcPr>
            <w:tcW w:w="1682" w:type="dxa"/>
            <w:vAlign w:val="center"/>
          </w:tcPr>
          <w:p w14:paraId="2AEF6BCB">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评标办法</w:t>
            </w:r>
          </w:p>
        </w:tc>
        <w:tc>
          <w:tcPr>
            <w:tcW w:w="6965" w:type="dxa"/>
            <w:vAlign w:val="center"/>
          </w:tcPr>
          <w:p w14:paraId="20425F5E">
            <w:pPr>
              <w:spacing w:line="420" w:lineRule="exact"/>
              <w:ind w:left="1890" w:hanging="1890" w:hangingChars="900"/>
              <w:rPr>
                <w:rFonts w:ascii="宋体" w:hAnsi="宋体" w:cs="Courier New"/>
                <w:color w:val="auto"/>
                <w:spacing w:val="2"/>
                <w:szCs w:val="21"/>
                <w:highlight w:val="none"/>
              </w:rPr>
            </w:pPr>
            <w:r>
              <w:rPr>
                <w:rFonts w:hint="eastAsia" w:ascii="宋体" w:hAnsi="宋体"/>
                <w:color w:val="auto"/>
                <w:szCs w:val="21"/>
                <w:highlight w:val="none"/>
              </w:rPr>
              <w:t>采用综合评分</w:t>
            </w:r>
            <w:r>
              <w:rPr>
                <w:rFonts w:ascii="宋体" w:hAnsi="宋体"/>
                <w:color w:val="auto"/>
                <w:szCs w:val="21"/>
                <w:highlight w:val="none"/>
              </w:rPr>
              <w:t>法</w:t>
            </w:r>
            <w:r>
              <w:rPr>
                <w:rFonts w:hint="eastAsia" w:ascii="宋体" w:hAnsi="宋体"/>
                <w:color w:val="auto"/>
                <w:szCs w:val="21"/>
                <w:highlight w:val="none"/>
              </w:rPr>
              <w:t>。</w:t>
            </w:r>
          </w:p>
        </w:tc>
      </w:tr>
      <w:tr w14:paraId="2B18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18" w:type="dxa"/>
            <w:vAlign w:val="center"/>
          </w:tcPr>
          <w:p w14:paraId="7CB4EDB9">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22</w:t>
            </w:r>
          </w:p>
        </w:tc>
        <w:tc>
          <w:tcPr>
            <w:tcW w:w="1682" w:type="dxa"/>
            <w:vAlign w:val="center"/>
          </w:tcPr>
          <w:p w14:paraId="05C7EDD4">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履约保证金</w:t>
            </w:r>
          </w:p>
        </w:tc>
        <w:tc>
          <w:tcPr>
            <w:tcW w:w="6965" w:type="dxa"/>
            <w:vAlign w:val="center"/>
          </w:tcPr>
          <w:p w14:paraId="0D67848A">
            <w:pPr>
              <w:spacing w:line="420" w:lineRule="exact"/>
              <w:rPr>
                <w:rFonts w:ascii="宋体" w:hAnsi="宋体" w:cs="Arial"/>
                <w:color w:val="auto"/>
                <w:szCs w:val="21"/>
                <w:highlight w:val="none"/>
              </w:rPr>
            </w:pPr>
            <w:r>
              <w:rPr>
                <w:rFonts w:hint="eastAsia" w:ascii="宋体" w:hAnsi="宋体" w:cs="Arial"/>
                <w:color w:val="auto"/>
                <w:szCs w:val="21"/>
                <w:highlight w:val="none"/>
              </w:rPr>
              <w:t>本项目不收取</w:t>
            </w:r>
            <w:r>
              <w:rPr>
                <w:rFonts w:hint="eastAsia" w:ascii="宋体" w:hAnsi="宋体" w:cs="Courier New"/>
                <w:color w:val="auto"/>
                <w:spacing w:val="2"/>
                <w:szCs w:val="21"/>
                <w:highlight w:val="none"/>
              </w:rPr>
              <w:t>履约保证金。</w:t>
            </w:r>
          </w:p>
        </w:tc>
      </w:tr>
      <w:tr w14:paraId="6686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518" w:type="dxa"/>
            <w:vMerge w:val="restart"/>
            <w:vAlign w:val="center"/>
          </w:tcPr>
          <w:p w14:paraId="5BE09540">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23</w:t>
            </w:r>
          </w:p>
        </w:tc>
        <w:tc>
          <w:tcPr>
            <w:tcW w:w="1682" w:type="dxa"/>
            <w:vMerge w:val="restart"/>
            <w:vAlign w:val="center"/>
          </w:tcPr>
          <w:p w14:paraId="56665E66">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联系人</w:t>
            </w:r>
          </w:p>
        </w:tc>
        <w:tc>
          <w:tcPr>
            <w:tcW w:w="6965" w:type="dxa"/>
            <w:vAlign w:val="center"/>
          </w:tcPr>
          <w:p w14:paraId="35F2C8CB">
            <w:pPr>
              <w:spacing w:line="440" w:lineRule="exact"/>
              <w:rPr>
                <w:rFonts w:hint="eastAsia" w:ascii="宋体" w:hAnsi="宋体" w:eastAsia="宋体"/>
                <w:color w:val="auto"/>
                <w:szCs w:val="21"/>
                <w:highlight w:val="none"/>
                <w:lang w:eastAsia="zh-CN"/>
              </w:rPr>
            </w:pPr>
            <w:r>
              <w:rPr>
                <w:rFonts w:hint="eastAsia" w:ascii="宋体" w:hAnsi="宋体"/>
                <w:color w:val="auto"/>
                <w:szCs w:val="21"/>
                <w:highlight w:val="none"/>
              </w:rPr>
              <w:t>联系人：</w:t>
            </w:r>
            <w:r>
              <w:rPr>
                <w:rFonts w:hint="eastAsia" w:ascii="宋体" w:hAnsi="宋体"/>
                <w:color w:val="auto"/>
                <w:szCs w:val="21"/>
                <w:highlight w:val="none"/>
                <w:lang w:eastAsia="zh-CN"/>
              </w:rPr>
              <w:t>林承俊</w:t>
            </w:r>
            <w:r>
              <w:rPr>
                <w:rFonts w:hint="eastAsia" w:ascii="宋体" w:hAnsi="宋体"/>
                <w:color w:val="auto"/>
                <w:szCs w:val="21"/>
                <w:highlight w:val="none"/>
              </w:rPr>
              <w:t xml:space="preserve">    联系电话：</w:t>
            </w:r>
            <w:r>
              <w:rPr>
                <w:rFonts w:hint="eastAsia" w:ascii="宋体" w:hAnsi="宋体"/>
                <w:color w:val="auto"/>
                <w:szCs w:val="21"/>
                <w:highlight w:val="none"/>
                <w:lang w:eastAsia="zh-CN"/>
              </w:rPr>
              <w:t>0775-2384021</w:t>
            </w:r>
          </w:p>
        </w:tc>
      </w:tr>
      <w:tr w14:paraId="39D9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18" w:type="dxa"/>
            <w:vMerge w:val="continue"/>
            <w:vAlign w:val="center"/>
          </w:tcPr>
          <w:p w14:paraId="653C0CCE">
            <w:pPr>
              <w:spacing w:line="440" w:lineRule="exact"/>
              <w:jc w:val="center"/>
              <w:rPr>
                <w:rFonts w:ascii="宋体" w:hAnsi="宋体" w:cs="Courier New"/>
                <w:color w:val="auto"/>
                <w:spacing w:val="2"/>
                <w:szCs w:val="21"/>
                <w:highlight w:val="none"/>
              </w:rPr>
            </w:pPr>
          </w:p>
        </w:tc>
        <w:tc>
          <w:tcPr>
            <w:tcW w:w="1682" w:type="dxa"/>
            <w:vMerge w:val="continue"/>
            <w:vAlign w:val="center"/>
          </w:tcPr>
          <w:p w14:paraId="3CDBC558">
            <w:pPr>
              <w:spacing w:line="440" w:lineRule="exact"/>
              <w:jc w:val="center"/>
              <w:rPr>
                <w:rFonts w:ascii="宋体" w:hAnsi="宋体" w:cs="Courier New"/>
                <w:color w:val="auto"/>
                <w:spacing w:val="2"/>
                <w:szCs w:val="21"/>
                <w:highlight w:val="none"/>
              </w:rPr>
            </w:pPr>
          </w:p>
        </w:tc>
        <w:tc>
          <w:tcPr>
            <w:tcW w:w="6965" w:type="dxa"/>
            <w:vAlign w:val="center"/>
          </w:tcPr>
          <w:p w14:paraId="4E890C66">
            <w:pPr>
              <w:autoSpaceDE w:val="0"/>
              <w:spacing w:line="420" w:lineRule="exact"/>
              <w:rPr>
                <w:rFonts w:ascii="宋体" w:hAnsi="宋体"/>
                <w:color w:val="auto"/>
                <w:szCs w:val="21"/>
                <w:highlight w:val="none"/>
              </w:rPr>
            </w:pPr>
            <w:r>
              <w:rPr>
                <w:rFonts w:hint="eastAsia" w:ascii="宋体" w:hAnsi="宋体"/>
                <w:color w:val="auto"/>
                <w:szCs w:val="21"/>
                <w:highlight w:val="none"/>
              </w:rPr>
              <w:t>代理机构联系人：</w:t>
            </w:r>
            <w:r>
              <w:rPr>
                <w:rFonts w:hint="eastAsia" w:ascii="宋体" w:hAnsi="宋体" w:cs="Arial"/>
                <w:color w:val="auto"/>
                <w:kern w:val="0"/>
                <w:szCs w:val="21"/>
                <w:highlight w:val="none"/>
                <w:lang w:eastAsia="zh-CN"/>
              </w:rPr>
              <w:t>刘秋霞</w:t>
            </w:r>
            <w:r>
              <w:rPr>
                <w:rFonts w:hint="eastAsia" w:ascii="宋体" w:hAnsi="宋体" w:cs="Arial"/>
                <w:color w:val="auto"/>
                <w:kern w:val="0"/>
                <w:szCs w:val="21"/>
                <w:highlight w:val="none"/>
              </w:rPr>
              <w:t xml:space="preserve">    电话：</w:t>
            </w:r>
            <w:r>
              <w:rPr>
                <w:rFonts w:hint="eastAsia" w:ascii="宋体" w:hAnsi="宋体"/>
                <w:color w:val="auto"/>
                <w:szCs w:val="21"/>
                <w:highlight w:val="none"/>
                <w:lang w:val="en-US" w:eastAsia="zh-CN"/>
              </w:rPr>
              <w:t>0775-2263266</w:t>
            </w:r>
          </w:p>
        </w:tc>
      </w:tr>
      <w:tr w14:paraId="0F36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Merge w:val="continue"/>
            <w:vAlign w:val="center"/>
          </w:tcPr>
          <w:p w14:paraId="749CEF2E">
            <w:pPr>
              <w:spacing w:line="440" w:lineRule="exact"/>
              <w:jc w:val="center"/>
              <w:rPr>
                <w:rFonts w:ascii="宋体" w:hAnsi="宋体" w:cs="Courier New"/>
                <w:color w:val="auto"/>
                <w:spacing w:val="2"/>
                <w:szCs w:val="21"/>
                <w:highlight w:val="none"/>
              </w:rPr>
            </w:pPr>
          </w:p>
        </w:tc>
        <w:tc>
          <w:tcPr>
            <w:tcW w:w="1682" w:type="dxa"/>
            <w:vMerge w:val="continue"/>
            <w:vAlign w:val="center"/>
          </w:tcPr>
          <w:p w14:paraId="193B8B6F">
            <w:pPr>
              <w:spacing w:line="440" w:lineRule="exact"/>
              <w:jc w:val="center"/>
              <w:rPr>
                <w:rFonts w:ascii="宋体" w:hAnsi="宋体" w:cs="Courier New"/>
                <w:color w:val="auto"/>
                <w:spacing w:val="2"/>
                <w:szCs w:val="21"/>
                <w:highlight w:val="none"/>
              </w:rPr>
            </w:pPr>
          </w:p>
        </w:tc>
        <w:tc>
          <w:tcPr>
            <w:tcW w:w="6965" w:type="dxa"/>
            <w:vAlign w:val="center"/>
          </w:tcPr>
          <w:p w14:paraId="53F57D8C">
            <w:pPr>
              <w:spacing w:line="420" w:lineRule="exact"/>
              <w:rPr>
                <w:rFonts w:ascii="宋体" w:hAnsi="宋体"/>
                <w:color w:val="auto"/>
                <w:szCs w:val="21"/>
                <w:highlight w:val="none"/>
              </w:rPr>
            </w:pPr>
            <w:r>
              <w:rPr>
                <w:rFonts w:hint="eastAsia" w:ascii="宋体" w:hAnsi="宋体"/>
                <w:color w:val="auto"/>
                <w:szCs w:val="21"/>
                <w:highlight w:val="none"/>
              </w:rPr>
              <w:t>行政监督单位：</w:t>
            </w:r>
            <w:r>
              <w:rPr>
                <w:rFonts w:hint="eastAsia" w:ascii="宋体" w:hAnsi="宋体" w:cs="宋体"/>
                <w:color w:val="auto"/>
                <w:kern w:val="0"/>
                <w:szCs w:val="21"/>
                <w:highlight w:val="none"/>
                <w:lang w:val="zh-CN"/>
              </w:rPr>
              <w:t>玉林市玉州区财政局</w:t>
            </w:r>
          </w:p>
          <w:p w14:paraId="27CCD2AD">
            <w:pPr>
              <w:spacing w:line="420" w:lineRule="exact"/>
              <w:rPr>
                <w:rFonts w:ascii="宋体" w:hAnsi="宋体"/>
                <w:color w:val="auto"/>
                <w:szCs w:val="21"/>
                <w:highlight w:val="none"/>
              </w:rPr>
            </w:pPr>
            <w:r>
              <w:rPr>
                <w:rFonts w:hint="eastAsia" w:ascii="宋体" w:hAnsi="宋体"/>
                <w:color w:val="auto"/>
                <w:szCs w:val="21"/>
                <w:highlight w:val="none"/>
              </w:rPr>
              <w:t>联系电话：</w:t>
            </w:r>
            <w:r>
              <w:rPr>
                <w:rFonts w:hint="eastAsia" w:ascii="宋体" w:hAnsi="宋体" w:cs="宋体"/>
                <w:color w:val="auto"/>
                <w:kern w:val="0"/>
                <w:szCs w:val="21"/>
                <w:highlight w:val="none"/>
                <w:lang w:val="zh-CN"/>
              </w:rPr>
              <w:t xml:space="preserve"> 0775-2098625</w:t>
            </w:r>
            <w:r>
              <w:rPr>
                <w:rFonts w:hint="eastAsia" w:ascii="宋体" w:hAnsi="宋体" w:cs="宋体"/>
                <w:color w:val="auto"/>
                <w:kern w:val="0"/>
                <w:szCs w:val="21"/>
                <w:highlight w:val="none"/>
              </w:rPr>
              <w:t xml:space="preserve"> </w:t>
            </w:r>
            <w:r>
              <w:rPr>
                <w:rFonts w:hint="eastAsia" w:ascii="宋体" w:hAnsi="宋体"/>
                <w:color w:val="auto"/>
                <w:szCs w:val="21"/>
                <w:highlight w:val="none"/>
              </w:rPr>
              <w:t xml:space="preserve"> </w:t>
            </w:r>
          </w:p>
        </w:tc>
      </w:tr>
      <w:tr w14:paraId="32BA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18" w:type="dxa"/>
            <w:vAlign w:val="center"/>
          </w:tcPr>
          <w:p w14:paraId="6A69983A">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24</w:t>
            </w:r>
          </w:p>
        </w:tc>
        <w:tc>
          <w:tcPr>
            <w:tcW w:w="1682" w:type="dxa"/>
            <w:vAlign w:val="center"/>
          </w:tcPr>
          <w:p w14:paraId="58DEB46E">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其他说明</w:t>
            </w:r>
          </w:p>
        </w:tc>
        <w:tc>
          <w:tcPr>
            <w:tcW w:w="6965" w:type="dxa"/>
            <w:vAlign w:val="center"/>
          </w:tcPr>
          <w:p w14:paraId="2BB34BED">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采购人或者采购代理机构在资格审查结束前，对供应商进行信用查询。 </w:t>
            </w:r>
          </w:p>
          <w:p w14:paraId="7FAFB185">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查询渠道：“信用中国”网站(www.creditchina.gov.cn) 、中国政府采购网(www.ccgp.gov.cn)。 </w:t>
            </w:r>
          </w:p>
          <w:p w14:paraId="350514CD">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信用查询截止时间点：资格审查结束前 </w:t>
            </w:r>
          </w:p>
          <w:p w14:paraId="236855E5">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查询记录和证据留存方式：在查询网站中直接打印查询记录，打印材料作为评审资料保存。 </w:t>
            </w:r>
          </w:p>
          <w:p w14:paraId="11874AC0">
            <w:pPr>
              <w:autoSpaceDE w:val="0"/>
              <w:autoSpaceDN w:val="0"/>
              <w:adjustRightInd w:val="0"/>
              <w:spacing w:line="420" w:lineRule="exact"/>
              <w:ind w:left="105" w:leftChars="50" w:right="-84" w:firstLine="315" w:firstLineChars="150"/>
              <w:jc w:val="left"/>
              <w:rPr>
                <w:rFonts w:ascii="宋体" w:hAnsi="宋体"/>
                <w:color w:val="auto"/>
                <w:szCs w:val="21"/>
                <w:highlight w:val="none"/>
              </w:rPr>
            </w:pPr>
            <w:r>
              <w:rPr>
                <w:rFonts w:hint="eastAsia" w:ascii="宋体" w:hAnsi="宋体"/>
                <w:snapToGrid w:val="0"/>
                <w:color w:val="auto"/>
                <w:szCs w:val="21"/>
                <w:highlight w:val="none"/>
              </w:rPr>
              <w:t>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案件当事人名单、政府采购严重违法失信行为记录名单及其他不符合《中华人民共和国政府采购法》第二十二条规定条件的供应商）的，视同联合体存在不良信用记录。</w:t>
            </w:r>
          </w:p>
        </w:tc>
      </w:tr>
      <w:tr w14:paraId="4467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8" w:type="dxa"/>
            <w:vAlign w:val="center"/>
          </w:tcPr>
          <w:p w14:paraId="28336FED">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25</w:t>
            </w:r>
          </w:p>
        </w:tc>
        <w:tc>
          <w:tcPr>
            <w:tcW w:w="1682" w:type="dxa"/>
            <w:vAlign w:val="center"/>
          </w:tcPr>
          <w:p w14:paraId="60DF485E">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采购代理</w:t>
            </w:r>
          </w:p>
          <w:p w14:paraId="0F90BCB9">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服务费支付</w:t>
            </w:r>
          </w:p>
        </w:tc>
        <w:tc>
          <w:tcPr>
            <w:tcW w:w="6965" w:type="dxa"/>
            <w:vAlign w:val="center"/>
          </w:tcPr>
          <w:p w14:paraId="79A8116E">
            <w:pPr>
              <w:spacing w:line="4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代理服务费由成交人支付，依据国家计委《招标代理服务收费管理暂行办法》（计价格[2002]1980号）及《国家发展改革委关于降低部分建设项目收费标准规范收费行为等有关问题的通知》（发改价格[2011]534号）规定（按工程类）计取。由成交人在领取成交通知书后五个工作日内，以现金或转</w:t>
            </w:r>
            <w:r>
              <w:rPr>
                <w:rFonts w:hint="eastAsia" w:ascii="宋体" w:hAnsi="宋体" w:cs="宋体"/>
                <w:color w:val="auto"/>
                <w:szCs w:val="21"/>
                <w:highlight w:val="none"/>
                <w:lang w:eastAsia="zh-CN"/>
              </w:rPr>
              <w:t>账</w:t>
            </w:r>
            <w:r>
              <w:rPr>
                <w:rFonts w:hint="eastAsia" w:ascii="宋体" w:hAnsi="宋体" w:cs="宋体"/>
                <w:color w:val="auto"/>
                <w:szCs w:val="21"/>
                <w:highlight w:val="none"/>
              </w:rPr>
              <w:t>方式一次性支付给采购代理机构。</w:t>
            </w:r>
          </w:p>
          <w:p w14:paraId="3F9C3D78">
            <w:pPr>
              <w:pStyle w:val="24"/>
              <w:snapToGrid w:val="0"/>
              <w:spacing w:line="320" w:lineRule="exact"/>
              <w:rPr>
                <w:rFonts w:hAnsi="宋体"/>
                <w:color w:val="auto"/>
                <w:szCs w:val="21"/>
                <w:highlight w:val="none"/>
              </w:rPr>
            </w:pPr>
            <w:r>
              <w:rPr>
                <w:rFonts w:hint="eastAsia" w:hAnsi="宋体"/>
                <w:color w:val="auto"/>
                <w:szCs w:val="21"/>
                <w:highlight w:val="none"/>
              </w:rPr>
              <w:t>采购代理服务费收款账户名称：</w:t>
            </w:r>
          </w:p>
          <w:p w14:paraId="7CC51271">
            <w:pPr>
              <w:spacing w:line="420" w:lineRule="exact"/>
              <w:ind w:firstLine="420" w:firstLineChars="200"/>
              <w:rPr>
                <w:rFonts w:ascii="宋体" w:hAnsi="宋体" w:cs="宋体"/>
                <w:color w:val="auto"/>
                <w:szCs w:val="21"/>
                <w:highlight w:val="none"/>
              </w:rPr>
            </w:pPr>
            <w:r>
              <w:rPr>
                <w:rFonts w:hint="eastAsia" w:ascii="宋体" w:hAnsi="宋体" w:cs="宋体"/>
                <w:color w:val="auto"/>
                <w:highlight w:val="none"/>
              </w:rPr>
              <w:t>开户名称</w:t>
            </w:r>
            <w:r>
              <w:rPr>
                <w:rFonts w:hint="eastAsia" w:ascii="宋体" w:hAnsi="宋体" w:cs="宋体"/>
                <w:color w:val="auto"/>
                <w:szCs w:val="21"/>
                <w:highlight w:val="none"/>
              </w:rPr>
              <w:t>：</w:t>
            </w:r>
            <w:r>
              <w:rPr>
                <w:rFonts w:hint="eastAsia" w:ascii="宋体" w:hAnsi="宋体" w:cs="宋体"/>
                <w:color w:val="auto"/>
                <w:szCs w:val="21"/>
                <w:highlight w:val="none"/>
                <w:lang w:eastAsia="zh-CN"/>
              </w:rPr>
              <w:t>广西琪丽达工程管理有限公司</w:t>
            </w:r>
            <w:r>
              <w:rPr>
                <w:rFonts w:hint="eastAsia" w:ascii="宋体" w:hAnsi="宋体" w:cs="宋体"/>
                <w:color w:val="auto"/>
                <w:szCs w:val="21"/>
                <w:highlight w:val="none"/>
              </w:rPr>
              <w:tab/>
            </w:r>
          </w:p>
          <w:p w14:paraId="356C414D">
            <w:pPr>
              <w:spacing w:line="42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开户银行：</w:t>
            </w:r>
            <w:r>
              <w:rPr>
                <w:rFonts w:hint="eastAsia" w:ascii="宋体" w:hAnsi="宋体" w:cs="宋体"/>
                <w:color w:val="auto"/>
                <w:szCs w:val="21"/>
                <w:highlight w:val="none"/>
                <w:lang w:eastAsia="zh-CN"/>
              </w:rPr>
              <w:t>桂林银行股份有限公司玉林福绵爱民路小微支行</w:t>
            </w:r>
          </w:p>
          <w:p w14:paraId="65ACD1DF">
            <w:pPr>
              <w:spacing w:line="420" w:lineRule="exact"/>
              <w:ind w:firstLine="420" w:firstLineChars="200"/>
              <w:rPr>
                <w:rFonts w:hint="default" w:ascii="宋体" w:hAnsi="宋体" w:eastAsia="宋体"/>
                <w:b/>
                <w:color w:val="auto"/>
                <w:szCs w:val="21"/>
                <w:highlight w:val="none"/>
                <w:lang w:val="en-US" w:eastAsia="zh-CN"/>
              </w:rPr>
            </w:pPr>
            <w:r>
              <w:rPr>
                <w:rFonts w:hint="eastAsia" w:ascii="宋体" w:hAnsi="宋体" w:cs="宋体"/>
                <w:color w:val="auto"/>
                <w:szCs w:val="21"/>
                <w:highlight w:val="none"/>
                <w:lang w:eastAsia="zh-CN"/>
              </w:rPr>
              <w:t>账</w:t>
            </w:r>
            <w:r>
              <w:rPr>
                <w:rFonts w:hint="eastAsia" w:ascii="宋体" w:hAnsi="宋体" w:cs="宋体"/>
                <w:color w:val="auto"/>
                <w:szCs w:val="21"/>
                <w:highlight w:val="none"/>
              </w:rPr>
              <w:t xml:space="preserve">    号：</w:t>
            </w:r>
            <w:r>
              <w:rPr>
                <w:rFonts w:hint="eastAsia" w:ascii="宋体" w:hAnsi="宋体" w:cs="宋体"/>
                <w:color w:val="auto"/>
                <w:szCs w:val="21"/>
                <w:highlight w:val="none"/>
                <w:lang w:val="en-US" w:eastAsia="zh-CN"/>
              </w:rPr>
              <w:t>660000012490000011</w:t>
            </w:r>
          </w:p>
        </w:tc>
      </w:tr>
      <w:tr w14:paraId="0D87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8" w:type="dxa"/>
            <w:vAlign w:val="center"/>
          </w:tcPr>
          <w:p w14:paraId="4EF7332E">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26</w:t>
            </w:r>
          </w:p>
        </w:tc>
        <w:tc>
          <w:tcPr>
            <w:tcW w:w="1682" w:type="dxa"/>
            <w:vAlign w:val="center"/>
          </w:tcPr>
          <w:p w14:paraId="050833E7">
            <w:pPr>
              <w:autoSpaceDE w:val="0"/>
              <w:autoSpaceDN w:val="0"/>
              <w:adjustRightInd w:val="0"/>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政府采购信息发布媒体</w:t>
            </w:r>
          </w:p>
        </w:tc>
        <w:tc>
          <w:tcPr>
            <w:tcW w:w="6965" w:type="dxa"/>
            <w:vAlign w:val="center"/>
          </w:tcPr>
          <w:p w14:paraId="74658E21">
            <w:pPr>
              <w:spacing w:line="420" w:lineRule="exact"/>
              <w:rPr>
                <w:rFonts w:ascii="宋体" w:hAnsi="宋体"/>
                <w:color w:val="auto"/>
                <w:szCs w:val="21"/>
                <w:highlight w:val="none"/>
              </w:rPr>
            </w:pPr>
            <w:r>
              <w:rPr>
                <w:rFonts w:hint="eastAsia" w:ascii="宋体" w:hAnsi="宋体" w:cs="宋体"/>
                <w:color w:val="auto"/>
                <w:kern w:val="0"/>
                <w:szCs w:val="21"/>
                <w:highlight w:val="none"/>
              </w:rPr>
              <w:t>中国政府采购网、广西壮族自治区政府采购网、</w:t>
            </w:r>
            <w:r>
              <w:rPr>
                <w:rFonts w:hint="eastAsia" w:ascii="宋体" w:hAnsi="宋体" w:cs="Arial"/>
                <w:color w:val="auto"/>
                <w:kern w:val="0"/>
                <w:szCs w:val="21"/>
                <w:highlight w:val="none"/>
                <w:lang w:eastAsia="zh-CN"/>
              </w:rPr>
              <w:t>广西玉林市玉州区人民政府门户网站</w:t>
            </w:r>
            <w:r>
              <w:rPr>
                <w:rFonts w:hint="eastAsia" w:ascii="宋体" w:hAnsi="宋体" w:cs="宋体"/>
                <w:color w:val="auto"/>
                <w:kern w:val="0"/>
                <w:szCs w:val="21"/>
                <w:highlight w:val="none"/>
              </w:rPr>
              <w:t>。</w:t>
            </w:r>
          </w:p>
        </w:tc>
      </w:tr>
      <w:tr w14:paraId="24A5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8" w:type="dxa"/>
            <w:vAlign w:val="center"/>
          </w:tcPr>
          <w:p w14:paraId="7D6FCA18">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27</w:t>
            </w:r>
          </w:p>
        </w:tc>
        <w:tc>
          <w:tcPr>
            <w:tcW w:w="1682" w:type="dxa"/>
            <w:vAlign w:val="center"/>
          </w:tcPr>
          <w:p w14:paraId="2D5CB651">
            <w:pPr>
              <w:autoSpaceDE w:val="0"/>
              <w:autoSpaceDN w:val="0"/>
              <w:adjustRightInd w:val="0"/>
              <w:spacing w:line="440" w:lineRule="exact"/>
              <w:jc w:val="center"/>
              <w:rPr>
                <w:rFonts w:ascii="宋体" w:hAnsi="宋体" w:cs="Courier New"/>
                <w:b/>
                <w:color w:val="auto"/>
                <w:spacing w:val="2"/>
                <w:szCs w:val="21"/>
                <w:highlight w:val="none"/>
              </w:rPr>
            </w:pPr>
            <w:r>
              <w:rPr>
                <w:rFonts w:hint="eastAsia" w:ascii="宋体" w:hAnsi="宋体" w:cs="Courier New"/>
                <w:b/>
                <w:color w:val="auto"/>
                <w:spacing w:val="2"/>
                <w:szCs w:val="21"/>
                <w:highlight w:val="none"/>
              </w:rPr>
              <w:t>预留采购份额</w:t>
            </w:r>
          </w:p>
        </w:tc>
        <w:tc>
          <w:tcPr>
            <w:tcW w:w="6965" w:type="dxa"/>
            <w:vAlign w:val="center"/>
          </w:tcPr>
          <w:p w14:paraId="7243B18B">
            <w:pPr>
              <w:spacing w:line="400" w:lineRule="exact"/>
              <w:rPr>
                <w:rFonts w:ascii="宋体" w:hAnsi="宋体" w:cs="Courier New"/>
                <w:b/>
                <w:color w:val="auto"/>
                <w:spacing w:val="2"/>
                <w:szCs w:val="21"/>
                <w:highlight w:val="none"/>
              </w:rPr>
            </w:pPr>
            <w:r>
              <w:rPr>
                <w:rFonts w:hint="eastAsia" w:ascii="宋体" w:hAnsi="宋体" w:cs="Courier New"/>
                <w:b/>
                <w:color w:val="auto"/>
                <w:spacing w:val="2"/>
                <w:szCs w:val="21"/>
                <w:highlight w:val="none"/>
              </w:rPr>
              <w:t>本项目属于专门面向中小企业采购的项目。</w:t>
            </w:r>
          </w:p>
          <w:p w14:paraId="5EE92E8C">
            <w:pPr>
              <w:spacing w:line="400" w:lineRule="exact"/>
              <w:rPr>
                <w:rFonts w:ascii="宋体" w:hAnsi="宋体" w:cs="Courier New"/>
                <w:b/>
                <w:color w:val="auto"/>
                <w:spacing w:val="2"/>
                <w:szCs w:val="21"/>
                <w:highlight w:val="none"/>
              </w:rPr>
            </w:pPr>
            <w:r>
              <w:rPr>
                <w:rFonts w:hint="eastAsia" w:ascii="宋体" w:hAnsi="宋体" w:cs="Courier New"/>
                <w:b/>
                <w:color w:val="auto"/>
                <w:spacing w:val="2"/>
                <w:szCs w:val="21"/>
                <w:highlight w:val="none"/>
              </w:rPr>
              <w:t>中小企业划分标准所属行业：建筑业。</w:t>
            </w:r>
          </w:p>
        </w:tc>
      </w:tr>
      <w:tr w14:paraId="7075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8" w:type="dxa"/>
            <w:vAlign w:val="center"/>
          </w:tcPr>
          <w:p w14:paraId="20B5C143">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28</w:t>
            </w:r>
          </w:p>
        </w:tc>
        <w:tc>
          <w:tcPr>
            <w:tcW w:w="1682" w:type="dxa"/>
            <w:vAlign w:val="center"/>
          </w:tcPr>
          <w:p w14:paraId="54064BA2">
            <w:pPr>
              <w:autoSpaceDE w:val="0"/>
              <w:autoSpaceDN w:val="0"/>
              <w:adjustRightInd w:val="0"/>
              <w:spacing w:line="440" w:lineRule="exact"/>
              <w:jc w:val="center"/>
              <w:rPr>
                <w:rFonts w:ascii="宋体" w:hAnsi="宋体" w:cs="Courier New"/>
                <w:color w:val="auto"/>
                <w:spacing w:val="2"/>
                <w:szCs w:val="21"/>
                <w:highlight w:val="none"/>
              </w:rPr>
            </w:pPr>
            <w:r>
              <w:rPr>
                <w:rFonts w:hint="eastAsia" w:ascii="宋体" w:hAnsi="宋体"/>
                <w:snapToGrid w:val="0"/>
                <w:color w:val="auto"/>
                <w:szCs w:val="21"/>
                <w:highlight w:val="none"/>
              </w:rPr>
              <w:t>解释</w:t>
            </w:r>
          </w:p>
        </w:tc>
        <w:tc>
          <w:tcPr>
            <w:tcW w:w="6965" w:type="dxa"/>
            <w:vAlign w:val="center"/>
          </w:tcPr>
          <w:p w14:paraId="49A089F8">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构成本磋商文件的各个组成文件应互为解释，互为说明；除磋商文件中有特别规定外，仅适用于招标投标阶段的规定，按更正公告（澄清公告）、磋商文件目录编排内容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20D7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8" w:type="dxa"/>
            <w:vAlign w:val="center"/>
          </w:tcPr>
          <w:p w14:paraId="4CFC77E0">
            <w:pPr>
              <w:spacing w:line="440" w:lineRule="exact"/>
              <w:jc w:val="center"/>
              <w:rPr>
                <w:rFonts w:ascii="宋体" w:hAnsi="宋体" w:cs="Courier New"/>
                <w:color w:val="auto"/>
                <w:spacing w:val="2"/>
                <w:szCs w:val="21"/>
                <w:highlight w:val="none"/>
              </w:rPr>
            </w:pPr>
            <w:r>
              <w:rPr>
                <w:rFonts w:hint="eastAsia" w:ascii="宋体" w:hAnsi="宋体" w:cs="Courier New"/>
                <w:color w:val="auto"/>
                <w:spacing w:val="2"/>
                <w:szCs w:val="21"/>
                <w:highlight w:val="none"/>
              </w:rPr>
              <w:t>29</w:t>
            </w:r>
          </w:p>
        </w:tc>
        <w:tc>
          <w:tcPr>
            <w:tcW w:w="1682" w:type="dxa"/>
            <w:vAlign w:val="center"/>
          </w:tcPr>
          <w:p w14:paraId="046AB332">
            <w:pPr>
              <w:autoSpaceDE w:val="0"/>
              <w:autoSpaceDN w:val="0"/>
              <w:adjustRightInd w:val="0"/>
              <w:spacing w:line="440" w:lineRule="exact"/>
              <w:jc w:val="center"/>
              <w:rPr>
                <w:rFonts w:ascii="宋体" w:hAnsi="宋体" w:cs="Courier New"/>
                <w:color w:val="auto"/>
                <w:spacing w:val="2"/>
                <w:szCs w:val="21"/>
                <w:highlight w:val="none"/>
              </w:rPr>
            </w:pPr>
            <w:r>
              <w:rPr>
                <w:rFonts w:hint="eastAsia" w:ascii="宋体" w:hAnsi="宋体"/>
                <w:snapToGrid w:val="0"/>
                <w:color w:val="auto"/>
                <w:szCs w:val="21"/>
                <w:highlight w:val="none"/>
              </w:rPr>
              <w:t>其它事项说明</w:t>
            </w:r>
          </w:p>
        </w:tc>
        <w:tc>
          <w:tcPr>
            <w:tcW w:w="6965" w:type="dxa"/>
            <w:vAlign w:val="center"/>
          </w:tcPr>
          <w:p w14:paraId="09D04A52">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1.本磋商文件中描述供应商的“公章”是指根据我国对公章的管理规定，用供应商法定主体行为名称制作的印章，除本磋商文件有特殊规定外，供应商的财务章、部门章、分公司章、工会章、合同章、投标专用章、业务专用章及银行的转账章、现金收讫章、现金付讫章等其他形式印章均不能代替公章。 </w:t>
            </w:r>
          </w:p>
          <w:p w14:paraId="36E8DCC0">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2.供应商为其他组织或者自然人时，本磋商文件规定的法定代表人指负责人或者自然人。本磋商文件所称负责人是指参加磋商的其他组织营业执照上的负责人，本磋商文件所称自然人指参与磋商的自然人本人。 </w:t>
            </w:r>
          </w:p>
          <w:p w14:paraId="73F83C46">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3.本磋商文件中描述供应商的“签字”是指供应商的法定代表人或者委托代理人亲自在文件规定签字处亲笔写上个人的名字的行为，私章、签字章、印鉴、影印等其他形式均不能代替亲笔签字。 </w:t>
            </w:r>
          </w:p>
          <w:p w14:paraId="35C31D4C">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4.电子响应文件中须加盖供应商公章部分均采用 CA 签章，并根据</w:t>
            </w:r>
            <w:r>
              <w:rPr>
                <w:rFonts w:hint="eastAsia" w:ascii="宋体" w:hAnsi="宋体"/>
                <w:snapToGrid w:val="0"/>
                <w:color w:val="auto"/>
                <w:szCs w:val="21"/>
                <w:highlight w:val="none"/>
                <w:lang w:eastAsia="zh-CN"/>
              </w:rPr>
              <w:t>广西政府采购云</w:t>
            </w:r>
            <w:r>
              <w:rPr>
                <w:rFonts w:hint="eastAsia" w:ascii="宋体" w:hAnsi="宋体"/>
                <w:snapToGrid w:val="0"/>
                <w:color w:val="auto"/>
                <w:szCs w:val="21"/>
                <w:highlight w:val="none"/>
              </w:rPr>
              <w:t>平台《政府采购项目电子交易管理操作指南-供应商》及本磋商文件规定的格式和顺序编制电子响应文件并进行关联定位，以便评标委员会在评审时，点击评分项可直接定位到该评分项内容。如对磋商文件的某项要求，供应商的电子响应文件未能关联定位提供相应的内容与其对应，则评标委员会在评审时如做出对供应商不利的评审由供应商自行承担。电子响应文件如内容不完整、编排混乱导致响应文件被误读、 漏读，或者在按磋商文件规定的部位查找不到相关内容的，由供应商自行承担。</w:t>
            </w:r>
          </w:p>
          <w:p w14:paraId="12305164">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5.CA 签章上目前没有法人（负责人）或授权代表签字信息，供应商在响应文件中涉及到签字的位置线下签字后扫描上传即可。响应文件中涉及到签字的位置未按要求签字的，提供的材料视为无效。 </w:t>
            </w:r>
          </w:p>
          <w:p w14:paraId="7289E321">
            <w:pPr>
              <w:widowControl/>
              <w:spacing w:line="440" w:lineRule="exact"/>
              <w:jc w:val="left"/>
              <w:rPr>
                <w:rFonts w:ascii="宋体" w:hAnsi="宋体"/>
                <w:snapToGrid w:val="0"/>
                <w:color w:val="auto"/>
                <w:szCs w:val="21"/>
                <w:highlight w:val="none"/>
              </w:rPr>
            </w:pPr>
            <w:r>
              <w:rPr>
                <w:rFonts w:hint="eastAsia" w:ascii="宋体" w:hAnsi="宋体"/>
                <w:snapToGrid w:val="0"/>
                <w:color w:val="auto"/>
                <w:szCs w:val="21"/>
                <w:highlight w:val="none"/>
              </w:rPr>
              <w:t xml:space="preserve">6.自然人参加磋商的，磋商文件规定盖公章处由自然人摁手指指印。 </w:t>
            </w:r>
          </w:p>
          <w:p w14:paraId="3591D251">
            <w:pPr>
              <w:spacing w:line="420" w:lineRule="exact"/>
              <w:rPr>
                <w:rFonts w:ascii="宋体" w:hAnsi="宋体" w:cs="宋体"/>
                <w:color w:val="auto"/>
                <w:kern w:val="0"/>
                <w:szCs w:val="21"/>
                <w:highlight w:val="none"/>
              </w:rPr>
            </w:pPr>
            <w:r>
              <w:rPr>
                <w:rFonts w:hint="eastAsia" w:ascii="宋体" w:hAnsi="宋体"/>
                <w:snapToGrid w:val="0"/>
                <w:color w:val="auto"/>
                <w:szCs w:val="21"/>
                <w:highlight w:val="none"/>
              </w:rPr>
              <w:t>7.本磋商文件所称的“以上”“以下”“以内”“届满”，包括本数；所称的“不满”“超过”“以外”，不包括本数。</w:t>
            </w:r>
          </w:p>
        </w:tc>
      </w:tr>
    </w:tbl>
    <w:p w14:paraId="1FB0DB57">
      <w:pPr>
        <w:jc w:val="center"/>
        <w:rPr>
          <w:rFonts w:ascii="宋体" w:hAnsi="宋体"/>
          <w:b/>
          <w:color w:val="auto"/>
          <w:sz w:val="36"/>
          <w:highlight w:val="none"/>
        </w:rPr>
      </w:pPr>
      <w:r>
        <w:rPr>
          <w:rFonts w:ascii="宋体" w:hAnsi="宋体"/>
          <w:b/>
          <w:color w:val="auto"/>
          <w:sz w:val="36"/>
          <w:highlight w:val="none"/>
        </w:rPr>
        <w:br w:type="page"/>
      </w:r>
      <w:r>
        <w:rPr>
          <w:rFonts w:hint="eastAsia" w:ascii="宋体" w:hAnsi="宋体"/>
          <w:b/>
          <w:color w:val="auto"/>
          <w:sz w:val="36"/>
          <w:highlight w:val="none"/>
        </w:rPr>
        <w:t>供应商须知</w:t>
      </w:r>
    </w:p>
    <w:p w14:paraId="5566BFCE">
      <w:pPr>
        <w:pStyle w:val="4"/>
        <w:spacing w:before="0" w:after="0" w:line="460" w:lineRule="exact"/>
        <w:rPr>
          <w:rFonts w:ascii="宋体" w:hAnsi="宋体" w:eastAsia="宋体"/>
          <w:color w:val="auto"/>
          <w:sz w:val="21"/>
          <w:szCs w:val="21"/>
          <w:highlight w:val="none"/>
        </w:rPr>
      </w:pPr>
      <w:bookmarkStart w:id="10" w:name="_Toc2853"/>
      <w:bookmarkStart w:id="11" w:name="_Toc18682803"/>
      <w:bookmarkStart w:id="12" w:name="_Toc80818615"/>
      <w:r>
        <w:rPr>
          <w:rFonts w:ascii="宋体" w:hAnsi="宋体" w:eastAsia="宋体"/>
          <w:color w:val="auto"/>
          <w:sz w:val="21"/>
          <w:szCs w:val="21"/>
          <w:highlight w:val="none"/>
        </w:rPr>
        <w:t>l.项目说明</w:t>
      </w:r>
      <w:bookmarkEnd w:id="10"/>
      <w:bookmarkEnd w:id="11"/>
      <w:bookmarkEnd w:id="12"/>
    </w:p>
    <w:p w14:paraId="4E257E22">
      <w:pPr>
        <w:spacing w:line="460" w:lineRule="exact"/>
        <w:ind w:firstLine="420" w:firstLineChars="200"/>
        <w:rPr>
          <w:rFonts w:ascii="宋体" w:hAnsi="宋体"/>
          <w:color w:val="auto"/>
          <w:szCs w:val="21"/>
          <w:highlight w:val="none"/>
          <w:u w:val="single"/>
        </w:rPr>
      </w:pPr>
      <w:r>
        <w:rPr>
          <w:rFonts w:ascii="宋体" w:hAnsi="宋体"/>
          <w:color w:val="auto"/>
          <w:szCs w:val="21"/>
          <w:highlight w:val="none"/>
        </w:rPr>
        <w:t>1.1</w:t>
      </w:r>
      <w:r>
        <w:rPr>
          <w:rFonts w:hint="eastAsia" w:ascii="宋体" w:hAnsi="宋体"/>
          <w:color w:val="auto"/>
          <w:szCs w:val="21"/>
          <w:highlight w:val="none"/>
        </w:rPr>
        <w:t xml:space="preserve"> </w:t>
      </w:r>
      <w:r>
        <w:rPr>
          <w:rFonts w:ascii="宋体" w:hAnsi="宋体"/>
          <w:color w:val="auto"/>
          <w:szCs w:val="21"/>
          <w:highlight w:val="none"/>
        </w:rPr>
        <w:t>工程综合说明</w:t>
      </w:r>
      <w:r>
        <w:rPr>
          <w:rFonts w:hint="eastAsia" w:ascii="宋体" w:hAnsi="宋体"/>
          <w:color w:val="auto"/>
          <w:szCs w:val="21"/>
          <w:highlight w:val="none"/>
        </w:rPr>
        <w:t>见磋商</w:t>
      </w:r>
      <w:r>
        <w:rPr>
          <w:rFonts w:ascii="宋体" w:hAnsi="宋体"/>
          <w:color w:val="auto"/>
          <w:szCs w:val="21"/>
          <w:highlight w:val="none"/>
        </w:rPr>
        <w:t>须知“</w:t>
      </w:r>
      <w:r>
        <w:rPr>
          <w:rFonts w:hint="eastAsia" w:ascii="宋体" w:hAnsi="宋体"/>
          <w:bCs/>
          <w:color w:val="auto"/>
          <w:szCs w:val="21"/>
          <w:highlight w:val="none"/>
        </w:rPr>
        <w:t>供应商须知前附表</w:t>
      </w:r>
      <w:r>
        <w:rPr>
          <w:rFonts w:ascii="宋体" w:hAnsi="宋体"/>
          <w:color w:val="auto"/>
          <w:szCs w:val="21"/>
          <w:highlight w:val="none"/>
        </w:rPr>
        <w:t>”</w:t>
      </w:r>
      <w:r>
        <w:rPr>
          <w:rFonts w:hint="eastAsia" w:ascii="宋体" w:hAnsi="宋体"/>
          <w:color w:val="auto"/>
          <w:szCs w:val="21"/>
          <w:highlight w:val="none"/>
        </w:rPr>
        <w:t>。</w:t>
      </w:r>
    </w:p>
    <w:p w14:paraId="133AB672">
      <w:pPr>
        <w:spacing w:line="460" w:lineRule="exact"/>
        <w:ind w:firstLine="435"/>
        <w:rPr>
          <w:rFonts w:ascii="宋体" w:hAnsi="宋体"/>
          <w:color w:val="auto"/>
          <w:szCs w:val="21"/>
          <w:highlight w:val="none"/>
        </w:rPr>
      </w:pPr>
      <w:r>
        <w:rPr>
          <w:rFonts w:ascii="宋体" w:hAnsi="宋体"/>
          <w:color w:val="auto"/>
          <w:szCs w:val="21"/>
          <w:highlight w:val="none"/>
        </w:rPr>
        <w:t>1.2 上述</w:t>
      </w:r>
      <w:r>
        <w:rPr>
          <w:rFonts w:hint="eastAsia" w:ascii="宋体" w:hAnsi="宋体"/>
          <w:color w:val="auto"/>
          <w:szCs w:val="21"/>
          <w:highlight w:val="none"/>
        </w:rPr>
        <w:t>工程</w:t>
      </w:r>
      <w:r>
        <w:rPr>
          <w:rFonts w:ascii="宋体" w:hAnsi="宋体"/>
          <w:color w:val="auto"/>
          <w:szCs w:val="21"/>
          <w:highlight w:val="none"/>
        </w:rPr>
        <w:t>按照</w:t>
      </w:r>
      <w:r>
        <w:rPr>
          <w:rFonts w:hint="eastAsia" w:ascii="宋体" w:hAnsi="宋体" w:cs="宋体"/>
          <w:color w:val="auto"/>
          <w:szCs w:val="21"/>
          <w:highlight w:val="none"/>
        </w:rPr>
        <w:t>《中华人民共和国政府采购法》、</w:t>
      </w:r>
      <w:r>
        <w:rPr>
          <w:rFonts w:hint="eastAsia" w:ascii="宋体" w:hAnsi="宋体" w:cs="Arial"/>
          <w:color w:val="auto"/>
          <w:szCs w:val="21"/>
          <w:highlight w:val="none"/>
        </w:rPr>
        <w:t>《中华人民共和国政府采购法实施条例》、</w:t>
      </w:r>
      <w:r>
        <w:rPr>
          <w:rFonts w:hint="eastAsia" w:ascii="宋体" w:hAnsi="宋体"/>
          <w:color w:val="auto"/>
          <w:szCs w:val="21"/>
          <w:highlight w:val="none"/>
        </w:rPr>
        <w:t>《政府采购竞争性磋商采购方式管理暂行办法》</w:t>
      </w:r>
      <w:r>
        <w:rPr>
          <w:rFonts w:hint="eastAsia" w:ascii="宋体" w:hAnsi="宋体" w:cs="Arial"/>
          <w:color w:val="auto"/>
          <w:szCs w:val="21"/>
          <w:highlight w:val="none"/>
        </w:rPr>
        <w:t>及</w:t>
      </w:r>
      <w:r>
        <w:rPr>
          <w:rFonts w:ascii="宋体" w:hAnsi="宋体"/>
          <w:color w:val="auto"/>
          <w:szCs w:val="21"/>
          <w:highlight w:val="none"/>
        </w:rPr>
        <w:t>有关法律、法规和规章，现通过</w:t>
      </w:r>
      <w:r>
        <w:rPr>
          <w:rFonts w:hint="eastAsia" w:ascii="宋体" w:hAnsi="宋体"/>
          <w:color w:val="auto"/>
          <w:szCs w:val="21"/>
          <w:highlight w:val="none"/>
        </w:rPr>
        <w:t>磋商</w:t>
      </w:r>
      <w:r>
        <w:rPr>
          <w:rFonts w:ascii="宋体" w:hAnsi="宋体"/>
          <w:color w:val="auto"/>
          <w:szCs w:val="21"/>
          <w:highlight w:val="none"/>
        </w:rPr>
        <w:t>来择优选定施工单位。</w:t>
      </w:r>
    </w:p>
    <w:p w14:paraId="3C52E7B9">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1.3 供应商资格要求：符合磋商须知前附表规定。</w:t>
      </w:r>
    </w:p>
    <w:p w14:paraId="0068697B">
      <w:pPr>
        <w:spacing w:line="460" w:lineRule="exact"/>
        <w:ind w:firstLine="428" w:firstLineChars="200"/>
        <w:rPr>
          <w:rFonts w:ascii="宋体" w:hAnsi="宋体" w:cs="Courier New"/>
          <w:color w:val="auto"/>
          <w:spacing w:val="2"/>
          <w:szCs w:val="21"/>
          <w:highlight w:val="none"/>
        </w:rPr>
      </w:pPr>
      <w:r>
        <w:rPr>
          <w:rFonts w:hint="eastAsia" w:ascii="宋体" w:hAnsi="宋体" w:cs="Courier New"/>
          <w:color w:val="auto"/>
          <w:spacing w:val="2"/>
          <w:szCs w:val="21"/>
          <w:highlight w:val="none"/>
        </w:rPr>
        <w:t>1.4 本项目不接受联合体进行磋商。</w:t>
      </w:r>
    </w:p>
    <w:p w14:paraId="01008CCE">
      <w:pPr>
        <w:pStyle w:val="4"/>
        <w:spacing w:before="0" w:after="0" w:line="460" w:lineRule="exact"/>
        <w:rPr>
          <w:rFonts w:ascii="宋体" w:hAnsi="宋体" w:eastAsia="宋体"/>
          <w:color w:val="auto"/>
          <w:sz w:val="21"/>
          <w:szCs w:val="21"/>
          <w:highlight w:val="none"/>
        </w:rPr>
      </w:pPr>
      <w:bookmarkStart w:id="13" w:name="_Toc80818616"/>
      <w:bookmarkStart w:id="14" w:name="_Toc346264267"/>
      <w:bookmarkStart w:id="15" w:name="_Toc18682804"/>
      <w:bookmarkStart w:id="16" w:name="_Toc10637"/>
      <w:r>
        <w:rPr>
          <w:rFonts w:ascii="宋体" w:hAnsi="宋体" w:eastAsia="宋体"/>
          <w:color w:val="auto"/>
          <w:sz w:val="21"/>
          <w:szCs w:val="21"/>
          <w:highlight w:val="none"/>
        </w:rPr>
        <w:t>2.资金情况</w:t>
      </w:r>
      <w:bookmarkEnd w:id="13"/>
      <w:bookmarkEnd w:id="14"/>
      <w:bookmarkEnd w:id="15"/>
      <w:bookmarkEnd w:id="16"/>
    </w:p>
    <w:p w14:paraId="10323081">
      <w:pPr>
        <w:spacing w:line="460" w:lineRule="exact"/>
        <w:ind w:firstLine="417" w:firstLineChars="195"/>
        <w:rPr>
          <w:rFonts w:hint="eastAsia" w:ascii="宋体" w:hAnsi="宋体" w:eastAsia="宋体" w:cs="Courier New"/>
          <w:color w:val="auto"/>
          <w:spacing w:val="2"/>
          <w:szCs w:val="21"/>
          <w:highlight w:val="none"/>
          <w:lang w:eastAsia="zh-CN"/>
        </w:rPr>
      </w:pPr>
      <w:r>
        <w:rPr>
          <w:rFonts w:hint="eastAsia" w:ascii="宋体" w:hAnsi="宋体" w:cs="Courier New"/>
          <w:color w:val="auto"/>
          <w:spacing w:val="2"/>
          <w:szCs w:val="21"/>
          <w:highlight w:val="none"/>
        </w:rPr>
        <w:t>2.1资金来源：</w:t>
      </w:r>
      <w:r>
        <w:rPr>
          <w:rFonts w:hint="eastAsia" w:ascii="宋体" w:hAnsi="宋体" w:cs="Courier New"/>
          <w:color w:val="auto"/>
          <w:spacing w:val="2"/>
          <w:szCs w:val="21"/>
          <w:highlight w:val="none"/>
          <w:lang w:eastAsia="zh-CN"/>
        </w:rPr>
        <w:t>一般公共预算资金</w:t>
      </w:r>
    </w:p>
    <w:p w14:paraId="766042C6">
      <w:pPr>
        <w:spacing w:line="460" w:lineRule="exact"/>
        <w:ind w:firstLine="417" w:firstLineChars="195"/>
        <w:rPr>
          <w:rFonts w:ascii="宋体" w:hAnsi="宋体" w:cs="Courier New"/>
          <w:color w:val="auto"/>
          <w:spacing w:val="2"/>
          <w:szCs w:val="21"/>
          <w:highlight w:val="none"/>
        </w:rPr>
      </w:pPr>
      <w:r>
        <w:rPr>
          <w:rFonts w:hint="eastAsia" w:ascii="宋体" w:hAnsi="宋体" w:cs="Courier New"/>
          <w:color w:val="auto"/>
          <w:spacing w:val="2"/>
          <w:szCs w:val="21"/>
          <w:highlight w:val="none"/>
        </w:rPr>
        <w:t>2.2资金到位及落实情况：已落实。</w:t>
      </w:r>
    </w:p>
    <w:p w14:paraId="20BAEF08">
      <w:pPr>
        <w:pStyle w:val="4"/>
        <w:spacing w:before="0" w:after="0" w:line="460" w:lineRule="exact"/>
        <w:rPr>
          <w:rFonts w:ascii="宋体" w:hAnsi="宋体" w:eastAsia="宋体"/>
          <w:bCs w:val="0"/>
          <w:color w:val="auto"/>
          <w:sz w:val="21"/>
          <w:szCs w:val="21"/>
          <w:highlight w:val="none"/>
        </w:rPr>
      </w:pPr>
      <w:bookmarkStart w:id="17" w:name="_Toc18682805"/>
      <w:bookmarkStart w:id="18" w:name="_Toc346264268"/>
      <w:bookmarkStart w:id="19" w:name="_Toc3867"/>
      <w:bookmarkStart w:id="20" w:name="_Toc80818617"/>
      <w:r>
        <w:rPr>
          <w:rFonts w:ascii="宋体" w:hAnsi="宋体" w:eastAsia="宋体"/>
          <w:bCs w:val="0"/>
          <w:color w:val="auto"/>
          <w:sz w:val="21"/>
          <w:szCs w:val="21"/>
          <w:highlight w:val="none"/>
        </w:rPr>
        <w:t>3.磋商费用</w:t>
      </w:r>
      <w:bookmarkEnd w:id="17"/>
      <w:bookmarkEnd w:id="18"/>
      <w:bookmarkEnd w:id="19"/>
      <w:bookmarkEnd w:id="20"/>
    </w:p>
    <w:p w14:paraId="31613651">
      <w:pPr>
        <w:pStyle w:val="19"/>
        <w:spacing w:line="460" w:lineRule="exact"/>
        <w:ind w:firstLine="409" w:firstLineChars="195"/>
        <w:rPr>
          <w:rFonts w:hAnsi="宋体"/>
          <w:color w:val="auto"/>
          <w:spacing w:val="0"/>
          <w:sz w:val="21"/>
          <w:szCs w:val="21"/>
          <w:highlight w:val="none"/>
        </w:rPr>
      </w:pPr>
      <w:r>
        <w:rPr>
          <w:rFonts w:hint="eastAsia" w:hAnsi="宋体"/>
          <w:color w:val="auto"/>
          <w:spacing w:val="0"/>
          <w:sz w:val="21"/>
          <w:szCs w:val="21"/>
          <w:highlight w:val="none"/>
        </w:rPr>
        <w:t>供应商准备和参加磋商活动所发生的一切费用自理，不管磋商结果如何，采购人及采购代理机构对上述费用不负任何责任。</w:t>
      </w:r>
    </w:p>
    <w:p w14:paraId="0662C81E">
      <w:pPr>
        <w:pStyle w:val="4"/>
        <w:spacing w:before="0" w:after="0" w:line="460" w:lineRule="exact"/>
        <w:rPr>
          <w:rFonts w:ascii="宋体" w:hAnsi="宋体" w:eastAsia="宋体"/>
          <w:bCs w:val="0"/>
          <w:color w:val="auto"/>
          <w:sz w:val="21"/>
          <w:szCs w:val="21"/>
          <w:highlight w:val="none"/>
        </w:rPr>
      </w:pPr>
      <w:bookmarkStart w:id="21" w:name="_Toc18682806"/>
      <w:bookmarkStart w:id="22" w:name="_Toc3982"/>
      <w:bookmarkStart w:id="23" w:name="_Toc346264269"/>
      <w:bookmarkStart w:id="24" w:name="_Toc80818618"/>
      <w:r>
        <w:rPr>
          <w:rFonts w:ascii="宋体" w:hAnsi="宋体" w:eastAsia="宋体"/>
          <w:bCs w:val="0"/>
          <w:color w:val="auto"/>
          <w:sz w:val="21"/>
          <w:szCs w:val="21"/>
          <w:highlight w:val="none"/>
        </w:rPr>
        <w:t>4.竞争性磋商文件</w:t>
      </w:r>
      <w:r>
        <w:rPr>
          <w:rFonts w:hint="eastAsia" w:ascii="宋体" w:hAnsi="宋体" w:eastAsia="宋体"/>
          <w:bCs w:val="0"/>
          <w:color w:val="auto"/>
          <w:sz w:val="21"/>
          <w:szCs w:val="21"/>
          <w:highlight w:val="none"/>
        </w:rPr>
        <w:t>（下文简称磋商文件）</w:t>
      </w:r>
      <w:r>
        <w:rPr>
          <w:rFonts w:ascii="宋体" w:hAnsi="宋体" w:eastAsia="宋体"/>
          <w:bCs w:val="0"/>
          <w:color w:val="auto"/>
          <w:sz w:val="21"/>
          <w:szCs w:val="21"/>
          <w:highlight w:val="none"/>
        </w:rPr>
        <w:t>的组成</w:t>
      </w:r>
      <w:bookmarkEnd w:id="21"/>
      <w:bookmarkEnd w:id="22"/>
      <w:bookmarkEnd w:id="23"/>
      <w:bookmarkEnd w:id="24"/>
    </w:p>
    <w:p w14:paraId="69E8140E">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4.1 磋商文件包括下列内容：</w:t>
      </w:r>
    </w:p>
    <w:p w14:paraId="41668C80">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第一章 竞争性磋商公告</w:t>
      </w:r>
    </w:p>
    <w:p w14:paraId="1BCF4943">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第二章 供应商须知及前附表</w:t>
      </w:r>
    </w:p>
    <w:p w14:paraId="18DD758B">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第三章 合同格式</w:t>
      </w:r>
    </w:p>
    <w:p w14:paraId="5AF0AEE6">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第四章 图纸</w:t>
      </w:r>
    </w:p>
    <w:p w14:paraId="2161C942">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第五章 技术规范</w:t>
      </w:r>
    </w:p>
    <w:p w14:paraId="23C4C720">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第六章 工程量清单</w:t>
      </w:r>
    </w:p>
    <w:p w14:paraId="39D92430">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第七章 响应文件格式</w:t>
      </w:r>
    </w:p>
    <w:p w14:paraId="71414715">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第八章 评标办法</w:t>
      </w:r>
    </w:p>
    <w:p w14:paraId="1266A598">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根据本章第5条、第6条对磋商文件所作的澄清、修改，构成磋商文件的组成部分。</w:t>
      </w:r>
    </w:p>
    <w:p w14:paraId="6349F94E">
      <w:pPr>
        <w:spacing w:line="460" w:lineRule="exact"/>
        <w:ind w:firstLine="428" w:firstLineChars="200"/>
        <w:rPr>
          <w:rFonts w:ascii="宋体" w:hAnsi="宋体" w:cs="Courier New"/>
          <w:color w:val="auto"/>
          <w:spacing w:val="2"/>
          <w:szCs w:val="21"/>
          <w:highlight w:val="none"/>
        </w:rPr>
      </w:pPr>
      <w:r>
        <w:rPr>
          <w:rFonts w:hint="eastAsia" w:ascii="宋体" w:hAnsi="宋体" w:cs="Courier New"/>
          <w:color w:val="auto"/>
          <w:spacing w:val="2"/>
          <w:szCs w:val="21"/>
          <w:highlight w:val="none"/>
        </w:rPr>
        <w:t>4.2</w:t>
      </w:r>
      <w:r>
        <w:rPr>
          <w:rFonts w:ascii="宋体" w:hAnsi="宋体" w:cs="Courier New"/>
          <w:color w:val="auto"/>
          <w:spacing w:val="2"/>
          <w:szCs w:val="21"/>
          <w:highlight w:val="none"/>
        </w:rPr>
        <w:t xml:space="preserve"> </w:t>
      </w:r>
      <w:r>
        <w:rPr>
          <w:rFonts w:hint="eastAsia" w:ascii="宋体" w:hAnsi="宋体" w:cs="Courier New"/>
          <w:color w:val="auto"/>
          <w:spacing w:val="2"/>
          <w:szCs w:val="21"/>
          <w:highlight w:val="none"/>
        </w:rPr>
        <w:t>供应商应认真审阅磋商文件中所有的磋商须知、合同格式、技术规范和图纸。如果供应商编制的响应文件不符合磋商文件的要求，或实质上不响应磋商文件要求，其响应文件将被采购人拒绝。</w:t>
      </w:r>
    </w:p>
    <w:p w14:paraId="052FC608">
      <w:pPr>
        <w:pStyle w:val="4"/>
        <w:spacing w:before="0" w:after="0" w:line="460" w:lineRule="exact"/>
        <w:rPr>
          <w:rFonts w:ascii="宋体" w:hAnsi="宋体" w:eastAsia="宋体"/>
          <w:color w:val="auto"/>
          <w:sz w:val="21"/>
          <w:szCs w:val="21"/>
          <w:highlight w:val="none"/>
        </w:rPr>
      </w:pPr>
      <w:bookmarkStart w:id="25" w:name="_Toc346264270"/>
      <w:bookmarkStart w:id="26" w:name="_Toc18682807"/>
      <w:bookmarkStart w:id="27" w:name="_Toc80818619"/>
      <w:bookmarkStart w:id="28" w:name="_Toc24718"/>
      <w:r>
        <w:rPr>
          <w:rFonts w:ascii="宋体" w:hAnsi="宋体" w:eastAsia="宋体"/>
          <w:color w:val="auto"/>
          <w:sz w:val="21"/>
          <w:szCs w:val="21"/>
          <w:highlight w:val="none"/>
        </w:rPr>
        <w:t>5.磋商文件的</w:t>
      </w:r>
      <w:bookmarkEnd w:id="25"/>
      <w:bookmarkEnd w:id="26"/>
      <w:r>
        <w:rPr>
          <w:rFonts w:hint="eastAsia" w:ascii="宋体" w:hAnsi="宋体" w:eastAsia="宋体" w:cs="Courier New"/>
          <w:color w:val="auto"/>
          <w:spacing w:val="2"/>
          <w:sz w:val="21"/>
          <w:szCs w:val="21"/>
          <w:highlight w:val="none"/>
        </w:rPr>
        <w:t>澄清</w:t>
      </w:r>
      <w:bookmarkEnd w:id="27"/>
      <w:bookmarkEnd w:id="28"/>
    </w:p>
    <w:p w14:paraId="0FC143C6">
      <w:pPr>
        <w:spacing w:line="460" w:lineRule="exact"/>
        <w:ind w:firstLine="417" w:firstLineChars="195"/>
        <w:rPr>
          <w:rFonts w:ascii="宋体" w:hAnsi="宋体" w:cs="Courier New"/>
          <w:color w:val="auto"/>
          <w:spacing w:val="2"/>
          <w:szCs w:val="21"/>
          <w:highlight w:val="none"/>
        </w:rPr>
      </w:pPr>
      <w:r>
        <w:rPr>
          <w:rFonts w:hint="eastAsia" w:ascii="宋体" w:hAnsi="宋体" w:cs="Courier New"/>
          <w:color w:val="auto"/>
          <w:spacing w:val="2"/>
          <w:szCs w:val="21"/>
          <w:highlight w:val="none"/>
        </w:rPr>
        <w:t>5.1供应商在收到</w:t>
      </w:r>
      <w:r>
        <w:rPr>
          <w:rFonts w:ascii="宋体" w:hAnsi="宋体" w:cs="Courier New"/>
          <w:color w:val="auto"/>
          <w:spacing w:val="2"/>
          <w:szCs w:val="21"/>
          <w:highlight w:val="none"/>
        </w:rPr>
        <w:t>采购</w:t>
      </w:r>
      <w:r>
        <w:rPr>
          <w:rFonts w:hint="eastAsia" w:ascii="宋体" w:hAnsi="宋体" w:cs="Courier New"/>
          <w:color w:val="auto"/>
          <w:spacing w:val="2"/>
          <w:szCs w:val="21"/>
          <w:highlight w:val="none"/>
        </w:rPr>
        <w:t>文件后，若有问题需要澄清，须以书面形式（包括书面文字、传真、电报等，下同）向采购代理机构提出，采购代理机构将以书面形式予以解答，答复将以书面形式通知所有获得采购文件的供应商。</w:t>
      </w:r>
    </w:p>
    <w:p w14:paraId="3A6B9BC1">
      <w:pPr>
        <w:spacing w:line="460" w:lineRule="exact"/>
        <w:ind w:firstLine="417" w:firstLineChars="195"/>
        <w:rPr>
          <w:rFonts w:ascii="宋体" w:hAnsi="宋体" w:cs="Courier New"/>
          <w:color w:val="auto"/>
          <w:spacing w:val="2"/>
          <w:szCs w:val="21"/>
          <w:highlight w:val="none"/>
        </w:rPr>
      </w:pPr>
      <w:r>
        <w:rPr>
          <w:rFonts w:hint="eastAsia" w:ascii="宋体" w:hAnsi="宋体" w:cs="Courier New"/>
          <w:color w:val="auto"/>
          <w:spacing w:val="2"/>
          <w:szCs w:val="21"/>
          <w:highlight w:val="none"/>
        </w:rPr>
        <w:t>5.2</w:t>
      </w:r>
      <w:r>
        <w:rPr>
          <w:rFonts w:ascii="宋体" w:hAnsi="宋体" w:cs="Courier New"/>
          <w:color w:val="auto"/>
          <w:spacing w:val="2"/>
          <w:szCs w:val="21"/>
          <w:highlight w:val="none"/>
        </w:rPr>
        <w:t>提交首次响应文件截止之日前，采购人、采购代理机构或者磋商小组可以对已发出的磋商文件进行必要的澄清，澄清的内容作为磋商文件的组成部分。澄清的内容可能影响响应文件编制的，采购人、采购代理机构应当在提交首次响应文件截止时间至少5日前，以书面形式通知所有获取磋商文件的供应商</w:t>
      </w:r>
      <w:r>
        <w:rPr>
          <w:rFonts w:hint="eastAsia" w:ascii="宋体" w:hAnsi="宋体" w:cs="Courier New"/>
          <w:color w:val="auto"/>
          <w:spacing w:val="2"/>
          <w:szCs w:val="21"/>
          <w:highlight w:val="none"/>
        </w:rPr>
        <w:t>；</w:t>
      </w:r>
      <w:r>
        <w:rPr>
          <w:rFonts w:ascii="宋体" w:hAnsi="宋体" w:cs="Courier New"/>
          <w:color w:val="auto"/>
          <w:spacing w:val="2"/>
          <w:szCs w:val="21"/>
          <w:highlight w:val="none"/>
        </w:rPr>
        <w:t>不足5日的，采购人、采购代理机构应当顺延提交首次响应文件截止时间。</w:t>
      </w:r>
    </w:p>
    <w:p w14:paraId="3EE9638F">
      <w:pPr>
        <w:pStyle w:val="4"/>
        <w:spacing w:before="0" w:after="0" w:line="460" w:lineRule="exact"/>
        <w:rPr>
          <w:rFonts w:ascii="宋体" w:hAnsi="宋体" w:eastAsia="宋体"/>
          <w:color w:val="auto"/>
          <w:sz w:val="21"/>
          <w:szCs w:val="21"/>
          <w:highlight w:val="none"/>
        </w:rPr>
      </w:pPr>
      <w:bookmarkStart w:id="29" w:name="_Toc80818620"/>
      <w:bookmarkStart w:id="30" w:name="_Toc1401"/>
      <w:bookmarkStart w:id="31" w:name="_Toc346264271"/>
      <w:bookmarkStart w:id="32" w:name="_Toc18682808"/>
      <w:r>
        <w:rPr>
          <w:rFonts w:ascii="宋体" w:hAnsi="宋体" w:eastAsia="宋体"/>
          <w:color w:val="auto"/>
          <w:sz w:val="21"/>
          <w:szCs w:val="21"/>
          <w:highlight w:val="none"/>
        </w:rPr>
        <w:t>6.磋商文件的修改</w:t>
      </w:r>
      <w:bookmarkEnd w:id="29"/>
      <w:bookmarkEnd w:id="30"/>
      <w:bookmarkEnd w:id="31"/>
      <w:bookmarkEnd w:id="32"/>
    </w:p>
    <w:p w14:paraId="1E7303C6">
      <w:pPr>
        <w:spacing w:line="460" w:lineRule="exact"/>
        <w:ind w:firstLine="417" w:firstLineChars="195"/>
        <w:rPr>
          <w:rFonts w:ascii="宋体" w:hAnsi="宋体" w:cs="Courier New"/>
          <w:color w:val="auto"/>
          <w:spacing w:val="2"/>
          <w:szCs w:val="21"/>
          <w:highlight w:val="none"/>
        </w:rPr>
      </w:pPr>
      <w:r>
        <w:rPr>
          <w:rFonts w:hint="eastAsia" w:ascii="宋体" w:hAnsi="宋体" w:cs="Courier New"/>
          <w:color w:val="auto"/>
          <w:spacing w:val="2"/>
          <w:szCs w:val="21"/>
          <w:highlight w:val="none"/>
        </w:rPr>
        <w:t>6</w:t>
      </w:r>
      <w:r>
        <w:rPr>
          <w:rFonts w:ascii="宋体" w:hAnsi="宋体" w:cs="Courier New"/>
          <w:color w:val="auto"/>
          <w:spacing w:val="2"/>
          <w:szCs w:val="21"/>
          <w:highlight w:val="none"/>
        </w:rPr>
        <w:t>.</w:t>
      </w:r>
      <w:r>
        <w:rPr>
          <w:rFonts w:hint="eastAsia" w:ascii="宋体" w:hAnsi="宋体" w:cs="Courier New"/>
          <w:color w:val="auto"/>
          <w:spacing w:val="2"/>
          <w:szCs w:val="21"/>
          <w:highlight w:val="none"/>
        </w:rPr>
        <w:t>1 在磋商截止日期前，采购代理机构可以补充通知的方式对磋商文件进行修改，这种修改可能是采购人作出的也可能是为了解答供应商要求澄清的问题。</w:t>
      </w:r>
    </w:p>
    <w:p w14:paraId="01426C86">
      <w:pPr>
        <w:spacing w:line="460" w:lineRule="exact"/>
        <w:ind w:firstLine="417" w:firstLineChars="195"/>
        <w:rPr>
          <w:rFonts w:ascii="宋体" w:hAnsi="宋体" w:cs="Courier New"/>
          <w:color w:val="auto"/>
          <w:spacing w:val="2"/>
          <w:szCs w:val="21"/>
          <w:highlight w:val="none"/>
        </w:rPr>
      </w:pPr>
      <w:r>
        <w:rPr>
          <w:rFonts w:hint="eastAsia" w:ascii="宋体" w:hAnsi="宋体" w:cs="Courier New"/>
          <w:color w:val="auto"/>
          <w:spacing w:val="2"/>
          <w:szCs w:val="21"/>
          <w:highlight w:val="none"/>
        </w:rPr>
        <w:t>6.2 为使供应商有充足的时间对磋商文件全部作出响应，并编出有质量的响应文件，采购人必须在响应文件递交截止日期5日前，将补充通知以书面形式通知</w:t>
      </w:r>
      <w:r>
        <w:rPr>
          <w:rFonts w:hint="eastAsia" w:ascii="宋体" w:hAnsi="宋体"/>
          <w:bCs/>
          <w:color w:val="auto"/>
          <w:szCs w:val="21"/>
          <w:highlight w:val="none"/>
        </w:rPr>
        <w:t>在财政部门指定的政府采购信息发布媒体网站上发布，</w:t>
      </w:r>
      <w:r>
        <w:rPr>
          <w:rFonts w:hint="eastAsia" w:ascii="宋体" w:hAnsi="宋体" w:cs="Courier New"/>
          <w:color w:val="auto"/>
          <w:spacing w:val="2"/>
          <w:szCs w:val="21"/>
          <w:highlight w:val="none"/>
        </w:rPr>
        <w:t>并以书面形式通知所有获得磋商文件的供应商，</w:t>
      </w:r>
      <w:r>
        <w:rPr>
          <w:rFonts w:ascii="宋体" w:hAnsi="宋体" w:cs="Courier New"/>
          <w:color w:val="auto"/>
          <w:spacing w:val="2"/>
          <w:szCs w:val="21"/>
          <w:highlight w:val="none"/>
        </w:rPr>
        <w:t>不足5日的，采购人、采购代理机构应当顺延提交首次响应文件截止时间。</w:t>
      </w:r>
      <w:r>
        <w:rPr>
          <w:rFonts w:hint="eastAsia" w:ascii="宋体" w:hAnsi="宋体" w:cs="Courier New"/>
          <w:color w:val="auto"/>
          <w:spacing w:val="2"/>
          <w:szCs w:val="21"/>
          <w:highlight w:val="none"/>
        </w:rPr>
        <w:t>补充通知作为采购文件的组成部分，对供应商起约束作用。</w:t>
      </w:r>
    </w:p>
    <w:p w14:paraId="6B83F5B9">
      <w:pPr>
        <w:pStyle w:val="4"/>
        <w:spacing w:before="0" w:after="0" w:line="460" w:lineRule="exact"/>
        <w:rPr>
          <w:rFonts w:ascii="宋体" w:hAnsi="宋体" w:eastAsia="宋体"/>
          <w:color w:val="auto"/>
          <w:sz w:val="21"/>
          <w:szCs w:val="21"/>
          <w:highlight w:val="none"/>
        </w:rPr>
      </w:pPr>
      <w:bookmarkStart w:id="33" w:name="_Toc174353362"/>
      <w:bookmarkStart w:id="34" w:name="_Toc239659099"/>
      <w:bookmarkStart w:id="35" w:name="_Toc346264272"/>
      <w:bookmarkStart w:id="36" w:name="_Toc18682809"/>
      <w:bookmarkStart w:id="37" w:name="_Toc80818621"/>
      <w:bookmarkStart w:id="38" w:name="_Toc25127"/>
      <w:r>
        <w:rPr>
          <w:rFonts w:ascii="宋体" w:hAnsi="宋体" w:eastAsia="宋体"/>
          <w:color w:val="auto"/>
          <w:sz w:val="21"/>
          <w:szCs w:val="21"/>
          <w:highlight w:val="none"/>
        </w:rPr>
        <w:t>7.磋商报价</w:t>
      </w:r>
      <w:bookmarkEnd w:id="33"/>
      <w:bookmarkEnd w:id="34"/>
      <w:r>
        <w:rPr>
          <w:rFonts w:ascii="宋体" w:hAnsi="宋体" w:eastAsia="宋体"/>
          <w:color w:val="auto"/>
          <w:sz w:val="21"/>
          <w:szCs w:val="21"/>
          <w:highlight w:val="none"/>
        </w:rPr>
        <w:t>及</w:t>
      </w:r>
      <w:bookmarkEnd w:id="35"/>
      <w:r>
        <w:rPr>
          <w:rFonts w:hint="eastAsia" w:ascii="宋体" w:hAnsi="宋体" w:eastAsia="宋体"/>
          <w:color w:val="auto"/>
          <w:sz w:val="21"/>
          <w:szCs w:val="21"/>
          <w:highlight w:val="none"/>
        </w:rPr>
        <w:t>采购</w:t>
      </w:r>
      <w:bookmarkEnd w:id="36"/>
      <w:bookmarkEnd w:id="37"/>
      <w:r>
        <w:rPr>
          <w:rFonts w:hint="eastAsia" w:ascii="宋体" w:hAnsi="宋体" w:eastAsia="宋体"/>
          <w:color w:val="auto"/>
          <w:sz w:val="21"/>
          <w:szCs w:val="21"/>
          <w:highlight w:val="none"/>
        </w:rPr>
        <w:t>预算金额</w:t>
      </w:r>
      <w:bookmarkEnd w:id="38"/>
    </w:p>
    <w:p w14:paraId="4DE13E94">
      <w:pPr>
        <w:adjustRightInd w:val="0"/>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7.1 供应商应按第六章“工程量清单”的要求填写相应表格。</w:t>
      </w:r>
    </w:p>
    <w:p w14:paraId="34BC6321">
      <w:pPr>
        <w:adjustRightInd w:val="0"/>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7.2 供应商在磋商截止时间前修改磋商函中的磋商总报价，应同时修改第六章“工程量清单”中的相应报价。此修改须符合本章第16款的有关要求。</w:t>
      </w:r>
    </w:p>
    <w:p w14:paraId="77418C1C">
      <w:pPr>
        <w:spacing w:line="420" w:lineRule="exact"/>
        <w:ind w:firstLine="420" w:firstLineChars="200"/>
        <w:jc w:val="left"/>
        <w:rPr>
          <w:rFonts w:ascii="宋体" w:hAnsi="宋体"/>
          <w:color w:val="auto"/>
          <w:szCs w:val="21"/>
          <w:highlight w:val="none"/>
        </w:rPr>
      </w:pPr>
      <w:bookmarkStart w:id="39" w:name="_Hlk87630946"/>
      <w:r>
        <w:rPr>
          <w:rFonts w:hint="eastAsia" w:ascii="宋体" w:hAnsi="宋体"/>
          <w:color w:val="auto"/>
          <w:szCs w:val="21"/>
          <w:highlight w:val="none"/>
        </w:rPr>
        <w:t>7.3 本项目采购预算金额为：</w:t>
      </w:r>
      <w:r>
        <w:rPr>
          <w:rFonts w:hint="eastAsia" w:ascii="宋体" w:hAnsi="宋体"/>
          <w:b/>
          <w:bCs/>
          <w:color w:val="auto"/>
          <w:szCs w:val="21"/>
          <w:highlight w:val="none"/>
          <w:lang w:eastAsia="zh-CN"/>
        </w:rPr>
        <w:t>伍拾肆万伍仟伍佰贰拾陆元柒角壹分</w:t>
      </w:r>
      <w:r>
        <w:rPr>
          <w:rFonts w:hint="eastAsia" w:ascii="宋体" w:hAnsi="宋体"/>
          <w:b/>
          <w:bCs/>
          <w:color w:val="auto"/>
          <w:szCs w:val="21"/>
          <w:highlight w:val="none"/>
        </w:rPr>
        <w:t>（¥</w:t>
      </w:r>
      <w:r>
        <w:rPr>
          <w:rFonts w:hint="eastAsia" w:ascii="宋体" w:hAnsi="宋体" w:cs="宋体"/>
          <w:b/>
          <w:bCs/>
          <w:color w:val="auto"/>
          <w:szCs w:val="21"/>
          <w:highlight w:val="none"/>
          <w:lang w:val="en-US" w:bidi="zh-CN"/>
        </w:rPr>
        <w:t>545526.71</w:t>
      </w:r>
      <w:r>
        <w:rPr>
          <w:rFonts w:hint="eastAsia" w:ascii="宋体" w:hAnsi="宋体" w:cs="宋体"/>
          <w:b/>
          <w:bCs/>
          <w:color w:val="auto"/>
          <w:szCs w:val="21"/>
          <w:highlight w:val="none"/>
          <w:lang w:bidi="zh-CN"/>
        </w:rPr>
        <w:t>元）</w:t>
      </w:r>
    </w:p>
    <w:p w14:paraId="077EFA76">
      <w:pPr>
        <w:spacing w:line="420" w:lineRule="exact"/>
        <w:ind w:firstLine="420" w:firstLineChars="200"/>
        <w:jc w:val="left"/>
        <w:rPr>
          <w:rFonts w:ascii="宋体" w:hAnsi="宋体"/>
          <w:b/>
          <w:color w:val="auto"/>
          <w:szCs w:val="21"/>
          <w:highlight w:val="none"/>
        </w:rPr>
      </w:pPr>
      <w:r>
        <w:rPr>
          <w:rFonts w:hint="eastAsia" w:ascii="宋体" w:hAnsi="宋体"/>
          <w:color w:val="auto"/>
          <w:szCs w:val="21"/>
          <w:highlight w:val="none"/>
        </w:rPr>
        <w:t>本采购项目的有效磋商报价范围为：</w:t>
      </w:r>
      <w:r>
        <w:rPr>
          <w:rFonts w:hint="eastAsia" w:ascii="宋体" w:hAnsi="宋体" w:cs="Courier New"/>
          <w:b/>
          <w:color w:val="auto"/>
          <w:spacing w:val="2"/>
          <w:szCs w:val="21"/>
          <w:highlight w:val="none"/>
        </w:rPr>
        <w:t>供应商的最终磋商报价不能高于本项目的采购预算金额。</w:t>
      </w:r>
    </w:p>
    <w:bookmarkEnd w:id="39"/>
    <w:p w14:paraId="41E24E5A">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7.4进行磋商报价，其优惠应直接体现在各项磋商报价的单价中，磋商函中供应商不得采用总价优惠、总价百分比优惠或以报价调整函的方式的报价必须与工程量清单汇总表一致，否则作无效标处理。</w:t>
      </w:r>
    </w:p>
    <w:p w14:paraId="3CD9D467">
      <w:pPr>
        <w:spacing w:line="460" w:lineRule="exact"/>
        <w:rPr>
          <w:rFonts w:ascii="宋体" w:hAnsi="宋体"/>
          <w:color w:val="auto"/>
          <w:szCs w:val="21"/>
          <w:highlight w:val="none"/>
        </w:rPr>
      </w:pPr>
      <w:r>
        <w:rPr>
          <w:rFonts w:ascii="宋体" w:hAnsi="宋体"/>
          <w:color w:val="auto"/>
          <w:szCs w:val="21"/>
          <w:highlight w:val="none"/>
        </w:rPr>
        <w:t xml:space="preserve">    7.</w:t>
      </w:r>
      <w:r>
        <w:rPr>
          <w:rFonts w:hint="eastAsia" w:ascii="宋体" w:hAnsi="宋体"/>
          <w:color w:val="auto"/>
          <w:szCs w:val="21"/>
          <w:highlight w:val="none"/>
        </w:rPr>
        <w:t>5</w:t>
      </w:r>
      <w:r>
        <w:rPr>
          <w:rFonts w:ascii="宋体" w:hAnsi="宋体"/>
          <w:color w:val="auto"/>
          <w:szCs w:val="21"/>
          <w:highlight w:val="none"/>
        </w:rPr>
        <w:t>磋商货币</w:t>
      </w:r>
    </w:p>
    <w:p w14:paraId="7097FAD2">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响应文件</w:t>
      </w:r>
      <w:r>
        <w:rPr>
          <w:rFonts w:ascii="宋体" w:hAnsi="宋体"/>
          <w:color w:val="auto"/>
          <w:szCs w:val="21"/>
          <w:highlight w:val="none"/>
        </w:rPr>
        <w:t>报价中的单价和合价全部采用人民币表示。</w:t>
      </w:r>
    </w:p>
    <w:p w14:paraId="3D6A2452">
      <w:pPr>
        <w:pStyle w:val="4"/>
        <w:spacing w:before="0" w:after="0" w:line="460" w:lineRule="exact"/>
        <w:rPr>
          <w:rFonts w:ascii="宋体" w:hAnsi="宋体" w:eastAsia="宋体"/>
          <w:color w:val="auto"/>
          <w:sz w:val="21"/>
          <w:szCs w:val="21"/>
          <w:highlight w:val="none"/>
        </w:rPr>
      </w:pPr>
      <w:bookmarkStart w:id="40" w:name="_Toc18682810"/>
      <w:bookmarkStart w:id="41" w:name="_Toc80818622"/>
      <w:bookmarkStart w:id="42" w:name="_Toc346264273"/>
      <w:bookmarkStart w:id="43" w:name="_Toc28736"/>
      <w:bookmarkStart w:id="44" w:name="_Toc239659100"/>
      <w:r>
        <w:rPr>
          <w:rFonts w:ascii="宋体" w:hAnsi="宋体" w:eastAsia="宋体"/>
          <w:color w:val="auto"/>
          <w:sz w:val="21"/>
          <w:szCs w:val="21"/>
          <w:highlight w:val="none"/>
        </w:rPr>
        <w:t>8.</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的语言</w:t>
      </w:r>
      <w:bookmarkEnd w:id="40"/>
      <w:bookmarkEnd w:id="41"/>
      <w:bookmarkEnd w:id="42"/>
      <w:bookmarkEnd w:id="43"/>
      <w:bookmarkEnd w:id="44"/>
    </w:p>
    <w:p w14:paraId="066E8465">
      <w:pPr>
        <w:spacing w:line="460" w:lineRule="exact"/>
        <w:ind w:firstLine="435"/>
        <w:rPr>
          <w:rFonts w:ascii="宋体" w:hAnsi="宋体"/>
          <w:color w:val="auto"/>
          <w:szCs w:val="21"/>
          <w:highlight w:val="none"/>
        </w:rPr>
      </w:pPr>
      <w:r>
        <w:rPr>
          <w:rFonts w:hint="eastAsia" w:ascii="宋体" w:hAnsi="宋体"/>
          <w:color w:val="auto"/>
          <w:szCs w:val="21"/>
          <w:highlight w:val="none"/>
        </w:rPr>
        <w:t>响应文件</w:t>
      </w:r>
      <w:r>
        <w:rPr>
          <w:rFonts w:ascii="宋体" w:hAnsi="宋体"/>
          <w:color w:val="auto"/>
          <w:szCs w:val="21"/>
          <w:highlight w:val="none"/>
        </w:rPr>
        <w:t>及</w:t>
      </w:r>
      <w:r>
        <w:rPr>
          <w:rFonts w:hint="eastAsia" w:ascii="宋体" w:hAnsi="宋体"/>
          <w:color w:val="auto"/>
          <w:szCs w:val="21"/>
          <w:highlight w:val="none"/>
        </w:rPr>
        <w:t>供应商</w:t>
      </w:r>
      <w:r>
        <w:rPr>
          <w:rFonts w:ascii="宋体" w:hAnsi="宋体"/>
          <w:color w:val="auto"/>
          <w:szCs w:val="21"/>
          <w:highlight w:val="none"/>
        </w:rPr>
        <w:t>与采购人之间与磋商有关的来往通知、函件和文件均应使用中文。</w:t>
      </w:r>
    </w:p>
    <w:p w14:paraId="01CB3097">
      <w:pPr>
        <w:pStyle w:val="4"/>
        <w:spacing w:before="0" w:after="0" w:line="460" w:lineRule="exact"/>
        <w:rPr>
          <w:rFonts w:ascii="宋体" w:hAnsi="宋体" w:eastAsia="宋体"/>
          <w:color w:val="auto"/>
          <w:sz w:val="21"/>
          <w:szCs w:val="21"/>
          <w:highlight w:val="none"/>
        </w:rPr>
      </w:pPr>
      <w:bookmarkStart w:id="45" w:name="_Toc18682811"/>
      <w:bookmarkStart w:id="46" w:name="_Toc346264274"/>
      <w:bookmarkStart w:id="47" w:name="_Toc1593"/>
      <w:bookmarkStart w:id="48" w:name="_Toc80818623"/>
      <w:bookmarkStart w:id="49" w:name="_Toc239659101"/>
      <w:r>
        <w:rPr>
          <w:rFonts w:ascii="宋体" w:hAnsi="宋体" w:eastAsia="宋体"/>
          <w:color w:val="auto"/>
          <w:sz w:val="21"/>
          <w:szCs w:val="21"/>
          <w:highlight w:val="none"/>
        </w:rPr>
        <w:t>9.</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的组成</w:t>
      </w:r>
      <w:bookmarkEnd w:id="45"/>
      <w:bookmarkEnd w:id="46"/>
      <w:bookmarkEnd w:id="47"/>
      <w:bookmarkEnd w:id="48"/>
      <w:bookmarkEnd w:id="49"/>
    </w:p>
    <w:p w14:paraId="50A1962B">
      <w:pPr>
        <w:pStyle w:val="24"/>
        <w:adjustRightInd w:val="0"/>
        <w:snapToGrid w:val="0"/>
        <w:spacing w:line="500" w:lineRule="exact"/>
        <w:ind w:firstLine="411" w:firstLineChars="196"/>
        <w:jc w:val="left"/>
        <w:rPr>
          <w:rFonts w:hAnsi="宋体"/>
          <w:color w:val="auto"/>
          <w:szCs w:val="21"/>
          <w:highlight w:val="none"/>
        </w:rPr>
      </w:pPr>
      <w:bookmarkStart w:id="50" w:name="_Hlk86744397"/>
      <w:r>
        <w:rPr>
          <w:rFonts w:hAnsi="宋体"/>
          <w:color w:val="auto"/>
          <w:szCs w:val="21"/>
          <w:highlight w:val="none"/>
        </w:rPr>
        <w:t xml:space="preserve">9.1 </w:t>
      </w:r>
      <w:r>
        <w:rPr>
          <w:rFonts w:hint="eastAsia" w:hAnsi="宋体"/>
          <w:color w:val="auto"/>
          <w:szCs w:val="21"/>
          <w:highlight w:val="none"/>
        </w:rPr>
        <w:t>响应文件包括</w:t>
      </w:r>
      <w:r>
        <w:rPr>
          <w:rFonts w:hAnsi="宋体"/>
          <w:color w:val="auto"/>
          <w:szCs w:val="21"/>
          <w:highlight w:val="none"/>
        </w:rPr>
        <w:t>资格</w:t>
      </w:r>
      <w:r>
        <w:rPr>
          <w:rFonts w:hint="eastAsia" w:hAnsi="宋体"/>
          <w:color w:val="auto"/>
          <w:szCs w:val="21"/>
          <w:highlight w:val="none"/>
        </w:rPr>
        <w:t>文件</w:t>
      </w:r>
      <w:r>
        <w:rPr>
          <w:rFonts w:hAnsi="宋体"/>
          <w:color w:val="auto"/>
          <w:szCs w:val="21"/>
          <w:highlight w:val="none"/>
        </w:rPr>
        <w:t>、商务</w:t>
      </w:r>
      <w:r>
        <w:rPr>
          <w:rFonts w:hint="eastAsia" w:hAnsi="宋体"/>
          <w:color w:val="auto"/>
          <w:szCs w:val="21"/>
          <w:highlight w:val="none"/>
        </w:rPr>
        <w:t>技术文件、报价文件</w:t>
      </w:r>
      <w:r>
        <w:rPr>
          <w:rFonts w:hint="eastAsia" w:hAnsi="宋体"/>
          <w:b/>
          <w:color w:val="auto"/>
          <w:szCs w:val="21"/>
          <w:highlight w:val="none"/>
        </w:rPr>
        <w:t>三部份</w:t>
      </w:r>
      <w:r>
        <w:rPr>
          <w:rFonts w:hint="eastAsia" w:hAnsi="宋体"/>
          <w:color w:val="auto"/>
          <w:szCs w:val="21"/>
          <w:highlight w:val="none"/>
        </w:rPr>
        <w:t>组成并分别编制，以下材料组成在磋商文件第七章“响应文件格式”中未附格式的，由供应商自行拟定。</w:t>
      </w:r>
      <w:r>
        <w:rPr>
          <w:rFonts w:hint="eastAsia" w:hAnsi="宋体"/>
          <w:b/>
          <w:color w:val="auto"/>
          <w:kern w:val="0"/>
          <w:szCs w:val="21"/>
          <w:highlight w:val="none"/>
        </w:rPr>
        <w:t>响应文件中所有复印件均须加盖磋商单位公章，否则视为无效磋商响应文件。</w:t>
      </w:r>
    </w:p>
    <w:bookmarkEnd w:id="50"/>
    <w:p w14:paraId="0A6DB346">
      <w:pPr>
        <w:spacing w:line="460" w:lineRule="exact"/>
        <w:ind w:firstLine="422" w:firstLineChars="200"/>
        <w:rPr>
          <w:rFonts w:ascii="宋体" w:hAnsi="宋体"/>
          <w:b/>
          <w:color w:val="auto"/>
          <w:szCs w:val="21"/>
          <w:highlight w:val="none"/>
        </w:rPr>
      </w:pPr>
      <w:bookmarkStart w:id="51" w:name="_Hlk86744311"/>
      <w:bookmarkStart w:id="52" w:name="_Hlk87630980"/>
      <w:r>
        <w:rPr>
          <w:rFonts w:hint="eastAsia" w:ascii="宋体" w:hAnsi="宋体"/>
          <w:b/>
          <w:color w:val="auto"/>
          <w:szCs w:val="21"/>
          <w:highlight w:val="none"/>
        </w:rPr>
        <w:t>9</w:t>
      </w:r>
      <w:r>
        <w:rPr>
          <w:rFonts w:ascii="宋体" w:hAnsi="宋体"/>
          <w:b/>
          <w:color w:val="auto"/>
          <w:szCs w:val="21"/>
          <w:highlight w:val="none"/>
        </w:rPr>
        <w:t>.2</w:t>
      </w:r>
      <w:r>
        <w:rPr>
          <w:rFonts w:hint="eastAsia" w:ascii="宋体" w:hAnsi="宋体"/>
          <w:b/>
          <w:color w:val="auto"/>
          <w:szCs w:val="21"/>
          <w:highlight w:val="none"/>
        </w:rPr>
        <w:t xml:space="preserve"> </w:t>
      </w:r>
      <w:r>
        <w:rPr>
          <w:rFonts w:ascii="宋体" w:hAnsi="宋体"/>
          <w:b/>
          <w:color w:val="auto"/>
          <w:szCs w:val="21"/>
          <w:highlight w:val="none"/>
        </w:rPr>
        <w:t>资格</w:t>
      </w:r>
      <w:r>
        <w:rPr>
          <w:rFonts w:hint="eastAsia" w:ascii="宋体" w:hAnsi="宋体"/>
          <w:b/>
          <w:color w:val="auto"/>
          <w:szCs w:val="21"/>
          <w:highlight w:val="none"/>
        </w:rPr>
        <w:t>文件应</w:t>
      </w:r>
      <w:r>
        <w:rPr>
          <w:rFonts w:ascii="宋体" w:hAnsi="宋体"/>
          <w:b/>
          <w:color w:val="auto"/>
          <w:szCs w:val="21"/>
          <w:highlight w:val="none"/>
        </w:rPr>
        <w:t>包括下列内容：</w:t>
      </w:r>
    </w:p>
    <w:p w14:paraId="4281F703">
      <w:pPr>
        <w:spacing w:line="460" w:lineRule="exact"/>
        <w:ind w:left="27" w:leftChars="13" w:firstLine="420" w:firstLineChars="200"/>
        <w:jc w:val="left"/>
        <w:rPr>
          <w:rFonts w:ascii="宋体" w:hAnsi="宋体" w:cs="宋体"/>
          <w:b/>
          <w:color w:val="auto"/>
          <w:kern w:val="0"/>
          <w:szCs w:val="21"/>
          <w:highlight w:val="none"/>
        </w:rPr>
      </w:pPr>
      <w:r>
        <w:rPr>
          <w:rFonts w:hint="eastAsia" w:ascii="宋体" w:hAnsi="宋体"/>
          <w:color w:val="auto"/>
          <w:szCs w:val="21"/>
          <w:highlight w:val="none"/>
        </w:rPr>
        <w:t>（1）</w:t>
      </w:r>
      <w:r>
        <w:rPr>
          <w:rFonts w:hint="eastAsia" w:ascii="宋体" w:hAnsi="宋体" w:cs="Courier New"/>
          <w:color w:val="auto"/>
          <w:spacing w:val="2"/>
          <w:szCs w:val="21"/>
          <w:highlight w:val="none"/>
        </w:rPr>
        <w:t>供应商为法人或者其他组织的须提供营业执照或事业单位法人证书或社会团体法人登记证书副本复印件，供应商为自然人的须提供身份证明复印件；</w:t>
      </w:r>
      <w:r>
        <w:rPr>
          <w:rFonts w:ascii="宋体" w:hAnsi="宋体" w:cs="宋体"/>
          <w:b/>
          <w:color w:val="auto"/>
          <w:kern w:val="0"/>
          <w:szCs w:val="21"/>
          <w:highlight w:val="none"/>
        </w:rPr>
        <w:t xml:space="preserve"> </w:t>
      </w:r>
    </w:p>
    <w:p w14:paraId="45050D76">
      <w:pPr>
        <w:spacing w:line="460" w:lineRule="exact"/>
        <w:ind w:left="28" w:firstLine="452"/>
        <w:jc w:val="left"/>
        <w:rPr>
          <w:rFonts w:ascii="宋体" w:hAnsi="宋体" w:cs="宋体"/>
          <w:b/>
          <w:color w:val="auto"/>
          <w:kern w:val="0"/>
          <w:szCs w:val="21"/>
          <w:highlight w:val="none"/>
        </w:rPr>
      </w:pPr>
      <w:r>
        <w:rPr>
          <w:rFonts w:hint="eastAsia" w:ascii="宋体" w:hAnsi="宋体" w:cs="Courier New"/>
          <w:color w:val="auto"/>
          <w:spacing w:val="2"/>
          <w:szCs w:val="21"/>
          <w:highlight w:val="none"/>
        </w:rPr>
        <w:t>（2）供应商有效的安全生产许可证复印件；</w:t>
      </w:r>
    </w:p>
    <w:p w14:paraId="48D2C3B8">
      <w:pPr>
        <w:widowControl/>
        <w:spacing w:line="460" w:lineRule="exact"/>
        <w:ind w:left="1062" w:leftChars="200" w:hanging="642" w:hangingChars="300"/>
        <w:jc w:val="left"/>
        <w:rPr>
          <w:rFonts w:ascii="宋体" w:hAnsi="宋体" w:cs="Courier New"/>
          <w:color w:val="auto"/>
          <w:spacing w:val="2"/>
          <w:szCs w:val="21"/>
          <w:highlight w:val="none"/>
        </w:rPr>
      </w:pPr>
      <w:r>
        <w:rPr>
          <w:rFonts w:hint="eastAsia" w:ascii="宋体" w:hAnsi="宋体" w:cs="Courier New"/>
          <w:color w:val="auto"/>
          <w:spacing w:val="2"/>
          <w:szCs w:val="21"/>
          <w:highlight w:val="none"/>
        </w:rPr>
        <w:t>（3）有效的</w:t>
      </w:r>
      <w:r>
        <w:rPr>
          <w:rFonts w:hint="eastAsia" w:ascii="宋体" w:hAnsi="宋体"/>
          <w:color w:val="auto"/>
          <w:szCs w:val="21"/>
          <w:highlight w:val="none"/>
        </w:rPr>
        <w:t>资质证书</w:t>
      </w:r>
      <w:r>
        <w:rPr>
          <w:rFonts w:hint="eastAsia" w:ascii="宋体" w:hAnsi="宋体" w:cs="Courier New"/>
          <w:color w:val="auto"/>
          <w:spacing w:val="2"/>
          <w:szCs w:val="21"/>
          <w:highlight w:val="none"/>
        </w:rPr>
        <w:t>副本复印件（</w:t>
      </w:r>
      <w:r>
        <w:rPr>
          <w:rFonts w:hint="eastAsia" w:ascii="宋体" w:hAnsi="宋体"/>
          <w:color w:val="auto"/>
          <w:szCs w:val="21"/>
          <w:highlight w:val="none"/>
          <w:lang w:eastAsia="zh-CN"/>
        </w:rPr>
        <w:t>水利水电工程施工总承包叁级（含叁级）</w:t>
      </w:r>
      <w:r>
        <w:rPr>
          <w:rFonts w:hint="eastAsia" w:ascii="宋体" w:hAnsi="宋体"/>
          <w:color w:val="auto"/>
          <w:szCs w:val="21"/>
          <w:highlight w:val="none"/>
        </w:rPr>
        <w:t>以上资质）</w:t>
      </w:r>
      <w:r>
        <w:rPr>
          <w:rFonts w:hint="eastAsia" w:ascii="宋体" w:hAnsi="宋体" w:cs="Courier New"/>
          <w:color w:val="auto"/>
          <w:spacing w:val="2"/>
          <w:szCs w:val="21"/>
          <w:highlight w:val="none"/>
        </w:rPr>
        <w:t>；</w:t>
      </w:r>
    </w:p>
    <w:p w14:paraId="4BCB2FF1">
      <w:pPr>
        <w:pStyle w:val="24"/>
        <w:spacing w:line="460" w:lineRule="exact"/>
        <w:ind w:firstLine="428" w:firstLineChars="200"/>
        <w:jc w:val="left"/>
        <w:rPr>
          <w:rFonts w:hAnsi="宋体" w:cs="Courier New"/>
          <w:color w:val="auto"/>
          <w:spacing w:val="2"/>
          <w:szCs w:val="21"/>
          <w:highlight w:val="none"/>
        </w:rPr>
      </w:pPr>
      <w:r>
        <w:rPr>
          <w:rFonts w:hint="eastAsia" w:hAnsi="宋体" w:cs="Courier New"/>
          <w:color w:val="auto"/>
          <w:spacing w:val="2"/>
          <w:szCs w:val="21"/>
          <w:highlight w:val="none"/>
        </w:rPr>
        <w:t>（4）拟投入本工程项目经理的身份证复印件、具备有效的</w:t>
      </w:r>
      <w:r>
        <w:rPr>
          <w:rFonts w:hint="eastAsia" w:hAnsi="宋体" w:cs="Courier New"/>
          <w:color w:val="auto"/>
          <w:spacing w:val="2"/>
          <w:szCs w:val="21"/>
          <w:highlight w:val="none"/>
          <w:lang w:eastAsia="zh-CN"/>
        </w:rPr>
        <w:t>水利水电工程</w:t>
      </w:r>
      <w:r>
        <w:rPr>
          <w:rFonts w:hint="eastAsia" w:hAnsi="宋体" w:cs="Courier New"/>
          <w:color w:val="auto"/>
          <w:spacing w:val="2"/>
          <w:szCs w:val="21"/>
          <w:highlight w:val="none"/>
        </w:rPr>
        <w:t>专业贰级（含贰级）以上</w:t>
      </w:r>
      <w:r>
        <w:rPr>
          <w:rFonts w:hint="eastAsia" w:hAnsi="宋体" w:cs="Courier New"/>
          <w:color w:val="auto"/>
          <w:spacing w:val="2"/>
          <w:szCs w:val="21"/>
          <w:highlight w:val="none"/>
          <w:lang w:eastAsia="zh-CN"/>
        </w:rPr>
        <w:t>建</w:t>
      </w:r>
      <w:r>
        <w:rPr>
          <w:rFonts w:hint="eastAsia" w:hAnsi="宋体" w:cs="Courier New"/>
          <w:color w:val="auto"/>
          <w:spacing w:val="2"/>
          <w:szCs w:val="21"/>
          <w:highlight w:val="none"/>
        </w:rPr>
        <w:t>造师注册证书复印件（要求注册单位为供应商单位）、安全生产考核合格证书（B类）复印件、在供应商单位缴纳的社保费的缴费证明复印件（要求缴费时间为磋商截止时间前半年内</w:t>
      </w:r>
      <w:r>
        <w:rPr>
          <w:rFonts w:hint="eastAsia" w:hAnsi="宋体" w:cs="Courier New"/>
          <w:color w:val="auto"/>
          <w:spacing w:val="2"/>
          <w:szCs w:val="21"/>
          <w:highlight w:val="none"/>
          <w:lang w:eastAsia="zh-CN"/>
        </w:rPr>
        <w:t>任意一</w:t>
      </w:r>
      <w:r>
        <w:rPr>
          <w:rFonts w:hint="eastAsia" w:hAnsi="宋体" w:cs="Courier New"/>
          <w:color w:val="auto"/>
          <w:spacing w:val="2"/>
          <w:szCs w:val="21"/>
          <w:highlight w:val="none"/>
        </w:rPr>
        <w:t>个月）；</w:t>
      </w:r>
    </w:p>
    <w:p w14:paraId="59B8334E">
      <w:pPr>
        <w:spacing w:line="460" w:lineRule="exact"/>
        <w:ind w:firstLine="420" w:firstLineChars="200"/>
        <w:jc w:val="left"/>
        <w:rPr>
          <w:rFonts w:ascii="宋体" w:hAnsi="宋体"/>
          <w:color w:val="auto"/>
          <w:szCs w:val="21"/>
          <w:highlight w:val="none"/>
        </w:rPr>
      </w:pPr>
      <w:r>
        <w:rPr>
          <w:rFonts w:hint="eastAsia" w:ascii="宋体" w:hAnsi="宋体" w:cs="宋体"/>
          <w:color w:val="auto"/>
          <w:szCs w:val="21"/>
          <w:highlight w:val="none"/>
        </w:rPr>
        <w:t>（5）</w:t>
      </w:r>
      <w:r>
        <w:rPr>
          <w:rFonts w:hint="eastAsia" w:ascii="宋体" w:hAnsi="宋体"/>
          <w:color w:val="auto"/>
          <w:szCs w:val="21"/>
          <w:highlight w:val="none"/>
        </w:rPr>
        <w:t>供应商参与政府采购活动前三年在经营活动中没有重大违法记录的书面声明函；</w:t>
      </w:r>
    </w:p>
    <w:p w14:paraId="61BAF5B7">
      <w:pPr>
        <w:spacing w:line="460" w:lineRule="exact"/>
        <w:ind w:firstLine="420" w:firstLineChars="200"/>
        <w:jc w:val="left"/>
        <w:rPr>
          <w:rFonts w:ascii="宋体" w:hAnsi="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lang w:eastAsia="zh-CN"/>
        </w:rPr>
        <w:t>2024年或2025年度</w:t>
      </w:r>
      <w:r>
        <w:rPr>
          <w:rFonts w:hint="eastAsia" w:ascii="宋体" w:hAnsi="宋体"/>
          <w:color w:val="auto"/>
          <w:szCs w:val="21"/>
          <w:highlight w:val="none"/>
        </w:rPr>
        <w:t>经会计师事务所或审计机构审计的财务会计报表复印件（必须包括资产负债表、现金流量表、利润表和财务情况说明书,新设立的企业按实际情况提供）,</w:t>
      </w:r>
      <w:r>
        <w:rPr>
          <w:rFonts w:hint="eastAsia" w:ascii="宋体" w:hAnsi="宋体" w:cs="Courier New"/>
          <w:color w:val="auto"/>
          <w:szCs w:val="21"/>
          <w:highlight w:val="none"/>
        </w:rPr>
        <w:t xml:space="preserve"> 或基本开户银行出具的资信证明</w:t>
      </w:r>
      <w:r>
        <w:rPr>
          <w:rFonts w:hint="eastAsia" w:ascii="宋体" w:hAnsi="宋体"/>
          <w:color w:val="auto"/>
          <w:szCs w:val="21"/>
          <w:highlight w:val="none"/>
        </w:rPr>
        <w:t>复印件</w:t>
      </w:r>
      <w:r>
        <w:rPr>
          <w:rFonts w:hint="eastAsia" w:ascii="宋体" w:hAnsi="宋体" w:cs="Courier New"/>
          <w:color w:val="auto"/>
          <w:spacing w:val="2"/>
          <w:szCs w:val="21"/>
          <w:highlight w:val="none"/>
        </w:rPr>
        <w:t>；</w:t>
      </w:r>
    </w:p>
    <w:p w14:paraId="4E237487">
      <w:pPr>
        <w:spacing w:line="460" w:lineRule="exact"/>
        <w:ind w:firstLine="420" w:firstLineChars="200"/>
        <w:jc w:val="left"/>
        <w:rPr>
          <w:rFonts w:ascii="宋体" w:hAnsi="宋体"/>
          <w:color w:val="auto"/>
          <w:szCs w:val="21"/>
          <w:highlight w:val="none"/>
        </w:rPr>
      </w:pPr>
      <w:r>
        <w:rPr>
          <w:rFonts w:hint="eastAsia" w:ascii="宋体" w:hAnsi="宋体"/>
          <w:color w:val="auto"/>
          <w:szCs w:val="21"/>
          <w:highlight w:val="none"/>
        </w:rPr>
        <w:t>（7）供应商在磋商截止时间当月前半年内</w:t>
      </w:r>
      <w:r>
        <w:rPr>
          <w:rFonts w:hint="eastAsia" w:ascii="宋体" w:hAnsi="宋体"/>
          <w:color w:val="auto"/>
          <w:szCs w:val="21"/>
          <w:highlight w:val="none"/>
        </w:rPr>
        <w:t>任意</w:t>
      </w:r>
      <w:r>
        <w:rPr>
          <w:rFonts w:hint="eastAsia" w:ascii="宋体" w:hAnsi="宋体"/>
          <w:color w:val="auto"/>
          <w:szCs w:val="21"/>
          <w:highlight w:val="none"/>
          <w:lang w:eastAsia="zh-CN"/>
        </w:rPr>
        <w:t>一</w:t>
      </w:r>
      <w:r>
        <w:rPr>
          <w:rFonts w:hint="eastAsia" w:ascii="宋体" w:hAnsi="宋体"/>
          <w:color w:val="auto"/>
          <w:szCs w:val="21"/>
          <w:highlight w:val="none"/>
        </w:rPr>
        <w:t>个月</w:t>
      </w:r>
      <w:r>
        <w:rPr>
          <w:rFonts w:hint="eastAsia" w:ascii="宋体" w:hAnsi="宋体"/>
          <w:color w:val="auto"/>
          <w:szCs w:val="21"/>
          <w:highlight w:val="none"/>
        </w:rPr>
        <w:t>的依法纳税的依法缴纳税费或依法免缴税费的证明材料复印件；无纳税记录的，应提供由供应商所在地主管国税、地税部门出具的《依法纳税或依法免税证明》复印件（新成立的供应商按实际情况提供，社会团体、协会不须提供）；</w:t>
      </w:r>
    </w:p>
    <w:p w14:paraId="7F36C5CE">
      <w:pPr>
        <w:spacing w:line="460" w:lineRule="exact"/>
        <w:ind w:firstLine="420" w:firstLineChars="200"/>
        <w:jc w:val="left"/>
        <w:rPr>
          <w:rFonts w:hint="eastAsia" w:ascii="宋体" w:hAnsi="宋体"/>
          <w:color w:val="auto"/>
          <w:szCs w:val="21"/>
          <w:highlight w:val="none"/>
        </w:rPr>
      </w:pPr>
      <w:bookmarkStart w:id="53" w:name="_Hlk86744247"/>
      <w:r>
        <w:rPr>
          <w:rFonts w:hint="eastAsia" w:ascii="宋体" w:hAnsi="宋体"/>
          <w:color w:val="auto"/>
          <w:szCs w:val="21"/>
          <w:highlight w:val="none"/>
        </w:rPr>
        <w:t>(8) 供应商在磋商截止之日前半年内供应商任意</w:t>
      </w:r>
      <w:r>
        <w:rPr>
          <w:rFonts w:hint="eastAsia" w:ascii="宋体" w:hAnsi="宋体"/>
          <w:color w:val="auto"/>
          <w:szCs w:val="21"/>
          <w:highlight w:val="none"/>
          <w:lang w:eastAsia="zh-CN"/>
        </w:rPr>
        <w:t>一</w:t>
      </w:r>
      <w:r>
        <w:rPr>
          <w:rFonts w:hint="eastAsia" w:ascii="宋体" w:hAnsi="宋体"/>
          <w:color w:val="auto"/>
          <w:szCs w:val="21"/>
          <w:highlight w:val="none"/>
        </w:rPr>
        <w:t>个月为拟投入本项目的主要管理人员依法缴纳</w:t>
      </w:r>
      <w:bookmarkStart w:id="54" w:name="_Hlk98924415"/>
      <w:r>
        <w:rPr>
          <w:rFonts w:hint="eastAsia" w:ascii="宋体" w:hAnsi="宋体"/>
          <w:color w:val="auto"/>
          <w:szCs w:val="21"/>
          <w:highlight w:val="none"/>
        </w:rPr>
        <w:t>社保费的缴费证明复印件</w:t>
      </w:r>
      <w:bookmarkEnd w:id="54"/>
      <w:r>
        <w:rPr>
          <w:rFonts w:hint="eastAsia" w:ascii="宋体" w:hAnsi="宋体"/>
          <w:color w:val="auto"/>
          <w:szCs w:val="21"/>
          <w:highlight w:val="none"/>
        </w:rPr>
        <w:t>；无缴费记录的，应提供由供应商所在地社保部门出具的《依法缴纳或依法免缴社保费证明》；</w:t>
      </w:r>
    </w:p>
    <w:p w14:paraId="120BC237">
      <w:pPr>
        <w:spacing w:line="460" w:lineRule="exact"/>
        <w:ind w:left="420" w:leftChars="200" w:firstLine="0" w:firstLineChars="0"/>
        <w:jc w:val="left"/>
        <w:rPr>
          <w:rFonts w:hint="eastAsia" w:ascii="宋体" w:hAnsi="宋体" w:cs="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9</w:t>
      </w:r>
      <w:r>
        <w:rPr>
          <w:rFonts w:hint="eastAsia" w:ascii="宋体" w:hAnsi="宋体"/>
          <w:color w:val="auto"/>
          <w:szCs w:val="21"/>
          <w:highlight w:val="none"/>
        </w:rPr>
        <w:t xml:space="preserve">) </w:t>
      </w:r>
      <w:r>
        <w:rPr>
          <w:rFonts w:hint="eastAsia" w:ascii="宋体" w:hAnsi="宋体" w:cs="宋体"/>
          <w:color w:val="auto"/>
          <w:szCs w:val="21"/>
          <w:highlight w:val="none"/>
          <w:lang w:val="en-US" w:eastAsia="zh-CN"/>
        </w:rPr>
        <w:t>供应商为中小企业/小微企业或</w:t>
      </w:r>
      <w:r>
        <w:rPr>
          <w:rFonts w:hint="eastAsia" w:ascii="宋体" w:hAnsi="宋体"/>
          <w:color w:val="auto"/>
          <w:szCs w:val="21"/>
          <w:highlight w:val="none"/>
          <w:lang w:val="en-US" w:eastAsia="zh-CN"/>
        </w:rPr>
        <w:t>供应商应为监狱企业或</w:t>
      </w:r>
      <w:r>
        <w:rPr>
          <w:rFonts w:hint="eastAsia" w:ascii="宋体" w:hAnsi="宋体" w:cs="宋体"/>
          <w:color w:val="auto"/>
          <w:szCs w:val="21"/>
          <w:highlight w:val="none"/>
          <w:lang w:val="en-US" w:eastAsia="zh-CN"/>
        </w:rPr>
        <w:t>供应商应为残疾人福利企业；（请根据要求上传《中小企业声明函》，格式以采购文件要求为准）。</w:t>
      </w:r>
    </w:p>
    <w:p w14:paraId="0F754CE2">
      <w:pPr>
        <w:spacing w:line="460" w:lineRule="exact"/>
        <w:ind w:left="420" w:leftChars="200" w:firstLine="0" w:firstLineChars="0"/>
        <w:jc w:val="left"/>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10</w:t>
      </w:r>
      <w:r>
        <w:rPr>
          <w:rFonts w:hint="eastAsia" w:ascii="宋体" w:hAnsi="宋体"/>
          <w:color w:val="auto"/>
          <w:szCs w:val="21"/>
          <w:highlight w:val="none"/>
        </w:rPr>
        <w:t>) 供应商认为需要提供的有关资料</w:t>
      </w:r>
      <w:r>
        <w:rPr>
          <w:rFonts w:hint="eastAsia" w:ascii="宋体" w:hAnsi="宋体"/>
          <w:color w:val="auto"/>
          <w:szCs w:val="21"/>
          <w:highlight w:val="none"/>
          <w:lang w:val="en-US" w:eastAsia="zh-CN"/>
        </w:rPr>
        <w:t>；</w:t>
      </w:r>
    </w:p>
    <w:bookmarkEnd w:id="51"/>
    <w:bookmarkEnd w:id="53"/>
    <w:p w14:paraId="41418DD2">
      <w:pPr>
        <w:pStyle w:val="24"/>
        <w:adjustRightInd w:val="0"/>
        <w:snapToGrid w:val="0"/>
        <w:spacing w:line="460" w:lineRule="exact"/>
        <w:ind w:firstLine="413" w:firstLineChars="196"/>
        <w:jc w:val="left"/>
        <w:rPr>
          <w:rFonts w:hAnsi="宋体"/>
          <w:b/>
          <w:color w:val="auto"/>
          <w:kern w:val="0"/>
          <w:szCs w:val="21"/>
          <w:highlight w:val="none"/>
        </w:rPr>
      </w:pPr>
      <w:bookmarkStart w:id="55" w:name="_Hlk86744419"/>
      <w:r>
        <w:rPr>
          <w:rFonts w:hint="eastAsia" w:hAnsi="宋体"/>
          <w:b/>
          <w:snapToGrid w:val="0"/>
          <w:color w:val="auto"/>
          <w:kern w:val="0"/>
          <w:szCs w:val="21"/>
          <w:highlight w:val="none"/>
        </w:rPr>
        <w:t>注：1.</w:t>
      </w:r>
      <w:r>
        <w:rPr>
          <w:rFonts w:hint="eastAsia" w:hAnsi="宋体"/>
          <w:b/>
          <w:color w:val="auto"/>
          <w:kern w:val="0"/>
          <w:szCs w:val="21"/>
          <w:highlight w:val="none"/>
        </w:rPr>
        <w:t>以上（1）</w:t>
      </w:r>
      <w:r>
        <w:rPr>
          <w:rFonts w:hint="eastAsia" w:hAnsi="宋体"/>
          <w:b/>
          <w:color w:val="auto"/>
          <w:kern w:val="0"/>
          <w:szCs w:val="21"/>
          <w:highlight w:val="none"/>
          <w:lang w:val="en-US" w:eastAsia="zh-CN"/>
        </w:rPr>
        <w:t>~</w:t>
      </w:r>
      <w:r>
        <w:rPr>
          <w:rFonts w:hint="eastAsia" w:hAnsi="宋体"/>
          <w:b/>
          <w:color w:val="auto"/>
          <w:kern w:val="0"/>
          <w:szCs w:val="21"/>
          <w:highlight w:val="none"/>
        </w:rPr>
        <w:t>（</w:t>
      </w:r>
      <w:r>
        <w:rPr>
          <w:rFonts w:hint="eastAsia" w:hAnsi="宋体"/>
          <w:b/>
          <w:color w:val="auto"/>
          <w:kern w:val="0"/>
          <w:szCs w:val="21"/>
          <w:highlight w:val="none"/>
          <w:lang w:val="en-US" w:eastAsia="zh-CN"/>
        </w:rPr>
        <w:t>8</w:t>
      </w:r>
      <w:r>
        <w:rPr>
          <w:rFonts w:hint="eastAsia" w:hAnsi="宋体"/>
          <w:b/>
          <w:color w:val="auto"/>
          <w:kern w:val="0"/>
          <w:szCs w:val="21"/>
          <w:highlight w:val="none"/>
        </w:rPr>
        <w:t>）材料须提供，否则视为无效磋商响应文件。</w:t>
      </w:r>
    </w:p>
    <w:p w14:paraId="05736382">
      <w:pPr>
        <w:tabs>
          <w:tab w:val="left" w:pos="3870"/>
          <w:tab w:val="left" w:pos="4085"/>
        </w:tabs>
        <w:snapToGrid w:val="0"/>
        <w:spacing w:line="460" w:lineRule="exact"/>
        <w:ind w:firstLine="422" w:firstLineChars="200"/>
        <w:jc w:val="left"/>
        <w:rPr>
          <w:rFonts w:ascii="宋体" w:hAnsi="宋体"/>
          <w:b/>
          <w:color w:val="auto"/>
          <w:kern w:val="0"/>
          <w:szCs w:val="21"/>
          <w:highlight w:val="none"/>
        </w:rPr>
      </w:pPr>
      <w:r>
        <w:rPr>
          <w:rFonts w:hint="eastAsia" w:ascii="宋体" w:hAnsi="宋体"/>
          <w:b/>
          <w:color w:val="auto"/>
          <w:kern w:val="0"/>
          <w:szCs w:val="21"/>
          <w:highlight w:val="none"/>
        </w:rPr>
        <w:t>2.供应商在“信用中国”网站、“中国政府采购网”的信用记录情况由采购代理查询提供，若查询结果不满足采购文件要求的响应文件将视为资格审查不合格。</w:t>
      </w:r>
    </w:p>
    <w:p w14:paraId="28EF7625">
      <w:pPr>
        <w:spacing w:line="460" w:lineRule="exact"/>
        <w:ind w:firstLine="422" w:firstLineChars="200"/>
        <w:rPr>
          <w:rFonts w:ascii="宋体" w:hAnsi="宋体"/>
          <w:b/>
          <w:color w:val="auto"/>
          <w:szCs w:val="21"/>
          <w:highlight w:val="none"/>
        </w:rPr>
      </w:pPr>
      <w:r>
        <w:rPr>
          <w:rFonts w:hint="eastAsia" w:ascii="宋体" w:hAnsi="宋体"/>
          <w:b/>
          <w:color w:val="auto"/>
          <w:szCs w:val="21"/>
          <w:highlight w:val="none"/>
        </w:rPr>
        <w:t>9</w:t>
      </w:r>
      <w:r>
        <w:rPr>
          <w:rFonts w:ascii="宋体" w:hAnsi="宋体"/>
          <w:b/>
          <w:color w:val="auto"/>
          <w:szCs w:val="21"/>
          <w:highlight w:val="none"/>
        </w:rPr>
        <w:t>.3</w:t>
      </w:r>
      <w:r>
        <w:rPr>
          <w:rFonts w:hint="eastAsia" w:ascii="宋体" w:hAnsi="宋体"/>
          <w:b/>
          <w:color w:val="auto"/>
          <w:szCs w:val="21"/>
          <w:highlight w:val="none"/>
        </w:rPr>
        <w:t xml:space="preserve"> </w:t>
      </w:r>
      <w:r>
        <w:rPr>
          <w:rFonts w:ascii="宋体" w:hAnsi="宋体"/>
          <w:b/>
          <w:color w:val="auto"/>
          <w:szCs w:val="21"/>
          <w:highlight w:val="none"/>
        </w:rPr>
        <w:t xml:space="preserve"> 商务</w:t>
      </w:r>
      <w:r>
        <w:rPr>
          <w:rFonts w:hint="eastAsia" w:ascii="宋体" w:hAnsi="宋体"/>
          <w:b/>
          <w:color w:val="auto"/>
          <w:szCs w:val="21"/>
          <w:highlight w:val="none"/>
        </w:rPr>
        <w:t>技术文件</w:t>
      </w:r>
    </w:p>
    <w:p w14:paraId="219AB864">
      <w:pPr>
        <w:spacing w:line="460" w:lineRule="exact"/>
        <w:ind w:firstLine="413" w:firstLineChars="196"/>
        <w:rPr>
          <w:rFonts w:ascii="宋体" w:hAnsi="宋体"/>
          <w:b/>
          <w:color w:val="auto"/>
          <w:szCs w:val="21"/>
          <w:highlight w:val="none"/>
        </w:rPr>
      </w:pPr>
      <w:r>
        <w:rPr>
          <w:rFonts w:hint="eastAsia" w:ascii="宋体" w:hAnsi="宋体"/>
          <w:b/>
          <w:color w:val="auto"/>
          <w:szCs w:val="21"/>
          <w:highlight w:val="none"/>
        </w:rPr>
        <w:t>9.3.1</w:t>
      </w:r>
      <w:r>
        <w:rPr>
          <w:rFonts w:ascii="宋体" w:hAnsi="宋体"/>
          <w:b/>
          <w:color w:val="auto"/>
          <w:szCs w:val="21"/>
          <w:highlight w:val="none"/>
        </w:rPr>
        <w:t>商务</w:t>
      </w:r>
      <w:r>
        <w:rPr>
          <w:rFonts w:hint="eastAsia" w:ascii="宋体" w:hAnsi="宋体"/>
          <w:b/>
          <w:color w:val="auto"/>
          <w:szCs w:val="21"/>
          <w:highlight w:val="none"/>
        </w:rPr>
        <w:t>文件应</w:t>
      </w:r>
      <w:r>
        <w:rPr>
          <w:rFonts w:ascii="宋体" w:hAnsi="宋体"/>
          <w:b/>
          <w:color w:val="auto"/>
          <w:szCs w:val="21"/>
          <w:highlight w:val="none"/>
        </w:rPr>
        <w:t>包括下列内容</w:t>
      </w:r>
      <w:r>
        <w:rPr>
          <w:rFonts w:hint="eastAsia" w:ascii="宋体" w:hAnsi="宋体"/>
          <w:b/>
          <w:color w:val="auto"/>
          <w:szCs w:val="21"/>
          <w:highlight w:val="none"/>
        </w:rPr>
        <w:t>：</w:t>
      </w:r>
    </w:p>
    <w:p w14:paraId="2EFEB1A3">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（1）诚信声明；</w:t>
      </w:r>
    </w:p>
    <w:p w14:paraId="43ED6C7B">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（2）法定代表人授权委托书和委托代理人身份证扫描件(授权委托代理时提供)；当法定代表人参加投标时，仅需提供法定代表人的身份证扫描件；</w:t>
      </w:r>
    </w:p>
    <w:p w14:paraId="246475C4">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（3）足额缴纳农民工工资的承诺书；</w:t>
      </w:r>
    </w:p>
    <w:p w14:paraId="2E805960">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（4）安全防护、文明施工措施方案的承诺书；</w:t>
      </w:r>
    </w:p>
    <w:p w14:paraId="5FEAF46D">
      <w:pPr>
        <w:spacing w:line="460" w:lineRule="exact"/>
        <w:ind w:firstLine="435"/>
        <w:rPr>
          <w:rFonts w:ascii="宋体" w:hAnsi="宋体" w:cs="宋体"/>
          <w:color w:val="auto"/>
          <w:szCs w:val="21"/>
          <w:highlight w:val="none"/>
        </w:rPr>
      </w:pPr>
      <w:r>
        <w:rPr>
          <w:rFonts w:hint="eastAsia" w:ascii="宋体" w:hAnsi="宋体" w:cs="宋体"/>
          <w:color w:val="auto"/>
          <w:szCs w:val="21"/>
          <w:highlight w:val="none"/>
        </w:rPr>
        <w:t>（5）中小企业声明函；</w:t>
      </w:r>
    </w:p>
    <w:p w14:paraId="77CE98F9">
      <w:pPr>
        <w:spacing w:line="460" w:lineRule="exact"/>
        <w:ind w:firstLine="435"/>
        <w:rPr>
          <w:rFonts w:ascii="宋体" w:hAnsi="宋体" w:cs="宋体"/>
          <w:color w:val="auto"/>
          <w:szCs w:val="21"/>
          <w:highlight w:val="none"/>
        </w:rPr>
      </w:pPr>
      <w:r>
        <w:rPr>
          <w:rFonts w:hint="eastAsia" w:ascii="宋体" w:hAnsi="宋体" w:cs="宋体"/>
          <w:color w:val="auto"/>
          <w:szCs w:val="21"/>
          <w:highlight w:val="none"/>
        </w:rPr>
        <w:t>（6）监狱企业证明；</w:t>
      </w:r>
    </w:p>
    <w:p w14:paraId="1DE9DDBF">
      <w:pPr>
        <w:pStyle w:val="24"/>
        <w:spacing w:line="460" w:lineRule="exact"/>
        <w:ind w:firstLine="420" w:firstLineChars="200"/>
        <w:rPr>
          <w:rFonts w:hAnsi="宋体" w:cs="宋体"/>
          <w:color w:val="auto"/>
          <w:szCs w:val="21"/>
          <w:highlight w:val="none"/>
        </w:rPr>
      </w:pPr>
      <w:r>
        <w:rPr>
          <w:rFonts w:hint="eastAsia" w:hAnsi="宋体" w:cs="宋体"/>
          <w:color w:val="auto"/>
          <w:szCs w:val="21"/>
          <w:highlight w:val="none"/>
        </w:rPr>
        <w:t>（7）残疾人福利性单位声明函；</w:t>
      </w:r>
    </w:p>
    <w:p w14:paraId="2FA2EEEF">
      <w:pPr>
        <w:pStyle w:val="24"/>
        <w:spacing w:line="460" w:lineRule="exact"/>
        <w:ind w:firstLine="420" w:firstLineChars="200"/>
        <w:rPr>
          <w:rFonts w:hAnsi="宋体"/>
          <w:color w:val="auto"/>
          <w:szCs w:val="21"/>
          <w:highlight w:val="none"/>
        </w:rPr>
      </w:pPr>
      <w:r>
        <w:rPr>
          <w:rFonts w:hint="eastAsia" w:hAnsi="宋体" w:cs="宋体"/>
          <w:color w:val="auto"/>
          <w:szCs w:val="21"/>
          <w:highlight w:val="none"/>
        </w:rPr>
        <w:t>（8）</w:t>
      </w:r>
      <w:r>
        <w:rPr>
          <w:rFonts w:hint="eastAsia" w:hAnsi="宋体"/>
          <w:color w:val="auto"/>
          <w:szCs w:val="21"/>
          <w:highlight w:val="none"/>
        </w:rPr>
        <w:t>供应商认为</w:t>
      </w:r>
      <w:r>
        <w:rPr>
          <w:rFonts w:hint="eastAsia" w:hAnsi="宋体" w:cs="宋体"/>
          <w:color w:val="auto"/>
          <w:szCs w:val="21"/>
          <w:highlight w:val="none"/>
        </w:rPr>
        <w:t>评标办法中需</w:t>
      </w:r>
      <w:r>
        <w:rPr>
          <w:rFonts w:hint="eastAsia" w:hAnsi="宋体"/>
          <w:color w:val="auto"/>
          <w:szCs w:val="21"/>
          <w:highlight w:val="none"/>
        </w:rPr>
        <w:t>提供的其他资料。</w:t>
      </w:r>
    </w:p>
    <w:p w14:paraId="22255829">
      <w:pPr>
        <w:pStyle w:val="24"/>
        <w:adjustRightInd w:val="0"/>
        <w:snapToGrid w:val="0"/>
        <w:spacing w:line="460" w:lineRule="exact"/>
        <w:ind w:firstLine="413" w:firstLineChars="196"/>
        <w:jc w:val="left"/>
        <w:rPr>
          <w:rFonts w:hAnsi="宋体"/>
          <w:b/>
          <w:color w:val="auto"/>
          <w:kern w:val="0"/>
          <w:szCs w:val="21"/>
          <w:highlight w:val="none"/>
        </w:rPr>
      </w:pPr>
      <w:r>
        <w:rPr>
          <w:rFonts w:hint="eastAsia" w:hAnsi="宋体"/>
          <w:b/>
          <w:snapToGrid w:val="0"/>
          <w:color w:val="auto"/>
          <w:kern w:val="0"/>
          <w:szCs w:val="21"/>
          <w:highlight w:val="none"/>
        </w:rPr>
        <w:t>注：</w:t>
      </w:r>
      <w:r>
        <w:rPr>
          <w:rFonts w:hint="eastAsia" w:hAnsi="宋体"/>
          <w:b/>
          <w:color w:val="auto"/>
          <w:kern w:val="0"/>
          <w:szCs w:val="21"/>
          <w:highlight w:val="none"/>
        </w:rPr>
        <w:t>以上（1）～（4）材料须提供，否则视为无效磋商响应文件。</w:t>
      </w:r>
    </w:p>
    <w:p w14:paraId="0C235A3D">
      <w:pPr>
        <w:spacing w:line="460" w:lineRule="exact"/>
        <w:ind w:firstLine="413" w:firstLineChars="196"/>
        <w:rPr>
          <w:rFonts w:ascii="宋体" w:hAnsi="宋体"/>
          <w:b/>
          <w:color w:val="auto"/>
          <w:szCs w:val="21"/>
          <w:highlight w:val="none"/>
        </w:rPr>
      </w:pPr>
      <w:r>
        <w:rPr>
          <w:rFonts w:hint="eastAsia" w:ascii="宋体" w:hAnsi="宋体"/>
          <w:b/>
          <w:color w:val="auto"/>
          <w:szCs w:val="21"/>
          <w:highlight w:val="none"/>
        </w:rPr>
        <w:t>9.3.2技术文件应</w:t>
      </w:r>
      <w:r>
        <w:rPr>
          <w:rFonts w:ascii="宋体" w:hAnsi="宋体"/>
          <w:b/>
          <w:color w:val="auto"/>
          <w:szCs w:val="21"/>
          <w:highlight w:val="none"/>
        </w:rPr>
        <w:t>包括下列内容</w:t>
      </w:r>
      <w:r>
        <w:rPr>
          <w:rFonts w:hint="eastAsia" w:ascii="宋体" w:hAnsi="宋体"/>
          <w:b/>
          <w:color w:val="auto"/>
          <w:szCs w:val="21"/>
          <w:highlight w:val="none"/>
        </w:rPr>
        <w:t>：</w:t>
      </w:r>
    </w:p>
    <w:p w14:paraId="6722983B">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（1）项目管理机构</w:t>
      </w:r>
      <w:r>
        <w:rPr>
          <w:rFonts w:hint="eastAsia" w:ascii="宋体" w:hAnsi="宋体" w:cs="Courier New"/>
          <w:color w:val="auto"/>
          <w:spacing w:val="2"/>
          <w:szCs w:val="21"/>
          <w:highlight w:val="none"/>
        </w:rPr>
        <w:t>；</w:t>
      </w:r>
    </w:p>
    <w:p w14:paraId="7BEAC83F">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①项目管理机构配备情况表；</w:t>
      </w:r>
    </w:p>
    <w:p w14:paraId="13CFF3DE">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②拟投入本工程项目经理的简历表；</w:t>
      </w:r>
    </w:p>
    <w:p w14:paraId="5393EFE5">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③项目管理机构配备情况辅助说明资料。</w:t>
      </w:r>
    </w:p>
    <w:p w14:paraId="1DFDB376">
      <w:pPr>
        <w:snapToGrid w:val="0"/>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（2）施工组织设计</w:t>
      </w:r>
      <w:r>
        <w:rPr>
          <w:rFonts w:hint="eastAsia" w:ascii="宋体" w:hAnsi="宋体" w:cs="Courier New"/>
          <w:color w:val="auto"/>
          <w:spacing w:val="2"/>
          <w:szCs w:val="21"/>
          <w:highlight w:val="none"/>
        </w:rPr>
        <w:t>；</w:t>
      </w:r>
    </w:p>
    <w:p w14:paraId="611E1F9F">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（3）供应商认为需要提供的有关资料。</w:t>
      </w:r>
    </w:p>
    <w:p w14:paraId="131DF06A">
      <w:pPr>
        <w:pStyle w:val="24"/>
        <w:adjustRightInd w:val="0"/>
        <w:snapToGrid w:val="0"/>
        <w:spacing w:line="460" w:lineRule="exact"/>
        <w:ind w:firstLine="413" w:firstLineChars="196"/>
        <w:jc w:val="left"/>
        <w:rPr>
          <w:rFonts w:hAnsi="宋体"/>
          <w:b/>
          <w:color w:val="auto"/>
          <w:kern w:val="0"/>
          <w:szCs w:val="21"/>
          <w:highlight w:val="none"/>
        </w:rPr>
      </w:pPr>
      <w:r>
        <w:rPr>
          <w:rFonts w:hint="eastAsia" w:hAnsi="宋体" w:cs="宋体"/>
          <w:b/>
          <w:color w:val="auto"/>
          <w:szCs w:val="21"/>
          <w:highlight w:val="none"/>
        </w:rPr>
        <w:t>注：以上（1）～（2）材料须提供</w:t>
      </w:r>
      <w:r>
        <w:rPr>
          <w:rFonts w:hint="eastAsia" w:hAnsi="宋体"/>
          <w:b/>
          <w:color w:val="auto"/>
          <w:kern w:val="0"/>
          <w:szCs w:val="21"/>
          <w:highlight w:val="none"/>
        </w:rPr>
        <w:t>，否则视为无效磋商响应文件。</w:t>
      </w:r>
    </w:p>
    <w:p w14:paraId="4F69218F">
      <w:pPr>
        <w:pStyle w:val="24"/>
        <w:adjustRightInd w:val="0"/>
        <w:snapToGrid w:val="0"/>
        <w:spacing w:line="460" w:lineRule="exact"/>
        <w:ind w:firstLine="413" w:firstLineChars="196"/>
        <w:jc w:val="left"/>
        <w:rPr>
          <w:rFonts w:hAnsi="宋体"/>
          <w:b/>
          <w:color w:val="auto"/>
          <w:kern w:val="0"/>
          <w:szCs w:val="21"/>
          <w:highlight w:val="none"/>
        </w:rPr>
      </w:pPr>
      <w:r>
        <w:rPr>
          <w:rFonts w:hint="eastAsia" w:hAnsi="宋体"/>
          <w:b/>
          <w:color w:val="auto"/>
          <w:kern w:val="0"/>
          <w:szCs w:val="21"/>
          <w:highlight w:val="none"/>
        </w:rPr>
        <w:t>9.4报价文件</w:t>
      </w:r>
    </w:p>
    <w:p w14:paraId="579E722F">
      <w:pPr>
        <w:pStyle w:val="24"/>
        <w:adjustRightInd w:val="0"/>
        <w:snapToGrid w:val="0"/>
        <w:spacing w:line="460" w:lineRule="exact"/>
        <w:ind w:firstLine="420" w:firstLineChars="200"/>
        <w:jc w:val="left"/>
        <w:rPr>
          <w:rFonts w:hAnsi="宋体"/>
          <w:b/>
          <w:color w:val="auto"/>
          <w:kern w:val="0"/>
          <w:szCs w:val="21"/>
          <w:highlight w:val="none"/>
        </w:rPr>
      </w:pPr>
      <w:r>
        <w:rPr>
          <w:rFonts w:hint="eastAsia" w:hAnsi="宋体"/>
          <w:color w:val="auto"/>
          <w:szCs w:val="21"/>
          <w:highlight w:val="none"/>
        </w:rPr>
        <w:t>（1）磋商函；</w:t>
      </w:r>
    </w:p>
    <w:p w14:paraId="6DFB3D39">
      <w:pPr>
        <w:spacing w:line="46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（2）已标价的工程量清单（必须按照采购人提供的工程量清单填写）；</w:t>
      </w:r>
    </w:p>
    <w:p w14:paraId="0052E467">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（3）</w:t>
      </w:r>
      <w:bookmarkStart w:id="56" w:name="_Hlk9585414"/>
      <w:r>
        <w:rPr>
          <w:rFonts w:hint="eastAsia" w:ascii="宋体" w:hAnsi="宋体"/>
          <w:color w:val="auto"/>
          <w:szCs w:val="21"/>
          <w:highlight w:val="none"/>
        </w:rPr>
        <w:t>供应商针对报价需要说明的其他文件和说明</w:t>
      </w:r>
      <w:bookmarkEnd w:id="56"/>
      <w:r>
        <w:rPr>
          <w:rFonts w:hint="eastAsia" w:ascii="宋体" w:hAnsi="宋体"/>
          <w:color w:val="auto"/>
          <w:szCs w:val="21"/>
          <w:highlight w:val="none"/>
        </w:rPr>
        <w:t>。</w:t>
      </w:r>
    </w:p>
    <w:p w14:paraId="523C96BC">
      <w:pPr>
        <w:pStyle w:val="24"/>
        <w:adjustRightInd w:val="0"/>
        <w:snapToGrid w:val="0"/>
        <w:spacing w:line="460" w:lineRule="exact"/>
        <w:ind w:firstLine="413" w:firstLineChars="196"/>
        <w:jc w:val="left"/>
        <w:rPr>
          <w:rFonts w:hAnsi="宋体" w:cs="宋体"/>
          <w:b/>
          <w:color w:val="auto"/>
          <w:szCs w:val="21"/>
          <w:highlight w:val="none"/>
        </w:rPr>
      </w:pPr>
      <w:r>
        <w:rPr>
          <w:rFonts w:hint="eastAsia" w:hAnsi="宋体" w:cs="宋体"/>
          <w:b/>
          <w:color w:val="auto"/>
          <w:szCs w:val="21"/>
          <w:highlight w:val="none"/>
        </w:rPr>
        <w:t>注：以上（1）～（2）材料须提供</w:t>
      </w:r>
      <w:r>
        <w:rPr>
          <w:rFonts w:hint="eastAsia" w:hAnsi="宋体"/>
          <w:b/>
          <w:color w:val="auto"/>
          <w:kern w:val="0"/>
          <w:szCs w:val="21"/>
          <w:highlight w:val="none"/>
        </w:rPr>
        <w:t>，否则视为无效磋商响应文件。</w:t>
      </w:r>
      <w:bookmarkEnd w:id="55"/>
    </w:p>
    <w:bookmarkEnd w:id="52"/>
    <w:p w14:paraId="453E2BF5">
      <w:pPr>
        <w:pStyle w:val="4"/>
        <w:spacing w:before="0" w:after="0" w:line="460" w:lineRule="exact"/>
        <w:rPr>
          <w:rFonts w:ascii="宋体" w:hAnsi="宋体" w:eastAsia="宋体"/>
          <w:color w:val="auto"/>
          <w:sz w:val="21"/>
          <w:szCs w:val="21"/>
          <w:highlight w:val="none"/>
        </w:rPr>
      </w:pPr>
      <w:bookmarkStart w:id="57" w:name="_Toc80818624"/>
      <w:bookmarkStart w:id="58" w:name="_Toc346264275"/>
      <w:bookmarkStart w:id="59" w:name="_Toc18682812"/>
      <w:bookmarkStart w:id="60" w:name="_Toc239659102"/>
      <w:bookmarkStart w:id="61" w:name="_Toc15725"/>
      <w:r>
        <w:rPr>
          <w:rFonts w:ascii="宋体" w:hAnsi="宋体" w:eastAsia="宋体"/>
          <w:color w:val="auto"/>
          <w:sz w:val="21"/>
          <w:szCs w:val="21"/>
          <w:highlight w:val="none"/>
        </w:rPr>
        <w:t>10.磋商有效期</w:t>
      </w:r>
      <w:bookmarkEnd w:id="57"/>
      <w:bookmarkEnd w:id="58"/>
      <w:bookmarkEnd w:id="59"/>
      <w:bookmarkEnd w:id="60"/>
      <w:bookmarkEnd w:id="61"/>
    </w:p>
    <w:p w14:paraId="7C72EA5D">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10.1 在</w:t>
      </w:r>
      <w:r>
        <w:rPr>
          <w:rFonts w:ascii="宋体" w:hAnsi="宋体"/>
          <w:color w:val="auto"/>
          <w:szCs w:val="21"/>
          <w:highlight w:val="none"/>
        </w:rPr>
        <w:t>前附表第</w:t>
      </w:r>
      <w:r>
        <w:rPr>
          <w:rFonts w:hint="eastAsia" w:ascii="宋体" w:hAnsi="宋体"/>
          <w:color w:val="auto"/>
          <w:szCs w:val="21"/>
          <w:highlight w:val="none"/>
        </w:rPr>
        <w:t>10</w:t>
      </w:r>
      <w:r>
        <w:rPr>
          <w:rFonts w:ascii="宋体" w:hAnsi="宋体"/>
          <w:color w:val="auto"/>
          <w:szCs w:val="21"/>
          <w:highlight w:val="none"/>
        </w:rPr>
        <w:t>项</w:t>
      </w:r>
      <w:r>
        <w:rPr>
          <w:rFonts w:hint="eastAsia" w:ascii="宋体" w:hAnsi="宋体"/>
          <w:color w:val="auto"/>
          <w:szCs w:val="21"/>
          <w:highlight w:val="none"/>
        </w:rPr>
        <w:t>规定的磋商有效期内，供应商不得要求撤销或修改其响应文件，有效期不足的响应文件将被拒绝。</w:t>
      </w:r>
    </w:p>
    <w:p w14:paraId="53C6EE83">
      <w:pPr>
        <w:spacing w:line="460" w:lineRule="exact"/>
        <w:ind w:firstLine="409" w:firstLineChars="195"/>
        <w:rPr>
          <w:rFonts w:ascii="宋体" w:hAnsi="宋体"/>
          <w:color w:val="auto"/>
          <w:szCs w:val="21"/>
          <w:highlight w:val="none"/>
        </w:rPr>
      </w:pPr>
      <w:r>
        <w:rPr>
          <w:rFonts w:hint="eastAsia" w:ascii="宋体" w:hAnsi="宋体"/>
          <w:color w:val="auto"/>
          <w:szCs w:val="21"/>
          <w:highlight w:val="none"/>
        </w:rPr>
        <w:t>10.2在原定磋商有效期满之前，如果出现特殊情况，</w:t>
      </w:r>
      <w:r>
        <w:rPr>
          <w:rFonts w:ascii="宋体" w:hAnsi="宋体"/>
          <w:color w:val="auto"/>
          <w:szCs w:val="21"/>
          <w:highlight w:val="none"/>
        </w:rPr>
        <w:t>经</w:t>
      </w:r>
      <w:r>
        <w:rPr>
          <w:rFonts w:hint="eastAsia" w:ascii="宋体" w:hAnsi="宋体"/>
          <w:color w:val="auto"/>
          <w:szCs w:val="21"/>
          <w:highlight w:val="none"/>
        </w:rPr>
        <w:t>政府采购监督管理部门</w:t>
      </w:r>
      <w:r>
        <w:rPr>
          <w:rFonts w:ascii="宋体" w:hAnsi="宋体"/>
          <w:color w:val="auto"/>
          <w:szCs w:val="21"/>
          <w:highlight w:val="none"/>
        </w:rPr>
        <w:t>核准，</w:t>
      </w:r>
      <w:r>
        <w:rPr>
          <w:rFonts w:hint="eastAsia" w:ascii="宋体" w:hAnsi="宋体"/>
          <w:color w:val="auto"/>
          <w:szCs w:val="21"/>
          <w:highlight w:val="none"/>
        </w:rPr>
        <w:t>采购人可以书面形式向供应商提出延长磋商有效期的要求，供应商须以书面形式予以答复。同意延长磋商有效期的供应商不允许修改其响应文件，在延长期内本须知第10条的规定仍然适用。</w:t>
      </w:r>
    </w:p>
    <w:p w14:paraId="78C329F0">
      <w:pPr>
        <w:pStyle w:val="4"/>
        <w:spacing w:before="0" w:after="0" w:line="460" w:lineRule="exact"/>
        <w:rPr>
          <w:rFonts w:ascii="宋体" w:hAnsi="宋体" w:eastAsia="宋体"/>
          <w:color w:val="auto"/>
          <w:sz w:val="21"/>
          <w:szCs w:val="21"/>
          <w:highlight w:val="none"/>
        </w:rPr>
      </w:pPr>
      <w:bookmarkStart w:id="62" w:name="_Toc18682813"/>
      <w:bookmarkStart w:id="63" w:name="_Toc346264276"/>
      <w:bookmarkStart w:id="64" w:name="_Toc239659103"/>
      <w:bookmarkStart w:id="65" w:name="_Toc80818625"/>
      <w:bookmarkStart w:id="66" w:name="_Toc16039"/>
      <w:r>
        <w:rPr>
          <w:rFonts w:ascii="宋体" w:hAnsi="宋体" w:eastAsia="宋体"/>
          <w:color w:val="auto"/>
          <w:sz w:val="21"/>
          <w:szCs w:val="21"/>
          <w:highlight w:val="none"/>
        </w:rPr>
        <w:t>11.</w:t>
      </w:r>
      <w:r>
        <w:rPr>
          <w:rFonts w:hint="eastAsia" w:ascii="宋体" w:hAnsi="宋体" w:eastAsia="宋体"/>
          <w:color w:val="auto"/>
          <w:sz w:val="21"/>
          <w:szCs w:val="21"/>
          <w:highlight w:val="none"/>
        </w:rPr>
        <w:t>磋商</w:t>
      </w:r>
      <w:r>
        <w:rPr>
          <w:rFonts w:ascii="宋体" w:hAnsi="宋体" w:eastAsia="宋体"/>
          <w:color w:val="auto"/>
          <w:sz w:val="21"/>
          <w:szCs w:val="21"/>
          <w:highlight w:val="none"/>
        </w:rPr>
        <w:t>保证金</w:t>
      </w:r>
      <w:bookmarkEnd w:id="62"/>
      <w:bookmarkEnd w:id="63"/>
      <w:bookmarkEnd w:id="64"/>
      <w:bookmarkEnd w:id="65"/>
      <w:bookmarkEnd w:id="66"/>
    </w:p>
    <w:p w14:paraId="64D3D7A5">
      <w:pPr>
        <w:spacing w:line="460" w:lineRule="exact"/>
        <w:rPr>
          <w:rFonts w:ascii="宋体" w:hAnsi="宋体"/>
          <w:color w:val="auto"/>
          <w:szCs w:val="21"/>
          <w:highlight w:val="none"/>
        </w:rPr>
      </w:pPr>
      <w:r>
        <w:rPr>
          <w:rFonts w:hint="eastAsia" w:ascii="宋体" w:hAnsi="宋体"/>
          <w:color w:val="auto"/>
          <w:szCs w:val="21"/>
          <w:highlight w:val="none"/>
        </w:rPr>
        <w:t xml:space="preserve">    本项目不收取磋商保证金</w:t>
      </w:r>
    </w:p>
    <w:p w14:paraId="79AE9D3B">
      <w:pPr>
        <w:tabs>
          <w:tab w:val="left" w:pos="458"/>
        </w:tabs>
        <w:spacing w:line="460" w:lineRule="exact"/>
        <w:rPr>
          <w:rFonts w:ascii="宋体" w:hAnsi="宋体"/>
          <w:b/>
          <w:color w:val="auto"/>
          <w:szCs w:val="21"/>
          <w:highlight w:val="none"/>
        </w:rPr>
      </w:pPr>
      <w:bookmarkStart w:id="67" w:name="_Toc239659104"/>
      <w:r>
        <w:rPr>
          <w:rFonts w:ascii="宋体" w:hAnsi="宋体"/>
          <w:b/>
          <w:color w:val="auto"/>
          <w:szCs w:val="21"/>
          <w:highlight w:val="none"/>
        </w:rPr>
        <w:t>12.磋商预备</w:t>
      </w:r>
      <w:bookmarkEnd w:id="67"/>
    </w:p>
    <w:p w14:paraId="5D68B56C">
      <w:pPr>
        <w:spacing w:line="460" w:lineRule="exact"/>
        <w:rPr>
          <w:rFonts w:ascii="宋体" w:hAnsi="宋体"/>
          <w:color w:val="auto"/>
          <w:szCs w:val="21"/>
          <w:highlight w:val="none"/>
        </w:rPr>
      </w:pPr>
      <w:r>
        <w:rPr>
          <w:rFonts w:ascii="宋体" w:hAnsi="宋体"/>
          <w:color w:val="auto"/>
          <w:szCs w:val="21"/>
          <w:highlight w:val="none"/>
        </w:rPr>
        <w:t xml:space="preserve">    12.1 勘察现场</w:t>
      </w:r>
    </w:p>
    <w:p w14:paraId="3ED62A79">
      <w:pPr>
        <w:spacing w:line="460" w:lineRule="exact"/>
        <w:ind w:firstLine="420" w:firstLineChars="200"/>
        <w:rPr>
          <w:rFonts w:ascii="宋体" w:hAnsi="宋体"/>
          <w:color w:val="auto"/>
          <w:szCs w:val="21"/>
          <w:highlight w:val="none"/>
        </w:rPr>
      </w:pPr>
      <w:r>
        <w:rPr>
          <w:rFonts w:ascii="宋体" w:hAnsi="宋体"/>
          <w:color w:val="auto"/>
          <w:szCs w:val="21"/>
          <w:highlight w:val="none"/>
        </w:rPr>
        <w:t>12.1.1</w:t>
      </w:r>
      <w:r>
        <w:rPr>
          <w:rFonts w:hint="eastAsia" w:ascii="宋体" w:hAnsi="宋体"/>
          <w:color w:val="auto"/>
          <w:szCs w:val="21"/>
          <w:highlight w:val="none"/>
        </w:rPr>
        <w:t>采购人不组织现场踏勘</w:t>
      </w:r>
    </w:p>
    <w:p w14:paraId="643FB188">
      <w:pPr>
        <w:spacing w:line="460" w:lineRule="exact"/>
        <w:ind w:firstLine="480"/>
        <w:rPr>
          <w:rFonts w:ascii="宋体" w:hAnsi="宋体"/>
          <w:color w:val="auto"/>
          <w:szCs w:val="21"/>
          <w:highlight w:val="none"/>
        </w:rPr>
      </w:pPr>
      <w:r>
        <w:rPr>
          <w:rFonts w:ascii="宋体" w:hAnsi="宋体"/>
          <w:color w:val="auto"/>
          <w:szCs w:val="21"/>
          <w:highlight w:val="none"/>
        </w:rPr>
        <w:t>12.2 磋商答疑</w:t>
      </w:r>
    </w:p>
    <w:p w14:paraId="1DB03614">
      <w:pPr>
        <w:spacing w:line="460" w:lineRule="exact"/>
        <w:ind w:firstLine="480"/>
        <w:rPr>
          <w:rFonts w:ascii="宋体" w:hAnsi="宋体"/>
          <w:color w:val="auto"/>
          <w:szCs w:val="21"/>
          <w:highlight w:val="none"/>
        </w:rPr>
      </w:pPr>
      <w:r>
        <w:rPr>
          <w:rFonts w:ascii="宋体" w:hAnsi="宋体"/>
          <w:color w:val="auto"/>
          <w:szCs w:val="21"/>
          <w:highlight w:val="none"/>
        </w:rPr>
        <w:t xml:space="preserve">12.2.1 </w:t>
      </w:r>
      <w:r>
        <w:rPr>
          <w:rFonts w:hint="eastAsia" w:ascii="宋体" w:hAnsi="宋体"/>
          <w:color w:val="auto"/>
          <w:szCs w:val="21"/>
          <w:highlight w:val="none"/>
        </w:rPr>
        <w:t>供应商</w:t>
      </w:r>
      <w:r>
        <w:rPr>
          <w:rFonts w:ascii="宋体" w:hAnsi="宋体"/>
          <w:color w:val="auto"/>
          <w:szCs w:val="21"/>
          <w:highlight w:val="none"/>
        </w:rPr>
        <w:t>提出的与磋商有关的任何问题须在磋商截止日期前，以书面形式送达采购人处。如果</w:t>
      </w:r>
      <w:r>
        <w:rPr>
          <w:rFonts w:hint="eastAsia" w:ascii="宋体" w:hAnsi="宋体"/>
          <w:color w:val="auto"/>
          <w:szCs w:val="21"/>
          <w:highlight w:val="none"/>
        </w:rPr>
        <w:t>供应商</w:t>
      </w:r>
      <w:r>
        <w:rPr>
          <w:rFonts w:ascii="宋体" w:hAnsi="宋体"/>
          <w:color w:val="auto"/>
          <w:szCs w:val="21"/>
          <w:highlight w:val="none"/>
        </w:rPr>
        <w:t>在规定的时间内提出的问题在</w:t>
      </w:r>
      <w:r>
        <w:rPr>
          <w:rFonts w:hint="eastAsia" w:ascii="宋体" w:hAnsi="宋体"/>
          <w:color w:val="auto"/>
          <w:szCs w:val="21"/>
          <w:highlight w:val="none"/>
        </w:rPr>
        <w:t>采购</w:t>
      </w:r>
      <w:r>
        <w:rPr>
          <w:rFonts w:ascii="宋体" w:hAnsi="宋体"/>
          <w:color w:val="auto"/>
          <w:szCs w:val="21"/>
          <w:highlight w:val="none"/>
        </w:rPr>
        <w:t>补遗文件中未得到书面解答的，应立即以书面形式报告</w:t>
      </w:r>
      <w:r>
        <w:rPr>
          <w:rFonts w:hint="eastAsia" w:ascii="宋体" w:hAnsi="宋体"/>
          <w:color w:val="auto"/>
          <w:szCs w:val="21"/>
          <w:highlight w:val="none"/>
        </w:rPr>
        <w:t>政府采购监督管理部门</w:t>
      </w:r>
      <w:r>
        <w:rPr>
          <w:rFonts w:ascii="宋体" w:hAnsi="宋体"/>
          <w:color w:val="auto"/>
          <w:szCs w:val="21"/>
          <w:highlight w:val="none"/>
        </w:rPr>
        <w:t>，否则将视为提出的问题不再需要答复。</w:t>
      </w:r>
    </w:p>
    <w:p w14:paraId="7FE6F3C9">
      <w:pPr>
        <w:spacing w:line="460" w:lineRule="exact"/>
        <w:ind w:firstLine="435"/>
        <w:rPr>
          <w:rFonts w:ascii="宋体" w:hAnsi="宋体"/>
          <w:color w:val="auto"/>
          <w:szCs w:val="21"/>
          <w:highlight w:val="none"/>
        </w:rPr>
      </w:pPr>
      <w:r>
        <w:rPr>
          <w:rFonts w:ascii="宋体" w:hAnsi="宋体"/>
          <w:color w:val="auto"/>
          <w:szCs w:val="21"/>
          <w:highlight w:val="none"/>
        </w:rPr>
        <w:t>12.2.</w:t>
      </w:r>
      <w:r>
        <w:rPr>
          <w:rFonts w:hint="eastAsia" w:ascii="宋体" w:hAnsi="宋体"/>
          <w:color w:val="auto"/>
          <w:szCs w:val="21"/>
          <w:highlight w:val="none"/>
        </w:rPr>
        <w:t>2</w:t>
      </w:r>
      <w:r>
        <w:rPr>
          <w:rFonts w:ascii="宋体" w:hAnsi="宋体"/>
          <w:color w:val="auto"/>
          <w:szCs w:val="21"/>
          <w:highlight w:val="none"/>
        </w:rPr>
        <w:t xml:space="preserve"> </w:t>
      </w:r>
      <w:r>
        <w:rPr>
          <w:rFonts w:hint="eastAsia" w:ascii="宋体" w:hAnsi="宋体"/>
          <w:color w:val="auto"/>
          <w:szCs w:val="21"/>
          <w:highlight w:val="none"/>
        </w:rPr>
        <w:t>采购</w:t>
      </w:r>
      <w:r>
        <w:rPr>
          <w:rFonts w:ascii="宋体" w:hAnsi="宋体"/>
          <w:color w:val="auto"/>
          <w:szCs w:val="21"/>
          <w:highlight w:val="none"/>
        </w:rPr>
        <w:t>补遗文件包括所有问题和答复，补遗文件将迅速提供给所有获得磋商文件的</w:t>
      </w:r>
      <w:r>
        <w:rPr>
          <w:rFonts w:hint="eastAsia" w:ascii="宋体" w:hAnsi="宋体"/>
          <w:color w:val="auto"/>
          <w:szCs w:val="21"/>
          <w:highlight w:val="none"/>
        </w:rPr>
        <w:t>供应商</w:t>
      </w:r>
      <w:r>
        <w:rPr>
          <w:rFonts w:ascii="宋体" w:hAnsi="宋体"/>
          <w:color w:val="auto"/>
          <w:szCs w:val="21"/>
          <w:highlight w:val="none"/>
        </w:rPr>
        <w:t>。由于</w:t>
      </w:r>
      <w:r>
        <w:rPr>
          <w:rFonts w:hint="eastAsia" w:ascii="宋体" w:hAnsi="宋体"/>
          <w:color w:val="auto"/>
          <w:szCs w:val="21"/>
          <w:highlight w:val="none"/>
        </w:rPr>
        <w:t>供应商</w:t>
      </w:r>
      <w:r>
        <w:rPr>
          <w:rFonts w:ascii="宋体" w:hAnsi="宋体"/>
          <w:color w:val="auto"/>
          <w:szCs w:val="21"/>
          <w:highlight w:val="none"/>
        </w:rPr>
        <w:t>书面提出而产生的对本须知4.1款中所列磋商文件的修改，由采购人按照本须知第6条的规定，以补充通知的方式发出。</w:t>
      </w:r>
    </w:p>
    <w:p w14:paraId="0DCA4067">
      <w:pPr>
        <w:pStyle w:val="4"/>
        <w:spacing w:before="0" w:after="0" w:line="460" w:lineRule="exact"/>
        <w:rPr>
          <w:rFonts w:ascii="宋体" w:hAnsi="宋体" w:eastAsia="宋体"/>
          <w:color w:val="auto"/>
          <w:sz w:val="21"/>
          <w:szCs w:val="21"/>
          <w:highlight w:val="none"/>
        </w:rPr>
      </w:pPr>
      <w:bookmarkStart w:id="68" w:name="_Toc18682814"/>
      <w:bookmarkStart w:id="69" w:name="_Toc20461"/>
      <w:bookmarkStart w:id="70" w:name="_Toc80818626"/>
      <w:bookmarkStart w:id="71" w:name="_Toc239659105"/>
      <w:bookmarkStart w:id="72" w:name="_Toc346264277"/>
      <w:r>
        <w:rPr>
          <w:rFonts w:ascii="宋体" w:hAnsi="宋体" w:eastAsia="宋体"/>
          <w:color w:val="auto"/>
          <w:sz w:val="21"/>
          <w:szCs w:val="21"/>
          <w:highlight w:val="none"/>
        </w:rPr>
        <w:t>13.</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的份数和签署</w:t>
      </w:r>
      <w:bookmarkEnd w:id="68"/>
      <w:bookmarkEnd w:id="69"/>
      <w:bookmarkEnd w:id="70"/>
      <w:bookmarkEnd w:id="71"/>
      <w:bookmarkEnd w:id="72"/>
    </w:p>
    <w:p w14:paraId="50468983">
      <w:pPr>
        <w:spacing w:line="460" w:lineRule="exact"/>
        <w:ind w:firstLine="457" w:firstLineChars="218"/>
        <w:rPr>
          <w:rFonts w:ascii="宋体" w:hAnsi="宋体"/>
          <w:color w:val="auto"/>
          <w:szCs w:val="21"/>
          <w:highlight w:val="none"/>
        </w:rPr>
      </w:pPr>
      <w:r>
        <w:rPr>
          <w:rFonts w:ascii="宋体" w:hAnsi="宋体"/>
          <w:color w:val="auto"/>
          <w:szCs w:val="21"/>
          <w:highlight w:val="none"/>
        </w:rPr>
        <w:t xml:space="preserve">13.1 </w:t>
      </w:r>
      <w:r>
        <w:rPr>
          <w:rFonts w:hint="eastAsia" w:ascii="宋体" w:hAnsi="宋体"/>
          <w:color w:val="auto"/>
          <w:szCs w:val="21"/>
          <w:highlight w:val="none"/>
        </w:rPr>
        <w:t>供应商</w:t>
      </w:r>
      <w:r>
        <w:rPr>
          <w:rFonts w:ascii="宋体" w:hAnsi="宋体"/>
          <w:color w:val="auto"/>
          <w:szCs w:val="21"/>
          <w:highlight w:val="none"/>
        </w:rPr>
        <w:t>按本须知“前附表第</w:t>
      </w:r>
      <w:r>
        <w:rPr>
          <w:rFonts w:hint="eastAsia" w:ascii="宋体" w:hAnsi="宋体"/>
          <w:color w:val="auto"/>
          <w:szCs w:val="21"/>
          <w:highlight w:val="none"/>
        </w:rPr>
        <w:t>16</w:t>
      </w:r>
      <w:r>
        <w:rPr>
          <w:rFonts w:ascii="宋体" w:hAnsi="宋体"/>
          <w:color w:val="auto"/>
          <w:szCs w:val="21"/>
          <w:highlight w:val="none"/>
        </w:rPr>
        <w:t>项”的规定，编制</w:t>
      </w:r>
      <w:r>
        <w:rPr>
          <w:rFonts w:hint="eastAsia" w:ascii="宋体" w:hAnsi="宋体"/>
          <w:snapToGrid w:val="0"/>
          <w:color w:val="auto"/>
          <w:szCs w:val="21"/>
          <w:highlight w:val="none"/>
        </w:rPr>
        <w:t>电子加密响应文件及电子备份响应文件</w:t>
      </w:r>
      <w:r>
        <w:rPr>
          <w:rFonts w:ascii="宋体" w:hAnsi="宋体"/>
          <w:color w:val="auto"/>
          <w:szCs w:val="21"/>
          <w:highlight w:val="none"/>
        </w:rPr>
        <w:t>。</w:t>
      </w:r>
    </w:p>
    <w:p w14:paraId="2D85937A">
      <w:pPr>
        <w:spacing w:line="460" w:lineRule="exact"/>
        <w:ind w:firstLine="409" w:firstLineChars="195"/>
        <w:rPr>
          <w:rFonts w:ascii="宋体" w:hAnsi="宋体"/>
          <w:color w:val="auto"/>
          <w:szCs w:val="21"/>
          <w:highlight w:val="none"/>
        </w:rPr>
      </w:pPr>
      <w:r>
        <w:rPr>
          <w:rFonts w:ascii="宋体" w:hAnsi="宋体"/>
          <w:color w:val="auto"/>
          <w:szCs w:val="21"/>
          <w:highlight w:val="none"/>
        </w:rPr>
        <w:t>13.2</w:t>
      </w:r>
      <w:r>
        <w:rPr>
          <w:rFonts w:hint="eastAsia" w:ascii="宋体" w:hAnsi="宋体"/>
          <w:color w:val="auto"/>
          <w:szCs w:val="21"/>
          <w:highlight w:val="none"/>
        </w:rPr>
        <w:t>供应商应按本磋商文件规定的格式和顺序编制响应文件并标注页码，响应文件内容不完整、编排混乱导致磋商文件被误读、漏读或者查找不到相关内容的，是供应商的责任。供应商的响应文件应按磋商文件提供格式的规定位置加盖供应商单位公章，法定代表人或授权委托代理人签署。</w:t>
      </w:r>
    </w:p>
    <w:p w14:paraId="51AB41BA">
      <w:pPr>
        <w:adjustRightInd w:val="0"/>
        <w:snapToGrid w:val="0"/>
        <w:spacing w:line="460" w:lineRule="exact"/>
        <w:ind w:firstLine="420"/>
        <w:jc w:val="left"/>
        <w:rPr>
          <w:rFonts w:ascii="宋体" w:hAnsi="宋体" w:cs="仿宋_GB2312"/>
          <w:b/>
          <w:color w:val="auto"/>
          <w:kern w:val="0"/>
          <w:szCs w:val="21"/>
          <w:highlight w:val="none"/>
          <w:lang w:val="zh-CN"/>
        </w:rPr>
      </w:pPr>
      <w:bookmarkStart w:id="73" w:name="_Hlk87631003"/>
      <w:r>
        <w:rPr>
          <w:rFonts w:hint="eastAsia" w:ascii="宋体" w:hAnsi="宋体"/>
          <w:b/>
          <w:snapToGrid w:val="0"/>
          <w:color w:val="auto"/>
          <w:szCs w:val="21"/>
          <w:highlight w:val="none"/>
        </w:rPr>
        <w:t>响应文件（包含电子备份响应文件），其中电子响应文件中所须加盖单位公章部分均采用 CA 签章。若磋商文件中有专门标注的某关联点，并要求供应商在电子投标系统中作出磋商响应的，如供应商未对关联点进行响应或者在响应文件其它内容进行描述，造成电子评审不能查询的责任</w:t>
      </w:r>
      <w:r>
        <w:rPr>
          <w:rFonts w:hint="eastAsia" w:ascii="宋体" w:hAnsi="宋体" w:cs="仿宋_GB2312"/>
          <w:b/>
          <w:color w:val="auto"/>
          <w:kern w:val="0"/>
          <w:szCs w:val="21"/>
          <w:highlight w:val="none"/>
          <w:lang w:val="zh-CN"/>
        </w:rPr>
        <w:t>由</w:t>
      </w:r>
      <w:r>
        <w:rPr>
          <w:rFonts w:hint="eastAsia" w:ascii="宋体" w:hAnsi="宋体"/>
          <w:b/>
          <w:snapToGrid w:val="0"/>
          <w:color w:val="auto"/>
          <w:szCs w:val="21"/>
          <w:highlight w:val="none"/>
        </w:rPr>
        <w:t>供应商</w:t>
      </w:r>
      <w:r>
        <w:rPr>
          <w:rFonts w:hint="eastAsia" w:ascii="宋体" w:hAnsi="宋体" w:cs="仿宋_GB2312"/>
          <w:b/>
          <w:color w:val="auto"/>
          <w:kern w:val="0"/>
          <w:szCs w:val="21"/>
          <w:highlight w:val="none"/>
          <w:lang w:val="zh-CN"/>
        </w:rPr>
        <w:t>自行承担。</w:t>
      </w:r>
    </w:p>
    <w:bookmarkEnd w:id="73"/>
    <w:p w14:paraId="787FFA9B">
      <w:pPr>
        <w:spacing w:line="460" w:lineRule="exact"/>
        <w:ind w:firstLine="409" w:firstLineChars="195"/>
        <w:rPr>
          <w:rFonts w:ascii="宋体" w:hAnsi="宋体" w:cs="仿宋_GB2312"/>
          <w:color w:val="auto"/>
          <w:kern w:val="0"/>
          <w:szCs w:val="21"/>
          <w:highlight w:val="none"/>
          <w:lang w:val="zh-CN"/>
        </w:rPr>
      </w:pPr>
      <w:r>
        <w:rPr>
          <w:rFonts w:ascii="宋体" w:hAnsi="宋体"/>
          <w:color w:val="auto"/>
          <w:szCs w:val="21"/>
          <w:highlight w:val="none"/>
        </w:rPr>
        <w:t>13.3</w:t>
      </w:r>
      <w:r>
        <w:rPr>
          <w:rFonts w:hint="eastAsia" w:ascii="宋体" w:hAnsi="宋体" w:cs="仿宋_GB2312"/>
          <w:color w:val="auto"/>
          <w:kern w:val="0"/>
          <w:szCs w:val="21"/>
          <w:highlight w:val="none"/>
          <w:lang w:val="zh-CN"/>
        </w:rPr>
        <w:t>响应文件不得涂改，若有修改错漏处，须加盖单位公章或者法定代表人或授权委托人签</w:t>
      </w:r>
      <w:r>
        <w:rPr>
          <w:rFonts w:hint="eastAsia" w:ascii="宋体" w:hAnsi="宋体"/>
          <w:color w:val="auto"/>
          <w:szCs w:val="21"/>
          <w:highlight w:val="none"/>
        </w:rPr>
        <w:t>署</w:t>
      </w:r>
      <w:r>
        <w:rPr>
          <w:rFonts w:hint="eastAsia" w:ascii="宋体" w:hAnsi="宋体" w:cs="仿宋_GB2312"/>
          <w:color w:val="auto"/>
          <w:kern w:val="0"/>
          <w:szCs w:val="21"/>
          <w:highlight w:val="none"/>
          <w:lang w:val="zh-CN"/>
        </w:rPr>
        <w:t>。响应文件因扫描不清晰或乱码或表达不清所引起的后果由</w:t>
      </w:r>
      <w:r>
        <w:rPr>
          <w:rFonts w:hint="eastAsia" w:ascii="宋体" w:hAnsi="宋体"/>
          <w:color w:val="auto"/>
          <w:szCs w:val="21"/>
          <w:highlight w:val="none"/>
        </w:rPr>
        <w:t>供应商</w:t>
      </w:r>
      <w:r>
        <w:rPr>
          <w:rFonts w:hint="eastAsia" w:ascii="宋体" w:hAnsi="宋体" w:cs="仿宋_GB2312"/>
          <w:color w:val="auto"/>
          <w:kern w:val="0"/>
          <w:szCs w:val="21"/>
          <w:highlight w:val="none"/>
          <w:lang w:val="zh-CN"/>
        </w:rPr>
        <w:t>负责。</w:t>
      </w:r>
    </w:p>
    <w:p w14:paraId="2E68565B">
      <w:pPr>
        <w:adjustRightInd w:val="0"/>
        <w:snapToGrid w:val="0"/>
        <w:spacing w:line="460" w:lineRule="exact"/>
        <w:ind w:firstLine="420"/>
        <w:jc w:val="left"/>
        <w:rPr>
          <w:rFonts w:ascii="宋体" w:hAnsi="宋体" w:cs="仿宋_GB2312"/>
          <w:color w:val="auto"/>
          <w:kern w:val="0"/>
          <w:szCs w:val="21"/>
          <w:highlight w:val="none"/>
          <w:lang w:val="zh-CN"/>
        </w:rPr>
      </w:pPr>
      <w:bookmarkStart w:id="74" w:name="_Hlk87631030"/>
      <w:r>
        <w:rPr>
          <w:rFonts w:hint="eastAsia" w:ascii="宋体" w:hAnsi="宋体" w:cs="仿宋_GB2312"/>
          <w:color w:val="auto"/>
          <w:kern w:val="0"/>
          <w:szCs w:val="21"/>
          <w:highlight w:val="none"/>
          <w:lang w:val="zh-CN"/>
        </w:rPr>
        <w:t>13.4</w:t>
      </w:r>
      <w:r>
        <w:rPr>
          <w:rFonts w:hint="eastAsia" w:ascii="宋体" w:hAnsi="宋体"/>
          <w:color w:val="auto"/>
          <w:szCs w:val="21"/>
          <w:highlight w:val="none"/>
        </w:rPr>
        <w:t>供应商</w:t>
      </w:r>
      <w:r>
        <w:rPr>
          <w:rFonts w:hint="eastAsia" w:ascii="宋体" w:hAnsi="宋体" w:cs="仿宋_GB2312"/>
          <w:color w:val="auto"/>
          <w:kern w:val="0"/>
          <w:szCs w:val="21"/>
          <w:highlight w:val="none"/>
          <w:lang w:val="zh-CN"/>
        </w:rPr>
        <w:t>应将电子备份响应文件装入到一个响应文件袋内加以密封（要求文件袋无明显缝隙露出袋内文件），电子备份响应文件袋在每一封贴处密封签章（公章、密封章、法定代表人（负责人）、委托代理人签字等均可）。电子备份响应文件袋外层包装封面上应标记“供应商名称、供应商地址、项目名称、项目编号、所投分标及磋商截止时间前不得启封”字样。逾期送达或者未按照磋商文件要求密封的电子备份响应文件将被拒</w:t>
      </w:r>
      <w:r>
        <w:rPr>
          <w:rFonts w:hint="eastAsia" w:ascii="宋体" w:hAnsi="宋体" w:cs="Arial"/>
          <w:color w:val="auto"/>
          <w:kern w:val="0"/>
          <w:szCs w:val="21"/>
          <w:highlight w:val="none"/>
        </w:rPr>
        <w:t>收</w:t>
      </w:r>
      <w:r>
        <w:rPr>
          <w:rFonts w:hint="eastAsia" w:ascii="宋体" w:hAnsi="宋体" w:cs="仿宋_GB2312"/>
          <w:color w:val="auto"/>
          <w:kern w:val="0"/>
          <w:szCs w:val="21"/>
          <w:highlight w:val="none"/>
          <w:lang w:val="zh-CN"/>
        </w:rPr>
        <w:t>，由此造成电子备份响应文件被误投或提前拆封的风险由</w:t>
      </w:r>
      <w:r>
        <w:rPr>
          <w:rFonts w:hint="eastAsia" w:ascii="宋体" w:hAnsi="宋体"/>
          <w:color w:val="auto"/>
          <w:szCs w:val="21"/>
          <w:highlight w:val="none"/>
        </w:rPr>
        <w:t>供应商</w:t>
      </w:r>
      <w:r>
        <w:rPr>
          <w:rFonts w:hint="eastAsia" w:ascii="宋体" w:hAnsi="宋体" w:cs="仿宋_GB2312"/>
          <w:color w:val="auto"/>
          <w:kern w:val="0"/>
          <w:szCs w:val="21"/>
          <w:highlight w:val="none"/>
          <w:lang w:val="zh-CN"/>
        </w:rPr>
        <w:t>承担。</w:t>
      </w:r>
    </w:p>
    <w:bookmarkEnd w:id="74"/>
    <w:p w14:paraId="74E5487C">
      <w:pPr>
        <w:pStyle w:val="4"/>
        <w:spacing w:before="0" w:after="0" w:line="460" w:lineRule="exact"/>
        <w:rPr>
          <w:rFonts w:ascii="宋体" w:hAnsi="宋体" w:eastAsia="宋体"/>
          <w:color w:val="auto"/>
          <w:sz w:val="21"/>
          <w:szCs w:val="21"/>
          <w:highlight w:val="none"/>
        </w:rPr>
      </w:pPr>
      <w:bookmarkStart w:id="75" w:name="_Toc80818627"/>
      <w:bookmarkStart w:id="76" w:name="_Toc346264278"/>
      <w:bookmarkStart w:id="77" w:name="_Toc236"/>
      <w:bookmarkStart w:id="78" w:name="_Toc239659106"/>
      <w:bookmarkStart w:id="79" w:name="_Toc18682815"/>
      <w:r>
        <w:rPr>
          <w:rFonts w:ascii="宋体" w:hAnsi="宋体" w:eastAsia="宋体"/>
          <w:color w:val="auto"/>
          <w:sz w:val="21"/>
          <w:szCs w:val="21"/>
          <w:highlight w:val="none"/>
        </w:rPr>
        <w:t>14.</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提交截止时间</w:t>
      </w:r>
      <w:bookmarkEnd w:id="75"/>
      <w:bookmarkEnd w:id="76"/>
      <w:bookmarkEnd w:id="77"/>
      <w:bookmarkEnd w:id="78"/>
      <w:bookmarkEnd w:id="79"/>
    </w:p>
    <w:p w14:paraId="16930D44">
      <w:pPr>
        <w:spacing w:line="460" w:lineRule="exact"/>
        <w:rPr>
          <w:rFonts w:ascii="宋体" w:hAnsi="宋体"/>
          <w:color w:val="auto"/>
          <w:szCs w:val="21"/>
          <w:highlight w:val="none"/>
        </w:rPr>
      </w:pPr>
      <w:r>
        <w:rPr>
          <w:rFonts w:ascii="宋体" w:hAnsi="宋体"/>
          <w:color w:val="auto"/>
          <w:szCs w:val="21"/>
          <w:highlight w:val="none"/>
        </w:rPr>
        <w:t xml:space="preserve">    14.1 </w:t>
      </w:r>
      <w:r>
        <w:rPr>
          <w:rFonts w:hint="eastAsia" w:ascii="宋体" w:hAnsi="宋体"/>
          <w:color w:val="auto"/>
          <w:szCs w:val="21"/>
          <w:highlight w:val="none"/>
        </w:rPr>
        <w:t>响应文件</w:t>
      </w:r>
      <w:r>
        <w:rPr>
          <w:rFonts w:ascii="宋体" w:hAnsi="宋体"/>
          <w:color w:val="auto"/>
          <w:szCs w:val="21"/>
          <w:highlight w:val="none"/>
        </w:rPr>
        <w:t>提交截止时间：</w:t>
      </w:r>
      <w:r>
        <w:rPr>
          <w:rFonts w:hint="eastAsia" w:ascii="宋体" w:hAnsi="宋体"/>
          <w:color w:val="auto"/>
          <w:szCs w:val="21"/>
          <w:highlight w:val="none"/>
        </w:rPr>
        <w:t>按</w:t>
      </w:r>
      <w:r>
        <w:rPr>
          <w:rFonts w:ascii="宋体" w:hAnsi="宋体"/>
          <w:color w:val="auto"/>
          <w:szCs w:val="21"/>
          <w:highlight w:val="none"/>
        </w:rPr>
        <w:t>本须知“前附表第</w:t>
      </w:r>
      <w:r>
        <w:rPr>
          <w:rFonts w:hint="eastAsia" w:ascii="宋体" w:hAnsi="宋体"/>
          <w:color w:val="auto"/>
          <w:szCs w:val="21"/>
          <w:highlight w:val="none"/>
        </w:rPr>
        <w:t>18</w:t>
      </w:r>
      <w:r>
        <w:rPr>
          <w:rFonts w:ascii="宋体" w:hAnsi="宋体"/>
          <w:color w:val="auto"/>
          <w:szCs w:val="21"/>
          <w:highlight w:val="none"/>
        </w:rPr>
        <w:t>项”的规定。</w:t>
      </w:r>
    </w:p>
    <w:p w14:paraId="053F4E6B">
      <w:pPr>
        <w:spacing w:line="460" w:lineRule="exact"/>
        <w:ind w:firstLine="435"/>
        <w:rPr>
          <w:rFonts w:ascii="宋体" w:hAnsi="宋体"/>
          <w:color w:val="auto"/>
          <w:szCs w:val="21"/>
          <w:highlight w:val="none"/>
        </w:rPr>
      </w:pPr>
      <w:r>
        <w:rPr>
          <w:rFonts w:ascii="宋体" w:hAnsi="宋体"/>
          <w:color w:val="auto"/>
          <w:szCs w:val="21"/>
          <w:highlight w:val="none"/>
        </w:rPr>
        <w:t>14.2 采购人可按本须知第6条规定以补充通知的方式，酌情延长提交</w:t>
      </w:r>
      <w:r>
        <w:rPr>
          <w:rFonts w:hint="eastAsia" w:ascii="宋体" w:hAnsi="宋体"/>
          <w:color w:val="auto"/>
          <w:szCs w:val="21"/>
          <w:highlight w:val="none"/>
        </w:rPr>
        <w:t>响应文件</w:t>
      </w:r>
      <w:r>
        <w:rPr>
          <w:rFonts w:ascii="宋体" w:hAnsi="宋体"/>
          <w:color w:val="auto"/>
          <w:szCs w:val="21"/>
          <w:highlight w:val="none"/>
        </w:rPr>
        <w:t>的截止时间。在上述情况下，采购人与</w:t>
      </w:r>
      <w:r>
        <w:rPr>
          <w:rFonts w:hint="eastAsia" w:ascii="宋体" w:hAnsi="宋体"/>
          <w:color w:val="auto"/>
          <w:szCs w:val="21"/>
          <w:highlight w:val="none"/>
        </w:rPr>
        <w:t>供应商</w:t>
      </w:r>
      <w:r>
        <w:rPr>
          <w:rFonts w:ascii="宋体" w:hAnsi="宋体"/>
          <w:color w:val="auto"/>
          <w:szCs w:val="21"/>
          <w:highlight w:val="none"/>
        </w:rPr>
        <w:t>的全部权力、责任和义务，将适用于延长后新的</w:t>
      </w:r>
      <w:r>
        <w:rPr>
          <w:rFonts w:hint="eastAsia" w:ascii="宋体" w:hAnsi="宋体"/>
          <w:color w:val="auto"/>
          <w:szCs w:val="21"/>
          <w:highlight w:val="none"/>
        </w:rPr>
        <w:t>响应文件</w:t>
      </w:r>
      <w:r>
        <w:rPr>
          <w:rFonts w:ascii="宋体" w:hAnsi="宋体"/>
          <w:color w:val="auto"/>
          <w:szCs w:val="21"/>
          <w:highlight w:val="none"/>
        </w:rPr>
        <w:t>提交截止时间。</w:t>
      </w:r>
    </w:p>
    <w:p w14:paraId="74664887">
      <w:pPr>
        <w:pStyle w:val="4"/>
        <w:spacing w:before="0" w:after="0" w:line="460" w:lineRule="exact"/>
        <w:rPr>
          <w:rFonts w:ascii="宋体" w:hAnsi="宋体" w:eastAsia="宋体"/>
          <w:color w:val="auto"/>
          <w:sz w:val="21"/>
          <w:szCs w:val="21"/>
          <w:highlight w:val="none"/>
        </w:rPr>
      </w:pPr>
      <w:bookmarkStart w:id="80" w:name="_Toc80818628"/>
      <w:bookmarkStart w:id="81" w:name="_Toc18682816"/>
      <w:bookmarkStart w:id="82" w:name="_Toc5228"/>
      <w:bookmarkStart w:id="83" w:name="_Toc239659107"/>
      <w:bookmarkStart w:id="84" w:name="_Toc346264279"/>
      <w:r>
        <w:rPr>
          <w:rFonts w:ascii="宋体" w:hAnsi="宋体" w:eastAsia="宋体"/>
          <w:color w:val="auto"/>
          <w:sz w:val="21"/>
          <w:szCs w:val="21"/>
          <w:highlight w:val="none"/>
        </w:rPr>
        <w:t>15.</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的提交</w:t>
      </w:r>
      <w:bookmarkEnd w:id="80"/>
      <w:bookmarkEnd w:id="81"/>
      <w:bookmarkEnd w:id="82"/>
      <w:bookmarkEnd w:id="83"/>
      <w:bookmarkEnd w:id="84"/>
    </w:p>
    <w:p w14:paraId="2DB7BD90">
      <w:pPr>
        <w:spacing w:line="460" w:lineRule="exact"/>
        <w:ind w:firstLine="420" w:firstLineChars="200"/>
        <w:rPr>
          <w:rFonts w:ascii="宋体" w:hAnsi="宋体" w:cs="Arial"/>
          <w:color w:val="auto"/>
          <w:kern w:val="0"/>
          <w:szCs w:val="21"/>
          <w:highlight w:val="none"/>
        </w:rPr>
      </w:pPr>
      <w:r>
        <w:rPr>
          <w:rFonts w:hint="eastAsia" w:ascii="宋体" w:hAnsi="宋体" w:cs="Arial"/>
          <w:color w:val="auto"/>
          <w:kern w:val="0"/>
          <w:szCs w:val="21"/>
          <w:highlight w:val="none"/>
        </w:rPr>
        <w:t>15.1供应商应当在响应文件提交截止时间前将生成的“电子加密投标文件”上传提交至</w:t>
      </w:r>
      <w:r>
        <w:rPr>
          <w:rFonts w:hint="eastAsia" w:ascii="宋体" w:hAnsi="宋体" w:cs="Arial"/>
          <w:color w:val="auto"/>
          <w:kern w:val="0"/>
          <w:szCs w:val="21"/>
          <w:highlight w:val="none"/>
          <w:lang w:eastAsia="zh-CN"/>
        </w:rPr>
        <w:t>广西政府采购云</w:t>
      </w:r>
      <w:r>
        <w:rPr>
          <w:rFonts w:hint="eastAsia" w:ascii="宋体" w:hAnsi="宋体" w:cs="Arial"/>
          <w:color w:val="auto"/>
          <w:kern w:val="0"/>
          <w:szCs w:val="21"/>
          <w:highlight w:val="none"/>
        </w:rPr>
        <w:t>平台。</w:t>
      </w:r>
      <w:r>
        <w:rPr>
          <w:rFonts w:ascii="宋体" w:hAnsi="宋体" w:cs="Arial"/>
          <w:color w:val="auto"/>
          <w:kern w:val="0"/>
          <w:szCs w:val="21"/>
          <w:highlight w:val="none"/>
        </w:rPr>
        <w:t>因未注册入库、未办理CA数字证书、CA证书故障、操作不当等原因造成无法</w:t>
      </w:r>
      <w:r>
        <w:rPr>
          <w:rFonts w:hint="eastAsia" w:ascii="宋体" w:hAnsi="宋体" w:cs="Arial"/>
          <w:color w:val="auto"/>
          <w:kern w:val="0"/>
          <w:szCs w:val="21"/>
          <w:highlight w:val="none"/>
        </w:rPr>
        <w:t>响应</w:t>
      </w:r>
      <w:r>
        <w:rPr>
          <w:rFonts w:ascii="宋体" w:hAnsi="宋体" w:cs="Arial"/>
          <w:color w:val="auto"/>
          <w:kern w:val="0"/>
          <w:szCs w:val="21"/>
          <w:highlight w:val="none"/>
        </w:rPr>
        <w:t>或</w:t>
      </w:r>
      <w:r>
        <w:rPr>
          <w:rFonts w:hint="eastAsia" w:ascii="宋体" w:hAnsi="宋体" w:cs="Arial"/>
          <w:color w:val="auto"/>
          <w:kern w:val="0"/>
          <w:szCs w:val="21"/>
          <w:highlight w:val="none"/>
        </w:rPr>
        <w:t>响应</w:t>
      </w:r>
      <w:r>
        <w:rPr>
          <w:rFonts w:ascii="宋体" w:hAnsi="宋体" w:cs="Arial"/>
          <w:color w:val="auto"/>
          <w:kern w:val="0"/>
          <w:szCs w:val="21"/>
          <w:highlight w:val="none"/>
        </w:rPr>
        <w:t>失败等后果由</w:t>
      </w:r>
      <w:r>
        <w:rPr>
          <w:rFonts w:hint="eastAsia" w:ascii="宋体" w:hAnsi="宋体" w:cs="Arial"/>
          <w:color w:val="auto"/>
          <w:kern w:val="0"/>
          <w:szCs w:val="21"/>
          <w:highlight w:val="none"/>
        </w:rPr>
        <w:t>供应商</w:t>
      </w:r>
      <w:r>
        <w:rPr>
          <w:rFonts w:ascii="宋体" w:hAnsi="宋体" w:cs="Arial"/>
          <w:color w:val="auto"/>
          <w:kern w:val="0"/>
          <w:szCs w:val="21"/>
          <w:highlight w:val="none"/>
        </w:rPr>
        <w:t>自行承担。</w:t>
      </w:r>
    </w:p>
    <w:p w14:paraId="5A68268F">
      <w:pPr>
        <w:pStyle w:val="4"/>
        <w:spacing w:before="0" w:after="0" w:line="460" w:lineRule="exact"/>
        <w:rPr>
          <w:rFonts w:ascii="宋体" w:hAnsi="宋体" w:eastAsia="宋体"/>
          <w:color w:val="auto"/>
          <w:sz w:val="21"/>
          <w:szCs w:val="21"/>
          <w:highlight w:val="none"/>
        </w:rPr>
      </w:pPr>
      <w:bookmarkStart w:id="85" w:name="_Toc346264280"/>
      <w:bookmarkStart w:id="86" w:name="_Toc239659108"/>
      <w:bookmarkStart w:id="87" w:name="_Toc18682817"/>
      <w:bookmarkStart w:id="88" w:name="_Toc10145"/>
      <w:bookmarkStart w:id="89" w:name="_Toc80818629"/>
      <w:r>
        <w:rPr>
          <w:rFonts w:ascii="宋体" w:hAnsi="宋体" w:eastAsia="宋体"/>
          <w:color w:val="auto"/>
          <w:sz w:val="21"/>
          <w:szCs w:val="21"/>
          <w:highlight w:val="none"/>
        </w:rPr>
        <w:t>16.</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的修改与撤回</w:t>
      </w:r>
      <w:bookmarkEnd w:id="85"/>
      <w:bookmarkEnd w:id="86"/>
      <w:bookmarkEnd w:id="87"/>
      <w:bookmarkEnd w:id="88"/>
      <w:bookmarkEnd w:id="89"/>
    </w:p>
    <w:p w14:paraId="27B2A843">
      <w:pPr>
        <w:spacing w:line="460" w:lineRule="exact"/>
        <w:rPr>
          <w:rFonts w:ascii="宋体" w:hAnsi="宋体" w:cs="Arial"/>
          <w:color w:val="auto"/>
          <w:kern w:val="0"/>
          <w:szCs w:val="21"/>
          <w:highlight w:val="none"/>
        </w:rPr>
      </w:pPr>
      <w:r>
        <w:rPr>
          <w:rFonts w:ascii="宋体" w:hAnsi="宋体"/>
          <w:color w:val="auto"/>
          <w:szCs w:val="21"/>
          <w:highlight w:val="none"/>
        </w:rPr>
        <w:t xml:space="preserve">   </w:t>
      </w:r>
      <w:bookmarkStart w:id="90" w:name="_Toc239659109"/>
      <w:bookmarkStart w:id="91" w:name="_Toc346264281"/>
      <w:bookmarkStart w:id="92" w:name="_Toc18682818"/>
      <w:r>
        <w:rPr>
          <w:rFonts w:hint="eastAsia" w:ascii="宋体" w:hAnsi="宋体" w:cs="Arial"/>
          <w:color w:val="auto"/>
          <w:kern w:val="0"/>
          <w:szCs w:val="21"/>
          <w:highlight w:val="none"/>
        </w:rPr>
        <w:t>响应文件提交截止时间前可以补充、修改或者撤回电子响应文件。补充或者修改电子响应文件的，应当先行撤回原文件，补充、修改后重新传输提交，响应文件提交截止时间前未完成传输的，视为撤回响应文件。</w:t>
      </w:r>
    </w:p>
    <w:p w14:paraId="09E6DCAC">
      <w:pPr>
        <w:spacing w:line="460" w:lineRule="exact"/>
        <w:rPr>
          <w:rFonts w:ascii="宋体" w:hAnsi="宋体"/>
          <w:b/>
          <w:bCs/>
          <w:color w:val="auto"/>
          <w:szCs w:val="21"/>
          <w:highlight w:val="none"/>
        </w:rPr>
      </w:pPr>
      <w:r>
        <w:rPr>
          <w:rFonts w:ascii="宋体" w:hAnsi="宋体"/>
          <w:b/>
          <w:bCs/>
          <w:color w:val="auto"/>
          <w:szCs w:val="21"/>
          <w:highlight w:val="none"/>
        </w:rPr>
        <w:t>17.</w:t>
      </w:r>
      <w:bookmarkEnd w:id="90"/>
      <w:bookmarkEnd w:id="91"/>
      <w:bookmarkEnd w:id="92"/>
      <w:r>
        <w:rPr>
          <w:rFonts w:hint="eastAsia" w:ascii="宋体" w:hAnsi="宋体"/>
          <w:b/>
          <w:bCs/>
          <w:color w:val="auto"/>
          <w:szCs w:val="21"/>
          <w:highlight w:val="none"/>
        </w:rPr>
        <w:t xml:space="preserve"> 响应文件</w:t>
      </w:r>
      <w:r>
        <w:rPr>
          <w:rFonts w:ascii="宋体" w:hAnsi="宋体"/>
          <w:b/>
          <w:bCs/>
          <w:color w:val="auto"/>
          <w:szCs w:val="21"/>
          <w:highlight w:val="none"/>
        </w:rPr>
        <w:t>的</w:t>
      </w:r>
      <w:r>
        <w:rPr>
          <w:rFonts w:hint="eastAsia" w:ascii="宋体" w:hAnsi="宋体"/>
          <w:b/>
          <w:bCs/>
          <w:color w:val="auto"/>
          <w:szCs w:val="21"/>
          <w:highlight w:val="none"/>
        </w:rPr>
        <w:t>解密</w:t>
      </w:r>
    </w:p>
    <w:p w14:paraId="65BFF70D">
      <w:pPr>
        <w:adjustRightInd w:val="0"/>
        <w:snapToGrid w:val="0"/>
        <w:spacing w:line="46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17.1采购代理机构按磋商文件规定的时间、地点通过“</w:t>
      </w:r>
      <w:r>
        <w:rPr>
          <w:rFonts w:hint="eastAsia" w:ascii="宋体" w:hAnsi="宋体" w:cs="Courier New"/>
          <w:color w:val="auto"/>
          <w:szCs w:val="21"/>
          <w:highlight w:val="none"/>
          <w:lang w:eastAsia="zh-CN"/>
        </w:rPr>
        <w:t>广西政府采购云</w:t>
      </w:r>
      <w:r>
        <w:rPr>
          <w:rFonts w:hint="eastAsia" w:ascii="宋体" w:hAnsi="宋体" w:cs="Courier New"/>
          <w:color w:val="auto"/>
          <w:szCs w:val="21"/>
          <w:highlight w:val="none"/>
        </w:rPr>
        <w:t>平台”组织磋商、开启响应文件，所有供应商均应当准时在线参加。供应商如不参加磋商会的，视同认可磋商结果，事后不得对采购相关人员、磋商过程和磋商结果提出异议，同时供应商因未在线参加磋商而导致响应文件无法按时解密等一切后果由供应商自己承担。本项目磋商过程实行全程录音、录像监控。</w:t>
      </w:r>
    </w:p>
    <w:p w14:paraId="070EECEA">
      <w:pPr>
        <w:adjustRightInd w:val="0"/>
        <w:snapToGrid w:val="0"/>
        <w:spacing w:line="46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17.2采购代理机构工作人员向各供应商发出电子加密响应文件【开始解密】通知，由供应商按响应文件规定的时间内自行进行响应文件解密。供应商在规定的时间内无法完成已递交的“电子加密投标文件”解密的，如已按规定递交了电子备份响应文件的，将由采购组织机构按“政府采购云平台”操作规范将备份响应文件上传至“政府采购云平台”，上传成功后，“电子加密投标文件”自动失效。如未提供备份电子响应文件，将不进行再次解密程序。无法在线解密视为供应商放弃磋商。在线解密时间为 30 分钟。</w:t>
      </w:r>
    </w:p>
    <w:p w14:paraId="1102AAC1">
      <w:pPr>
        <w:adjustRightInd w:val="0"/>
        <w:snapToGrid w:val="0"/>
        <w:spacing w:line="46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17.3响应</w:t>
      </w:r>
      <w:r>
        <w:rPr>
          <w:rFonts w:ascii="宋体" w:hAnsi="宋体" w:cs="Courier New"/>
          <w:color w:val="auto"/>
          <w:szCs w:val="21"/>
          <w:highlight w:val="none"/>
        </w:rPr>
        <w:t>文件解密结束，</w:t>
      </w:r>
      <w:r>
        <w:rPr>
          <w:rFonts w:hint="eastAsia" w:ascii="宋体" w:hAnsi="宋体" w:cs="Courier New"/>
          <w:color w:val="auto"/>
          <w:szCs w:val="21"/>
          <w:highlight w:val="none"/>
        </w:rPr>
        <w:t>磋商活动组织人员在线开</w:t>
      </w:r>
      <w:r>
        <w:rPr>
          <w:rFonts w:ascii="宋体" w:hAnsi="宋体" w:cs="Courier New"/>
          <w:color w:val="auto"/>
          <w:szCs w:val="21"/>
          <w:highlight w:val="none"/>
        </w:rPr>
        <w:t>启</w:t>
      </w:r>
      <w:r>
        <w:rPr>
          <w:rFonts w:hint="eastAsia" w:ascii="宋体" w:hAnsi="宋体" w:cs="Courier New"/>
          <w:color w:val="auto"/>
          <w:szCs w:val="21"/>
          <w:highlight w:val="none"/>
        </w:rPr>
        <w:t>报价文件。供应商在线制作响应文件时填写的报价金额</w:t>
      </w:r>
      <w:r>
        <w:rPr>
          <w:rFonts w:ascii="宋体" w:hAnsi="宋体" w:cs="Courier New"/>
          <w:color w:val="auto"/>
          <w:szCs w:val="21"/>
          <w:highlight w:val="none"/>
        </w:rPr>
        <w:t>与解密后“电子加密投标文件”中《</w:t>
      </w:r>
      <w:r>
        <w:rPr>
          <w:rFonts w:hint="eastAsia" w:ascii="宋体" w:hAnsi="宋体" w:cs="Courier New"/>
          <w:color w:val="auto"/>
          <w:szCs w:val="21"/>
          <w:highlight w:val="none"/>
        </w:rPr>
        <w:t>磋商函</w:t>
      </w:r>
      <w:r>
        <w:rPr>
          <w:rFonts w:ascii="宋体" w:hAnsi="宋体" w:cs="Courier New"/>
          <w:color w:val="auto"/>
          <w:szCs w:val="21"/>
          <w:highlight w:val="none"/>
        </w:rPr>
        <w:t>》填写的金额不一致的，以解密后“电子加密投标文件”中《</w:t>
      </w:r>
      <w:r>
        <w:rPr>
          <w:rFonts w:hint="eastAsia" w:ascii="宋体" w:hAnsi="宋体" w:cs="Courier New"/>
          <w:color w:val="auto"/>
          <w:szCs w:val="21"/>
          <w:highlight w:val="none"/>
        </w:rPr>
        <w:t>磋商函</w:t>
      </w:r>
      <w:r>
        <w:rPr>
          <w:rFonts w:ascii="宋体" w:hAnsi="宋体" w:cs="Courier New"/>
          <w:color w:val="auto"/>
          <w:szCs w:val="21"/>
          <w:highlight w:val="none"/>
        </w:rPr>
        <w:t>》填写的金额为准，</w:t>
      </w:r>
      <w:r>
        <w:rPr>
          <w:rFonts w:hint="eastAsia" w:ascii="宋体" w:hAnsi="宋体" w:cs="Courier New"/>
          <w:color w:val="auto"/>
          <w:szCs w:val="21"/>
          <w:highlight w:val="none"/>
        </w:rPr>
        <w:t>供应商</w:t>
      </w:r>
      <w:r>
        <w:rPr>
          <w:rFonts w:ascii="宋体" w:hAnsi="宋体" w:cs="Courier New"/>
          <w:color w:val="auto"/>
          <w:szCs w:val="21"/>
          <w:highlight w:val="none"/>
        </w:rPr>
        <w:t>拒绝接受此调整的，按无效</w:t>
      </w:r>
      <w:r>
        <w:rPr>
          <w:rFonts w:hint="eastAsia" w:ascii="宋体" w:hAnsi="宋体" w:cs="Courier New"/>
          <w:color w:val="auto"/>
          <w:szCs w:val="21"/>
          <w:highlight w:val="none"/>
        </w:rPr>
        <w:t>响应</w:t>
      </w:r>
      <w:r>
        <w:rPr>
          <w:rFonts w:ascii="宋体" w:hAnsi="宋体" w:cs="Courier New"/>
          <w:color w:val="auto"/>
          <w:szCs w:val="21"/>
          <w:highlight w:val="none"/>
        </w:rPr>
        <w:t>处理。</w:t>
      </w:r>
    </w:p>
    <w:p w14:paraId="6723DEAF">
      <w:pPr>
        <w:adjustRightInd w:val="0"/>
        <w:snapToGrid w:val="0"/>
        <w:spacing w:line="460" w:lineRule="exact"/>
        <w:ind w:firstLine="422" w:firstLineChars="200"/>
        <w:rPr>
          <w:rFonts w:ascii="宋体" w:hAnsi="宋体" w:cs="Arial"/>
          <w:color w:val="auto"/>
          <w:kern w:val="0"/>
          <w:szCs w:val="21"/>
          <w:highlight w:val="none"/>
        </w:rPr>
      </w:pPr>
      <w:r>
        <w:rPr>
          <w:rFonts w:ascii="宋体" w:hAnsi="宋体" w:cs="Courier New"/>
          <w:b/>
          <w:bCs/>
          <w:color w:val="auto"/>
          <w:szCs w:val="21"/>
          <w:highlight w:val="none"/>
        </w:rPr>
        <w:t>特别说明：如遇“</w:t>
      </w:r>
      <w:r>
        <w:rPr>
          <w:rFonts w:hint="eastAsia" w:ascii="宋体" w:hAnsi="宋体" w:cs="Courier New"/>
          <w:b/>
          <w:bCs/>
          <w:color w:val="auto"/>
          <w:szCs w:val="21"/>
          <w:highlight w:val="none"/>
          <w:lang w:eastAsia="zh-CN"/>
        </w:rPr>
        <w:t>广西政府采购云</w:t>
      </w:r>
      <w:r>
        <w:rPr>
          <w:rFonts w:ascii="宋体" w:hAnsi="宋体" w:cs="Courier New"/>
          <w:b/>
          <w:bCs/>
          <w:color w:val="auto"/>
          <w:szCs w:val="21"/>
          <w:highlight w:val="none"/>
        </w:rPr>
        <w:t>平台”电子化开标或评审程序调整的，按调整后程序执行。</w:t>
      </w:r>
    </w:p>
    <w:p w14:paraId="05EBF507">
      <w:pPr>
        <w:widowControl/>
        <w:spacing w:line="460" w:lineRule="exact"/>
        <w:ind w:firstLine="420" w:firstLineChars="200"/>
        <w:jc w:val="left"/>
        <w:rPr>
          <w:rFonts w:ascii="宋体" w:hAnsi="宋体" w:cs="Arial"/>
          <w:color w:val="auto"/>
          <w:kern w:val="0"/>
          <w:szCs w:val="21"/>
          <w:highlight w:val="none"/>
        </w:rPr>
      </w:pPr>
      <w:r>
        <w:rPr>
          <w:rFonts w:hint="eastAsia" w:ascii="宋体" w:hAnsi="宋体" w:cs="Arial"/>
          <w:color w:val="auto"/>
          <w:kern w:val="0"/>
          <w:szCs w:val="21"/>
          <w:highlight w:val="none"/>
        </w:rPr>
        <w:t>17.4在响应文件提交截止时间止提交响应文件的供应商不足 3 家时，不得开标，应当由供应商法定代表人或者委托代理人签字领回电子备份响应文件（电子备份响应文件采用邮寄方式提交的，以到付的方式寄回至原地址），除此之外采购人和采购代理机构对已提交的响应文件概不退回。</w:t>
      </w:r>
    </w:p>
    <w:p w14:paraId="3A7ED4B5">
      <w:pPr>
        <w:pStyle w:val="4"/>
        <w:spacing w:before="0" w:after="0" w:line="460" w:lineRule="exact"/>
        <w:rPr>
          <w:rFonts w:ascii="宋体" w:hAnsi="宋体" w:eastAsia="宋体"/>
          <w:color w:val="auto"/>
          <w:sz w:val="21"/>
          <w:szCs w:val="21"/>
          <w:highlight w:val="none"/>
        </w:rPr>
      </w:pPr>
      <w:bookmarkStart w:id="93" w:name="_Toc341"/>
      <w:bookmarkStart w:id="94" w:name="_Toc80818630"/>
      <w:bookmarkStart w:id="95" w:name="_Toc239659110"/>
      <w:bookmarkStart w:id="96" w:name="_Toc346264282"/>
      <w:bookmarkStart w:id="97" w:name="_Toc18682819"/>
      <w:r>
        <w:rPr>
          <w:rFonts w:ascii="宋体" w:hAnsi="宋体" w:eastAsia="宋体"/>
          <w:color w:val="auto"/>
          <w:sz w:val="21"/>
          <w:szCs w:val="21"/>
          <w:highlight w:val="none"/>
        </w:rPr>
        <w:t>18.评标内容的保密</w:t>
      </w:r>
      <w:bookmarkEnd w:id="93"/>
      <w:bookmarkEnd w:id="94"/>
      <w:bookmarkEnd w:id="95"/>
      <w:bookmarkEnd w:id="96"/>
      <w:bookmarkEnd w:id="97"/>
    </w:p>
    <w:p w14:paraId="3A3CCE4E">
      <w:pPr>
        <w:spacing w:line="460" w:lineRule="exact"/>
        <w:rPr>
          <w:rFonts w:ascii="宋体" w:hAnsi="宋体"/>
          <w:color w:val="auto"/>
          <w:szCs w:val="21"/>
          <w:highlight w:val="none"/>
        </w:rPr>
      </w:pPr>
      <w:r>
        <w:rPr>
          <w:rFonts w:ascii="宋体" w:hAnsi="宋体"/>
          <w:color w:val="auto"/>
          <w:szCs w:val="21"/>
          <w:highlight w:val="none"/>
        </w:rPr>
        <w:t xml:space="preserve">    18.1</w:t>
      </w:r>
      <w:r>
        <w:rPr>
          <w:rFonts w:hint="eastAsia" w:ascii="宋体" w:hAnsi="宋体"/>
          <w:color w:val="auto"/>
          <w:szCs w:val="21"/>
          <w:highlight w:val="none"/>
        </w:rPr>
        <w:t>采购人、采购代理机构应当按照政府采购法和政府采购竞争性磋商采购方式管理暂行办法的规定组织开展竞争性磋商，并采取必要措施，保证磋商在严格保密的情况下进行。任何单位和个人不得非法干预、影响磋商过程和结果。</w:t>
      </w:r>
    </w:p>
    <w:p w14:paraId="79848A99">
      <w:pPr>
        <w:spacing w:line="460" w:lineRule="exact"/>
        <w:ind w:firstLine="435"/>
        <w:rPr>
          <w:rFonts w:ascii="宋体" w:hAnsi="宋体"/>
          <w:color w:val="auto"/>
          <w:szCs w:val="21"/>
          <w:highlight w:val="none"/>
        </w:rPr>
      </w:pPr>
      <w:r>
        <w:rPr>
          <w:rFonts w:ascii="宋体" w:hAnsi="宋体"/>
          <w:color w:val="auto"/>
          <w:szCs w:val="21"/>
          <w:highlight w:val="none"/>
        </w:rPr>
        <w:t>18.2 在</w:t>
      </w:r>
      <w:r>
        <w:rPr>
          <w:rFonts w:hint="eastAsia" w:ascii="宋体" w:hAnsi="宋体"/>
          <w:color w:val="auto"/>
          <w:szCs w:val="21"/>
          <w:highlight w:val="none"/>
        </w:rPr>
        <w:t>响应文件</w:t>
      </w:r>
      <w:r>
        <w:rPr>
          <w:rFonts w:ascii="宋体" w:hAnsi="宋体"/>
          <w:color w:val="auto"/>
          <w:szCs w:val="21"/>
          <w:highlight w:val="none"/>
        </w:rPr>
        <w:t>的审查、澄清、评价和比较以及授予合同的过程中，</w:t>
      </w:r>
      <w:r>
        <w:rPr>
          <w:rFonts w:hint="eastAsia" w:ascii="宋体" w:hAnsi="宋体"/>
          <w:color w:val="auto"/>
          <w:szCs w:val="21"/>
          <w:highlight w:val="none"/>
        </w:rPr>
        <w:t>供应商</w:t>
      </w:r>
      <w:r>
        <w:rPr>
          <w:rFonts w:ascii="宋体" w:hAnsi="宋体"/>
          <w:color w:val="auto"/>
          <w:szCs w:val="21"/>
          <w:highlight w:val="none"/>
        </w:rPr>
        <w:t>对采购人和</w:t>
      </w:r>
      <w:r>
        <w:rPr>
          <w:rFonts w:hint="eastAsia" w:ascii="宋体" w:hAnsi="宋体"/>
          <w:bCs/>
          <w:color w:val="auto"/>
          <w:szCs w:val="21"/>
          <w:highlight w:val="none"/>
        </w:rPr>
        <w:t>磋商小组</w:t>
      </w:r>
      <w:r>
        <w:rPr>
          <w:rFonts w:ascii="宋体" w:hAnsi="宋体"/>
          <w:color w:val="auto"/>
          <w:szCs w:val="21"/>
          <w:highlight w:val="none"/>
        </w:rPr>
        <w:t>施加影响的任何行为，都将导致取消其磋商资格。</w:t>
      </w:r>
    </w:p>
    <w:p w14:paraId="5CF46436">
      <w:pPr>
        <w:pStyle w:val="4"/>
        <w:spacing w:before="0" w:after="0" w:line="460" w:lineRule="exact"/>
        <w:rPr>
          <w:rFonts w:ascii="宋体" w:hAnsi="宋体" w:eastAsia="宋体"/>
          <w:color w:val="auto"/>
          <w:sz w:val="21"/>
          <w:szCs w:val="21"/>
          <w:highlight w:val="none"/>
        </w:rPr>
      </w:pPr>
      <w:bookmarkStart w:id="98" w:name="_Toc1264"/>
      <w:bookmarkStart w:id="99" w:name="_Toc346264283"/>
      <w:bookmarkStart w:id="100" w:name="_Toc239659111"/>
      <w:bookmarkStart w:id="101" w:name="_Toc18682820"/>
      <w:bookmarkStart w:id="102" w:name="_Toc80818631"/>
      <w:r>
        <w:rPr>
          <w:rFonts w:ascii="宋体" w:hAnsi="宋体" w:eastAsia="宋体"/>
          <w:color w:val="auto"/>
          <w:sz w:val="21"/>
          <w:szCs w:val="21"/>
          <w:highlight w:val="none"/>
        </w:rPr>
        <w:t>19.</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计算错误的修正</w:t>
      </w:r>
      <w:bookmarkEnd w:id="98"/>
      <w:bookmarkEnd w:id="99"/>
      <w:bookmarkEnd w:id="100"/>
      <w:bookmarkEnd w:id="101"/>
      <w:bookmarkEnd w:id="102"/>
    </w:p>
    <w:p w14:paraId="639AFD26">
      <w:pPr>
        <w:spacing w:line="460" w:lineRule="exact"/>
        <w:ind w:left="-15" w:leftChars="-7" w:firstLine="388" w:firstLineChars="185"/>
        <w:rPr>
          <w:rFonts w:ascii="宋体" w:hAnsi="宋体"/>
          <w:color w:val="auto"/>
          <w:szCs w:val="21"/>
          <w:highlight w:val="none"/>
        </w:rPr>
      </w:pPr>
      <w:r>
        <w:rPr>
          <w:rFonts w:ascii="宋体" w:hAnsi="宋体"/>
          <w:color w:val="auto"/>
          <w:szCs w:val="21"/>
          <w:highlight w:val="none"/>
        </w:rPr>
        <w:t>19.1</w:t>
      </w:r>
      <w:r>
        <w:rPr>
          <w:rFonts w:hint="eastAsia" w:ascii="宋体" w:hAnsi="宋体"/>
          <w:color w:val="auto"/>
          <w:szCs w:val="21"/>
          <w:highlight w:val="none"/>
        </w:rPr>
        <w:t xml:space="preserve"> </w:t>
      </w:r>
      <w:r>
        <w:rPr>
          <w:rFonts w:hint="eastAsia" w:ascii="宋体" w:hAnsi="宋体"/>
          <w:bCs/>
          <w:color w:val="auto"/>
          <w:szCs w:val="21"/>
          <w:highlight w:val="none"/>
        </w:rPr>
        <w:t>磋商小组</w:t>
      </w:r>
      <w:r>
        <w:rPr>
          <w:rFonts w:ascii="宋体" w:hAnsi="宋体"/>
          <w:color w:val="auto"/>
          <w:szCs w:val="21"/>
          <w:highlight w:val="none"/>
        </w:rPr>
        <w:t>将对确定为实质上响应磋商文件要求的</w:t>
      </w:r>
      <w:r>
        <w:rPr>
          <w:rFonts w:hint="eastAsia" w:ascii="宋体" w:hAnsi="宋体"/>
          <w:color w:val="auto"/>
          <w:szCs w:val="21"/>
          <w:highlight w:val="none"/>
        </w:rPr>
        <w:t>响应文件</w:t>
      </w:r>
      <w:r>
        <w:rPr>
          <w:rFonts w:ascii="宋体" w:hAnsi="宋体"/>
          <w:color w:val="auto"/>
          <w:szCs w:val="21"/>
          <w:highlight w:val="none"/>
        </w:rPr>
        <w:t>进行校核，看其是否有计算或表达上的错误，修正错误的原则如下：</w:t>
      </w:r>
    </w:p>
    <w:p w14:paraId="5D45A86E">
      <w:pPr>
        <w:spacing w:line="460" w:lineRule="exact"/>
        <w:ind w:left="-15" w:leftChars="-7" w:firstLine="388" w:firstLineChars="185"/>
        <w:rPr>
          <w:rFonts w:ascii="宋体" w:hAnsi="宋体"/>
          <w:color w:val="auto"/>
          <w:szCs w:val="21"/>
          <w:highlight w:val="none"/>
        </w:rPr>
      </w:pPr>
      <w:r>
        <w:rPr>
          <w:rFonts w:ascii="宋体" w:hAnsi="宋体"/>
          <w:color w:val="auto"/>
          <w:szCs w:val="21"/>
          <w:highlight w:val="none"/>
        </w:rPr>
        <w:t>19.1.1</w:t>
      </w:r>
      <w:r>
        <w:rPr>
          <w:rFonts w:hint="eastAsia" w:ascii="宋体" w:hAnsi="宋体"/>
          <w:color w:val="auto"/>
          <w:szCs w:val="21"/>
          <w:highlight w:val="none"/>
        </w:rPr>
        <w:t xml:space="preserve"> </w:t>
      </w:r>
      <w:r>
        <w:rPr>
          <w:rFonts w:ascii="宋体" w:hAnsi="宋体"/>
          <w:color w:val="auto"/>
          <w:szCs w:val="21"/>
          <w:highlight w:val="none"/>
        </w:rPr>
        <w:t>如果数字表示的金额和用文字表示的金额不一致时，应以文字表示的金额为准；</w:t>
      </w:r>
    </w:p>
    <w:p w14:paraId="10906D6D">
      <w:pPr>
        <w:spacing w:line="460" w:lineRule="exact"/>
        <w:ind w:left="-15" w:leftChars="-7" w:firstLine="388" w:firstLineChars="185"/>
        <w:rPr>
          <w:rFonts w:ascii="宋体" w:hAnsi="宋体"/>
          <w:color w:val="auto"/>
          <w:szCs w:val="21"/>
          <w:highlight w:val="none"/>
        </w:rPr>
      </w:pPr>
      <w:r>
        <w:rPr>
          <w:rFonts w:ascii="宋体" w:hAnsi="宋体"/>
          <w:color w:val="auto"/>
          <w:szCs w:val="21"/>
          <w:highlight w:val="none"/>
        </w:rPr>
        <w:t>19.1.2</w:t>
      </w:r>
      <w:r>
        <w:rPr>
          <w:rFonts w:hint="eastAsia" w:ascii="宋体" w:hAnsi="宋体"/>
          <w:color w:val="auto"/>
          <w:szCs w:val="21"/>
          <w:highlight w:val="none"/>
        </w:rPr>
        <w:t xml:space="preserve"> </w:t>
      </w:r>
      <w:r>
        <w:rPr>
          <w:rFonts w:ascii="宋体" w:hAnsi="宋体"/>
          <w:color w:val="auto"/>
          <w:szCs w:val="21"/>
          <w:highlight w:val="none"/>
        </w:rPr>
        <w:t>当单价与数量的乘积与合价不一致时，以单价为准，除非</w:t>
      </w:r>
      <w:r>
        <w:rPr>
          <w:rFonts w:hint="eastAsia" w:ascii="宋体" w:hAnsi="宋体"/>
          <w:bCs/>
          <w:color w:val="auto"/>
          <w:szCs w:val="21"/>
          <w:highlight w:val="none"/>
        </w:rPr>
        <w:t>磋商</w:t>
      </w:r>
      <w:r>
        <w:rPr>
          <w:rFonts w:hint="eastAsia" w:ascii="宋体" w:hAnsi="宋体"/>
          <w:color w:val="auto"/>
          <w:szCs w:val="21"/>
          <w:highlight w:val="none"/>
        </w:rPr>
        <w:t>小组</w:t>
      </w:r>
      <w:r>
        <w:rPr>
          <w:rFonts w:ascii="宋体" w:hAnsi="宋体"/>
          <w:color w:val="auto"/>
          <w:szCs w:val="21"/>
          <w:highlight w:val="none"/>
        </w:rPr>
        <w:t>认为单价有明显的小数点错误，此时应以标出的合价为准，并修改单价</w:t>
      </w:r>
      <w:r>
        <w:rPr>
          <w:rFonts w:hint="eastAsia" w:ascii="宋体" w:hAnsi="宋体"/>
          <w:color w:val="auto"/>
          <w:szCs w:val="21"/>
          <w:highlight w:val="none"/>
        </w:rPr>
        <w:t>；</w:t>
      </w:r>
    </w:p>
    <w:p w14:paraId="4736F7AA">
      <w:pPr>
        <w:spacing w:line="460" w:lineRule="exact"/>
        <w:ind w:left="-15" w:leftChars="-7" w:firstLine="388" w:firstLineChars="185"/>
        <w:rPr>
          <w:rFonts w:ascii="宋体" w:hAnsi="宋体"/>
          <w:color w:val="auto"/>
          <w:szCs w:val="21"/>
          <w:highlight w:val="none"/>
        </w:rPr>
      </w:pPr>
      <w:r>
        <w:rPr>
          <w:rFonts w:hint="eastAsia" w:ascii="宋体" w:hAnsi="宋体"/>
          <w:color w:val="auto"/>
          <w:szCs w:val="21"/>
          <w:highlight w:val="none"/>
        </w:rPr>
        <w:t>19.1.3 当分项乘积累计得出的总额与标出的总额不一致时，以标出的分项乘积为准，并修改标出的总额；</w:t>
      </w:r>
    </w:p>
    <w:p w14:paraId="4BBC7F9E">
      <w:pPr>
        <w:spacing w:line="460" w:lineRule="exact"/>
        <w:ind w:left="-15" w:leftChars="-7" w:firstLine="388" w:firstLineChars="185"/>
        <w:rPr>
          <w:rFonts w:ascii="宋体" w:hAnsi="宋体"/>
          <w:color w:val="auto"/>
          <w:szCs w:val="21"/>
          <w:highlight w:val="none"/>
        </w:rPr>
      </w:pPr>
      <w:r>
        <w:rPr>
          <w:rFonts w:ascii="宋体" w:hAnsi="宋体"/>
          <w:color w:val="auto"/>
          <w:szCs w:val="21"/>
          <w:highlight w:val="none"/>
        </w:rPr>
        <w:t>19.2 按上述修正错误的原则及方法调整或修正</w:t>
      </w:r>
      <w:r>
        <w:rPr>
          <w:rFonts w:hint="eastAsia" w:ascii="宋体" w:hAnsi="宋体"/>
          <w:color w:val="auto"/>
          <w:szCs w:val="21"/>
          <w:highlight w:val="none"/>
        </w:rPr>
        <w:t>响应文件</w:t>
      </w:r>
      <w:r>
        <w:rPr>
          <w:rFonts w:ascii="宋体" w:hAnsi="宋体"/>
          <w:color w:val="auto"/>
          <w:szCs w:val="21"/>
          <w:highlight w:val="none"/>
        </w:rPr>
        <w:t>的磋商报价，</w:t>
      </w:r>
      <w:r>
        <w:rPr>
          <w:rFonts w:hint="eastAsia" w:ascii="宋体" w:hAnsi="宋体"/>
          <w:color w:val="auto"/>
          <w:szCs w:val="21"/>
          <w:highlight w:val="none"/>
        </w:rPr>
        <w:t>在供应商确认</w:t>
      </w:r>
      <w:r>
        <w:rPr>
          <w:rFonts w:ascii="宋体" w:hAnsi="宋体"/>
          <w:color w:val="auto"/>
          <w:szCs w:val="21"/>
          <w:highlight w:val="none"/>
        </w:rPr>
        <w:t>后，调整或修正后的磋商报价对</w:t>
      </w:r>
      <w:r>
        <w:rPr>
          <w:rFonts w:hint="eastAsia" w:ascii="宋体" w:hAnsi="宋体"/>
          <w:color w:val="auto"/>
          <w:szCs w:val="21"/>
          <w:highlight w:val="none"/>
        </w:rPr>
        <w:t>供应商</w:t>
      </w:r>
      <w:r>
        <w:rPr>
          <w:rFonts w:ascii="宋体" w:hAnsi="宋体"/>
          <w:color w:val="auto"/>
          <w:szCs w:val="21"/>
          <w:highlight w:val="none"/>
        </w:rPr>
        <w:t>起约束作用。</w:t>
      </w:r>
    </w:p>
    <w:p w14:paraId="127E9807">
      <w:pPr>
        <w:spacing w:line="460" w:lineRule="exact"/>
        <w:ind w:left="-15" w:leftChars="-7" w:firstLine="390" w:firstLineChars="185"/>
        <w:rPr>
          <w:rFonts w:ascii="宋体" w:hAnsi="宋体"/>
          <w:color w:val="auto"/>
          <w:szCs w:val="21"/>
          <w:highlight w:val="none"/>
        </w:rPr>
      </w:pPr>
      <w:r>
        <w:rPr>
          <w:rFonts w:hint="eastAsia" w:ascii="宋体" w:hAnsi="宋体"/>
          <w:b/>
          <w:color w:val="auto"/>
          <w:szCs w:val="21"/>
          <w:highlight w:val="none"/>
        </w:rPr>
        <w:t>按上述修正错误的原则及方法调整或修正响应文件的磋商报价，供应商须在线同意并签字确认，调整后的磋商报价对供应商具有约束作用。如果供应商不接受修正后的报价，则其响应文件将作为无效响应处理。</w:t>
      </w:r>
    </w:p>
    <w:p w14:paraId="407B2B04">
      <w:pPr>
        <w:pStyle w:val="4"/>
        <w:spacing w:before="0" w:after="0" w:line="460" w:lineRule="exact"/>
        <w:rPr>
          <w:rFonts w:ascii="宋体" w:hAnsi="宋体" w:eastAsia="宋体"/>
          <w:color w:val="auto"/>
          <w:sz w:val="21"/>
          <w:szCs w:val="21"/>
          <w:highlight w:val="none"/>
        </w:rPr>
      </w:pPr>
      <w:bookmarkStart w:id="103" w:name="_Toc239659112"/>
      <w:bookmarkStart w:id="104" w:name="_Toc10216"/>
      <w:bookmarkStart w:id="105" w:name="_Toc346264284"/>
      <w:bookmarkStart w:id="106" w:name="_Toc18682821"/>
      <w:bookmarkStart w:id="107" w:name="_Toc80818632"/>
      <w:r>
        <w:rPr>
          <w:rFonts w:ascii="宋体" w:hAnsi="宋体" w:eastAsia="宋体"/>
          <w:color w:val="auto"/>
          <w:sz w:val="21"/>
          <w:szCs w:val="21"/>
          <w:highlight w:val="none"/>
        </w:rPr>
        <w:t>20.</w:t>
      </w:r>
      <w:r>
        <w:rPr>
          <w:rFonts w:hint="eastAsia" w:ascii="宋体" w:hAnsi="宋体" w:eastAsia="宋体"/>
          <w:color w:val="auto"/>
          <w:sz w:val="21"/>
          <w:szCs w:val="21"/>
          <w:highlight w:val="none"/>
        </w:rPr>
        <w:t>供应商</w:t>
      </w:r>
      <w:r>
        <w:rPr>
          <w:rFonts w:ascii="宋体" w:hAnsi="宋体" w:eastAsia="宋体"/>
          <w:color w:val="auto"/>
          <w:sz w:val="21"/>
          <w:szCs w:val="21"/>
          <w:highlight w:val="none"/>
        </w:rPr>
        <w:t>资格审查</w:t>
      </w:r>
      <w:bookmarkEnd w:id="103"/>
      <w:bookmarkEnd w:id="104"/>
      <w:bookmarkEnd w:id="105"/>
      <w:bookmarkEnd w:id="106"/>
      <w:bookmarkEnd w:id="107"/>
    </w:p>
    <w:p w14:paraId="7A7842A9">
      <w:pPr>
        <w:spacing w:line="460" w:lineRule="exact"/>
        <w:ind w:firstLine="457" w:firstLineChars="218"/>
        <w:rPr>
          <w:rFonts w:ascii="宋体" w:hAnsi="宋体"/>
          <w:color w:val="auto"/>
          <w:szCs w:val="21"/>
          <w:highlight w:val="none"/>
        </w:rPr>
      </w:pPr>
      <w:r>
        <w:rPr>
          <w:rFonts w:hint="eastAsia" w:ascii="宋体" w:hAnsi="宋体"/>
          <w:color w:val="auto"/>
          <w:szCs w:val="21"/>
          <w:highlight w:val="none"/>
        </w:rPr>
        <w:t>资格后审，只有通过资格审查才能进入符合性审查。所要提供的材料见本须知9.2条内容，资格审查资料有任何一项缺项或不合格者其资格审查视为不通过。</w:t>
      </w:r>
    </w:p>
    <w:p w14:paraId="02F3B7DD">
      <w:pPr>
        <w:pStyle w:val="4"/>
        <w:spacing w:before="0" w:after="0" w:line="460" w:lineRule="exact"/>
        <w:rPr>
          <w:rFonts w:ascii="宋体" w:hAnsi="宋体" w:eastAsia="宋体"/>
          <w:color w:val="auto"/>
          <w:sz w:val="21"/>
          <w:szCs w:val="21"/>
          <w:highlight w:val="none"/>
        </w:rPr>
      </w:pPr>
      <w:bookmarkStart w:id="108" w:name="_Toc239659113"/>
      <w:bookmarkStart w:id="109" w:name="_Toc18682822"/>
      <w:bookmarkStart w:id="110" w:name="_Toc346264285"/>
      <w:bookmarkStart w:id="111" w:name="_Toc174353376"/>
      <w:bookmarkStart w:id="112" w:name="_Toc120331586"/>
      <w:bookmarkStart w:id="113" w:name="_Toc21970"/>
      <w:bookmarkStart w:id="114" w:name="_Toc80818633"/>
      <w:r>
        <w:rPr>
          <w:rFonts w:ascii="宋体" w:hAnsi="宋体" w:eastAsia="宋体"/>
          <w:color w:val="auto"/>
          <w:sz w:val="21"/>
          <w:szCs w:val="21"/>
          <w:highlight w:val="none"/>
        </w:rPr>
        <w:t>21.</w:t>
      </w:r>
      <w:r>
        <w:rPr>
          <w:rFonts w:hint="eastAsia" w:ascii="宋体" w:hAnsi="宋体" w:eastAsia="宋体"/>
          <w:color w:val="auto"/>
          <w:sz w:val="21"/>
          <w:szCs w:val="21"/>
          <w:highlight w:val="none"/>
        </w:rPr>
        <w:t>响应文件</w:t>
      </w:r>
      <w:r>
        <w:rPr>
          <w:rFonts w:ascii="宋体" w:hAnsi="宋体" w:eastAsia="宋体"/>
          <w:color w:val="auto"/>
          <w:sz w:val="21"/>
          <w:szCs w:val="21"/>
          <w:highlight w:val="none"/>
        </w:rPr>
        <w:t>的</w:t>
      </w:r>
      <w:bookmarkEnd w:id="108"/>
      <w:bookmarkEnd w:id="109"/>
      <w:bookmarkEnd w:id="110"/>
      <w:bookmarkEnd w:id="111"/>
      <w:bookmarkEnd w:id="112"/>
      <w:r>
        <w:rPr>
          <w:rFonts w:hint="eastAsia" w:ascii="宋体" w:hAnsi="宋体" w:eastAsia="宋体"/>
          <w:color w:val="auto"/>
          <w:sz w:val="21"/>
          <w:szCs w:val="21"/>
          <w:highlight w:val="none"/>
        </w:rPr>
        <w:t>符合性鉴定</w:t>
      </w:r>
      <w:bookmarkEnd w:id="113"/>
      <w:bookmarkEnd w:id="114"/>
    </w:p>
    <w:p w14:paraId="29304707">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21.1 对响应文件进行符合性鉴定。响应文件应实质上响应磋商文件的要求，应与磋商文件所有条款、条件和规定，无明显差异或保留。磋商小组对实质上不响应磋商文件要求的磋商予以拒绝，但磋商小组认定属于供应商疏忽、笔误所造成的差错，应当允许其在磋商结束之前在</w:t>
      </w:r>
      <w:r>
        <w:rPr>
          <w:rFonts w:hint="eastAsia" w:ascii="宋体" w:hAnsi="宋体"/>
          <w:color w:val="auto"/>
          <w:szCs w:val="21"/>
          <w:highlight w:val="none"/>
          <w:lang w:eastAsia="zh-CN"/>
        </w:rPr>
        <w:t>广西政府采购云</w:t>
      </w:r>
      <w:r>
        <w:rPr>
          <w:rFonts w:hint="eastAsia" w:ascii="宋体" w:hAnsi="宋体"/>
          <w:color w:val="auto"/>
          <w:szCs w:val="21"/>
          <w:highlight w:val="none"/>
        </w:rPr>
        <w:t>系统上进行修改或者补正并加盖单位公章。在磋商小组会发出询标函规定的回复限期内不补正或经补正后仍不符合磋商文件要求的，应认定其响应无效。供应商修改、补正响应文件后，不影响磋商小组对其响应文件所作的评价和评分结果。</w:t>
      </w:r>
    </w:p>
    <w:p w14:paraId="5D7D1160">
      <w:pPr>
        <w:spacing w:line="460" w:lineRule="exact"/>
        <w:ind w:firstLine="411" w:firstLineChars="196"/>
        <w:rPr>
          <w:rFonts w:ascii="宋体" w:hAnsi="宋体"/>
          <w:color w:val="auto"/>
          <w:szCs w:val="21"/>
          <w:highlight w:val="none"/>
        </w:rPr>
      </w:pPr>
      <w:r>
        <w:rPr>
          <w:rFonts w:ascii="宋体" w:hAnsi="宋体"/>
          <w:color w:val="auto"/>
          <w:szCs w:val="21"/>
          <w:highlight w:val="none"/>
        </w:rPr>
        <w:t>21.</w:t>
      </w:r>
      <w:r>
        <w:rPr>
          <w:rFonts w:hint="eastAsia" w:ascii="宋体" w:hAnsi="宋体"/>
          <w:color w:val="auto"/>
          <w:szCs w:val="21"/>
          <w:highlight w:val="none"/>
        </w:rPr>
        <w:t>2 供应商或其响应文件有</w:t>
      </w:r>
      <w:r>
        <w:rPr>
          <w:rFonts w:ascii="宋体" w:hAnsi="宋体"/>
          <w:color w:val="auto"/>
          <w:szCs w:val="21"/>
          <w:highlight w:val="none"/>
        </w:rPr>
        <w:t>下列情况之一者</w:t>
      </w:r>
      <w:r>
        <w:rPr>
          <w:rFonts w:hint="eastAsia" w:ascii="宋体" w:hAnsi="宋体"/>
          <w:color w:val="auto"/>
          <w:szCs w:val="21"/>
          <w:highlight w:val="none"/>
        </w:rPr>
        <w:t>，其响应文件</w:t>
      </w:r>
      <w:r>
        <w:rPr>
          <w:rFonts w:ascii="宋体" w:hAnsi="宋体"/>
          <w:color w:val="auto"/>
          <w:szCs w:val="21"/>
          <w:highlight w:val="none"/>
        </w:rPr>
        <w:t>将视为无效</w:t>
      </w:r>
      <w:r>
        <w:rPr>
          <w:rFonts w:hint="eastAsia" w:ascii="宋体" w:hAnsi="宋体"/>
          <w:color w:val="auto"/>
          <w:szCs w:val="21"/>
          <w:highlight w:val="none"/>
        </w:rPr>
        <w:t>响应处理</w:t>
      </w:r>
      <w:r>
        <w:rPr>
          <w:rFonts w:ascii="宋体" w:hAnsi="宋体"/>
          <w:color w:val="auto"/>
          <w:szCs w:val="21"/>
          <w:highlight w:val="none"/>
        </w:rPr>
        <w:t>：</w:t>
      </w:r>
    </w:p>
    <w:p w14:paraId="296ABB40">
      <w:pPr>
        <w:spacing w:line="460" w:lineRule="exact"/>
        <w:ind w:firstLine="411" w:firstLineChars="196"/>
        <w:rPr>
          <w:rFonts w:ascii="宋体" w:hAnsi="宋体"/>
          <w:color w:val="auto"/>
          <w:szCs w:val="21"/>
          <w:highlight w:val="none"/>
        </w:rPr>
      </w:pPr>
      <w:r>
        <w:rPr>
          <w:rFonts w:ascii="宋体" w:hAnsi="宋体"/>
          <w:color w:val="auto"/>
          <w:szCs w:val="21"/>
          <w:highlight w:val="none"/>
        </w:rPr>
        <w:t>21.2.</w:t>
      </w:r>
      <w:r>
        <w:rPr>
          <w:rFonts w:hint="eastAsia" w:ascii="宋体" w:hAnsi="宋体"/>
          <w:color w:val="auto"/>
          <w:szCs w:val="21"/>
          <w:highlight w:val="none"/>
        </w:rPr>
        <w:t>1 未按</w:t>
      </w:r>
      <w:r>
        <w:rPr>
          <w:rFonts w:ascii="宋体" w:hAnsi="宋体"/>
          <w:color w:val="auto"/>
          <w:szCs w:val="21"/>
          <w:highlight w:val="none"/>
        </w:rPr>
        <w:t>本须知第9条规定的</w:t>
      </w:r>
      <w:r>
        <w:rPr>
          <w:rFonts w:hint="eastAsia" w:ascii="宋体" w:hAnsi="宋体"/>
          <w:color w:val="auto"/>
          <w:szCs w:val="21"/>
          <w:highlight w:val="none"/>
        </w:rPr>
        <w:t>响应文件必须提供的</w:t>
      </w:r>
      <w:r>
        <w:rPr>
          <w:rFonts w:ascii="宋体" w:hAnsi="宋体"/>
          <w:color w:val="auto"/>
          <w:szCs w:val="21"/>
          <w:highlight w:val="none"/>
        </w:rPr>
        <w:t>内容</w:t>
      </w:r>
      <w:r>
        <w:rPr>
          <w:rFonts w:hint="eastAsia" w:ascii="宋体" w:hAnsi="宋体"/>
          <w:color w:val="auto"/>
          <w:szCs w:val="21"/>
          <w:highlight w:val="none"/>
        </w:rPr>
        <w:t>组成，或</w:t>
      </w:r>
      <w:r>
        <w:rPr>
          <w:rFonts w:ascii="宋体" w:hAnsi="宋体"/>
          <w:color w:val="auto"/>
          <w:szCs w:val="21"/>
          <w:highlight w:val="none"/>
        </w:rPr>
        <w:t>未按本须知第13</w:t>
      </w:r>
      <w:r>
        <w:rPr>
          <w:rFonts w:hint="eastAsia" w:ascii="宋体" w:hAnsi="宋体"/>
          <w:color w:val="auto"/>
          <w:szCs w:val="21"/>
          <w:highlight w:val="none"/>
        </w:rPr>
        <w:t>条</w:t>
      </w:r>
      <w:r>
        <w:rPr>
          <w:rFonts w:ascii="宋体" w:hAnsi="宋体"/>
          <w:color w:val="auto"/>
          <w:szCs w:val="21"/>
          <w:highlight w:val="none"/>
        </w:rPr>
        <w:t>规定加盖</w:t>
      </w:r>
      <w:r>
        <w:rPr>
          <w:rFonts w:hint="eastAsia" w:ascii="宋体" w:hAnsi="宋体"/>
          <w:color w:val="auto"/>
          <w:szCs w:val="21"/>
          <w:highlight w:val="none"/>
        </w:rPr>
        <w:t>供应商单位公</w:t>
      </w:r>
      <w:r>
        <w:rPr>
          <w:rFonts w:ascii="宋体" w:hAnsi="宋体"/>
          <w:color w:val="auto"/>
          <w:szCs w:val="21"/>
          <w:highlight w:val="none"/>
        </w:rPr>
        <w:t>章</w:t>
      </w:r>
      <w:r>
        <w:rPr>
          <w:rFonts w:hint="eastAsia" w:ascii="宋体" w:hAnsi="宋体"/>
          <w:color w:val="auto"/>
          <w:szCs w:val="21"/>
          <w:highlight w:val="none"/>
        </w:rPr>
        <w:t>、</w:t>
      </w:r>
      <w:r>
        <w:rPr>
          <w:rFonts w:ascii="宋体" w:hAnsi="宋体"/>
          <w:color w:val="auto"/>
          <w:szCs w:val="21"/>
          <w:highlight w:val="none"/>
        </w:rPr>
        <w:t>未经法定代表人或其委托代理人签字的</w:t>
      </w:r>
      <w:r>
        <w:rPr>
          <w:rFonts w:hint="eastAsia" w:ascii="宋体" w:hAnsi="宋体"/>
          <w:color w:val="auto"/>
          <w:szCs w:val="21"/>
          <w:highlight w:val="none"/>
        </w:rPr>
        <w:t>；</w:t>
      </w:r>
    </w:p>
    <w:p w14:paraId="575E148E">
      <w:pPr>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 xml:space="preserve">21.2.2 </w:t>
      </w:r>
      <w:r>
        <w:rPr>
          <w:rFonts w:ascii="宋体" w:hAnsi="宋体"/>
          <w:color w:val="auto"/>
          <w:szCs w:val="21"/>
          <w:highlight w:val="none"/>
        </w:rPr>
        <w:t>由</w:t>
      </w:r>
      <w:r>
        <w:rPr>
          <w:rFonts w:hint="eastAsia" w:ascii="宋体" w:hAnsi="宋体"/>
          <w:color w:val="auto"/>
          <w:szCs w:val="21"/>
          <w:highlight w:val="none"/>
        </w:rPr>
        <w:t>授权</w:t>
      </w:r>
      <w:r>
        <w:rPr>
          <w:rFonts w:ascii="宋体" w:hAnsi="宋体"/>
          <w:color w:val="auto"/>
          <w:szCs w:val="21"/>
          <w:highlight w:val="none"/>
        </w:rPr>
        <w:t>委托代理人签字，但未随</w:t>
      </w:r>
      <w:r>
        <w:rPr>
          <w:rFonts w:hint="eastAsia" w:ascii="宋体" w:hAnsi="宋体"/>
          <w:color w:val="auto"/>
          <w:szCs w:val="21"/>
          <w:highlight w:val="none"/>
        </w:rPr>
        <w:t>响应文件</w:t>
      </w:r>
      <w:r>
        <w:rPr>
          <w:rFonts w:ascii="宋体" w:hAnsi="宋体"/>
          <w:color w:val="auto"/>
          <w:szCs w:val="21"/>
          <w:highlight w:val="none"/>
        </w:rPr>
        <w:t>一起提交有效的“授权委托书”原件的</w:t>
      </w:r>
      <w:r>
        <w:rPr>
          <w:rFonts w:hint="eastAsia" w:ascii="宋体" w:hAnsi="宋体"/>
          <w:color w:val="auto"/>
          <w:szCs w:val="21"/>
          <w:highlight w:val="none"/>
        </w:rPr>
        <w:t>，或者出具的身份证明与授权委托书中的信息不符</w:t>
      </w:r>
      <w:r>
        <w:rPr>
          <w:rFonts w:ascii="宋体" w:hAnsi="宋体"/>
          <w:color w:val="auto"/>
          <w:szCs w:val="21"/>
          <w:highlight w:val="none"/>
        </w:rPr>
        <w:t>；</w:t>
      </w:r>
    </w:p>
    <w:p w14:paraId="63884D5F">
      <w:pPr>
        <w:spacing w:line="460" w:lineRule="exact"/>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 xml:space="preserve">  21.2.3响应文件的实质性内容未使用中文表述、使用计量单位不符合磋商文件要求；或未采用人民币报价或者未按照磋商文件标明的币种报价。</w:t>
      </w:r>
    </w:p>
    <w:p w14:paraId="3079E140">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21.2.4供应商磋商报价高于本工程的采购上限控制价的；或者被磋商小组视为“低于成本”或者“明显不合理并有可能影响服务质量或不能诚信履约”的；</w:t>
      </w:r>
    </w:p>
    <w:p w14:paraId="66394B17">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21.2.5供应商未按照采购人提供的工程量清单格式编制，或修改了工程清单中的细目号、细目名称、单位、数量的；</w:t>
      </w:r>
    </w:p>
    <w:p w14:paraId="4B3C5BA1">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21.2.6修正后的报价，供应商不确认的；</w:t>
      </w:r>
    </w:p>
    <w:p w14:paraId="43FAAB29">
      <w:pPr>
        <w:spacing w:line="460" w:lineRule="exact"/>
        <w:ind w:firstLine="436"/>
        <w:rPr>
          <w:rFonts w:ascii="宋体" w:hAnsi="宋体"/>
          <w:color w:val="auto"/>
          <w:szCs w:val="21"/>
          <w:highlight w:val="none"/>
        </w:rPr>
      </w:pPr>
      <w:r>
        <w:rPr>
          <w:rFonts w:ascii="宋体" w:hAnsi="宋体"/>
          <w:color w:val="auto"/>
          <w:szCs w:val="21"/>
          <w:highlight w:val="none"/>
        </w:rPr>
        <w:t>21.2.</w:t>
      </w:r>
      <w:r>
        <w:rPr>
          <w:rFonts w:hint="eastAsia" w:ascii="宋体" w:hAnsi="宋体"/>
          <w:color w:val="auto"/>
          <w:szCs w:val="21"/>
          <w:highlight w:val="none"/>
        </w:rPr>
        <w:t>7响应文件</w:t>
      </w:r>
      <w:r>
        <w:rPr>
          <w:rFonts w:ascii="宋体" w:hAnsi="宋体"/>
          <w:color w:val="auto"/>
          <w:szCs w:val="21"/>
          <w:highlight w:val="none"/>
        </w:rPr>
        <w:t>内容</w:t>
      </w:r>
      <w:r>
        <w:rPr>
          <w:rFonts w:hint="eastAsia" w:ascii="宋体" w:hAnsi="宋体"/>
          <w:color w:val="auto"/>
          <w:szCs w:val="21"/>
          <w:highlight w:val="none"/>
        </w:rPr>
        <w:t>虚假的，或</w:t>
      </w:r>
      <w:r>
        <w:rPr>
          <w:rFonts w:ascii="宋体" w:hAnsi="宋体"/>
          <w:color w:val="auto"/>
          <w:szCs w:val="21"/>
          <w:highlight w:val="none"/>
        </w:rPr>
        <w:t>关键内容字迹模糊、</w:t>
      </w:r>
      <w:r>
        <w:rPr>
          <w:rFonts w:hint="eastAsia" w:ascii="宋体" w:hAnsi="宋体"/>
          <w:color w:val="auto"/>
          <w:szCs w:val="21"/>
          <w:highlight w:val="none"/>
        </w:rPr>
        <w:t>辨认</w:t>
      </w:r>
      <w:r>
        <w:rPr>
          <w:rFonts w:ascii="宋体" w:hAnsi="宋体"/>
          <w:color w:val="auto"/>
          <w:szCs w:val="21"/>
          <w:highlight w:val="none"/>
        </w:rPr>
        <w:t>不清</w:t>
      </w:r>
      <w:r>
        <w:rPr>
          <w:rFonts w:hint="eastAsia" w:ascii="宋体" w:hAnsi="宋体"/>
          <w:color w:val="auto"/>
          <w:szCs w:val="21"/>
          <w:highlight w:val="none"/>
        </w:rPr>
        <w:t>的</w:t>
      </w:r>
      <w:r>
        <w:rPr>
          <w:rFonts w:ascii="宋体" w:hAnsi="宋体"/>
          <w:color w:val="auto"/>
          <w:szCs w:val="21"/>
          <w:highlight w:val="none"/>
        </w:rPr>
        <w:t>；</w:t>
      </w:r>
    </w:p>
    <w:p w14:paraId="27456D17">
      <w:pPr>
        <w:spacing w:line="460" w:lineRule="exact"/>
        <w:ind w:firstLine="420" w:firstLineChars="200"/>
        <w:rPr>
          <w:rFonts w:ascii="宋体" w:hAnsi="宋体"/>
          <w:color w:val="auto"/>
          <w:szCs w:val="21"/>
          <w:highlight w:val="none"/>
        </w:rPr>
      </w:pPr>
      <w:r>
        <w:rPr>
          <w:rFonts w:ascii="宋体" w:hAnsi="宋体"/>
          <w:color w:val="auto"/>
          <w:szCs w:val="21"/>
          <w:highlight w:val="none"/>
        </w:rPr>
        <w:t>21.2.</w:t>
      </w:r>
      <w:r>
        <w:rPr>
          <w:rFonts w:hint="eastAsia" w:ascii="宋体" w:hAnsi="宋体"/>
          <w:color w:val="auto"/>
          <w:szCs w:val="21"/>
          <w:highlight w:val="none"/>
        </w:rPr>
        <w:t>8</w:t>
      </w:r>
      <w:r>
        <w:rPr>
          <w:rFonts w:ascii="宋体" w:hAnsi="宋体"/>
          <w:color w:val="auto"/>
          <w:szCs w:val="21"/>
          <w:highlight w:val="none"/>
        </w:rPr>
        <w:t xml:space="preserve"> </w:t>
      </w:r>
      <w:r>
        <w:rPr>
          <w:rFonts w:hint="eastAsia" w:ascii="宋体" w:hAnsi="宋体"/>
          <w:color w:val="auto"/>
          <w:szCs w:val="21"/>
          <w:highlight w:val="none"/>
        </w:rPr>
        <w:t>响应文件</w:t>
      </w:r>
      <w:r>
        <w:rPr>
          <w:rFonts w:ascii="宋体" w:hAnsi="宋体"/>
          <w:color w:val="auto"/>
          <w:szCs w:val="21"/>
          <w:highlight w:val="none"/>
        </w:rPr>
        <w:t>实质上没有响应磋商文件的</w:t>
      </w:r>
      <w:r>
        <w:rPr>
          <w:rFonts w:hint="eastAsia" w:ascii="宋体" w:hAnsi="宋体"/>
          <w:color w:val="auto"/>
          <w:szCs w:val="21"/>
          <w:highlight w:val="none"/>
        </w:rPr>
        <w:t>其它</w:t>
      </w:r>
      <w:r>
        <w:rPr>
          <w:rFonts w:ascii="宋体" w:hAnsi="宋体"/>
          <w:color w:val="auto"/>
          <w:szCs w:val="21"/>
          <w:highlight w:val="none"/>
        </w:rPr>
        <w:t>要求</w:t>
      </w:r>
      <w:r>
        <w:rPr>
          <w:rFonts w:hint="eastAsia" w:ascii="宋体" w:hAnsi="宋体"/>
          <w:color w:val="auto"/>
          <w:szCs w:val="21"/>
          <w:highlight w:val="none"/>
        </w:rPr>
        <w:t>的</w:t>
      </w:r>
      <w:r>
        <w:rPr>
          <w:rFonts w:ascii="宋体" w:hAnsi="宋体"/>
          <w:color w:val="auto"/>
          <w:szCs w:val="21"/>
          <w:highlight w:val="none"/>
        </w:rPr>
        <w:t>；</w:t>
      </w:r>
    </w:p>
    <w:p w14:paraId="7E8EC570">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21.2.9供应商采用总价优惠、总价百分比优惠或以报价调整函的方式进行磋商报价的；</w:t>
      </w:r>
    </w:p>
    <w:p w14:paraId="4922284F">
      <w:pPr>
        <w:spacing w:line="460" w:lineRule="exact"/>
        <w:ind w:firstLine="420"/>
        <w:rPr>
          <w:rFonts w:ascii="宋体" w:hAnsi="宋体"/>
          <w:color w:val="auto"/>
          <w:szCs w:val="21"/>
          <w:highlight w:val="none"/>
        </w:rPr>
      </w:pPr>
      <w:r>
        <w:rPr>
          <w:rFonts w:hint="eastAsia" w:ascii="宋体" w:hAnsi="宋体"/>
          <w:color w:val="auto"/>
          <w:szCs w:val="21"/>
          <w:highlight w:val="none"/>
        </w:rPr>
        <w:t>21.2.10供应商不具备独立法人资格或作为独立法人资格但就本工程提交一个以上的响应文件的；</w:t>
      </w:r>
    </w:p>
    <w:p w14:paraId="5C861AB6">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21.2.11有下列情形之一的视为供应商相互串通磋商，响应文件将被视为无效:</w:t>
      </w:r>
    </w:p>
    <w:p w14:paraId="51DF0D4F">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（1）不同供应商的响应文件由同一单位或者个人编制；或不同供应商编制文件的IP地址一致的；</w:t>
      </w:r>
    </w:p>
    <w:p w14:paraId="1C8FA8D7">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（2）不同供应商委托同一单位或者个人办理磋商事宜；</w:t>
      </w:r>
    </w:p>
    <w:p w14:paraId="62713BA6">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（3）不同供应商的响应文件载明的项目管理成员或者联系人员为同一人；</w:t>
      </w:r>
    </w:p>
    <w:p w14:paraId="7505D7A8">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（4）不同供应商的响应文件异常一致或磋商报价呈规律性差异；</w:t>
      </w:r>
    </w:p>
    <w:p w14:paraId="06654ECB">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（5）不同供应商的响应文件资料相互混装；</w:t>
      </w:r>
    </w:p>
    <w:p w14:paraId="7895B390">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（6）不同供应商的磋商保证金从同一个单位或者个人账户转出。</w:t>
      </w:r>
    </w:p>
    <w:p w14:paraId="315BBF43">
      <w:pPr>
        <w:adjustRightInd w:val="0"/>
        <w:snapToGrid w:val="0"/>
        <w:spacing w:line="460" w:lineRule="exact"/>
        <w:ind w:firstLine="411" w:firstLineChars="196"/>
        <w:rPr>
          <w:rFonts w:ascii="宋体" w:hAnsi="宋体"/>
          <w:color w:val="auto"/>
          <w:szCs w:val="21"/>
          <w:highlight w:val="none"/>
        </w:rPr>
      </w:pPr>
      <w:r>
        <w:rPr>
          <w:rFonts w:hint="eastAsia" w:ascii="宋体" w:hAnsi="宋体"/>
          <w:color w:val="auto"/>
          <w:szCs w:val="21"/>
          <w:highlight w:val="none"/>
        </w:rPr>
        <w:t>21.2.12单位负责人为同一人或者存在直接控股、管理关系的不同供应商，参加同一合同项下的政府采购活动；</w:t>
      </w:r>
    </w:p>
    <w:p w14:paraId="70FA8015">
      <w:pPr>
        <w:adjustRightInd w:val="0"/>
        <w:snapToGrid w:val="0"/>
        <w:spacing w:line="460" w:lineRule="exact"/>
        <w:ind w:firstLine="413" w:firstLineChars="196"/>
        <w:rPr>
          <w:rFonts w:ascii="宋体" w:hAnsi="宋体"/>
          <w:b/>
          <w:color w:val="auto"/>
          <w:szCs w:val="21"/>
          <w:highlight w:val="none"/>
        </w:rPr>
      </w:pPr>
      <w:r>
        <w:rPr>
          <w:rFonts w:hint="eastAsia" w:ascii="宋体" w:hAnsi="宋体"/>
          <w:b/>
          <w:color w:val="auto"/>
          <w:szCs w:val="21"/>
          <w:highlight w:val="none"/>
        </w:rPr>
        <w:t>21.2.13其他响应无效的情形：</w:t>
      </w:r>
    </w:p>
    <w:p w14:paraId="00BA2231">
      <w:pPr>
        <w:adjustRightInd w:val="0"/>
        <w:snapToGrid w:val="0"/>
        <w:spacing w:line="460" w:lineRule="exact"/>
        <w:ind w:firstLine="413" w:firstLineChars="196"/>
        <w:rPr>
          <w:rFonts w:ascii="宋体" w:hAnsi="宋体"/>
          <w:b/>
          <w:color w:val="auto"/>
          <w:szCs w:val="21"/>
          <w:highlight w:val="none"/>
        </w:rPr>
      </w:pPr>
      <w:r>
        <w:rPr>
          <w:rFonts w:hint="eastAsia" w:ascii="宋体" w:hAnsi="宋体"/>
          <w:b/>
          <w:color w:val="auto"/>
          <w:szCs w:val="21"/>
          <w:highlight w:val="none"/>
        </w:rPr>
        <w:t>（1）响应</w:t>
      </w:r>
      <w:r>
        <w:rPr>
          <w:rFonts w:ascii="宋体" w:hAnsi="宋体"/>
          <w:b/>
          <w:color w:val="auto"/>
          <w:szCs w:val="21"/>
          <w:highlight w:val="none"/>
        </w:rPr>
        <w:t>文件未按</w:t>
      </w:r>
      <w:r>
        <w:rPr>
          <w:rFonts w:hint="eastAsia" w:ascii="宋体" w:hAnsi="宋体"/>
          <w:b/>
          <w:color w:val="auto"/>
          <w:szCs w:val="21"/>
          <w:highlight w:val="none"/>
        </w:rPr>
        <w:t>磋商</w:t>
      </w:r>
      <w:r>
        <w:rPr>
          <w:rFonts w:ascii="宋体" w:hAnsi="宋体"/>
          <w:b/>
          <w:color w:val="auto"/>
          <w:szCs w:val="21"/>
          <w:highlight w:val="none"/>
        </w:rPr>
        <w:t>文件要求签署</w:t>
      </w:r>
      <w:r>
        <w:rPr>
          <w:rFonts w:hint="eastAsia" w:ascii="宋体" w:hAnsi="宋体"/>
          <w:b/>
          <w:color w:val="auto"/>
          <w:szCs w:val="21"/>
          <w:highlight w:val="none"/>
        </w:rPr>
        <w:t>或</w:t>
      </w:r>
      <w:r>
        <w:rPr>
          <w:rFonts w:ascii="宋体" w:hAnsi="宋体"/>
          <w:b/>
          <w:color w:val="auto"/>
          <w:szCs w:val="21"/>
          <w:highlight w:val="none"/>
        </w:rPr>
        <w:t>CA电子签章的；</w:t>
      </w:r>
    </w:p>
    <w:p w14:paraId="18147A17">
      <w:pPr>
        <w:adjustRightInd w:val="0"/>
        <w:snapToGrid w:val="0"/>
        <w:spacing w:line="460" w:lineRule="exact"/>
        <w:ind w:firstLine="413" w:firstLineChars="196"/>
        <w:rPr>
          <w:rFonts w:ascii="宋体" w:hAnsi="宋体"/>
          <w:b/>
          <w:color w:val="auto"/>
          <w:szCs w:val="21"/>
          <w:highlight w:val="none"/>
        </w:rPr>
      </w:pPr>
      <w:r>
        <w:rPr>
          <w:rFonts w:hint="eastAsia" w:ascii="宋体" w:hAnsi="宋体"/>
          <w:b/>
          <w:color w:val="auto"/>
          <w:szCs w:val="21"/>
          <w:highlight w:val="none"/>
        </w:rPr>
        <w:t>（2）供应商</w:t>
      </w:r>
      <w:r>
        <w:rPr>
          <w:rFonts w:ascii="宋体" w:hAnsi="宋体"/>
          <w:b/>
          <w:color w:val="auto"/>
          <w:szCs w:val="21"/>
          <w:highlight w:val="none"/>
        </w:rPr>
        <w:t>提交两份或两份以上内容不同的</w:t>
      </w:r>
      <w:r>
        <w:rPr>
          <w:rFonts w:hint="eastAsia" w:ascii="宋体" w:hAnsi="宋体"/>
          <w:b/>
          <w:color w:val="auto"/>
          <w:szCs w:val="21"/>
          <w:highlight w:val="none"/>
        </w:rPr>
        <w:t>响应</w:t>
      </w:r>
      <w:r>
        <w:rPr>
          <w:rFonts w:ascii="宋体" w:hAnsi="宋体"/>
          <w:b/>
          <w:color w:val="auto"/>
          <w:szCs w:val="21"/>
          <w:highlight w:val="none"/>
        </w:rPr>
        <w:t>文件；</w:t>
      </w:r>
    </w:p>
    <w:p w14:paraId="097A74F1">
      <w:pPr>
        <w:adjustRightInd w:val="0"/>
        <w:snapToGrid w:val="0"/>
        <w:spacing w:line="460" w:lineRule="exact"/>
        <w:ind w:firstLine="413" w:firstLineChars="196"/>
        <w:rPr>
          <w:rFonts w:ascii="宋体" w:hAnsi="宋体"/>
          <w:b/>
          <w:color w:val="auto"/>
          <w:szCs w:val="21"/>
          <w:highlight w:val="none"/>
        </w:rPr>
      </w:pPr>
      <w:r>
        <w:rPr>
          <w:rFonts w:hint="eastAsia" w:ascii="宋体" w:hAnsi="宋体"/>
          <w:b/>
          <w:color w:val="auto"/>
          <w:szCs w:val="21"/>
          <w:highlight w:val="none"/>
        </w:rPr>
        <w:t>（3）供应商</w:t>
      </w:r>
      <w:r>
        <w:rPr>
          <w:rFonts w:ascii="宋体" w:hAnsi="宋体"/>
          <w:b/>
          <w:color w:val="auto"/>
          <w:szCs w:val="21"/>
          <w:highlight w:val="none"/>
        </w:rPr>
        <w:t>在线制作</w:t>
      </w:r>
      <w:r>
        <w:rPr>
          <w:rFonts w:hint="eastAsia" w:ascii="宋体" w:hAnsi="宋体"/>
          <w:b/>
          <w:color w:val="auto"/>
          <w:szCs w:val="21"/>
          <w:highlight w:val="none"/>
        </w:rPr>
        <w:t>响应</w:t>
      </w:r>
      <w:r>
        <w:rPr>
          <w:rFonts w:ascii="宋体" w:hAnsi="宋体"/>
          <w:b/>
          <w:color w:val="auto"/>
          <w:szCs w:val="21"/>
          <w:highlight w:val="none"/>
        </w:rPr>
        <w:t>文件时</w:t>
      </w:r>
      <w:r>
        <w:rPr>
          <w:rFonts w:hint="eastAsia" w:ascii="宋体" w:hAnsi="宋体"/>
          <w:b/>
          <w:color w:val="auto"/>
          <w:szCs w:val="21"/>
          <w:highlight w:val="none"/>
        </w:rPr>
        <w:t>填写的报价金额</w:t>
      </w:r>
      <w:r>
        <w:rPr>
          <w:rFonts w:ascii="宋体" w:hAnsi="宋体"/>
          <w:b/>
          <w:color w:val="auto"/>
          <w:szCs w:val="21"/>
          <w:highlight w:val="none"/>
        </w:rPr>
        <w:t>与解密后“电子加密投标文件”中《</w:t>
      </w:r>
      <w:r>
        <w:rPr>
          <w:rFonts w:hint="eastAsia" w:ascii="宋体" w:hAnsi="宋体"/>
          <w:b/>
          <w:color w:val="auto"/>
          <w:szCs w:val="21"/>
          <w:highlight w:val="none"/>
        </w:rPr>
        <w:t>磋商函</w:t>
      </w:r>
      <w:r>
        <w:rPr>
          <w:rFonts w:ascii="宋体" w:hAnsi="宋体"/>
          <w:b/>
          <w:color w:val="auto"/>
          <w:szCs w:val="21"/>
          <w:highlight w:val="none"/>
        </w:rPr>
        <w:t>》填写的金额不一致并拒绝按</w:t>
      </w:r>
      <w:r>
        <w:rPr>
          <w:rFonts w:hint="eastAsia" w:ascii="宋体" w:hAnsi="宋体"/>
          <w:b/>
          <w:color w:val="auto"/>
          <w:szCs w:val="21"/>
          <w:highlight w:val="none"/>
        </w:rPr>
        <w:t>磋商</w:t>
      </w:r>
      <w:r>
        <w:rPr>
          <w:rFonts w:ascii="宋体" w:hAnsi="宋体"/>
          <w:b/>
          <w:color w:val="auto"/>
          <w:szCs w:val="21"/>
          <w:highlight w:val="none"/>
        </w:rPr>
        <w:t>文件要求接受调整的；</w:t>
      </w:r>
    </w:p>
    <w:p w14:paraId="0E4332F8">
      <w:pPr>
        <w:adjustRightInd w:val="0"/>
        <w:snapToGrid w:val="0"/>
        <w:spacing w:line="460" w:lineRule="exact"/>
        <w:ind w:firstLine="413" w:firstLineChars="196"/>
        <w:rPr>
          <w:rFonts w:ascii="宋体" w:hAnsi="宋体"/>
          <w:b/>
          <w:color w:val="auto"/>
          <w:szCs w:val="21"/>
          <w:highlight w:val="none"/>
        </w:rPr>
      </w:pPr>
      <w:r>
        <w:rPr>
          <w:rFonts w:hint="eastAsia" w:ascii="宋体" w:hAnsi="宋体"/>
          <w:b/>
          <w:color w:val="auto"/>
          <w:szCs w:val="21"/>
          <w:highlight w:val="none"/>
        </w:rPr>
        <w:t>（4）</w:t>
      </w:r>
      <w:r>
        <w:rPr>
          <w:rFonts w:ascii="宋体" w:hAnsi="宋体"/>
          <w:b/>
          <w:color w:val="auto"/>
          <w:szCs w:val="21"/>
          <w:highlight w:val="none"/>
        </w:rPr>
        <w:t>法律、法规和</w:t>
      </w:r>
      <w:r>
        <w:rPr>
          <w:rFonts w:hint="eastAsia" w:ascii="宋体" w:hAnsi="宋体"/>
          <w:b/>
          <w:color w:val="auto"/>
          <w:szCs w:val="21"/>
          <w:highlight w:val="none"/>
        </w:rPr>
        <w:t>磋商</w:t>
      </w:r>
      <w:r>
        <w:rPr>
          <w:rFonts w:ascii="宋体" w:hAnsi="宋体"/>
          <w:b/>
          <w:color w:val="auto"/>
          <w:szCs w:val="21"/>
          <w:highlight w:val="none"/>
        </w:rPr>
        <w:t>文件规定的其他无效情形（或出现重大偏差）。</w:t>
      </w:r>
    </w:p>
    <w:p w14:paraId="73587D16">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21.3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BF66124">
      <w:pPr>
        <w:spacing w:line="460" w:lineRule="exact"/>
        <w:ind w:firstLine="420" w:firstLineChars="200"/>
        <w:rPr>
          <w:rFonts w:ascii="宋体" w:hAnsi="宋体"/>
          <w:color w:val="auto"/>
          <w:szCs w:val="21"/>
          <w:highlight w:val="none"/>
        </w:rPr>
      </w:pPr>
      <w:r>
        <w:rPr>
          <w:rFonts w:hint="eastAsia" w:ascii="宋体" w:hAnsi="宋体" w:cs="宋体"/>
          <w:color w:val="auto"/>
          <w:szCs w:val="21"/>
          <w:highlight w:val="none"/>
        </w:rPr>
        <w:t>21.4</w:t>
      </w:r>
      <w:r>
        <w:rPr>
          <w:rFonts w:hint="eastAsia" w:ascii="宋体" w:hAnsi="宋体"/>
          <w:color w:val="auto"/>
          <w:szCs w:val="21"/>
          <w:highlight w:val="none"/>
        </w:rPr>
        <w:t>通过符合性审查的合格供应商不足3家的，不得进入磋商环节，采购人或者采购代理机构应当重新开展采购活动。</w:t>
      </w:r>
    </w:p>
    <w:p w14:paraId="35FF7A24">
      <w:pPr>
        <w:pStyle w:val="5"/>
        <w:spacing w:before="0" w:after="0" w:line="460" w:lineRule="exact"/>
        <w:rPr>
          <w:rFonts w:ascii="宋体" w:hAnsi="宋体"/>
          <w:color w:val="auto"/>
          <w:sz w:val="21"/>
          <w:szCs w:val="21"/>
          <w:highlight w:val="none"/>
        </w:rPr>
      </w:pPr>
      <w:bookmarkStart w:id="115" w:name="_Toc18682823"/>
      <w:bookmarkStart w:id="116" w:name="_Toc26386"/>
      <w:bookmarkStart w:id="117" w:name="_Toc80818634"/>
      <w:bookmarkStart w:id="118" w:name="_Toc346264287"/>
      <w:bookmarkStart w:id="119" w:name="_Toc239659115"/>
      <w:r>
        <w:rPr>
          <w:rFonts w:hint="eastAsia" w:ascii="宋体" w:hAnsi="宋体"/>
          <w:color w:val="auto"/>
          <w:sz w:val="21"/>
          <w:szCs w:val="21"/>
          <w:highlight w:val="none"/>
        </w:rPr>
        <w:t>22.磋商与评标</w:t>
      </w:r>
      <w:bookmarkEnd w:id="115"/>
      <w:bookmarkEnd w:id="116"/>
      <w:bookmarkEnd w:id="117"/>
    </w:p>
    <w:p w14:paraId="1A676666">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22.1磋商</w:t>
      </w:r>
    </w:p>
    <w:p w14:paraId="0BA21658">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22.1.1截标后为与供应商磋商的时间，具体时间由采购代理机构另行通知。</w:t>
      </w:r>
    </w:p>
    <w:p w14:paraId="0AD3A200">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22.1.2</w:t>
      </w:r>
      <w:r>
        <w:rPr>
          <w:rFonts w:ascii="宋体" w:hAnsi="宋体"/>
          <w:color w:val="auto"/>
          <w:szCs w:val="21"/>
          <w:highlight w:val="none"/>
        </w:rPr>
        <w:t xml:space="preserve"> 磋商小组共3人以上单数依法组成，其中评审专家人数不得少于磋商小组成员总数的2/3</w:t>
      </w:r>
      <w:r>
        <w:rPr>
          <w:rFonts w:hint="eastAsia" w:ascii="宋体" w:hAnsi="宋体"/>
          <w:color w:val="auto"/>
          <w:szCs w:val="21"/>
          <w:highlight w:val="none"/>
        </w:rPr>
        <w:t>。在整个磋商过程中，磋商小组将负责对全部响应文件进行审查、磋商及评</w:t>
      </w:r>
      <w:r>
        <w:rPr>
          <w:rFonts w:ascii="宋体" w:hAnsi="宋体"/>
          <w:color w:val="auto"/>
          <w:szCs w:val="21"/>
          <w:highlight w:val="none"/>
        </w:rPr>
        <w:t>审</w:t>
      </w:r>
      <w:r>
        <w:rPr>
          <w:rFonts w:hint="eastAsia" w:ascii="宋体" w:hAnsi="宋体"/>
          <w:color w:val="auto"/>
          <w:szCs w:val="21"/>
          <w:highlight w:val="none"/>
        </w:rPr>
        <w:t>工作。</w:t>
      </w:r>
    </w:p>
    <w:p w14:paraId="2FAF9483">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22.1.3采购代理机构将在本须知规定组织磋商小组与各供应商分别进行磋商。供应商可由1～3人组成参谈组，磋商中供应商成员之间意见不一致时，以供应商的法定代表人（或其委托代理人）的意见为准。</w:t>
      </w:r>
    </w:p>
    <w:p w14:paraId="6DD04A7E">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22.1.4</w:t>
      </w:r>
      <w:r>
        <w:rPr>
          <w:rFonts w:ascii="宋体" w:hAnsi="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4219FB1A">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22.1.5由</w:t>
      </w:r>
      <w:r>
        <w:rPr>
          <w:rFonts w:ascii="宋体" w:hAnsi="宋体"/>
          <w:color w:val="auto"/>
          <w:szCs w:val="21"/>
          <w:highlight w:val="none"/>
        </w:rPr>
        <w:t>磋商小组</w:t>
      </w:r>
      <w:r>
        <w:rPr>
          <w:rFonts w:hint="eastAsia" w:ascii="宋体" w:hAnsi="宋体"/>
          <w:color w:val="auto"/>
          <w:szCs w:val="21"/>
          <w:highlight w:val="none"/>
        </w:rPr>
        <w:t>按照供应商须知前附表确定的顺序，集中与单一供应商分别进行磋商，给予所有参加磋商的供应商平等的磋商机会。由</w:t>
      </w:r>
      <w:r>
        <w:rPr>
          <w:rFonts w:ascii="宋体" w:hAnsi="宋体"/>
          <w:color w:val="auto"/>
          <w:szCs w:val="21"/>
          <w:highlight w:val="none"/>
        </w:rPr>
        <w:t>磋商小组</w:t>
      </w:r>
      <w:r>
        <w:rPr>
          <w:rFonts w:hint="eastAsia" w:ascii="宋体" w:hAnsi="宋体"/>
          <w:color w:val="auto"/>
          <w:szCs w:val="21"/>
          <w:highlight w:val="none"/>
        </w:rPr>
        <w:t>发起询标进行磋商，同时采购代理机构可通知各供应商，通知的联系方式以供应商在</w:t>
      </w:r>
      <w:r>
        <w:rPr>
          <w:rFonts w:hint="eastAsia" w:ascii="宋体" w:hAnsi="宋体"/>
          <w:color w:val="auto"/>
          <w:szCs w:val="21"/>
          <w:highlight w:val="none"/>
          <w:lang w:eastAsia="zh-CN"/>
        </w:rPr>
        <w:t>广西政府采购云</w:t>
      </w:r>
      <w:r>
        <w:rPr>
          <w:rFonts w:hint="eastAsia" w:ascii="宋体" w:hAnsi="宋体"/>
          <w:color w:val="auto"/>
          <w:szCs w:val="21"/>
          <w:highlight w:val="none"/>
        </w:rPr>
        <w:t>平台“获取采购文件”填写联系人的手机号为准，各供应商应在线关注询标信息并保证提供的联系方保持通讯畅通，接到在线询标信息后应在20分钟内进行询标回复；磋商结束后，供应商按磋商小组要求的时间内递交磋商时要求其就商务和技术条件作出的包含补充、修改、承诺、最终报价等内容的应答文件在线提交，应答文件必须由供应商的法定代表人或委托代理人签名或盖公章，应答文件构成响应文件的一部分。</w:t>
      </w:r>
    </w:p>
    <w:p w14:paraId="0EC0CAFE">
      <w:pPr>
        <w:spacing w:line="460" w:lineRule="exact"/>
        <w:ind w:firstLine="420" w:firstLineChars="200"/>
        <w:rPr>
          <w:rFonts w:ascii="宋体" w:hAnsi="宋体"/>
          <w:color w:val="auto"/>
          <w:szCs w:val="21"/>
          <w:highlight w:val="none"/>
        </w:rPr>
      </w:pPr>
      <w:r>
        <w:rPr>
          <w:rFonts w:ascii="宋体" w:hAnsi="宋体"/>
          <w:color w:val="auto"/>
          <w:szCs w:val="21"/>
          <w:highlight w:val="none"/>
        </w:rPr>
        <w:t>磋商小组应当要求所有实质性响应的供应商在规定时间内提交最后报价，提交最后报价的供应商不得少于3家。</w:t>
      </w:r>
    </w:p>
    <w:p w14:paraId="2C288D36">
      <w:pPr>
        <w:pStyle w:val="24"/>
        <w:snapToGrid w:val="0"/>
        <w:spacing w:line="460" w:lineRule="exact"/>
        <w:jc w:val="left"/>
        <w:rPr>
          <w:rFonts w:hAnsi="宋体"/>
          <w:color w:val="auto"/>
          <w:szCs w:val="21"/>
          <w:highlight w:val="none"/>
        </w:rPr>
      </w:pPr>
      <w:r>
        <w:rPr>
          <w:rFonts w:hint="eastAsia" w:hAnsi="宋体"/>
          <w:color w:val="auto"/>
          <w:szCs w:val="21"/>
          <w:highlight w:val="none"/>
        </w:rPr>
        <w:t xml:space="preserve">    22.1.6作最后报价时，</w:t>
      </w:r>
      <w:r>
        <w:rPr>
          <w:rFonts w:hint="eastAsia" w:hAnsi="宋体"/>
          <w:b/>
          <w:color w:val="auto"/>
          <w:szCs w:val="21"/>
          <w:highlight w:val="none"/>
        </w:rPr>
        <w:t>供应商的最终报价文件必须以采购代理机构提供的工程量清单的格式编制或填写</w:t>
      </w:r>
      <w:r>
        <w:rPr>
          <w:rFonts w:hint="eastAsia" w:hAnsi="宋体"/>
          <w:color w:val="auto"/>
          <w:szCs w:val="21"/>
          <w:highlight w:val="none"/>
        </w:rPr>
        <w:t>，供应商不得采用总价优惠、总价百分比优惠或以报价调整函的方式进行最终磋商报价，其优惠应直接体现在各项磋商报价的单价中。供应商须提前做好相关准备并按时递交最终报价文件（因供应商原因无法在磋商时联系的或供应商未在规定的时间内提供最终报价文件，则以供应商最近一次报价的有效磋商报价为准）。</w:t>
      </w:r>
    </w:p>
    <w:p w14:paraId="38F315DB">
      <w:pPr>
        <w:pStyle w:val="24"/>
        <w:snapToGrid w:val="0"/>
        <w:spacing w:line="460" w:lineRule="exact"/>
        <w:jc w:val="left"/>
        <w:rPr>
          <w:rFonts w:hAnsi="宋体"/>
          <w:color w:val="auto"/>
          <w:szCs w:val="21"/>
          <w:highlight w:val="none"/>
        </w:rPr>
      </w:pPr>
      <w:r>
        <w:rPr>
          <w:rFonts w:hint="eastAsia" w:hAnsi="宋体"/>
          <w:color w:val="auto"/>
          <w:szCs w:val="21"/>
          <w:highlight w:val="none"/>
        </w:rPr>
        <w:t xml:space="preserve">    22.1.7</w:t>
      </w:r>
      <w:r>
        <w:rPr>
          <w:rFonts w:hAnsi="宋体"/>
          <w:color w:val="auto"/>
          <w:szCs w:val="21"/>
          <w:highlight w:val="none"/>
        </w:rPr>
        <w:t>已提交响应文件的供应商，在提交最</w:t>
      </w:r>
      <w:r>
        <w:rPr>
          <w:rFonts w:hint="eastAsia" w:hAnsi="宋体"/>
          <w:color w:val="auto"/>
          <w:szCs w:val="21"/>
          <w:highlight w:val="none"/>
        </w:rPr>
        <w:t>终</w:t>
      </w:r>
      <w:r>
        <w:rPr>
          <w:rFonts w:hAnsi="宋体"/>
          <w:color w:val="auto"/>
          <w:szCs w:val="21"/>
          <w:highlight w:val="none"/>
        </w:rPr>
        <w:t>报价之前，可以根据磋商情况退出磋商。经磋商确定最终采购需求和提交最</w:t>
      </w:r>
      <w:r>
        <w:rPr>
          <w:rFonts w:hint="eastAsia" w:hAnsi="宋体"/>
          <w:color w:val="auto"/>
          <w:szCs w:val="21"/>
          <w:highlight w:val="none"/>
        </w:rPr>
        <w:t>终</w:t>
      </w:r>
      <w:r>
        <w:rPr>
          <w:rFonts w:hAnsi="宋体"/>
          <w:color w:val="auto"/>
          <w:szCs w:val="21"/>
          <w:highlight w:val="none"/>
        </w:rPr>
        <w:t>报价的供应商后，由磋商小组采用综合评分法对提交最</w:t>
      </w:r>
      <w:r>
        <w:rPr>
          <w:rFonts w:hint="eastAsia" w:hAnsi="宋体"/>
          <w:color w:val="auto"/>
          <w:szCs w:val="21"/>
          <w:highlight w:val="none"/>
        </w:rPr>
        <w:t>终</w:t>
      </w:r>
      <w:r>
        <w:rPr>
          <w:rFonts w:hAnsi="宋体"/>
          <w:color w:val="auto"/>
          <w:szCs w:val="21"/>
          <w:highlight w:val="none"/>
        </w:rPr>
        <w:t>报价的供应商的响应文件和最</w:t>
      </w:r>
      <w:r>
        <w:rPr>
          <w:rFonts w:hint="eastAsia" w:hAnsi="宋体"/>
          <w:color w:val="auto"/>
          <w:szCs w:val="21"/>
          <w:highlight w:val="none"/>
        </w:rPr>
        <w:t>终</w:t>
      </w:r>
      <w:r>
        <w:rPr>
          <w:rFonts w:hAnsi="宋体"/>
          <w:color w:val="auto"/>
          <w:szCs w:val="21"/>
          <w:highlight w:val="none"/>
        </w:rPr>
        <w:t>报价进行综合评分。</w:t>
      </w:r>
    </w:p>
    <w:p w14:paraId="1B24AAE2">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22.1.8</w:t>
      </w:r>
      <w:r>
        <w:rPr>
          <w:rFonts w:ascii="宋体" w:hAnsi="宋体"/>
          <w:color w:val="auto"/>
          <w:szCs w:val="21"/>
          <w:highlight w:val="none"/>
        </w:rPr>
        <w:t>磋商</w:t>
      </w:r>
      <w:r>
        <w:rPr>
          <w:rFonts w:hint="eastAsia" w:ascii="宋体" w:hAnsi="宋体"/>
          <w:color w:val="auto"/>
          <w:szCs w:val="21"/>
          <w:highlight w:val="none"/>
        </w:rPr>
        <w:t>结束后，</w:t>
      </w:r>
      <w:r>
        <w:rPr>
          <w:rFonts w:ascii="宋体" w:hAnsi="宋体"/>
          <w:color w:val="auto"/>
          <w:szCs w:val="21"/>
          <w:highlight w:val="none"/>
        </w:rPr>
        <w:t>磋商</w:t>
      </w:r>
      <w:r>
        <w:rPr>
          <w:rFonts w:hint="eastAsia" w:ascii="宋体" w:hAnsi="宋体"/>
          <w:color w:val="auto"/>
          <w:szCs w:val="21"/>
          <w:highlight w:val="none"/>
        </w:rPr>
        <w:t>小组不得再与供应商进行任何形式的商谈。</w:t>
      </w:r>
    </w:p>
    <w:p w14:paraId="6399D66A">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22.1.9</w:t>
      </w:r>
      <w:r>
        <w:rPr>
          <w:rFonts w:ascii="宋体" w:hAnsi="宋体"/>
          <w:color w:val="auto"/>
          <w:szCs w:val="21"/>
          <w:highlight w:val="none"/>
        </w:rPr>
        <w:t>磋商</w:t>
      </w:r>
      <w:r>
        <w:rPr>
          <w:rFonts w:hint="eastAsia" w:ascii="宋体" w:hAnsi="宋体"/>
          <w:color w:val="auto"/>
          <w:szCs w:val="21"/>
          <w:highlight w:val="none"/>
        </w:rPr>
        <w:t>的任何一方不得透露与</w:t>
      </w:r>
      <w:r>
        <w:rPr>
          <w:rFonts w:ascii="宋体" w:hAnsi="宋体"/>
          <w:color w:val="auto"/>
          <w:szCs w:val="21"/>
          <w:highlight w:val="none"/>
        </w:rPr>
        <w:t>磋商</w:t>
      </w:r>
      <w:r>
        <w:rPr>
          <w:rFonts w:hint="eastAsia" w:ascii="宋体" w:hAnsi="宋体"/>
          <w:color w:val="auto"/>
          <w:szCs w:val="21"/>
          <w:highlight w:val="none"/>
        </w:rPr>
        <w:t>有关的其他供应商的技术资料、价格和其他信息。</w:t>
      </w:r>
    </w:p>
    <w:p w14:paraId="6E8D469B">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22.2 评审</w:t>
      </w:r>
    </w:p>
    <w:p w14:paraId="1AF7D97D">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22.2.1本采购项目</w:t>
      </w:r>
      <w:r>
        <w:rPr>
          <w:rFonts w:hint="eastAsia" w:ascii="宋体" w:hAnsi="宋体"/>
          <w:color w:val="auto"/>
          <w:spacing w:val="2"/>
          <w:szCs w:val="21"/>
          <w:highlight w:val="none"/>
        </w:rPr>
        <w:t>对通过资格审查和符合性审查评审为合格的响应文件</w:t>
      </w:r>
      <w:r>
        <w:rPr>
          <w:rFonts w:hint="eastAsia" w:ascii="宋体" w:hAnsi="宋体"/>
          <w:color w:val="auto"/>
          <w:szCs w:val="21"/>
          <w:highlight w:val="none"/>
        </w:rPr>
        <w:t>采用</w:t>
      </w:r>
      <w:r>
        <w:rPr>
          <w:rFonts w:hint="eastAsia" w:ascii="宋体" w:hAnsi="宋体"/>
          <w:color w:val="auto"/>
          <w:spacing w:val="2"/>
          <w:szCs w:val="21"/>
          <w:highlight w:val="none"/>
        </w:rPr>
        <w:t>综合评分</w:t>
      </w:r>
      <w:r>
        <w:rPr>
          <w:rFonts w:ascii="宋体" w:hAnsi="宋体"/>
          <w:color w:val="auto"/>
          <w:spacing w:val="2"/>
          <w:szCs w:val="21"/>
          <w:highlight w:val="none"/>
        </w:rPr>
        <w:t>法</w:t>
      </w:r>
      <w:r>
        <w:rPr>
          <w:rFonts w:hint="eastAsia" w:ascii="宋体" w:hAnsi="宋体"/>
          <w:color w:val="auto"/>
          <w:szCs w:val="21"/>
          <w:highlight w:val="none"/>
        </w:rPr>
        <w:t>，评标依据为磋商文件和响应文件及</w:t>
      </w:r>
      <w:r>
        <w:rPr>
          <w:rFonts w:ascii="宋体" w:hAnsi="宋体"/>
          <w:color w:val="auto"/>
          <w:szCs w:val="21"/>
          <w:highlight w:val="none"/>
        </w:rPr>
        <w:t>磋商</w:t>
      </w:r>
      <w:r>
        <w:rPr>
          <w:rFonts w:hint="eastAsia" w:ascii="宋体" w:hAnsi="宋体"/>
          <w:color w:val="auto"/>
          <w:szCs w:val="21"/>
          <w:highlight w:val="none"/>
        </w:rPr>
        <w:t>应答文件。</w:t>
      </w:r>
    </w:p>
    <w:p w14:paraId="73F07589">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22.2.2评标工作将采取封闭方式进行，</w:t>
      </w:r>
      <w:r>
        <w:rPr>
          <w:rFonts w:ascii="宋体" w:hAnsi="宋体"/>
          <w:color w:val="auto"/>
          <w:szCs w:val="21"/>
          <w:highlight w:val="none"/>
        </w:rPr>
        <w:t>磋商</w:t>
      </w:r>
      <w:r>
        <w:rPr>
          <w:rFonts w:hint="eastAsia" w:ascii="宋体" w:hAnsi="宋体"/>
          <w:color w:val="auto"/>
          <w:szCs w:val="21"/>
          <w:highlight w:val="none"/>
        </w:rPr>
        <w:t>小组成员和有关工作人员不得透露对响应文件的评审、比较和成交候选供应商的推荐情况以及与评标有关的其他情况。</w:t>
      </w:r>
    </w:p>
    <w:p w14:paraId="10961E31">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22.3供应商在评标过程中，所进行的力图影响评标结果公正性的活动，将可能导致其成交资格被取消。</w:t>
      </w:r>
    </w:p>
    <w:p w14:paraId="3FC421E8">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22.4供应商磋商报价超出采购上限控制价则磋商无效。如果全部供应商的磋商报价均超出采购上限控制价，采购人不能支付的，由采购单位重新组织采购。</w:t>
      </w:r>
    </w:p>
    <w:p w14:paraId="70894EF3">
      <w:pPr>
        <w:pStyle w:val="4"/>
        <w:spacing w:before="0" w:after="0" w:line="460" w:lineRule="exact"/>
        <w:rPr>
          <w:rFonts w:ascii="宋体" w:hAnsi="宋体" w:eastAsia="宋体"/>
          <w:color w:val="auto"/>
          <w:sz w:val="21"/>
          <w:szCs w:val="21"/>
          <w:highlight w:val="none"/>
        </w:rPr>
      </w:pPr>
      <w:bookmarkStart w:id="120" w:name="_Toc18682824"/>
      <w:bookmarkStart w:id="121" w:name="_Toc1035"/>
      <w:bookmarkStart w:id="122" w:name="_Toc80818635"/>
      <w:r>
        <w:rPr>
          <w:rFonts w:hint="eastAsia" w:ascii="宋体" w:hAnsi="宋体" w:eastAsia="宋体"/>
          <w:color w:val="auto"/>
          <w:sz w:val="21"/>
          <w:szCs w:val="21"/>
          <w:highlight w:val="none"/>
        </w:rPr>
        <w:t>23.</w:t>
      </w:r>
      <w:bookmarkEnd w:id="118"/>
      <w:bookmarkEnd w:id="120"/>
      <w:r>
        <w:rPr>
          <w:rFonts w:hint="eastAsia" w:ascii="宋体" w:hAnsi="宋体" w:eastAsia="宋体"/>
          <w:color w:val="auto"/>
          <w:sz w:val="21"/>
          <w:szCs w:val="21"/>
          <w:highlight w:val="none"/>
        </w:rPr>
        <w:t xml:space="preserve"> 废标的情形</w:t>
      </w:r>
      <w:bookmarkEnd w:id="121"/>
      <w:bookmarkEnd w:id="122"/>
    </w:p>
    <w:p w14:paraId="7D693DB4">
      <w:pPr>
        <w:pStyle w:val="24"/>
        <w:spacing w:line="460" w:lineRule="exact"/>
        <w:ind w:left="525"/>
        <w:rPr>
          <w:rFonts w:hAnsi="宋体"/>
          <w:color w:val="auto"/>
          <w:szCs w:val="21"/>
          <w:highlight w:val="none"/>
        </w:rPr>
      </w:pPr>
      <w:r>
        <w:rPr>
          <w:rFonts w:hint="eastAsia" w:hAnsi="宋体"/>
          <w:color w:val="auto"/>
          <w:szCs w:val="21"/>
          <w:highlight w:val="none"/>
        </w:rPr>
        <w:t>属于下列情形之一的，应予废标：</w:t>
      </w:r>
    </w:p>
    <w:p w14:paraId="676272CC">
      <w:pPr>
        <w:tabs>
          <w:tab w:val="left" w:pos="975"/>
        </w:tabs>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（1）采购过程中符合要求的供应商或者报价未超过采购预算的供应商不足3家的；</w:t>
      </w:r>
    </w:p>
    <w:p w14:paraId="4A6407D5">
      <w:pPr>
        <w:tabs>
          <w:tab w:val="left" w:pos="975"/>
        </w:tabs>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 xml:space="preserve"> (2)出现影响采购公正的违法、违规行为的;</w:t>
      </w:r>
    </w:p>
    <w:p w14:paraId="2ED42F9C">
      <w:pPr>
        <w:tabs>
          <w:tab w:val="left" w:pos="975"/>
        </w:tabs>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 xml:space="preserve"> (3)磋商文件内容违反国家有关强制性规定的;</w:t>
      </w:r>
    </w:p>
    <w:p w14:paraId="3C0D279D">
      <w:pPr>
        <w:tabs>
          <w:tab w:val="left" w:pos="975"/>
        </w:tabs>
        <w:snapToGrid w:val="0"/>
        <w:spacing w:line="440" w:lineRule="exact"/>
        <w:ind w:firstLine="514" w:firstLineChars="245"/>
        <w:jc w:val="left"/>
        <w:rPr>
          <w:rFonts w:ascii="宋体" w:hAnsi="宋体"/>
          <w:color w:val="auto"/>
          <w:szCs w:val="21"/>
          <w:highlight w:val="none"/>
        </w:rPr>
      </w:pPr>
      <w:r>
        <w:rPr>
          <w:rFonts w:hint="eastAsia" w:ascii="宋体" w:hAnsi="宋体"/>
          <w:color w:val="auto"/>
          <w:szCs w:val="21"/>
          <w:highlight w:val="none"/>
        </w:rPr>
        <w:t>(4)因重大变故,采购任务取消的;</w:t>
      </w:r>
    </w:p>
    <w:p w14:paraId="4F77AA3D">
      <w:pPr>
        <w:pStyle w:val="4"/>
        <w:spacing w:before="0" w:after="0" w:line="460" w:lineRule="exact"/>
        <w:rPr>
          <w:rFonts w:ascii="宋体" w:hAnsi="宋体" w:eastAsia="宋体"/>
          <w:color w:val="auto"/>
          <w:sz w:val="21"/>
          <w:szCs w:val="21"/>
          <w:highlight w:val="none"/>
        </w:rPr>
      </w:pPr>
      <w:bookmarkStart w:id="123" w:name="_Toc5604"/>
      <w:bookmarkStart w:id="124" w:name="_Toc18682825"/>
      <w:bookmarkStart w:id="125" w:name="_Toc346264288"/>
      <w:bookmarkStart w:id="126" w:name="_Toc80818636"/>
      <w:r>
        <w:rPr>
          <w:rFonts w:ascii="宋体" w:hAnsi="宋体" w:eastAsia="宋体"/>
          <w:color w:val="auto"/>
          <w:sz w:val="21"/>
          <w:szCs w:val="21"/>
          <w:highlight w:val="none"/>
        </w:rPr>
        <w:t>2</w:t>
      </w:r>
      <w:r>
        <w:rPr>
          <w:rFonts w:hint="eastAsia" w:ascii="宋体" w:hAnsi="宋体" w:eastAsia="宋体"/>
          <w:color w:val="auto"/>
          <w:sz w:val="21"/>
          <w:szCs w:val="21"/>
          <w:highlight w:val="none"/>
        </w:rPr>
        <w:t>4</w:t>
      </w:r>
      <w:r>
        <w:rPr>
          <w:rFonts w:ascii="宋体" w:hAnsi="宋体" w:eastAsia="宋体"/>
          <w:color w:val="auto"/>
          <w:sz w:val="21"/>
          <w:szCs w:val="21"/>
          <w:highlight w:val="none"/>
        </w:rPr>
        <w:t>.</w:t>
      </w:r>
      <w:r>
        <w:rPr>
          <w:rFonts w:hint="eastAsia" w:ascii="宋体" w:hAnsi="宋体" w:eastAsia="宋体"/>
          <w:color w:val="auto"/>
          <w:sz w:val="21"/>
          <w:szCs w:val="21"/>
          <w:highlight w:val="none"/>
        </w:rPr>
        <w:t>成交</w:t>
      </w:r>
      <w:r>
        <w:rPr>
          <w:rFonts w:ascii="宋体" w:hAnsi="宋体" w:eastAsia="宋体"/>
          <w:color w:val="auto"/>
          <w:sz w:val="21"/>
          <w:szCs w:val="21"/>
          <w:highlight w:val="none"/>
        </w:rPr>
        <w:t>公告</w:t>
      </w:r>
      <w:bookmarkEnd w:id="119"/>
      <w:bookmarkEnd w:id="123"/>
      <w:bookmarkEnd w:id="124"/>
      <w:bookmarkEnd w:id="125"/>
      <w:bookmarkEnd w:id="126"/>
    </w:p>
    <w:p w14:paraId="2E469DD6">
      <w:pPr>
        <w:pStyle w:val="24"/>
        <w:spacing w:line="460" w:lineRule="exact"/>
        <w:ind w:left="53" w:leftChars="25" w:firstLine="371" w:firstLineChars="177"/>
        <w:rPr>
          <w:rFonts w:hAnsi="宋体" w:cs="宋体"/>
          <w:color w:val="auto"/>
          <w:szCs w:val="21"/>
          <w:highlight w:val="none"/>
        </w:rPr>
      </w:pPr>
      <w:bookmarkStart w:id="127" w:name="_Toc239659116"/>
      <w:bookmarkStart w:id="128" w:name="_Toc346264289"/>
      <w:r>
        <w:rPr>
          <w:rFonts w:hint="eastAsia" w:hAnsi="宋体" w:cs="宋体"/>
          <w:color w:val="auto"/>
          <w:szCs w:val="21"/>
          <w:highlight w:val="none"/>
        </w:rPr>
        <w:t>24.1采购代理机构将在评审结束后2个工作日内将评审报告送采购人，采购人收到采购代理机构提交的评审报告后，2个工作日内确定成交供应商。采购人确认后，成交结果将在发布竞争性磋商公告的网站上公布，同时向成交人发出成交通知书。</w:t>
      </w:r>
    </w:p>
    <w:p w14:paraId="689AE678">
      <w:pPr>
        <w:spacing w:line="460" w:lineRule="exact"/>
        <w:rPr>
          <w:rFonts w:ascii="宋体" w:hAnsi="宋体" w:cs="宋体"/>
          <w:color w:val="auto"/>
          <w:szCs w:val="21"/>
          <w:highlight w:val="none"/>
        </w:rPr>
      </w:pPr>
      <w:r>
        <w:rPr>
          <w:rFonts w:hint="eastAsia" w:ascii="宋体" w:hAnsi="宋体" w:cs="宋体"/>
          <w:color w:val="auto"/>
          <w:szCs w:val="21"/>
          <w:highlight w:val="none"/>
        </w:rPr>
        <w:t xml:space="preserve">    24.2 供应商如对成交公告有异议，可以在成交公告期限届满之日起7个工作日内以书面形式向采购人或采购代理机构提出质疑。采购人或采购代理机构将在收到供应商的书面形式质疑后7个工作日内做出答复，但答复的内容不得涉及商业密秘。</w:t>
      </w:r>
    </w:p>
    <w:p w14:paraId="47E9C8CF">
      <w:pPr>
        <w:pStyle w:val="24"/>
        <w:spacing w:line="460" w:lineRule="exact"/>
        <w:ind w:left="53" w:leftChars="25" w:firstLine="371" w:firstLineChars="177"/>
        <w:rPr>
          <w:rFonts w:hAnsi="宋体" w:cs="宋体"/>
          <w:color w:val="auto"/>
          <w:szCs w:val="21"/>
          <w:highlight w:val="none"/>
        </w:rPr>
      </w:pPr>
      <w:r>
        <w:rPr>
          <w:rFonts w:hint="eastAsia" w:hAnsi="宋体" w:cs="宋体"/>
          <w:color w:val="auto"/>
          <w:szCs w:val="21"/>
          <w:highlight w:val="none"/>
        </w:rPr>
        <w:t>24.3 质疑供应商必须首先经过质疑程序，在对采购人或采购代理机构的答复不满意，或者采购人或采购代理机构未在规定的时间内做出答复的，可以在答复期满后15个工作日内书面向同级政府采购监督管理部门投诉。</w:t>
      </w:r>
    </w:p>
    <w:p w14:paraId="24861B10">
      <w:pPr>
        <w:pStyle w:val="4"/>
        <w:spacing w:before="0" w:after="0" w:line="460" w:lineRule="exact"/>
        <w:rPr>
          <w:rFonts w:ascii="宋体" w:hAnsi="宋体" w:eastAsia="宋体"/>
          <w:color w:val="auto"/>
          <w:sz w:val="21"/>
          <w:szCs w:val="21"/>
          <w:highlight w:val="none"/>
        </w:rPr>
      </w:pPr>
      <w:bookmarkStart w:id="129" w:name="_Toc80818637"/>
      <w:bookmarkStart w:id="130" w:name="_Toc18682826"/>
      <w:bookmarkStart w:id="131" w:name="_Toc21826"/>
      <w:r>
        <w:rPr>
          <w:rFonts w:ascii="宋体" w:hAnsi="宋体" w:eastAsia="宋体"/>
          <w:color w:val="auto"/>
          <w:sz w:val="21"/>
          <w:szCs w:val="21"/>
          <w:highlight w:val="none"/>
        </w:rPr>
        <w:t>2</w:t>
      </w:r>
      <w:r>
        <w:rPr>
          <w:rFonts w:hint="eastAsia" w:ascii="宋体" w:hAnsi="宋体" w:eastAsia="宋体"/>
          <w:color w:val="auto"/>
          <w:sz w:val="21"/>
          <w:szCs w:val="21"/>
          <w:highlight w:val="none"/>
        </w:rPr>
        <w:t>5</w:t>
      </w:r>
      <w:r>
        <w:rPr>
          <w:rFonts w:ascii="宋体" w:hAnsi="宋体" w:eastAsia="宋体"/>
          <w:color w:val="auto"/>
          <w:sz w:val="21"/>
          <w:szCs w:val="21"/>
          <w:highlight w:val="none"/>
        </w:rPr>
        <w:t>.</w:t>
      </w:r>
      <w:r>
        <w:rPr>
          <w:rFonts w:hint="eastAsia" w:ascii="宋体" w:hAnsi="宋体" w:eastAsia="宋体"/>
          <w:color w:val="auto"/>
          <w:sz w:val="21"/>
          <w:szCs w:val="21"/>
          <w:highlight w:val="none"/>
        </w:rPr>
        <w:t>成交</w:t>
      </w:r>
      <w:r>
        <w:rPr>
          <w:rFonts w:ascii="宋体" w:hAnsi="宋体" w:eastAsia="宋体"/>
          <w:color w:val="auto"/>
          <w:sz w:val="21"/>
          <w:szCs w:val="21"/>
          <w:highlight w:val="none"/>
        </w:rPr>
        <w:t>通知书</w:t>
      </w:r>
      <w:bookmarkEnd w:id="127"/>
      <w:bookmarkEnd w:id="128"/>
      <w:bookmarkEnd w:id="129"/>
      <w:bookmarkEnd w:id="130"/>
      <w:bookmarkEnd w:id="131"/>
    </w:p>
    <w:p w14:paraId="48397BC6">
      <w:pPr>
        <w:spacing w:line="460" w:lineRule="exact"/>
        <w:ind w:left="229" w:leftChars="109" w:firstLine="210" w:firstLineChars="1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5</w:t>
      </w:r>
      <w:r>
        <w:rPr>
          <w:rFonts w:ascii="宋体" w:hAnsi="宋体"/>
          <w:color w:val="auto"/>
          <w:szCs w:val="21"/>
          <w:highlight w:val="none"/>
        </w:rPr>
        <w:t>.1 在发布</w:t>
      </w:r>
      <w:r>
        <w:rPr>
          <w:rFonts w:hint="eastAsia" w:ascii="宋体" w:hAnsi="宋体"/>
          <w:color w:val="auto"/>
          <w:szCs w:val="21"/>
          <w:highlight w:val="none"/>
        </w:rPr>
        <w:t>成交</w:t>
      </w:r>
      <w:r>
        <w:rPr>
          <w:rFonts w:ascii="宋体" w:hAnsi="宋体"/>
          <w:color w:val="auto"/>
          <w:szCs w:val="21"/>
          <w:highlight w:val="none"/>
        </w:rPr>
        <w:t>公告的同时，向</w:t>
      </w:r>
      <w:r>
        <w:rPr>
          <w:rFonts w:hint="eastAsia" w:ascii="宋体" w:hAnsi="宋体"/>
          <w:color w:val="auto"/>
          <w:szCs w:val="21"/>
          <w:highlight w:val="none"/>
        </w:rPr>
        <w:t>成交</w:t>
      </w:r>
      <w:r>
        <w:rPr>
          <w:rFonts w:ascii="宋体" w:hAnsi="宋体"/>
          <w:color w:val="auto"/>
          <w:szCs w:val="21"/>
          <w:highlight w:val="none"/>
        </w:rPr>
        <w:t>单位发出书面成交通知书。</w:t>
      </w:r>
    </w:p>
    <w:p w14:paraId="2815E6BB">
      <w:pPr>
        <w:spacing w:line="460" w:lineRule="exact"/>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5</w:t>
      </w:r>
      <w:r>
        <w:rPr>
          <w:rFonts w:ascii="宋体" w:hAnsi="宋体"/>
          <w:color w:val="auto"/>
          <w:szCs w:val="21"/>
          <w:highlight w:val="none"/>
        </w:rPr>
        <w:t xml:space="preserve">.2 </w:t>
      </w:r>
      <w:r>
        <w:rPr>
          <w:rFonts w:hint="eastAsia" w:ascii="宋体" w:hAnsi="宋体"/>
          <w:color w:val="auto"/>
          <w:szCs w:val="21"/>
          <w:highlight w:val="none"/>
        </w:rPr>
        <w:t>成交</w:t>
      </w:r>
      <w:r>
        <w:rPr>
          <w:rFonts w:ascii="宋体" w:hAnsi="宋体"/>
          <w:color w:val="auto"/>
          <w:szCs w:val="21"/>
          <w:highlight w:val="none"/>
        </w:rPr>
        <w:t>通知书注明成交金额、</w:t>
      </w:r>
      <w:r>
        <w:rPr>
          <w:rFonts w:hint="eastAsia" w:ascii="宋体" w:hAnsi="宋体"/>
          <w:color w:val="auto"/>
          <w:szCs w:val="21"/>
          <w:highlight w:val="none"/>
        </w:rPr>
        <w:t>工期</w:t>
      </w:r>
      <w:r>
        <w:rPr>
          <w:rFonts w:ascii="宋体" w:hAnsi="宋体"/>
          <w:color w:val="auto"/>
          <w:szCs w:val="21"/>
          <w:highlight w:val="none"/>
        </w:rPr>
        <w:t>、质量及工程保修期等。</w:t>
      </w:r>
    </w:p>
    <w:p w14:paraId="24942339">
      <w:pPr>
        <w:spacing w:line="460" w:lineRule="exact"/>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5</w:t>
      </w:r>
      <w:r>
        <w:rPr>
          <w:rFonts w:ascii="宋体" w:hAnsi="宋体"/>
          <w:color w:val="auto"/>
          <w:szCs w:val="21"/>
          <w:highlight w:val="none"/>
        </w:rPr>
        <w:t xml:space="preserve">.3 </w:t>
      </w:r>
      <w:r>
        <w:rPr>
          <w:rFonts w:hint="eastAsia" w:ascii="宋体" w:hAnsi="宋体"/>
          <w:color w:val="auto"/>
          <w:szCs w:val="21"/>
          <w:highlight w:val="none"/>
        </w:rPr>
        <w:t>成交</w:t>
      </w:r>
      <w:r>
        <w:rPr>
          <w:rFonts w:ascii="宋体" w:hAnsi="宋体"/>
          <w:color w:val="auto"/>
          <w:szCs w:val="21"/>
          <w:highlight w:val="none"/>
        </w:rPr>
        <w:t>通知书为合同的组成部分。</w:t>
      </w:r>
    </w:p>
    <w:p w14:paraId="68D86D9E">
      <w:pPr>
        <w:pStyle w:val="4"/>
        <w:spacing w:before="0" w:after="0" w:line="460" w:lineRule="exact"/>
        <w:rPr>
          <w:rFonts w:ascii="宋体" w:hAnsi="宋体" w:eastAsia="宋体"/>
          <w:color w:val="auto"/>
          <w:sz w:val="21"/>
          <w:szCs w:val="21"/>
          <w:highlight w:val="none"/>
        </w:rPr>
      </w:pPr>
      <w:bookmarkStart w:id="132" w:name="_Toc18682827"/>
      <w:bookmarkStart w:id="133" w:name="_Toc346264290"/>
      <w:bookmarkStart w:id="134" w:name="_Toc80818638"/>
      <w:bookmarkStart w:id="135" w:name="_Toc239659117"/>
      <w:bookmarkStart w:id="136" w:name="_Toc27353"/>
      <w:r>
        <w:rPr>
          <w:rFonts w:ascii="宋体" w:hAnsi="宋体" w:eastAsia="宋体"/>
          <w:color w:val="auto"/>
          <w:sz w:val="21"/>
          <w:szCs w:val="21"/>
          <w:highlight w:val="none"/>
        </w:rPr>
        <w:t>26.合同签订</w:t>
      </w:r>
      <w:bookmarkEnd w:id="132"/>
      <w:bookmarkEnd w:id="133"/>
      <w:bookmarkEnd w:id="134"/>
      <w:bookmarkEnd w:id="135"/>
      <w:bookmarkEnd w:id="136"/>
    </w:p>
    <w:p w14:paraId="519449C6">
      <w:pPr>
        <w:spacing w:line="460" w:lineRule="exact"/>
        <w:ind w:left="50" w:leftChars="24" w:firstLine="363" w:firstLineChars="173"/>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6</w:t>
      </w:r>
      <w:r>
        <w:rPr>
          <w:rFonts w:ascii="宋体" w:hAnsi="宋体"/>
          <w:color w:val="auto"/>
          <w:szCs w:val="21"/>
          <w:highlight w:val="none"/>
        </w:rPr>
        <w:t xml:space="preserve">.1 </w:t>
      </w:r>
      <w:r>
        <w:rPr>
          <w:rFonts w:hint="eastAsia" w:ascii="宋体" w:hAnsi="宋体"/>
          <w:color w:val="auto"/>
          <w:szCs w:val="21"/>
          <w:highlight w:val="none"/>
        </w:rPr>
        <w:t>成交</w:t>
      </w:r>
      <w:r>
        <w:rPr>
          <w:rFonts w:ascii="宋体" w:hAnsi="宋体"/>
          <w:color w:val="auto"/>
          <w:szCs w:val="21"/>
          <w:highlight w:val="none"/>
        </w:rPr>
        <w:t>单位应按约定的时间，由法定代表人或授权代表与</w:t>
      </w:r>
      <w:r>
        <w:rPr>
          <w:rFonts w:hint="eastAsia" w:ascii="宋体" w:hAnsi="宋体"/>
          <w:color w:val="auto"/>
          <w:szCs w:val="21"/>
          <w:highlight w:val="none"/>
        </w:rPr>
        <w:t>采购人</w:t>
      </w:r>
      <w:r>
        <w:rPr>
          <w:rFonts w:ascii="宋体" w:hAnsi="宋体"/>
          <w:color w:val="auto"/>
          <w:szCs w:val="21"/>
          <w:highlight w:val="none"/>
        </w:rPr>
        <w:t>代表签订合同。</w:t>
      </w:r>
      <w:r>
        <w:rPr>
          <w:rFonts w:hint="eastAsia" w:ascii="宋体" w:hAnsi="宋体"/>
          <w:color w:val="auto"/>
          <w:szCs w:val="21"/>
          <w:highlight w:val="none"/>
        </w:rPr>
        <w:t>如成交人不按规定签订合同，则采购人可以与排名在成交人之后的成交候选人依次递补签订合同或重新组织采购。拒绝签订政府采购合同的成交供应商不得参加对该项目重新开展的采购活动。</w:t>
      </w:r>
    </w:p>
    <w:p w14:paraId="430BDC28">
      <w:pPr>
        <w:spacing w:line="460" w:lineRule="exact"/>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2合同签订必须符合</w:t>
      </w:r>
      <w:r>
        <w:rPr>
          <w:rFonts w:hint="eastAsia" w:ascii="宋体" w:hAnsi="宋体" w:cs="宋体"/>
          <w:color w:val="auto"/>
          <w:szCs w:val="21"/>
          <w:highlight w:val="none"/>
        </w:rPr>
        <w:t>《中华人民共和国政府采购法》、</w:t>
      </w:r>
      <w:r>
        <w:rPr>
          <w:rFonts w:hint="eastAsia" w:ascii="宋体" w:hAnsi="宋体" w:cs="Arial"/>
          <w:color w:val="auto"/>
          <w:szCs w:val="21"/>
          <w:highlight w:val="none"/>
        </w:rPr>
        <w:t>《中华人民共和国政府采购法实施条例》、</w:t>
      </w:r>
      <w:r>
        <w:rPr>
          <w:rFonts w:hint="eastAsia" w:ascii="宋体" w:hAnsi="宋体"/>
          <w:color w:val="auto"/>
          <w:szCs w:val="21"/>
          <w:highlight w:val="none"/>
        </w:rPr>
        <w:t>《政府采购竞争性磋商采购方式管理暂行办法》及《中华人民共和国民法典》的规定，否则由此造成的后果由采购人负责。</w:t>
      </w:r>
    </w:p>
    <w:p w14:paraId="2B452FED">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26.3财政部门根据已备案的政府采购合同办理合同款项的支付，对未正式备案的政府采购合同，将不予办理合同价款的支付。</w:t>
      </w:r>
    </w:p>
    <w:p w14:paraId="7389A389">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26.4</w:t>
      </w:r>
      <w:r>
        <w:rPr>
          <w:rFonts w:ascii="宋体" w:hAnsi="宋体"/>
          <w:color w:val="auto"/>
          <w:szCs w:val="21"/>
          <w:highlight w:val="none"/>
        </w:rPr>
        <w:t>如果</w:t>
      </w:r>
      <w:r>
        <w:rPr>
          <w:rFonts w:hint="eastAsia" w:ascii="宋体" w:hAnsi="宋体"/>
          <w:color w:val="auto"/>
          <w:szCs w:val="21"/>
          <w:highlight w:val="none"/>
        </w:rPr>
        <w:t>供应商</w:t>
      </w:r>
      <w:r>
        <w:rPr>
          <w:rFonts w:ascii="宋体" w:hAnsi="宋体"/>
          <w:color w:val="auto"/>
          <w:szCs w:val="21"/>
          <w:highlight w:val="none"/>
        </w:rPr>
        <w:t>不按本须知第2</w:t>
      </w:r>
      <w:r>
        <w:rPr>
          <w:rFonts w:hint="eastAsia" w:ascii="宋体" w:hAnsi="宋体"/>
          <w:color w:val="auto"/>
          <w:szCs w:val="21"/>
          <w:highlight w:val="none"/>
        </w:rPr>
        <w:t>6</w:t>
      </w:r>
      <w:r>
        <w:rPr>
          <w:rFonts w:ascii="宋体" w:hAnsi="宋体"/>
          <w:color w:val="auto"/>
          <w:szCs w:val="21"/>
          <w:highlight w:val="none"/>
        </w:rPr>
        <w:t>.1条的规定执行，采购人将有充分的理由废除授标。</w:t>
      </w:r>
    </w:p>
    <w:p w14:paraId="252812F5">
      <w:pPr>
        <w:pStyle w:val="4"/>
        <w:spacing w:before="0" w:after="0" w:line="460" w:lineRule="exact"/>
        <w:rPr>
          <w:rFonts w:ascii="宋体" w:hAnsi="宋体" w:eastAsia="宋体"/>
          <w:color w:val="auto"/>
          <w:sz w:val="21"/>
          <w:szCs w:val="21"/>
          <w:highlight w:val="none"/>
        </w:rPr>
      </w:pPr>
      <w:bookmarkStart w:id="137" w:name="_Toc239659118"/>
      <w:bookmarkStart w:id="138" w:name="_Toc346264291"/>
      <w:bookmarkStart w:id="139" w:name="_Toc22446"/>
      <w:bookmarkStart w:id="140" w:name="_Toc80818639"/>
      <w:bookmarkStart w:id="141" w:name="_Toc18682828"/>
      <w:r>
        <w:rPr>
          <w:rFonts w:ascii="宋体" w:hAnsi="宋体" w:eastAsia="宋体"/>
          <w:color w:val="auto"/>
          <w:sz w:val="21"/>
          <w:szCs w:val="21"/>
          <w:highlight w:val="none"/>
        </w:rPr>
        <w:t>2</w:t>
      </w:r>
      <w:bookmarkEnd w:id="137"/>
      <w:r>
        <w:rPr>
          <w:rFonts w:hint="eastAsia" w:ascii="宋体" w:hAnsi="宋体" w:eastAsia="宋体"/>
          <w:color w:val="auto"/>
          <w:sz w:val="21"/>
          <w:szCs w:val="21"/>
          <w:highlight w:val="none"/>
        </w:rPr>
        <w:t>7</w:t>
      </w:r>
      <w:r>
        <w:rPr>
          <w:rFonts w:ascii="宋体" w:hAnsi="宋体" w:eastAsia="宋体"/>
          <w:color w:val="auto"/>
          <w:sz w:val="21"/>
          <w:szCs w:val="21"/>
          <w:highlight w:val="none"/>
        </w:rPr>
        <w:t>.履约保证金</w:t>
      </w:r>
      <w:bookmarkEnd w:id="138"/>
      <w:bookmarkEnd w:id="139"/>
      <w:bookmarkEnd w:id="140"/>
      <w:bookmarkEnd w:id="141"/>
    </w:p>
    <w:p w14:paraId="4BC4A458">
      <w:pPr>
        <w:spacing w:line="460" w:lineRule="exact"/>
        <w:ind w:firstLine="420" w:firstLineChars="200"/>
        <w:jc w:val="left"/>
        <w:rPr>
          <w:rFonts w:ascii="宋体" w:hAnsi="宋体"/>
          <w:color w:val="auto"/>
          <w:szCs w:val="21"/>
          <w:highlight w:val="none"/>
        </w:rPr>
      </w:pPr>
      <w:bookmarkStart w:id="142" w:name="_Toc239659119"/>
      <w:r>
        <w:rPr>
          <w:rFonts w:hint="eastAsia" w:ascii="宋体" w:hAnsi="宋体"/>
          <w:color w:val="auto"/>
          <w:szCs w:val="21"/>
          <w:highlight w:val="none"/>
        </w:rPr>
        <w:t>27.1履约保证金按须知前附表的要求提交。如要求提交的，履约保证金如以</w:t>
      </w:r>
      <w:r>
        <w:rPr>
          <w:rFonts w:hint="eastAsia" w:ascii="宋体" w:hAnsi="宋体"/>
          <w:bCs/>
          <w:color w:val="auto"/>
          <w:szCs w:val="21"/>
          <w:highlight w:val="none"/>
        </w:rPr>
        <w:t>支票、汇票、本票、银行转</w:t>
      </w:r>
      <w:r>
        <w:rPr>
          <w:rFonts w:hint="eastAsia" w:ascii="宋体" w:hAnsi="宋体"/>
          <w:bCs/>
          <w:color w:val="auto"/>
          <w:szCs w:val="21"/>
          <w:highlight w:val="none"/>
          <w:lang w:eastAsia="zh-CN"/>
        </w:rPr>
        <w:t>账</w:t>
      </w:r>
      <w:r>
        <w:rPr>
          <w:rFonts w:hint="eastAsia" w:ascii="宋体" w:hAnsi="宋体"/>
          <w:bCs/>
          <w:color w:val="auto"/>
          <w:szCs w:val="21"/>
          <w:highlight w:val="none"/>
        </w:rPr>
        <w:t>、银行出具的保函或保险机构出具的保函、保险单、履约保证保险合同等非现金</w:t>
      </w:r>
      <w:r>
        <w:rPr>
          <w:rFonts w:hint="eastAsia" w:ascii="宋体" w:hAnsi="宋体"/>
          <w:color w:val="auto"/>
          <w:szCs w:val="21"/>
          <w:highlight w:val="none"/>
        </w:rPr>
        <w:t>方式提交，并在签订成交合同前一次性缴纳。如成交人未按规定缴纳履约保证金的，采购人有权取消其成交资格。</w:t>
      </w:r>
    </w:p>
    <w:p w14:paraId="326C47AD">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27.2 成交人如不按本章第27.1条要求提交履约保证金的，采购人有充分理由取消其成交资格。</w:t>
      </w:r>
    </w:p>
    <w:p w14:paraId="2962CB3D">
      <w:pPr>
        <w:spacing w:line="460" w:lineRule="exact"/>
        <w:ind w:firstLine="420" w:firstLineChars="200"/>
        <w:rPr>
          <w:rFonts w:ascii="宋体" w:hAnsi="宋体" w:cs="Courier New"/>
          <w:color w:val="auto"/>
          <w:spacing w:val="2"/>
          <w:szCs w:val="21"/>
          <w:highlight w:val="none"/>
        </w:rPr>
      </w:pPr>
      <w:r>
        <w:rPr>
          <w:rFonts w:hint="eastAsia" w:ascii="宋体" w:hAnsi="宋体"/>
          <w:color w:val="auto"/>
          <w:szCs w:val="21"/>
          <w:highlight w:val="none"/>
        </w:rPr>
        <w:t>27.3 工程竣工验收合格后，成交人按合同履约的，由成交人向采购人提交履约保证金退还申请，经采购人确认审批后履约保证金如数退还（不计利息）。如成交人不按双方签订的合同履约，则对其全部履约保证金不予退还，履</w:t>
      </w:r>
      <w:r>
        <w:rPr>
          <w:rFonts w:hint="eastAsia" w:ascii="宋体" w:hAnsi="宋体" w:cs="Courier New"/>
          <w:color w:val="auto"/>
          <w:spacing w:val="2"/>
          <w:szCs w:val="21"/>
          <w:highlight w:val="none"/>
        </w:rPr>
        <w:t>约保证金不足以赔偿的，按实际损失赔偿。</w:t>
      </w:r>
    </w:p>
    <w:p w14:paraId="5DD5B8F8">
      <w:pPr>
        <w:spacing w:line="460" w:lineRule="exact"/>
        <w:ind w:firstLine="428" w:firstLineChars="200"/>
        <w:rPr>
          <w:rFonts w:ascii="宋体" w:hAnsi="宋体"/>
          <w:color w:val="auto"/>
          <w:szCs w:val="21"/>
          <w:highlight w:val="none"/>
        </w:rPr>
      </w:pPr>
      <w:r>
        <w:rPr>
          <w:rFonts w:hint="eastAsia" w:ascii="宋体" w:hAnsi="宋体" w:cs="Courier New"/>
          <w:color w:val="auto"/>
          <w:spacing w:val="2"/>
          <w:szCs w:val="21"/>
          <w:highlight w:val="none"/>
        </w:rPr>
        <w:t>27.4 在履约保证金到期退还前，若成交人的开户名称、开户行、账号有更改的，请以书面形式通知</w:t>
      </w:r>
      <w:r>
        <w:rPr>
          <w:rFonts w:hint="eastAsia" w:ascii="宋体" w:hAnsi="宋体"/>
          <w:color w:val="auto"/>
          <w:szCs w:val="21"/>
          <w:highlight w:val="none"/>
        </w:rPr>
        <w:t>采购人</w:t>
      </w:r>
      <w:r>
        <w:rPr>
          <w:rFonts w:hint="eastAsia" w:ascii="宋体" w:hAnsi="宋体" w:cs="Courier New"/>
          <w:color w:val="auto"/>
          <w:spacing w:val="2"/>
          <w:szCs w:val="21"/>
          <w:highlight w:val="none"/>
        </w:rPr>
        <w:t>，否则由此产生的后果由成交人自行负责。</w:t>
      </w:r>
    </w:p>
    <w:p w14:paraId="5309D970">
      <w:pPr>
        <w:spacing w:line="460" w:lineRule="exact"/>
        <w:ind w:firstLine="420" w:firstLineChars="200"/>
        <w:rPr>
          <w:rFonts w:ascii="宋体" w:hAnsi="宋体"/>
          <w:color w:val="auto"/>
          <w:szCs w:val="21"/>
          <w:highlight w:val="none"/>
        </w:rPr>
      </w:pPr>
      <w:bookmarkStart w:id="143" w:name="_Toc346264292"/>
      <w:r>
        <w:rPr>
          <w:rFonts w:ascii="宋体" w:hAnsi="宋体"/>
          <w:color w:val="auto"/>
          <w:szCs w:val="21"/>
          <w:highlight w:val="none"/>
        </w:rPr>
        <w:t>2</w:t>
      </w:r>
      <w:r>
        <w:rPr>
          <w:rFonts w:hint="eastAsia" w:ascii="宋体" w:hAnsi="宋体"/>
          <w:color w:val="auto"/>
          <w:szCs w:val="21"/>
          <w:highlight w:val="none"/>
        </w:rPr>
        <w:t>8</w:t>
      </w:r>
      <w:r>
        <w:rPr>
          <w:rFonts w:ascii="宋体" w:hAnsi="宋体"/>
          <w:color w:val="auto"/>
          <w:szCs w:val="21"/>
          <w:highlight w:val="none"/>
        </w:rPr>
        <w:t>.解释权</w:t>
      </w:r>
      <w:bookmarkEnd w:id="142"/>
      <w:bookmarkEnd w:id="143"/>
    </w:p>
    <w:p w14:paraId="509D8E6B">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本磋商文件是根据《中华人民共和国政府采购法》、《中华人民共和国政府采购法实施条例》、《政府采购竞争性磋商采购方式管理暂行办法》及相关法律法规编制，解释权属</w:t>
      </w:r>
      <w:r>
        <w:rPr>
          <w:rFonts w:hint="eastAsia" w:ascii="宋体" w:hAnsi="宋体"/>
          <w:color w:val="auto"/>
          <w:szCs w:val="21"/>
          <w:highlight w:val="none"/>
          <w:lang w:eastAsia="zh-CN"/>
        </w:rPr>
        <w:t>广西琪丽达工程管理有限公司</w:t>
      </w:r>
      <w:r>
        <w:rPr>
          <w:rFonts w:ascii="宋体" w:hAnsi="宋体"/>
          <w:color w:val="auto"/>
          <w:szCs w:val="21"/>
          <w:highlight w:val="none"/>
        </w:rPr>
        <w:t>。</w:t>
      </w:r>
    </w:p>
    <w:p w14:paraId="693102D6">
      <w:pPr>
        <w:pStyle w:val="3"/>
        <w:spacing w:line="500" w:lineRule="exact"/>
        <w:jc w:val="center"/>
        <w:rPr>
          <w:rFonts w:ascii="宋体" w:hAnsi="宋体" w:cs="宋体"/>
          <w:color w:val="auto"/>
          <w:highlight w:val="none"/>
        </w:rPr>
      </w:pPr>
      <w:bookmarkStart w:id="144" w:name="_Toc13050"/>
      <w:bookmarkStart w:id="145" w:name="_Toc168475883"/>
      <w:bookmarkStart w:id="146" w:name="_Toc229305402"/>
      <w:bookmarkStart w:id="147" w:name="_Toc337567543"/>
      <w:bookmarkStart w:id="148" w:name="_Toc144974826"/>
      <w:bookmarkStart w:id="149" w:name="_Toc168476286"/>
      <w:r>
        <w:rPr>
          <w:rFonts w:ascii="宋体" w:hAnsi="宋体" w:cs="宋体"/>
          <w:color w:val="auto"/>
          <w:highlight w:val="none"/>
        </w:rPr>
        <w:br w:type="page"/>
      </w:r>
      <w:bookmarkStart w:id="150" w:name="_Toc20054"/>
      <w:r>
        <w:rPr>
          <w:rFonts w:hint="eastAsia" w:ascii="宋体" w:hAnsi="宋体" w:cs="宋体"/>
          <w:color w:val="auto"/>
          <w:highlight w:val="none"/>
        </w:rPr>
        <w:t>第三章 合同条款及格式</w:t>
      </w:r>
      <w:bookmarkEnd w:id="144"/>
      <w:bookmarkEnd w:id="150"/>
    </w:p>
    <w:bookmarkEnd w:id="145"/>
    <w:bookmarkEnd w:id="146"/>
    <w:bookmarkEnd w:id="147"/>
    <w:bookmarkEnd w:id="148"/>
    <w:bookmarkEnd w:id="149"/>
    <w:p w14:paraId="0283C2C3">
      <w:pPr>
        <w:rPr>
          <w:rFonts w:ascii="宋体" w:hAnsi="宋体"/>
          <w:color w:val="auto"/>
          <w:highlight w:val="none"/>
        </w:rPr>
      </w:pPr>
      <w:bookmarkStart w:id="151" w:name="_Toc346264358"/>
    </w:p>
    <w:p w14:paraId="11BBD324">
      <w:pPr>
        <w:rPr>
          <w:rFonts w:ascii="宋体" w:hAnsi="宋体"/>
          <w:color w:val="auto"/>
          <w:highlight w:val="none"/>
        </w:rPr>
      </w:pPr>
    </w:p>
    <w:p w14:paraId="04800779">
      <w:pPr>
        <w:keepLines/>
        <w:spacing w:before="120" w:after="120" w:line="415" w:lineRule="auto"/>
        <w:jc w:val="center"/>
        <w:outlineLvl w:val="1"/>
        <w:rPr>
          <w:rFonts w:ascii="宋体" w:hAnsi="宋体" w:cs="宋体"/>
          <w:b/>
          <w:bCs/>
          <w:color w:val="auto"/>
          <w:kern w:val="0"/>
          <w:szCs w:val="21"/>
          <w:highlight w:val="none"/>
          <w:lang w:bidi="en-US"/>
        </w:rPr>
      </w:pPr>
      <w:bookmarkStart w:id="152" w:name="bookmark880"/>
      <w:bookmarkStart w:id="153" w:name="bookmark878"/>
      <w:bookmarkStart w:id="154" w:name="_Toc14710267"/>
      <w:bookmarkStart w:id="155" w:name="_Toc13447"/>
      <w:bookmarkStart w:id="156" w:name="bookmark879"/>
      <w:r>
        <w:rPr>
          <w:rFonts w:hint="eastAsia" w:ascii="宋体" w:hAnsi="宋体" w:cs="宋体"/>
          <w:b/>
          <w:bCs/>
          <w:color w:val="auto"/>
          <w:kern w:val="0"/>
          <w:szCs w:val="21"/>
          <w:highlight w:val="none"/>
          <w:lang w:bidi="en-US"/>
        </w:rPr>
        <w:t>第一节 通用合同条款</w:t>
      </w:r>
      <w:bookmarkEnd w:id="152"/>
      <w:bookmarkEnd w:id="153"/>
      <w:bookmarkEnd w:id="154"/>
      <w:bookmarkEnd w:id="155"/>
      <w:bookmarkEnd w:id="156"/>
    </w:p>
    <w:p w14:paraId="0E8CC5C0">
      <w:pPr>
        <w:jc w:val="center"/>
        <w:rPr>
          <w:rFonts w:ascii="宋体" w:hAnsi="宋体" w:cs="宋体"/>
          <w:color w:val="auto"/>
          <w:szCs w:val="21"/>
          <w:highlight w:val="none"/>
        </w:rPr>
      </w:pPr>
      <w:r>
        <w:rPr>
          <w:rFonts w:hint="eastAsia" w:ascii="宋体" w:hAnsi="宋体" w:cs="宋体"/>
          <w:color w:val="auto"/>
          <w:szCs w:val="21"/>
          <w:highlight w:val="none"/>
        </w:rPr>
        <w:t>（按广西水利水电工程施工招标文件示范文本2019版执行）</w:t>
      </w:r>
    </w:p>
    <w:p w14:paraId="03C9046A">
      <w:pPr>
        <w:jc w:val="center"/>
        <w:rPr>
          <w:rFonts w:ascii="宋体" w:hAnsi="宋体" w:cs="宋体"/>
          <w:color w:val="auto"/>
          <w:szCs w:val="21"/>
          <w:highlight w:val="none"/>
        </w:rPr>
      </w:pPr>
    </w:p>
    <w:p w14:paraId="782CAE5A">
      <w:pPr>
        <w:jc w:val="center"/>
        <w:rPr>
          <w:rFonts w:ascii="宋体" w:hAnsi="宋体" w:cs="宋体"/>
          <w:color w:val="auto"/>
          <w:szCs w:val="21"/>
          <w:highlight w:val="none"/>
        </w:rPr>
      </w:pPr>
    </w:p>
    <w:p w14:paraId="62519629">
      <w:pPr>
        <w:jc w:val="center"/>
        <w:rPr>
          <w:rFonts w:ascii="宋体" w:hAnsi="宋体" w:cs="宋体"/>
          <w:color w:val="auto"/>
          <w:szCs w:val="21"/>
          <w:highlight w:val="none"/>
        </w:rPr>
      </w:pPr>
    </w:p>
    <w:p w14:paraId="38129F01">
      <w:pPr>
        <w:keepLines/>
        <w:spacing w:before="120" w:after="120" w:line="415" w:lineRule="auto"/>
        <w:jc w:val="center"/>
        <w:outlineLvl w:val="1"/>
        <w:rPr>
          <w:rFonts w:ascii="宋体" w:hAnsi="宋体" w:cs="宋体"/>
          <w:b/>
          <w:bCs/>
          <w:color w:val="auto"/>
          <w:kern w:val="0"/>
          <w:szCs w:val="21"/>
          <w:highlight w:val="none"/>
          <w:lang w:bidi="en-US"/>
        </w:rPr>
      </w:pPr>
      <w:bookmarkStart w:id="157" w:name="bookmark1577"/>
      <w:bookmarkStart w:id="158" w:name="_Toc1972"/>
      <w:bookmarkStart w:id="159" w:name="_Toc27368"/>
      <w:bookmarkStart w:id="160" w:name="_Toc14710437"/>
      <w:bookmarkStart w:id="161" w:name="bookmark1576"/>
      <w:bookmarkStart w:id="162" w:name="bookmark1578"/>
      <w:r>
        <w:rPr>
          <w:rFonts w:hint="eastAsia" w:ascii="宋体" w:hAnsi="宋体" w:cs="宋体"/>
          <w:b/>
          <w:bCs/>
          <w:color w:val="auto"/>
          <w:kern w:val="0"/>
          <w:szCs w:val="21"/>
          <w:highlight w:val="none"/>
          <w:lang w:bidi="en-US"/>
        </w:rPr>
        <w:t>第二节 专用合同条款</w:t>
      </w:r>
      <w:bookmarkEnd w:id="157"/>
      <w:bookmarkEnd w:id="158"/>
      <w:bookmarkEnd w:id="159"/>
      <w:bookmarkEnd w:id="160"/>
      <w:bookmarkEnd w:id="161"/>
      <w:bookmarkEnd w:id="162"/>
    </w:p>
    <w:p w14:paraId="3F05081B">
      <w:pPr>
        <w:keepLines/>
        <w:spacing w:before="120" w:after="120" w:line="415" w:lineRule="auto"/>
        <w:jc w:val="left"/>
        <w:outlineLvl w:val="1"/>
        <w:rPr>
          <w:rFonts w:ascii="宋体" w:hAnsi="宋体" w:cs="宋体"/>
          <w:b/>
          <w:bCs/>
          <w:color w:val="auto"/>
          <w:kern w:val="0"/>
          <w:szCs w:val="21"/>
          <w:highlight w:val="none"/>
          <w:lang w:bidi="en-US"/>
        </w:rPr>
      </w:pPr>
      <w:bookmarkStart w:id="163" w:name="bookmark1581"/>
      <w:bookmarkEnd w:id="163"/>
      <w:bookmarkStart w:id="164" w:name="bookmark1580"/>
      <w:bookmarkStart w:id="165" w:name="_Toc14710438"/>
      <w:bookmarkStart w:id="166" w:name="_Toc30818"/>
      <w:bookmarkStart w:id="167" w:name="bookmark1582"/>
      <w:bookmarkStart w:id="168" w:name="_Toc21852"/>
      <w:bookmarkStart w:id="169" w:name="bookmark1579"/>
      <w:r>
        <w:rPr>
          <w:rFonts w:hint="eastAsia" w:ascii="宋体" w:hAnsi="宋体" w:cs="宋体"/>
          <w:b/>
          <w:bCs/>
          <w:color w:val="auto"/>
          <w:kern w:val="0"/>
          <w:szCs w:val="21"/>
          <w:highlight w:val="none"/>
          <w:lang w:bidi="en-US"/>
        </w:rPr>
        <w:t>1. 一般约定</w:t>
      </w:r>
      <w:bookmarkEnd w:id="164"/>
      <w:bookmarkEnd w:id="165"/>
      <w:bookmarkEnd w:id="166"/>
      <w:bookmarkEnd w:id="167"/>
      <w:bookmarkEnd w:id="168"/>
      <w:bookmarkEnd w:id="169"/>
    </w:p>
    <w:p w14:paraId="7C3DBC17">
      <w:pPr>
        <w:jc w:val="left"/>
        <w:rPr>
          <w:rFonts w:ascii="宋体" w:hAnsi="宋体" w:cs="宋体"/>
          <w:b/>
          <w:color w:val="auto"/>
          <w:kern w:val="0"/>
          <w:szCs w:val="21"/>
          <w:highlight w:val="none"/>
          <w:lang w:bidi="en-US"/>
        </w:rPr>
      </w:pPr>
      <w:bookmarkStart w:id="170" w:name="bookmark1584"/>
      <w:bookmarkStart w:id="171" w:name="bookmark1583"/>
      <w:bookmarkStart w:id="172" w:name="bookmark1585"/>
      <w:r>
        <w:rPr>
          <w:rFonts w:hint="eastAsia" w:ascii="宋体" w:hAnsi="宋体" w:cs="宋体"/>
          <w:b/>
          <w:color w:val="auto"/>
          <w:kern w:val="0"/>
          <w:szCs w:val="21"/>
          <w:highlight w:val="none"/>
          <w:lang w:bidi="en-US"/>
        </w:rPr>
        <w:t>1.1词语定义</w:t>
      </w:r>
      <w:bookmarkEnd w:id="170"/>
      <w:bookmarkEnd w:id="171"/>
      <w:bookmarkEnd w:id="172"/>
    </w:p>
    <w:p w14:paraId="03029D86">
      <w:pPr>
        <w:spacing w:after="100" w:line="402" w:lineRule="exact"/>
        <w:ind w:firstLine="44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1.1.2</w:t>
      </w:r>
      <w:r>
        <w:rPr>
          <w:rFonts w:hint="eastAsia" w:ascii="宋体" w:hAnsi="宋体" w:cs="宋体"/>
          <w:color w:val="auto"/>
          <w:kern w:val="0"/>
          <w:szCs w:val="21"/>
          <w:highlight w:val="none"/>
          <w:lang w:val="zh-CN" w:bidi="zh-CN"/>
        </w:rPr>
        <w:t>合同当事人和人员</w:t>
      </w:r>
    </w:p>
    <w:p w14:paraId="2BD8070E">
      <w:pPr>
        <w:tabs>
          <w:tab w:val="left" w:pos="4064"/>
        </w:tabs>
        <w:spacing w:after="100"/>
        <w:ind w:firstLine="44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1. 1. 2. </w:t>
      </w:r>
      <w:r>
        <w:rPr>
          <w:rFonts w:hint="eastAsia" w:ascii="宋体" w:hAnsi="宋体" w:cs="宋体"/>
          <w:color w:val="auto"/>
          <w:kern w:val="0"/>
          <w:szCs w:val="21"/>
          <w:highlight w:val="none"/>
          <w:lang w:val="zh-CN" w:bidi="zh-CN"/>
        </w:rPr>
        <w:t>2 发包人：</w:t>
      </w:r>
      <w:r>
        <w:rPr>
          <w:rFonts w:hint="eastAsia" w:ascii="宋体" w:hAnsi="宋体" w:cs="宋体"/>
          <w:color w:val="auto"/>
          <w:kern w:val="0"/>
          <w:szCs w:val="21"/>
          <w:highlight w:val="none"/>
          <w:u w:val="single"/>
        </w:rPr>
        <w:t>(填入发包人的名称)</w:t>
      </w:r>
      <w:r>
        <w:rPr>
          <w:rFonts w:hint="eastAsia" w:ascii="宋体" w:hAnsi="宋体" w:cs="宋体"/>
          <w:color w:val="auto"/>
          <w:kern w:val="0"/>
          <w:szCs w:val="21"/>
          <w:highlight w:val="none"/>
        </w:rPr>
        <w:t>。</w:t>
      </w:r>
    </w:p>
    <w:p w14:paraId="29EFC770">
      <w:pPr>
        <w:tabs>
          <w:tab w:val="left" w:pos="4066"/>
        </w:tabs>
        <w:spacing w:after="100"/>
        <w:ind w:firstLine="44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1. 1. 2. </w:t>
      </w:r>
      <w:r>
        <w:rPr>
          <w:rFonts w:hint="eastAsia" w:ascii="宋体" w:hAnsi="宋体" w:cs="宋体"/>
          <w:color w:val="auto"/>
          <w:kern w:val="0"/>
          <w:szCs w:val="21"/>
          <w:highlight w:val="none"/>
          <w:lang w:val="zh-CN" w:bidi="zh-CN"/>
        </w:rPr>
        <w:t>3 承包人：</w:t>
      </w:r>
      <w:r>
        <w:rPr>
          <w:rFonts w:hint="eastAsia" w:ascii="宋体" w:hAnsi="宋体" w:cs="宋体"/>
          <w:color w:val="auto"/>
          <w:kern w:val="0"/>
          <w:szCs w:val="21"/>
          <w:highlight w:val="none"/>
          <w:u w:val="single"/>
        </w:rPr>
        <w:t>(签约后填入承包人的名称)</w:t>
      </w:r>
      <w:r>
        <w:rPr>
          <w:rFonts w:hint="eastAsia" w:ascii="宋体" w:hAnsi="宋体" w:cs="宋体"/>
          <w:color w:val="auto"/>
          <w:kern w:val="0"/>
          <w:szCs w:val="21"/>
          <w:highlight w:val="none"/>
        </w:rPr>
        <w:t>。</w:t>
      </w:r>
    </w:p>
    <w:p w14:paraId="4C08EAF5">
      <w:pPr>
        <w:tabs>
          <w:tab w:val="left" w:pos="4064"/>
        </w:tabs>
        <w:spacing w:after="100"/>
        <w:ind w:firstLine="44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1. 1. 2. </w:t>
      </w:r>
      <w:r>
        <w:rPr>
          <w:rFonts w:hint="eastAsia" w:ascii="宋体" w:hAnsi="宋体" w:cs="宋体"/>
          <w:color w:val="auto"/>
          <w:kern w:val="0"/>
          <w:szCs w:val="21"/>
          <w:highlight w:val="none"/>
          <w:lang w:val="zh-CN" w:bidi="zh-CN"/>
        </w:rPr>
        <w:t>5 分包人:</w:t>
      </w:r>
      <w:r>
        <w:rPr>
          <w:rFonts w:hint="eastAsia" w:ascii="宋体" w:hAnsi="宋体" w:cs="宋体"/>
          <w:color w:val="auto"/>
          <w:kern w:val="0"/>
          <w:szCs w:val="21"/>
          <w:highlight w:val="none"/>
          <w:u w:val="single"/>
        </w:rPr>
        <w:t>(签约后填入分包人的名称)</w:t>
      </w:r>
      <w:r>
        <w:rPr>
          <w:rFonts w:hint="eastAsia" w:ascii="宋体" w:hAnsi="宋体" w:cs="宋体"/>
          <w:color w:val="auto"/>
          <w:kern w:val="0"/>
          <w:szCs w:val="21"/>
          <w:highlight w:val="none"/>
        </w:rPr>
        <w:t>。</w:t>
      </w:r>
    </w:p>
    <w:p w14:paraId="75A44A6F">
      <w:pPr>
        <w:tabs>
          <w:tab w:val="left" w:pos="4064"/>
        </w:tabs>
        <w:spacing w:after="100"/>
        <w:ind w:firstLine="44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1. 1.2.6 </w:t>
      </w:r>
      <w:r>
        <w:rPr>
          <w:rFonts w:hint="eastAsia" w:ascii="宋体" w:hAnsi="宋体" w:cs="宋体"/>
          <w:color w:val="auto"/>
          <w:kern w:val="0"/>
          <w:szCs w:val="21"/>
          <w:highlight w:val="none"/>
          <w:lang w:val="zh-CN" w:bidi="zh-CN"/>
        </w:rPr>
        <w:t>监理人：</w:t>
      </w:r>
      <w:r>
        <w:rPr>
          <w:rFonts w:hint="eastAsia" w:ascii="宋体" w:hAnsi="宋体" w:cs="宋体"/>
          <w:color w:val="auto"/>
          <w:kern w:val="0"/>
          <w:szCs w:val="21"/>
          <w:highlight w:val="none"/>
          <w:u w:val="single"/>
        </w:rPr>
        <w:t>(填入监理人名称)</w:t>
      </w:r>
      <w:r>
        <w:rPr>
          <w:rFonts w:hint="eastAsia" w:ascii="宋体" w:hAnsi="宋体" w:cs="宋体"/>
          <w:color w:val="auto"/>
          <w:kern w:val="0"/>
          <w:szCs w:val="21"/>
          <w:highlight w:val="none"/>
        </w:rPr>
        <w:t>。</w:t>
      </w:r>
    </w:p>
    <w:p w14:paraId="2B25FF59">
      <w:pPr>
        <w:tabs>
          <w:tab w:val="left" w:pos="3649"/>
        </w:tabs>
        <w:spacing w:after="100"/>
        <w:ind w:firstLine="44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1.1.4 </w:t>
      </w:r>
      <w:r>
        <w:rPr>
          <w:rFonts w:hint="eastAsia" w:ascii="宋体" w:hAnsi="宋体" w:cs="宋体"/>
          <w:color w:val="auto"/>
          <w:kern w:val="0"/>
          <w:szCs w:val="21"/>
          <w:highlight w:val="none"/>
          <w:lang w:val="zh-CN" w:bidi="zh-CN"/>
        </w:rPr>
        <w:t>日期：</w:t>
      </w:r>
      <w:r>
        <w:rPr>
          <w:rFonts w:hint="eastAsia" w:ascii="宋体" w:hAnsi="宋体" w:cs="宋体"/>
          <w:color w:val="auto"/>
          <w:kern w:val="0"/>
          <w:szCs w:val="21"/>
          <w:highlight w:val="none"/>
          <w:u w:val="single"/>
        </w:rPr>
        <w:tab/>
      </w:r>
      <w:r>
        <w:rPr>
          <w:rFonts w:hint="eastAsia" w:ascii="宋体" w:hAnsi="宋体" w:cs="宋体"/>
          <w:color w:val="auto"/>
          <w:kern w:val="0"/>
          <w:szCs w:val="21"/>
          <w:highlight w:val="none"/>
        </w:rPr>
        <w:t>。</w:t>
      </w:r>
    </w:p>
    <w:p w14:paraId="7D080FFB">
      <w:pPr>
        <w:tabs>
          <w:tab w:val="left" w:pos="6303"/>
        </w:tabs>
        <w:spacing w:after="240"/>
        <w:ind w:firstLine="44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 xml:space="preserve">1. 1.4. </w:t>
      </w:r>
      <w:r>
        <w:rPr>
          <w:rFonts w:hint="eastAsia" w:ascii="宋体" w:hAnsi="宋体" w:cs="宋体"/>
          <w:color w:val="auto"/>
          <w:kern w:val="0"/>
          <w:szCs w:val="21"/>
          <w:highlight w:val="none"/>
          <w:lang w:val="zh-CN" w:bidi="zh-CN"/>
        </w:rPr>
        <w:t>5缺陷责任期(工程质量保修期):</w:t>
      </w:r>
      <w:r>
        <w:rPr>
          <w:rFonts w:hint="eastAsia" w:ascii="宋体" w:hAnsi="宋体" w:cs="宋体"/>
          <w:color w:val="auto"/>
          <w:kern w:val="0"/>
          <w:szCs w:val="21"/>
          <w:highlight w:val="none"/>
          <w:u w:val="single"/>
          <w:lang w:val="zh-CN" w:bidi="zh-CN"/>
        </w:rPr>
        <w:t>一年</w:t>
      </w:r>
      <w:r>
        <w:rPr>
          <w:rFonts w:hint="eastAsia" w:ascii="宋体" w:hAnsi="宋体" w:cs="宋体"/>
          <w:color w:val="auto"/>
          <w:kern w:val="0"/>
          <w:szCs w:val="21"/>
          <w:highlight w:val="none"/>
          <w:lang w:bidi="en-US"/>
        </w:rPr>
        <w:t>。</w:t>
      </w:r>
    </w:p>
    <w:p w14:paraId="3D6C6FEF">
      <w:pPr>
        <w:jc w:val="left"/>
        <w:rPr>
          <w:rFonts w:ascii="宋体" w:hAnsi="宋体" w:cs="宋体"/>
          <w:b/>
          <w:color w:val="auto"/>
          <w:kern w:val="0"/>
          <w:szCs w:val="21"/>
          <w:highlight w:val="none"/>
          <w:lang w:bidi="en-US"/>
        </w:rPr>
      </w:pPr>
      <w:bookmarkStart w:id="173" w:name="bookmark1586"/>
      <w:bookmarkStart w:id="174" w:name="bookmark1587"/>
      <w:bookmarkStart w:id="175" w:name="bookmark1588"/>
      <w:r>
        <w:rPr>
          <w:rFonts w:hint="eastAsia" w:ascii="宋体" w:hAnsi="宋体" w:cs="宋体"/>
          <w:b/>
          <w:color w:val="auto"/>
          <w:kern w:val="0"/>
          <w:szCs w:val="21"/>
          <w:highlight w:val="none"/>
          <w:lang w:bidi="en-US"/>
        </w:rPr>
        <w:t>1.4合同文件的优先顺序</w:t>
      </w:r>
      <w:bookmarkEnd w:id="173"/>
      <w:bookmarkEnd w:id="174"/>
      <w:bookmarkEnd w:id="175"/>
    </w:p>
    <w:p w14:paraId="6A146F51">
      <w:pPr>
        <w:spacing w:after="100" w:line="402" w:lineRule="exact"/>
        <w:ind w:firstLine="44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进入合同的各项文件及其优先顺序如下：</w:t>
      </w:r>
    </w:p>
    <w:p w14:paraId="104380A0">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76" w:name="bookmark1589"/>
      <w:bookmarkEnd w:id="176"/>
      <w:r>
        <w:rPr>
          <w:rFonts w:hint="eastAsia" w:ascii="宋体" w:hAnsi="宋体" w:cs="宋体"/>
          <w:color w:val="auto"/>
          <w:kern w:val="0"/>
          <w:szCs w:val="21"/>
          <w:highlight w:val="none"/>
          <w:lang w:val="zh-CN" w:bidi="zh-CN"/>
        </w:rPr>
        <w:t>合同协议书(包括补充协议、合同谈判备忘录)；</w:t>
      </w:r>
    </w:p>
    <w:p w14:paraId="371F33AE">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77" w:name="bookmark1590"/>
      <w:bookmarkEnd w:id="177"/>
      <w:r>
        <w:rPr>
          <w:rFonts w:hint="eastAsia" w:ascii="宋体" w:hAnsi="宋体" w:cs="宋体"/>
          <w:color w:val="auto"/>
          <w:kern w:val="0"/>
          <w:szCs w:val="21"/>
          <w:highlight w:val="none"/>
          <w:lang w:val="zh-CN" w:bidi="zh-CN"/>
        </w:rPr>
        <w:t>中标通知书；</w:t>
      </w:r>
    </w:p>
    <w:p w14:paraId="2C8B428D">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78" w:name="bookmark1591"/>
      <w:bookmarkEnd w:id="178"/>
      <w:r>
        <w:rPr>
          <w:rFonts w:hint="eastAsia" w:ascii="宋体" w:hAnsi="宋体" w:cs="宋体"/>
          <w:color w:val="auto"/>
          <w:kern w:val="0"/>
          <w:szCs w:val="21"/>
          <w:highlight w:val="none"/>
          <w:lang w:val="zh-CN" w:bidi="zh-CN"/>
        </w:rPr>
        <w:t>投标函及投标函附录；</w:t>
      </w:r>
    </w:p>
    <w:p w14:paraId="3D522D84">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79" w:name="bookmark1592"/>
      <w:bookmarkEnd w:id="179"/>
      <w:r>
        <w:rPr>
          <w:rFonts w:hint="eastAsia" w:ascii="宋体" w:hAnsi="宋体" w:cs="宋体"/>
          <w:color w:val="auto"/>
          <w:kern w:val="0"/>
          <w:szCs w:val="21"/>
          <w:highlight w:val="none"/>
          <w:lang w:val="zh-CN" w:bidi="zh-CN"/>
        </w:rPr>
        <w:t>专用合同条款(含附加条款)；</w:t>
      </w:r>
    </w:p>
    <w:p w14:paraId="38FDE457">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80" w:name="bookmark1593"/>
      <w:bookmarkEnd w:id="180"/>
      <w:r>
        <w:rPr>
          <w:rFonts w:hint="eastAsia" w:ascii="宋体" w:hAnsi="宋体" w:cs="宋体"/>
          <w:color w:val="auto"/>
          <w:kern w:val="0"/>
          <w:szCs w:val="21"/>
          <w:highlight w:val="none"/>
          <w:lang w:val="zh-CN" w:bidi="zh-CN"/>
        </w:rPr>
        <w:t>通用合同条款；</w:t>
      </w:r>
    </w:p>
    <w:p w14:paraId="747D1158">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81" w:name="bookmark1594"/>
      <w:bookmarkEnd w:id="181"/>
      <w:r>
        <w:rPr>
          <w:rFonts w:hint="eastAsia" w:ascii="宋体" w:hAnsi="宋体" w:cs="宋体"/>
          <w:color w:val="auto"/>
          <w:kern w:val="0"/>
          <w:szCs w:val="21"/>
          <w:highlight w:val="none"/>
          <w:lang w:val="zh-CN" w:bidi="zh-CN"/>
        </w:rPr>
        <w:t>技术标准和要求(合同技术条款)；</w:t>
      </w:r>
    </w:p>
    <w:p w14:paraId="05B97661">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82" w:name="bookmark1595"/>
      <w:bookmarkEnd w:id="182"/>
      <w:r>
        <w:rPr>
          <w:rFonts w:hint="eastAsia" w:ascii="宋体" w:hAnsi="宋体" w:cs="宋体"/>
          <w:color w:val="auto"/>
          <w:kern w:val="0"/>
          <w:szCs w:val="21"/>
          <w:highlight w:val="none"/>
          <w:lang w:val="zh-CN" w:bidi="zh-CN"/>
        </w:rPr>
        <w:t>图纸；</w:t>
      </w:r>
    </w:p>
    <w:p w14:paraId="6662E1DF">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83" w:name="bookmark1596"/>
      <w:bookmarkEnd w:id="183"/>
      <w:r>
        <w:rPr>
          <w:rFonts w:hint="eastAsia" w:ascii="宋体" w:hAnsi="宋体" w:cs="宋体"/>
          <w:color w:val="auto"/>
          <w:kern w:val="0"/>
          <w:szCs w:val="21"/>
          <w:highlight w:val="none"/>
          <w:lang w:val="zh-CN" w:bidi="zh-CN"/>
        </w:rPr>
        <w:t>已标价工程量清单；</w:t>
      </w:r>
    </w:p>
    <w:p w14:paraId="5965D4AB">
      <w:pPr>
        <w:numPr>
          <w:ilvl w:val="0"/>
          <w:numId w:val="3"/>
        </w:numPr>
        <w:tabs>
          <w:tab w:val="left" w:pos="923"/>
        </w:tabs>
        <w:spacing w:after="100"/>
        <w:ind w:firstLine="440"/>
        <w:jc w:val="left"/>
        <w:rPr>
          <w:rFonts w:ascii="宋体" w:hAnsi="宋体" w:cs="宋体"/>
          <w:color w:val="auto"/>
          <w:kern w:val="0"/>
          <w:szCs w:val="21"/>
          <w:highlight w:val="none"/>
          <w:lang w:val="zh-CN" w:bidi="zh-CN"/>
        </w:rPr>
      </w:pPr>
      <w:bookmarkStart w:id="184" w:name="bookmark1597"/>
      <w:bookmarkEnd w:id="184"/>
      <w:r>
        <w:rPr>
          <w:rFonts w:hint="eastAsia" w:ascii="宋体" w:hAnsi="宋体" w:cs="宋体"/>
          <w:color w:val="auto"/>
          <w:kern w:val="0"/>
          <w:szCs w:val="21"/>
          <w:highlight w:val="none"/>
          <w:lang w:val="zh-CN" w:bidi="zh-CN"/>
        </w:rPr>
        <w:t>投标文件其他内容；</w:t>
      </w:r>
    </w:p>
    <w:p w14:paraId="603416EA">
      <w:pPr>
        <w:numPr>
          <w:ilvl w:val="0"/>
          <w:numId w:val="3"/>
        </w:numPr>
        <w:tabs>
          <w:tab w:val="left" w:pos="1026"/>
        </w:tabs>
        <w:spacing w:after="240"/>
        <w:ind w:firstLine="440"/>
        <w:jc w:val="left"/>
        <w:rPr>
          <w:rFonts w:ascii="宋体" w:hAnsi="宋体" w:cs="宋体"/>
          <w:color w:val="auto"/>
          <w:kern w:val="0"/>
          <w:szCs w:val="21"/>
          <w:highlight w:val="none"/>
          <w:lang w:val="zh-CN" w:bidi="zh-CN"/>
        </w:rPr>
      </w:pPr>
      <w:bookmarkStart w:id="185" w:name="bookmark1598"/>
      <w:bookmarkEnd w:id="185"/>
      <w:r>
        <w:rPr>
          <w:rFonts w:hint="eastAsia" w:ascii="宋体" w:hAnsi="宋体" w:cs="宋体"/>
          <w:color w:val="auto"/>
          <w:kern w:val="0"/>
          <w:szCs w:val="21"/>
          <w:highlight w:val="none"/>
          <w:lang w:val="zh-CN" w:bidi="zh-CN"/>
        </w:rPr>
        <w:t>其他合同文件。</w:t>
      </w:r>
    </w:p>
    <w:p w14:paraId="27C09E7F">
      <w:pPr>
        <w:jc w:val="left"/>
        <w:rPr>
          <w:rFonts w:ascii="宋体" w:hAnsi="宋体" w:cs="宋体"/>
          <w:b/>
          <w:color w:val="auto"/>
          <w:kern w:val="0"/>
          <w:szCs w:val="21"/>
          <w:highlight w:val="none"/>
          <w:lang w:eastAsia="en-US" w:bidi="en-US"/>
        </w:rPr>
      </w:pPr>
      <w:bookmarkStart w:id="186" w:name="bookmark1599"/>
      <w:bookmarkStart w:id="187" w:name="bookmark1600"/>
      <w:bookmarkStart w:id="188" w:name="bookmark1601"/>
      <w:r>
        <w:rPr>
          <w:rFonts w:hint="eastAsia" w:ascii="宋体" w:hAnsi="宋体" w:cs="宋体"/>
          <w:b/>
          <w:color w:val="auto"/>
          <w:kern w:val="0"/>
          <w:szCs w:val="21"/>
          <w:highlight w:val="none"/>
          <w:lang w:eastAsia="en-US" w:bidi="en-US"/>
        </w:rPr>
        <w:t>1.7联络</w:t>
      </w:r>
      <w:bookmarkEnd w:id="186"/>
      <w:bookmarkEnd w:id="187"/>
      <w:bookmarkEnd w:id="188"/>
    </w:p>
    <w:p w14:paraId="7AA922AB">
      <w:pPr>
        <w:tabs>
          <w:tab w:val="left" w:pos="2074"/>
        </w:tabs>
        <w:spacing w:after="180" w:line="382" w:lineRule="exact"/>
        <w:ind w:firstLine="46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1.7.2</w:t>
      </w:r>
      <w:r>
        <w:rPr>
          <w:rFonts w:hint="eastAsia" w:ascii="宋体" w:hAnsi="宋体" w:cs="宋体"/>
          <w:color w:val="auto"/>
          <w:kern w:val="0"/>
          <w:szCs w:val="21"/>
          <w:highlight w:val="none"/>
          <w:lang w:val="zh-CN" w:bidi="zh-CN"/>
        </w:rPr>
        <w:t>来往函件均应按技术标准和要求(合同技术条款)约定的期限送</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u w:val="single"/>
          <w:lang w:val="zh-CN" w:bidi="zh-CN"/>
        </w:rPr>
        <w:t xml:space="preserve">（填写文件送达地点）       </w:t>
      </w:r>
      <w:r>
        <w:rPr>
          <w:rFonts w:hint="eastAsia" w:ascii="宋体" w:hAnsi="宋体" w:cs="宋体"/>
          <w:color w:val="auto"/>
          <w:kern w:val="0"/>
          <w:szCs w:val="21"/>
          <w:highlight w:val="none"/>
          <w:lang w:bidi="en-US"/>
        </w:rPr>
        <w:t>。</w:t>
      </w:r>
    </w:p>
    <w:p w14:paraId="72299F7F">
      <w:pPr>
        <w:keepLines/>
        <w:spacing w:before="120" w:after="120" w:line="415" w:lineRule="auto"/>
        <w:jc w:val="left"/>
        <w:outlineLvl w:val="1"/>
        <w:rPr>
          <w:rFonts w:ascii="宋体" w:hAnsi="宋体" w:cs="宋体"/>
          <w:b/>
          <w:bCs/>
          <w:color w:val="auto"/>
          <w:kern w:val="0"/>
          <w:szCs w:val="21"/>
          <w:highlight w:val="none"/>
          <w:lang w:bidi="en-US"/>
        </w:rPr>
      </w:pPr>
      <w:bookmarkStart w:id="189" w:name="bookmark1604"/>
      <w:bookmarkEnd w:id="189"/>
      <w:bookmarkStart w:id="190" w:name="_Toc27866"/>
      <w:bookmarkStart w:id="191" w:name="bookmark1605"/>
      <w:bookmarkStart w:id="192" w:name="_Toc7249"/>
      <w:bookmarkStart w:id="193" w:name="_Toc14710439"/>
      <w:bookmarkStart w:id="194" w:name="bookmark1602"/>
      <w:bookmarkStart w:id="195" w:name="bookmark1603"/>
      <w:r>
        <w:rPr>
          <w:rFonts w:hint="eastAsia" w:ascii="宋体" w:hAnsi="宋体" w:cs="宋体"/>
          <w:b/>
          <w:bCs/>
          <w:color w:val="auto"/>
          <w:kern w:val="0"/>
          <w:szCs w:val="21"/>
          <w:highlight w:val="none"/>
          <w:lang w:bidi="en-US"/>
        </w:rPr>
        <w:t>2. 发包人义务</w:t>
      </w:r>
      <w:bookmarkEnd w:id="190"/>
      <w:bookmarkEnd w:id="191"/>
      <w:bookmarkEnd w:id="192"/>
      <w:bookmarkEnd w:id="193"/>
      <w:bookmarkEnd w:id="194"/>
      <w:bookmarkEnd w:id="195"/>
    </w:p>
    <w:p w14:paraId="1590DD3E">
      <w:pPr>
        <w:spacing w:after="240"/>
        <w:jc w:val="left"/>
        <w:outlineLvl w:val="0"/>
        <w:rPr>
          <w:rFonts w:ascii="宋体" w:hAnsi="宋体" w:cs="宋体"/>
          <w:b/>
          <w:color w:val="auto"/>
          <w:kern w:val="0"/>
          <w:szCs w:val="21"/>
          <w:highlight w:val="none"/>
          <w:lang w:bidi="en-US"/>
        </w:rPr>
      </w:pPr>
      <w:bookmarkStart w:id="196" w:name="bookmark1608"/>
      <w:bookmarkStart w:id="197" w:name="bookmark1607"/>
      <w:bookmarkStart w:id="198" w:name="bookmark1606"/>
      <w:r>
        <w:rPr>
          <w:rFonts w:hint="eastAsia" w:ascii="宋体" w:hAnsi="宋体" w:cs="宋体"/>
          <w:b/>
          <w:color w:val="auto"/>
          <w:kern w:val="0"/>
          <w:szCs w:val="21"/>
          <w:highlight w:val="none"/>
          <w:lang w:bidi="en-US"/>
        </w:rPr>
        <w:t>2. 3提供施工场地</w:t>
      </w:r>
      <w:bookmarkEnd w:id="196"/>
      <w:bookmarkEnd w:id="197"/>
      <w:bookmarkEnd w:id="198"/>
    </w:p>
    <w:p w14:paraId="6065F9E5">
      <w:pPr>
        <w:tabs>
          <w:tab w:val="left" w:pos="8265"/>
        </w:tabs>
        <w:ind w:firstLine="46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2.3.2</w:t>
      </w:r>
      <w:r>
        <w:rPr>
          <w:rFonts w:hint="eastAsia" w:ascii="宋体" w:hAnsi="宋体" w:cs="宋体"/>
          <w:color w:val="auto"/>
          <w:kern w:val="0"/>
          <w:szCs w:val="21"/>
          <w:highlight w:val="none"/>
          <w:lang w:val="zh-CN" w:bidi="zh-CN"/>
        </w:rPr>
        <w:t>发包人提供的施工场地范围为：</w:t>
      </w:r>
      <w:r>
        <w:rPr>
          <w:rFonts w:hint="eastAsia" w:ascii="宋体" w:hAnsi="宋体" w:cs="宋体"/>
          <w:color w:val="auto"/>
          <w:kern w:val="0"/>
          <w:szCs w:val="21"/>
          <w:highlight w:val="none"/>
          <w:u w:val="single"/>
          <w:lang w:val="zh-CN" w:bidi="zh-CN"/>
        </w:rPr>
        <w:t>发包人负责办理工地范围内的征地、拆迁和移民等有关手续，向承包人提供施工用地。提供的用地范围和期限在签订协议书时商定</w:t>
      </w:r>
      <w:r>
        <w:rPr>
          <w:rFonts w:hint="eastAsia" w:ascii="宋体" w:hAnsi="宋体" w:cs="宋体"/>
          <w:color w:val="auto"/>
          <w:kern w:val="0"/>
          <w:szCs w:val="21"/>
          <w:highlight w:val="none"/>
          <w:lang w:bidi="en-US"/>
        </w:rPr>
        <w:t>。</w:t>
      </w:r>
    </w:p>
    <w:p w14:paraId="33CB6BC2">
      <w:pPr>
        <w:tabs>
          <w:tab w:val="left" w:pos="8227"/>
        </w:tabs>
        <w:spacing w:after="180" w:line="422" w:lineRule="exact"/>
        <w:ind w:firstLine="460"/>
        <w:jc w:val="lef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2.3.3</w:t>
      </w:r>
      <w:r>
        <w:rPr>
          <w:rFonts w:hint="eastAsia" w:ascii="宋体" w:hAnsi="宋体" w:cs="宋体"/>
          <w:color w:val="auto"/>
          <w:kern w:val="0"/>
          <w:szCs w:val="21"/>
          <w:highlight w:val="none"/>
          <w:lang w:val="zh-CN" w:bidi="zh-CN"/>
        </w:rPr>
        <w:t>承包人自行勘察的施工场地范围为：</w:t>
      </w:r>
      <w:r>
        <w:rPr>
          <w:rFonts w:hint="eastAsia" w:ascii="宋体" w:hAnsi="宋体" w:cs="宋体"/>
          <w:color w:val="auto"/>
          <w:kern w:val="0"/>
          <w:szCs w:val="21"/>
          <w:highlight w:val="none"/>
          <w:u w:val="single"/>
          <w:lang w:val="zh-CN" w:bidi="zh-CN"/>
        </w:rPr>
        <w:t>在签订合同时商定</w:t>
      </w:r>
      <w:r>
        <w:rPr>
          <w:rFonts w:hint="eastAsia" w:ascii="宋体" w:hAnsi="宋体" w:cs="宋体"/>
          <w:color w:val="auto"/>
          <w:kern w:val="0"/>
          <w:szCs w:val="21"/>
          <w:highlight w:val="none"/>
          <w:lang w:bidi="en-US"/>
        </w:rPr>
        <w:t>。</w:t>
      </w:r>
    </w:p>
    <w:p w14:paraId="0DAE2AB7">
      <w:pPr>
        <w:tabs>
          <w:tab w:val="left" w:pos="8227"/>
        </w:tabs>
        <w:spacing w:after="180" w:line="422" w:lineRule="exact"/>
        <w:ind w:firstLine="460"/>
        <w:jc w:val="left"/>
        <w:rPr>
          <w:rFonts w:ascii="宋体" w:hAnsi="宋体" w:cs="宋体"/>
          <w:color w:val="auto"/>
          <w:kern w:val="0"/>
          <w:szCs w:val="21"/>
          <w:highlight w:val="none"/>
          <w:lang w:val="zh-CN" w:bidi="zh-CN"/>
        </w:rPr>
      </w:pPr>
      <w:r>
        <w:rPr>
          <w:rFonts w:hint="eastAsia" w:ascii="宋体" w:hAnsi="宋体" w:cs="宋体"/>
          <w:b/>
          <w:color w:val="auto"/>
          <w:kern w:val="0"/>
          <w:szCs w:val="21"/>
          <w:highlight w:val="none"/>
          <w:lang w:bidi="en-US"/>
        </w:rPr>
        <w:t>2.8其它义务</w:t>
      </w:r>
    </w:p>
    <w:p w14:paraId="2AA154A6">
      <w:pPr>
        <w:spacing w:line="400" w:lineRule="exact"/>
        <w:ind w:left="240" w:right="248" w:firstLine="480"/>
        <w:rPr>
          <w:rFonts w:ascii="宋体" w:hAnsi="宋体" w:cs="宋体"/>
          <w:b/>
          <w:color w:val="auto"/>
          <w:szCs w:val="21"/>
          <w:highlight w:val="none"/>
        </w:rPr>
      </w:pPr>
      <w:bookmarkStart w:id="199" w:name="_Toc221951139"/>
      <w:r>
        <w:rPr>
          <w:rFonts w:hint="eastAsia" w:ascii="宋体" w:hAnsi="宋体" w:cs="宋体"/>
          <w:b/>
          <w:color w:val="auto"/>
          <w:szCs w:val="21"/>
          <w:highlight w:val="none"/>
        </w:rPr>
        <w:t>（一）执行农民工工资保证金制度，缴纳农民工工资保证金（适用于在本自治区行政区域内施工的所有水利水电工程项目）</w:t>
      </w:r>
    </w:p>
    <w:p w14:paraId="46FFDE62">
      <w:pPr>
        <w:spacing w:line="400" w:lineRule="exact"/>
        <w:ind w:left="240" w:right="248" w:firstLine="480"/>
        <w:rPr>
          <w:rFonts w:ascii="宋体" w:hAnsi="宋体" w:cs="宋体"/>
          <w:b/>
          <w:color w:val="auto"/>
          <w:szCs w:val="21"/>
          <w:highlight w:val="none"/>
        </w:rPr>
      </w:pPr>
      <w:r>
        <w:rPr>
          <w:rFonts w:hint="eastAsia" w:ascii="宋体" w:hAnsi="宋体" w:cs="宋体"/>
          <w:b/>
          <w:color w:val="auto"/>
          <w:szCs w:val="21"/>
          <w:highlight w:val="none"/>
        </w:rPr>
        <w:t>根据广西壮族自治区劳动和社会保障厅、自治区水利厅二○○七年二月二十七日联合颁发的桂劳社发[2007]38号文《关于关于建立水利水电工程项目农民工工资保证金制度的通知》精神，承包人在办理工程项目开工手续前必须向劳动保障部门履行以下义务：</w:t>
      </w:r>
    </w:p>
    <w:p w14:paraId="21DD6E73">
      <w:pPr>
        <w:spacing w:line="400" w:lineRule="exact"/>
        <w:ind w:left="240" w:right="248" w:firstLine="480"/>
        <w:rPr>
          <w:rFonts w:ascii="宋体" w:hAnsi="宋体" w:cs="宋体"/>
          <w:b/>
          <w:color w:val="auto"/>
          <w:szCs w:val="21"/>
          <w:highlight w:val="none"/>
        </w:rPr>
      </w:pPr>
      <w:r>
        <w:rPr>
          <w:rFonts w:hint="eastAsia" w:ascii="宋体" w:hAnsi="宋体" w:cs="宋体"/>
          <w:b/>
          <w:color w:val="auto"/>
          <w:szCs w:val="21"/>
          <w:highlight w:val="none"/>
        </w:rPr>
        <w:t xml:space="preserve">（1）按以下标准在劳动保障部门指定的账户足额存入农民工工资保证金：   </w:t>
      </w:r>
    </w:p>
    <w:p w14:paraId="50F35242">
      <w:pPr>
        <w:spacing w:line="400" w:lineRule="exact"/>
        <w:ind w:left="240" w:right="248" w:firstLine="480"/>
        <w:rPr>
          <w:rFonts w:ascii="宋体" w:hAnsi="宋体" w:cs="宋体"/>
          <w:b/>
          <w:color w:val="auto"/>
          <w:szCs w:val="21"/>
          <w:highlight w:val="none"/>
        </w:rPr>
      </w:pPr>
      <w:r>
        <w:rPr>
          <w:rFonts w:hint="eastAsia" w:ascii="宋体" w:hAnsi="宋体" w:cs="宋体"/>
          <w:b/>
          <w:color w:val="auto"/>
          <w:szCs w:val="21"/>
          <w:highlight w:val="none"/>
        </w:rPr>
        <w:t>工程项目中标价(合同价)1000万元(含1000万元)以下的，按2％计算；超过1000万元部分，按1％计算。</w:t>
      </w:r>
    </w:p>
    <w:p w14:paraId="6D855FDB">
      <w:pPr>
        <w:spacing w:line="400" w:lineRule="exact"/>
        <w:ind w:left="240" w:right="248" w:firstLine="480"/>
        <w:rPr>
          <w:rFonts w:ascii="宋体" w:hAnsi="宋体" w:cs="宋体"/>
          <w:b/>
          <w:color w:val="auto"/>
          <w:szCs w:val="21"/>
          <w:highlight w:val="none"/>
        </w:rPr>
      </w:pPr>
      <w:r>
        <w:rPr>
          <w:rFonts w:hint="eastAsia" w:ascii="宋体" w:hAnsi="宋体" w:cs="宋体"/>
          <w:b/>
          <w:color w:val="auto"/>
          <w:szCs w:val="21"/>
          <w:highlight w:val="none"/>
        </w:rPr>
        <w:t xml:space="preserve">（2）承诺一旦其出现拖欠工程款导致施工单位无法按时足额支付农民工工资时，可由劳动保障部门从工资保证金中先予垫支。  </w:t>
      </w:r>
    </w:p>
    <w:p w14:paraId="377C5F7C">
      <w:pPr>
        <w:spacing w:line="400" w:lineRule="exact"/>
        <w:ind w:left="240" w:right="248" w:firstLine="480"/>
        <w:rPr>
          <w:rFonts w:ascii="宋体" w:hAnsi="宋体" w:cs="宋体"/>
          <w:b/>
          <w:color w:val="auto"/>
          <w:szCs w:val="21"/>
          <w:highlight w:val="none"/>
        </w:rPr>
      </w:pPr>
      <w:r>
        <w:rPr>
          <w:rFonts w:hint="eastAsia" w:ascii="宋体" w:hAnsi="宋体" w:cs="宋体"/>
          <w:b/>
          <w:color w:val="auto"/>
          <w:szCs w:val="21"/>
          <w:highlight w:val="none"/>
        </w:rPr>
        <w:t>承包人应当根据上述作出的义务、持存入农民工工资保证金的银行凭证到劳动保障部门报备。</w:t>
      </w:r>
    </w:p>
    <w:p w14:paraId="337EA1A2">
      <w:pPr>
        <w:spacing w:line="400" w:lineRule="exact"/>
        <w:ind w:left="240" w:right="248" w:firstLine="480"/>
        <w:rPr>
          <w:rFonts w:ascii="宋体" w:hAnsi="宋体" w:cs="宋体"/>
          <w:b/>
          <w:color w:val="auto"/>
          <w:szCs w:val="21"/>
          <w:highlight w:val="none"/>
        </w:rPr>
      </w:pPr>
      <w:r>
        <w:rPr>
          <w:rFonts w:hint="eastAsia" w:ascii="宋体" w:hAnsi="宋体" w:cs="宋体"/>
          <w:b/>
          <w:color w:val="auto"/>
          <w:szCs w:val="21"/>
          <w:highlight w:val="none"/>
        </w:rPr>
        <w:t>（3）按《关于印发广西壮族自治区工程建设领域工人工资支付专用账户管理办法的通知》（桂薪联发〔2016〕1号）要求，开工前在项目所在地设立农民工专用账号。</w:t>
      </w:r>
    </w:p>
    <w:p w14:paraId="008EDD93">
      <w:pPr>
        <w:spacing w:line="400" w:lineRule="exact"/>
        <w:ind w:left="240" w:right="248" w:firstLine="480"/>
        <w:rPr>
          <w:rFonts w:ascii="宋体" w:hAnsi="宋体" w:cs="宋体"/>
          <w:b/>
          <w:color w:val="auto"/>
          <w:szCs w:val="21"/>
          <w:highlight w:val="none"/>
          <w:lang w:val="zh-CN"/>
        </w:rPr>
      </w:pPr>
      <w:r>
        <w:rPr>
          <w:rFonts w:hint="eastAsia" w:ascii="宋体" w:hAnsi="宋体" w:cs="宋体"/>
          <w:b/>
          <w:color w:val="auto"/>
          <w:szCs w:val="21"/>
          <w:highlight w:val="none"/>
        </w:rPr>
        <w:t>（二）其他未尽事宜待签订施工合同时双方再协商。</w:t>
      </w:r>
      <w:bookmarkEnd w:id="199"/>
    </w:p>
    <w:p w14:paraId="447437BC">
      <w:pPr>
        <w:keepLines/>
        <w:spacing w:before="120" w:after="120" w:line="415" w:lineRule="auto"/>
        <w:jc w:val="left"/>
        <w:outlineLvl w:val="1"/>
        <w:rPr>
          <w:rFonts w:ascii="宋体" w:hAnsi="宋体" w:cs="宋体"/>
          <w:b/>
          <w:bCs/>
          <w:color w:val="auto"/>
          <w:kern w:val="0"/>
          <w:szCs w:val="21"/>
          <w:highlight w:val="none"/>
          <w:lang w:bidi="en-US"/>
        </w:rPr>
      </w:pPr>
      <w:bookmarkStart w:id="200" w:name="bookmark1614"/>
      <w:bookmarkEnd w:id="200"/>
      <w:bookmarkStart w:id="201" w:name="_Toc14710440"/>
      <w:bookmarkStart w:id="202" w:name="_Toc5847"/>
      <w:bookmarkStart w:id="203" w:name="bookmark1615"/>
      <w:bookmarkStart w:id="204" w:name="_Toc6637"/>
      <w:bookmarkStart w:id="205" w:name="bookmark1612"/>
      <w:bookmarkStart w:id="206" w:name="bookmark1613"/>
      <w:r>
        <w:rPr>
          <w:rFonts w:hint="eastAsia" w:ascii="宋体" w:hAnsi="宋体" w:cs="宋体"/>
          <w:b/>
          <w:bCs/>
          <w:color w:val="auto"/>
          <w:kern w:val="0"/>
          <w:szCs w:val="21"/>
          <w:highlight w:val="none"/>
          <w:lang w:bidi="en-US"/>
        </w:rPr>
        <w:t>3. 监理人</w:t>
      </w:r>
      <w:bookmarkEnd w:id="201"/>
      <w:bookmarkEnd w:id="202"/>
      <w:bookmarkEnd w:id="203"/>
      <w:bookmarkEnd w:id="204"/>
    </w:p>
    <w:p w14:paraId="1973D7E2">
      <w:pPr>
        <w:tabs>
          <w:tab w:val="left" w:pos="8227"/>
        </w:tabs>
        <w:spacing w:after="180" w:line="422" w:lineRule="exact"/>
        <w:jc w:val="left"/>
        <w:rPr>
          <w:rFonts w:ascii="宋体" w:hAnsi="宋体" w:cs="宋体"/>
          <w:b/>
          <w:color w:val="auto"/>
          <w:kern w:val="0"/>
          <w:szCs w:val="21"/>
          <w:highlight w:val="none"/>
          <w:lang w:val="zh-CN" w:bidi="zh-CN"/>
        </w:rPr>
      </w:pPr>
      <w:bookmarkStart w:id="207" w:name="bookmark1616"/>
      <w:r>
        <w:rPr>
          <w:rFonts w:hint="eastAsia" w:ascii="宋体" w:hAnsi="宋体" w:cs="宋体"/>
          <w:b/>
          <w:color w:val="auto"/>
          <w:kern w:val="0"/>
          <w:szCs w:val="21"/>
          <w:highlight w:val="none"/>
          <w:lang w:val="zh-CN" w:bidi="zh-CN"/>
        </w:rPr>
        <w:t>3.1监理人的职责和权力</w:t>
      </w:r>
      <w:bookmarkEnd w:id="205"/>
      <w:bookmarkEnd w:id="206"/>
      <w:bookmarkEnd w:id="207"/>
    </w:p>
    <w:p w14:paraId="41C2AB73">
      <w:pPr>
        <w:spacing w:after="280" w:line="353"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3.1.1</w:t>
      </w:r>
      <w:r>
        <w:rPr>
          <w:rFonts w:hint="eastAsia" w:ascii="宋体" w:hAnsi="宋体" w:cs="宋体"/>
          <w:color w:val="auto"/>
          <w:kern w:val="0"/>
          <w:szCs w:val="21"/>
          <w:highlight w:val="none"/>
          <w:lang w:val="zh-CN" w:bidi="zh-CN"/>
        </w:rPr>
        <w:t>监理人须根据发包人事先批准的权力范围行使权力，发包人批准的权力范围： 按本工程委托监理合同。</w:t>
      </w:r>
    </w:p>
    <w:p w14:paraId="3DD1DF5E">
      <w:pPr>
        <w:keepLines/>
        <w:spacing w:before="120" w:after="120" w:line="415" w:lineRule="auto"/>
        <w:jc w:val="left"/>
        <w:outlineLvl w:val="1"/>
        <w:rPr>
          <w:rFonts w:ascii="宋体" w:hAnsi="宋体" w:cs="宋体"/>
          <w:b/>
          <w:bCs/>
          <w:color w:val="auto"/>
          <w:kern w:val="0"/>
          <w:szCs w:val="21"/>
          <w:highlight w:val="none"/>
          <w:lang w:bidi="en-US"/>
        </w:rPr>
      </w:pPr>
      <w:bookmarkStart w:id="208" w:name="bookmark1619"/>
      <w:bookmarkEnd w:id="208"/>
      <w:bookmarkStart w:id="209" w:name="_Toc23429"/>
      <w:bookmarkStart w:id="210" w:name="_Toc4014"/>
      <w:bookmarkStart w:id="211" w:name="bookmark1620"/>
      <w:bookmarkStart w:id="212" w:name="_Toc14710441"/>
      <w:bookmarkStart w:id="213" w:name="bookmark1618"/>
      <w:bookmarkStart w:id="214" w:name="bookmark1617"/>
      <w:r>
        <w:rPr>
          <w:rFonts w:hint="eastAsia" w:ascii="宋体" w:hAnsi="宋体" w:cs="宋体"/>
          <w:b/>
          <w:bCs/>
          <w:color w:val="auto"/>
          <w:kern w:val="0"/>
          <w:szCs w:val="21"/>
          <w:highlight w:val="none"/>
          <w:lang w:bidi="en-US"/>
        </w:rPr>
        <w:t>4. 承包人</w:t>
      </w:r>
      <w:bookmarkEnd w:id="209"/>
      <w:bookmarkEnd w:id="210"/>
      <w:bookmarkEnd w:id="211"/>
      <w:bookmarkEnd w:id="212"/>
    </w:p>
    <w:p w14:paraId="37E315D7">
      <w:pPr>
        <w:tabs>
          <w:tab w:val="left" w:pos="8227"/>
        </w:tabs>
        <w:spacing w:after="180" w:line="422" w:lineRule="exact"/>
        <w:jc w:val="left"/>
        <w:rPr>
          <w:rFonts w:ascii="宋体" w:hAnsi="宋体" w:cs="宋体"/>
          <w:b/>
          <w:color w:val="auto"/>
          <w:kern w:val="0"/>
          <w:szCs w:val="21"/>
          <w:highlight w:val="none"/>
          <w:lang w:val="zh-CN" w:bidi="zh-CN"/>
        </w:rPr>
      </w:pPr>
      <w:bookmarkStart w:id="215" w:name="bookmark1621"/>
      <w:r>
        <w:rPr>
          <w:rFonts w:hint="eastAsia" w:ascii="宋体" w:hAnsi="宋体" w:cs="宋体"/>
          <w:b/>
          <w:color w:val="auto"/>
          <w:kern w:val="0"/>
          <w:szCs w:val="21"/>
          <w:highlight w:val="none"/>
          <w:lang w:val="zh-CN" w:bidi="zh-CN"/>
        </w:rPr>
        <w:t>4.1承包人的一般义务</w:t>
      </w:r>
      <w:bookmarkEnd w:id="213"/>
      <w:bookmarkEnd w:id="214"/>
      <w:bookmarkEnd w:id="215"/>
    </w:p>
    <w:p w14:paraId="1DACF122">
      <w:pPr>
        <w:tabs>
          <w:tab w:val="left" w:pos="759"/>
        </w:tabs>
        <w:spacing w:line="374" w:lineRule="auto"/>
        <w:ind w:left="420"/>
        <w:outlineLvl w:val="0"/>
        <w:rPr>
          <w:rFonts w:ascii="宋体" w:hAnsi="宋体" w:cs="宋体"/>
          <w:color w:val="auto"/>
          <w:kern w:val="0"/>
          <w:szCs w:val="21"/>
          <w:highlight w:val="none"/>
        </w:rPr>
      </w:pPr>
      <w:bookmarkStart w:id="216" w:name="bookmark1622"/>
      <w:bookmarkEnd w:id="216"/>
      <w:r>
        <w:rPr>
          <w:rFonts w:hint="eastAsia" w:ascii="宋体" w:hAnsi="宋体" w:cs="宋体"/>
          <w:color w:val="auto"/>
          <w:kern w:val="0"/>
          <w:szCs w:val="21"/>
          <w:highlight w:val="none"/>
        </w:rPr>
        <w:t xml:space="preserve">4.1. </w:t>
      </w:r>
      <w:r>
        <w:rPr>
          <w:rFonts w:hint="eastAsia" w:ascii="宋体" w:hAnsi="宋体" w:cs="宋体"/>
          <w:color w:val="auto"/>
          <w:kern w:val="0"/>
          <w:szCs w:val="21"/>
          <w:highlight w:val="none"/>
          <w:lang w:val="zh-CN" w:bidi="zh-CN"/>
        </w:rPr>
        <w:t>10其他义务</w:t>
      </w:r>
    </w:p>
    <w:p w14:paraId="23A578E6">
      <w:pPr>
        <w:numPr>
          <w:ilvl w:val="0"/>
          <w:numId w:val="4"/>
        </w:numPr>
        <w:tabs>
          <w:tab w:val="left" w:pos="1031"/>
        </w:tabs>
        <w:spacing w:line="359" w:lineRule="exact"/>
        <w:ind w:firstLine="440"/>
        <w:jc w:val="left"/>
        <w:rPr>
          <w:rFonts w:ascii="宋体" w:hAnsi="宋体" w:cs="宋体"/>
          <w:color w:val="auto"/>
          <w:kern w:val="0"/>
          <w:szCs w:val="21"/>
          <w:highlight w:val="none"/>
          <w:lang w:val="zh-CN" w:bidi="zh-CN"/>
        </w:rPr>
      </w:pPr>
      <w:bookmarkStart w:id="217" w:name="bookmark1623"/>
      <w:bookmarkEnd w:id="217"/>
      <w:r>
        <w:rPr>
          <w:rFonts w:hint="eastAsia" w:ascii="宋体" w:hAnsi="宋体" w:cs="宋体"/>
          <w:color w:val="auto"/>
          <w:kern w:val="0"/>
          <w:szCs w:val="21"/>
          <w:highlight w:val="none"/>
          <w:lang w:val="zh-CN" w:bidi="zh-CN"/>
        </w:rPr>
        <w:t>办理有关保险。</w:t>
      </w:r>
    </w:p>
    <w:p w14:paraId="1DA2BB53">
      <w:pPr>
        <w:spacing w:line="359"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按照《建筑法》规定，必须在工程开工前，为参加本合同工程现场施工的所有作业人员及管理人员，包括参加工程建设的管理人员、监理人员、施工人员(含民工)办理工伤保险，并缴纳工伤保险费。保险期限自投保之日(工程开工之日)起至工程竣工验收时止, 时间上涵盖施工全过程的任一时段。</w:t>
      </w:r>
    </w:p>
    <w:p w14:paraId="1A995FEB">
      <w:pPr>
        <w:spacing w:line="359"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按照《建筑法》规定，鼓励为从事危险作业的职工办理意外伤害保险。</w:t>
      </w:r>
    </w:p>
    <w:p w14:paraId="16858FCB">
      <w:pPr>
        <w:numPr>
          <w:ilvl w:val="0"/>
          <w:numId w:val="4"/>
        </w:numPr>
        <w:tabs>
          <w:tab w:val="left" w:pos="1028"/>
        </w:tabs>
        <w:spacing w:line="359" w:lineRule="exact"/>
        <w:ind w:firstLine="440"/>
        <w:jc w:val="left"/>
        <w:rPr>
          <w:rFonts w:ascii="宋体" w:hAnsi="宋体" w:cs="宋体"/>
          <w:color w:val="auto"/>
          <w:kern w:val="0"/>
          <w:szCs w:val="21"/>
          <w:highlight w:val="none"/>
          <w:lang w:val="zh-CN" w:bidi="zh-CN"/>
        </w:rPr>
      </w:pPr>
      <w:bookmarkStart w:id="218" w:name="bookmark1624"/>
      <w:bookmarkEnd w:id="218"/>
      <w:r>
        <w:rPr>
          <w:rFonts w:hint="eastAsia" w:ascii="宋体" w:hAnsi="宋体" w:cs="宋体"/>
          <w:color w:val="auto"/>
          <w:kern w:val="0"/>
          <w:szCs w:val="21"/>
          <w:highlight w:val="none"/>
          <w:lang w:val="zh-CN" w:bidi="zh-CN"/>
        </w:rPr>
        <w:t>执行广西壮族自治区解决企业拖欠工资问题联席会议关于保障农民工工资支付的有关规定，确保农民工工资无拖欠。</w:t>
      </w:r>
    </w:p>
    <w:p w14:paraId="352B14EA">
      <w:pPr>
        <w:spacing w:line="359"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依法与招用的农民工签订并履行劳动合同，建立职工名册，及时办理劳动用工备案。实行农民工工资专用账户管理、银行代发农民工工资制度和农民工工资保证金制度。</w:t>
      </w:r>
    </w:p>
    <w:p w14:paraId="209A4CDE">
      <w:pPr>
        <w:numPr>
          <w:ilvl w:val="0"/>
          <w:numId w:val="4"/>
        </w:numPr>
        <w:tabs>
          <w:tab w:val="left" w:pos="1031"/>
        </w:tabs>
        <w:spacing w:line="359" w:lineRule="exact"/>
        <w:ind w:firstLine="440"/>
        <w:jc w:val="left"/>
        <w:rPr>
          <w:rFonts w:ascii="宋体" w:hAnsi="宋体" w:cs="宋体"/>
          <w:color w:val="auto"/>
          <w:kern w:val="0"/>
          <w:szCs w:val="21"/>
          <w:highlight w:val="none"/>
          <w:lang w:val="zh-CN" w:bidi="zh-CN"/>
        </w:rPr>
      </w:pPr>
      <w:bookmarkStart w:id="219" w:name="bookmark1625"/>
      <w:bookmarkEnd w:id="219"/>
      <w:r>
        <w:rPr>
          <w:rFonts w:hint="eastAsia" w:ascii="宋体" w:hAnsi="宋体" w:cs="宋体"/>
          <w:color w:val="auto"/>
          <w:kern w:val="0"/>
          <w:szCs w:val="21"/>
          <w:highlight w:val="none"/>
          <w:lang w:val="zh-CN" w:bidi="zh-CN"/>
        </w:rPr>
        <w:t>工程施工的义务和责任</w:t>
      </w:r>
    </w:p>
    <w:p w14:paraId="69B80851">
      <w:pPr>
        <w:numPr>
          <w:ilvl w:val="0"/>
          <w:numId w:val="5"/>
        </w:numPr>
        <w:tabs>
          <w:tab w:val="left" w:pos="920"/>
        </w:tabs>
        <w:spacing w:line="359" w:lineRule="exact"/>
        <w:ind w:firstLine="440"/>
        <w:jc w:val="left"/>
        <w:rPr>
          <w:rFonts w:ascii="宋体" w:hAnsi="宋体" w:cs="宋体"/>
          <w:color w:val="auto"/>
          <w:kern w:val="0"/>
          <w:szCs w:val="21"/>
          <w:highlight w:val="none"/>
          <w:lang w:val="zh-CN" w:bidi="zh-CN"/>
        </w:rPr>
      </w:pPr>
      <w:bookmarkStart w:id="220" w:name="bookmark1626"/>
      <w:bookmarkEnd w:id="220"/>
      <w:r>
        <w:rPr>
          <w:rFonts w:hint="eastAsia" w:ascii="宋体" w:hAnsi="宋体" w:cs="宋体"/>
          <w:color w:val="auto"/>
          <w:kern w:val="0"/>
          <w:szCs w:val="21"/>
          <w:highlight w:val="none"/>
          <w:lang w:val="zh-CN" w:bidi="zh-CN"/>
        </w:rPr>
        <w:t>承包人应负责施工场地内部的水、电等施工管、线路的铺、架设及其费用，并按供电部门规定向供电部门(或发包人)交纳水、电费。发包人提供的接电点在签订合同时明确。另外，施工通讯及设施由承包人负责并承担费用。</w:t>
      </w:r>
    </w:p>
    <w:p w14:paraId="1A31FC64">
      <w:pPr>
        <w:numPr>
          <w:ilvl w:val="0"/>
          <w:numId w:val="5"/>
        </w:numPr>
        <w:tabs>
          <w:tab w:val="left" w:pos="918"/>
        </w:tabs>
        <w:spacing w:line="359" w:lineRule="exact"/>
        <w:ind w:firstLine="440"/>
        <w:jc w:val="left"/>
        <w:rPr>
          <w:rFonts w:ascii="宋体" w:hAnsi="宋体" w:cs="宋体"/>
          <w:color w:val="auto"/>
          <w:kern w:val="0"/>
          <w:szCs w:val="21"/>
          <w:highlight w:val="none"/>
          <w:lang w:val="zh-CN" w:bidi="zh-CN"/>
        </w:rPr>
      </w:pPr>
      <w:bookmarkStart w:id="221" w:name="bookmark1627"/>
      <w:bookmarkEnd w:id="221"/>
      <w:r>
        <w:rPr>
          <w:rFonts w:hint="eastAsia" w:ascii="宋体" w:hAnsi="宋体" w:cs="宋体"/>
          <w:color w:val="auto"/>
          <w:kern w:val="0"/>
          <w:szCs w:val="21"/>
          <w:highlight w:val="none"/>
          <w:lang w:val="zh-CN" w:bidi="zh-CN"/>
        </w:rPr>
        <w:t>除民房外，承包人应按监理人的指示负责拆除、清理已征用土地上的杂物、灌木、 树木、树根、杂草等。</w:t>
      </w:r>
    </w:p>
    <w:p w14:paraId="512E0360">
      <w:pPr>
        <w:numPr>
          <w:ilvl w:val="0"/>
          <w:numId w:val="5"/>
        </w:numPr>
        <w:tabs>
          <w:tab w:val="left" w:pos="920"/>
        </w:tabs>
        <w:spacing w:line="359" w:lineRule="exact"/>
        <w:ind w:firstLine="440"/>
        <w:jc w:val="left"/>
        <w:rPr>
          <w:rFonts w:ascii="宋体" w:hAnsi="宋体" w:cs="宋体"/>
          <w:color w:val="auto"/>
          <w:kern w:val="0"/>
          <w:szCs w:val="21"/>
          <w:highlight w:val="none"/>
          <w:lang w:val="zh-CN" w:bidi="zh-CN"/>
        </w:rPr>
      </w:pPr>
      <w:bookmarkStart w:id="222" w:name="bookmark1628"/>
      <w:bookmarkEnd w:id="222"/>
      <w:r>
        <w:rPr>
          <w:rFonts w:hint="eastAsia" w:ascii="宋体" w:hAnsi="宋体" w:cs="宋体"/>
          <w:color w:val="auto"/>
          <w:kern w:val="0"/>
          <w:szCs w:val="21"/>
          <w:highlight w:val="none"/>
          <w:lang w:val="zh-CN" w:bidi="zh-CN"/>
        </w:rPr>
        <w:t>承包人应充分理解有一些设施(如施工道路、桥梁)可能会有其它人和单位使用通行，在使用过程中发生干扰时，应立即通知监理人并服从监理人的决定。</w:t>
      </w:r>
    </w:p>
    <w:p w14:paraId="257C5560">
      <w:pPr>
        <w:numPr>
          <w:ilvl w:val="0"/>
          <w:numId w:val="5"/>
        </w:numPr>
        <w:tabs>
          <w:tab w:val="left" w:pos="922"/>
        </w:tabs>
        <w:spacing w:line="359" w:lineRule="exact"/>
        <w:ind w:firstLine="440"/>
        <w:jc w:val="left"/>
        <w:rPr>
          <w:rFonts w:ascii="宋体" w:hAnsi="宋体" w:cs="宋体"/>
          <w:color w:val="auto"/>
          <w:kern w:val="0"/>
          <w:szCs w:val="21"/>
          <w:highlight w:val="none"/>
          <w:lang w:val="zh-CN" w:bidi="zh-CN"/>
        </w:rPr>
      </w:pPr>
      <w:bookmarkStart w:id="223" w:name="bookmark1629"/>
      <w:bookmarkEnd w:id="223"/>
      <w:r>
        <w:rPr>
          <w:rFonts w:hint="eastAsia" w:ascii="宋体" w:hAnsi="宋体" w:cs="宋体"/>
          <w:color w:val="auto"/>
          <w:kern w:val="0"/>
          <w:szCs w:val="21"/>
          <w:highlight w:val="none"/>
          <w:lang w:val="zh-CN" w:bidi="zh-CN"/>
        </w:rPr>
        <w:t>承包人应为监理人、发包人现场代表对施工现场的检查监督提供必要的配合，并对这种配合对施工的影响应有充分的考虑。</w:t>
      </w:r>
    </w:p>
    <w:p w14:paraId="2F6CA497">
      <w:pPr>
        <w:numPr>
          <w:ilvl w:val="0"/>
          <w:numId w:val="5"/>
        </w:numPr>
        <w:tabs>
          <w:tab w:val="left" w:pos="915"/>
        </w:tabs>
        <w:spacing w:line="359" w:lineRule="exact"/>
        <w:ind w:firstLine="440"/>
        <w:jc w:val="left"/>
        <w:rPr>
          <w:rFonts w:ascii="宋体" w:hAnsi="宋体" w:cs="宋体"/>
          <w:color w:val="auto"/>
          <w:kern w:val="0"/>
          <w:szCs w:val="21"/>
          <w:highlight w:val="none"/>
          <w:lang w:val="zh-CN" w:bidi="zh-CN"/>
        </w:rPr>
      </w:pPr>
      <w:bookmarkStart w:id="224" w:name="bookmark1630"/>
      <w:bookmarkEnd w:id="224"/>
      <w:r>
        <w:rPr>
          <w:rFonts w:hint="eastAsia" w:ascii="宋体" w:hAnsi="宋体" w:cs="宋体"/>
          <w:color w:val="auto"/>
          <w:kern w:val="0"/>
          <w:szCs w:val="21"/>
          <w:highlight w:val="none"/>
          <w:lang w:val="zh-CN" w:bidi="zh-CN"/>
        </w:rPr>
        <w:t>工程竣工后，承包人应按监理人的指示清理施工现场直至监理人、发包人满意 为止。</w:t>
      </w:r>
    </w:p>
    <w:p w14:paraId="7AD04C54">
      <w:pPr>
        <w:numPr>
          <w:ilvl w:val="0"/>
          <w:numId w:val="5"/>
        </w:numPr>
        <w:tabs>
          <w:tab w:val="left" w:pos="920"/>
        </w:tabs>
        <w:spacing w:line="362" w:lineRule="exact"/>
        <w:ind w:firstLine="440"/>
        <w:jc w:val="left"/>
        <w:rPr>
          <w:rFonts w:ascii="宋体" w:hAnsi="宋体" w:cs="宋体"/>
          <w:color w:val="auto"/>
          <w:kern w:val="0"/>
          <w:szCs w:val="21"/>
          <w:highlight w:val="none"/>
          <w:lang w:val="zh-CN" w:bidi="zh-CN"/>
        </w:rPr>
      </w:pPr>
      <w:bookmarkStart w:id="225" w:name="bookmark1631"/>
      <w:bookmarkEnd w:id="225"/>
      <w:r>
        <w:rPr>
          <w:rFonts w:hint="eastAsia" w:ascii="宋体" w:hAnsi="宋体" w:cs="宋体"/>
          <w:color w:val="auto"/>
          <w:kern w:val="0"/>
          <w:szCs w:val="21"/>
          <w:highlight w:val="none"/>
          <w:lang w:val="zh-CN" w:bidi="zh-CN"/>
        </w:rPr>
        <w:t>对上述(1) ~ (5)项工作，费用已包括在有关单价和总价中，发包人不再另行支付由此所发生的一切费用。</w:t>
      </w:r>
    </w:p>
    <w:p w14:paraId="02FCB4C1">
      <w:pPr>
        <w:numPr>
          <w:ilvl w:val="0"/>
          <w:numId w:val="5"/>
        </w:numPr>
        <w:tabs>
          <w:tab w:val="left" w:pos="922"/>
        </w:tabs>
        <w:spacing w:after="80" w:line="362" w:lineRule="exact"/>
        <w:ind w:firstLine="440"/>
        <w:jc w:val="left"/>
        <w:rPr>
          <w:rFonts w:ascii="宋体" w:hAnsi="宋体" w:cs="宋体"/>
          <w:color w:val="auto"/>
          <w:kern w:val="0"/>
          <w:szCs w:val="21"/>
          <w:highlight w:val="none"/>
          <w:lang w:val="zh-CN" w:bidi="zh-CN"/>
        </w:rPr>
      </w:pPr>
      <w:bookmarkStart w:id="226" w:name="bookmark1632"/>
      <w:bookmarkEnd w:id="226"/>
      <w:r>
        <w:rPr>
          <w:rFonts w:hint="eastAsia" w:ascii="宋体" w:hAnsi="宋体" w:cs="宋体"/>
          <w:color w:val="auto"/>
          <w:kern w:val="0"/>
          <w:szCs w:val="21"/>
          <w:highlight w:val="none"/>
          <w:lang w:val="zh-CN" w:bidi="zh-CN"/>
        </w:rPr>
        <w:t>经过公路、城市道路的施工车辆，必须按交警、城管、环保、环卫等部门规定执行。施工车辆的营运手续办理、清洗等一切费用由承包人承担。由于车辆超载、带泥或洒漏造成的道路损坏、环境污染等，其责任和费用均由承包人承担。</w:t>
      </w:r>
    </w:p>
    <w:p w14:paraId="453ED3D0">
      <w:pPr>
        <w:numPr>
          <w:ilvl w:val="0"/>
          <w:numId w:val="5"/>
        </w:numPr>
        <w:tabs>
          <w:tab w:val="left" w:pos="924"/>
        </w:tabs>
        <w:spacing w:line="359" w:lineRule="exact"/>
        <w:ind w:firstLine="440"/>
        <w:jc w:val="left"/>
        <w:rPr>
          <w:rFonts w:ascii="宋体" w:hAnsi="宋体" w:cs="宋体"/>
          <w:color w:val="auto"/>
          <w:kern w:val="0"/>
          <w:szCs w:val="21"/>
          <w:highlight w:val="none"/>
          <w:lang w:val="zh-CN" w:bidi="zh-CN"/>
        </w:rPr>
      </w:pPr>
      <w:bookmarkStart w:id="227" w:name="bookmark1633"/>
      <w:bookmarkEnd w:id="227"/>
      <w:r>
        <w:rPr>
          <w:rFonts w:hint="eastAsia" w:ascii="宋体" w:hAnsi="宋体" w:cs="宋体"/>
          <w:color w:val="auto"/>
          <w:kern w:val="0"/>
          <w:szCs w:val="21"/>
          <w:highlight w:val="none"/>
          <w:lang w:val="zh-CN" w:bidi="zh-CN"/>
        </w:rPr>
        <w:t>承包人必须文明、安全施工，在施工期间发生的一切人员伤亡和财产损失等责任事故和所发生的一切费用概由承包人承担。</w:t>
      </w:r>
    </w:p>
    <w:p w14:paraId="1D3F32C3">
      <w:pPr>
        <w:numPr>
          <w:ilvl w:val="0"/>
          <w:numId w:val="5"/>
        </w:numPr>
        <w:tabs>
          <w:tab w:val="left" w:pos="924"/>
        </w:tabs>
        <w:spacing w:line="359" w:lineRule="exact"/>
        <w:ind w:firstLine="440"/>
        <w:jc w:val="left"/>
        <w:rPr>
          <w:rFonts w:ascii="宋体" w:hAnsi="宋体" w:cs="宋体"/>
          <w:color w:val="auto"/>
          <w:kern w:val="0"/>
          <w:szCs w:val="21"/>
          <w:highlight w:val="none"/>
          <w:lang w:val="zh-CN" w:bidi="zh-CN"/>
        </w:rPr>
      </w:pPr>
      <w:bookmarkStart w:id="228" w:name="bookmark1634"/>
      <w:bookmarkEnd w:id="228"/>
      <w:r>
        <w:rPr>
          <w:rFonts w:hint="eastAsia" w:ascii="宋体" w:hAnsi="宋体" w:cs="宋体"/>
          <w:color w:val="auto"/>
          <w:kern w:val="0"/>
          <w:szCs w:val="21"/>
          <w:highlight w:val="none"/>
          <w:lang w:val="zh-CN" w:bidi="zh-CN"/>
        </w:rPr>
        <w:t>按照发包人的要求做好安全文明宣传、监督检查宣传等工作，相关费用由承包人承担。</w:t>
      </w:r>
    </w:p>
    <w:p w14:paraId="468A325E">
      <w:pPr>
        <w:numPr>
          <w:ilvl w:val="0"/>
          <w:numId w:val="5"/>
        </w:numPr>
        <w:tabs>
          <w:tab w:val="left" w:pos="924"/>
        </w:tabs>
        <w:spacing w:line="359" w:lineRule="exact"/>
        <w:ind w:firstLine="440"/>
        <w:jc w:val="left"/>
        <w:rPr>
          <w:rFonts w:ascii="宋体" w:hAnsi="宋体" w:cs="宋体"/>
          <w:color w:val="auto"/>
          <w:kern w:val="0"/>
          <w:szCs w:val="21"/>
          <w:highlight w:val="none"/>
          <w:lang w:val="zh-CN" w:bidi="zh-CN"/>
        </w:rPr>
      </w:pPr>
      <w:bookmarkStart w:id="229" w:name="bookmark1635"/>
      <w:bookmarkEnd w:id="229"/>
      <w:r>
        <w:rPr>
          <w:rFonts w:hint="eastAsia" w:ascii="宋体" w:hAnsi="宋体" w:cs="宋体"/>
          <w:color w:val="auto"/>
          <w:kern w:val="0"/>
          <w:szCs w:val="21"/>
          <w:highlight w:val="none"/>
          <w:lang w:val="zh-CN" w:bidi="zh-CN"/>
        </w:rPr>
        <w:t>承包人应按约定时间和要求，完成以下工作：</w:t>
      </w:r>
    </w:p>
    <w:p w14:paraId="63B1AD29">
      <w:pPr>
        <w:numPr>
          <w:ilvl w:val="0"/>
          <w:numId w:val="6"/>
        </w:numPr>
        <w:tabs>
          <w:tab w:val="left" w:pos="839"/>
        </w:tabs>
        <w:spacing w:line="359" w:lineRule="exact"/>
        <w:ind w:firstLine="440"/>
        <w:jc w:val="left"/>
        <w:rPr>
          <w:rFonts w:ascii="宋体" w:hAnsi="宋体" w:cs="宋体"/>
          <w:color w:val="auto"/>
          <w:kern w:val="0"/>
          <w:szCs w:val="21"/>
          <w:highlight w:val="none"/>
          <w:lang w:val="zh-CN" w:bidi="zh-CN"/>
        </w:rPr>
      </w:pPr>
      <w:bookmarkStart w:id="230" w:name="bookmark1636"/>
      <w:bookmarkEnd w:id="230"/>
      <w:r>
        <w:rPr>
          <w:rFonts w:hint="eastAsia" w:ascii="宋体" w:hAnsi="宋体" w:cs="宋体"/>
          <w:color w:val="auto"/>
          <w:kern w:val="0"/>
          <w:szCs w:val="21"/>
          <w:highlight w:val="none"/>
          <w:lang w:val="zh-CN" w:bidi="zh-CN"/>
        </w:rPr>
        <w:t>按时提交施工组织设计、单位工程的施工方案。</w:t>
      </w:r>
    </w:p>
    <w:p w14:paraId="0EE98273">
      <w:pPr>
        <w:numPr>
          <w:ilvl w:val="0"/>
          <w:numId w:val="6"/>
        </w:numPr>
        <w:tabs>
          <w:tab w:val="left" w:pos="839"/>
        </w:tabs>
        <w:spacing w:line="359" w:lineRule="exact"/>
        <w:ind w:firstLine="440"/>
        <w:jc w:val="left"/>
        <w:rPr>
          <w:rFonts w:ascii="宋体" w:hAnsi="宋体" w:cs="宋体"/>
          <w:color w:val="auto"/>
          <w:kern w:val="0"/>
          <w:szCs w:val="21"/>
          <w:highlight w:val="none"/>
          <w:lang w:val="zh-CN" w:bidi="zh-CN"/>
        </w:rPr>
      </w:pPr>
      <w:bookmarkStart w:id="231" w:name="bookmark1637"/>
      <w:bookmarkEnd w:id="231"/>
      <w:r>
        <w:rPr>
          <w:rFonts w:hint="eastAsia" w:ascii="宋体" w:hAnsi="宋体" w:cs="宋体"/>
          <w:color w:val="auto"/>
          <w:kern w:val="0"/>
          <w:szCs w:val="21"/>
          <w:highlight w:val="none"/>
          <w:lang w:val="zh-CN" w:bidi="zh-CN"/>
        </w:rPr>
        <w:t>每月25日向监理人提交当月工程进度报表及下月进度计划。</w:t>
      </w:r>
    </w:p>
    <w:p w14:paraId="3742B2B8">
      <w:pPr>
        <w:numPr>
          <w:ilvl w:val="0"/>
          <w:numId w:val="6"/>
        </w:numPr>
        <w:tabs>
          <w:tab w:val="left" w:pos="839"/>
        </w:tabs>
        <w:spacing w:line="359" w:lineRule="exact"/>
        <w:ind w:firstLine="440"/>
        <w:jc w:val="left"/>
        <w:rPr>
          <w:rFonts w:ascii="宋体" w:hAnsi="宋体" w:cs="宋体"/>
          <w:color w:val="auto"/>
          <w:kern w:val="0"/>
          <w:szCs w:val="21"/>
          <w:highlight w:val="none"/>
          <w:lang w:val="zh-CN" w:bidi="zh-CN"/>
        </w:rPr>
      </w:pPr>
      <w:bookmarkStart w:id="232" w:name="bookmark1638"/>
      <w:bookmarkEnd w:id="232"/>
      <w:r>
        <w:rPr>
          <w:rFonts w:hint="eastAsia" w:ascii="宋体" w:hAnsi="宋体" w:cs="宋体"/>
          <w:color w:val="auto"/>
          <w:kern w:val="0"/>
          <w:szCs w:val="21"/>
          <w:highlight w:val="none"/>
          <w:lang w:val="zh-CN" w:bidi="zh-CN"/>
        </w:rPr>
        <w:t>承包人自行负责施工安全保卫工作及夜间施工照明。</w:t>
      </w:r>
    </w:p>
    <w:p w14:paraId="22997159">
      <w:pPr>
        <w:numPr>
          <w:ilvl w:val="0"/>
          <w:numId w:val="6"/>
        </w:numPr>
        <w:tabs>
          <w:tab w:val="left" w:pos="798"/>
        </w:tabs>
        <w:spacing w:line="359" w:lineRule="exact"/>
        <w:ind w:firstLine="440"/>
        <w:jc w:val="left"/>
        <w:rPr>
          <w:rFonts w:ascii="宋体" w:hAnsi="宋体" w:cs="宋体"/>
          <w:color w:val="auto"/>
          <w:kern w:val="0"/>
          <w:szCs w:val="21"/>
          <w:highlight w:val="none"/>
          <w:lang w:val="zh-CN" w:bidi="zh-CN"/>
        </w:rPr>
      </w:pPr>
      <w:bookmarkStart w:id="233" w:name="bookmark1639"/>
      <w:bookmarkEnd w:id="233"/>
      <w:r>
        <w:rPr>
          <w:rFonts w:hint="eastAsia" w:ascii="宋体" w:hAnsi="宋体" w:cs="宋体"/>
          <w:color w:val="auto"/>
          <w:kern w:val="0"/>
          <w:szCs w:val="21"/>
          <w:highlight w:val="none"/>
          <w:lang w:val="zh-CN" w:bidi="zh-CN"/>
        </w:rPr>
        <w:t>需承包人办理的有关施工场地交通、环卫和施工噪音降尘管理等手续：遵守有关部门对施工现场交通、环卫和施工噪音降尘管理规定，如有发生，费用由承包人承担。</w:t>
      </w:r>
    </w:p>
    <w:p w14:paraId="5F66019A">
      <w:pPr>
        <w:numPr>
          <w:ilvl w:val="0"/>
          <w:numId w:val="6"/>
        </w:numPr>
        <w:tabs>
          <w:tab w:val="left" w:pos="819"/>
        </w:tabs>
        <w:spacing w:line="359" w:lineRule="exact"/>
        <w:ind w:firstLine="440"/>
        <w:jc w:val="left"/>
        <w:rPr>
          <w:rFonts w:ascii="宋体" w:hAnsi="宋体" w:cs="宋体"/>
          <w:color w:val="auto"/>
          <w:kern w:val="0"/>
          <w:szCs w:val="21"/>
          <w:highlight w:val="none"/>
          <w:lang w:val="zh-CN" w:bidi="zh-CN"/>
        </w:rPr>
      </w:pPr>
      <w:bookmarkStart w:id="234" w:name="bookmark1640"/>
      <w:bookmarkEnd w:id="234"/>
      <w:r>
        <w:rPr>
          <w:rFonts w:hint="eastAsia" w:ascii="宋体" w:hAnsi="宋体" w:cs="宋体"/>
          <w:color w:val="auto"/>
          <w:kern w:val="0"/>
          <w:szCs w:val="21"/>
          <w:highlight w:val="none"/>
          <w:lang w:val="zh-CN" w:bidi="zh-CN"/>
        </w:rPr>
        <w:t>已完工程成品保护的特殊要求及费用承担：已完工工程未交付发包人之前，承包人按协议条款约定负责已完成工程的成品保护工作，保护期间发生损坏，承包人自费予以修复。</w:t>
      </w:r>
    </w:p>
    <w:p w14:paraId="67282296">
      <w:pPr>
        <w:numPr>
          <w:ilvl w:val="0"/>
          <w:numId w:val="6"/>
        </w:numPr>
        <w:tabs>
          <w:tab w:val="left" w:pos="814"/>
        </w:tabs>
        <w:spacing w:line="359" w:lineRule="exact"/>
        <w:ind w:firstLine="440"/>
        <w:jc w:val="left"/>
        <w:rPr>
          <w:rFonts w:ascii="宋体" w:hAnsi="宋体" w:cs="宋体"/>
          <w:color w:val="auto"/>
          <w:kern w:val="0"/>
          <w:szCs w:val="21"/>
          <w:highlight w:val="none"/>
          <w:lang w:val="zh-CN" w:bidi="zh-CN"/>
        </w:rPr>
      </w:pPr>
      <w:bookmarkStart w:id="235" w:name="bookmark1641"/>
      <w:bookmarkEnd w:id="235"/>
      <w:r>
        <w:rPr>
          <w:rFonts w:hint="eastAsia" w:ascii="宋体" w:hAnsi="宋体" w:cs="宋体"/>
          <w:color w:val="auto"/>
          <w:kern w:val="0"/>
          <w:szCs w:val="21"/>
          <w:highlight w:val="none"/>
          <w:lang w:val="zh-CN" w:bidi="zh-CN"/>
        </w:rPr>
        <w:t>承包人有义务对施工场地周围管线(含地上及地下)和邻近建筑物、构筑物(含文物保护建筑)、古树名木等进行探明并负责保护。</w:t>
      </w:r>
    </w:p>
    <w:p w14:paraId="4079B06F">
      <w:pPr>
        <w:numPr>
          <w:ilvl w:val="0"/>
          <w:numId w:val="6"/>
        </w:numPr>
        <w:tabs>
          <w:tab w:val="left" w:pos="819"/>
        </w:tabs>
        <w:spacing w:line="359" w:lineRule="exact"/>
        <w:ind w:firstLine="440"/>
        <w:jc w:val="left"/>
        <w:rPr>
          <w:rFonts w:ascii="宋体" w:hAnsi="宋体" w:cs="宋体"/>
          <w:color w:val="auto"/>
          <w:kern w:val="0"/>
          <w:szCs w:val="21"/>
          <w:highlight w:val="none"/>
          <w:lang w:val="zh-CN" w:bidi="zh-CN"/>
        </w:rPr>
      </w:pPr>
      <w:bookmarkStart w:id="236" w:name="bookmark1642"/>
      <w:bookmarkEnd w:id="236"/>
      <w:r>
        <w:rPr>
          <w:rFonts w:hint="eastAsia" w:ascii="宋体" w:hAnsi="宋体" w:cs="宋体"/>
          <w:color w:val="auto"/>
          <w:kern w:val="0"/>
          <w:szCs w:val="21"/>
          <w:highlight w:val="none"/>
          <w:lang w:val="zh-CN" w:bidi="zh-CN"/>
        </w:rPr>
        <w:t>施工场地清洁卫生的要求：按城建卫生有关规定执行，由承包人负责，费用由承包人承担。</w:t>
      </w:r>
    </w:p>
    <w:p w14:paraId="4D3F2256">
      <w:pPr>
        <w:numPr>
          <w:ilvl w:val="0"/>
          <w:numId w:val="6"/>
        </w:numPr>
        <w:tabs>
          <w:tab w:val="left" w:pos="839"/>
        </w:tabs>
        <w:spacing w:after="120" w:line="359" w:lineRule="exact"/>
        <w:ind w:firstLine="440"/>
        <w:jc w:val="left"/>
        <w:rPr>
          <w:rFonts w:ascii="宋体" w:hAnsi="宋体" w:cs="宋体"/>
          <w:color w:val="auto"/>
          <w:kern w:val="0"/>
          <w:szCs w:val="21"/>
          <w:highlight w:val="none"/>
          <w:lang w:val="zh-CN" w:bidi="zh-CN"/>
        </w:rPr>
      </w:pPr>
      <w:bookmarkStart w:id="237" w:name="bookmark1643"/>
      <w:bookmarkEnd w:id="237"/>
      <w:r>
        <w:rPr>
          <w:rFonts w:hint="eastAsia" w:ascii="宋体" w:hAnsi="宋体" w:cs="宋体"/>
          <w:color w:val="auto"/>
          <w:kern w:val="0"/>
          <w:szCs w:val="21"/>
          <w:highlight w:val="none"/>
          <w:lang w:val="zh-CN" w:bidi="zh-CN"/>
        </w:rPr>
        <w:t>承包人承担施工场地、水电及运输通道的修建和维护、清场等费用。</w:t>
      </w:r>
    </w:p>
    <w:p w14:paraId="00E1CB35">
      <w:pPr>
        <w:numPr>
          <w:ilvl w:val="0"/>
          <w:numId w:val="5"/>
        </w:numPr>
        <w:tabs>
          <w:tab w:val="left" w:pos="1026"/>
        </w:tabs>
        <w:spacing w:line="374" w:lineRule="auto"/>
        <w:ind w:firstLine="440"/>
        <w:jc w:val="left"/>
        <w:rPr>
          <w:rFonts w:ascii="宋体" w:hAnsi="宋体" w:cs="宋体"/>
          <w:color w:val="auto"/>
          <w:kern w:val="0"/>
          <w:szCs w:val="21"/>
          <w:highlight w:val="none"/>
          <w:lang w:val="zh-CN" w:bidi="zh-CN"/>
        </w:rPr>
      </w:pPr>
      <w:bookmarkStart w:id="238" w:name="bookmark1644"/>
      <w:bookmarkEnd w:id="238"/>
      <w:r>
        <w:rPr>
          <w:rFonts w:hint="eastAsia" w:ascii="宋体" w:hAnsi="宋体" w:cs="宋体"/>
          <w:color w:val="auto"/>
          <w:kern w:val="0"/>
          <w:szCs w:val="21"/>
          <w:highlight w:val="none"/>
          <w:lang w:val="zh-CN" w:bidi="zh-CN"/>
        </w:rPr>
        <w:t>双方约定承包人应做的其他工作：</w:t>
      </w:r>
    </w:p>
    <w:p w14:paraId="21CE6421">
      <w:pPr>
        <w:numPr>
          <w:ilvl w:val="0"/>
          <w:numId w:val="7"/>
        </w:numPr>
        <w:tabs>
          <w:tab w:val="left" w:pos="819"/>
        </w:tabs>
        <w:spacing w:line="359" w:lineRule="exact"/>
        <w:ind w:firstLine="440"/>
        <w:jc w:val="left"/>
        <w:rPr>
          <w:rFonts w:ascii="宋体" w:hAnsi="宋体" w:cs="宋体"/>
          <w:color w:val="auto"/>
          <w:kern w:val="0"/>
          <w:szCs w:val="21"/>
          <w:highlight w:val="none"/>
          <w:lang w:val="zh-CN" w:bidi="zh-CN"/>
        </w:rPr>
      </w:pPr>
      <w:bookmarkStart w:id="239" w:name="bookmark1645"/>
      <w:bookmarkEnd w:id="239"/>
      <w:r>
        <w:rPr>
          <w:rFonts w:hint="eastAsia" w:ascii="宋体" w:hAnsi="宋体" w:cs="宋体"/>
          <w:color w:val="auto"/>
          <w:kern w:val="0"/>
          <w:szCs w:val="21"/>
          <w:highlight w:val="none"/>
          <w:lang w:val="zh-CN" w:bidi="zh-CN"/>
        </w:rPr>
        <w:t>凡属于需要承包人交付给其他承包人的工作面以及与其他承包人交叉作业的工作面, 承包人必须服从监理人的决定，按规定的完工日期完成并将清理好的工作面移交给发包人, 并取得监理人的同意。</w:t>
      </w:r>
    </w:p>
    <w:p w14:paraId="1C4537C7">
      <w:pPr>
        <w:numPr>
          <w:ilvl w:val="0"/>
          <w:numId w:val="7"/>
        </w:numPr>
        <w:tabs>
          <w:tab w:val="left" w:pos="817"/>
        </w:tabs>
        <w:spacing w:after="120" w:line="359" w:lineRule="exact"/>
        <w:ind w:firstLine="440"/>
        <w:jc w:val="left"/>
        <w:rPr>
          <w:rFonts w:ascii="宋体" w:hAnsi="宋体" w:cs="宋体"/>
          <w:color w:val="auto"/>
          <w:kern w:val="0"/>
          <w:szCs w:val="21"/>
          <w:highlight w:val="none"/>
          <w:lang w:val="zh-CN" w:bidi="zh-CN"/>
        </w:rPr>
      </w:pPr>
      <w:bookmarkStart w:id="240" w:name="bookmark1646"/>
      <w:bookmarkEnd w:id="240"/>
      <w:r>
        <w:rPr>
          <w:rFonts w:hint="eastAsia" w:ascii="宋体" w:hAnsi="宋体" w:cs="宋体"/>
          <w:color w:val="auto"/>
          <w:kern w:val="0"/>
          <w:szCs w:val="21"/>
          <w:highlight w:val="none"/>
          <w:lang w:val="zh-CN" w:bidi="zh-CN"/>
        </w:rPr>
        <w:t>工程完工后，承包人应按监理人的指示清理施工现场。并在工程完工后6个月内完成并提交工程竣工资料和工程结算资料。承包人逾期提交，发包人将对承包人的拖延行为视为违约，并按100元/天计算违约金，违约金从承包人应得的工程款中扣除，但其最终的累计总金额与各项逾期完工违约金合计不超过合同价格的5%。</w:t>
      </w:r>
    </w:p>
    <w:p w14:paraId="32117AB8">
      <w:pPr>
        <w:numPr>
          <w:ilvl w:val="0"/>
          <w:numId w:val="5"/>
        </w:numPr>
        <w:tabs>
          <w:tab w:val="left" w:pos="1026"/>
        </w:tabs>
        <w:spacing w:line="374" w:lineRule="auto"/>
        <w:ind w:firstLine="440"/>
        <w:jc w:val="left"/>
        <w:rPr>
          <w:rFonts w:ascii="宋体" w:hAnsi="宋体" w:cs="宋体"/>
          <w:color w:val="auto"/>
          <w:kern w:val="0"/>
          <w:szCs w:val="21"/>
          <w:highlight w:val="none"/>
          <w:lang w:val="zh-CN" w:bidi="zh-CN"/>
        </w:rPr>
      </w:pPr>
      <w:bookmarkStart w:id="241" w:name="bookmark1647"/>
      <w:bookmarkEnd w:id="241"/>
      <w:r>
        <w:rPr>
          <w:rFonts w:hint="eastAsia" w:ascii="宋体" w:hAnsi="宋体" w:cs="宋体"/>
          <w:color w:val="auto"/>
          <w:kern w:val="0"/>
          <w:szCs w:val="21"/>
          <w:highlight w:val="none"/>
          <w:lang w:val="zh-CN" w:bidi="zh-CN"/>
        </w:rPr>
        <w:t>其他未尽事宜待签订施工合同时双方再协商。</w:t>
      </w:r>
    </w:p>
    <w:p w14:paraId="315A1CC0">
      <w:pPr>
        <w:numPr>
          <w:ilvl w:val="0"/>
          <w:numId w:val="4"/>
        </w:numPr>
        <w:tabs>
          <w:tab w:val="left" w:pos="1031"/>
        </w:tabs>
        <w:spacing w:line="359" w:lineRule="exact"/>
        <w:ind w:firstLine="440"/>
        <w:jc w:val="left"/>
        <w:rPr>
          <w:rFonts w:ascii="宋体" w:hAnsi="宋体" w:cs="宋体"/>
          <w:color w:val="auto"/>
          <w:kern w:val="0"/>
          <w:szCs w:val="21"/>
          <w:highlight w:val="none"/>
          <w:lang w:val="zh-CN" w:bidi="zh-CN"/>
        </w:rPr>
      </w:pPr>
      <w:bookmarkStart w:id="242" w:name="bookmark1648"/>
      <w:bookmarkEnd w:id="242"/>
      <w:r>
        <w:rPr>
          <w:rFonts w:hint="eastAsia" w:ascii="宋体" w:hAnsi="宋体" w:cs="宋体"/>
          <w:color w:val="auto"/>
          <w:kern w:val="0"/>
          <w:szCs w:val="21"/>
          <w:highlight w:val="none"/>
          <w:lang w:val="zh-CN" w:bidi="zh-CN"/>
        </w:rPr>
        <w:t>鼓励承包人根据工程建设实际，吸纳建档立卡贫困劳动力参加工程建设。</w:t>
      </w:r>
    </w:p>
    <w:p w14:paraId="59537CF4">
      <w:pPr>
        <w:numPr>
          <w:ilvl w:val="0"/>
          <w:numId w:val="4"/>
        </w:numPr>
        <w:tabs>
          <w:tab w:val="left" w:pos="1030"/>
        </w:tabs>
        <w:spacing w:after="120" w:line="359" w:lineRule="exact"/>
        <w:ind w:firstLine="440"/>
        <w:jc w:val="left"/>
        <w:rPr>
          <w:rFonts w:ascii="宋体" w:hAnsi="宋体" w:cs="宋体"/>
          <w:color w:val="auto"/>
          <w:kern w:val="0"/>
          <w:szCs w:val="21"/>
          <w:highlight w:val="none"/>
          <w:lang w:val="zh-CN" w:bidi="zh-CN"/>
        </w:rPr>
      </w:pPr>
      <w:bookmarkStart w:id="243" w:name="bookmark1649"/>
      <w:bookmarkEnd w:id="243"/>
      <w:r>
        <w:rPr>
          <w:rFonts w:hint="eastAsia" w:ascii="宋体" w:hAnsi="宋体" w:cs="宋体"/>
          <w:color w:val="auto"/>
          <w:kern w:val="0"/>
          <w:szCs w:val="21"/>
          <w:highlight w:val="none"/>
          <w:lang w:val="zh-CN" w:bidi="zh-CN"/>
        </w:rPr>
        <w:t>执行自治区关于松材线虫病防控工作的有关规定，工程建设采用的模板、支撑及脚手架以钢模板、钢支撑为主，木质模板及仿材尽量就地采购，避免长途转运。</w:t>
      </w:r>
    </w:p>
    <w:p w14:paraId="7DF892E8">
      <w:pPr>
        <w:tabs>
          <w:tab w:val="left" w:pos="8227"/>
        </w:tabs>
        <w:spacing w:after="180" w:line="422" w:lineRule="exact"/>
        <w:jc w:val="left"/>
        <w:rPr>
          <w:rFonts w:ascii="宋体" w:hAnsi="宋体" w:cs="宋体"/>
          <w:b/>
          <w:color w:val="auto"/>
          <w:kern w:val="0"/>
          <w:szCs w:val="21"/>
          <w:highlight w:val="none"/>
          <w:lang w:val="zh-CN" w:bidi="zh-CN"/>
        </w:rPr>
      </w:pPr>
      <w:bookmarkStart w:id="244" w:name="bookmark1652"/>
      <w:bookmarkStart w:id="245" w:name="bookmark1650"/>
      <w:bookmarkStart w:id="246" w:name="bookmark1651"/>
      <w:r>
        <w:rPr>
          <w:rFonts w:hint="eastAsia" w:ascii="宋体" w:hAnsi="宋体" w:cs="宋体"/>
          <w:b/>
          <w:color w:val="auto"/>
          <w:kern w:val="0"/>
          <w:szCs w:val="21"/>
          <w:highlight w:val="none"/>
          <w:lang w:val="zh-CN" w:bidi="zh-CN"/>
        </w:rPr>
        <w:t>4.3分包</w:t>
      </w:r>
      <w:bookmarkEnd w:id="244"/>
      <w:bookmarkEnd w:id="245"/>
      <w:bookmarkEnd w:id="246"/>
    </w:p>
    <w:p w14:paraId="128E22E5">
      <w:pPr>
        <w:tabs>
          <w:tab w:val="left" w:pos="5849"/>
        </w:tabs>
        <w:spacing w:line="374" w:lineRule="auto"/>
        <w:ind w:firstLine="420"/>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本项目不允许分包。</w:t>
      </w:r>
    </w:p>
    <w:p w14:paraId="2CAEB662">
      <w:pPr>
        <w:tabs>
          <w:tab w:val="left" w:pos="5849"/>
        </w:tabs>
        <w:spacing w:line="374" w:lineRule="auto"/>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承包人不得将其承包的全部工程转包给第三人，或将其承包的全部工程肢解后以分包的名义转包给第三人。根据住房与城乡建设部《建筑工程施工转包违法分包等违法行为认定查处管理办法（试行）》（建市[2014]118号），若经核实承包人存在转包、违法分包、允许其他单位或个人以承包人的名义挂靠承揽工程等行为的，发包人有权向建设行政主管部门建议将承包人列入不良行为记录，情节严重的解除合同并追究承包人违约责任。</w:t>
      </w:r>
    </w:p>
    <w:p w14:paraId="210A9FED">
      <w:pPr>
        <w:tabs>
          <w:tab w:val="left" w:pos="8227"/>
        </w:tabs>
        <w:spacing w:after="180" w:line="422" w:lineRule="exact"/>
        <w:jc w:val="left"/>
        <w:rPr>
          <w:rFonts w:ascii="宋体" w:hAnsi="宋体" w:cs="宋体"/>
          <w:b/>
          <w:color w:val="auto"/>
          <w:kern w:val="0"/>
          <w:szCs w:val="21"/>
          <w:highlight w:val="none"/>
          <w:lang w:val="zh-CN" w:bidi="zh-CN"/>
        </w:rPr>
      </w:pPr>
      <w:bookmarkStart w:id="247" w:name="bookmark1657"/>
      <w:bookmarkStart w:id="248" w:name="bookmark1658"/>
      <w:bookmarkStart w:id="249" w:name="bookmark1656"/>
      <w:r>
        <w:rPr>
          <w:rFonts w:hint="eastAsia" w:ascii="宋体" w:hAnsi="宋体" w:cs="宋体"/>
          <w:b/>
          <w:color w:val="auto"/>
          <w:kern w:val="0"/>
          <w:szCs w:val="21"/>
          <w:highlight w:val="none"/>
          <w:lang w:val="zh-CN" w:bidi="zh-CN"/>
        </w:rPr>
        <w:t>4.7撤换承包人项目经理和其他人员</w:t>
      </w:r>
      <w:bookmarkEnd w:id="247"/>
      <w:bookmarkEnd w:id="248"/>
      <w:bookmarkEnd w:id="249"/>
    </w:p>
    <w:p w14:paraId="1934C8B9">
      <w:pPr>
        <w:spacing w:line="374" w:lineRule="auto"/>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sym w:font="Wingdings 2" w:char="F052"/>
      </w:r>
      <w:r>
        <w:rPr>
          <w:rFonts w:hint="eastAsia" w:ascii="宋体" w:hAnsi="宋体" w:cs="宋体"/>
          <w:color w:val="auto"/>
          <w:kern w:val="0"/>
          <w:szCs w:val="21"/>
          <w:highlight w:val="none"/>
          <w:lang w:bidi="en-US"/>
        </w:rPr>
        <w:t>4.7.</w:t>
      </w:r>
      <w:r>
        <w:rPr>
          <w:rFonts w:hint="eastAsia" w:ascii="宋体" w:hAnsi="宋体" w:cs="宋体"/>
          <w:color w:val="auto"/>
          <w:kern w:val="0"/>
          <w:szCs w:val="21"/>
          <w:highlight w:val="none"/>
          <w:lang w:val="zh-CN" w:bidi="zh-CN"/>
        </w:rPr>
        <w:t>1中标人根据投标文件的承诺，投入本项目的项目经理、技术负责人、质量管理员、安全管理员等主要管理人员中标后不得更换(除因故去世、调离本单位外)。</w:t>
      </w:r>
    </w:p>
    <w:p w14:paraId="6D5A301A">
      <w:pPr>
        <w:spacing w:line="356"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w:t>
      </w:r>
      <w:r>
        <w:rPr>
          <w:rFonts w:hint="eastAsia" w:ascii="宋体" w:hAnsi="宋体" w:cs="宋体"/>
          <w:color w:val="auto"/>
          <w:kern w:val="0"/>
          <w:szCs w:val="21"/>
          <w:highlight w:val="none"/>
          <w:lang w:bidi="en-US"/>
        </w:rPr>
        <w:t>4.7.</w:t>
      </w:r>
      <w:r>
        <w:rPr>
          <w:rFonts w:hint="eastAsia" w:ascii="宋体" w:hAnsi="宋体" w:cs="宋体"/>
          <w:color w:val="auto"/>
          <w:kern w:val="0"/>
          <w:szCs w:val="21"/>
          <w:highlight w:val="none"/>
          <w:lang w:val="zh-CN" w:bidi="zh-CN"/>
        </w:rPr>
        <w:t>1投入本项目的项目经理、技术负责人、质量管理员、专全管理员等主要管理人员中标后，经中标人申请、监理机构审核允许、招标人同意后方可变更为不低于同等条件的人员。</w:t>
      </w:r>
    </w:p>
    <w:p w14:paraId="499B138C">
      <w:pPr>
        <w:tabs>
          <w:tab w:val="left" w:pos="4711"/>
        </w:tabs>
        <w:spacing w:after="140" w:line="356"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4.7.2</w:t>
      </w:r>
      <w:r>
        <w:rPr>
          <w:rFonts w:hint="eastAsia" w:ascii="宋体" w:hAnsi="宋体" w:cs="宋体"/>
          <w:color w:val="auto"/>
          <w:kern w:val="0"/>
          <w:szCs w:val="21"/>
          <w:highlight w:val="none"/>
          <w:lang w:val="zh-CN" w:bidi="zh-CN"/>
        </w:rPr>
        <w:t>项目经理每月在工地时间少于</w:t>
      </w:r>
      <w:r>
        <w:rPr>
          <w:rFonts w:hint="eastAsia" w:ascii="宋体" w:hAnsi="宋体" w:cs="宋体"/>
          <w:color w:val="auto"/>
          <w:kern w:val="0"/>
          <w:szCs w:val="21"/>
          <w:highlight w:val="none"/>
          <w:u w:val="single"/>
          <w:lang w:val="zh-CN" w:bidi="zh-CN"/>
        </w:rPr>
        <w:t>20</w:t>
      </w:r>
      <w:r>
        <w:rPr>
          <w:rFonts w:hint="eastAsia" w:ascii="宋体" w:hAnsi="宋体" w:cs="宋体"/>
          <w:color w:val="auto"/>
          <w:kern w:val="0"/>
          <w:szCs w:val="21"/>
          <w:highlight w:val="none"/>
          <w:lang w:val="zh-CN" w:bidi="zh-CN"/>
        </w:rPr>
        <w:t>日，且未经招标人同意的，按未履职处理，由有关行政监督部门处理后报请自治区有关行政监督部门将结果记入市场主体信用档案，公布不良行为记录。</w:t>
      </w:r>
    </w:p>
    <w:p w14:paraId="138F54C2">
      <w:pPr>
        <w:tabs>
          <w:tab w:val="left" w:pos="8227"/>
        </w:tabs>
        <w:spacing w:after="180" w:line="422" w:lineRule="exact"/>
        <w:jc w:val="left"/>
        <w:outlineLvl w:val="0"/>
        <w:rPr>
          <w:rFonts w:ascii="宋体" w:hAnsi="宋体" w:cs="宋体"/>
          <w:b/>
          <w:color w:val="auto"/>
          <w:kern w:val="0"/>
          <w:szCs w:val="21"/>
          <w:highlight w:val="none"/>
          <w:lang w:val="zh-CN" w:bidi="zh-CN"/>
        </w:rPr>
      </w:pPr>
      <w:bookmarkStart w:id="250" w:name="bookmark1660"/>
      <w:bookmarkStart w:id="251" w:name="bookmark1661"/>
      <w:bookmarkStart w:id="252" w:name="bookmark1659"/>
      <w:r>
        <w:rPr>
          <w:rFonts w:hint="eastAsia" w:ascii="宋体" w:hAnsi="宋体" w:cs="宋体"/>
          <w:b/>
          <w:color w:val="auto"/>
          <w:kern w:val="0"/>
          <w:szCs w:val="21"/>
          <w:highlight w:val="none"/>
          <w:lang w:val="zh-CN" w:bidi="zh-CN"/>
        </w:rPr>
        <w:t>4.11不利物质条件</w:t>
      </w:r>
      <w:bookmarkEnd w:id="250"/>
      <w:bookmarkEnd w:id="251"/>
      <w:bookmarkEnd w:id="252"/>
    </w:p>
    <w:p w14:paraId="4691C4F1">
      <w:pPr>
        <w:tabs>
          <w:tab w:val="left" w:pos="8230"/>
        </w:tabs>
        <w:spacing w:line="300" w:lineRule="auto"/>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4.11.1</w:t>
      </w:r>
      <w:r>
        <w:rPr>
          <w:rFonts w:hint="eastAsia" w:ascii="宋体" w:hAnsi="宋体" w:cs="宋体"/>
          <w:color w:val="auto"/>
          <w:kern w:val="0"/>
          <w:szCs w:val="21"/>
          <w:highlight w:val="none"/>
          <w:lang w:val="zh-CN" w:bidi="zh-CN"/>
        </w:rPr>
        <w:t>不利物质条件的范围：</w:t>
      </w:r>
      <w:r>
        <w:rPr>
          <w:rFonts w:hint="eastAsia" w:ascii="宋体" w:hAnsi="宋体" w:cs="宋体"/>
          <w:color w:val="auto"/>
          <w:kern w:val="0"/>
          <w:szCs w:val="21"/>
          <w:highlight w:val="none"/>
          <w:u w:val="single"/>
          <w:lang w:val="zh-CN" w:bidi="zh-CN"/>
        </w:rPr>
        <w:t>在签订施工承包合同时明确</w:t>
      </w:r>
      <w:r>
        <w:rPr>
          <w:rFonts w:hint="eastAsia" w:ascii="宋体" w:hAnsi="宋体" w:cs="宋体"/>
          <w:color w:val="auto"/>
          <w:kern w:val="0"/>
          <w:szCs w:val="21"/>
          <w:highlight w:val="none"/>
          <w:lang w:bidi="en-US"/>
        </w:rPr>
        <w:t>。</w:t>
      </w:r>
    </w:p>
    <w:p w14:paraId="037DA1A5">
      <w:pPr>
        <w:keepLines/>
        <w:spacing w:before="120" w:after="120" w:line="415" w:lineRule="auto"/>
        <w:jc w:val="left"/>
        <w:outlineLvl w:val="1"/>
        <w:rPr>
          <w:rFonts w:ascii="宋体" w:hAnsi="宋体" w:cs="宋体"/>
          <w:b/>
          <w:bCs/>
          <w:color w:val="auto"/>
          <w:kern w:val="0"/>
          <w:szCs w:val="21"/>
          <w:highlight w:val="none"/>
          <w:lang w:bidi="en-US"/>
        </w:rPr>
      </w:pPr>
      <w:bookmarkStart w:id="253" w:name="bookmark1664"/>
      <w:bookmarkEnd w:id="253"/>
      <w:bookmarkStart w:id="254" w:name="bookmark1665"/>
      <w:bookmarkStart w:id="255" w:name="_Toc14710442"/>
      <w:bookmarkStart w:id="256" w:name="bookmark1663"/>
      <w:bookmarkStart w:id="257" w:name="bookmark1662"/>
      <w:r>
        <w:rPr>
          <w:rFonts w:hint="eastAsia" w:ascii="宋体" w:hAnsi="宋体" w:cs="宋体"/>
          <w:b/>
          <w:bCs/>
          <w:color w:val="auto"/>
          <w:kern w:val="0"/>
          <w:szCs w:val="21"/>
          <w:highlight w:val="none"/>
          <w:lang w:bidi="en-US"/>
        </w:rPr>
        <w:t>5. 材料和工程设备</w:t>
      </w:r>
      <w:bookmarkEnd w:id="254"/>
      <w:bookmarkEnd w:id="255"/>
      <w:bookmarkEnd w:id="256"/>
      <w:bookmarkEnd w:id="257"/>
    </w:p>
    <w:p w14:paraId="1A1899A3">
      <w:pPr>
        <w:tabs>
          <w:tab w:val="left" w:pos="8227"/>
        </w:tabs>
        <w:spacing w:after="180" w:line="422" w:lineRule="exact"/>
        <w:jc w:val="left"/>
        <w:rPr>
          <w:rFonts w:ascii="宋体" w:hAnsi="宋体" w:cs="宋体"/>
          <w:b/>
          <w:color w:val="auto"/>
          <w:kern w:val="0"/>
          <w:szCs w:val="21"/>
          <w:highlight w:val="none"/>
          <w:lang w:val="zh-CN" w:bidi="zh-CN"/>
        </w:rPr>
      </w:pPr>
      <w:bookmarkStart w:id="258" w:name="bookmark1668"/>
      <w:bookmarkStart w:id="259" w:name="bookmark1666"/>
      <w:bookmarkStart w:id="260" w:name="bookmark1667"/>
      <w:r>
        <w:rPr>
          <w:rFonts w:hint="eastAsia" w:ascii="宋体" w:hAnsi="宋体" w:cs="宋体"/>
          <w:b/>
          <w:color w:val="auto"/>
          <w:kern w:val="0"/>
          <w:szCs w:val="21"/>
          <w:highlight w:val="none"/>
          <w:lang w:val="zh-CN" w:bidi="zh-CN"/>
        </w:rPr>
        <w:t>5.2发包人提供的材料和工程设备</w:t>
      </w:r>
      <w:bookmarkEnd w:id="258"/>
      <w:bookmarkEnd w:id="259"/>
      <w:bookmarkEnd w:id="260"/>
    </w:p>
    <w:p w14:paraId="33E0355E">
      <w:pPr>
        <w:tabs>
          <w:tab w:val="left" w:pos="754"/>
        </w:tabs>
        <w:ind w:left="420"/>
        <w:jc w:val="left"/>
        <w:outlineLvl w:val="0"/>
        <w:rPr>
          <w:rFonts w:ascii="宋体" w:hAnsi="宋体" w:cs="宋体"/>
          <w:color w:val="auto"/>
          <w:kern w:val="0"/>
          <w:szCs w:val="21"/>
          <w:highlight w:val="none"/>
          <w:lang w:val="zh-CN" w:bidi="zh-CN"/>
        </w:rPr>
      </w:pPr>
      <w:bookmarkStart w:id="261" w:name="bookmark1669"/>
      <w:bookmarkEnd w:id="261"/>
      <w:r>
        <w:rPr>
          <w:rFonts w:hint="eastAsia" w:ascii="宋体" w:hAnsi="宋体" w:cs="宋体"/>
          <w:color w:val="auto"/>
          <w:kern w:val="0"/>
          <w:szCs w:val="21"/>
          <w:highlight w:val="none"/>
          <w:lang w:bidi="en-US"/>
        </w:rPr>
        <w:t>5.2.</w:t>
      </w:r>
      <w:r>
        <w:rPr>
          <w:rFonts w:hint="eastAsia" w:ascii="宋体" w:hAnsi="宋体" w:cs="宋体"/>
          <w:color w:val="auto"/>
          <w:kern w:val="0"/>
          <w:szCs w:val="21"/>
          <w:highlight w:val="none"/>
          <w:lang w:val="zh-CN" w:bidi="zh-CN"/>
        </w:rPr>
        <w:t>1本工程发包人不提供材料和工程设备。</w:t>
      </w:r>
    </w:p>
    <w:p w14:paraId="6E84875D">
      <w:pPr>
        <w:keepLines/>
        <w:spacing w:before="120" w:after="120" w:line="415" w:lineRule="auto"/>
        <w:jc w:val="left"/>
        <w:outlineLvl w:val="1"/>
        <w:rPr>
          <w:rFonts w:ascii="宋体" w:hAnsi="宋体" w:cs="宋体"/>
          <w:b/>
          <w:bCs/>
          <w:color w:val="auto"/>
          <w:kern w:val="0"/>
          <w:szCs w:val="21"/>
          <w:highlight w:val="none"/>
          <w:lang w:bidi="en-US"/>
        </w:rPr>
      </w:pPr>
      <w:bookmarkStart w:id="262" w:name="bookmark1672"/>
      <w:bookmarkEnd w:id="262"/>
      <w:bookmarkStart w:id="263" w:name="bookmark1670"/>
      <w:bookmarkStart w:id="264" w:name="bookmark1673"/>
      <w:bookmarkStart w:id="265" w:name="_Toc453"/>
      <w:bookmarkStart w:id="266" w:name="_Toc14710443"/>
      <w:bookmarkStart w:id="267" w:name="bookmark1671"/>
      <w:bookmarkStart w:id="268" w:name="_Toc6599"/>
      <w:r>
        <w:rPr>
          <w:rFonts w:hint="eastAsia" w:ascii="宋体" w:hAnsi="宋体" w:cs="宋体"/>
          <w:b/>
          <w:bCs/>
          <w:color w:val="auto"/>
          <w:kern w:val="0"/>
          <w:szCs w:val="21"/>
          <w:highlight w:val="none"/>
          <w:lang w:bidi="en-US"/>
        </w:rPr>
        <w:t>6. 施工设备和临时设施</w:t>
      </w:r>
      <w:bookmarkEnd w:id="263"/>
      <w:bookmarkEnd w:id="264"/>
      <w:bookmarkEnd w:id="265"/>
      <w:bookmarkEnd w:id="266"/>
      <w:bookmarkEnd w:id="267"/>
      <w:bookmarkEnd w:id="268"/>
    </w:p>
    <w:p w14:paraId="305446D6">
      <w:pPr>
        <w:tabs>
          <w:tab w:val="left" w:pos="8227"/>
        </w:tabs>
        <w:spacing w:after="180" w:line="422" w:lineRule="exact"/>
        <w:jc w:val="left"/>
        <w:rPr>
          <w:rFonts w:ascii="宋体" w:hAnsi="宋体" w:cs="宋体"/>
          <w:b/>
          <w:color w:val="auto"/>
          <w:kern w:val="0"/>
          <w:szCs w:val="21"/>
          <w:highlight w:val="none"/>
          <w:lang w:val="zh-CN" w:bidi="zh-CN"/>
        </w:rPr>
      </w:pPr>
      <w:bookmarkStart w:id="269" w:name="bookmark1674"/>
      <w:bookmarkStart w:id="270" w:name="bookmark1675"/>
      <w:bookmarkStart w:id="271" w:name="bookmark1676"/>
      <w:r>
        <w:rPr>
          <w:rFonts w:hint="eastAsia" w:ascii="宋体" w:hAnsi="宋体" w:cs="宋体"/>
          <w:b/>
          <w:color w:val="auto"/>
          <w:kern w:val="0"/>
          <w:szCs w:val="21"/>
          <w:highlight w:val="none"/>
          <w:lang w:val="zh-CN" w:bidi="zh-CN"/>
        </w:rPr>
        <w:t>6.1承包人提供的施工设备和临时设施</w:t>
      </w:r>
      <w:bookmarkEnd w:id="269"/>
      <w:bookmarkEnd w:id="270"/>
      <w:bookmarkEnd w:id="271"/>
    </w:p>
    <w:p w14:paraId="34A15219">
      <w:pPr>
        <w:spacing w:after="140" w:line="365"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6.1.2</w:t>
      </w:r>
      <w:r>
        <w:rPr>
          <w:rFonts w:hint="eastAsia" w:ascii="宋体" w:hAnsi="宋体" w:cs="宋体"/>
          <w:color w:val="auto"/>
          <w:kern w:val="0"/>
          <w:szCs w:val="21"/>
          <w:highlight w:val="none"/>
          <w:lang w:val="zh-CN" w:bidi="zh-CN"/>
        </w:rPr>
        <w:t>承包人自行承担修建临时设施的费用，需要临时占地的，由承包人办理相关申 请手续，发包人予以协助，发生的相关费用由承包人承担。</w:t>
      </w:r>
    </w:p>
    <w:p w14:paraId="6288E7F3">
      <w:pPr>
        <w:tabs>
          <w:tab w:val="left" w:pos="8227"/>
        </w:tabs>
        <w:spacing w:after="180" w:line="422" w:lineRule="exact"/>
        <w:jc w:val="left"/>
        <w:rPr>
          <w:rFonts w:ascii="宋体" w:hAnsi="宋体" w:cs="宋体"/>
          <w:b/>
          <w:color w:val="auto"/>
          <w:kern w:val="0"/>
          <w:szCs w:val="21"/>
          <w:highlight w:val="none"/>
          <w:lang w:val="zh-CN" w:bidi="zh-CN"/>
        </w:rPr>
      </w:pPr>
      <w:bookmarkStart w:id="272" w:name="bookmark1678"/>
      <w:bookmarkStart w:id="273" w:name="bookmark1679"/>
      <w:bookmarkStart w:id="274" w:name="bookmark1677"/>
      <w:r>
        <w:rPr>
          <w:rFonts w:hint="eastAsia" w:ascii="宋体" w:hAnsi="宋体" w:cs="宋体"/>
          <w:b/>
          <w:color w:val="auto"/>
          <w:kern w:val="0"/>
          <w:szCs w:val="21"/>
          <w:highlight w:val="none"/>
          <w:lang w:val="zh-CN" w:bidi="zh-CN"/>
        </w:rPr>
        <w:t>6.2发包人提供的施工设备和临时设施</w:t>
      </w:r>
      <w:bookmarkEnd w:id="272"/>
      <w:bookmarkEnd w:id="273"/>
      <w:bookmarkEnd w:id="274"/>
    </w:p>
    <w:p w14:paraId="2EBECC3A">
      <w:pPr>
        <w:numPr>
          <w:ilvl w:val="0"/>
          <w:numId w:val="8"/>
        </w:numPr>
        <w:tabs>
          <w:tab w:val="left" w:pos="903"/>
          <w:tab w:val="left" w:pos="8198"/>
        </w:tabs>
        <w:spacing w:line="372" w:lineRule="auto"/>
        <w:ind w:firstLine="420"/>
        <w:jc w:val="left"/>
        <w:rPr>
          <w:rFonts w:ascii="宋体" w:hAnsi="宋体" w:cs="宋体"/>
          <w:color w:val="auto"/>
          <w:kern w:val="0"/>
          <w:szCs w:val="21"/>
          <w:highlight w:val="none"/>
          <w:lang w:val="zh-CN" w:bidi="zh-CN"/>
        </w:rPr>
      </w:pPr>
      <w:bookmarkStart w:id="275" w:name="bookmark1680"/>
      <w:bookmarkEnd w:id="275"/>
      <w:r>
        <w:rPr>
          <w:rFonts w:hint="eastAsia" w:ascii="宋体" w:hAnsi="宋体" w:cs="宋体"/>
          <w:color w:val="auto"/>
          <w:kern w:val="0"/>
          <w:szCs w:val="21"/>
          <w:highlight w:val="none"/>
          <w:lang w:val="zh-CN" w:bidi="zh-CN"/>
        </w:rPr>
        <w:t>发包人提供的的施工设备</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16B1CE2B">
      <w:pPr>
        <w:numPr>
          <w:ilvl w:val="0"/>
          <w:numId w:val="8"/>
        </w:numPr>
        <w:tabs>
          <w:tab w:val="left" w:pos="903"/>
          <w:tab w:val="left" w:pos="8198"/>
        </w:tabs>
        <w:spacing w:after="20"/>
        <w:ind w:firstLine="420"/>
        <w:jc w:val="left"/>
        <w:rPr>
          <w:rFonts w:ascii="宋体" w:hAnsi="宋体" w:cs="宋体"/>
          <w:color w:val="auto"/>
          <w:kern w:val="0"/>
          <w:szCs w:val="21"/>
          <w:highlight w:val="none"/>
          <w:lang w:val="zh-CN" w:bidi="zh-CN"/>
        </w:rPr>
      </w:pPr>
      <w:bookmarkStart w:id="276" w:name="bookmark1681"/>
      <w:bookmarkEnd w:id="276"/>
      <w:r>
        <w:rPr>
          <w:rFonts w:hint="eastAsia" w:ascii="宋体" w:hAnsi="宋体" w:cs="宋体"/>
          <w:color w:val="auto"/>
          <w:kern w:val="0"/>
          <w:szCs w:val="21"/>
          <w:highlight w:val="none"/>
          <w:lang w:val="zh-CN" w:bidi="zh-CN"/>
        </w:rPr>
        <w:t>发包人提供的临时设施：</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2D2071C5">
      <w:pPr>
        <w:keepLines/>
        <w:spacing w:before="120" w:after="120" w:line="415" w:lineRule="auto"/>
        <w:jc w:val="left"/>
        <w:outlineLvl w:val="1"/>
        <w:rPr>
          <w:rFonts w:ascii="宋体" w:hAnsi="宋体" w:cs="宋体"/>
          <w:b/>
          <w:bCs/>
          <w:color w:val="auto"/>
          <w:kern w:val="0"/>
          <w:szCs w:val="21"/>
          <w:highlight w:val="none"/>
          <w:lang w:bidi="en-US"/>
        </w:rPr>
      </w:pPr>
      <w:bookmarkStart w:id="277" w:name="bookmark1684"/>
      <w:bookmarkEnd w:id="277"/>
      <w:bookmarkStart w:id="278" w:name="bookmark1683"/>
      <w:bookmarkStart w:id="279" w:name="_Toc14710444"/>
      <w:bookmarkStart w:id="280" w:name="bookmark1682"/>
      <w:bookmarkStart w:id="281" w:name="bookmark1685"/>
      <w:bookmarkStart w:id="282" w:name="_Toc8746"/>
      <w:bookmarkStart w:id="283" w:name="_Toc18798"/>
      <w:bookmarkStart w:id="284" w:name="bookmark1686"/>
      <w:bookmarkStart w:id="285" w:name="bookmark1687"/>
      <w:bookmarkStart w:id="286" w:name="bookmark1688"/>
      <w:r>
        <w:rPr>
          <w:rFonts w:hint="eastAsia" w:ascii="宋体" w:hAnsi="宋体" w:cs="宋体"/>
          <w:b/>
          <w:bCs/>
          <w:color w:val="auto"/>
          <w:kern w:val="0"/>
          <w:szCs w:val="21"/>
          <w:highlight w:val="none"/>
          <w:lang w:bidi="en-US"/>
        </w:rPr>
        <w:t>7. 交通运输</w:t>
      </w:r>
      <w:bookmarkEnd w:id="278"/>
      <w:bookmarkEnd w:id="279"/>
      <w:bookmarkEnd w:id="280"/>
      <w:bookmarkEnd w:id="281"/>
      <w:bookmarkEnd w:id="282"/>
      <w:bookmarkEnd w:id="283"/>
    </w:p>
    <w:p w14:paraId="571FB337">
      <w:pPr>
        <w:tabs>
          <w:tab w:val="left" w:pos="8227"/>
        </w:tabs>
        <w:spacing w:after="180" w:line="422" w:lineRule="exact"/>
        <w:jc w:val="left"/>
        <w:rPr>
          <w:rFonts w:ascii="宋体" w:hAnsi="宋体" w:cs="宋体"/>
          <w:b/>
          <w:color w:val="auto"/>
          <w:kern w:val="0"/>
          <w:szCs w:val="21"/>
          <w:highlight w:val="none"/>
          <w:lang w:val="zh-CN" w:bidi="zh-CN"/>
        </w:rPr>
      </w:pPr>
      <w:r>
        <w:rPr>
          <w:rFonts w:hint="eastAsia" w:ascii="宋体" w:hAnsi="宋体" w:cs="宋体"/>
          <w:b/>
          <w:color w:val="auto"/>
          <w:kern w:val="0"/>
          <w:szCs w:val="21"/>
          <w:highlight w:val="none"/>
          <w:lang w:val="zh-CN" w:bidi="zh-CN"/>
        </w:rPr>
        <w:t>7.1道路通行权和场外设施</w:t>
      </w:r>
      <w:bookmarkEnd w:id="284"/>
      <w:bookmarkEnd w:id="285"/>
      <w:bookmarkEnd w:id="286"/>
    </w:p>
    <w:p w14:paraId="2A4DAE42">
      <w:pPr>
        <w:tabs>
          <w:tab w:val="left" w:pos="8218"/>
        </w:tabs>
        <w:spacing w:line="256" w:lineRule="exact"/>
        <w:ind w:firstLine="420"/>
        <w:rPr>
          <w:rFonts w:ascii="宋体" w:hAnsi="宋体" w:cs="宋体"/>
          <w:color w:val="auto"/>
          <w:kern w:val="0"/>
          <w:szCs w:val="21"/>
          <w:highlight w:val="none"/>
          <w:lang w:bidi="en-US"/>
        </w:rPr>
      </w:pPr>
      <w:r>
        <w:rPr>
          <w:rFonts w:hint="eastAsia" w:ascii="宋体" w:hAnsi="宋体" w:cs="宋体"/>
          <w:color w:val="auto"/>
          <w:kern w:val="0"/>
          <w:szCs w:val="21"/>
          <w:highlight w:val="none"/>
          <w:lang w:val="zh-CN" w:bidi="zh-CN"/>
        </w:rPr>
        <w:t>道路通行权和场外设施的约定：</w:t>
      </w:r>
      <w:r>
        <w:rPr>
          <w:rFonts w:hint="eastAsia" w:ascii="宋体" w:hAnsi="宋体" w:cs="宋体"/>
          <w:color w:val="auto"/>
          <w:kern w:val="0"/>
          <w:szCs w:val="21"/>
          <w:highlight w:val="none"/>
          <w:u w:val="single"/>
          <w:lang w:val="zh-CN" w:bidi="zh-CN"/>
        </w:rPr>
        <w:t>承包人负责并承担费用</w:t>
      </w:r>
      <w:r>
        <w:rPr>
          <w:rFonts w:hint="eastAsia" w:ascii="宋体" w:hAnsi="宋体" w:cs="宋体"/>
          <w:color w:val="auto"/>
          <w:kern w:val="0"/>
          <w:szCs w:val="21"/>
          <w:highlight w:val="none"/>
          <w:lang w:bidi="en-US"/>
        </w:rPr>
        <w:t>。</w:t>
      </w:r>
    </w:p>
    <w:p w14:paraId="4E08D5C7">
      <w:pPr>
        <w:keepLines/>
        <w:spacing w:before="120" w:after="120" w:line="415" w:lineRule="auto"/>
        <w:jc w:val="left"/>
        <w:outlineLvl w:val="1"/>
        <w:rPr>
          <w:rFonts w:ascii="宋体" w:hAnsi="宋体" w:cs="宋体"/>
          <w:b/>
          <w:bCs/>
          <w:color w:val="auto"/>
          <w:kern w:val="0"/>
          <w:szCs w:val="21"/>
          <w:highlight w:val="none"/>
          <w:lang w:bidi="en-US"/>
        </w:rPr>
      </w:pPr>
      <w:bookmarkStart w:id="287" w:name="_Toc14710445"/>
      <w:bookmarkStart w:id="288" w:name="_Toc976"/>
      <w:bookmarkStart w:id="289" w:name="bookmark1690"/>
      <w:bookmarkStart w:id="290" w:name="_Toc28858"/>
      <w:bookmarkStart w:id="291" w:name="bookmark1689"/>
      <w:bookmarkStart w:id="292" w:name="bookmark1692"/>
      <w:bookmarkStart w:id="293" w:name="bookmark1695"/>
      <w:bookmarkStart w:id="294" w:name="bookmark1693"/>
      <w:bookmarkStart w:id="295" w:name="bookmark1694"/>
      <w:r>
        <w:rPr>
          <w:rFonts w:hint="eastAsia" w:ascii="宋体" w:hAnsi="宋体" w:cs="宋体"/>
          <w:b/>
          <w:bCs/>
          <w:color w:val="auto"/>
          <w:kern w:val="0"/>
          <w:szCs w:val="21"/>
          <w:highlight w:val="none"/>
          <w:lang w:bidi="en-US"/>
        </w:rPr>
        <w:t>8. 测量放线</w:t>
      </w:r>
      <w:bookmarkEnd w:id="287"/>
      <w:bookmarkEnd w:id="288"/>
      <w:bookmarkEnd w:id="289"/>
      <w:bookmarkEnd w:id="290"/>
      <w:bookmarkEnd w:id="291"/>
      <w:bookmarkEnd w:id="292"/>
    </w:p>
    <w:p w14:paraId="6B7DD02E">
      <w:pPr>
        <w:tabs>
          <w:tab w:val="left" w:pos="8227"/>
        </w:tabs>
        <w:spacing w:after="180" w:line="422" w:lineRule="exact"/>
        <w:jc w:val="left"/>
        <w:rPr>
          <w:rFonts w:ascii="宋体" w:hAnsi="宋体" w:cs="宋体"/>
          <w:b/>
          <w:color w:val="auto"/>
          <w:kern w:val="0"/>
          <w:szCs w:val="21"/>
          <w:highlight w:val="none"/>
          <w:lang w:val="zh-CN" w:bidi="zh-CN"/>
        </w:rPr>
      </w:pPr>
      <w:r>
        <w:rPr>
          <w:rFonts w:hint="eastAsia" w:ascii="宋体" w:hAnsi="宋体" w:cs="宋体"/>
          <w:b/>
          <w:color w:val="auto"/>
          <w:kern w:val="0"/>
          <w:szCs w:val="21"/>
          <w:highlight w:val="none"/>
          <w:lang w:val="zh-CN" w:bidi="zh-CN"/>
        </w:rPr>
        <w:t>8.1施工控制网</w:t>
      </w:r>
      <w:bookmarkEnd w:id="293"/>
      <w:bookmarkEnd w:id="294"/>
      <w:bookmarkEnd w:id="295"/>
    </w:p>
    <w:p w14:paraId="3A81EF95">
      <w:pPr>
        <w:numPr>
          <w:ilvl w:val="1"/>
          <w:numId w:val="9"/>
        </w:numPr>
        <w:tabs>
          <w:tab w:val="left" w:pos="750"/>
          <w:tab w:val="left" w:pos="4898"/>
        </w:tabs>
        <w:spacing w:after="140" w:line="372" w:lineRule="auto"/>
        <w:ind w:left="420"/>
        <w:jc w:val="left"/>
        <w:rPr>
          <w:rFonts w:ascii="宋体" w:hAnsi="宋体" w:cs="宋体"/>
          <w:color w:val="auto"/>
          <w:kern w:val="0"/>
          <w:szCs w:val="21"/>
          <w:highlight w:val="none"/>
        </w:rPr>
      </w:pPr>
      <w:bookmarkStart w:id="296" w:name="bookmark1696"/>
      <w:bookmarkEnd w:id="296"/>
      <w:r>
        <w:rPr>
          <w:rFonts w:hint="eastAsia" w:ascii="宋体" w:hAnsi="宋体" w:cs="宋体"/>
          <w:color w:val="auto"/>
          <w:kern w:val="0"/>
          <w:szCs w:val="21"/>
          <w:highlight w:val="none"/>
          <w:lang w:val="zh-CN" w:bidi="zh-CN"/>
        </w:rPr>
        <w:t>1 施工控制网的约定：</w:t>
      </w:r>
      <w:r>
        <w:rPr>
          <w:rFonts w:hint="eastAsia" w:ascii="宋体" w:hAnsi="宋体" w:cs="宋体"/>
          <w:color w:val="auto"/>
          <w:kern w:val="0"/>
          <w:szCs w:val="21"/>
          <w:highlight w:val="none"/>
          <w:u w:val="single"/>
        </w:rPr>
        <w:t>由承包人负责测设</w:t>
      </w:r>
      <w:r>
        <w:rPr>
          <w:rFonts w:hint="eastAsia" w:ascii="宋体" w:hAnsi="宋体" w:cs="宋体"/>
          <w:color w:val="auto"/>
          <w:kern w:val="0"/>
          <w:szCs w:val="21"/>
          <w:highlight w:val="none"/>
        </w:rPr>
        <w:t>。</w:t>
      </w:r>
    </w:p>
    <w:p w14:paraId="186FE4CE">
      <w:pPr>
        <w:keepLines/>
        <w:spacing w:before="120" w:after="120" w:line="415" w:lineRule="auto"/>
        <w:jc w:val="left"/>
        <w:outlineLvl w:val="1"/>
        <w:rPr>
          <w:rFonts w:ascii="宋体" w:hAnsi="宋体" w:cs="宋体"/>
          <w:b/>
          <w:bCs/>
          <w:color w:val="auto"/>
          <w:kern w:val="0"/>
          <w:szCs w:val="21"/>
          <w:highlight w:val="none"/>
          <w:lang w:bidi="en-US"/>
        </w:rPr>
      </w:pPr>
      <w:bookmarkStart w:id="297" w:name="_Toc14710446"/>
      <w:bookmarkStart w:id="298" w:name="_Toc15272"/>
      <w:r>
        <w:rPr>
          <w:rFonts w:hint="eastAsia" w:ascii="宋体" w:hAnsi="宋体" w:cs="宋体"/>
          <w:b/>
          <w:bCs/>
          <w:color w:val="auto"/>
          <w:kern w:val="0"/>
          <w:szCs w:val="21"/>
          <w:highlight w:val="none"/>
          <w:lang w:bidi="en-US"/>
        </w:rPr>
        <w:t>9. 施工安全、治安保卫和环境保护</w:t>
      </w:r>
      <w:bookmarkEnd w:id="297"/>
      <w:bookmarkEnd w:id="298"/>
    </w:p>
    <w:p w14:paraId="47D9B970">
      <w:pPr>
        <w:tabs>
          <w:tab w:val="left" w:pos="8227"/>
        </w:tabs>
        <w:spacing w:after="180" w:line="422" w:lineRule="exact"/>
        <w:jc w:val="left"/>
        <w:rPr>
          <w:rFonts w:ascii="宋体" w:hAnsi="宋体" w:cs="宋体"/>
          <w:b/>
          <w:color w:val="auto"/>
          <w:kern w:val="0"/>
          <w:szCs w:val="21"/>
          <w:highlight w:val="none"/>
          <w:lang w:val="zh-CN" w:bidi="zh-CN"/>
        </w:rPr>
      </w:pPr>
      <w:r>
        <w:rPr>
          <w:rFonts w:hint="eastAsia" w:ascii="宋体" w:hAnsi="宋体" w:cs="宋体"/>
          <w:b/>
          <w:color w:val="auto"/>
          <w:kern w:val="0"/>
          <w:szCs w:val="21"/>
          <w:highlight w:val="none"/>
          <w:lang w:val="zh-CN" w:bidi="zh-CN"/>
        </w:rPr>
        <w:t>9.2承包人的施工安全责任</w:t>
      </w:r>
    </w:p>
    <w:p w14:paraId="311596D4">
      <w:pPr>
        <w:tabs>
          <w:tab w:val="left" w:pos="754"/>
        </w:tabs>
        <w:spacing w:line="377" w:lineRule="auto"/>
        <w:ind w:left="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 xml:space="preserve">9.2. </w:t>
      </w:r>
      <w:r>
        <w:rPr>
          <w:rFonts w:hint="eastAsia" w:ascii="宋体" w:hAnsi="宋体" w:cs="宋体"/>
          <w:color w:val="auto"/>
          <w:kern w:val="0"/>
          <w:szCs w:val="21"/>
          <w:highlight w:val="none"/>
          <w:lang w:val="zh-CN" w:bidi="zh-CN"/>
        </w:rPr>
        <w:t>8安全施工措施所需费用在投标时不得做竞争调整。</w:t>
      </w:r>
    </w:p>
    <w:p w14:paraId="54137516">
      <w:pPr>
        <w:tabs>
          <w:tab w:val="left" w:pos="4162"/>
          <w:tab w:val="left" w:pos="6139"/>
        </w:tabs>
        <w:spacing w:after="140" w:line="360"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 xml:space="preserve">9. 2. </w:t>
      </w:r>
      <w:r>
        <w:rPr>
          <w:rFonts w:hint="eastAsia" w:ascii="宋体" w:hAnsi="宋体" w:cs="宋体"/>
          <w:color w:val="auto"/>
          <w:kern w:val="0"/>
          <w:szCs w:val="21"/>
          <w:highlight w:val="none"/>
          <w:lang w:val="zh-CN" w:bidi="zh-CN"/>
        </w:rPr>
        <w:t>12下列工程应编制专项施工方案：</w:t>
      </w:r>
      <w:r>
        <w:rPr>
          <w:rFonts w:hint="eastAsia" w:ascii="宋体" w:hAnsi="宋体" w:cs="宋体"/>
          <w:color w:val="auto"/>
          <w:kern w:val="0"/>
          <w:szCs w:val="21"/>
          <w:highlight w:val="none"/>
          <w:u w:val="single"/>
          <w:lang w:val="zh-CN" w:bidi="zh-CN"/>
        </w:rPr>
        <w:t>在签订施工承包合同时明确（或无）</w:t>
      </w:r>
      <w:r>
        <w:rPr>
          <w:rFonts w:hint="eastAsia" w:ascii="宋体" w:hAnsi="宋体" w:cs="宋体"/>
          <w:color w:val="auto"/>
          <w:kern w:val="0"/>
          <w:szCs w:val="21"/>
          <w:highlight w:val="none"/>
          <w:lang w:bidi="en-US"/>
        </w:rPr>
        <w:t>。</w:t>
      </w:r>
      <w:r>
        <w:rPr>
          <w:rFonts w:hint="eastAsia" w:ascii="宋体" w:hAnsi="宋体" w:cs="宋体"/>
          <w:color w:val="auto"/>
          <w:kern w:val="0"/>
          <w:szCs w:val="21"/>
          <w:highlight w:val="none"/>
          <w:lang w:val="zh-CN" w:bidi="zh-CN"/>
        </w:rPr>
        <w:t>其中应组织专家论证 和审查的专项施工方案：</w:t>
      </w:r>
      <w:r>
        <w:rPr>
          <w:rFonts w:hint="eastAsia" w:ascii="宋体" w:hAnsi="宋体" w:cs="宋体"/>
          <w:color w:val="auto"/>
          <w:kern w:val="0"/>
          <w:szCs w:val="21"/>
          <w:highlight w:val="none"/>
          <w:u w:val="single"/>
          <w:lang w:val="zh-CN" w:bidi="zh-CN"/>
        </w:rPr>
        <w:t>在签订施工承包合同时明确（或无）</w:t>
      </w:r>
      <w:r>
        <w:rPr>
          <w:rFonts w:hint="eastAsia" w:ascii="宋体" w:hAnsi="宋体" w:cs="宋体"/>
          <w:color w:val="auto"/>
          <w:kern w:val="0"/>
          <w:szCs w:val="21"/>
          <w:highlight w:val="none"/>
          <w:lang w:bidi="en-US"/>
        </w:rPr>
        <w:t>。</w:t>
      </w:r>
    </w:p>
    <w:p w14:paraId="63ACBA37">
      <w:pPr>
        <w:tabs>
          <w:tab w:val="left" w:pos="8227"/>
        </w:tabs>
        <w:spacing w:after="180" w:line="422" w:lineRule="exact"/>
        <w:jc w:val="left"/>
        <w:rPr>
          <w:rFonts w:ascii="宋体" w:hAnsi="宋体" w:cs="宋体"/>
          <w:b/>
          <w:color w:val="auto"/>
          <w:kern w:val="0"/>
          <w:szCs w:val="21"/>
          <w:highlight w:val="none"/>
          <w:lang w:val="zh-CN" w:bidi="zh-CN"/>
        </w:rPr>
      </w:pPr>
      <w:r>
        <w:rPr>
          <w:rFonts w:hint="eastAsia" w:ascii="宋体" w:hAnsi="宋体" w:cs="宋体"/>
          <w:b/>
          <w:color w:val="auto"/>
          <w:kern w:val="0"/>
          <w:szCs w:val="21"/>
          <w:highlight w:val="none"/>
          <w:lang w:val="zh-CN" w:bidi="zh-CN"/>
        </w:rPr>
        <w:t>9.7文明工地</w:t>
      </w:r>
    </w:p>
    <w:p w14:paraId="3CA843B6">
      <w:pPr>
        <w:tabs>
          <w:tab w:val="left" w:pos="5323"/>
        </w:tabs>
        <w:spacing w:after="140" w:line="372" w:lineRule="auto"/>
        <w:ind w:firstLine="420"/>
        <w:jc w:val="left"/>
        <w:rPr>
          <w:rFonts w:ascii="宋体" w:hAnsi="宋体" w:cs="宋体"/>
          <w:color w:val="auto"/>
          <w:kern w:val="0"/>
          <w:szCs w:val="21"/>
          <w:highlight w:val="none"/>
          <w:lang w:bidi="zh-CN"/>
        </w:rPr>
      </w:pPr>
      <w:r>
        <w:rPr>
          <w:rFonts w:hint="eastAsia" w:ascii="宋体" w:hAnsi="宋体" w:cs="宋体"/>
          <w:color w:val="auto"/>
          <w:kern w:val="0"/>
          <w:szCs w:val="21"/>
          <w:highlight w:val="none"/>
          <w:lang w:bidi="en-US"/>
        </w:rPr>
        <w:t xml:space="preserve">9. 7. </w:t>
      </w:r>
      <w:r>
        <w:rPr>
          <w:rFonts w:hint="eastAsia" w:ascii="宋体" w:hAnsi="宋体" w:cs="宋体"/>
          <w:color w:val="auto"/>
          <w:kern w:val="0"/>
          <w:szCs w:val="21"/>
          <w:highlight w:val="none"/>
          <w:lang w:val="zh-CN" w:bidi="zh-CN"/>
        </w:rPr>
        <w:t>1本合同文明工地的约定：</w:t>
      </w:r>
      <w:r>
        <w:rPr>
          <w:rFonts w:hint="eastAsia" w:ascii="宋体" w:hAnsi="宋体" w:cs="宋体"/>
          <w:color w:val="auto"/>
          <w:kern w:val="0"/>
          <w:szCs w:val="21"/>
          <w:highlight w:val="none"/>
          <w:u w:val="single"/>
          <w:lang w:val="zh-CN" w:bidi="zh-CN"/>
        </w:rPr>
        <w:t>按水利部《水利系统文明建设工地评审管理办法》创建文明建设工地</w:t>
      </w:r>
      <w:r>
        <w:rPr>
          <w:rFonts w:hint="eastAsia" w:ascii="宋体" w:hAnsi="宋体" w:cs="宋体"/>
          <w:color w:val="auto"/>
          <w:kern w:val="0"/>
          <w:szCs w:val="21"/>
          <w:highlight w:val="none"/>
          <w:lang w:bidi="zh-CN"/>
        </w:rPr>
        <w:t>。</w:t>
      </w:r>
      <w:bookmarkStart w:id="299" w:name="bookmark1708"/>
      <w:bookmarkStart w:id="300" w:name="_Toc14710447"/>
      <w:bookmarkStart w:id="301" w:name="_Toc845"/>
      <w:bookmarkStart w:id="302" w:name="bookmark1710"/>
      <w:bookmarkStart w:id="303" w:name="bookmark1709"/>
      <w:bookmarkStart w:id="304" w:name="_Toc8738"/>
    </w:p>
    <w:p w14:paraId="6C0856E0">
      <w:pPr>
        <w:keepLines/>
        <w:spacing w:before="120" w:after="120" w:line="415" w:lineRule="auto"/>
        <w:jc w:val="left"/>
        <w:outlineLvl w:val="1"/>
        <w:rPr>
          <w:rFonts w:ascii="宋体" w:hAnsi="宋体" w:cs="宋体"/>
          <w:b/>
          <w:bCs/>
          <w:color w:val="auto"/>
          <w:kern w:val="0"/>
          <w:szCs w:val="21"/>
          <w:highlight w:val="none"/>
          <w:lang w:bidi="en-US"/>
        </w:rPr>
      </w:pPr>
      <w:r>
        <w:rPr>
          <w:rFonts w:hint="eastAsia" w:ascii="宋体" w:hAnsi="宋体" w:cs="宋体"/>
          <w:b/>
          <w:bCs/>
          <w:color w:val="auto"/>
          <w:kern w:val="0"/>
          <w:szCs w:val="21"/>
          <w:highlight w:val="none"/>
          <w:lang w:bidi="en-US"/>
        </w:rPr>
        <w:t>11. 开工和竣工（完工</w:t>
      </w:r>
      <w:bookmarkEnd w:id="299"/>
      <w:bookmarkEnd w:id="300"/>
      <w:bookmarkEnd w:id="301"/>
      <w:bookmarkEnd w:id="302"/>
      <w:bookmarkEnd w:id="303"/>
      <w:bookmarkEnd w:id="304"/>
      <w:r>
        <w:rPr>
          <w:rFonts w:hint="eastAsia" w:ascii="宋体" w:hAnsi="宋体" w:cs="宋体"/>
          <w:b/>
          <w:bCs/>
          <w:color w:val="auto"/>
          <w:kern w:val="0"/>
          <w:szCs w:val="21"/>
          <w:highlight w:val="none"/>
          <w:lang w:bidi="en-US"/>
        </w:rPr>
        <w:t>）</w:t>
      </w:r>
    </w:p>
    <w:p w14:paraId="5B447E04">
      <w:pPr>
        <w:spacing w:after="100"/>
        <w:ind w:firstLine="420"/>
        <w:rPr>
          <w:rFonts w:ascii="宋体" w:hAnsi="宋体" w:cs="宋体"/>
          <w:b/>
          <w:color w:val="auto"/>
          <w:kern w:val="0"/>
          <w:szCs w:val="21"/>
          <w:highlight w:val="none"/>
          <w:lang w:val="zh-CN" w:bidi="zh-CN"/>
        </w:rPr>
      </w:pPr>
      <w:bookmarkStart w:id="305" w:name="bookmark1712"/>
      <w:bookmarkStart w:id="306" w:name="bookmark1711"/>
      <w:bookmarkStart w:id="307" w:name="bookmark1713"/>
      <w:r>
        <w:rPr>
          <w:rFonts w:hint="eastAsia" w:ascii="宋体" w:hAnsi="宋体" w:cs="宋体"/>
          <w:b/>
          <w:color w:val="auto"/>
          <w:kern w:val="0"/>
          <w:szCs w:val="21"/>
          <w:highlight w:val="none"/>
          <w:lang w:val="zh-CN" w:bidi="zh-CN"/>
        </w:rPr>
        <w:t>11.2本工程主体工程完工时间为：</w:t>
      </w:r>
      <w:r>
        <w:rPr>
          <w:rFonts w:hint="eastAsia" w:ascii="宋体" w:hAnsi="宋体" w:cs="宋体"/>
          <w:b/>
          <w:color w:val="auto"/>
          <w:kern w:val="0"/>
          <w:szCs w:val="21"/>
          <w:highlight w:val="none"/>
          <w:u w:val="single"/>
          <w:lang w:val="zh-CN" w:bidi="zh-CN"/>
        </w:rPr>
        <w:tab/>
      </w:r>
      <w:r>
        <w:rPr>
          <w:rFonts w:hint="eastAsia" w:ascii="宋体" w:hAnsi="宋体" w:cs="宋体"/>
          <w:b/>
          <w:color w:val="auto"/>
          <w:kern w:val="0"/>
          <w:szCs w:val="21"/>
          <w:highlight w:val="none"/>
          <w:u w:val="single"/>
          <w:lang w:val="en-US" w:bidi="zh-CN"/>
        </w:rPr>
        <w:t xml:space="preserve">   </w:t>
      </w:r>
      <w:r>
        <w:rPr>
          <w:rFonts w:hint="eastAsia" w:ascii="宋体" w:hAnsi="宋体" w:cs="宋体"/>
          <w:b/>
          <w:color w:val="auto"/>
          <w:kern w:val="0"/>
          <w:szCs w:val="21"/>
          <w:highlight w:val="none"/>
          <w:lang w:val="zh-CN" w:bidi="zh-CN"/>
        </w:rPr>
        <w:t>年</w:t>
      </w:r>
      <w:r>
        <w:rPr>
          <w:rFonts w:hint="eastAsia" w:ascii="宋体" w:hAnsi="宋体" w:cs="宋体"/>
          <w:b/>
          <w:color w:val="auto"/>
          <w:kern w:val="0"/>
          <w:szCs w:val="21"/>
          <w:highlight w:val="none"/>
          <w:u w:val="single"/>
          <w:lang w:val="en-US" w:bidi="zh-CN"/>
        </w:rPr>
        <w:t xml:space="preserve">    </w:t>
      </w:r>
      <w:r>
        <w:rPr>
          <w:rFonts w:hint="eastAsia" w:ascii="宋体" w:hAnsi="宋体" w:cs="宋体"/>
          <w:b/>
          <w:color w:val="auto"/>
          <w:kern w:val="0"/>
          <w:szCs w:val="21"/>
          <w:highlight w:val="none"/>
          <w:lang w:val="zh-CN" w:bidi="zh-CN"/>
        </w:rPr>
        <w:t>月</w:t>
      </w:r>
      <w:r>
        <w:rPr>
          <w:rFonts w:hint="eastAsia" w:ascii="宋体" w:hAnsi="宋体" w:cs="宋体"/>
          <w:b/>
          <w:color w:val="auto"/>
          <w:kern w:val="0"/>
          <w:szCs w:val="21"/>
          <w:highlight w:val="none"/>
          <w:u w:val="single"/>
          <w:lang w:val="en-US" w:bidi="zh-CN"/>
        </w:rPr>
        <w:t xml:space="preserve">     </w:t>
      </w:r>
      <w:r>
        <w:rPr>
          <w:rFonts w:hint="eastAsia" w:ascii="宋体" w:hAnsi="宋体" w:cs="宋体"/>
          <w:b/>
          <w:color w:val="auto"/>
          <w:kern w:val="0"/>
          <w:szCs w:val="21"/>
          <w:highlight w:val="none"/>
          <w:lang w:val="zh-CN" w:bidi="zh-CN"/>
        </w:rPr>
        <w:t>日。</w:t>
      </w:r>
      <w:bookmarkEnd w:id="305"/>
      <w:bookmarkEnd w:id="306"/>
      <w:bookmarkEnd w:id="307"/>
    </w:p>
    <w:p w14:paraId="1D5E9E2C">
      <w:pPr>
        <w:spacing w:after="100"/>
        <w:ind w:firstLine="420"/>
        <w:rPr>
          <w:rFonts w:ascii="宋体" w:hAnsi="宋体" w:cs="宋体"/>
          <w:b/>
          <w:color w:val="auto"/>
          <w:kern w:val="0"/>
          <w:szCs w:val="21"/>
          <w:highlight w:val="none"/>
          <w:lang w:val="zh-CN" w:bidi="zh-CN"/>
        </w:rPr>
      </w:pPr>
      <w:bookmarkStart w:id="308" w:name="bookmark1714"/>
      <w:bookmarkStart w:id="309" w:name="bookmark1716"/>
      <w:bookmarkStart w:id="310" w:name="bookmark1715"/>
      <w:r>
        <w:rPr>
          <w:rFonts w:hint="eastAsia" w:ascii="宋体" w:hAnsi="宋体" w:cs="宋体"/>
          <w:b/>
          <w:color w:val="auto"/>
          <w:kern w:val="0"/>
          <w:szCs w:val="21"/>
          <w:highlight w:val="none"/>
          <w:lang w:val="zh-CN" w:bidi="zh-CN"/>
        </w:rPr>
        <w:t>11.3发包人的工期延误</w:t>
      </w:r>
      <w:bookmarkEnd w:id="308"/>
      <w:bookmarkEnd w:id="309"/>
      <w:bookmarkEnd w:id="310"/>
    </w:p>
    <w:p w14:paraId="016B3769">
      <w:pPr>
        <w:spacing w:after="100"/>
        <w:ind w:firstLine="420"/>
        <w:rPr>
          <w:rFonts w:ascii="宋体" w:hAnsi="宋体" w:cs="宋体"/>
          <w:b/>
          <w:color w:val="auto"/>
          <w:kern w:val="0"/>
          <w:szCs w:val="21"/>
          <w:highlight w:val="none"/>
          <w:lang w:val="zh-CN" w:bidi="zh-CN"/>
        </w:rPr>
      </w:pPr>
      <w:bookmarkStart w:id="311" w:name="bookmark1717"/>
      <w:bookmarkStart w:id="312" w:name="bookmark1718"/>
      <w:bookmarkStart w:id="313" w:name="bookmark1719"/>
      <w:r>
        <w:rPr>
          <w:rFonts w:hint="eastAsia" w:ascii="宋体" w:hAnsi="宋体" w:cs="宋体"/>
          <w:b/>
          <w:color w:val="auto"/>
          <w:kern w:val="0"/>
          <w:szCs w:val="21"/>
          <w:highlight w:val="none"/>
          <w:lang w:val="zh-CN" w:bidi="zh-CN"/>
        </w:rPr>
        <w:t>11.4异常恶劣的气候条件</w:t>
      </w:r>
      <w:bookmarkEnd w:id="311"/>
      <w:bookmarkEnd w:id="312"/>
      <w:bookmarkEnd w:id="313"/>
    </w:p>
    <w:p w14:paraId="3CD2A25C">
      <w:pPr>
        <w:spacing w:after="100"/>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11.4.3</w:t>
      </w:r>
      <w:r>
        <w:rPr>
          <w:rFonts w:hint="eastAsia" w:ascii="宋体" w:hAnsi="宋体" w:cs="宋体"/>
          <w:color w:val="auto"/>
          <w:kern w:val="0"/>
          <w:szCs w:val="21"/>
          <w:highlight w:val="none"/>
          <w:lang w:val="zh-CN" w:bidi="zh-CN"/>
        </w:rPr>
        <w:t>本合同工程界定异常恶劣气候条件的范围为：</w:t>
      </w:r>
    </w:p>
    <w:p w14:paraId="77F9647F">
      <w:pPr>
        <w:numPr>
          <w:ilvl w:val="0"/>
          <w:numId w:val="10"/>
        </w:numPr>
        <w:tabs>
          <w:tab w:val="left" w:pos="903"/>
          <w:tab w:val="left" w:pos="2959"/>
          <w:tab w:val="left" w:pos="5261"/>
        </w:tabs>
        <w:spacing w:after="100"/>
        <w:ind w:firstLine="420"/>
        <w:jc w:val="left"/>
        <w:rPr>
          <w:rFonts w:ascii="宋体" w:hAnsi="宋体" w:cs="宋体"/>
          <w:color w:val="auto"/>
          <w:kern w:val="0"/>
          <w:szCs w:val="21"/>
          <w:highlight w:val="none"/>
          <w:lang w:val="zh-CN" w:bidi="zh-CN"/>
        </w:rPr>
      </w:pPr>
      <w:bookmarkStart w:id="314" w:name="bookmark1720"/>
      <w:bookmarkEnd w:id="314"/>
      <w:r>
        <w:rPr>
          <w:rFonts w:hint="eastAsia" w:ascii="宋体" w:hAnsi="宋体" w:cs="宋体"/>
          <w:color w:val="auto"/>
          <w:kern w:val="0"/>
          <w:szCs w:val="21"/>
          <w:highlight w:val="none"/>
          <w:lang w:val="zh-CN" w:bidi="zh-CN"/>
        </w:rPr>
        <w:t>日降雨量大于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mm</w:t>
      </w:r>
      <w:r>
        <w:rPr>
          <w:rFonts w:hint="eastAsia" w:ascii="宋体" w:hAnsi="宋体" w:cs="宋体"/>
          <w:color w:val="auto"/>
          <w:kern w:val="0"/>
          <w:szCs w:val="21"/>
          <w:highlight w:val="none"/>
          <w:lang w:val="zh-CN" w:bidi="zh-CN"/>
        </w:rPr>
        <w:t>的雨日超过</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天；</w:t>
      </w:r>
    </w:p>
    <w:p w14:paraId="730468BB">
      <w:pPr>
        <w:numPr>
          <w:ilvl w:val="0"/>
          <w:numId w:val="10"/>
        </w:numPr>
        <w:tabs>
          <w:tab w:val="left" w:pos="903"/>
          <w:tab w:val="left" w:pos="2539"/>
          <w:tab w:val="left" w:pos="4044"/>
        </w:tabs>
        <w:spacing w:after="100"/>
        <w:ind w:firstLine="420"/>
        <w:jc w:val="left"/>
        <w:rPr>
          <w:rFonts w:ascii="宋体" w:hAnsi="宋体" w:cs="宋体"/>
          <w:color w:val="auto"/>
          <w:kern w:val="0"/>
          <w:szCs w:val="21"/>
          <w:highlight w:val="none"/>
          <w:lang w:val="zh-CN" w:bidi="zh-CN"/>
        </w:rPr>
      </w:pPr>
      <w:bookmarkStart w:id="315" w:name="bookmark1721"/>
      <w:bookmarkEnd w:id="315"/>
      <w:r>
        <w:rPr>
          <w:rFonts w:hint="eastAsia" w:ascii="宋体" w:hAnsi="宋体" w:cs="宋体"/>
          <w:color w:val="auto"/>
          <w:kern w:val="0"/>
          <w:szCs w:val="21"/>
          <w:highlight w:val="none"/>
          <w:lang w:val="zh-CN" w:bidi="zh-CN"/>
        </w:rPr>
        <w:t>风速大于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m/s</w:t>
      </w:r>
      <w:r>
        <w:rPr>
          <w:rFonts w:hint="eastAsia" w:ascii="宋体" w:hAnsi="宋体" w:cs="宋体"/>
          <w:color w:val="auto"/>
          <w:kern w:val="0"/>
          <w:szCs w:val="21"/>
          <w:highlight w:val="none"/>
          <w:lang w:val="zh-CN" w:bidi="zh-CN"/>
        </w:rPr>
        <w:t>的</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级以上台风灾害；</w:t>
      </w:r>
    </w:p>
    <w:p w14:paraId="5110E006">
      <w:pPr>
        <w:numPr>
          <w:ilvl w:val="0"/>
          <w:numId w:val="10"/>
        </w:numPr>
        <w:tabs>
          <w:tab w:val="left" w:pos="903"/>
          <w:tab w:val="left" w:pos="2750"/>
          <w:tab w:val="left" w:pos="4855"/>
        </w:tabs>
        <w:spacing w:after="100"/>
        <w:ind w:firstLine="420"/>
        <w:jc w:val="left"/>
        <w:rPr>
          <w:rFonts w:ascii="宋体" w:hAnsi="宋体" w:cs="宋体"/>
          <w:color w:val="auto"/>
          <w:kern w:val="0"/>
          <w:szCs w:val="21"/>
          <w:highlight w:val="none"/>
          <w:lang w:val="zh-CN" w:bidi="zh-CN"/>
        </w:rPr>
      </w:pPr>
      <w:bookmarkStart w:id="316" w:name="bookmark1722"/>
      <w:bookmarkEnd w:id="316"/>
      <w:r>
        <w:rPr>
          <w:rFonts w:hint="eastAsia" w:ascii="宋体" w:hAnsi="宋体" w:cs="宋体"/>
          <w:color w:val="auto"/>
          <w:kern w:val="0"/>
          <w:szCs w:val="21"/>
          <w:highlight w:val="none"/>
          <w:lang w:val="zh-CN" w:bidi="zh-CN"/>
        </w:rPr>
        <w:t>日气温超过</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r>
        <w:rPr>
          <w:rFonts w:hint="eastAsia" w:ascii="宋体" w:hAnsi="宋体" w:cs="宋体"/>
          <w:color w:val="auto"/>
          <w:kern w:val="0"/>
          <w:szCs w:val="21"/>
          <w:highlight w:val="none"/>
          <w:lang w:val="zh-CN" w:bidi="zh-CN"/>
        </w:rPr>
        <w:t>的高温大于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天；</w:t>
      </w:r>
    </w:p>
    <w:p w14:paraId="66626B11">
      <w:pPr>
        <w:numPr>
          <w:ilvl w:val="0"/>
          <w:numId w:val="10"/>
        </w:numPr>
        <w:tabs>
          <w:tab w:val="left" w:pos="903"/>
          <w:tab w:val="left" w:pos="2750"/>
          <w:tab w:val="left" w:pos="4855"/>
        </w:tabs>
        <w:spacing w:after="100"/>
        <w:ind w:firstLine="420"/>
        <w:jc w:val="left"/>
        <w:rPr>
          <w:rFonts w:ascii="宋体" w:hAnsi="宋体" w:cs="宋体"/>
          <w:color w:val="auto"/>
          <w:kern w:val="0"/>
          <w:szCs w:val="21"/>
          <w:highlight w:val="none"/>
          <w:lang w:val="zh-CN" w:bidi="zh-CN"/>
        </w:rPr>
      </w:pPr>
      <w:bookmarkStart w:id="317" w:name="bookmark1723"/>
      <w:bookmarkEnd w:id="317"/>
      <w:r>
        <w:rPr>
          <w:rFonts w:hint="eastAsia" w:ascii="宋体" w:hAnsi="宋体" w:cs="宋体"/>
          <w:color w:val="auto"/>
          <w:kern w:val="0"/>
          <w:szCs w:val="21"/>
          <w:highlight w:val="none"/>
          <w:lang w:val="zh-CN" w:bidi="zh-CN"/>
        </w:rPr>
        <w:t>日气温低于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r>
        <w:rPr>
          <w:rFonts w:hint="eastAsia" w:ascii="宋体" w:hAnsi="宋体" w:cs="宋体"/>
          <w:color w:val="auto"/>
          <w:kern w:val="0"/>
          <w:szCs w:val="21"/>
          <w:highlight w:val="none"/>
          <w:lang w:val="zh-CN" w:bidi="zh-CN"/>
        </w:rPr>
        <w:t>的严寒大于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天。</w:t>
      </w:r>
    </w:p>
    <w:p w14:paraId="6AE3ABC6">
      <w:pPr>
        <w:numPr>
          <w:ilvl w:val="0"/>
          <w:numId w:val="10"/>
        </w:numPr>
        <w:tabs>
          <w:tab w:val="left" w:pos="903"/>
        </w:tabs>
        <w:spacing w:after="100"/>
        <w:ind w:firstLine="420"/>
        <w:jc w:val="left"/>
        <w:rPr>
          <w:rFonts w:ascii="宋体" w:hAnsi="宋体" w:cs="宋体"/>
          <w:color w:val="auto"/>
          <w:kern w:val="0"/>
          <w:szCs w:val="21"/>
          <w:highlight w:val="none"/>
          <w:lang w:val="zh-CN" w:bidi="zh-CN"/>
        </w:rPr>
      </w:pPr>
      <w:bookmarkStart w:id="318" w:name="bookmark1724"/>
      <w:bookmarkEnd w:id="318"/>
      <w:r>
        <w:rPr>
          <w:rFonts w:hint="eastAsia" w:ascii="宋体" w:hAnsi="宋体" w:cs="宋体"/>
          <w:color w:val="auto"/>
          <w:kern w:val="0"/>
          <w:szCs w:val="21"/>
          <w:highlight w:val="none"/>
          <w:lang w:val="zh-CN" w:bidi="zh-CN"/>
        </w:rPr>
        <w:t>造成工程损坏的冰雹和大雪灾害；</w:t>
      </w:r>
    </w:p>
    <w:p w14:paraId="59FEBF34">
      <w:pPr>
        <w:numPr>
          <w:ilvl w:val="0"/>
          <w:numId w:val="10"/>
        </w:numPr>
        <w:tabs>
          <w:tab w:val="left" w:pos="903"/>
        </w:tabs>
        <w:spacing w:after="100"/>
        <w:ind w:firstLine="420"/>
        <w:jc w:val="left"/>
        <w:rPr>
          <w:rFonts w:ascii="宋体" w:hAnsi="宋体" w:cs="宋体"/>
          <w:color w:val="auto"/>
          <w:kern w:val="0"/>
          <w:szCs w:val="21"/>
          <w:highlight w:val="none"/>
          <w:lang w:val="zh-CN" w:bidi="zh-CN"/>
        </w:rPr>
      </w:pPr>
      <w:bookmarkStart w:id="319" w:name="bookmark1725"/>
      <w:bookmarkEnd w:id="319"/>
      <w:r>
        <w:rPr>
          <w:rFonts w:hint="eastAsia" w:ascii="宋体" w:hAnsi="宋体" w:cs="宋体"/>
          <w:color w:val="auto"/>
          <w:kern w:val="0"/>
          <w:szCs w:val="21"/>
          <w:highlight w:val="none"/>
          <w:lang w:val="zh-CN" w:bidi="zh-CN"/>
        </w:rPr>
        <w:t>级以上的地震；</w:t>
      </w:r>
    </w:p>
    <w:p w14:paraId="3F396ECA">
      <w:pPr>
        <w:numPr>
          <w:ilvl w:val="0"/>
          <w:numId w:val="10"/>
        </w:numPr>
        <w:tabs>
          <w:tab w:val="left" w:pos="903"/>
        </w:tabs>
        <w:spacing w:after="100"/>
        <w:ind w:firstLine="420"/>
        <w:jc w:val="left"/>
        <w:rPr>
          <w:rFonts w:ascii="宋体" w:hAnsi="宋体" w:cs="宋体"/>
          <w:color w:val="auto"/>
          <w:kern w:val="0"/>
          <w:szCs w:val="21"/>
          <w:highlight w:val="none"/>
          <w:lang w:val="zh-CN" w:bidi="zh-CN"/>
        </w:rPr>
      </w:pPr>
      <w:bookmarkStart w:id="320" w:name="bookmark1726"/>
      <w:bookmarkEnd w:id="320"/>
      <w:r>
        <w:rPr>
          <w:rFonts w:hint="eastAsia" w:ascii="宋体" w:hAnsi="宋体" w:cs="宋体"/>
          <w:color w:val="auto"/>
          <w:kern w:val="0"/>
          <w:szCs w:val="21"/>
          <w:highlight w:val="none"/>
          <w:lang w:val="zh-CN" w:bidi="zh-CN"/>
        </w:rPr>
        <w:t>年一遇及以上的洪水；</w:t>
      </w:r>
    </w:p>
    <w:p w14:paraId="0F1CE482">
      <w:pPr>
        <w:numPr>
          <w:ilvl w:val="0"/>
          <w:numId w:val="10"/>
        </w:numPr>
        <w:tabs>
          <w:tab w:val="left" w:pos="903"/>
        </w:tabs>
        <w:spacing w:after="160"/>
        <w:ind w:firstLine="420"/>
        <w:jc w:val="left"/>
        <w:rPr>
          <w:rFonts w:ascii="宋体" w:hAnsi="宋体" w:cs="宋体"/>
          <w:color w:val="auto"/>
          <w:kern w:val="0"/>
          <w:szCs w:val="21"/>
          <w:highlight w:val="none"/>
          <w:lang w:val="zh-CN" w:bidi="zh-CN"/>
        </w:rPr>
      </w:pPr>
      <w:bookmarkStart w:id="321" w:name="bookmark1727"/>
      <w:bookmarkEnd w:id="321"/>
      <w:r>
        <w:rPr>
          <w:rFonts w:hint="eastAsia" w:ascii="宋体" w:hAnsi="宋体" w:cs="宋体"/>
          <w:color w:val="auto"/>
          <w:kern w:val="0"/>
          <w:szCs w:val="21"/>
          <w:highlight w:val="none"/>
          <w:lang w:val="zh-CN" w:bidi="zh-CN"/>
        </w:rPr>
        <w:t>其他异常恶劣气候灾害。</w:t>
      </w:r>
    </w:p>
    <w:p w14:paraId="647BF90C">
      <w:pPr>
        <w:spacing w:after="100"/>
        <w:ind w:firstLine="420"/>
        <w:rPr>
          <w:rFonts w:ascii="宋体" w:hAnsi="宋体" w:cs="宋体"/>
          <w:b/>
          <w:color w:val="auto"/>
          <w:kern w:val="0"/>
          <w:szCs w:val="21"/>
          <w:highlight w:val="none"/>
          <w:lang w:val="zh-CN" w:bidi="zh-CN"/>
        </w:rPr>
      </w:pPr>
      <w:bookmarkStart w:id="322" w:name="bookmark1728"/>
      <w:bookmarkStart w:id="323" w:name="bookmark1730"/>
      <w:bookmarkStart w:id="324" w:name="bookmark1729"/>
      <w:r>
        <w:rPr>
          <w:rFonts w:hint="eastAsia" w:ascii="宋体" w:hAnsi="宋体" w:cs="宋体"/>
          <w:b/>
          <w:color w:val="auto"/>
          <w:kern w:val="0"/>
          <w:szCs w:val="21"/>
          <w:highlight w:val="none"/>
          <w:lang w:val="zh-CN" w:bidi="zh-CN"/>
        </w:rPr>
        <w:t>11.5承包人工期延误</w:t>
      </w:r>
      <w:bookmarkEnd w:id="322"/>
      <w:bookmarkEnd w:id="323"/>
      <w:bookmarkEnd w:id="324"/>
    </w:p>
    <w:p w14:paraId="6CF4CB27">
      <w:pPr>
        <w:spacing w:after="100"/>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(1)逾期完工违约金表(参考格式)</w:t>
      </w:r>
    </w:p>
    <w:tbl>
      <w:tblPr>
        <w:tblStyle w:val="45"/>
        <w:tblW w:w="0" w:type="auto"/>
        <w:jc w:val="center"/>
        <w:tblLayout w:type="fixed"/>
        <w:tblCellMar>
          <w:top w:w="0" w:type="dxa"/>
          <w:left w:w="10" w:type="dxa"/>
          <w:bottom w:w="0" w:type="dxa"/>
          <w:right w:w="10" w:type="dxa"/>
        </w:tblCellMar>
      </w:tblPr>
      <w:tblGrid>
        <w:gridCol w:w="576"/>
        <w:gridCol w:w="4536"/>
        <w:gridCol w:w="1699"/>
        <w:gridCol w:w="1541"/>
      </w:tblGrid>
      <w:tr w14:paraId="0264A373">
        <w:tblPrEx>
          <w:tblCellMar>
            <w:top w:w="0" w:type="dxa"/>
            <w:left w:w="10" w:type="dxa"/>
            <w:bottom w:w="0" w:type="dxa"/>
            <w:right w:w="10" w:type="dxa"/>
          </w:tblCellMar>
        </w:tblPrEx>
        <w:trPr>
          <w:trHeight w:val="20" w:hRule="atLeast"/>
          <w:jc w:val="center"/>
        </w:trPr>
        <w:tc>
          <w:tcPr>
            <w:tcW w:w="576" w:type="dxa"/>
            <w:tcBorders>
              <w:top w:val="single" w:color="auto" w:sz="4" w:space="0"/>
              <w:left w:val="single" w:color="auto" w:sz="4" w:space="0"/>
            </w:tcBorders>
            <w:shd w:val="clear" w:color="auto" w:fill="FFFFFF"/>
            <w:noWrap/>
            <w:vAlign w:val="center"/>
          </w:tcPr>
          <w:p w14:paraId="4F2AC93B">
            <w:pPr>
              <w:jc w:val="center"/>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序号</w:t>
            </w:r>
          </w:p>
        </w:tc>
        <w:tc>
          <w:tcPr>
            <w:tcW w:w="4536" w:type="dxa"/>
            <w:tcBorders>
              <w:top w:val="single" w:color="auto" w:sz="4" w:space="0"/>
              <w:left w:val="single" w:color="auto" w:sz="4" w:space="0"/>
            </w:tcBorders>
            <w:shd w:val="clear" w:color="auto" w:fill="FFFFFF"/>
            <w:noWrap/>
            <w:vAlign w:val="center"/>
          </w:tcPr>
          <w:p w14:paraId="7CEDF3F1">
            <w:pPr>
              <w:jc w:val="center"/>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项目及其说明</w:t>
            </w:r>
          </w:p>
        </w:tc>
        <w:tc>
          <w:tcPr>
            <w:tcW w:w="1699" w:type="dxa"/>
            <w:tcBorders>
              <w:top w:val="single" w:color="auto" w:sz="4" w:space="0"/>
              <w:left w:val="single" w:color="auto" w:sz="4" w:space="0"/>
            </w:tcBorders>
            <w:shd w:val="clear" w:color="auto" w:fill="FFFFFF"/>
            <w:noWrap/>
            <w:vAlign w:val="center"/>
          </w:tcPr>
          <w:p w14:paraId="138CDC81">
            <w:pPr>
              <w:jc w:val="center"/>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要求完工日期</w:t>
            </w:r>
          </w:p>
        </w:tc>
        <w:tc>
          <w:tcPr>
            <w:tcW w:w="1541" w:type="dxa"/>
            <w:tcBorders>
              <w:top w:val="single" w:color="auto" w:sz="4" w:space="0"/>
              <w:left w:val="single" w:color="auto" w:sz="4" w:space="0"/>
              <w:right w:val="single" w:color="auto" w:sz="4" w:space="0"/>
            </w:tcBorders>
            <w:shd w:val="clear" w:color="auto" w:fill="FFFFFF"/>
            <w:noWrap/>
            <w:vAlign w:val="center"/>
          </w:tcPr>
          <w:p w14:paraId="21FBC59D">
            <w:pPr>
              <w:jc w:val="center"/>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违约金(元/天)</w:t>
            </w:r>
          </w:p>
        </w:tc>
      </w:tr>
      <w:tr w14:paraId="66A2C590">
        <w:tblPrEx>
          <w:tblCellMar>
            <w:top w:w="0" w:type="dxa"/>
            <w:left w:w="10" w:type="dxa"/>
            <w:bottom w:w="0" w:type="dxa"/>
            <w:right w:w="10" w:type="dxa"/>
          </w:tblCellMar>
        </w:tblPrEx>
        <w:trPr>
          <w:trHeight w:val="20" w:hRule="atLeast"/>
          <w:jc w:val="center"/>
        </w:trPr>
        <w:tc>
          <w:tcPr>
            <w:tcW w:w="576" w:type="dxa"/>
            <w:tcBorders>
              <w:top w:val="single" w:color="auto" w:sz="4" w:space="0"/>
              <w:left w:val="single" w:color="auto" w:sz="4" w:space="0"/>
            </w:tcBorders>
            <w:shd w:val="clear" w:color="auto" w:fill="FFFFFF"/>
            <w:noWrap/>
          </w:tcPr>
          <w:p w14:paraId="78454908">
            <w:pPr>
              <w:jc w:val="left"/>
              <w:rPr>
                <w:rFonts w:ascii="宋体" w:hAnsi="宋体" w:cs="宋体"/>
                <w:color w:val="auto"/>
                <w:kern w:val="0"/>
                <w:szCs w:val="21"/>
                <w:highlight w:val="none"/>
                <w:lang w:eastAsia="en-US" w:bidi="en-US"/>
              </w:rPr>
            </w:pPr>
          </w:p>
        </w:tc>
        <w:tc>
          <w:tcPr>
            <w:tcW w:w="4536" w:type="dxa"/>
            <w:tcBorders>
              <w:top w:val="single" w:color="auto" w:sz="4" w:space="0"/>
              <w:left w:val="single" w:color="auto" w:sz="4" w:space="0"/>
            </w:tcBorders>
            <w:shd w:val="clear" w:color="auto" w:fill="FFFFFF"/>
            <w:noWrap/>
          </w:tcPr>
          <w:p w14:paraId="43B40D05">
            <w:pPr>
              <w:jc w:val="left"/>
              <w:rPr>
                <w:rFonts w:ascii="宋体" w:hAnsi="宋体" w:cs="宋体"/>
                <w:color w:val="auto"/>
                <w:kern w:val="0"/>
                <w:szCs w:val="21"/>
                <w:highlight w:val="none"/>
                <w:lang w:eastAsia="en-US" w:bidi="en-US"/>
              </w:rPr>
            </w:pPr>
            <w:r>
              <w:rPr>
                <w:rFonts w:hint="eastAsia" w:ascii="宋体" w:hAnsi="宋体" w:cs="宋体"/>
                <w:color w:val="auto"/>
                <w:kern w:val="0"/>
                <w:szCs w:val="21"/>
                <w:highlight w:val="none"/>
                <w:lang w:eastAsia="en-US" w:bidi="en-US"/>
              </w:rPr>
              <w:t>整个项目工程</w:t>
            </w:r>
          </w:p>
        </w:tc>
        <w:tc>
          <w:tcPr>
            <w:tcW w:w="1699" w:type="dxa"/>
            <w:tcBorders>
              <w:top w:val="single" w:color="auto" w:sz="4" w:space="0"/>
              <w:left w:val="single" w:color="auto" w:sz="4" w:space="0"/>
            </w:tcBorders>
            <w:shd w:val="clear" w:color="auto" w:fill="FFFFFF"/>
            <w:noWrap/>
          </w:tcPr>
          <w:p w14:paraId="7C3DA172">
            <w:pPr>
              <w:jc w:val="left"/>
              <w:rPr>
                <w:rFonts w:ascii="宋体" w:hAnsi="宋体" w:cs="宋体"/>
                <w:color w:val="auto"/>
                <w:kern w:val="0"/>
                <w:szCs w:val="21"/>
                <w:highlight w:val="none"/>
                <w:lang w:eastAsia="en-US" w:bidi="en-US"/>
              </w:rPr>
            </w:pPr>
          </w:p>
        </w:tc>
        <w:tc>
          <w:tcPr>
            <w:tcW w:w="1541" w:type="dxa"/>
            <w:tcBorders>
              <w:top w:val="single" w:color="auto" w:sz="4" w:space="0"/>
              <w:left w:val="single" w:color="auto" w:sz="4" w:space="0"/>
              <w:right w:val="single" w:color="auto" w:sz="4" w:space="0"/>
            </w:tcBorders>
            <w:shd w:val="clear" w:color="auto" w:fill="FFFFFF"/>
            <w:noWrap/>
          </w:tcPr>
          <w:p w14:paraId="5113F0DB">
            <w:pPr>
              <w:jc w:val="lef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1000</w:t>
            </w:r>
          </w:p>
        </w:tc>
      </w:tr>
      <w:tr w14:paraId="01E97650">
        <w:tblPrEx>
          <w:tblCellMar>
            <w:top w:w="0" w:type="dxa"/>
            <w:left w:w="10" w:type="dxa"/>
            <w:bottom w:w="0" w:type="dxa"/>
            <w:right w:w="10" w:type="dxa"/>
          </w:tblCellMar>
        </w:tblPrEx>
        <w:trPr>
          <w:trHeight w:val="20" w:hRule="atLeast"/>
          <w:jc w:val="center"/>
        </w:trPr>
        <w:tc>
          <w:tcPr>
            <w:tcW w:w="576" w:type="dxa"/>
            <w:tcBorders>
              <w:top w:val="single" w:color="auto" w:sz="4" w:space="0"/>
              <w:left w:val="single" w:color="auto" w:sz="4" w:space="0"/>
            </w:tcBorders>
            <w:shd w:val="clear" w:color="auto" w:fill="FFFFFF"/>
            <w:noWrap/>
          </w:tcPr>
          <w:p w14:paraId="00CC5AE7">
            <w:pPr>
              <w:jc w:val="left"/>
              <w:rPr>
                <w:rFonts w:ascii="宋体" w:hAnsi="宋体" w:cs="宋体"/>
                <w:color w:val="auto"/>
                <w:kern w:val="0"/>
                <w:szCs w:val="21"/>
                <w:highlight w:val="none"/>
                <w:lang w:eastAsia="en-US" w:bidi="en-US"/>
              </w:rPr>
            </w:pPr>
          </w:p>
        </w:tc>
        <w:tc>
          <w:tcPr>
            <w:tcW w:w="4536" w:type="dxa"/>
            <w:tcBorders>
              <w:top w:val="single" w:color="auto" w:sz="4" w:space="0"/>
              <w:left w:val="single" w:color="auto" w:sz="4" w:space="0"/>
            </w:tcBorders>
            <w:shd w:val="clear" w:color="auto" w:fill="FFFFFF"/>
            <w:noWrap/>
          </w:tcPr>
          <w:p w14:paraId="0E0C8015">
            <w:pPr>
              <w:jc w:val="left"/>
              <w:rPr>
                <w:rFonts w:ascii="宋体" w:hAnsi="宋体" w:cs="宋体"/>
                <w:color w:val="auto"/>
                <w:kern w:val="0"/>
                <w:szCs w:val="21"/>
                <w:highlight w:val="none"/>
                <w:lang w:eastAsia="en-US" w:bidi="en-US"/>
              </w:rPr>
            </w:pPr>
          </w:p>
        </w:tc>
        <w:tc>
          <w:tcPr>
            <w:tcW w:w="1699" w:type="dxa"/>
            <w:tcBorders>
              <w:top w:val="single" w:color="auto" w:sz="4" w:space="0"/>
              <w:left w:val="single" w:color="auto" w:sz="4" w:space="0"/>
            </w:tcBorders>
            <w:shd w:val="clear" w:color="auto" w:fill="FFFFFF"/>
            <w:noWrap/>
          </w:tcPr>
          <w:p w14:paraId="34872AAC">
            <w:pPr>
              <w:jc w:val="left"/>
              <w:rPr>
                <w:rFonts w:ascii="宋体" w:hAnsi="宋体" w:cs="宋体"/>
                <w:color w:val="auto"/>
                <w:kern w:val="0"/>
                <w:szCs w:val="21"/>
                <w:highlight w:val="none"/>
                <w:lang w:eastAsia="en-US" w:bidi="en-US"/>
              </w:rPr>
            </w:pPr>
          </w:p>
        </w:tc>
        <w:tc>
          <w:tcPr>
            <w:tcW w:w="1541" w:type="dxa"/>
            <w:tcBorders>
              <w:top w:val="single" w:color="auto" w:sz="4" w:space="0"/>
              <w:left w:val="single" w:color="auto" w:sz="4" w:space="0"/>
              <w:right w:val="single" w:color="auto" w:sz="4" w:space="0"/>
            </w:tcBorders>
            <w:shd w:val="clear" w:color="auto" w:fill="FFFFFF"/>
            <w:noWrap/>
          </w:tcPr>
          <w:p w14:paraId="54B595BB">
            <w:pPr>
              <w:jc w:val="left"/>
              <w:rPr>
                <w:rFonts w:ascii="宋体" w:hAnsi="宋体" w:cs="宋体"/>
                <w:color w:val="auto"/>
                <w:kern w:val="0"/>
                <w:szCs w:val="21"/>
                <w:highlight w:val="none"/>
                <w:lang w:eastAsia="en-US" w:bidi="en-US"/>
              </w:rPr>
            </w:pPr>
          </w:p>
        </w:tc>
      </w:tr>
      <w:tr w14:paraId="7B62B493">
        <w:tblPrEx>
          <w:tblCellMar>
            <w:top w:w="0" w:type="dxa"/>
            <w:left w:w="10" w:type="dxa"/>
            <w:bottom w:w="0" w:type="dxa"/>
            <w:right w:w="10" w:type="dxa"/>
          </w:tblCellMar>
        </w:tblPrEx>
        <w:trPr>
          <w:trHeight w:val="20" w:hRule="atLeast"/>
          <w:jc w:val="center"/>
        </w:trPr>
        <w:tc>
          <w:tcPr>
            <w:tcW w:w="576" w:type="dxa"/>
            <w:tcBorders>
              <w:top w:val="single" w:color="auto" w:sz="4" w:space="0"/>
              <w:left w:val="single" w:color="auto" w:sz="4" w:space="0"/>
            </w:tcBorders>
            <w:shd w:val="clear" w:color="auto" w:fill="FFFFFF"/>
            <w:noWrap/>
          </w:tcPr>
          <w:p w14:paraId="39227E05">
            <w:pPr>
              <w:jc w:val="left"/>
              <w:rPr>
                <w:rFonts w:ascii="宋体" w:hAnsi="宋体" w:cs="宋体"/>
                <w:color w:val="auto"/>
                <w:kern w:val="0"/>
                <w:szCs w:val="21"/>
                <w:highlight w:val="none"/>
                <w:lang w:eastAsia="en-US" w:bidi="en-US"/>
              </w:rPr>
            </w:pPr>
          </w:p>
        </w:tc>
        <w:tc>
          <w:tcPr>
            <w:tcW w:w="4536" w:type="dxa"/>
            <w:tcBorders>
              <w:top w:val="single" w:color="auto" w:sz="4" w:space="0"/>
              <w:left w:val="single" w:color="auto" w:sz="4" w:space="0"/>
            </w:tcBorders>
            <w:shd w:val="clear" w:color="auto" w:fill="FFFFFF"/>
            <w:noWrap/>
          </w:tcPr>
          <w:p w14:paraId="0B27F12F">
            <w:pPr>
              <w:jc w:val="left"/>
              <w:rPr>
                <w:rFonts w:ascii="宋体" w:hAnsi="宋体" w:cs="宋体"/>
                <w:color w:val="auto"/>
                <w:kern w:val="0"/>
                <w:szCs w:val="21"/>
                <w:highlight w:val="none"/>
                <w:lang w:eastAsia="en-US" w:bidi="en-US"/>
              </w:rPr>
            </w:pPr>
          </w:p>
        </w:tc>
        <w:tc>
          <w:tcPr>
            <w:tcW w:w="1699" w:type="dxa"/>
            <w:tcBorders>
              <w:top w:val="single" w:color="auto" w:sz="4" w:space="0"/>
              <w:left w:val="single" w:color="auto" w:sz="4" w:space="0"/>
            </w:tcBorders>
            <w:shd w:val="clear" w:color="auto" w:fill="FFFFFF"/>
            <w:noWrap/>
          </w:tcPr>
          <w:p w14:paraId="1117022B">
            <w:pPr>
              <w:jc w:val="left"/>
              <w:rPr>
                <w:rFonts w:ascii="宋体" w:hAnsi="宋体" w:cs="宋体"/>
                <w:color w:val="auto"/>
                <w:kern w:val="0"/>
                <w:szCs w:val="21"/>
                <w:highlight w:val="none"/>
                <w:lang w:eastAsia="en-US" w:bidi="en-US"/>
              </w:rPr>
            </w:pPr>
          </w:p>
        </w:tc>
        <w:tc>
          <w:tcPr>
            <w:tcW w:w="1541" w:type="dxa"/>
            <w:tcBorders>
              <w:top w:val="single" w:color="auto" w:sz="4" w:space="0"/>
              <w:left w:val="single" w:color="auto" w:sz="4" w:space="0"/>
              <w:right w:val="single" w:color="auto" w:sz="4" w:space="0"/>
            </w:tcBorders>
            <w:shd w:val="clear" w:color="auto" w:fill="FFFFFF"/>
            <w:noWrap/>
          </w:tcPr>
          <w:p w14:paraId="3BAADAB2">
            <w:pPr>
              <w:jc w:val="left"/>
              <w:rPr>
                <w:rFonts w:ascii="宋体" w:hAnsi="宋体" w:cs="宋体"/>
                <w:color w:val="auto"/>
                <w:kern w:val="0"/>
                <w:szCs w:val="21"/>
                <w:highlight w:val="none"/>
                <w:lang w:eastAsia="en-US" w:bidi="en-US"/>
              </w:rPr>
            </w:pPr>
          </w:p>
        </w:tc>
      </w:tr>
      <w:tr w14:paraId="6D8EEC3C">
        <w:tblPrEx>
          <w:tblCellMar>
            <w:top w:w="0" w:type="dxa"/>
            <w:left w:w="10" w:type="dxa"/>
            <w:bottom w:w="0" w:type="dxa"/>
            <w:right w:w="10" w:type="dxa"/>
          </w:tblCellMar>
        </w:tblPrEx>
        <w:trPr>
          <w:trHeight w:val="20" w:hRule="atLeast"/>
          <w:jc w:val="center"/>
        </w:trPr>
        <w:tc>
          <w:tcPr>
            <w:tcW w:w="576" w:type="dxa"/>
            <w:tcBorders>
              <w:top w:val="single" w:color="auto" w:sz="4" w:space="0"/>
              <w:left w:val="single" w:color="auto" w:sz="4" w:space="0"/>
              <w:bottom w:val="single" w:color="auto" w:sz="4" w:space="0"/>
            </w:tcBorders>
            <w:shd w:val="clear" w:color="auto" w:fill="FFFFFF"/>
            <w:noWrap/>
          </w:tcPr>
          <w:p w14:paraId="7F763CC8">
            <w:pPr>
              <w:jc w:val="left"/>
              <w:rPr>
                <w:rFonts w:ascii="宋体" w:hAnsi="宋体" w:cs="宋体"/>
                <w:color w:val="auto"/>
                <w:kern w:val="0"/>
                <w:szCs w:val="21"/>
                <w:highlight w:val="none"/>
                <w:lang w:eastAsia="en-US" w:bidi="en-US"/>
              </w:rPr>
            </w:pPr>
          </w:p>
        </w:tc>
        <w:tc>
          <w:tcPr>
            <w:tcW w:w="4536" w:type="dxa"/>
            <w:tcBorders>
              <w:top w:val="single" w:color="auto" w:sz="4" w:space="0"/>
              <w:left w:val="single" w:color="auto" w:sz="4" w:space="0"/>
              <w:bottom w:val="single" w:color="auto" w:sz="4" w:space="0"/>
            </w:tcBorders>
            <w:shd w:val="clear" w:color="auto" w:fill="FFFFFF"/>
            <w:noWrap/>
          </w:tcPr>
          <w:p w14:paraId="72263C5C">
            <w:pPr>
              <w:jc w:val="left"/>
              <w:rPr>
                <w:rFonts w:ascii="宋体" w:hAnsi="宋体" w:cs="宋体"/>
                <w:color w:val="auto"/>
                <w:kern w:val="0"/>
                <w:szCs w:val="21"/>
                <w:highlight w:val="none"/>
                <w:lang w:eastAsia="en-US" w:bidi="en-US"/>
              </w:rPr>
            </w:pPr>
          </w:p>
        </w:tc>
        <w:tc>
          <w:tcPr>
            <w:tcW w:w="1699" w:type="dxa"/>
            <w:tcBorders>
              <w:top w:val="single" w:color="auto" w:sz="4" w:space="0"/>
              <w:left w:val="single" w:color="auto" w:sz="4" w:space="0"/>
              <w:bottom w:val="single" w:color="auto" w:sz="4" w:space="0"/>
            </w:tcBorders>
            <w:shd w:val="clear" w:color="auto" w:fill="FFFFFF"/>
            <w:noWrap/>
          </w:tcPr>
          <w:p w14:paraId="6768D19B">
            <w:pPr>
              <w:jc w:val="left"/>
              <w:rPr>
                <w:rFonts w:ascii="宋体" w:hAnsi="宋体" w:cs="宋体"/>
                <w:color w:val="auto"/>
                <w:kern w:val="0"/>
                <w:szCs w:val="21"/>
                <w:highlight w:val="none"/>
                <w:lang w:eastAsia="en-US" w:bidi="en-US"/>
              </w:rPr>
            </w:pPr>
          </w:p>
        </w:tc>
        <w:tc>
          <w:tcPr>
            <w:tcW w:w="1541" w:type="dxa"/>
            <w:tcBorders>
              <w:top w:val="single" w:color="auto" w:sz="4" w:space="0"/>
              <w:left w:val="single" w:color="auto" w:sz="4" w:space="0"/>
              <w:bottom w:val="single" w:color="auto" w:sz="4" w:space="0"/>
              <w:right w:val="single" w:color="auto" w:sz="4" w:space="0"/>
            </w:tcBorders>
            <w:shd w:val="clear" w:color="auto" w:fill="FFFFFF"/>
            <w:noWrap/>
          </w:tcPr>
          <w:p w14:paraId="608C9E1F">
            <w:pPr>
              <w:jc w:val="left"/>
              <w:rPr>
                <w:rFonts w:ascii="宋体" w:hAnsi="宋体" w:cs="宋体"/>
                <w:color w:val="auto"/>
                <w:kern w:val="0"/>
                <w:szCs w:val="21"/>
                <w:highlight w:val="none"/>
                <w:lang w:eastAsia="en-US" w:bidi="en-US"/>
              </w:rPr>
            </w:pPr>
          </w:p>
        </w:tc>
      </w:tr>
    </w:tbl>
    <w:p w14:paraId="0FA41D61">
      <w:pPr>
        <w:spacing w:after="279" w:line="1" w:lineRule="exact"/>
        <w:jc w:val="left"/>
        <w:rPr>
          <w:rFonts w:ascii="宋体" w:hAnsi="宋体" w:cs="宋体"/>
          <w:color w:val="auto"/>
          <w:kern w:val="0"/>
          <w:szCs w:val="21"/>
          <w:highlight w:val="none"/>
          <w:lang w:eastAsia="en-US" w:bidi="en-US"/>
        </w:rPr>
      </w:pPr>
    </w:p>
    <w:p w14:paraId="33FDCB67">
      <w:pPr>
        <w:tabs>
          <w:tab w:val="left" w:pos="7999"/>
        </w:tabs>
        <w:spacing w:line="360"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承包人如未能按上表各节点要求的完工日期前完工，逾期完工违约金按</w:t>
      </w:r>
      <w:r>
        <w:rPr>
          <w:rFonts w:hint="eastAsia" w:ascii="宋体" w:hAnsi="宋体" w:cs="宋体"/>
          <w:color w:val="auto"/>
          <w:kern w:val="0"/>
          <w:szCs w:val="21"/>
          <w:highlight w:val="none"/>
          <w:u w:val="single"/>
          <w:lang w:bidi="zh-CN"/>
        </w:rPr>
        <w:t>10</w:t>
      </w:r>
      <w:r>
        <w:rPr>
          <w:rFonts w:hint="eastAsia" w:ascii="宋体" w:hAnsi="宋体" w:cs="宋体"/>
          <w:color w:val="auto"/>
          <w:kern w:val="0"/>
          <w:szCs w:val="21"/>
          <w:highlight w:val="none"/>
          <w:u w:val="single"/>
          <w:lang w:val="zh-CN" w:bidi="zh-CN"/>
        </w:rPr>
        <w:t>00</w:t>
      </w:r>
      <w:r>
        <w:rPr>
          <w:rFonts w:hint="eastAsia" w:ascii="宋体" w:hAnsi="宋体" w:cs="宋体"/>
          <w:color w:val="auto"/>
          <w:kern w:val="0"/>
          <w:szCs w:val="21"/>
          <w:highlight w:val="none"/>
          <w:lang w:val="zh-CN" w:bidi="zh-CN"/>
        </w:rPr>
        <w:t>元/ 天</w:t>
      </w:r>
      <w:r>
        <w:rPr>
          <w:rFonts w:hint="eastAsia" w:ascii="宋体" w:hAnsi="宋体" w:cs="宋体"/>
          <w:i/>
          <w:iCs/>
          <w:color w:val="auto"/>
          <w:kern w:val="0"/>
          <w:szCs w:val="21"/>
          <w:highlight w:val="none"/>
          <w:lang w:val="zh-CN" w:bidi="zh-CN"/>
        </w:rPr>
        <w:t>”</w:t>
      </w:r>
      <w:r>
        <w:rPr>
          <w:rFonts w:hint="eastAsia" w:ascii="宋体" w:hAnsi="宋体" w:cs="宋体"/>
          <w:color w:val="auto"/>
          <w:kern w:val="0"/>
          <w:szCs w:val="21"/>
          <w:highlight w:val="none"/>
          <w:lang w:val="zh-CN" w:bidi="zh-CN"/>
        </w:rPr>
        <w:t>计算。</w:t>
      </w:r>
    </w:p>
    <w:p w14:paraId="327598D1">
      <w:pPr>
        <w:numPr>
          <w:ilvl w:val="0"/>
          <w:numId w:val="11"/>
        </w:numPr>
        <w:tabs>
          <w:tab w:val="left" w:pos="922"/>
          <w:tab w:val="left" w:pos="6190"/>
        </w:tabs>
        <w:spacing w:after="160" w:line="359" w:lineRule="exact"/>
        <w:ind w:firstLine="440"/>
        <w:jc w:val="left"/>
        <w:rPr>
          <w:rFonts w:ascii="宋体" w:hAnsi="宋体" w:cs="宋体"/>
          <w:color w:val="auto"/>
          <w:kern w:val="0"/>
          <w:szCs w:val="21"/>
          <w:highlight w:val="none"/>
          <w:lang w:val="zh-CN" w:bidi="zh-CN"/>
        </w:rPr>
      </w:pPr>
      <w:bookmarkStart w:id="325" w:name="bookmark1731"/>
      <w:bookmarkEnd w:id="325"/>
      <w:r>
        <w:rPr>
          <w:rFonts w:hint="eastAsia" w:ascii="宋体" w:hAnsi="宋体" w:cs="宋体"/>
          <w:color w:val="auto"/>
          <w:kern w:val="0"/>
          <w:szCs w:val="21"/>
          <w:highlight w:val="none"/>
          <w:lang w:val="zh-CN" w:bidi="zh-CN"/>
        </w:rPr>
        <w:t>全部逾期完工违约金的总限额不超过合同总价的</w:t>
      </w:r>
      <w:r>
        <w:rPr>
          <w:rFonts w:hint="eastAsia" w:ascii="宋体" w:hAnsi="宋体" w:cs="宋体"/>
          <w:color w:val="auto"/>
          <w:kern w:val="0"/>
          <w:szCs w:val="21"/>
          <w:highlight w:val="none"/>
          <w:u w:val="single"/>
          <w:lang w:val="zh-CN" w:bidi="zh-CN"/>
        </w:rPr>
        <w:t>5</w:t>
      </w:r>
      <w:r>
        <w:rPr>
          <w:rFonts w:hint="eastAsia" w:ascii="宋体" w:hAnsi="宋体" w:cs="宋体"/>
          <w:color w:val="auto"/>
          <w:kern w:val="0"/>
          <w:szCs w:val="21"/>
          <w:highlight w:val="none"/>
          <w:lang w:val="zh-CN" w:bidi="zh-CN"/>
        </w:rPr>
        <w:t>%,发包人可从应向承包人支付的任何金额中扣除此项违约金或以其他方式收回此款，此违约金的支付并不能解除承包人应完成工程的责任或合同规定的其他责任。</w:t>
      </w:r>
    </w:p>
    <w:p w14:paraId="3B8BFE20">
      <w:pPr>
        <w:spacing w:after="100"/>
        <w:ind w:firstLine="420"/>
        <w:rPr>
          <w:rFonts w:ascii="宋体" w:hAnsi="宋体" w:cs="宋体"/>
          <w:b/>
          <w:color w:val="auto"/>
          <w:kern w:val="0"/>
          <w:szCs w:val="21"/>
          <w:highlight w:val="none"/>
          <w:lang w:val="zh-CN" w:bidi="zh-CN"/>
        </w:rPr>
      </w:pPr>
      <w:bookmarkStart w:id="326" w:name="bookmark1733"/>
      <w:bookmarkStart w:id="327" w:name="bookmark1732"/>
      <w:bookmarkStart w:id="328" w:name="bookmark1734"/>
      <w:r>
        <w:rPr>
          <w:rFonts w:hint="eastAsia" w:ascii="宋体" w:hAnsi="宋体" w:cs="宋体"/>
          <w:b/>
          <w:color w:val="auto"/>
          <w:kern w:val="0"/>
          <w:szCs w:val="21"/>
          <w:highlight w:val="none"/>
          <w:lang w:val="zh-CN" w:bidi="zh-CN"/>
        </w:rPr>
        <w:t>11.6工期提前</w:t>
      </w:r>
      <w:bookmarkEnd w:id="326"/>
      <w:bookmarkEnd w:id="327"/>
      <w:bookmarkEnd w:id="328"/>
    </w:p>
    <w:p w14:paraId="193CBE97">
      <w:pPr>
        <w:tabs>
          <w:tab w:val="left" w:pos="8218"/>
        </w:tabs>
        <w:spacing w:line="360" w:lineRule="exact"/>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工期提前的资金约定：</w:t>
      </w:r>
      <w:r>
        <w:rPr>
          <w:rFonts w:hint="eastAsia" w:ascii="宋体" w:hAnsi="宋体" w:cs="宋体"/>
          <w:color w:val="auto"/>
          <w:kern w:val="0"/>
          <w:szCs w:val="21"/>
          <w:highlight w:val="none"/>
          <w:u w:val="single"/>
          <w:lang w:val="zh-CN" w:bidi="zh-CN"/>
        </w:rPr>
        <w:t>在保证工程质量的前提下，发包人鼓励承包人提前完工，但本合同工程无提前工期奖金</w:t>
      </w:r>
      <w:r>
        <w:rPr>
          <w:rFonts w:hint="eastAsia" w:ascii="宋体" w:hAnsi="宋体" w:cs="宋体"/>
          <w:color w:val="auto"/>
          <w:kern w:val="0"/>
          <w:szCs w:val="21"/>
          <w:highlight w:val="none"/>
          <w:lang w:bidi="en-US"/>
        </w:rPr>
        <w:t>。</w:t>
      </w:r>
    </w:p>
    <w:p w14:paraId="32574FBA">
      <w:pPr>
        <w:keepLines/>
        <w:spacing w:before="120" w:after="120" w:line="415" w:lineRule="auto"/>
        <w:jc w:val="left"/>
        <w:outlineLvl w:val="1"/>
        <w:rPr>
          <w:rFonts w:ascii="宋体" w:hAnsi="宋体" w:cs="宋体"/>
          <w:b/>
          <w:bCs/>
          <w:color w:val="auto"/>
          <w:kern w:val="0"/>
          <w:szCs w:val="21"/>
          <w:highlight w:val="none"/>
          <w:lang w:bidi="en-US"/>
        </w:rPr>
      </w:pPr>
      <w:bookmarkStart w:id="329" w:name="_Toc6849"/>
      <w:bookmarkStart w:id="330" w:name="_Toc23224"/>
      <w:bookmarkStart w:id="331" w:name="bookmark1735"/>
      <w:bookmarkStart w:id="332" w:name="_Toc14710448"/>
      <w:bookmarkStart w:id="333" w:name="bookmark1737"/>
      <w:bookmarkStart w:id="334" w:name="bookmark1736"/>
      <w:r>
        <w:rPr>
          <w:rFonts w:hint="eastAsia" w:ascii="宋体" w:hAnsi="宋体" w:cs="宋体"/>
          <w:b/>
          <w:bCs/>
          <w:color w:val="auto"/>
          <w:kern w:val="0"/>
          <w:szCs w:val="21"/>
          <w:highlight w:val="none"/>
          <w:lang w:bidi="en-US"/>
        </w:rPr>
        <w:t>12. 暂停施工</w:t>
      </w:r>
      <w:bookmarkEnd w:id="329"/>
      <w:bookmarkEnd w:id="330"/>
      <w:bookmarkEnd w:id="331"/>
      <w:bookmarkEnd w:id="332"/>
      <w:bookmarkEnd w:id="333"/>
      <w:bookmarkEnd w:id="334"/>
    </w:p>
    <w:p w14:paraId="517E053C">
      <w:pPr>
        <w:tabs>
          <w:tab w:val="left" w:pos="8220"/>
        </w:tabs>
        <w:spacing w:line="413" w:lineRule="auto"/>
        <w:ind w:left="440"/>
        <w:rPr>
          <w:rFonts w:ascii="宋体" w:hAnsi="宋体" w:cs="宋体"/>
          <w:b/>
          <w:color w:val="auto"/>
          <w:kern w:val="0"/>
          <w:szCs w:val="21"/>
          <w:highlight w:val="none"/>
          <w:lang w:val="zh-CN" w:bidi="zh-CN"/>
        </w:rPr>
      </w:pPr>
      <w:bookmarkStart w:id="335" w:name="bookmark1738"/>
      <w:bookmarkStart w:id="336" w:name="bookmark1740"/>
      <w:bookmarkStart w:id="337" w:name="bookmark1739"/>
      <w:r>
        <w:rPr>
          <w:rFonts w:hint="eastAsia" w:ascii="宋体" w:hAnsi="宋体" w:cs="宋体"/>
          <w:b/>
          <w:color w:val="auto"/>
          <w:kern w:val="0"/>
          <w:szCs w:val="21"/>
          <w:highlight w:val="none"/>
          <w:lang w:val="zh-CN" w:bidi="zh-CN"/>
        </w:rPr>
        <w:t>12.1承包人暂停施工的责任</w:t>
      </w:r>
      <w:bookmarkEnd w:id="335"/>
      <w:bookmarkEnd w:id="336"/>
      <w:bookmarkEnd w:id="337"/>
    </w:p>
    <w:p w14:paraId="73386BAD">
      <w:pPr>
        <w:tabs>
          <w:tab w:val="left" w:pos="8220"/>
        </w:tabs>
        <w:spacing w:line="413" w:lineRule="auto"/>
        <w:ind w:left="440"/>
        <w:rPr>
          <w:rFonts w:ascii="宋体" w:hAnsi="宋体" w:cs="宋体"/>
          <w:color w:val="auto"/>
          <w:kern w:val="0"/>
          <w:szCs w:val="21"/>
          <w:highlight w:val="none"/>
          <w:lang w:bidi="en-US"/>
        </w:rPr>
      </w:pPr>
      <w:bookmarkStart w:id="338" w:name="bookmark1741"/>
      <w:bookmarkEnd w:id="338"/>
      <w:r>
        <w:rPr>
          <w:rFonts w:hint="eastAsia" w:ascii="宋体" w:hAnsi="宋体" w:cs="宋体"/>
          <w:color w:val="auto"/>
          <w:kern w:val="0"/>
          <w:szCs w:val="21"/>
          <w:highlight w:val="none"/>
          <w:lang w:val="zh-CN" w:bidi="zh-CN"/>
        </w:rPr>
        <w:t>承包人承担暂停施工责任的其它情形：</w:t>
      </w:r>
      <w:r>
        <w:rPr>
          <w:rFonts w:hint="eastAsia" w:ascii="宋体" w:hAnsi="宋体" w:cs="宋体"/>
          <w:color w:val="auto"/>
          <w:kern w:val="0"/>
          <w:szCs w:val="21"/>
          <w:highlight w:val="none"/>
          <w:u w:val="single"/>
          <w:lang w:val="zh-CN" w:bidi="zh-CN"/>
        </w:rPr>
        <w:t>由于承包人资金、人员、材料、设备不能按时到位的由承包人承担停工责任，或由于承包人原因造成的质量事故及安全事故引起的暂停施工，发包人不再补偿停工所造成的工程费用增加和工期延误</w:t>
      </w:r>
      <w:r>
        <w:rPr>
          <w:rFonts w:hint="eastAsia" w:ascii="宋体" w:hAnsi="宋体" w:cs="宋体"/>
          <w:color w:val="auto"/>
          <w:kern w:val="0"/>
          <w:szCs w:val="21"/>
          <w:highlight w:val="none"/>
          <w:lang w:bidi="en-US"/>
        </w:rPr>
        <w:t>。</w:t>
      </w:r>
    </w:p>
    <w:p w14:paraId="17C92D99">
      <w:pPr>
        <w:tabs>
          <w:tab w:val="left" w:pos="8220"/>
        </w:tabs>
        <w:spacing w:line="413" w:lineRule="auto"/>
        <w:ind w:left="440"/>
        <w:rPr>
          <w:rFonts w:ascii="宋体" w:hAnsi="宋体" w:cs="宋体"/>
          <w:color w:val="auto"/>
          <w:kern w:val="0"/>
          <w:szCs w:val="21"/>
          <w:highlight w:val="none"/>
          <w:lang w:val="zh-CN" w:bidi="zh-CN"/>
        </w:rPr>
      </w:pPr>
      <w:r>
        <w:rPr>
          <w:rFonts w:hint="eastAsia" w:ascii="宋体" w:hAnsi="宋体" w:cs="宋体"/>
          <w:b/>
          <w:color w:val="auto"/>
          <w:kern w:val="0"/>
          <w:szCs w:val="21"/>
          <w:highlight w:val="none"/>
          <w:lang w:val="zh-CN" w:bidi="zh-CN"/>
        </w:rPr>
        <w:t>12.2发包人暂停施工的责任</w:t>
      </w:r>
    </w:p>
    <w:p w14:paraId="308D3A17">
      <w:pPr>
        <w:numPr>
          <w:ilvl w:val="0"/>
          <w:numId w:val="11"/>
        </w:numPr>
        <w:tabs>
          <w:tab w:val="left" w:pos="923"/>
          <w:tab w:val="left" w:pos="8218"/>
        </w:tabs>
        <w:spacing w:after="140" w:line="434" w:lineRule="auto"/>
        <w:ind w:firstLine="440"/>
        <w:jc w:val="left"/>
        <w:rPr>
          <w:rFonts w:ascii="宋体" w:hAnsi="宋体" w:cs="宋体"/>
          <w:color w:val="auto"/>
          <w:kern w:val="0"/>
          <w:szCs w:val="21"/>
          <w:highlight w:val="none"/>
          <w:lang w:val="zh-CN" w:bidi="zh-CN"/>
        </w:rPr>
      </w:pPr>
      <w:bookmarkStart w:id="339" w:name="bookmark1742"/>
      <w:bookmarkEnd w:id="339"/>
      <w:r>
        <w:rPr>
          <w:rFonts w:hint="eastAsia" w:ascii="宋体" w:hAnsi="宋体" w:cs="宋体"/>
          <w:color w:val="auto"/>
          <w:kern w:val="0"/>
          <w:szCs w:val="21"/>
          <w:highlight w:val="none"/>
          <w:lang w:val="zh-CN" w:bidi="zh-CN"/>
        </w:rPr>
        <w:t>发包人承担暂停施工责任的其它情形：</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3BE5EF9E">
      <w:pPr>
        <w:keepLines/>
        <w:spacing w:before="120" w:after="120" w:line="415" w:lineRule="auto"/>
        <w:jc w:val="left"/>
        <w:outlineLvl w:val="1"/>
        <w:rPr>
          <w:rFonts w:ascii="宋体" w:hAnsi="宋体" w:cs="宋体"/>
          <w:b/>
          <w:bCs/>
          <w:color w:val="auto"/>
          <w:kern w:val="0"/>
          <w:szCs w:val="21"/>
          <w:highlight w:val="none"/>
          <w:lang w:bidi="en-US"/>
        </w:rPr>
      </w:pPr>
      <w:bookmarkStart w:id="340" w:name="bookmark1743"/>
      <w:bookmarkStart w:id="341" w:name="_Toc4631"/>
      <w:bookmarkStart w:id="342" w:name="bookmark1744"/>
      <w:bookmarkStart w:id="343" w:name="_Toc26672"/>
      <w:bookmarkStart w:id="344" w:name="bookmark1745"/>
      <w:bookmarkStart w:id="345" w:name="_Toc14710449"/>
      <w:r>
        <w:rPr>
          <w:rFonts w:hint="eastAsia" w:ascii="宋体" w:hAnsi="宋体" w:cs="宋体"/>
          <w:b/>
          <w:bCs/>
          <w:color w:val="auto"/>
          <w:kern w:val="0"/>
          <w:szCs w:val="21"/>
          <w:highlight w:val="none"/>
          <w:lang w:bidi="en-US"/>
        </w:rPr>
        <w:t>13. 工程质量</w:t>
      </w:r>
      <w:bookmarkEnd w:id="340"/>
      <w:bookmarkEnd w:id="341"/>
      <w:bookmarkEnd w:id="342"/>
      <w:bookmarkEnd w:id="343"/>
      <w:bookmarkEnd w:id="344"/>
      <w:bookmarkEnd w:id="345"/>
    </w:p>
    <w:p w14:paraId="390C0B3C">
      <w:pPr>
        <w:tabs>
          <w:tab w:val="left" w:pos="8220"/>
        </w:tabs>
        <w:spacing w:line="413" w:lineRule="auto"/>
        <w:ind w:left="440"/>
        <w:rPr>
          <w:rFonts w:ascii="宋体" w:hAnsi="宋体" w:cs="宋体"/>
          <w:b/>
          <w:color w:val="auto"/>
          <w:kern w:val="0"/>
          <w:szCs w:val="21"/>
          <w:highlight w:val="none"/>
          <w:lang w:val="zh-CN" w:bidi="zh-CN"/>
        </w:rPr>
      </w:pPr>
      <w:bookmarkStart w:id="346" w:name="bookmark1748"/>
      <w:bookmarkStart w:id="347" w:name="bookmark1746"/>
      <w:bookmarkStart w:id="348" w:name="bookmark1747"/>
      <w:r>
        <w:rPr>
          <w:rFonts w:hint="eastAsia" w:ascii="宋体" w:hAnsi="宋体" w:cs="宋体"/>
          <w:b/>
          <w:color w:val="auto"/>
          <w:kern w:val="0"/>
          <w:szCs w:val="21"/>
          <w:highlight w:val="none"/>
          <w:lang w:val="zh-CN" w:bidi="zh-CN"/>
        </w:rPr>
        <w:t>13.7质量评定</w:t>
      </w:r>
      <w:bookmarkEnd w:id="346"/>
      <w:bookmarkEnd w:id="347"/>
      <w:bookmarkEnd w:id="348"/>
    </w:p>
    <w:p w14:paraId="0AAC4825">
      <w:pPr>
        <w:tabs>
          <w:tab w:val="left" w:pos="8228"/>
        </w:tabs>
        <w:spacing w:line="372"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13.7.4</w:t>
      </w:r>
      <w:r>
        <w:rPr>
          <w:rFonts w:hint="eastAsia" w:ascii="宋体" w:hAnsi="宋体" w:cs="宋体"/>
          <w:color w:val="auto"/>
          <w:kern w:val="0"/>
          <w:szCs w:val="21"/>
          <w:highlight w:val="none"/>
          <w:lang w:val="zh-CN" w:bidi="zh-CN"/>
        </w:rPr>
        <w:t>重要隐蔽单元工程和关键部位单元工程质量评定的约定：</w:t>
      </w:r>
      <w:r>
        <w:rPr>
          <w:rFonts w:hint="eastAsia" w:ascii="宋体" w:hAnsi="宋体" w:cs="宋体"/>
          <w:color w:val="auto"/>
          <w:kern w:val="0"/>
          <w:szCs w:val="21"/>
          <w:highlight w:val="none"/>
          <w:u w:val="single"/>
          <w:lang w:val="zh-CN" w:bidi="zh-CN"/>
        </w:rPr>
        <w:t>在签订施工承包合同时商定</w:t>
      </w:r>
      <w:r>
        <w:rPr>
          <w:rFonts w:hint="eastAsia" w:ascii="宋体" w:hAnsi="宋体" w:cs="宋体"/>
          <w:color w:val="auto"/>
          <w:kern w:val="0"/>
          <w:szCs w:val="21"/>
          <w:highlight w:val="none"/>
          <w:lang w:bidi="en-US"/>
        </w:rPr>
        <w:t>。</w:t>
      </w:r>
    </w:p>
    <w:p w14:paraId="27540A83">
      <w:pPr>
        <w:tabs>
          <w:tab w:val="left" w:pos="3751"/>
          <w:tab w:val="left" w:pos="4834"/>
          <w:tab w:val="left" w:pos="8225"/>
        </w:tabs>
        <w:spacing w:after="240" w:line="372"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 xml:space="preserve">13.7.7 </w:t>
      </w:r>
      <w:r>
        <w:rPr>
          <w:rFonts w:hint="eastAsia" w:ascii="宋体" w:hAnsi="宋体" w:cs="宋体"/>
          <w:color w:val="auto"/>
          <w:kern w:val="0"/>
          <w:szCs w:val="21"/>
          <w:highlight w:val="none"/>
          <w:lang w:val="zh-CN" w:bidi="zh-CN"/>
        </w:rPr>
        <w:t>工程合格标准为：</w:t>
      </w:r>
      <w:r>
        <w:rPr>
          <w:rFonts w:hint="eastAsia" w:ascii="宋体" w:hAnsi="宋体" w:cs="宋体"/>
          <w:color w:val="auto"/>
          <w:kern w:val="0"/>
          <w:szCs w:val="21"/>
          <w:highlight w:val="none"/>
          <w:u w:val="single"/>
          <w:lang w:val="zh-CN" w:bidi="zh-CN"/>
        </w:rPr>
        <w:t>执行《水利水电工程施工质量检验与评定规程》（SL176-2007）</w:t>
      </w:r>
      <w:r>
        <w:rPr>
          <w:rFonts w:hint="eastAsia" w:ascii="宋体" w:hAnsi="宋体" w:cs="宋体"/>
          <w:color w:val="auto"/>
          <w:kern w:val="0"/>
          <w:szCs w:val="21"/>
          <w:highlight w:val="none"/>
          <w:lang w:val="zh-CN" w:bidi="zh-CN"/>
        </w:rPr>
        <w:t>；优良标准为：</w:t>
      </w:r>
      <w:r>
        <w:rPr>
          <w:rFonts w:hint="eastAsia" w:ascii="宋体" w:hAnsi="宋体" w:cs="宋体"/>
          <w:color w:val="auto"/>
          <w:kern w:val="0"/>
          <w:szCs w:val="21"/>
          <w:highlight w:val="none"/>
          <w:u w:val="single"/>
          <w:lang w:val="zh-CN" w:bidi="zh-CN"/>
        </w:rPr>
        <w:t>执行《水利水电工程施工质量检验与评定规程》（SL176-2007）</w:t>
      </w:r>
      <w:r>
        <w:rPr>
          <w:rFonts w:hint="eastAsia" w:ascii="宋体" w:hAnsi="宋体" w:cs="宋体"/>
          <w:color w:val="auto"/>
          <w:kern w:val="0"/>
          <w:szCs w:val="21"/>
          <w:highlight w:val="none"/>
          <w:lang w:bidi="en-US"/>
        </w:rPr>
        <w:t>。</w:t>
      </w:r>
      <w:r>
        <w:rPr>
          <w:rFonts w:hint="eastAsia" w:ascii="宋体" w:hAnsi="宋体" w:cs="宋体"/>
          <w:color w:val="auto"/>
          <w:kern w:val="0"/>
          <w:szCs w:val="21"/>
          <w:highlight w:val="none"/>
          <w:lang w:val="zh-CN" w:bidi="zh-CN"/>
        </w:rPr>
        <w:t>达到优良的奖金为：</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54CD5C61">
      <w:pPr>
        <w:tabs>
          <w:tab w:val="left" w:pos="8220"/>
        </w:tabs>
        <w:spacing w:line="413" w:lineRule="auto"/>
        <w:ind w:left="440"/>
        <w:rPr>
          <w:rFonts w:ascii="宋体" w:hAnsi="宋体" w:cs="宋体"/>
          <w:b/>
          <w:color w:val="auto"/>
          <w:kern w:val="0"/>
          <w:szCs w:val="21"/>
          <w:highlight w:val="none"/>
          <w:lang w:val="zh-CN" w:bidi="zh-CN"/>
        </w:rPr>
      </w:pPr>
      <w:bookmarkStart w:id="349" w:name="bookmark1750"/>
      <w:bookmarkStart w:id="350" w:name="bookmark1749"/>
      <w:bookmarkStart w:id="351" w:name="bookmark1751"/>
      <w:r>
        <w:rPr>
          <w:rFonts w:hint="eastAsia" w:ascii="宋体" w:hAnsi="宋体" w:cs="宋体"/>
          <w:b/>
          <w:color w:val="auto"/>
          <w:kern w:val="0"/>
          <w:szCs w:val="21"/>
          <w:highlight w:val="none"/>
          <w:lang w:val="zh-CN" w:bidi="zh-CN"/>
        </w:rPr>
        <w:t>13.8质量事故处理</w:t>
      </w:r>
      <w:bookmarkEnd w:id="349"/>
      <w:bookmarkEnd w:id="350"/>
      <w:bookmarkEnd w:id="351"/>
    </w:p>
    <w:p w14:paraId="3FDC6F18">
      <w:pPr>
        <w:tabs>
          <w:tab w:val="left" w:pos="4814"/>
        </w:tabs>
        <w:spacing w:after="180" w:line="365"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13.8.4</w:t>
      </w:r>
      <w:r>
        <w:rPr>
          <w:rFonts w:hint="eastAsia" w:ascii="宋体" w:hAnsi="宋体" w:cs="宋体"/>
          <w:color w:val="auto"/>
          <w:kern w:val="0"/>
          <w:szCs w:val="21"/>
          <w:highlight w:val="none"/>
          <w:lang w:val="zh-CN" w:bidi="zh-CN"/>
        </w:rPr>
        <w:t>工程竣工验收时，</w:t>
      </w:r>
      <w:r>
        <w:rPr>
          <w:rFonts w:hint="eastAsia" w:ascii="宋体" w:hAnsi="宋体" w:cs="宋体"/>
          <w:color w:val="auto"/>
          <w:kern w:val="0"/>
          <w:szCs w:val="21"/>
          <w:highlight w:val="none"/>
          <w:u w:val="single"/>
          <w:lang w:val="zh-CN" w:bidi="zh-CN"/>
        </w:rPr>
        <w:t>承包人和监理单位</w:t>
      </w:r>
      <w:r>
        <w:rPr>
          <w:rFonts w:hint="eastAsia" w:ascii="宋体" w:hAnsi="宋体" w:cs="宋体"/>
          <w:color w:val="auto"/>
          <w:kern w:val="0"/>
          <w:szCs w:val="21"/>
          <w:highlight w:val="none"/>
          <w:lang w:val="zh-CN" w:bidi="zh-CN"/>
        </w:rPr>
        <w:t>向竣工验收委员会汇报并提交历次质量缺陷处理的备案资料。</w:t>
      </w:r>
    </w:p>
    <w:p w14:paraId="6249A2F2">
      <w:pPr>
        <w:keepLines/>
        <w:spacing w:before="120" w:after="120" w:line="415" w:lineRule="auto"/>
        <w:jc w:val="left"/>
        <w:outlineLvl w:val="1"/>
        <w:rPr>
          <w:rFonts w:ascii="宋体" w:hAnsi="宋体" w:cs="宋体"/>
          <w:b/>
          <w:bCs/>
          <w:color w:val="auto"/>
          <w:kern w:val="0"/>
          <w:szCs w:val="21"/>
          <w:highlight w:val="none"/>
          <w:lang w:bidi="en-US"/>
        </w:rPr>
      </w:pPr>
      <w:bookmarkStart w:id="352" w:name="bookmark1752"/>
      <w:bookmarkStart w:id="353" w:name="_Toc6407"/>
      <w:bookmarkStart w:id="354" w:name="bookmark1753"/>
      <w:bookmarkStart w:id="355" w:name="_Toc14710450"/>
      <w:bookmarkStart w:id="356" w:name="_Toc20650"/>
      <w:bookmarkStart w:id="357" w:name="bookmark1754"/>
      <w:r>
        <w:rPr>
          <w:rFonts w:hint="eastAsia" w:ascii="宋体" w:hAnsi="宋体" w:cs="宋体"/>
          <w:b/>
          <w:bCs/>
          <w:color w:val="auto"/>
          <w:kern w:val="0"/>
          <w:szCs w:val="21"/>
          <w:highlight w:val="none"/>
          <w:lang w:bidi="en-US"/>
        </w:rPr>
        <w:t>14 . 试验和检验</w:t>
      </w:r>
      <w:bookmarkEnd w:id="352"/>
      <w:bookmarkEnd w:id="353"/>
      <w:bookmarkEnd w:id="354"/>
      <w:bookmarkEnd w:id="355"/>
      <w:bookmarkEnd w:id="356"/>
      <w:bookmarkEnd w:id="357"/>
    </w:p>
    <w:p w14:paraId="1B88C039">
      <w:pPr>
        <w:tabs>
          <w:tab w:val="left" w:pos="8220"/>
        </w:tabs>
        <w:spacing w:line="413" w:lineRule="auto"/>
        <w:ind w:left="440"/>
        <w:rPr>
          <w:rFonts w:ascii="宋体" w:hAnsi="宋体" w:cs="宋体"/>
          <w:b/>
          <w:color w:val="auto"/>
          <w:kern w:val="0"/>
          <w:szCs w:val="21"/>
          <w:highlight w:val="none"/>
          <w:lang w:val="zh-CN" w:bidi="zh-CN"/>
        </w:rPr>
      </w:pPr>
      <w:bookmarkStart w:id="358" w:name="bookmark1755"/>
      <w:bookmarkStart w:id="359" w:name="bookmark1756"/>
      <w:bookmarkStart w:id="360" w:name="bookmark1757"/>
      <w:r>
        <w:rPr>
          <w:rFonts w:hint="eastAsia" w:ascii="宋体" w:hAnsi="宋体" w:cs="宋体"/>
          <w:b/>
          <w:color w:val="auto"/>
          <w:kern w:val="0"/>
          <w:szCs w:val="21"/>
          <w:highlight w:val="none"/>
          <w:lang w:val="zh-CN" w:bidi="zh-CN"/>
        </w:rPr>
        <w:t>14.1材料、工程设备和工程的试验和检验</w:t>
      </w:r>
      <w:bookmarkEnd w:id="358"/>
      <w:bookmarkEnd w:id="359"/>
      <w:bookmarkEnd w:id="360"/>
    </w:p>
    <w:p w14:paraId="766CC9BC">
      <w:pPr>
        <w:tabs>
          <w:tab w:val="left" w:pos="2071"/>
        </w:tabs>
        <w:spacing w:line="372"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14.1.5</w:t>
      </w:r>
      <w:r>
        <w:rPr>
          <w:rFonts w:hint="eastAsia" w:ascii="宋体" w:hAnsi="宋体" w:cs="宋体"/>
          <w:color w:val="auto"/>
          <w:kern w:val="0"/>
          <w:szCs w:val="21"/>
          <w:highlight w:val="none"/>
          <w:lang w:val="zh-CN" w:bidi="zh-CN"/>
        </w:rPr>
        <w:t>水工金属结构、启闭机及机电产品进场后的交货检查和验收中，承包人负责</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p>
    <w:p w14:paraId="04402581">
      <w:pPr>
        <w:tabs>
          <w:tab w:val="left" w:pos="7525"/>
        </w:tabs>
        <w:spacing w:after="180" w:line="364"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14.1.6</w:t>
      </w:r>
      <w:r>
        <w:rPr>
          <w:rFonts w:hint="eastAsia" w:ascii="宋体" w:hAnsi="宋体" w:cs="宋体"/>
          <w:color w:val="auto"/>
          <w:kern w:val="0"/>
          <w:szCs w:val="21"/>
          <w:highlight w:val="none"/>
          <w:lang w:val="zh-CN" w:bidi="zh-CN"/>
        </w:rPr>
        <w:t>本工程实行见证取样的试块、试件及有关材料：</w:t>
      </w:r>
      <w:r>
        <w:rPr>
          <w:rFonts w:hint="eastAsia" w:ascii="宋体" w:hAnsi="宋体" w:cs="宋体"/>
          <w:color w:val="auto"/>
          <w:kern w:val="0"/>
          <w:szCs w:val="21"/>
          <w:highlight w:val="none"/>
          <w:u w:val="single"/>
          <w:lang w:val="zh-CN" w:bidi="zh-CN"/>
        </w:rPr>
        <w:t>土料压实、砼试件、砂浆试件、钢筋、水泥、砂、碎石等</w:t>
      </w:r>
      <w:r>
        <w:rPr>
          <w:rFonts w:hint="eastAsia" w:ascii="宋体" w:hAnsi="宋体" w:cs="宋体"/>
          <w:color w:val="auto"/>
          <w:kern w:val="0"/>
          <w:szCs w:val="21"/>
          <w:highlight w:val="none"/>
          <w:lang w:bidi="en-US"/>
        </w:rPr>
        <w:t>。</w:t>
      </w:r>
    </w:p>
    <w:p w14:paraId="703A8D82">
      <w:pPr>
        <w:keepLines/>
        <w:spacing w:before="120" w:after="120" w:line="415" w:lineRule="auto"/>
        <w:jc w:val="left"/>
        <w:outlineLvl w:val="1"/>
        <w:rPr>
          <w:rFonts w:ascii="宋体" w:hAnsi="宋体" w:cs="宋体"/>
          <w:b/>
          <w:bCs/>
          <w:color w:val="auto"/>
          <w:kern w:val="0"/>
          <w:szCs w:val="21"/>
          <w:highlight w:val="none"/>
          <w:lang w:bidi="en-US"/>
        </w:rPr>
      </w:pPr>
      <w:bookmarkStart w:id="361" w:name="_Toc14710451"/>
      <w:bookmarkStart w:id="362" w:name="_Toc217"/>
      <w:bookmarkStart w:id="363" w:name="bookmark1760"/>
      <w:bookmarkStart w:id="364" w:name="_Toc2879"/>
      <w:bookmarkStart w:id="365" w:name="bookmark1759"/>
      <w:bookmarkStart w:id="366" w:name="bookmark1758"/>
      <w:r>
        <w:rPr>
          <w:rFonts w:hint="eastAsia" w:ascii="宋体" w:hAnsi="宋体" w:cs="宋体"/>
          <w:b/>
          <w:bCs/>
          <w:color w:val="auto"/>
          <w:kern w:val="0"/>
          <w:szCs w:val="21"/>
          <w:highlight w:val="none"/>
          <w:lang w:bidi="en-US"/>
        </w:rPr>
        <w:t>15. 变更</w:t>
      </w:r>
      <w:bookmarkEnd w:id="361"/>
      <w:bookmarkEnd w:id="362"/>
      <w:bookmarkEnd w:id="363"/>
      <w:bookmarkEnd w:id="364"/>
    </w:p>
    <w:p w14:paraId="7FFE0D6C">
      <w:pPr>
        <w:tabs>
          <w:tab w:val="left" w:pos="8220"/>
        </w:tabs>
        <w:spacing w:line="413" w:lineRule="auto"/>
        <w:ind w:left="440"/>
        <w:rPr>
          <w:rFonts w:ascii="宋体" w:hAnsi="宋体" w:cs="宋体"/>
          <w:b/>
          <w:color w:val="auto"/>
          <w:kern w:val="0"/>
          <w:szCs w:val="21"/>
          <w:highlight w:val="none"/>
          <w:lang w:val="zh-CN" w:bidi="zh-CN"/>
        </w:rPr>
      </w:pPr>
      <w:bookmarkStart w:id="367" w:name="bookmark1761"/>
      <w:r>
        <w:rPr>
          <w:rFonts w:hint="eastAsia" w:ascii="宋体" w:hAnsi="宋体" w:cs="宋体"/>
          <w:b/>
          <w:color w:val="auto"/>
          <w:kern w:val="0"/>
          <w:szCs w:val="21"/>
          <w:highlight w:val="none"/>
          <w:lang w:val="zh-CN" w:bidi="zh-CN"/>
        </w:rPr>
        <w:t>15.1变更的范围和内容</w:t>
      </w:r>
      <w:bookmarkEnd w:id="365"/>
      <w:bookmarkEnd w:id="366"/>
      <w:bookmarkEnd w:id="367"/>
    </w:p>
    <w:p w14:paraId="66CF1393">
      <w:pPr>
        <w:tabs>
          <w:tab w:val="left" w:pos="2244"/>
          <w:tab w:val="left" w:pos="5791"/>
          <w:tab w:val="left" w:pos="7224"/>
        </w:tabs>
        <w:spacing w:line="362" w:lineRule="exact"/>
        <w:ind w:left="440"/>
        <w:rPr>
          <w:rFonts w:ascii="宋体" w:hAnsi="宋体" w:cs="宋体"/>
          <w:color w:val="auto"/>
          <w:kern w:val="0"/>
          <w:szCs w:val="21"/>
          <w:highlight w:val="none"/>
          <w:lang w:val="zh-CN" w:bidi="zh-CN"/>
        </w:rPr>
      </w:pPr>
      <w:bookmarkStart w:id="368" w:name="bookmark1762"/>
      <w:bookmarkEnd w:id="368"/>
      <w:r>
        <w:rPr>
          <w:rFonts w:hint="eastAsia" w:ascii="宋体" w:hAnsi="宋体" w:cs="宋体"/>
          <w:color w:val="auto"/>
          <w:kern w:val="0"/>
          <w:szCs w:val="21"/>
          <w:highlight w:val="none"/>
          <w:lang w:val="zh-CN" w:bidi="zh-CN"/>
        </w:rPr>
        <w:t>（6）增加或减少合同中关键项目的工程量超过其项目工程总量的</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%,关键项 目：</w:t>
      </w:r>
      <w:r>
        <w:rPr>
          <w:rFonts w:hint="eastAsia" w:ascii="宋体" w:hAnsi="宋体" w:cs="宋体"/>
          <w:color w:val="auto"/>
          <w:kern w:val="0"/>
          <w:szCs w:val="21"/>
          <w:highlight w:val="none"/>
          <w:u w:val="single"/>
          <w:lang w:val="zh-CN" w:bidi="zh-CN"/>
        </w:rPr>
        <w:t>在签订施工承包合同时商定</w:t>
      </w:r>
      <w:r>
        <w:rPr>
          <w:rFonts w:hint="eastAsia" w:ascii="宋体" w:hAnsi="宋体" w:cs="宋体"/>
          <w:color w:val="auto"/>
          <w:kern w:val="0"/>
          <w:szCs w:val="21"/>
          <w:highlight w:val="none"/>
          <w:lang w:val="zh-CN" w:bidi="zh-CN"/>
        </w:rPr>
        <w:t>,单价调整方式：</w:t>
      </w:r>
      <w:r>
        <w:rPr>
          <w:rFonts w:hint="eastAsia" w:ascii="宋体" w:hAnsi="宋体" w:cs="宋体"/>
          <w:color w:val="auto"/>
          <w:kern w:val="0"/>
          <w:szCs w:val="21"/>
          <w:highlight w:val="none"/>
          <w:u w:val="single"/>
          <w:lang w:val="zh-CN" w:bidi="zh-CN"/>
        </w:rPr>
        <w:t>在签订施工承包合同时商定</w:t>
      </w:r>
      <w:r>
        <w:rPr>
          <w:rFonts w:hint="eastAsia" w:ascii="宋体" w:hAnsi="宋体" w:cs="宋体"/>
          <w:color w:val="auto"/>
          <w:kern w:val="0"/>
          <w:szCs w:val="21"/>
          <w:highlight w:val="none"/>
          <w:lang w:bidi="en-US"/>
        </w:rPr>
        <w:t>。</w:t>
      </w:r>
    </w:p>
    <w:p w14:paraId="47185282">
      <w:pPr>
        <w:tabs>
          <w:tab w:val="left" w:pos="8220"/>
        </w:tabs>
        <w:spacing w:line="413" w:lineRule="auto"/>
        <w:ind w:left="440"/>
        <w:rPr>
          <w:rFonts w:ascii="宋体" w:hAnsi="宋体" w:cs="宋体"/>
          <w:b/>
          <w:color w:val="auto"/>
          <w:kern w:val="0"/>
          <w:szCs w:val="21"/>
          <w:highlight w:val="none"/>
          <w:lang w:val="zh-CN" w:bidi="zh-CN"/>
        </w:rPr>
      </w:pPr>
      <w:bookmarkStart w:id="369" w:name="bookmark1764"/>
      <w:bookmarkStart w:id="370" w:name="bookmark1765"/>
      <w:bookmarkStart w:id="371" w:name="bookmark1763"/>
      <w:r>
        <w:rPr>
          <w:rFonts w:hint="eastAsia" w:ascii="宋体" w:hAnsi="宋体" w:cs="宋体"/>
          <w:b/>
          <w:color w:val="auto"/>
          <w:kern w:val="0"/>
          <w:szCs w:val="21"/>
          <w:highlight w:val="none"/>
          <w:lang w:val="zh-CN" w:bidi="zh-CN"/>
        </w:rPr>
        <w:t>15.4变更的估价原则</w:t>
      </w:r>
      <w:bookmarkEnd w:id="369"/>
      <w:bookmarkEnd w:id="370"/>
      <w:bookmarkEnd w:id="371"/>
    </w:p>
    <w:p w14:paraId="14CF45FA">
      <w:pPr>
        <w:spacing w:line="356"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15.4.3</w:t>
      </w:r>
      <w:r>
        <w:rPr>
          <w:rFonts w:hint="eastAsia" w:ascii="宋体" w:hAnsi="宋体" w:cs="宋体"/>
          <w:color w:val="auto"/>
          <w:kern w:val="0"/>
          <w:szCs w:val="21"/>
          <w:highlight w:val="none"/>
          <w:lang w:val="zh-CN" w:bidi="zh-CN"/>
        </w:rPr>
        <w:t>已标价工程量清单中无适用或类似子目的单价，按照以下原则确定：①有定额可套的，套用编制控制价所选定额计算，并乘以中标价下浮系数(中标价下浮系数为中标价与控制价的比值)，其中材料价格有信息价的按当地同期信息价，无信息的由发包人、 承包人、监理人市场询价确定。②无定额可套的，由发包人、承包人、监理人市场询价确定。</w:t>
      </w:r>
    </w:p>
    <w:p w14:paraId="3C441FE7">
      <w:pPr>
        <w:spacing w:line="356"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按上述原则计算的单价需经审计或财评审核确认。</w:t>
      </w:r>
    </w:p>
    <w:p w14:paraId="25DD124A">
      <w:pPr>
        <w:tabs>
          <w:tab w:val="left" w:pos="8220"/>
        </w:tabs>
        <w:spacing w:line="413" w:lineRule="auto"/>
        <w:ind w:left="440"/>
        <w:rPr>
          <w:rFonts w:ascii="宋体" w:hAnsi="宋体" w:cs="宋体"/>
          <w:b/>
          <w:color w:val="auto"/>
          <w:kern w:val="0"/>
          <w:szCs w:val="21"/>
          <w:highlight w:val="none"/>
          <w:lang w:val="zh-CN" w:bidi="zh-CN"/>
        </w:rPr>
      </w:pPr>
      <w:bookmarkStart w:id="372" w:name="bookmark1768"/>
      <w:bookmarkStart w:id="373" w:name="bookmark1766"/>
      <w:bookmarkStart w:id="374" w:name="bookmark1767"/>
      <w:r>
        <w:rPr>
          <w:rFonts w:hint="eastAsia" w:ascii="宋体" w:hAnsi="宋体" w:cs="宋体"/>
          <w:b/>
          <w:color w:val="auto"/>
          <w:kern w:val="0"/>
          <w:szCs w:val="21"/>
          <w:highlight w:val="none"/>
          <w:lang w:val="zh-CN" w:bidi="zh-CN"/>
        </w:rPr>
        <w:t>15.5承包人的合理化建议</w:t>
      </w:r>
      <w:bookmarkEnd w:id="372"/>
      <w:bookmarkEnd w:id="373"/>
      <w:bookmarkEnd w:id="374"/>
    </w:p>
    <w:p w14:paraId="7FC3732B">
      <w:pPr>
        <w:tabs>
          <w:tab w:val="left" w:pos="841"/>
          <w:tab w:val="left" w:pos="6665"/>
        </w:tabs>
        <w:spacing w:after="180" w:line="364" w:lineRule="exact"/>
        <w:ind w:left="420"/>
        <w:jc w:val="left"/>
        <w:rPr>
          <w:rFonts w:ascii="宋体" w:hAnsi="宋体" w:cs="宋体"/>
          <w:color w:val="auto"/>
          <w:kern w:val="0"/>
          <w:szCs w:val="21"/>
          <w:highlight w:val="none"/>
          <w:lang w:val="zh-CN" w:bidi="zh-CN"/>
        </w:rPr>
      </w:pPr>
      <w:bookmarkStart w:id="375" w:name="bookmark1769"/>
      <w:bookmarkEnd w:id="375"/>
      <w:r>
        <w:rPr>
          <w:rFonts w:hint="eastAsia" w:ascii="宋体" w:hAnsi="宋体" w:cs="宋体"/>
          <w:color w:val="auto"/>
          <w:kern w:val="0"/>
          <w:szCs w:val="21"/>
          <w:highlight w:val="none"/>
          <w:lang w:bidi="en-US"/>
        </w:rPr>
        <w:t xml:space="preserve">15.5. </w:t>
      </w:r>
      <w:r>
        <w:rPr>
          <w:rFonts w:hint="eastAsia" w:ascii="宋体" w:hAnsi="宋体" w:cs="宋体"/>
          <w:color w:val="auto"/>
          <w:kern w:val="0"/>
          <w:szCs w:val="21"/>
          <w:highlight w:val="none"/>
          <w:lang w:val="zh-CN" w:bidi="zh-CN"/>
        </w:rPr>
        <w:t>2承包人实现合理化建议的奖励金额为：</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7E1A0306">
      <w:pPr>
        <w:keepLines/>
        <w:spacing w:before="120" w:after="120" w:line="415" w:lineRule="auto"/>
        <w:jc w:val="left"/>
        <w:outlineLvl w:val="1"/>
        <w:rPr>
          <w:rFonts w:ascii="宋体" w:hAnsi="宋体" w:cs="宋体"/>
          <w:b/>
          <w:bCs/>
          <w:color w:val="auto"/>
          <w:kern w:val="0"/>
          <w:szCs w:val="21"/>
          <w:highlight w:val="none"/>
          <w:lang w:bidi="en-US"/>
        </w:rPr>
      </w:pPr>
      <w:bookmarkStart w:id="376" w:name="bookmark1772"/>
      <w:bookmarkStart w:id="377" w:name="_Toc24486"/>
      <w:bookmarkStart w:id="378" w:name="_Toc14710452"/>
      <w:bookmarkStart w:id="379" w:name="bookmark1771"/>
      <w:bookmarkStart w:id="380" w:name="_Toc13554"/>
      <w:bookmarkStart w:id="381" w:name="bookmark1770"/>
      <w:r>
        <w:rPr>
          <w:rFonts w:hint="eastAsia" w:ascii="宋体" w:hAnsi="宋体" w:cs="宋体"/>
          <w:b/>
          <w:bCs/>
          <w:color w:val="auto"/>
          <w:kern w:val="0"/>
          <w:szCs w:val="21"/>
          <w:highlight w:val="none"/>
          <w:lang w:bidi="en-US"/>
        </w:rPr>
        <w:t>16 .价格调整</w:t>
      </w:r>
      <w:bookmarkEnd w:id="376"/>
      <w:bookmarkEnd w:id="377"/>
      <w:bookmarkEnd w:id="378"/>
      <w:bookmarkEnd w:id="379"/>
      <w:bookmarkEnd w:id="380"/>
      <w:bookmarkEnd w:id="381"/>
    </w:p>
    <w:p w14:paraId="6CC56D03">
      <w:pPr>
        <w:tabs>
          <w:tab w:val="left" w:pos="8220"/>
        </w:tabs>
        <w:spacing w:line="413" w:lineRule="auto"/>
        <w:ind w:left="440"/>
        <w:rPr>
          <w:rFonts w:ascii="宋体" w:hAnsi="宋体" w:cs="宋体"/>
          <w:b/>
          <w:color w:val="auto"/>
          <w:kern w:val="0"/>
          <w:szCs w:val="21"/>
          <w:highlight w:val="none"/>
          <w:lang w:val="zh-CN" w:bidi="zh-CN"/>
        </w:rPr>
      </w:pPr>
      <w:bookmarkStart w:id="382" w:name="bookmark1773"/>
      <w:bookmarkStart w:id="383" w:name="bookmark1775"/>
      <w:bookmarkStart w:id="384" w:name="bookmark1774"/>
      <w:r>
        <w:rPr>
          <w:rFonts w:hint="eastAsia" w:ascii="宋体" w:hAnsi="宋体" w:cs="宋体"/>
          <w:b/>
          <w:color w:val="auto"/>
          <w:kern w:val="0"/>
          <w:szCs w:val="21"/>
          <w:highlight w:val="none"/>
          <w:lang w:val="zh-CN" w:bidi="zh-CN"/>
        </w:rPr>
        <w:t>16.1物价波动引起的价格调整</w:t>
      </w:r>
      <w:bookmarkEnd w:id="382"/>
      <w:bookmarkEnd w:id="383"/>
      <w:bookmarkEnd w:id="384"/>
    </w:p>
    <w:p w14:paraId="5A780765">
      <w:pPr>
        <w:spacing w:line="364" w:lineRule="exact"/>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sym w:font="Wingdings 2" w:char="F052"/>
      </w:r>
      <w:r>
        <w:rPr>
          <w:rFonts w:hint="eastAsia" w:ascii="宋体" w:hAnsi="宋体" w:cs="宋体"/>
          <w:color w:val="auto"/>
          <w:kern w:val="0"/>
          <w:szCs w:val="21"/>
          <w:highlight w:val="none"/>
          <w:lang w:val="zh-CN" w:bidi="zh-CN"/>
        </w:rPr>
        <w:t>本项目不因为物价波动原因引起合同价格变动而调整。</w:t>
      </w:r>
    </w:p>
    <w:p w14:paraId="4A4D36AB">
      <w:pPr>
        <w:spacing w:line="364" w:lineRule="exact"/>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□本项目由于物价波动原因引起合同价格变动时，对其价格按下列方式进行调整。</w:t>
      </w:r>
    </w:p>
    <w:p w14:paraId="3042DB55">
      <w:pPr>
        <w:tabs>
          <w:tab w:val="left" w:pos="841"/>
          <w:tab w:val="left" w:pos="6036"/>
        </w:tabs>
        <w:spacing w:line="364" w:lineRule="exact"/>
        <w:ind w:left="420"/>
        <w:rPr>
          <w:rFonts w:ascii="宋体" w:hAnsi="宋体" w:cs="宋体"/>
          <w:color w:val="auto"/>
          <w:kern w:val="0"/>
          <w:szCs w:val="21"/>
          <w:highlight w:val="none"/>
          <w:lang w:val="zh-CN" w:bidi="zh-CN"/>
        </w:rPr>
      </w:pPr>
      <w:bookmarkStart w:id="385" w:name="bookmark1776"/>
      <w:bookmarkEnd w:id="385"/>
      <w:r>
        <w:rPr>
          <w:rFonts w:hint="eastAsia" w:ascii="宋体" w:hAnsi="宋体" w:cs="宋体"/>
          <w:color w:val="auto"/>
          <w:kern w:val="0"/>
          <w:szCs w:val="21"/>
          <w:highlight w:val="none"/>
          <w:lang w:bidi="en-US"/>
        </w:rPr>
        <w:t xml:space="preserve">16.1. </w:t>
      </w:r>
      <w:r>
        <w:rPr>
          <w:rFonts w:hint="eastAsia" w:ascii="宋体" w:hAnsi="宋体" w:cs="宋体"/>
          <w:color w:val="auto"/>
          <w:kern w:val="0"/>
          <w:szCs w:val="21"/>
          <w:highlight w:val="none"/>
          <w:lang w:val="zh-CN" w:bidi="zh-CN"/>
        </w:rPr>
        <w:t>1物价波动引起的价格调整方式：</w:t>
      </w:r>
      <w:r>
        <w:rPr>
          <w:rFonts w:hint="eastAsia" w:ascii="宋体" w:hAnsi="宋体" w:cs="宋体"/>
          <w:color w:val="auto"/>
          <w:kern w:val="0"/>
          <w:szCs w:val="21"/>
          <w:highlight w:val="none"/>
          <w:u w:val="single"/>
          <w:lang w:val="zh-CN" w:bidi="zh-CN"/>
        </w:rPr>
        <w:t>不调整</w:t>
      </w:r>
      <w:r>
        <w:rPr>
          <w:rFonts w:hint="eastAsia" w:ascii="宋体" w:hAnsi="宋体" w:cs="宋体"/>
          <w:color w:val="auto"/>
          <w:kern w:val="0"/>
          <w:szCs w:val="21"/>
          <w:highlight w:val="none"/>
          <w:lang w:bidi="en-US"/>
        </w:rPr>
        <w:t>。</w:t>
      </w:r>
    </w:p>
    <w:p w14:paraId="359266CC">
      <w:pPr>
        <w:tabs>
          <w:tab w:val="left" w:pos="5198"/>
        </w:tabs>
        <w:spacing w:line="364"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16. 1.2</w:t>
      </w:r>
      <w:r>
        <w:rPr>
          <w:rFonts w:hint="eastAsia" w:ascii="宋体" w:hAnsi="宋体" w:cs="宋体"/>
          <w:color w:val="auto"/>
          <w:kern w:val="0"/>
          <w:szCs w:val="21"/>
          <w:highlight w:val="none"/>
          <w:lang w:val="zh-CN" w:bidi="zh-CN"/>
        </w:rPr>
        <w:t>调整价格的主要材料：</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p>
    <w:p w14:paraId="44FA15DD">
      <w:pPr>
        <w:tabs>
          <w:tab w:val="left" w:pos="5618"/>
        </w:tabs>
        <w:spacing w:line="364"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16.1.3</w:t>
      </w:r>
      <w:r>
        <w:rPr>
          <w:rFonts w:hint="eastAsia" w:ascii="宋体" w:hAnsi="宋体" w:cs="宋体"/>
          <w:color w:val="auto"/>
          <w:kern w:val="0"/>
          <w:szCs w:val="21"/>
          <w:highlight w:val="none"/>
          <w:lang w:val="zh-CN" w:bidi="zh-CN"/>
        </w:rPr>
        <w:t xml:space="preserve">主要材料补差的计算方法： </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p>
    <w:p w14:paraId="7D86F23C">
      <w:pPr>
        <w:spacing w:line="364"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16.1.4</w:t>
      </w:r>
      <w:r>
        <w:rPr>
          <w:rFonts w:hint="eastAsia" w:ascii="宋体" w:hAnsi="宋体" w:cs="宋体"/>
          <w:color w:val="auto"/>
          <w:kern w:val="0"/>
          <w:szCs w:val="21"/>
          <w:highlight w:val="none"/>
          <w:lang w:val="zh-CN" w:bidi="zh-CN"/>
        </w:rPr>
        <w:t>采用造价信息调整价格差额：</w:t>
      </w:r>
    </w:p>
    <w:p w14:paraId="68E69F93">
      <w:pPr>
        <w:tabs>
          <w:tab w:val="left" w:pos="4382"/>
        </w:tabs>
        <w:spacing w:line="345"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工程造价信息的来源：</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p>
    <w:p w14:paraId="475CCFA8">
      <w:pPr>
        <w:tabs>
          <w:tab w:val="left" w:pos="4591"/>
        </w:tabs>
        <w:spacing w:after="260" w:line="345"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价格调整的项目和系数：</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p>
    <w:p w14:paraId="5312FC84">
      <w:pPr>
        <w:keepLines/>
        <w:spacing w:before="120" w:after="120" w:line="415" w:lineRule="auto"/>
        <w:jc w:val="left"/>
        <w:outlineLvl w:val="1"/>
        <w:rPr>
          <w:rFonts w:ascii="宋体" w:hAnsi="宋体" w:cs="宋体"/>
          <w:b/>
          <w:bCs/>
          <w:color w:val="auto"/>
          <w:kern w:val="0"/>
          <w:szCs w:val="21"/>
          <w:highlight w:val="none"/>
          <w:lang w:bidi="en-US"/>
        </w:rPr>
      </w:pPr>
      <w:bookmarkStart w:id="386" w:name="bookmark1779"/>
      <w:bookmarkEnd w:id="386"/>
      <w:bookmarkStart w:id="387" w:name="bookmark1778"/>
      <w:bookmarkStart w:id="388" w:name="_Toc13939"/>
      <w:bookmarkStart w:id="389" w:name="_Toc12454"/>
      <w:bookmarkStart w:id="390" w:name="bookmark1777"/>
      <w:bookmarkStart w:id="391" w:name="bookmark1780"/>
      <w:bookmarkStart w:id="392" w:name="_Toc14710453"/>
      <w:r>
        <w:rPr>
          <w:rFonts w:hint="eastAsia" w:ascii="宋体" w:hAnsi="宋体" w:cs="宋体"/>
          <w:b/>
          <w:bCs/>
          <w:color w:val="auto"/>
          <w:kern w:val="0"/>
          <w:szCs w:val="21"/>
          <w:highlight w:val="none"/>
          <w:lang w:bidi="en-US"/>
        </w:rPr>
        <w:t>17. 计量与支付</w:t>
      </w:r>
      <w:bookmarkEnd w:id="387"/>
      <w:bookmarkEnd w:id="388"/>
      <w:bookmarkEnd w:id="389"/>
      <w:bookmarkEnd w:id="390"/>
      <w:bookmarkEnd w:id="391"/>
      <w:bookmarkEnd w:id="392"/>
    </w:p>
    <w:p w14:paraId="32F46C79">
      <w:pPr>
        <w:tabs>
          <w:tab w:val="left" w:pos="8220"/>
        </w:tabs>
        <w:spacing w:line="413" w:lineRule="auto"/>
        <w:ind w:left="440"/>
        <w:rPr>
          <w:rFonts w:ascii="宋体" w:hAnsi="宋体" w:cs="宋体"/>
          <w:b/>
          <w:color w:val="auto"/>
          <w:kern w:val="0"/>
          <w:szCs w:val="21"/>
          <w:highlight w:val="none"/>
          <w:lang w:val="zh-CN" w:bidi="zh-CN"/>
        </w:rPr>
      </w:pPr>
      <w:bookmarkStart w:id="393" w:name="bookmark1783"/>
      <w:bookmarkStart w:id="394" w:name="bookmark1781"/>
      <w:bookmarkStart w:id="395" w:name="bookmark1782"/>
      <w:r>
        <w:rPr>
          <w:rFonts w:hint="eastAsia" w:ascii="宋体" w:hAnsi="宋体" w:cs="宋体"/>
          <w:b/>
          <w:color w:val="auto"/>
          <w:kern w:val="0"/>
          <w:szCs w:val="21"/>
          <w:highlight w:val="none"/>
          <w:lang w:val="zh-CN" w:bidi="zh-CN"/>
        </w:rPr>
        <w:t>17.2预付款</w:t>
      </w:r>
      <w:bookmarkEnd w:id="393"/>
      <w:bookmarkEnd w:id="394"/>
      <w:bookmarkEnd w:id="395"/>
    </w:p>
    <w:p w14:paraId="2DB0D504">
      <w:pPr>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17.2.1</w:t>
      </w:r>
      <w:r>
        <w:rPr>
          <w:rFonts w:hint="eastAsia" w:ascii="宋体" w:hAnsi="宋体" w:cs="宋体"/>
          <w:color w:val="auto"/>
          <w:kern w:val="0"/>
          <w:szCs w:val="21"/>
          <w:highlight w:val="none"/>
          <w:lang w:val="zh-CN" w:bidi="zh-CN"/>
        </w:rPr>
        <w:t>预付款</w:t>
      </w:r>
    </w:p>
    <w:p w14:paraId="7F590D61">
      <w:pPr>
        <w:tabs>
          <w:tab w:val="left" w:pos="5071"/>
          <w:tab w:val="left" w:pos="6550"/>
        </w:tabs>
        <w:spacing w:line="345" w:lineRule="exact"/>
        <w:ind w:left="440"/>
        <w:jc w:val="left"/>
        <w:rPr>
          <w:rFonts w:ascii="宋体" w:hAnsi="宋体" w:cs="宋体"/>
          <w:color w:val="auto"/>
          <w:kern w:val="0"/>
          <w:szCs w:val="21"/>
          <w:highlight w:val="none"/>
          <w:lang w:val="zh-CN" w:bidi="zh-CN"/>
        </w:rPr>
      </w:pPr>
      <w:bookmarkStart w:id="396" w:name="bookmark1784"/>
      <w:bookmarkEnd w:id="396"/>
      <w:r>
        <w:rPr>
          <w:rFonts w:hint="eastAsia" w:ascii="宋体" w:hAnsi="宋体" w:cs="宋体"/>
          <w:color w:val="auto"/>
          <w:kern w:val="0"/>
          <w:szCs w:val="21"/>
          <w:highlight w:val="none"/>
          <w:lang w:val="zh-CN" w:bidi="zh-CN"/>
        </w:rPr>
        <w:t xml:space="preserve">（1）工程预付款的总金额为签约合同价的 </w:t>
      </w:r>
      <w:r>
        <w:rPr>
          <w:rFonts w:hint="eastAsia" w:ascii="宋体" w:hAnsi="宋体" w:cs="宋体"/>
          <w:color w:val="auto"/>
          <w:kern w:val="0"/>
          <w:szCs w:val="21"/>
          <w:highlight w:val="none"/>
          <w:u w:val="single"/>
          <w:lang w:val="zh-CN" w:bidi="zh-CN"/>
        </w:rPr>
        <w:t>30</w:t>
      </w:r>
      <w:r>
        <w:rPr>
          <w:rFonts w:hint="eastAsia" w:ascii="宋体" w:hAnsi="宋体" w:cs="宋体"/>
          <w:color w:val="auto"/>
          <w:kern w:val="0"/>
          <w:szCs w:val="21"/>
          <w:highlight w:val="none"/>
          <w:lang w:val="zh-CN" w:bidi="zh-CN"/>
        </w:rPr>
        <w:t>%，经总监理工程师签发开工通知、工程动工后分一次支付给承包人。</w:t>
      </w:r>
    </w:p>
    <w:p w14:paraId="662E2AC0">
      <w:pPr>
        <w:spacing w:line="372" w:lineRule="auto"/>
        <w:ind w:firstLine="420"/>
        <w:jc w:val="left"/>
        <w:rPr>
          <w:rFonts w:ascii="宋体" w:hAnsi="宋体" w:cs="宋体"/>
          <w:color w:val="auto"/>
          <w:kern w:val="0"/>
          <w:szCs w:val="21"/>
          <w:highlight w:val="none"/>
          <w:lang w:val="zh-CN" w:bidi="zh-CN"/>
        </w:rPr>
      </w:pPr>
      <w:bookmarkStart w:id="397" w:name="bookmark1788"/>
      <w:bookmarkEnd w:id="397"/>
      <w:bookmarkStart w:id="398" w:name="bookmark1787"/>
      <w:bookmarkEnd w:id="398"/>
      <w:bookmarkStart w:id="399" w:name="bookmark1785"/>
      <w:bookmarkEnd w:id="399"/>
      <w:r>
        <w:rPr>
          <w:rFonts w:hint="eastAsia" w:ascii="宋体" w:hAnsi="宋体" w:cs="宋体"/>
          <w:color w:val="auto"/>
          <w:kern w:val="0"/>
          <w:szCs w:val="21"/>
          <w:highlight w:val="none"/>
          <w:lang w:bidi="en-US"/>
        </w:rPr>
        <w:t>17.2.2</w:t>
      </w:r>
      <w:r>
        <w:rPr>
          <w:rFonts w:hint="eastAsia" w:ascii="宋体" w:hAnsi="宋体" w:cs="宋体"/>
          <w:color w:val="auto"/>
          <w:kern w:val="0"/>
          <w:szCs w:val="21"/>
          <w:highlight w:val="none"/>
          <w:lang w:val="zh-CN" w:bidi="zh-CN"/>
        </w:rPr>
        <w:t>预付款保函(担保)</w:t>
      </w:r>
    </w:p>
    <w:p w14:paraId="3A1C61AC">
      <w:pPr>
        <w:spacing w:line="400" w:lineRule="exact"/>
        <w:ind w:right="248" w:firstLine="48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(2)工程材料预付款的担保约定为：</w:t>
      </w:r>
      <w:r>
        <w:rPr>
          <w:rFonts w:hint="eastAsia" w:ascii="宋体" w:hAnsi="宋体" w:cs="宋体"/>
          <w:color w:val="auto"/>
          <w:kern w:val="0"/>
          <w:szCs w:val="21"/>
          <w:highlight w:val="none"/>
          <w:u w:val="single"/>
          <w:lang w:val="zh-CN" w:bidi="zh-CN"/>
        </w:rPr>
        <w:t xml:space="preserve">无。 </w:t>
      </w:r>
    </w:p>
    <w:p w14:paraId="4CF15DAD">
      <w:pPr>
        <w:spacing w:line="372"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17.2.3</w:t>
      </w:r>
      <w:r>
        <w:rPr>
          <w:rFonts w:hint="eastAsia" w:ascii="宋体" w:hAnsi="宋体" w:cs="宋体"/>
          <w:color w:val="auto"/>
          <w:kern w:val="0"/>
          <w:szCs w:val="21"/>
          <w:highlight w:val="none"/>
          <w:lang w:val="zh-CN" w:bidi="zh-CN"/>
        </w:rPr>
        <w:t>预付款的扣回与还清</w:t>
      </w:r>
    </w:p>
    <w:p w14:paraId="17B8BB8D">
      <w:pPr>
        <w:tabs>
          <w:tab w:val="left" w:pos="3967"/>
          <w:tab w:val="left" w:pos="6151"/>
        </w:tabs>
        <w:spacing w:line="355"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工程预付款在合同累计完成金额达到签约合同价格的</w:t>
      </w:r>
      <w:r>
        <w:rPr>
          <w:rFonts w:hint="eastAsia" w:ascii="宋体" w:hAnsi="宋体" w:cs="宋体"/>
          <w:color w:val="auto"/>
          <w:kern w:val="0"/>
          <w:szCs w:val="21"/>
          <w:highlight w:val="none"/>
          <w:u w:val="single"/>
          <w:lang w:val="en-US" w:bidi="zh-CN"/>
        </w:rPr>
        <w:t xml:space="preserve">  30 </w:t>
      </w:r>
      <w:r>
        <w:rPr>
          <w:rFonts w:hint="eastAsia" w:ascii="宋体" w:hAnsi="宋体" w:cs="宋体"/>
          <w:color w:val="auto"/>
          <w:kern w:val="0"/>
          <w:szCs w:val="21"/>
          <w:highlight w:val="none"/>
          <w:lang w:val="zh-CN" w:bidi="zh-CN"/>
        </w:rPr>
        <w:t>%时开始扣款，直至合 同累计完成金额达到签约合同价的</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u w:val="single"/>
          <w:lang w:val="zh-CN" w:bidi="zh-CN"/>
        </w:rPr>
        <w:t>80</w:t>
      </w:r>
      <w:r>
        <w:rPr>
          <w:rFonts w:hint="eastAsia" w:ascii="宋体" w:hAnsi="宋体" w:cs="宋体"/>
          <w:color w:val="auto"/>
          <w:kern w:val="0"/>
          <w:szCs w:val="21"/>
          <w:highlight w:val="none"/>
          <w:lang w:val="zh-CN" w:bidi="zh-CN"/>
        </w:rPr>
        <w:t>%时全部扣清。</w:t>
      </w:r>
    </w:p>
    <w:p w14:paraId="679F93F2">
      <w:pPr>
        <w:spacing w:line="350" w:lineRule="exact"/>
        <w:ind w:firstLine="420"/>
        <w:jc w:val="left"/>
        <w:rPr>
          <w:rFonts w:ascii="宋体" w:hAnsi="宋体" w:cs="宋体"/>
          <w:color w:val="auto"/>
          <w:kern w:val="0"/>
          <w:szCs w:val="21"/>
          <w:highlight w:val="none"/>
          <w:lang w:val="zh-CN" w:bidi="mn-Mong-CN"/>
        </w:rPr>
      </w:pPr>
      <w:r>
        <w:rPr>
          <w:rFonts w:ascii="宋体" w:hAnsi="宋体" w:cs="宋体"/>
          <w:color w:val="auto"/>
          <w:kern w:val="0"/>
          <w:szCs w:val="21"/>
          <w:highlight w:val="none"/>
          <w:lang w:val="zh-CN" w:bidi="mn-Mong-CN"/>
        </w:rPr>
        <w:pict>
          <v:shape id="对象 5" o:spid="_x0000_s1026" o:spt="75" type="#_x0000_t75" style="position:absolute;left:0pt;margin-left:63pt;margin-top:7.95pt;height:31.5pt;width:126.4pt;mso-wrap-distance-bottom:0pt;mso-wrap-distance-left:9pt;mso-wrap-distance-right:9pt;mso-wrap-distance-top:0pt;z-index:251660288;mso-width-relative:page;mso-height-relative:page;" o:ole="t" fillcolor="#ACA899" filled="f" o:preferrelative="t" stroked="f" coordsize="21600,21600">
            <v:path/>
            <v:fill on="f" focussize="0,0"/>
            <v:stroke on="f" joinstyle="miter"/>
            <v:imagedata r:id="rId9" o:title=""/>
            <o:lock v:ext="edit" aspectratio="f"/>
            <w10:wrap type="square"/>
          </v:shape>
          <o:OLEObject Type="Embed" ProgID="Equation.3" ShapeID="对象 5" DrawAspect="Content" ObjectID="_1468075725" r:id="rId8">
            <o:LockedField>false</o:LockedField>
          </o:OLEObject>
        </w:pict>
      </w:r>
    </w:p>
    <w:p w14:paraId="215D0EEF">
      <w:pPr>
        <w:spacing w:line="350" w:lineRule="exact"/>
        <w:ind w:firstLine="420"/>
        <w:jc w:val="left"/>
        <w:rPr>
          <w:rFonts w:ascii="宋体" w:hAnsi="宋体" w:cs="宋体"/>
          <w:color w:val="auto"/>
          <w:kern w:val="0"/>
          <w:szCs w:val="21"/>
          <w:highlight w:val="none"/>
          <w:lang w:val="zh-CN" w:bidi="mn-Mong-CN"/>
        </w:rPr>
      </w:pPr>
      <w:bookmarkStart w:id="400" w:name="_Toc221951240"/>
    </w:p>
    <w:bookmarkEnd w:id="400"/>
    <w:p w14:paraId="61A0AAC9">
      <w:pPr>
        <w:spacing w:line="350" w:lineRule="exact"/>
        <w:ind w:firstLine="420"/>
        <w:jc w:val="left"/>
        <w:rPr>
          <w:rFonts w:ascii="宋体" w:hAnsi="宋体" w:cs="宋体"/>
          <w:color w:val="auto"/>
          <w:kern w:val="0"/>
          <w:szCs w:val="21"/>
          <w:highlight w:val="none"/>
          <w:lang w:val="zh-CN" w:bidi="mn-Mong-CN"/>
        </w:rPr>
      </w:pPr>
    </w:p>
    <w:p w14:paraId="7F886467">
      <w:pPr>
        <w:spacing w:line="350" w:lineRule="exact"/>
        <w:ind w:firstLine="420"/>
        <w:jc w:val="left"/>
        <w:rPr>
          <w:rFonts w:ascii="宋体" w:hAnsi="宋体" w:cs="宋体"/>
          <w:color w:val="auto"/>
          <w:kern w:val="0"/>
          <w:szCs w:val="21"/>
          <w:highlight w:val="none"/>
          <w:lang w:val="zh-CN" w:bidi="mn-Mong-CN"/>
        </w:rPr>
      </w:pPr>
      <w:r>
        <w:rPr>
          <w:rFonts w:hint="eastAsia" w:ascii="宋体" w:hAnsi="宋体" w:cs="宋体"/>
          <w:color w:val="auto"/>
          <w:kern w:val="0"/>
          <w:szCs w:val="21"/>
          <w:highlight w:val="none"/>
          <w:lang w:val="zh-CN" w:bidi="mn-Mong-CN"/>
        </w:rPr>
        <w:t>式中：R——每次进度付款中累计扣回的金额；</w:t>
      </w:r>
    </w:p>
    <w:p w14:paraId="150CF4BA">
      <w:pPr>
        <w:spacing w:line="350" w:lineRule="exact"/>
        <w:ind w:firstLine="420"/>
        <w:jc w:val="left"/>
        <w:rPr>
          <w:rFonts w:ascii="宋体" w:hAnsi="宋体" w:cs="宋体"/>
          <w:color w:val="auto"/>
          <w:kern w:val="0"/>
          <w:szCs w:val="21"/>
          <w:highlight w:val="none"/>
          <w:lang w:val="zh-CN" w:bidi="mn-Mong-CN"/>
        </w:rPr>
      </w:pPr>
      <w:bookmarkStart w:id="401" w:name="_Toc221951241"/>
      <w:r>
        <w:rPr>
          <w:rFonts w:hint="eastAsia" w:ascii="宋体" w:hAnsi="宋体" w:cs="宋体"/>
          <w:color w:val="auto"/>
          <w:kern w:val="0"/>
          <w:szCs w:val="21"/>
          <w:highlight w:val="none"/>
          <w:lang w:val="zh-CN" w:bidi="mn-Mong-CN"/>
        </w:rPr>
        <w:t>A——工程预付款总金额；</w:t>
      </w:r>
      <w:bookmarkEnd w:id="401"/>
    </w:p>
    <w:p w14:paraId="4889ABF4">
      <w:pPr>
        <w:spacing w:line="350" w:lineRule="exact"/>
        <w:ind w:firstLine="420"/>
        <w:jc w:val="left"/>
        <w:rPr>
          <w:rFonts w:ascii="宋体" w:hAnsi="宋体" w:cs="宋体"/>
          <w:color w:val="auto"/>
          <w:kern w:val="0"/>
          <w:szCs w:val="21"/>
          <w:highlight w:val="none"/>
          <w:lang w:val="zh-CN" w:bidi="mn-Mong-CN"/>
        </w:rPr>
      </w:pPr>
      <w:bookmarkStart w:id="402" w:name="_Toc221951242"/>
      <w:r>
        <w:rPr>
          <w:rFonts w:hint="eastAsia" w:ascii="宋体" w:hAnsi="宋体" w:cs="宋体"/>
          <w:color w:val="auto"/>
          <w:kern w:val="0"/>
          <w:szCs w:val="21"/>
          <w:highlight w:val="none"/>
          <w:lang w:val="zh-CN" w:bidi="mn-Mong-CN"/>
        </w:rPr>
        <w:t>S——签约合同价格；</w:t>
      </w:r>
      <w:bookmarkEnd w:id="402"/>
    </w:p>
    <w:p w14:paraId="152B723D">
      <w:pPr>
        <w:spacing w:line="350" w:lineRule="exact"/>
        <w:ind w:firstLine="420"/>
        <w:jc w:val="left"/>
        <w:rPr>
          <w:rFonts w:ascii="宋体" w:hAnsi="宋体" w:cs="宋体"/>
          <w:color w:val="auto"/>
          <w:kern w:val="0"/>
          <w:szCs w:val="21"/>
          <w:highlight w:val="none"/>
          <w:lang w:val="zh-CN" w:bidi="mn-Mong-CN"/>
        </w:rPr>
      </w:pPr>
      <w:bookmarkStart w:id="403" w:name="_Toc221951243"/>
      <w:r>
        <w:rPr>
          <w:rFonts w:hint="eastAsia" w:ascii="宋体" w:hAnsi="宋体" w:cs="宋体"/>
          <w:color w:val="auto"/>
          <w:kern w:val="0"/>
          <w:szCs w:val="21"/>
          <w:highlight w:val="none"/>
          <w:lang w:val="zh-CN" w:bidi="mn-Mong-CN"/>
        </w:rPr>
        <w:t>C——合同累计完成金额；</w:t>
      </w:r>
      <w:bookmarkEnd w:id="403"/>
    </w:p>
    <w:p w14:paraId="58A06C1A">
      <w:pPr>
        <w:spacing w:line="350" w:lineRule="exact"/>
        <w:ind w:firstLine="420"/>
        <w:jc w:val="left"/>
        <w:rPr>
          <w:rFonts w:ascii="宋体" w:hAnsi="宋体" w:cs="宋体"/>
          <w:color w:val="auto"/>
          <w:kern w:val="0"/>
          <w:szCs w:val="21"/>
          <w:highlight w:val="none"/>
          <w:lang w:val="zh-CN" w:bidi="mn-Mong-CN"/>
        </w:rPr>
      </w:pPr>
      <w:bookmarkStart w:id="404" w:name="_Toc221951244"/>
      <w:r>
        <w:rPr>
          <w:rFonts w:hint="eastAsia" w:ascii="宋体" w:hAnsi="宋体" w:cs="宋体"/>
          <w:color w:val="auto"/>
          <w:kern w:val="0"/>
          <w:szCs w:val="21"/>
          <w:highlight w:val="none"/>
          <w:lang w:val="zh-CN" w:bidi="mn-Mong-CN"/>
        </w:rPr>
        <w:t>F</w:t>
      </w:r>
      <w:r>
        <w:rPr>
          <w:rFonts w:hint="eastAsia" w:ascii="宋体" w:hAnsi="宋体" w:cs="宋体"/>
          <w:color w:val="auto"/>
          <w:kern w:val="0"/>
          <w:szCs w:val="21"/>
          <w:highlight w:val="none"/>
          <w:vertAlign w:val="subscript"/>
          <w:lang w:val="zh-CN" w:bidi="mn-Mong-CN"/>
        </w:rPr>
        <w:t>1</w:t>
      </w:r>
      <w:r>
        <w:rPr>
          <w:rFonts w:hint="eastAsia" w:ascii="宋体" w:hAnsi="宋体" w:cs="宋体"/>
          <w:color w:val="auto"/>
          <w:kern w:val="0"/>
          <w:szCs w:val="21"/>
          <w:highlight w:val="none"/>
          <w:lang w:val="zh-CN" w:bidi="mn-Mong-CN"/>
        </w:rPr>
        <w:t>——开始扣款时合同累计完成金额达到签约合同价格的比例；</w:t>
      </w:r>
      <w:bookmarkEnd w:id="404"/>
    </w:p>
    <w:p w14:paraId="7F5043F7">
      <w:pPr>
        <w:spacing w:line="350" w:lineRule="exact"/>
        <w:ind w:firstLine="420"/>
        <w:jc w:val="left"/>
        <w:rPr>
          <w:rFonts w:ascii="宋体" w:hAnsi="宋体" w:cs="宋体"/>
          <w:color w:val="auto"/>
          <w:kern w:val="0"/>
          <w:szCs w:val="21"/>
          <w:highlight w:val="none"/>
          <w:lang w:bidi="mn-Mong-CN"/>
        </w:rPr>
      </w:pPr>
      <w:bookmarkStart w:id="405" w:name="_Toc221951245"/>
      <w:r>
        <w:rPr>
          <w:rFonts w:hint="eastAsia" w:ascii="宋体" w:hAnsi="宋体" w:cs="宋体"/>
          <w:color w:val="auto"/>
          <w:kern w:val="0"/>
          <w:szCs w:val="21"/>
          <w:highlight w:val="none"/>
          <w:lang w:bidi="mn-Mong-CN"/>
        </w:rPr>
        <w:t>F</w:t>
      </w:r>
      <w:r>
        <w:rPr>
          <w:rFonts w:hint="eastAsia" w:ascii="宋体" w:hAnsi="宋体" w:cs="宋体"/>
          <w:color w:val="auto"/>
          <w:kern w:val="0"/>
          <w:szCs w:val="21"/>
          <w:highlight w:val="none"/>
          <w:vertAlign w:val="subscript"/>
          <w:lang w:bidi="mn-Mong-CN"/>
        </w:rPr>
        <w:t>2</w:t>
      </w:r>
      <w:r>
        <w:rPr>
          <w:rFonts w:hint="eastAsia" w:ascii="宋体" w:hAnsi="宋体" w:cs="宋体"/>
          <w:color w:val="auto"/>
          <w:kern w:val="0"/>
          <w:szCs w:val="21"/>
          <w:highlight w:val="none"/>
          <w:lang w:bidi="mn-Mong-CN"/>
        </w:rPr>
        <w:t>——全部扣清时合同累计完成金额达到签约合同价格的比例。</w:t>
      </w:r>
      <w:bookmarkEnd w:id="405"/>
    </w:p>
    <w:p w14:paraId="38BA0C92">
      <w:pPr>
        <w:spacing w:line="350"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上述合同累计完成金额均指价格调整前未扣质量保证金的金额。</w:t>
      </w:r>
    </w:p>
    <w:p w14:paraId="770AEA21">
      <w:pPr>
        <w:tabs>
          <w:tab w:val="left" w:pos="6286"/>
        </w:tabs>
        <w:spacing w:after="120" w:line="350"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(2)工程材料预付款的扣回与还清约定为：</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1627CF17">
      <w:pPr>
        <w:tabs>
          <w:tab w:val="left" w:pos="8220"/>
        </w:tabs>
        <w:spacing w:line="413" w:lineRule="auto"/>
        <w:ind w:left="440"/>
        <w:rPr>
          <w:rFonts w:ascii="宋体" w:hAnsi="宋体" w:cs="宋体"/>
          <w:b/>
          <w:color w:val="auto"/>
          <w:kern w:val="0"/>
          <w:szCs w:val="21"/>
          <w:highlight w:val="none"/>
          <w:lang w:val="zh-CN" w:bidi="zh-CN"/>
        </w:rPr>
      </w:pPr>
      <w:bookmarkStart w:id="406" w:name="bookmark1789"/>
      <w:bookmarkStart w:id="407" w:name="bookmark1790"/>
      <w:bookmarkStart w:id="408" w:name="bookmark1791"/>
      <w:r>
        <w:rPr>
          <w:rFonts w:hint="eastAsia" w:ascii="宋体" w:hAnsi="宋体" w:cs="宋体"/>
          <w:b/>
          <w:color w:val="auto"/>
          <w:kern w:val="0"/>
          <w:szCs w:val="21"/>
          <w:highlight w:val="none"/>
          <w:lang w:val="zh-CN" w:bidi="zh-CN"/>
        </w:rPr>
        <w:t>17.3工程进度付款</w:t>
      </w:r>
      <w:bookmarkEnd w:id="406"/>
      <w:bookmarkEnd w:id="407"/>
      <w:bookmarkEnd w:id="408"/>
    </w:p>
    <w:p w14:paraId="6626897C">
      <w:pPr>
        <w:spacing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17.3.2</w:t>
      </w:r>
      <w:r>
        <w:rPr>
          <w:rFonts w:hint="eastAsia" w:ascii="宋体" w:hAnsi="宋体" w:cs="宋体"/>
          <w:color w:val="auto"/>
          <w:kern w:val="0"/>
          <w:szCs w:val="21"/>
          <w:highlight w:val="none"/>
          <w:lang w:val="zh-CN" w:bidi="zh-CN"/>
        </w:rPr>
        <w:t>进度付款申请单</w:t>
      </w:r>
    </w:p>
    <w:p w14:paraId="0D8BE4AD">
      <w:pPr>
        <w:tabs>
          <w:tab w:val="left" w:pos="4613"/>
          <w:tab w:val="left" w:pos="7978"/>
        </w:tabs>
        <w:spacing w:line="336" w:lineRule="exact"/>
        <w:ind w:left="420" w:firstLine="20"/>
        <w:jc w:val="left"/>
        <w:rPr>
          <w:rFonts w:ascii="宋体" w:hAnsi="宋体" w:cs="宋体"/>
          <w:color w:val="auto"/>
          <w:kern w:val="0"/>
          <w:szCs w:val="21"/>
          <w:highlight w:val="none"/>
          <w:lang w:bidi="en-US"/>
        </w:rPr>
      </w:pPr>
      <w:r>
        <w:rPr>
          <w:rFonts w:hint="eastAsia" w:ascii="宋体" w:hAnsi="宋体" w:cs="宋体"/>
          <w:color w:val="auto"/>
          <w:kern w:val="0"/>
          <w:szCs w:val="21"/>
          <w:highlight w:val="none"/>
          <w:lang w:val="zh-CN" w:bidi="zh-CN"/>
        </w:rPr>
        <w:t>承包人提交进度付款申请单的份数：</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u w:val="single"/>
          <w:lang w:val="zh-CN" w:bidi="zh-CN"/>
        </w:rPr>
        <w:t xml:space="preserve">一式六份        </w:t>
      </w:r>
      <w:r>
        <w:rPr>
          <w:rFonts w:hint="eastAsia" w:ascii="宋体" w:hAnsi="宋体" w:cs="宋体"/>
          <w:color w:val="auto"/>
          <w:kern w:val="0"/>
          <w:szCs w:val="21"/>
          <w:highlight w:val="none"/>
          <w:lang w:bidi="en-US"/>
        </w:rPr>
        <w:t>。</w:t>
      </w:r>
    </w:p>
    <w:p w14:paraId="4531AA49">
      <w:pPr>
        <w:tabs>
          <w:tab w:val="left" w:pos="4613"/>
          <w:tab w:val="left" w:pos="7978"/>
        </w:tabs>
        <w:spacing w:line="336" w:lineRule="exact"/>
        <w:ind w:left="420" w:firstLine="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17.3.3</w:t>
      </w:r>
      <w:r>
        <w:rPr>
          <w:rFonts w:hint="eastAsia" w:ascii="宋体" w:hAnsi="宋体" w:cs="宋体"/>
          <w:color w:val="auto"/>
          <w:kern w:val="0"/>
          <w:szCs w:val="21"/>
          <w:highlight w:val="none"/>
          <w:lang w:val="zh-CN" w:bidi="zh-CN"/>
        </w:rPr>
        <w:t>进度付款证书和支付时间</w:t>
      </w:r>
    </w:p>
    <w:p w14:paraId="3A668A4C">
      <w:pPr>
        <w:tabs>
          <w:tab w:val="left" w:pos="4428"/>
        </w:tabs>
        <w:spacing w:line="358"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(2)本款“专用合同条款的约定支付逾期付款违约金”为按中国人民银行规定的同期贷款利率计算的逾期付款金额的利息。</w:t>
      </w:r>
    </w:p>
    <w:p w14:paraId="7D9A36F2">
      <w:pPr>
        <w:spacing w:line="358"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17.3.5</w:t>
      </w:r>
      <w:r>
        <w:rPr>
          <w:rFonts w:hint="eastAsia" w:ascii="宋体" w:hAnsi="宋体" w:cs="宋体"/>
          <w:color w:val="auto"/>
          <w:kern w:val="0"/>
          <w:szCs w:val="21"/>
          <w:highlight w:val="none"/>
          <w:lang w:val="zh-CN" w:bidi="zh-CN"/>
        </w:rPr>
        <w:t>工程进度付款的支付比例</w:t>
      </w:r>
    </w:p>
    <w:p w14:paraId="684F67E2">
      <w:pPr>
        <w:tabs>
          <w:tab w:val="left" w:pos="4428"/>
        </w:tabs>
        <w:spacing w:line="358"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每个付款周期按经验收合格（附实验室提供的试验合格证，混凝土试块实验报告可在下个月提交）且经审定的实际完成工程量的90%支付工程进度款（进度款含因设计变更引起增加工程量造价同期支付，扣除部分已含质量保证金）；在工程施工资料及结算资料提交发包方审核通过后且工程移交并经财政部门审核（或审计部门审核）后拨付至工程造价的9</w:t>
      </w:r>
      <w:r>
        <w:rPr>
          <w:rFonts w:hint="eastAsia" w:ascii="宋体" w:hAnsi="宋体" w:cs="宋体"/>
          <w:color w:val="auto"/>
          <w:kern w:val="0"/>
          <w:szCs w:val="21"/>
          <w:highlight w:val="none"/>
          <w:lang w:bidi="zh-CN"/>
        </w:rPr>
        <w:t>7</w:t>
      </w:r>
      <w:r>
        <w:rPr>
          <w:rFonts w:hint="eastAsia" w:ascii="宋体" w:hAnsi="宋体" w:cs="宋体"/>
          <w:color w:val="auto"/>
          <w:kern w:val="0"/>
          <w:szCs w:val="21"/>
          <w:highlight w:val="none"/>
          <w:lang w:val="zh-CN" w:bidi="zh-CN"/>
        </w:rPr>
        <w:t>％；扣除质量保证金后，余款在一个月内付清。</w:t>
      </w:r>
    </w:p>
    <w:p w14:paraId="0DAC7D19">
      <w:pPr>
        <w:tabs>
          <w:tab w:val="left" w:pos="8220"/>
        </w:tabs>
        <w:spacing w:line="413" w:lineRule="auto"/>
        <w:ind w:left="440"/>
        <w:rPr>
          <w:rFonts w:ascii="宋体" w:hAnsi="宋体" w:cs="宋体"/>
          <w:b/>
          <w:color w:val="auto"/>
          <w:kern w:val="0"/>
          <w:szCs w:val="21"/>
          <w:highlight w:val="none"/>
          <w:lang w:val="zh-CN" w:bidi="zh-CN"/>
        </w:rPr>
      </w:pPr>
      <w:bookmarkStart w:id="409" w:name="bookmark1793"/>
      <w:bookmarkStart w:id="410" w:name="bookmark1792"/>
      <w:bookmarkStart w:id="411" w:name="bookmark1794"/>
      <w:r>
        <w:rPr>
          <w:rFonts w:hint="eastAsia" w:ascii="宋体" w:hAnsi="宋体" w:cs="宋体"/>
          <w:b/>
          <w:color w:val="auto"/>
          <w:kern w:val="0"/>
          <w:szCs w:val="21"/>
          <w:highlight w:val="none"/>
          <w:lang w:val="zh-CN" w:bidi="zh-CN"/>
        </w:rPr>
        <w:t>17.4质量保证金</w:t>
      </w:r>
      <w:bookmarkEnd w:id="409"/>
      <w:bookmarkEnd w:id="410"/>
      <w:bookmarkEnd w:id="411"/>
    </w:p>
    <w:p w14:paraId="16903EDC">
      <w:pPr>
        <w:spacing w:line="377"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sym w:font="Wingdings 2" w:char="F052"/>
      </w:r>
      <w:r>
        <w:rPr>
          <w:rFonts w:hint="eastAsia" w:ascii="宋体" w:hAnsi="宋体" w:cs="宋体"/>
          <w:color w:val="auto"/>
          <w:kern w:val="0"/>
          <w:szCs w:val="21"/>
          <w:highlight w:val="none"/>
          <w:lang w:bidi="en-US"/>
        </w:rPr>
        <w:t>17.4.1.1</w:t>
      </w:r>
      <w:r>
        <w:rPr>
          <w:rFonts w:hint="eastAsia" w:ascii="宋体" w:hAnsi="宋体" w:cs="宋体"/>
          <w:color w:val="auto"/>
          <w:kern w:val="0"/>
          <w:szCs w:val="21"/>
          <w:highlight w:val="none"/>
          <w:lang w:val="zh-CN" w:bidi="zh-CN"/>
        </w:rPr>
        <w:t xml:space="preserve">每个付款周期扣留的质量保证金为工程进度付款的3%，扣留的质量保证金总额为工程价款结算总额的3% </w:t>
      </w:r>
      <w:r>
        <w:rPr>
          <w:rFonts w:hint="eastAsia" w:ascii="宋体" w:hAnsi="宋体" w:cs="宋体"/>
          <w:color w:val="auto"/>
          <w:kern w:val="0"/>
          <w:szCs w:val="21"/>
          <w:highlight w:val="none"/>
          <w:lang w:bidi="en-US"/>
        </w:rPr>
        <w:t>。</w:t>
      </w:r>
    </w:p>
    <w:p w14:paraId="4C1BA1C2">
      <w:pPr>
        <w:spacing w:line="359"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w:t>
      </w:r>
      <w:r>
        <w:rPr>
          <w:rFonts w:hint="eastAsia" w:ascii="宋体" w:hAnsi="宋体" w:cs="宋体"/>
          <w:color w:val="auto"/>
          <w:kern w:val="0"/>
          <w:szCs w:val="21"/>
          <w:highlight w:val="none"/>
          <w:lang w:bidi="en-US"/>
        </w:rPr>
        <w:t>17.4.1.2</w:t>
      </w:r>
      <w:r>
        <w:rPr>
          <w:rFonts w:hint="eastAsia" w:ascii="宋体" w:hAnsi="宋体" w:cs="宋体"/>
          <w:color w:val="auto"/>
          <w:kern w:val="0"/>
          <w:szCs w:val="21"/>
          <w:highlight w:val="none"/>
          <w:lang w:val="zh-CN" w:bidi="zh-CN"/>
        </w:rPr>
        <w:t>工程完工验收后，一次性扣留的质量保证金总额为工程价款结算总额的3%。</w:t>
      </w:r>
    </w:p>
    <w:p w14:paraId="0AF80792">
      <w:pPr>
        <w:spacing w:after="240" w:line="359"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17.4.1.3</w:t>
      </w:r>
      <w:r>
        <w:rPr>
          <w:rFonts w:hint="eastAsia" w:ascii="宋体" w:hAnsi="宋体" w:cs="宋体"/>
          <w:color w:val="auto"/>
          <w:kern w:val="0"/>
          <w:szCs w:val="21"/>
          <w:highlight w:val="none"/>
          <w:lang w:val="zh-CN" w:bidi="zh-CN"/>
        </w:rPr>
        <w:t>在工程项目完工前，已经缴纳履约保证金的，发包人不得同时扣留工程质量保证金。</w:t>
      </w:r>
    </w:p>
    <w:p w14:paraId="6C83EA4A">
      <w:pPr>
        <w:tabs>
          <w:tab w:val="left" w:pos="8220"/>
        </w:tabs>
        <w:spacing w:line="413" w:lineRule="auto"/>
        <w:ind w:left="440"/>
        <w:rPr>
          <w:rFonts w:ascii="宋体" w:hAnsi="宋体" w:cs="宋体"/>
          <w:b/>
          <w:color w:val="auto"/>
          <w:kern w:val="0"/>
          <w:szCs w:val="21"/>
          <w:highlight w:val="none"/>
          <w:lang w:val="zh-CN" w:bidi="zh-CN"/>
        </w:rPr>
      </w:pPr>
      <w:bookmarkStart w:id="412" w:name="bookmark1797"/>
      <w:bookmarkStart w:id="413" w:name="bookmark1795"/>
      <w:bookmarkStart w:id="414" w:name="bookmark1796"/>
      <w:r>
        <w:rPr>
          <w:rFonts w:hint="eastAsia" w:ascii="宋体" w:hAnsi="宋体" w:cs="宋体"/>
          <w:b/>
          <w:color w:val="auto"/>
          <w:kern w:val="0"/>
          <w:szCs w:val="21"/>
          <w:highlight w:val="none"/>
          <w:lang w:val="zh-CN" w:bidi="zh-CN"/>
        </w:rPr>
        <w:t>17.5竣工（完工）结算</w:t>
      </w:r>
      <w:bookmarkEnd w:id="412"/>
      <w:bookmarkEnd w:id="413"/>
      <w:bookmarkEnd w:id="414"/>
    </w:p>
    <w:p w14:paraId="7AE37F34">
      <w:pPr>
        <w:spacing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17.5.1</w:t>
      </w:r>
      <w:r>
        <w:rPr>
          <w:rFonts w:hint="eastAsia" w:ascii="宋体" w:hAnsi="宋体" w:cs="宋体"/>
          <w:color w:val="auto"/>
          <w:kern w:val="0"/>
          <w:szCs w:val="21"/>
          <w:highlight w:val="none"/>
          <w:lang w:val="zh-CN" w:bidi="zh-CN"/>
        </w:rPr>
        <w:t>竣工（完工）付款申请单</w:t>
      </w:r>
    </w:p>
    <w:p w14:paraId="3F0C74A0">
      <w:pPr>
        <w:spacing w:line="360" w:lineRule="auto"/>
        <w:ind w:firstLine="420"/>
        <w:jc w:val="left"/>
        <w:rPr>
          <w:rFonts w:ascii="宋体" w:hAnsi="宋体" w:cs="宋体"/>
          <w:color w:val="auto"/>
          <w:kern w:val="0"/>
          <w:szCs w:val="21"/>
          <w:highlight w:val="none"/>
          <w:lang w:val="zh-CN" w:bidi="zh-CN"/>
        </w:rPr>
      </w:pPr>
      <w:bookmarkStart w:id="415" w:name="bookmark1798"/>
      <w:r>
        <w:rPr>
          <w:rFonts w:hint="eastAsia" w:ascii="宋体" w:hAnsi="宋体" w:cs="宋体"/>
          <w:color w:val="auto"/>
          <w:kern w:val="0"/>
          <w:szCs w:val="21"/>
          <w:highlight w:val="none"/>
          <w:lang w:val="zh-CN" w:bidi="zh-CN"/>
        </w:rPr>
        <w:t>（</w:t>
      </w:r>
      <w:bookmarkEnd w:id="415"/>
      <w:r>
        <w:rPr>
          <w:rFonts w:hint="eastAsia" w:ascii="宋体" w:hAnsi="宋体" w:cs="宋体"/>
          <w:color w:val="auto"/>
          <w:kern w:val="0"/>
          <w:szCs w:val="21"/>
          <w:highlight w:val="none"/>
          <w:lang w:val="zh-CN" w:bidi="zh-CN"/>
        </w:rPr>
        <w:t>1）承包人应提交竣工付款申请单份数：</w:t>
      </w:r>
      <w:r>
        <w:rPr>
          <w:rFonts w:hint="eastAsia" w:ascii="宋体" w:hAnsi="宋体" w:cs="宋体"/>
          <w:color w:val="auto"/>
          <w:kern w:val="0"/>
          <w:szCs w:val="21"/>
          <w:highlight w:val="none"/>
          <w:u w:val="single"/>
          <w:lang w:val="zh-CN" w:bidi="zh-CN"/>
        </w:rPr>
        <w:t>一式陆份</w:t>
      </w:r>
      <w:r>
        <w:rPr>
          <w:rFonts w:hint="eastAsia" w:ascii="宋体" w:hAnsi="宋体" w:cs="宋体"/>
          <w:color w:val="auto"/>
          <w:kern w:val="0"/>
          <w:szCs w:val="21"/>
          <w:highlight w:val="none"/>
          <w:lang w:val="zh-CN" w:bidi="zh-CN"/>
        </w:rPr>
        <w:t>。</w:t>
      </w:r>
    </w:p>
    <w:p w14:paraId="1538BC94">
      <w:pPr>
        <w:spacing w:line="360" w:lineRule="auto"/>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17.5.3</w:t>
      </w:r>
      <w:r>
        <w:rPr>
          <w:rFonts w:hint="eastAsia" w:ascii="宋体" w:hAnsi="宋体" w:cs="宋体"/>
          <w:color w:val="auto"/>
          <w:kern w:val="0"/>
          <w:szCs w:val="21"/>
          <w:highlight w:val="none"/>
          <w:lang w:val="zh-CN" w:bidi="zh-CN"/>
        </w:rPr>
        <w:t>除按通用合同条款所说的内容外，增加以下内容：最终结算以财政评审结果为准。</w:t>
      </w:r>
    </w:p>
    <w:p w14:paraId="76227C65">
      <w:pPr>
        <w:tabs>
          <w:tab w:val="left" w:pos="8220"/>
        </w:tabs>
        <w:spacing w:line="360" w:lineRule="auto"/>
        <w:ind w:left="440"/>
        <w:rPr>
          <w:rFonts w:ascii="宋体" w:hAnsi="宋体" w:cs="宋体"/>
          <w:b/>
          <w:color w:val="auto"/>
          <w:kern w:val="0"/>
          <w:szCs w:val="21"/>
          <w:highlight w:val="none"/>
          <w:lang w:val="zh-CN" w:bidi="zh-CN"/>
        </w:rPr>
      </w:pPr>
      <w:bookmarkStart w:id="416" w:name="bookmark1801"/>
      <w:bookmarkEnd w:id="416"/>
      <w:bookmarkStart w:id="417" w:name="bookmark1800"/>
      <w:bookmarkStart w:id="418" w:name="bookmark1802"/>
      <w:bookmarkStart w:id="419" w:name="bookmark1799"/>
      <w:r>
        <w:rPr>
          <w:rFonts w:hint="eastAsia" w:ascii="宋体" w:hAnsi="宋体" w:cs="宋体"/>
          <w:b/>
          <w:color w:val="auto"/>
          <w:kern w:val="0"/>
          <w:szCs w:val="21"/>
          <w:highlight w:val="none"/>
          <w:lang w:val="zh-CN" w:bidi="zh-CN"/>
        </w:rPr>
        <w:t>17.6最终结清</w:t>
      </w:r>
      <w:bookmarkEnd w:id="417"/>
      <w:bookmarkEnd w:id="418"/>
      <w:bookmarkEnd w:id="419"/>
    </w:p>
    <w:p w14:paraId="247D86F8">
      <w:pPr>
        <w:spacing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17.6.1</w:t>
      </w:r>
      <w:r>
        <w:rPr>
          <w:rFonts w:hint="eastAsia" w:ascii="宋体" w:hAnsi="宋体" w:cs="宋体"/>
          <w:color w:val="auto"/>
          <w:kern w:val="0"/>
          <w:szCs w:val="21"/>
          <w:highlight w:val="none"/>
          <w:lang w:val="zh-CN" w:bidi="zh-CN"/>
        </w:rPr>
        <w:t>最终结清申请单</w:t>
      </w:r>
    </w:p>
    <w:p w14:paraId="69428D9A">
      <w:pPr>
        <w:tabs>
          <w:tab w:val="left" w:pos="6077"/>
        </w:tabs>
        <w:spacing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（1）承包人应提交最终结清申请单份数：</w:t>
      </w:r>
      <w:r>
        <w:rPr>
          <w:rFonts w:hint="eastAsia" w:ascii="宋体" w:hAnsi="宋体" w:cs="宋体"/>
          <w:color w:val="auto"/>
          <w:kern w:val="0"/>
          <w:szCs w:val="21"/>
          <w:highlight w:val="none"/>
          <w:u w:val="single"/>
          <w:lang w:val="zh-CN" w:bidi="zh-CN"/>
        </w:rPr>
        <w:t>一式陆份</w:t>
      </w:r>
      <w:r>
        <w:rPr>
          <w:rFonts w:hint="eastAsia" w:ascii="宋体" w:hAnsi="宋体" w:cs="宋体"/>
          <w:color w:val="auto"/>
          <w:kern w:val="0"/>
          <w:szCs w:val="21"/>
          <w:highlight w:val="none"/>
          <w:lang w:bidi="en-US"/>
        </w:rPr>
        <w:t>。</w:t>
      </w:r>
    </w:p>
    <w:p w14:paraId="4E6411C8">
      <w:pPr>
        <w:tabs>
          <w:tab w:val="left" w:pos="8220"/>
        </w:tabs>
        <w:spacing w:line="360" w:lineRule="auto"/>
        <w:ind w:left="440"/>
        <w:rPr>
          <w:rFonts w:ascii="宋体" w:hAnsi="宋体" w:cs="宋体"/>
          <w:b/>
          <w:color w:val="auto"/>
          <w:kern w:val="0"/>
          <w:szCs w:val="21"/>
          <w:highlight w:val="none"/>
          <w:lang w:val="zh-CN" w:bidi="zh-CN"/>
        </w:rPr>
      </w:pPr>
      <w:bookmarkStart w:id="420" w:name="bookmark1805"/>
      <w:bookmarkStart w:id="421" w:name="bookmark1803"/>
      <w:bookmarkStart w:id="422" w:name="bookmark1804"/>
      <w:r>
        <w:rPr>
          <w:rFonts w:hint="eastAsia" w:ascii="宋体" w:hAnsi="宋体" w:cs="宋体"/>
          <w:b/>
          <w:color w:val="auto"/>
          <w:kern w:val="0"/>
          <w:szCs w:val="21"/>
          <w:highlight w:val="none"/>
          <w:lang w:val="zh-CN" w:bidi="zh-CN"/>
        </w:rPr>
        <w:t>17.7竣工财务决算</w:t>
      </w:r>
      <w:bookmarkEnd w:id="420"/>
      <w:bookmarkEnd w:id="421"/>
      <w:bookmarkEnd w:id="422"/>
    </w:p>
    <w:p w14:paraId="4F5E8871">
      <w:pPr>
        <w:tabs>
          <w:tab w:val="left" w:pos="6264"/>
        </w:tabs>
        <w:spacing w:after="180" w:line="367"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承包人应为竣工财务决算编制提供的资料：</w:t>
      </w:r>
      <w:r>
        <w:rPr>
          <w:rFonts w:hint="eastAsia" w:ascii="宋体" w:hAnsi="宋体" w:cs="宋体"/>
          <w:color w:val="auto"/>
          <w:kern w:val="0"/>
          <w:szCs w:val="21"/>
          <w:highlight w:val="none"/>
          <w:u w:val="single"/>
          <w:lang w:val="zh-CN" w:bidi="zh-CN"/>
        </w:rPr>
        <w:t>财务决算所需的一切资料</w:t>
      </w:r>
      <w:r>
        <w:rPr>
          <w:rFonts w:hint="eastAsia" w:ascii="宋体" w:hAnsi="宋体" w:cs="宋体"/>
          <w:color w:val="auto"/>
          <w:kern w:val="0"/>
          <w:szCs w:val="21"/>
          <w:highlight w:val="none"/>
          <w:lang w:bidi="en-US"/>
        </w:rPr>
        <w:t>。</w:t>
      </w:r>
    </w:p>
    <w:p w14:paraId="69CCD9DE">
      <w:pPr>
        <w:keepLines/>
        <w:spacing w:before="120" w:after="120" w:line="415" w:lineRule="auto"/>
        <w:jc w:val="left"/>
        <w:outlineLvl w:val="1"/>
        <w:rPr>
          <w:rFonts w:ascii="宋体" w:hAnsi="宋体" w:cs="宋体"/>
          <w:b/>
          <w:bCs/>
          <w:color w:val="auto"/>
          <w:kern w:val="0"/>
          <w:szCs w:val="21"/>
          <w:highlight w:val="none"/>
          <w:lang w:bidi="en-US"/>
        </w:rPr>
      </w:pPr>
      <w:bookmarkStart w:id="423" w:name="bookmark1808"/>
      <w:bookmarkEnd w:id="423"/>
      <w:bookmarkStart w:id="424" w:name="_Toc797"/>
      <w:bookmarkStart w:id="425" w:name="_Toc14710454"/>
      <w:bookmarkStart w:id="426" w:name="bookmark1807"/>
      <w:bookmarkStart w:id="427" w:name="_Toc30479"/>
      <w:bookmarkStart w:id="428" w:name="bookmark1806"/>
      <w:bookmarkStart w:id="429" w:name="bookmark1809"/>
      <w:r>
        <w:rPr>
          <w:rFonts w:hint="eastAsia" w:ascii="宋体" w:hAnsi="宋体" w:cs="宋体"/>
          <w:b/>
          <w:bCs/>
          <w:color w:val="auto"/>
          <w:kern w:val="0"/>
          <w:szCs w:val="21"/>
          <w:highlight w:val="none"/>
          <w:lang w:bidi="en-US"/>
        </w:rPr>
        <w:t>18. 竣工验收（验收）</w:t>
      </w:r>
      <w:bookmarkEnd w:id="424"/>
      <w:bookmarkEnd w:id="425"/>
      <w:bookmarkEnd w:id="426"/>
      <w:bookmarkEnd w:id="427"/>
      <w:bookmarkEnd w:id="428"/>
      <w:bookmarkEnd w:id="429"/>
    </w:p>
    <w:p w14:paraId="288EE938">
      <w:pPr>
        <w:tabs>
          <w:tab w:val="left" w:pos="8220"/>
        </w:tabs>
        <w:spacing w:line="413" w:lineRule="auto"/>
        <w:ind w:left="440"/>
        <w:rPr>
          <w:rFonts w:ascii="宋体" w:hAnsi="宋体" w:cs="宋体"/>
          <w:b/>
          <w:color w:val="auto"/>
          <w:kern w:val="0"/>
          <w:szCs w:val="21"/>
          <w:highlight w:val="none"/>
          <w:lang w:val="zh-CN" w:bidi="zh-CN"/>
        </w:rPr>
      </w:pPr>
      <w:bookmarkStart w:id="430" w:name="bookmark1811"/>
      <w:bookmarkStart w:id="431" w:name="bookmark1810"/>
      <w:bookmarkStart w:id="432" w:name="bookmark1812"/>
      <w:r>
        <w:rPr>
          <w:rFonts w:hint="eastAsia" w:ascii="宋体" w:hAnsi="宋体" w:cs="宋体"/>
          <w:b/>
          <w:color w:val="auto"/>
          <w:kern w:val="0"/>
          <w:szCs w:val="21"/>
          <w:highlight w:val="none"/>
          <w:lang w:val="zh-CN" w:bidi="zh-CN"/>
        </w:rPr>
        <w:t>18.1验收工作分类</w:t>
      </w:r>
      <w:bookmarkEnd w:id="430"/>
      <w:bookmarkEnd w:id="431"/>
      <w:bookmarkEnd w:id="432"/>
    </w:p>
    <w:p w14:paraId="2129A669">
      <w:pPr>
        <w:spacing w:line="360" w:lineRule="auto"/>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根据《水利工程建设项目验收管理规定》（水利部令第30号）和《水利水电建设工程验收规程》</w:t>
      </w:r>
      <w:r>
        <w:rPr>
          <w:rFonts w:hint="eastAsia" w:ascii="宋体" w:hAnsi="宋体" w:cs="宋体"/>
          <w:color w:val="auto"/>
          <w:kern w:val="0"/>
          <w:szCs w:val="21"/>
          <w:highlight w:val="none"/>
          <w:lang w:bidi="en-US"/>
        </w:rPr>
        <w:t>（SL223）2008）</w:t>
      </w:r>
      <w:r>
        <w:rPr>
          <w:rFonts w:hint="eastAsia" w:ascii="宋体" w:hAnsi="宋体" w:cs="宋体"/>
          <w:color w:val="auto"/>
          <w:kern w:val="0"/>
          <w:szCs w:val="21"/>
          <w:highlight w:val="none"/>
          <w:lang w:val="zh-CN" w:bidi="zh-CN"/>
        </w:rPr>
        <w:t>的相关规定执行。</w:t>
      </w:r>
    </w:p>
    <w:p w14:paraId="18974DDA">
      <w:pPr>
        <w:tabs>
          <w:tab w:val="left" w:pos="8220"/>
        </w:tabs>
        <w:spacing w:line="360" w:lineRule="auto"/>
        <w:ind w:left="440"/>
        <w:rPr>
          <w:rFonts w:ascii="宋体" w:hAnsi="宋体" w:cs="宋体"/>
          <w:b/>
          <w:color w:val="auto"/>
          <w:kern w:val="0"/>
          <w:szCs w:val="21"/>
          <w:highlight w:val="none"/>
          <w:lang w:val="zh-CN" w:bidi="zh-CN"/>
        </w:rPr>
      </w:pPr>
      <w:bookmarkStart w:id="433" w:name="bookmark1815"/>
      <w:bookmarkStart w:id="434" w:name="bookmark1813"/>
      <w:bookmarkStart w:id="435" w:name="bookmark1814"/>
      <w:r>
        <w:rPr>
          <w:rFonts w:hint="eastAsia" w:ascii="宋体" w:hAnsi="宋体" w:cs="宋体"/>
          <w:b/>
          <w:color w:val="auto"/>
          <w:kern w:val="0"/>
          <w:szCs w:val="21"/>
          <w:highlight w:val="none"/>
          <w:lang w:val="zh-CN" w:bidi="zh-CN"/>
        </w:rPr>
        <w:t>18.2分部工程验收</w:t>
      </w:r>
      <w:bookmarkEnd w:id="433"/>
      <w:bookmarkEnd w:id="434"/>
      <w:bookmarkEnd w:id="435"/>
    </w:p>
    <w:p w14:paraId="1AA815E8">
      <w:pPr>
        <w:tabs>
          <w:tab w:val="left" w:pos="7018"/>
        </w:tabs>
        <w:spacing w:line="360" w:lineRule="auto"/>
        <w:ind w:firstLine="44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18.2.</w:t>
      </w:r>
      <w:r>
        <w:rPr>
          <w:rFonts w:hint="eastAsia" w:ascii="宋体" w:hAnsi="宋体" w:cs="宋体"/>
          <w:color w:val="auto"/>
          <w:kern w:val="0"/>
          <w:szCs w:val="21"/>
          <w:highlight w:val="none"/>
          <w:lang w:val="zh-CN" w:bidi="zh-CN"/>
        </w:rPr>
        <w:t>2本工程分部工程验收由监理主持。</w:t>
      </w:r>
    </w:p>
    <w:p w14:paraId="5D9D9B25">
      <w:pPr>
        <w:tabs>
          <w:tab w:val="left" w:pos="8220"/>
        </w:tabs>
        <w:spacing w:line="360" w:lineRule="auto"/>
        <w:ind w:left="440"/>
        <w:rPr>
          <w:rFonts w:ascii="宋体" w:hAnsi="宋体" w:cs="宋体"/>
          <w:b/>
          <w:color w:val="auto"/>
          <w:kern w:val="0"/>
          <w:szCs w:val="21"/>
          <w:highlight w:val="none"/>
          <w:lang w:val="zh-CN" w:bidi="zh-CN"/>
        </w:rPr>
      </w:pPr>
      <w:bookmarkStart w:id="436" w:name="bookmark1817"/>
      <w:bookmarkStart w:id="437" w:name="bookmark1818"/>
      <w:bookmarkStart w:id="438" w:name="bookmark1816"/>
      <w:r>
        <w:rPr>
          <w:rFonts w:hint="eastAsia" w:ascii="宋体" w:hAnsi="宋体" w:cs="宋体"/>
          <w:b/>
          <w:color w:val="auto"/>
          <w:kern w:val="0"/>
          <w:szCs w:val="21"/>
          <w:highlight w:val="none"/>
          <w:lang w:val="zh-CN" w:bidi="zh-CN"/>
        </w:rPr>
        <w:t>18.3单位工程验收</w:t>
      </w:r>
      <w:bookmarkEnd w:id="436"/>
      <w:bookmarkEnd w:id="437"/>
      <w:bookmarkEnd w:id="438"/>
    </w:p>
    <w:p w14:paraId="25A950BA">
      <w:pPr>
        <w:tabs>
          <w:tab w:val="left" w:pos="6036"/>
        </w:tabs>
        <w:spacing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18.3.4</w:t>
      </w:r>
      <w:r>
        <w:rPr>
          <w:rFonts w:hint="eastAsia" w:ascii="宋体" w:hAnsi="宋体" w:cs="宋体"/>
          <w:color w:val="auto"/>
          <w:kern w:val="0"/>
          <w:szCs w:val="21"/>
          <w:highlight w:val="none"/>
          <w:lang w:val="zh-CN" w:bidi="zh-CN"/>
        </w:rPr>
        <w:t>提前投入使用的单位工程包括：</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42B0D35C">
      <w:pPr>
        <w:tabs>
          <w:tab w:val="left" w:pos="8220"/>
        </w:tabs>
        <w:spacing w:line="360" w:lineRule="auto"/>
        <w:ind w:left="440"/>
        <w:rPr>
          <w:rFonts w:ascii="宋体" w:hAnsi="宋体" w:cs="宋体"/>
          <w:b/>
          <w:color w:val="auto"/>
          <w:kern w:val="0"/>
          <w:szCs w:val="21"/>
          <w:highlight w:val="none"/>
          <w:lang w:val="zh-CN" w:bidi="zh-CN"/>
        </w:rPr>
      </w:pPr>
      <w:bookmarkStart w:id="439" w:name="bookmark1819"/>
      <w:bookmarkStart w:id="440" w:name="bookmark1821"/>
      <w:bookmarkStart w:id="441" w:name="bookmark1820"/>
      <w:r>
        <w:rPr>
          <w:rFonts w:hint="eastAsia" w:ascii="宋体" w:hAnsi="宋体" w:cs="宋体"/>
          <w:b/>
          <w:color w:val="auto"/>
          <w:kern w:val="0"/>
          <w:szCs w:val="21"/>
          <w:highlight w:val="none"/>
          <w:lang w:val="zh-CN" w:bidi="zh-CN"/>
        </w:rPr>
        <w:t>18.5阶段验收</w:t>
      </w:r>
      <w:bookmarkEnd w:id="439"/>
      <w:bookmarkEnd w:id="440"/>
      <w:bookmarkEnd w:id="441"/>
    </w:p>
    <w:p w14:paraId="2138E15B">
      <w:pPr>
        <w:tabs>
          <w:tab w:val="left" w:pos="6036"/>
        </w:tabs>
        <w:spacing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18.5.1</w:t>
      </w:r>
      <w:r>
        <w:rPr>
          <w:rFonts w:hint="eastAsia" w:ascii="宋体" w:hAnsi="宋体" w:cs="宋体"/>
          <w:color w:val="auto"/>
          <w:kern w:val="0"/>
          <w:szCs w:val="21"/>
          <w:highlight w:val="none"/>
          <w:lang w:val="zh-CN" w:bidi="zh-CN"/>
        </w:rPr>
        <w:t>本合同工程阶段验收类别包括：</w:t>
      </w:r>
      <w:r>
        <w:rPr>
          <w:rFonts w:hint="eastAsia" w:ascii="宋体" w:hAnsi="宋体" w:cs="宋体"/>
          <w:color w:val="auto"/>
          <w:kern w:val="0"/>
          <w:szCs w:val="21"/>
          <w:highlight w:val="none"/>
          <w:u w:val="single"/>
          <w:lang w:val="zh-CN" w:bidi="zh-CN"/>
        </w:rPr>
        <w:t>无</w:t>
      </w:r>
      <w:r>
        <w:rPr>
          <w:rFonts w:hint="eastAsia" w:ascii="宋体" w:hAnsi="宋体" w:cs="宋体"/>
          <w:color w:val="auto"/>
          <w:kern w:val="0"/>
          <w:szCs w:val="21"/>
          <w:highlight w:val="none"/>
          <w:lang w:bidi="en-US"/>
        </w:rPr>
        <w:t>。</w:t>
      </w:r>
    </w:p>
    <w:p w14:paraId="26FDBBCB">
      <w:pPr>
        <w:tabs>
          <w:tab w:val="left" w:pos="8220"/>
        </w:tabs>
        <w:spacing w:line="360" w:lineRule="auto"/>
        <w:ind w:left="440"/>
        <w:rPr>
          <w:rFonts w:ascii="宋体" w:hAnsi="宋体" w:cs="宋体"/>
          <w:b/>
          <w:color w:val="auto"/>
          <w:kern w:val="0"/>
          <w:szCs w:val="21"/>
          <w:highlight w:val="none"/>
          <w:lang w:val="zh-CN" w:bidi="zh-CN"/>
        </w:rPr>
      </w:pPr>
      <w:bookmarkStart w:id="442" w:name="bookmark1822"/>
      <w:bookmarkStart w:id="443" w:name="bookmark1824"/>
      <w:bookmarkStart w:id="444" w:name="bookmark1823"/>
      <w:r>
        <w:rPr>
          <w:rFonts w:hint="eastAsia" w:ascii="宋体" w:hAnsi="宋体" w:cs="宋体"/>
          <w:b/>
          <w:color w:val="auto"/>
          <w:kern w:val="0"/>
          <w:szCs w:val="21"/>
          <w:highlight w:val="none"/>
          <w:lang w:val="zh-CN" w:bidi="zh-CN"/>
        </w:rPr>
        <w:t>18.6专项验收</w:t>
      </w:r>
      <w:bookmarkEnd w:id="442"/>
      <w:bookmarkEnd w:id="443"/>
      <w:bookmarkEnd w:id="444"/>
    </w:p>
    <w:p w14:paraId="6C04C7FD">
      <w:pPr>
        <w:tabs>
          <w:tab w:val="left" w:pos="6036"/>
        </w:tabs>
        <w:spacing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18.6.2</w:t>
      </w:r>
      <w:r>
        <w:rPr>
          <w:rFonts w:hint="eastAsia" w:ascii="宋体" w:hAnsi="宋体" w:cs="宋体"/>
          <w:color w:val="auto"/>
          <w:kern w:val="0"/>
          <w:szCs w:val="21"/>
          <w:highlight w:val="none"/>
          <w:lang w:val="zh-CN" w:bidi="zh-CN"/>
        </w:rPr>
        <w:t>本合同工程专项验收类别包括：</w:t>
      </w:r>
      <w:r>
        <w:rPr>
          <w:rFonts w:hint="eastAsia" w:ascii="宋体" w:hAnsi="宋体" w:cs="宋体"/>
          <w:color w:val="auto"/>
          <w:kern w:val="0"/>
          <w:szCs w:val="21"/>
          <w:highlight w:val="none"/>
          <w:u w:val="single"/>
          <w:lang w:val="zh-CN" w:bidi="zh-CN"/>
        </w:rPr>
        <w:t>在签订施工承包合同时明确</w:t>
      </w:r>
      <w:r>
        <w:rPr>
          <w:rFonts w:hint="eastAsia" w:ascii="宋体" w:hAnsi="宋体" w:cs="宋体"/>
          <w:color w:val="auto"/>
          <w:kern w:val="0"/>
          <w:szCs w:val="21"/>
          <w:highlight w:val="none"/>
          <w:lang w:bidi="en-US"/>
        </w:rPr>
        <w:t>。</w:t>
      </w:r>
    </w:p>
    <w:p w14:paraId="49D8C8BD">
      <w:pPr>
        <w:tabs>
          <w:tab w:val="left" w:pos="8220"/>
        </w:tabs>
        <w:spacing w:line="360" w:lineRule="auto"/>
        <w:ind w:left="440"/>
        <w:rPr>
          <w:rFonts w:ascii="宋体" w:hAnsi="宋体" w:cs="宋体"/>
          <w:b/>
          <w:color w:val="auto"/>
          <w:kern w:val="0"/>
          <w:szCs w:val="21"/>
          <w:highlight w:val="none"/>
          <w:lang w:val="zh-CN" w:bidi="zh-CN"/>
        </w:rPr>
      </w:pPr>
      <w:bookmarkStart w:id="445" w:name="bookmark1827"/>
      <w:bookmarkStart w:id="446" w:name="bookmark1825"/>
      <w:bookmarkStart w:id="447" w:name="bookmark1826"/>
      <w:r>
        <w:rPr>
          <w:rFonts w:hint="eastAsia" w:ascii="宋体" w:hAnsi="宋体" w:cs="宋体"/>
          <w:b/>
          <w:color w:val="auto"/>
          <w:kern w:val="0"/>
          <w:szCs w:val="21"/>
          <w:highlight w:val="none"/>
          <w:lang w:val="zh-CN" w:bidi="zh-CN"/>
        </w:rPr>
        <w:t>18.8施工期运行</w:t>
      </w:r>
      <w:bookmarkEnd w:id="445"/>
      <w:bookmarkEnd w:id="446"/>
      <w:bookmarkEnd w:id="447"/>
    </w:p>
    <w:p w14:paraId="753F1ADE">
      <w:pPr>
        <w:tabs>
          <w:tab w:val="left" w:pos="7296"/>
        </w:tabs>
        <w:spacing w:line="360" w:lineRule="auto"/>
        <w:ind w:firstLine="420"/>
        <w:jc w:val="lef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18.8.1</w:t>
      </w:r>
      <w:r>
        <w:rPr>
          <w:rFonts w:hint="eastAsia" w:ascii="宋体" w:hAnsi="宋体" w:cs="宋体"/>
          <w:color w:val="auto"/>
          <w:kern w:val="0"/>
          <w:szCs w:val="21"/>
          <w:highlight w:val="none"/>
          <w:lang w:val="zh-CN" w:bidi="zh-CN"/>
        </w:rPr>
        <w:t>需要在施工期运行的单位工程或工程设备为：</w:t>
      </w:r>
      <w:r>
        <w:rPr>
          <w:rFonts w:hint="eastAsia" w:ascii="宋体" w:hAnsi="宋体" w:cs="宋体"/>
          <w:color w:val="auto"/>
          <w:kern w:val="0"/>
          <w:szCs w:val="21"/>
          <w:highlight w:val="none"/>
          <w:u w:val="single"/>
          <w:lang w:val="zh-CN" w:bidi="zh-CN"/>
        </w:rPr>
        <w:t>在签订施工承包合同时明确</w:t>
      </w:r>
      <w:r>
        <w:rPr>
          <w:rFonts w:hint="eastAsia" w:ascii="宋体" w:hAnsi="宋体" w:cs="宋体"/>
          <w:color w:val="auto"/>
          <w:kern w:val="0"/>
          <w:szCs w:val="21"/>
          <w:highlight w:val="none"/>
          <w:lang w:bidi="en-US"/>
        </w:rPr>
        <w:t>。</w:t>
      </w:r>
    </w:p>
    <w:p w14:paraId="7AD47CC2">
      <w:pPr>
        <w:tabs>
          <w:tab w:val="left" w:pos="8220"/>
        </w:tabs>
        <w:spacing w:line="360" w:lineRule="auto"/>
        <w:ind w:left="440"/>
        <w:rPr>
          <w:rFonts w:ascii="宋体" w:hAnsi="宋体" w:cs="宋体"/>
          <w:b/>
          <w:color w:val="auto"/>
          <w:kern w:val="0"/>
          <w:szCs w:val="21"/>
          <w:highlight w:val="none"/>
          <w:lang w:val="zh-CN" w:bidi="zh-CN"/>
        </w:rPr>
      </w:pPr>
      <w:bookmarkStart w:id="448" w:name="bookmark1829"/>
      <w:bookmarkStart w:id="449" w:name="bookmark1830"/>
      <w:bookmarkStart w:id="450" w:name="bookmark1828"/>
      <w:r>
        <w:rPr>
          <w:rFonts w:hint="eastAsia" w:ascii="宋体" w:hAnsi="宋体" w:cs="宋体"/>
          <w:b/>
          <w:color w:val="auto"/>
          <w:kern w:val="0"/>
          <w:szCs w:val="21"/>
          <w:highlight w:val="none"/>
          <w:lang w:val="zh-CN" w:bidi="zh-CN"/>
        </w:rPr>
        <w:t>18.9试运行</w:t>
      </w:r>
      <w:bookmarkEnd w:id="448"/>
      <w:bookmarkEnd w:id="449"/>
      <w:bookmarkEnd w:id="450"/>
    </w:p>
    <w:p w14:paraId="36876DB9">
      <w:pPr>
        <w:tabs>
          <w:tab w:val="left" w:pos="4570"/>
          <w:tab w:val="left" w:pos="7697"/>
        </w:tabs>
        <w:spacing w:after="260" w:line="360" w:lineRule="auto"/>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18. 9.1</w:t>
      </w:r>
      <w:r>
        <w:rPr>
          <w:rFonts w:hint="eastAsia" w:ascii="宋体" w:hAnsi="宋体" w:cs="宋体"/>
          <w:color w:val="auto"/>
          <w:kern w:val="0"/>
          <w:szCs w:val="21"/>
          <w:highlight w:val="none"/>
          <w:lang w:val="zh-CN" w:bidi="zh-CN"/>
        </w:rPr>
        <w:t>试运行的组织：</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val="zh-CN" w:bidi="zh-CN"/>
        </w:rPr>
        <w:t>；费用承担：</w:t>
      </w:r>
      <w:bookmarkStart w:id="451" w:name="bookmark1833"/>
      <w:bookmarkEnd w:id="451"/>
      <w:bookmarkStart w:id="452" w:name="bookmark1831"/>
      <w:bookmarkStart w:id="453" w:name="_Toc21054"/>
      <w:bookmarkStart w:id="454" w:name="_Toc24047"/>
      <w:bookmarkStart w:id="455" w:name="bookmark1834"/>
      <w:bookmarkStart w:id="456" w:name="bookmark1832"/>
      <w:bookmarkStart w:id="457" w:name="_Toc14710455"/>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val="zh-CN" w:bidi="zh-CN"/>
        </w:rPr>
        <w:t>。</w:t>
      </w:r>
    </w:p>
    <w:p w14:paraId="658E8F5A">
      <w:pPr>
        <w:keepLines/>
        <w:spacing w:before="120" w:after="120" w:line="415" w:lineRule="auto"/>
        <w:jc w:val="left"/>
        <w:outlineLvl w:val="1"/>
        <w:rPr>
          <w:rFonts w:ascii="宋体" w:hAnsi="宋体" w:cs="宋体"/>
          <w:b/>
          <w:bCs/>
          <w:color w:val="auto"/>
          <w:kern w:val="0"/>
          <w:szCs w:val="21"/>
          <w:highlight w:val="none"/>
          <w:lang w:bidi="en-US"/>
        </w:rPr>
      </w:pPr>
      <w:r>
        <w:rPr>
          <w:rFonts w:hint="eastAsia" w:ascii="宋体" w:hAnsi="宋体" w:cs="宋体"/>
          <w:b/>
          <w:bCs/>
          <w:color w:val="auto"/>
          <w:kern w:val="0"/>
          <w:szCs w:val="21"/>
          <w:highlight w:val="none"/>
          <w:lang w:bidi="en-US"/>
        </w:rPr>
        <w:t>19. 缺陷责任与保修责任</w:t>
      </w:r>
      <w:bookmarkEnd w:id="452"/>
      <w:bookmarkEnd w:id="453"/>
      <w:bookmarkEnd w:id="454"/>
      <w:bookmarkEnd w:id="455"/>
      <w:bookmarkEnd w:id="456"/>
      <w:bookmarkEnd w:id="457"/>
    </w:p>
    <w:p w14:paraId="13F09B93">
      <w:pPr>
        <w:tabs>
          <w:tab w:val="left" w:pos="8220"/>
        </w:tabs>
        <w:spacing w:line="413" w:lineRule="auto"/>
        <w:ind w:left="440"/>
        <w:rPr>
          <w:rFonts w:ascii="宋体" w:hAnsi="宋体" w:cs="宋体"/>
          <w:b/>
          <w:color w:val="auto"/>
          <w:kern w:val="0"/>
          <w:szCs w:val="21"/>
          <w:highlight w:val="none"/>
          <w:lang w:val="zh-CN" w:bidi="zh-CN"/>
        </w:rPr>
      </w:pPr>
      <w:bookmarkStart w:id="458" w:name="bookmark1835"/>
      <w:bookmarkStart w:id="459" w:name="bookmark1836"/>
      <w:bookmarkStart w:id="460" w:name="bookmark1837"/>
      <w:r>
        <w:rPr>
          <w:rFonts w:hint="eastAsia" w:ascii="宋体" w:hAnsi="宋体" w:cs="宋体"/>
          <w:b/>
          <w:color w:val="auto"/>
          <w:kern w:val="0"/>
          <w:szCs w:val="21"/>
          <w:highlight w:val="none"/>
          <w:lang w:val="zh-CN" w:bidi="zh-CN"/>
        </w:rPr>
        <w:t>19.1缺陷责任期（工程质量保修期）的起算时间</w:t>
      </w:r>
      <w:bookmarkEnd w:id="458"/>
      <w:bookmarkEnd w:id="459"/>
      <w:bookmarkEnd w:id="460"/>
    </w:p>
    <w:p w14:paraId="4BA9EC6B">
      <w:pPr>
        <w:spacing w:after="260" w:line="348"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本工程缺陷责任期（工程质量保修）计算如下：起算日按通用条款</w:t>
      </w:r>
      <w:r>
        <w:rPr>
          <w:rFonts w:hint="eastAsia" w:ascii="宋体" w:hAnsi="宋体" w:cs="宋体"/>
          <w:color w:val="auto"/>
          <w:kern w:val="0"/>
          <w:szCs w:val="21"/>
          <w:highlight w:val="none"/>
          <w:lang w:bidi="en-US"/>
        </w:rPr>
        <w:t>19.1</w:t>
      </w:r>
      <w:r>
        <w:rPr>
          <w:rFonts w:hint="eastAsia" w:ascii="宋体" w:hAnsi="宋体" w:cs="宋体"/>
          <w:color w:val="auto"/>
          <w:kern w:val="0"/>
          <w:szCs w:val="21"/>
          <w:highlight w:val="none"/>
          <w:lang w:val="zh-CN" w:bidi="zh-CN"/>
        </w:rPr>
        <w:t>和</w:t>
      </w:r>
      <w:r>
        <w:rPr>
          <w:rFonts w:hint="eastAsia" w:ascii="宋体" w:hAnsi="宋体" w:cs="宋体"/>
          <w:color w:val="auto"/>
          <w:kern w:val="0"/>
          <w:szCs w:val="21"/>
          <w:highlight w:val="none"/>
          <w:lang w:bidi="en-US"/>
        </w:rPr>
        <w:t xml:space="preserve">19. </w:t>
      </w:r>
      <w:r>
        <w:rPr>
          <w:rFonts w:hint="eastAsia" w:ascii="宋体" w:hAnsi="宋体" w:cs="宋体"/>
          <w:color w:val="auto"/>
          <w:kern w:val="0"/>
          <w:szCs w:val="21"/>
          <w:highlight w:val="none"/>
          <w:lang w:val="zh-CN" w:bidi="zh-CN"/>
        </w:rPr>
        <w:t>7的约定，终止日按专用条款</w:t>
      </w:r>
      <w:r>
        <w:rPr>
          <w:rFonts w:hint="eastAsia" w:ascii="宋体" w:hAnsi="宋体" w:cs="宋体"/>
          <w:color w:val="auto"/>
          <w:kern w:val="0"/>
          <w:szCs w:val="21"/>
          <w:highlight w:val="none"/>
          <w:lang w:bidi="en-US"/>
        </w:rPr>
        <w:t>1. 1.4.5</w:t>
      </w:r>
      <w:r>
        <w:rPr>
          <w:rFonts w:hint="eastAsia" w:ascii="宋体" w:hAnsi="宋体" w:cs="宋体"/>
          <w:color w:val="auto"/>
          <w:kern w:val="0"/>
          <w:szCs w:val="21"/>
          <w:highlight w:val="none"/>
          <w:lang w:val="zh-CN" w:bidi="zh-CN"/>
        </w:rPr>
        <w:t>约定。</w:t>
      </w:r>
    </w:p>
    <w:p w14:paraId="6F6E7F37">
      <w:pPr>
        <w:keepLines/>
        <w:spacing w:before="120" w:after="120" w:line="415" w:lineRule="auto"/>
        <w:jc w:val="left"/>
        <w:outlineLvl w:val="1"/>
        <w:rPr>
          <w:rFonts w:ascii="宋体" w:hAnsi="宋体" w:cs="宋体"/>
          <w:b/>
          <w:bCs/>
          <w:color w:val="auto"/>
          <w:kern w:val="0"/>
          <w:szCs w:val="21"/>
          <w:highlight w:val="none"/>
          <w:lang w:bidi="en-US"/>
        </w:rPr>
      </w:pPr>
      <w:bookmarkStart w:id="461" w:name="bookmark1840"/>
      <w:bookmarkEnd w:id="461"/>
      <w:bookmarkStart w:id="462" w:name="_Toc5968"/>
      <w:bookmarkStart w:id="463" w:name="_Toc14710456"/>
      <w:bookmarkStart w:id="464" w:name="bookmark1841"/>
      <w:bookmarkStart w:id="465" w:name="_Toc3197"/>
      <w:bookmarkStart w:id="466" w:name="bookmark1838"/>
      <w:bookmarkStart w:id="467" w:name="bookmark1839"/>
      <w:r>
        <w:rPr>
          <w:rFonts w:hint="eastAsia" w:ascii="宋体" w:hAnsi="宋体" w:cs="宋体"/>
          <w:b/>
          <w:bCs/>
          <w:color w:val="auto"/>
          <w:kern w:val="0"/>
          <w:szCs w:val="21"/>
          <w:highlight w:val="none"/>
          <w:lang w:bidi="en-US"/>
        </w:rPr>
        <w:t>20. 保险</w:t>
      </w:r>
      <w:bookmarkEnd w:id="462"/>
      <w:bookmarkEnd w:id="463"/>
      <w:bookmarkEnd w:id="464"/>
      <w:bookmarkEnd w:id="465"/>
    </w:p>
    <w:p w14:paraId="5D797804">
      <w:pPr>
        <w:tabs>
          <w:tab w:val="left" w:pos="8220"/>
        </w:tabs>
        <w:spacing w:line="413" w:lineRule="auto"/>
        <w:ind w:left="440"/>
        <w:rPr>
          <w:rFonts w:ascii="宋体" w:hAnsi="宋体" w:cs="宋体"/>
          <w:b/>
          <w:color w:val="auto"/>
          <w:kern w:val="0"/>
          <w:szCs w:val="21"/>
          <w:highlight w:val="none"/>
          <w:lang w:val="zh-CN" w:bidi="zh-CN"/>
        </w:rPr>
      </w:pPr>
      <w:bookmarkStart w:id="468" w:name="bookmark1842"/>
      <w:r>
        <w:rPr>
          <w:rFonts w:hint="eastAsia" w:ascii="宋体" w:hAnsi="宋体" w:cs="宋体"/>
          <w:b/>
          <w:color w:val="auto"/>
          <w:kern w:val="0"/>
          <w:szCs w:val="21"/>
          <w:highlight w:val="none"/>
          <w:lang w:val="zh-CN" w:bidi="zh-CN"/>
        </w:rPr>
        <w:t>20.1工程保险</w:t>
      </w:r>
      <w:bookmarkEnd w:id="466"/>
      <w:bookmarkEnd w:id="467"/>
      <w:bookmarkEnd w:id="468"/>
    </w:p>
    <w:p w14:paraId="3C4BB1F9">
      <w:pPr>
        <w:tabs>
          <w:tab w:val="left" w:pos="8220"/>
        </w:tabs>
        <w:spacing w:after="120" w:line="360" w:lineRule="auto"/>
        <w:ind w:left="420" w:firstLine="20"/>
        <w:rPr>
          <w:rFonts w:ascii="宋体" w:hAnsi="宋体" w:cs="宋体"/>
          <w:color w:val="auto"/>
          <w:kern w:val="0"/>
          <w:szCs w:val="21"/>
          <w:highlight w:val="none"/>
          <w:lang w:bidi="en-US"/>
        </w:rPr>
      </w:pPr>
      <w:r>
        <w:rPr>
          <w:rFonts w:hint="eastAsia" w:ascii="宋体" w:hAnsi="宋体" w:cs="宋体"/>
          <w:color w:val="auto"/>
          <w:kern w:val="0"/>
          <w:szCs w:val="21"/>
          <w:highlight w:val="none"/>
          <w:lang w:val="zh-CN" w:bidi="zh-CN"/>
        </w:rPr>
        <w:t>建筑工程一切险和（或）安装工程一切险投保人：</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val="zh-CN" w:bidi="zh-CN"/>
        </w:rPr>
        <w:t>； 投保内容：_____</w:t>
      </w:r>
      <w:r>
        <w:rPr>
          <w:rFonts w:hint="eastAsia" w:ascii="宋体" w:hAnsi="宋体" w:cs="宋体"/>
          <w:color w:val="auto"/>
          <w:kern w:val="0"/>
          <w:szCs w:val="21"/>
          <w:highlight w:val="none"/>
          <w:u w:val="single"/>
          <w:lang w:val="zh-CN" w:bidi="zh-CN"/>
        </w:rPr>
        <w:t xml:space="preserve">/    </w:t>
      </w:r>
      <w:r>
        <w:rPr>
          <w:rFonts w:hint="eastAsia" w:ascii="宋体" w:hAnsi="宋体" w:cs="宋体"/>
          <w:color w:val="auto"/>
          <w:kern w:val="0"/>
          <w:szCs w:val="21"/>
          <w:highlight w:val="none"/>
          <w:lang w:val="zh-CN" w:bidi="zh-CN"/>
        </w:rPr>
        <w:t>； 保险金额、保险费率和保险期限:</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bidi="en-US"/>
        </w:rPr>
        <w:t>。</w:t>
      </w:r>
    </w:p>
    <w:p w14:paraId="1E0B549C">
      <w:pPr>
        <w:tabs>
          <w:tab w:val="left" w:pos="8220"/>
        </w:tabs>
        <w:spacing w:line="360" w:lineRule="auto"/>
        <w:ind w:left="440"/>
        <w:rPr>
          <w:rFonts w:ascii="宋体" w:hAnsi="宋体" w:cs="宋体"/>
          <w:b/>
          <w:color w:val="auto"/>
          <w:kern w:val="0"/>
          <w:szCs w:val="21"/>
          <w:highlight w:val="none"/>
          <w:lang w:val="zh-CN" w:bidi="zh-CN"/>
        </w:rPr>
      </w:pPr>
      <w:r>
        <w:rPr>
          <w:rFonts w:hint="eastAsia" w:ascii="宋体" w:hAnsi="宋体" w:cs="宋体"/>
          <w:b/>
          <w:color w:val="auto"/>
          <w:kern w:val="0"/>
          <w:szCs w:val="21"/>
          <w:highlight w:val="none"/>
          <w:lang w:val="zh-CN" w:bidi="zh-CN"/>
        </w:rPr>
        <w:t>20.3  人身意外伤害险</w:t>
      </w:r>
    </w:p>
    <w:p w14:paraId="7F1FF6C5">
      <w:pPr>
        <w:tabs>
          <w:tab w:val="left" w:pos="8220"/>
        </w:tabs>
        <w:spacing w:after="120" w:line="360" w:lineRule="auto"/>
        <w:ind w:left="420" w:firstLine="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人身意外伤害险投保人：</w:t>
      </w:r>
      <w:r>
        <w:rPr>
          <w:rFonts w:hint="eastAsia" w:ascii="宋体" w:hAnsi="宋体" w:cs="宋体"/>
          <w:color w:val="auto"/>
          <w:kern w:val="0"/>
          <w:szCs w:val="21"/>
          <w:highlight w:val="none"/>
          <w:u w:val="single"/>
          <w:lang w:val="zh-CN" w:bidi="zh-CN"/>
        </w:rPr>
        <w:t xml:space="preserve">     承包人       </w:t>
      </w:r>
      <w:r>
        <w:rPr>
          <w:rFonts w:hint="eastAsia" w:ascii="宋体" w:hAnsi="宋体" w:cs="宋体"/>
          <w:color w:val="auto"/>
          <w:kern w:val="0"/>
          <w:szCs w:val="21"/>
          <w:highlight w:val="none"/>
          <w:lang w:val="zh-CN" w:bidi="zh-CN"/>
        </w:rPr>
        <w:t xml:space="preserve">；                        </w:t>
      </w:r>
    </w:p>
    <w:p w14:paraId="4679488B">
      <w:pPr>
        <w:tabs>
          <w:tab w:val="left" w:pos="8220"/>
        </w:tabs>
        <w:spacing w:after="120" w:line="360" w:lineRule="auto"/>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 xml:space="preserve">投保内容：参加本合同工程建设的所有人员，包括参加工程建设的管理人员、监理人员、施工人员（含民工）、设计人员、政府监管部门人员,每一个被保险人建筑意外伤害保险包含意外伤害保险和意外伤害医疗保险，保险金额按《工伤保险条例》第三十九条第三款和当地补助标准进行补偿；                                                      </w:t>
      </w:r>
    </w:p>
    <w:p w14:paraId="21CFE043">
      <w:pPr>
        <w:tabs>
          <w:tab w:val="left" w:pos="8220"/>
        </w:tabs>
        <w:spacing w:after="120" w:line="360" w:lineRule="auto"/>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保险金额、保险费率和保险期限： 保险期限自投保之日（工程开工之日）起至工程完工验收并完成移交手续时止，时间上涵盖施工全过程的任一时段,保险费为中标的工程量清单总价的3‰，发包人在工程结算中按实际购买保险费进行结算   。</w:t>
      </w:r>
    </w:p>
    <w:p w14:paraId="239C883E">
      <w:pPr>
        <w:tabs>
          <w:tab w:val="left" w:pos="8220"/>
        </w:tabs>
        <w:spacing w:line="360" w:lineRule="auto"/>
        <w:ind w:left="440"/>
        <w:outlineLvl w:val="0"/>
        <w:rPr>
          <w:rFonts w:ascii="宋体" w:hAnsi="宋体" w:cs="宋体"/>
          <w:b/>
          <w:color w:val="auto"/>
          <w:kern w:val="0"/>
          <w:szCs w:val="21"/>
          <w:highlight w:val="none"/>
          <w:lang w:val="zh-CN" w:bidi="zh-CN"/>
        </w:rPr>
      </w:pPr>
      <w:bookmarkStart w:id="469" w:name="bookmark1843"/>
      <w:bookmarkStart w:id="470" w:name="bookmark1844"/>
      <w:bookmarkStart w:id="471" w:name="bookmark1845"/>
      <w:r>
        <w:rPr>
          <w:rFonts w:hint="eastAsia" w:ascii="宋体" w:hAnsi="宋体" w:cs="宋体"/>
          <w:b/>
          <w:color w:val="auto"/>
          <w:kern w:val="0"/>
          <w:szCs w:val="21"/>
          <w:highlight w:val="none"/>
          <w:lang w:val="zh-CN" w:bidi="zh-CN"/>
        </w:rPr>
        <w:t>20.4第三者责任险</w:t>
      </w:r>
      <w:bookmarkEnd w:id="469"/>
      <w:bookmarkEnd w:id="470"/>
      <w:bookmarkEnd w:id="471"/>
    </w:p>
    <w:p w14:paraId="1ACA1997">
      <w:pPr>
        <w:tabs>
          <w:tab w:val="left" w:pos="8225"/>
        </w:tabs>
        <w:spacing w:after="120" w:line="360" w:lineRule="auto"/>
        <w:ind w:left="420" w:firstLine="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 xml:space="preserve">20.4.2 </w:t>
      </w:r>
      <w:r>
        <w:rPr>
          <w:rFonts w:hint="eastAsia" w:ascii="宋体" w:hAnsi="宋体" w:cs="宋体"/>
          <w:color w:val="auto"/>
          <w:kern w:val="0"/>
          <w:szCs w:val="21"/>
          <w:highlight w:val="none"/>
          <w:lang w:val="zh-CN" w:bidi="zh-CN"/>
        </w:rPr>
        <w:t>第三者责任险保险费率：</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val="zh-CN" w:bidi="zh-CN"/>
        </w:rPr>
        <w:t>； 第三者责任险保险金额：______</w:t>
      </w:r>
      <w:r>
        <w:rPr>
          <w:rFonts w:hint="eastAsia" w:ascii="宋体" w:hAnsi="宋体" w:cs="宋体"/>
          <w:color w:val="auto"/>
          <w:kern w:val="0"/>
          <w:szCs w:val="21"/>
          <w:highlight w:val="none"/>
          <w:u w:val="single"/>
          <w:lang w:val="zh-CN" w:bidi="zh-CN"/>
        </w:rPr>
        <w:t xml:space="preserve">/    </w:t>
      </w:r>
      <w:r>
        <w:rPr>
          <w:rFonts w:hint="eastAsia" w:ascii="宋体" w:hAnsi="宋体" w:cs="宋体"/>
          <w:color w:val="auto"/>
          <w:kern w:val="0"/>
          <w:szCs w:val="21"/>
          <w:highlight w:val="none"/>
          <w:lang w:bidi="en-US"/>
        </w:rPr>
        <w:t>。</w:t>
      </w:r>
    </w:p>
    <w:p w14:paraId="595B903B">
      <w:pPr>
        <w:tabs>
          <w:tab w:val="left" w:pos="8220"/>
        </w:tabs>
        <w:spacing w:line="413" w:lineRule="auto"/>
        <w:ind w:left="440"/>
        <w:rPr>
          <w:rFonts w:ascii="宋体" w:hAnsi="宋体" w:cs="宋体"/>
          <w:b/>
          <w:color w:val="auto"/>
          <w:kern w:val="0"/>
          <w:szCs w:val="21"/>
          <w:highlight w:val="none"/>
          <w:lang w:val="zh-CN" w:bidi="zh-CN"/>
        </w:rPr>
      </w:pPr>
      <w:bookmarkStart w:id="472" w:name="bookmark1846"/>
      <w:bookmarkStart w:id="473" w:name="bookmark1847"/>
      <w:bookmarkStart w:id="474" w:name="bookmark1848"/>
      <w:r>
        <w:rPr>
          <w:rFonts w:hint="eastAsia" w:ascii="宋体" w:hAnsi="宋体" w:cs="宋体"/>
          <w:b/>
          <w:color w:val="auto"/>
          <w:kern w:val="0"/>
          <w:szCs w:val="21"/>
          <w:highlight w:val="none"/>
          <w:lang w:val="zh-CN" w:bidi="zh-CN"/>
        </w:rPr>
        <w:t>20.5其他保险</w:t>
      </w:r>
      <w:bookmarkEnd w:id="472"/>
      <w:bookmarkEnd w:id="473"/>
      <w:bookmarkEnd w:id="474"/>
    </w:p>
    <w:p w14:paraId="0C6D9529">
      <w:pPr>
        <w:tabs>
          <w:tab w:val="left" w:pos="8220"/>
        </w:tabs>
        <w:spacing w:after="120" w:line="346" w:lineRule="exact"/>
        <w:ind w:left="420" w:firstLine="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 xml:space="preserve">需要投保的其他内容： </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val="zh-CN" w:bidi="zh-CN"/>
        </w:rPr>
        <w:t>；保险金额、保险费率和保险期限：</w:t>
      </w:r>
      <w:r>
        <w:rPr>
          <w:rFonts w:hint="eastAsia" w:ascii="宋体" w:hAnsi="宋体" w:cs="宋体"/>
          <w:color w:val="auto"/>
          <w:kern w:val="0"/>
          <w:szCs w:val="21"/>
          <w:highlight w:val="none"/>
          <w:u w:val="single"/>
          <w:lang w:val="zh-CN" w:bidi="zh-CN"/>
        </w:rPr>
        <w:t xml:space="preserve">    ______/    </w:t>
      </w:r>
      <w:r>
        <w:rPr>
          <w:rFonts w:hint="eastAsia" w:ascii="宋体" w:hAnsi="宋体" w:cs="宋体"/>
          <w:color w:val="auto"/>
          <w:kern w:val="0"/>
          <w:szCs w:val="21"/>
          <w:highlight w:val="none"/>
          <w:lang w:val="zh-CN" w:bidi="zh-CN"/>
        </w:rPr>
        <w:t>；</w:t>
      </w:r>
    </w:p>
    <w:p w14:paraId="407A972F">
      <w:pPr>
        <w:tabs>
          <w:tab w:val="left" w:pos="8220"/>
        </w:tabs>
        <w:spacing w:line="413" w:lineRule="auto"/>
        <w:ind w:left="440"/>
        <w:outlineLvl w:val="0"/>
        <w:rPr>
          <w:rFonts w:ascii="宋体" w:hAnsi="宋体" w:cs="宋体"/>
          <w:b/>
          <w:color w:val="auto"/>
          <w:kern w:val="0"/>
          <w:szCs w:val="21"/>
          <w:highlight w:val="none"/>
          <w:lang w:val="zh-CN" w:bidi="zh-CN"/>
        </w:rPr>
      </w:pPr>
      <w:bookmarkStart w:id="475" w:name="bookmark1851"/>
      <w:bookmarkStart w:id="476" w:name="bookmark1849"/>
      <w:bookmarkStart w:id="477" w:name="bookmark1850"/>
      <w:r>
        <w:rPr>
          <w:rFonts w:hint="eastAsia" w:ascii="宋体" w:hAnsi="宋体" w:cs="宋体"/>
          <w:b/>
          <w:color w:val="auto"/>
          <w:kern w:val="0"/>
          <w:szCs w:val="21"/>
          <w:highlight w:val="none"/>
          <w:lang w:val="zh-CN" w:bidi="zh-CN"/>
        </w:rPr>
        <w:t>20.6对各项保险的一般要求</w:t>
      </w:r>
      <w:bookmarkEnd w:id="475"/>
      <w:bookmarkEnd w:id="476"/>
      <w:bookmarkEnd w:id="477"/>
    </w:p>
    <w:p w14:paraId="16EC6323">
      <w:pPr>
        <w:spacing w:line="349" w:lineRule="exact"/>
        <w:ind w:firstLine="420"/>
        <w:jc w:val="left"/>
        <w:outlineLvl w:val="0"/>
        <w:rPr>
          <w:rFonts w:ascii="宋体" w:hAnsi="宋体" w:cs="宋体"/>
          <w:color w:val="auto"/>
          <w:kern w:val="0"/>
          <w:szCs w:val="21"/>
          <w:highlight w:val="none"/>
        </w:rPr>
      </w:pPr>
      <w:r>
        <w:rPr>
          <w:rFonts w:hint="eastAsia" w:ascii="宋体" w:hAnsi="宋体" w:cs="宋体"/>
          <w:color w:val="auto"/>
          <w:kern w:val="0"/>
          <w:szCs w:val="21"/>
          <w:highlight w:val="none"/>
        </w:rPr>
        <w:t>20. 6.</w:t>
      </w:r>
      <w:r>
        <w:rPr>
          <w:rFonts w:hint="eastAsia" w:ascii="宋体" w:hAnsi="宋体" w:cs="宋体"/>
          <w:color w:val="auto"/>
          <w:kern w:val="0"/>
          <w:szCs w:val="21"/>
          <w:highlight w:val="none"/>
          <w:lang w:val="zh-CN" w:bidi="zh-CN"/>
        </w:rPr>
        <w:t>1保险凭证</w:t>
      </w:r>
    </w:p>
    <w:p w14:paraId="554001A9">
      <w:pPr>
        <w:tabs>
          <w:tab w:val="left" w:pos="8220"/>
        </w:tabs>
        <w:spacing w:line="346" w:lineRule="exact"/>
        <w:ind w:left="420" w:firstLine="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承包人提交保险凭证的期限：</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val="zh-CN" w:bidi="zh-CN"/>
        </w:rPr>
        <w:t>； 保险条件：</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bidi="en-US"/>
        </w:rPr>
        <w:t>。</w:t>
      </w:r>
    </w:p>
    <w:p w14:paraId="536EA1CF">
      <w:pPr>
        <w:spacing w:line="346" w:lineRule="exact"/>
        <w:ind w:firstLine="420"/>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20. 6.</w:t>
      </w:r>
      <w:r>
        <w:rPr>
          <w:rFonts w:hint="eastAsia" w:ascii="宋体" w:hAnsi="宋体" w:cs="宋体"/>
          <w:color w:val="auto"/>
          <w:kern w:val="0"/>
          <w:szCs w:val="21"/>
          <w:highlight w:val="none"/>
          <w:lang w:val="zh-CN" w:bidi="zh-CN"/>
        </w:rPr>
        <w:t>4保险金不足的补偿</w:t>
      </w:r>
    </w:p>
    <w:p w14:paraId="3DE11515">
      <w:pPr>
        <w:tabs>
          <w:tab w:val="left" w:pos="8215"/>
          <w:tab w:val="left" w:pos="8218"/>
        </w:tabs>
        <w:spacing w:after="260" w:line="350" w:lineRule="exact"/>
        <w:ind w:left="420" w:firstLine="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 xml:space="preserve">承包人负责补偿的范围与金额： </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val="zh-CN" w:bidi="zh-CN"/>
        </w:rPr>
        <w:t>； 发包人负责补偿的范围与金额：</w:t>
      </w:r>
      <w:r>
        <w:rPr>
          <w:rFonts w:hint="eastAsia" w:ascii="宋体" w:hAnsi="宋体" w:cs="宋体"/>
          <w:color w:val="auto"/>
          <w:kern w:val="0"/>
          <w:szCs w:val="21"/>
          <w:highlight w:val="none"/>
          <w:u w:val="single"/>
          <w:lang w:val="zh-CN" w:bidi="zh-CN"/>
        </w:rPr>
        <w:t xml:space="preserve">    /    </w:t>
      </w:r>
      <w:r>
        <w:rPr>
          <w:rFonts w:hint="eastAsia" w:ascii="宋体" w:hAnsi="宋体" w:cs="宋体"/>
          <w:color w:val="auto"/>
          <w:kern w:val="0"/>
          <w:szCs w:val="21"/>
          <w:highlight w:val="none"/>
          <w:lang w:bidi="en-US"/>
        </w:rPr>
        <w:t>。</w:t>
      </w:r>
    </w:p>
    <w:p w14:paraId="55ADF995">
      <w:pPr>
        <w:keepLines/>
        <w:spacing w:before="120" w:after="120" w:line="415" w:lineRule="auto"/>
        <w:jc w:val="left"/>
        <w:outlineLvl w:val="1"/>
        <w:rPr>
          <w:rFonts w:ascii="宋体" w:hAnsi="宋体" w:cs="宋体"/>
          <w:b/>
          <w:bCs/>
          <w:color w:val="auto"/>
          <w:kern w:val="0"/>
          <w:szCs w:val="21"/>
          <w:highlight w:val="none"/>
          <w:lang w:bidi="en-US"/>
        </w:rPr>
      </w:pPr>
      <w:bookmarkStart w:id="478" w:name="bookmark1854"/>
      <w:bookmarkEnd w:id="478"/>
      <w:bookmarkStart w:id="479" w:name="bookmark1855"/>
      <w:bookmarkStart w:id="480" w:name="_Toc14710457"/>
      <w:bookmarkStart w:id="481" w:name="_Toc13643"/>
      <w:bookmarkStart w:id="482" w:name="_Toc31045"/>
      <w:bookmarkStart w:id="483" w:name="bookmark1852"/>
      <w:bookmarkStart w:id="484" w:name="bookmark1853"/>
      <w:r>
        <w:rPr>
          <w:rFonts w:hint="eastAsia" w:ascii="宋体" w:hAnsi="宋体" w:cs="宋体"/>
          <w:b/>
          <w:bCs/>
          <w:color w:val="auto"/>
          <w:kern w:val="0"/>
          <w:szCs w:val="21"/>
          <w:highlight w:val="none"/>
          <w:lang w:bidi="en-US"/>
        </w:rPr>
        <w:t>21. 不可抗力</w:t>
      </w:r>
      <w:bookmarkEnd w:id="479"/>
      <w:bookmarkEnd w:id="480"/>
      <w:bookmarkEnd w:id="481"/>
      <w:bookmarkEnd w:id="482"/>
    </w:p>
    <w:p w14:paraId="11CBFCA4">
      <w:pPr>
        <w:tabs>
          <w:tab w:val="left" w:pos="8220"/>
        </w:tabs>
        <w:spacing w:line="413" w:lineRule="auto"/>
        <w:ind w:left="440"/>
        <w:rPr>
          <w:rFonts w:ascii="宋体" w:hAnsi="宋体" w:cs="宋体"/>
          <w:b/>
          <w:color w:val="auto"/>
          <w:kern w:val="0"/>
          <w:szCs w:val="21"/>
          <w:highlight w:val="none"/>
          <w:lang w:val="zh-CN" w:bidi="zh-CN"/>
        </w:rPr>
      </w:pPr>
      <w:bookmarkStart w:id="485" w:name="bookmark1856"/>
      <w:r>
        <w:rPr>
          <w:rFonts w:hint="eastAsia" w:ascii="宋体" w:hAnsi="宋体" w:cs="宋体"/>
          <w:b/>
          <w:color w:val="auto"/>
          <w:kern w:val="0"/>
          <w:szCs w:val="21"/>
          <w:highlight w:val="none"/>
          <w:lang w:val="zh-CN" w:bidi="zh-CN"/>
        </w:rPr>
        <w:t>21.1不可抗力的确认</w:t>
      </w:r>
      <w:bookmarkEnd w:id="483"/>
      <w:bookmarkEnd w:id="484"/>
      <w:bookmarkEnd w:id="485"/>
    </w:p>
    <w:p w14:paraId="54EFA6A8">
      <w:pPr>
        <w:spacing w:after="260" w:line="346"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bidi="en-US"/>
        </w:rPr>
        <w:t>21.1.1</w:t>
      </w:r>
      <w:r>
        <w:rPr>
          <w:rFonts w:hint="eastAsia" w:ascii="宋体" w:hAnsi="宋体" w:cs="宋体"/>
          <w:color w:val="auto"/>
          <w:kern w:val="0"/>
          <w:szCs w:val="21"/>
          <w:highlight w:val="none"/>
          <w:lang w:val="zh-CN" w:bidi="zh-CN"/>
        </w:rPr>
        <w:t>不可抗力是指承包人和发包人在订立合同时不可预见，在工程施工过程中不可避免发生并不能克服的自然灾害和社会性突发事件，如地震、海啸、瘟疫、水灾、骚乱、 暴动、战争和本合同专用合同条款第</w:t>
      </w:r>
      <w:r>
        <w:rPr>
          <w:rFonts w:hint="eastAsia" w:ascii="宋体" w:hAnsi="宋体" w:cs="宋体"/>
          <w:color w:val="auto"/>
          <w:kern w:val="0"/>
          <w:szCs w:val="21"/>
          <w:highlight w:val="none"/>
          <w:lang w:bidi="en-US"/>
        </w:rPr>
        <w:t xml:space="preserve">11. </w:t>
      </w:r>
      <w:r>
        <w:rPr>
          <w:rFonts w:hint="eastAsia" w:ascii="宋体" w:hAnsi="宋体" w:cs="宋体"/>
          <w:color w:val="auto"/>
          <w:kern w:val="0"/>
          <w:szCs w:val="21"/>
          <w:highlight w:val="none"/>
          <w:lang w:val="zh-CN" w:bidi="zh-CN"/>
        </w:rPr>
        <w:t>4款的约定。</w:t>
      </w:r>
    </w:p>
    <w:p w14:paraId="05F91CBD">
      <w:pPr>
        <w:keepLines/>
        <w:spacing w:before="120" w:after="120" w:line="415" w:lineRule="auto"/>
        <w:jc w:val="left"/>
        <w:outlineLvl w:val="1"/>
        <w:rPr>
          <w:rFonts w:ascii="宋体" w:hAnsi="宋体" w:cs="宋体"/>
          <w:b/>
          <w:bCs/>
          <w:color w:val="auto"/>
          <w:kern w:val="0"/>
          <w:szCs w:val="21"/>
          <w:highlight w:val="none"/>
          <w:lang w:bidi="en-US"/>
        </w:rPr>
      </w:pPr>
      <w:bookmarkStart w:id="486" w:name="_Toc14710458"/>
      <w:bookmarkStart w:id="487" w:name="bookmark1858"/>
      <w:bookmarkStart w:id="488" w:name="_Toc17737"/>
      <w:bookmarkStart w:id="489" w:name="_Toc2281"/>
      <w:bookmarkStart w:id="490" w:name="bookmark1859"/>
      <w:bookmarkStart w:id="491" w:name="bookmark1857"/>
      <w:r>
        <w:rPr>
          <w:rFonts w:hint="eastAsia" w:ascii="宋体" w:hAnsi="宋体" w:cs="宋体"/>
          <w:b/>
          <w:bCs/>
          <w:color w:val="auto"/>
          <w:kern w:val="0"/>
          <w:szCs w:val="21"/>
          <w:highlight w:val="none"/>
          <w:lang w:bidi="en-US"/>
        </w:rPr>
        <w:t>24. 争议的解决</w:t>
      </w:r>
      <w:bookmarkEnd w:id="486"/>
      <w:bookmarkEnd w:id="487"/>
      <w:bookmarkEnd w:id="488"/>
      <w:bookmarkEnd w:id="489"/>
      <w:bookmarkEnd w:id="490"/>
      <w:bookmarkEnd w:id="491"/>
    </w:p>
    <w:p w14:paraId="18D9C72F">
      <w:pPr>
        <w:tabs>
          <w:tab w:val="left" w:pos="8220"/>
        </w:tabs>
        <w:spacing w:line="413" w:lineRule="auto"/>
        <w:ind w:left="440"/>
        <w:rPr>
          <w:rFonts w:ascii="宋体" w:hAnsi="宋体" w:cs="宋体"/>
          <w:b/>
          <w:color w:val="auto"/>
          <w:kern w:val="0"/>
          <w:szCs w:val="21"/>
          <w:highlight w:val="none"/>
          <w:lang w:val="zh-CN" w:bidi="zh-CN"/>
        </w:rPr>
      </w:pPr>
      <w:bookmarkStart w:id="492" w:name="bookmark1860"/>
      <w:bookmarkStart w:id="493" w:name="bookmark1862"/>
      <w:bookmarkStart w:id="494" w:name="bookmark1861"/>
      <w:r>
        <w:rPr>
          <w:rFonts w:hint="eastAsia" w:ascii="宋体" w:hAnsi="宋体" w:cs="宋体"/>
          <w:b/>
          <w:color w:val="auto"/>
          <w:kern w:val="0"/>
          <w:szCs w:val="21"/>
          <w:highlight w:val="none"/>
          <w:lang w:val="zh-CN" w:bidi="zh-CN"/>
        </w:rPr>
        <w:t>24.1争议的解决方式</w:t>
      </w:r>
      <w:bookmarkEnd w:id="492"/>
      <w:bookmarkEnd w:id="493"/>
      <w:bookmarkEnd w:id="494"/>
    </w:p>
    <w:p w14:paraId="3C2CFDA8">
      <w:pPr>
        <w:tabs>
          <w:tab w:val="left" w:pos="8198"/>
        </w:tabs>
        <w:spacing w:after="120" w:line="355" w:lineRule="exact"/>
        <w:ind w:firstLine="44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合同当事人友好协商解决不成、不愿提请争议评审或不接受争议评审组意见的，约定的合同争议解决方式：</w:t>
      </w:r>
      <w:r>
        <w:rPr>
          <w:rFonts w:hint="eastAsia" w:ascii="宋体" w:hAnsi="宋体" w:cs="宋体"/>
          <w:color w:val="auto"/>
          <w:kern w:val="0"/>
          <w:szCs w:val="21"/>
          <w:highlight w:val="none"/>
          <w:u w:val="single"/>
          <w:lang w:val="zh-CN" w:bidi="zh-CN"/>
        </w:rPr>
        <w:t xml:space="preserve">    （1）向约定的仲裁委员会申请仲裁；（2）向有管辖权的人民法院提起诉讼    </w:t>
      </w:r>
      <w:r>
        <w:rPr>
          <w:rFonts w:hint="eastAsia" w:ascii="宋体" w:hAnsi="宋体" w:cs="宋体"/>
          <w:color w:val="auto"/>
          <w:kern w:val="0"/>
          <w:szCs w:val="21"/>
          <w:highlight w:val="none"/>
          <w:lang w:bidi="en-US"/>
        </w:rPr>
        <w:t>。</w:t>
      </w:r>
    </w:p>
    <w:p w14:paraId="1B2ACA7D">
      <w:pPr>
        <w:keepLines/>
        <w:spacing w:before="120" w:after="120" w:line="415" w:lineRule="auto"/>
        <w:jc w:val="left"/>
        <w:outlineLvl w:val="1"/>
        <w:rPr>
          <w:rFonts w:ascii="宋体" w:hAnsi="宋体" w:cs="宋体"/>
          <w:b/>
          <w:bCs/>
          <w:color w:val="auto"/>
          <w:kern w:val="0"/>
          <w:szCs w:val="21"/>
          <w:highlight w:val="none"/>
          <w:lang w:bidi="en-US"/>
        </w:rPr>
      </w:pPr>
      <w:bookmarkStart w:id="495" w:name="bookmark1865"/>
      <w:bookmarkStart w:id="496" w:name="_Toc14710459"/>
      <w:bookmarkStart w:id="497" w:name="_Toc30466"/>
      <w:bookmarkStart w:id="498" w:name="_Toc26089"/>
      <w:bookmarkStart w:id="499" w:name="bookmark1863"/>
      <w:bookmarkStart w:id="500" w:name="bookmark1864"/>
      <w:r>
        <w:rPr>
          <w:rFonts w:hint="eastAsia" w:ascii="宋体" w:hAnsi="宋体" w:cs="宋体"/>
          <w:b/>
          <w:bCs/>
          <w:color w:val="auto"/>
          <w:kern w:val="0"/>
          <w:szCs w:val="21"/>
          <w:highlight w:val="none"/>
          <w:lang w:bidi="en-US"/>
        </w:rPr>
        <w:t>25. 附加条款</w:t>
      </w:r>
      <w:bookmarkEnd w:id="495"/>
      <w:bookmarkEnd w:id="496"/>
      <w:bookmarkEnd w:id="497"/>
      <w:bookmarkEnd w:id="498"/>
      <w:bookmarkEnd w:id="499"/>
      <w:bookmarkEnd w:id="500"/>
    </w:p>
    <w:p w14:paraId="10E87026">
      <w:pPr>
        <w:tabs>
          <w:tab w:val="left" w:pos="8220"/>
        </w:tabs>
        <w:spacing w:line="413" w:lineRule="auto"/>
        <w:ind w:left="440"/>
        <w:rPr>
          <w:rFonts w:ascii="宋体" w:hAnsi="宋体" w:cs="宋体"/>
          <w:b/>
          <w:color w:val="auto"/>
          <w:kern w:val="0"/>
          <w:szCs w:val="21"/>
          <w:highlight w:val="none"/>
          <w:lang w:val="zh-CN" w:bidi="zh-CN"/>
        </w:rPr>
      </w:pPr>
      <w:bookmarkStart w:id="501" w:name="bookmark1867"/>
      <w:bookmarkStart w:id="502" w:name="bookmark1868"/>
      <w:bookmarkStart w:id="503" w:name="bookmark1866"/>
      <w:r>
        <w:rPr>
          <w:rFonts w:hint="eastAsia" w:ascii="宋体" w:hAnsi="宋体" w:cs="宋体"/>
          <w:b/>
          <w:color w:val="auto"/>
          <w:kern w:val="0"/>
          <w:szCs w:val="21"/>
          <w:highlight w:val="none"/>
          <w:lang w:val="zh-CN" w:bidi="zh-CN"/>
        </w:rPr>
        <w:t>25.1对承包人的要求</w:t>
      </w:r>
      <w:bookmarkEnd w:id="501"/>
      <w:bookmarkEnd w:id="502"/>
      <w:bookmarkEnd w:id="503"/>
    </w:p>
    <w:p w14:paraId="3A130AAA">
      <w:pPr>
        <w:numPr>
          <w:ilvl w:val="0"/>
          <w:numId w:val="12"/>
        </w:numPr>
        <w:tabs>
          <w:tab w:val="left" w:pos="707"/>
        </w:tabs>
        <w:spacing w:line="352" w:lineRule="exact"/>
        <w:ind w:firstLine="440"/>
        <w:jc w:val="left"/>
        <w:rPr>
          <w:rFonts w:ascii="宋体" w:hAnsi="宋体" w:cs="宋体"/>
          <w:color w:val="auto"/>
          <w:kern w:val="0"/>
          <w:szCs w:val="21"/>
          <w:highlight w:val="none"/>
          <w:lang w:val="zh-CN" w:bidi="zh-CN"/>
        </w:rPr>
      </w:pPr>
      <w:bookmarkStart w:id="504" w:name="bookmark1869"/>
      <w:bookmarkEnd w:id="504"/>
      <w:r>
        <w:rPr>
          <w:rFonts w:hint="eastAsia" w:ascii="宋体" w:hAnsi="宋体" w:cs="宋体"/>
          <w:color w:val="auto"/>
          <w:kern w:val="0"/>
          <w:szCs w:val="21"/>
          <w:highlight w:val="none"/>
          <w:lang w:val="zh-CN" w:bidi="zh-CN"/>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5天后派员进驻工地直接监管工程, 使用承包人设备、临时工程和材料，另行组织人员或委托其他承包人施工，但发包人的这一行为不免除承包人按合同规定应负的责任。</w:t>
      </w:r>
    </w:p>
    <w:p w14:paraId="3BCEBF6E">
      <w:pPr>
        <w:numPr>
          <w:ilvl w:val="0"/>
          <w:numId w:val="12"/>
        </w:numPr>
        <w:tabs>
          <w:tab w:val="left" w:pos="707"/>
        </w:tabs>
        <w:spacing w:line="352" w:lineRule="exact"/>
        <w:ind w:firstLine="440"/>
        <w:jc w:val="left"/>
        <w:rPr>
          <w:rFonts w:ascii="宋体" w:hAnsi="宋体" w:cs="宋体"/>
          <w:color w:val="auto"/>
          <w:kern w:val="0"/>
          <w:szCs w:val="21"/>
          <w:highlight w:val="none"/>
          <w:lang w:val="zh-CN" w:bidi="zh-CN"/>
        </w:rPr>
      </w:pPr>
      <w:bookmarkStart w:id="505" w:name="bookmark1870"/>
      <w:bookmarkEnd w:id="505"/>
      <w:r>
        <w:rPr>
          <w:rFonts w:hint="eastAsia" w:ascii="宋体" w:hAnsi="宋体" w:cs="宋体"/>
          <w:color w:val="auto"/>
          <w:kern w:val="0"/>
          <w:szCs w:val="21"/>
          <w:highlight w:val="none"/>
          <w:lang w:val="zh-CN" w:bidi="zh-CN"/>
        </w:rPr>
        <w:t>遵守国务院《建设工程质量管理条例》，根据水利部、自治区和水利厅的有关质量管理规定，建立健全质量管理机构，结合工程实际制定完善的可操作性强的质量管理制度，施工质量等级达到合同约定等级。</w:t>
      </w:r>
    </w:p>
    <w:p w14:paraId="45D817D8">
      <w:pPr>
        <w:numPr>
          <w:ilvl w:val="0"/>
          <w:numId w:val="12"/>
        </w:numPr>
        <w:tabs>
          <w:tab w:val="left" w:pos="707"/>
        </w:tabs>
        <w:spacing w:line="352" w:lineRule="exact"/>
        <w:ind w:firstLine="440"/>
        <w:jc w:val="left"/>
        <w:rPr>
          <w:rFonts w:ascii="宋体" w:hAnsi="宋体" w:cs="宋体"/>
          <w:color w:val="auto"/>
          <w:kern w:val="0"/>
          <w:szCs w:val="21"/>
          <w:highlight w:val="none"/>
          <w:lang w:val="zh-CN" w:bidi="zh-CN"/>
        </w:rPr>
      </w:pPr>
      <w:bookmarkStart w:id="506" w:name="bookmark1871"/>
      <w:bookmarkEnd w:id="506"/>
      <w:r>
        <w:rPr>
          <w:rFonts w:hint="eastAsia" w:ascii="宋体" w:hAnsi="宋体" w:cs="宋体"/>
          <w:color w:val="auto"/>
          <w:kern w:val="0"/>
          <w:szCs w:val="21"/>
          <w:highlight w:val="none"/>
          <w:lang w:val="zh-CN" w:bidi="zh-CN"/>
        </w:rPr>
        <w:t>按国家《中华人民共和国生产安全法》、《建设工程安全生产管理条例》、自治区安全生产法规和水利水电工程施工安全操作规程的规定建立健全安全管理机构和安全管理制度，采取安全施工保障措施保障工程施工安全。</w:t>
      </w:r>
    </w:p>
    <w:p w14:paraId="2E8836CF">
      <w:pPr>
        <w:numPr>
          <w:ilvl w:val="0"/>
          <w:numId w:val="12"/>
        </w:numPr>
        <w:tabs>
          <w:tab w:val="left" w:pos="705"/>
        </w:tabs>
        <w:spacing w:line="352" w:lineRule="exact"/>
        <w:ind w:firstLine="440"/>
        <w:jc w:val="left"/>
        <w:rPr>
          <w:rFonts w:ascii="宋体" w:hAnsi="宋体" w:cs="宋体"/>
          <w:color w:val="auto"/>
          <w:kern w:val="0"/>
          <w:szCs w:val="21"/>
          <w:highlight w:val="none"/>
          <w:lang w:val="zh-CN" w:bidi="zh-CN"/>
        </w:rPr>
      </w:pPr>
      <w:bookmarkStart w:id="507" w:name="bookmark1872"/>
      <w:bookmarkEnd w:id="507"/>
      <w:r>
        <w:rPr>
          <w:rFonts w:hint="eastAsia" w:ascii="宋体" w:hAnsi="宋体" w:cs="宋体"/>
          <w:color w:val="auto"/>
          <w:kern w:val="0"/>
          <w:szCs w:val="21"/>
          <w:highlight w:val="none"/>
          <w:lang w:val="zh-CN" w:bidi="zh-CN"/>
        </w:rPr>
        <w:t>按有关施工规程规范及本招标文件技术条款进行组织施工并实施施工过程和移交前工程保护措施。</w:t>
      </w:r>
    </w:p>
    <w:p w14:paraId="322E2D58">
      <w:pPr>
        <w:numPr>
          <w:ilvl w:val="0"/>
          <w:numId w:val="12"/>
        </w:numPr>
        <w:tabs>
          <w:tab w:val="left" w:pos="710"/>
        </w:tabs>
        <w:spacing w:line="352" w:lineRule="exact"/>
        <w:ind w:firstLine="440"/>
        <w:jc w:val="left"/>
        <w:rPr>
          <w:rFonts w:ascii="宋体" w:hAnsi="宋体" w:cs="宋体"/>
          <w:color w:val="auto"/>
          <w:kern w:val="0"/>
          <w:szCs w:val="21"/>
          <w:highlight w:val="none"/>
          <w:lang w:val="zh-CN" w:bidi="zh-CN"/>
        </w:rPr>
      </w:pPr>
      <w:bookmarkStart w:id="508" w:name="bookmark1873"/>
      <w:bookmarkEnd w:id="508"/>
      <w:r>
        <w:rPr>
          <w:rFonts w:hint="eastAsia" w:ascii="宋体" w:hAnsi="宋体" w:cs="宋体"/>
          <w:color w:val="auto"/>
          <w:kern w:val="0"/>
          <w:szCs w:val="21"/>
          <w:highlight w:val="none"/>
          <w:lang w:val="zh-CN" w:bidi="zh-CN"/>
        </w:rPr>
        <w:t>承包人违约有以下情况之一者，发包人有权采取合同规定的以下措施处理，并视情节轻重处予违约金。</w:t>
      </w:r>
    </w:p>
    <w:p w14:paraId="496C54DE">
      <w:pPr>
        <w:numPr>
          <w:ilvl w:val="0"/>
          <w:numId w:val="13"/>
        </w:numPr>
        <w:tabs>
          <w:tab w:val="left" w:pos="883"/>
        </w:tabs>
        <w:spacing w:line="352" w:lineRule="exact"/>
        <w:ind w:firstLine="440"/>
        <w:jc w:val="left"/>
        <w:rPr>
          <w:rFonts w:ascii="宋体" w:hAnsi="宋体" w:cs="宋体"/>
          <w:color w:val="auto"/>
          <w:kern w:val="0"/>
          <w:szCs w:val="21"/>
          <w:highlight w:val="none"/>
          <w:lang w:val="zh-CN" w:bidi="zh-CN"/>
        </w:rPr>
      </w:pPr>
      <w:bookmarkStart w:id="509" w:name="bookmark1874"/>
      <w:bookmarkEnd w:id="509"/>
      <w:r>
        <w:rPr>
          <w:rFonts w:hint="eastAsia" w:ascii="宋体" w:hAnsi="宋体" w:cs="宋体"/>
          <w:color w:val="auto"/>
          <w:kern w:val="0"/>
          <w:szCs w:val="21"/>
          <w:highlight w:val="none"/>
          <w:lang w:val="zh-CN" w:bidi="zh-CN"/>
        </w:rPr>
        <w:t>未经发包人批准，施工期内承包人调走主要施工技术人员(包括建造师、专业工程师)，经发现不及时调回的，违约金额为履约保证金金额的5% ~20% (视情节严重而 定)</w:t>
      </w:r>
      <w:r>
        <w:rPr>
          <w:rFonts w:hint="eastAsia" w:ascii="宋体" w:hAnsi="宋体" w:cs="宋体"/>
          <w:color w:val="auto"/>
          <w:kern w:val="0"/>
          <w:szCs w:val="21"/>
          <w:highlight w:val="none"/>
          <w:lang w:bidi="en-US"/>
        </w:rPr>
        <w:t>。</w:t>
      </w:r>
    </w:p>
    <w:p w14:paraId="740FB4EB">
      <w:pPr>
        <w:numPr>
          <w:ilvl w:val="0"/>
          <w:numId w:val="13"/>
        </w:numPr>
        <w:tabs>
          <w:tab w:val="left" w:pos="880"/>
        </w:tabs>
        <w:spacing w:line="352" w:lineRule="exact"/>
        <w:ind w:firstLine="440"/>
        <w:jc w:val="left"/>
        <w:rPr>
          <w:rFonts w:ascii="宋体" w:hAnsi="宋体" w:cs="宋体"/>
          <w:color w:val="auto"/>
          <w:kern w:val="0"/>
          <w:szCs w:val="21"/>
          <w:highlight w:val="none"/>
          <w:lang w:val="zh-CN" w:bidi="zh-CN"/>
        </w:rPr>
      </w:pPr>
      <w:bookmarkStart w:id="510" w:name="bookmark1875"/>
      <w:bookmarkEnd w:id="510"/>
      <w:r>
        <w:rPr>
          <w:rFonts w:hint="eastAsia" w:ascii="宋体" w:hAnsi="宋体" w:cs="宋体"/>
          <w:color w:val="auto"/>
          <w:kern w:val="0"/>
          <w:szCs w:val="21"/>
          <w:highlight w:val="none"/>
          <w:lang w:val="zh-CN" w:bidi="zh-CN"/>
        </w:rPr>
        <w:t>未经发包人批准，施工期内自行调走主要施工机械，经发现不及时调回的，违约金额为履约保证金金额的5% ~ 20% (视情节严重而定)</w:t>
      </w:r>
      <w:r>
        <w:rPr>
          <w:rFonts w:hint="eastAsia" w:ascii="宋体" w:hAnsi="宋体" w:cs="宋体"/>
          <w:color w:val="auto"/>
          <w:kern w:val="0"/>
          <w:szCs w:val="21"/>
          <w:highlight w:val="none"/>
          <w:lang w:bidi="en-US"/>
        </w:rPr>
        <w:t>。</w:t>
      </w:r>
    </w:p>
    <w:p w14:paraId="2FC2A17D">
      <w:pPr>
        <w:numPr>
          <w:ilvl w:val="0"/>
          <w:numId w:val="13"/>
        </w:numPr>
        <w:tabs>
          <w:tab w:val="left" w:pos="883"/>
        </w:tabs>
        <w:spacing w:line="352" w:lineRule="exact"/>
        <w:ind w:firstLine="440"/>
        <w:jc w:val="left"/>
        <w:rPr>
          <w:rFonts w:ascii="宋体" w:hAnsi="宋体" w:cs="宋体"/>
          <w:color w:val="auto"/>
          <w:kern w:val="0"/>
          <w:szCs w:val="21"/>
          <w:highlight w:val="none"/>
          <w:lang w:val="zh-CN" w:bidi="zh-CN"/>
        </w:rPr>
      </w:pPr>
      <w:bookmarkStart w:id="511" w:name="bookmark1876"/>
      <w:bookmarkEnd w:id="511"/>
      <w:r>
        <w:rPr>
          <w:rFonts w:hint="eastAsia" w:ascii="宋体" w:hAnsi="宋体" w:cs="宋体"/>
          <w:color w:val="auto"/>
          <w:kern w:val="0"/>
          <w:szCs w:val="21"/>
          <w:highlight w:val="none"/>
          <w:lang w:val="zh-CN" w:bidi="zh-CN"/>
        </w:rPr>
        <w:t>所有以上违约金额均在承包人的履约保证金(包括银行利息)及计量支付款内扣 除，承包人履约保证金被扣除后，由发包人从最后一次计量支付时扣相应金额补足履约保证金。</w:t>
      </w:r>
    </w:p>
    <w:p w14:paraId="6436BF1D">
      <w:pPr>
        <w:numPr>
          <w:ilvl w:val="0"/>
          <w:numId w:val="13"/>
        </w:numPr>
        <w:tabs>
          <w:tab w:val="left" w:pos="885"/>
        </w:tabs>
        <w:spacing w:line="352" w:lineRule="exact"/>
        <w:ind w:firstLine="440"/>
        <w:jc w:val="left"/>
        <w:rPr>
          <w:rFonts w:ascii="宋体" w:hAnsi="宋体" w:cs="宋体"/>
          <w:color w:val="auto"/>
          <w:kern w:val="0"/>
          <w:szCs w:val="21"/>
          <w:highlight w:val="none"/>
          <w:lang w:val="zh-CN" w:bidi="zh-CN"/>
        </w:rPr>
      </w:pPr>
      <w:bookmarkStart w:id="512" w:name="bookmark1877"/>
      <w:bookmarkEnd w:id="512"/>
      <w:r>
        <w:rPr>
          <w:rFonts w:hint="eastAsia" w:ascii="宋体" w:hAnsi="宋体" w:cs="宋体"/>
          <w:color w:val="auto"/>
          <w:kern w:val="0"/>
          <w:szCs w:val="21"/>
          <w:highlight w:val="none"/>
          <w:lang w:val="zh-CN" w:bidi="zh-CN"/>
        </w:rPr>
        <w:t>承包人的人员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 械、材料和劳动力不能满足施工进度要求，有权指令承包人增加机械、材料和劳动力投入, 承包人不得拒绝。</w:t>
      </w:r>
    </w:p>
    <w:p w14:paraId="791DB98C">
      <w:pPr>
        <w:numPr>
          <w:ilvl w:val="0"/>
          <w:numId w:val="13"/>
        </w:numPr>
        <w:tabs>
          <w:tab w:val="left" w:pos="883"/>
        </w:tabs>
        <w:spacing w:line="352" w:lineRule="exact"/>
        <w:ind w:firstLine="440"/>
        <w:jc w:val="left"/>
        <w:rPr>
          <w:rFonts w:ascii="宋体" w:hAnsi="宋体" w:cs="宋体"/>
          <w:color w:val="auto"/>
          <w:kern w:val="0"/>
          <w:szCs w:val="21"/>
          <w:highlight w:val="none"/>
          <w:lang w:val="zh-CN" w:bidi="zh-CN"/>
        </w:rPr>
      </w:pPr>
      <w:bookmarkStart w:id="513" w:name="bookmark1878"/>
      <w:bookmarkEnd w:id="513"/>
      <w:r>
        <w:rPr>
          <w:rFonts w:hint="eastAsia" w:ascii="宋体" w:hAnsi="宋体" w:cs="宋体"/>
          <w:color w:val="auto"/>
          <w:kern w:val="0"/>
          <w:szCs w:val="21"/>
          <w:highlight w:val="none"/>
          <w:lang w:val="zh-CN" w:bidi="zh-CN"/>
        </w:rPr>
        <w:t>合同签订之日起15日内，承包人无法按合同规定进场全部人员和机械时，作为承包人违约，发包人可解除合同，没收其全部履约保证金，另行发包工程。</w:t>
      </w:r>
    </w:p>
    <w:p w14:paraId="4A5A826A">
      <w:pPr>
        <w:numPr>
          <w:ilvl w:val="0"/>
          <w:numId w:val="13"/>
        </w:numPr>
        <w:tabs>
          <w:tab w:val="left" w:pos="880"/>
        </w:tabs>
        <w:spacing w:line="352" w:lineRule="exact"/>
        <w:ind w:firstLine="440"/>
        <w:jc w:val="left"/>
        <w:rPr>
          <w:rFonts w:ascii="宋体" w:hAnsi="宋体" w:cs="宋体"/>
          <w:color w:val="auto"/>
          <w:kern w:val="0"/>
          <w:szCs w:val="21"/>
          <w:highlight w:val="none"/>
          <w:lang w:val="zh-CN" w:bidi="zh-CN"/>
        </w:rPr>
      </w:pPr>
      <w:bookmarkStart w:id="514" w:name="bookmark1879"/>
      <w:bookmarkEnd w:id="514"/>
      <w:r>
        <w:rPr>
          <w:rFonts w:hint="eastAsia" w:ascii="宋体" w:hAnsi="宋体" w:cs="宋体"/>
          <w:color w:val="auto"/>
          <w:kern w:val="0"/>
          <w:szCs w:val="21"/>
          <w:highlight w:val="none"/>
          <w:lang w:val="zh-CN" w:bidi="zh-CN"/>
        </w:rPr>
        <w:t>合同履行过程中，承包人未按规定要求落实安全生产措施费用专款专用，挪用、 扣减安全生产措施费用，且不服从发包人或监理人的安全生产管理，发包人有权对违反安 全生产相关规定的行为处以罚款直至终止合同。</w:t>
      </w:r>
    </w:p>
    <w:p w14:paraId="4E63092D">
      <w:pPr>
        <w:numPr>
          <w:ilvl w:val="0"/>
          <w:numId w:val="12"/>
        </w:numPr>
        <w:tabs>
          <w:tab w:val="left" w:pos="739"/>
        </w:tabs>
        <w:spacing w:line="352" w:lineRule="exact"/>
        <w:ind w:firstLine="440"/>
        <w:jc w:val="left"/>
        <w:rPr>
          <w:rFonts w:ascii="宋体" w:hAnsi="宋体" w:cs="宋体"/>
          <w:color w:val="auto"/>
          <w:kern w:val="0"/>
          <w:szCs w:val="21"/>
          <w:highlight w:val="none"/>
          <w:lang w:val="zh-CN" w:bidi="zh-CN"/>
        </w:rPr>
      </w:pPr>
      <w:bookmarkStart w:id="515" w:name="bookmark1880"/>
      <w:bookmarkEnd w:id="515"/>
      <w:r>
        <w:rPr>
          <w:rFonts w:hint="eastAsia" w:ascii="宋体" w:hAnsi="宋体" w:cs="宋体"/>
          <w:color w:val="auto"/>
          <w:kern w:val="0"/>
          <w:szCs w:val="21"/>
          <w:highlight w:val="none"/>
          <w:lang w:val="zh-CN" w:bidi="zh-CN"/>
        </w:rPr>
        <w:t>承包人生活设施及施工场地，应自费配备消防设备，防止火灾发生。</w:t>
      </w:r>
    </w:p>
    <w:p w14:paraId="592D515C">
      <w:pPr>
        <w:numPr>
          <w:ilvl w:val="0"/>
          <w:numId w:val="12"/>
        </w:numPr>
        <w:tabs>
          <w:tab w:val="left" w:pos="719"/>
        </w:tabs>
        <w:spacing w:line="352" w:lineRule="exact"/>
        <w:ind w:firstLine="420"/>
        <w:jc w:val="left"/>
        <w:rPr>
          <w:rFonts w:ascii="宋体" w:hAnsi="宋体" w:cs="宋体"/>
          <w:color w:val="auto"/>
          <w:kern w:val="0"/>
          <w:szCs w:val="21"/>
          <w:highlight w:val="none"/>
          <w:lang w:val="zh-CN" w:bidi="zh-CN"/>
        </w:rPr>
      </w:pPr>
      <w:bookmarkStart w:id="516" w:name="bookmark1881"/>
      <w:bookmarkEnd w:id="516"/>
      <w:r>
        <w:rPr>
          <w:rFonts w:hint="eastAsia" w:ascii="宋体" w:hAnsi="宋体" w:cs="宋体"/>
          <w:color w:val="auto"/>
          <w:kern w:val="0"/>
          <w:szCs w:val="21"/>
          <w:highlight w:val="none"/>
          <w:lang w:val="zh-CN" w:bidi="zh-CN"/>
        </w:rPr>
        <w:t>承包人使用的劳动力均应进行保险，否则不准安排工作，禁止使用童工。</w:t>
      </w:r>
    </w:p>
    <w:p w14:paraId="2257A133">
      <w:pPr>
        <w:tabs>
          <w:tab w:val="left" w:pos="880"/>
        </w:tabs>
        <w:spacing w:line="352" w:lineRule="exact"/>
        <w:ind w:firstLine="447" w:firstLineChars="213"/>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8. 凡招标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519F188A">
      <w:pPr>
        <w:tabs>
          <w:tab w:val="left" w:pos="734"/>
        </w:tabs>
        <w:spacing w:line="355" w:lineRule="exact"/>
        <w:ind w:firstLine="420" w:firstLineChars="200"/>
        <w:rPr>
          <w:rFonts w:ascii="宋体" w:hAnsi="宋体" w:cs="宋体"/>
          <w:color w:val="auto"/>
          <w:kern w:val="0"/>
          <w:szCs w:val="21"/>
          <w:highlight w:val="none"/>
          <w:lang w:val="zh-CN" w:bidi="zh-CN"/>
        </w:rPr>
      </w:pPr>
      <w:bookmarkStart w:id="517" w:name="bookmark1883"/>
      <w:bookmarkEnd w:id="517"/>
      <w:r>
        <w:rPr>
          <w:rFonts w:hint="eastAsia" w:ascii="宋体" w:hAnsi="宋体" w:cs="宋体"/>
          <w:color w:val="auto"/>
          <w:kern w:val="0"/>
          <w:szCs w:val="21"/>
          <w:highlight w:val="none"/>
          <w:lang w:val="zh-CN" w:bidi="zh-CN"/>
        </w:rPr>
        <w:t>9. 承包人未能按时完成当月合同进度计划70% 工程量的，发包人有权自行组织施工， 以不超过投标报价的2倍单价扣减承包人的进度款，支付自行组织施工完成的工程款。也 有权终止本合同并清退承包人，承包人须在10天内离场，否则发包人将强行撤出所有施工 设备，所造成的全部损失由承包人承担。</w:t>
      </w:r>
    </w:p>
    <w:p w14:paraId="144878BE">
      <w:pPr>
        <w:tabs>
          <w:tab w:val="left" w:pos="801"/>
        </w:tabs>
        <w:spacing w:line="360" w:lineRule="auto"/>
        <w:ind w:firstLine="400"/>
        <w:rPr>
          <w:rFonts w:ascii="宋体" w:hAnsi="宋体" w:cs="宋体"/>
          <w:color w:val="auto"/>
          <w:kern w:val="0"/>
          <w:szCs w:val="21"/>
          <w:highlight w:val="none"/>
          <w:lang w:val="zh-CN" w:bidi="zh-CN"/>
        </w:rPr>
      </w:pPr>
      <w:bookmarkStart w:id="518" w:name="bookmark1884"/>
      <w:bookmarkEnd w:id="518"/>
      <w:r>
        <w:rPr>
          <w:rFonts w:hint="eastAsia" w:ascii="宋体" w:hAnsi="宋体" w:cs="宋体"/>
          <w:color w:val="auto"/>
          <w:kern w:val="0"/>
          <w:szCs w:val="21"/>
          <w:highlight w:val="none"/>
          <w:lang w:val="zh-CN" w:bidi="zh-CN"/>
        </w:rPr>
        <w:t>10. 有关主管部门及发包人检查发现问题时，承包人应按要求整改。在规定时间内不进 行整改或整改无效的，发包人有权终止本施工合同并清退承包人。承包人须在10天内离 场，否则发包人将强行撤出所有施工设备，所造成的全部损失由承包人承担。</w:t>
      </w:r>
    </w:p>
    <w:p w14:paraId="30E3D70D">
      <w:pPr>
        <w:spacing w:line="360" w:lineRule="auto"/>
        <w:jc w:val="left"/>
        <w:rPr>
          <w:rFonts w:ascii="宋体" w:hAnsi="宋体" w:cs="宋体"/>
          <w:b/>
          <w:color w:val="auto"/>
          <w:kern w:val="0"/>
          <w:szCs w:val="21"/>
          <w:highlight w:val="none"/>
          <w:lang w:bidi="en-US"/>
        </w:rPr>
      </w:pPr>
      <w:bookmarkStart w:id="519" w:name="bookmark1886"/>
      <w:bookmarkStart w:id="520" w:name="bookmark1885"/>
      <w:bookmarkStart w:id="521" w:name="bookmark1887"/>
      <w:r>
        <w:rPr>
          <w:rFonts w:hint="eastAsia" w:ascii="宋体" w:hAnsi="宋体" w:cs="宋体"/>
          <w:b/>
          <w:color w:val="auto"/>
          <w:kern w:val="0"/>
          <w:szCs w:val="21"/>
          <w:highlight w:val="none"/>
          <w:lang w:bidi="en-US"/>
        </w:rPr>
        <w:t>25.2</w:t>
      </w:r>
      <w:r>
        <w:rPr>
          <w:rFonts w:hint="eastAsia" w:ascii="宋体" w:hAnsi="宋体" w:cs="宋体"/>
          <w:color w:val="auto"/>
          <w:kern w:val="0"/>
          <w:szCs w:val="21"/>
          <w:highlight w:val="none"/>
          <w:lang w:bidi="en-US"/>
        </w:rPr>
        <w:t>发包人所有付款（含预付款）均转入如下承包人单位基本账户</w:t>
      </w:r>
      <w:r>
        <w:rPr>
          <w:rFonts w:hint="eastAsia" w:ascii="宋体" w:hAnsi="宋体" w:cs="宋体"/>
          <w:color w:val="auto"/>
          <w:kern w:val="0"/>
          <w:szCs w:val="21"/>
          <w:highlight w:val="none"/>
          <w:lang w:bidi="en-US"/>
        </w:rPr>
        <w:tab/>
      </w:r>
      <w:r>
        <w:rPr>
          <w:rFonts w:hint="eastAsia" w:ascii="宋体" w:hAnsi="宋体" w:cs="宋体"/>
          <w:color w:val="auto"/>
          <w:kern w:val="0"/>
          <w:szCs w:val="21"/>
          <w:highlight w:val="none"/>
          <w:lang w:bidi="en-US"/>
        </w:rPr>
        <w:t>（签订施工合同时标明），承包人单位基本账户发生改变时，承包人应书面通知 （法定代表人签字并加盖单位公章）发包人。</w:t>
      </w:r>
      <w:bookmarkEnd w:id="519"/>
      <w:bookmarkEnd w:id="520"/>
      <w:bookmarkEnd w:id="521"/>
    </w:p>
    <w:p w14:paraId="69845C4F">
      <w:pPr>
        <w:spacing w:line="360" w:lineRule="auto"/>
        <w:jc w:val="left"/>
        <w:rPr>
          <w:rFonts w:ascii="宋体" w:hAnsi="宋体" w:cs="宋体"/>
          <w:color w:val="auto"/>
          <w:kern w:val="0"/>
          <w:szCs w:val="21"/>
          <w:highlight w:val="none"/>
          <w:lang w:bidi="en-US"/>
        </w:rPr>
      </w:pPr>
      <w:bookmarkStart w:id="522" w:name="bookmark1888"/>
      <w:bookmarkStart w:id="523" w:name="bookmark1889"/>
      <w:bookmarkStart w:id="524" w:name="bookmark1890"/>
      <w:r>
        <w:rPr>
          <w:rFonts w:hint="eastAsia" w:ascii="宋体" w:hAnsi="宋体" w:cs="宋体"/>
          <w:b/>
          <w:color w:val="auto"/>
          <w:kern w:val="0"/>
          <w:szCs w:val="21"/>
          <w:highlight w:val="none"/>
          <w:lang w:bidi="en-US"/>
        </w:rPr>
        <w:t>25.3</w:t>
      </w:r>
      <w:r>
        <w:rPr>
          <w:rFonts w:hint="eastAsia" w:ascii="宋体" w:hAnsi="宋体" w:cs="宋体"/>
          <w:color w:val="auto"/>
          <w:kern w:val="0"/>
          <w:szCs w:val="21"/>
          <w:highlight w:val="none"/>
          <w:lang w:bidi="en-US"/>
        </w:rPr>
        <w:t>专用合同条款中未尽事宜，在签订施工合同时双方再商定。</w:t>
      </w:r>
      <w:bookmarkEnd w:id="522"/>
      <w:bookmarkEnd w:id="523"/>
      <w:bookmarkEnd w:id="524"/>
    </w:p>
    <w:p w14:paraId="109F39F5">
      <w:pPr>
        <w:tabs>
          <w:tab w:val="left" w:pos="299"/>
        </w:tabs>
        <w:spacing w:line="360" w:lineRule="auto"/>
        <w:ind w:left="420"/>
        <w:rPr>
          <w:rFonts w:ascii="宋体" w:hAnsi="宋体" w:cs="宋体"/>
          <w:color w:val="auto"/>
          <w:kern w:val="0"/>
          <w:szCs w:val="21"/>
          <w:highlight w:val="none"/>
          <w:lang w:val="zh-CN" w:bidi="zh-CN"/>
        </w:rPr>
      </w:pPr>
      <w:bookmarkStart w:id="525" w:name="bookmark1882"/>
      <w:bookmarkEnd w:id="525"/>
    </w:p>
    <w:p w14:paraId="69FEAF3C">
      <w:pPr>
        <w:widowControl/>
        <w:jc w:val="left"/>
        <w:rPr>
          <w:rFonts w:ascii="宋体" w:hAnsi="宋体" w:cs="宋体"/>
          <w:color w:val="auto"/>
          <w:kern w:val="0"/>
          <w:szCs w:val="21"/>
          <w:highlight w:val="none"/>
          <w:lang w:val="zh-CN" w:bidi="zh-CN"/>
        </w:rPr>
      </w:pPr>
      <w:bookmarkStart w:id="526" w:name="_Toc7739"/>
      <w:bookmarkStart w:id="527" w:name="_Toc16783"/>
      <w:bookmarkStart w:id="528" w:name="_Toc14710460"/>
      <w:r>
        <w:rPr>
          <w:rFonts w:hint="eastAsia" w:ascii="宋体" w:hAnsi="宋体" w:cs="宋体"/>
          <w:color w:val="auto"/>
          <w:kern w:val="0"/>
          <w:szCs w:val="21"/>
          <w:highlight w:val="none"/>
          <w:lang w:val="zh-CN" w:bidi="zh-CN"/>
        </w:rPr>
        <w:br w:type="page"/>
      </w:r>
    </w:p>
    <w:p w14:paraId="52195DC8">
      <w:pPr>
        <w:keepLines/>
        <w:spacing w:before="120" w:after="120" w:line="415" w:lineRule="auto"/>
        <w:jc w:val="center"/>
        <w:outlineLvl w:val="1"/>
        <w:rPr>
          <w:rFonts w:ascii="宋体" w:hAnsi="宋体" w:cs="宋体"/>
          <w:b/>
          <w:bCs/>
          <w:color w:val="auto"/>
          <w:kern w:val="0"/>
          <w:szCs w:val="21"/>
          <w:highlight w:val="none"/>
          <w:lang w:bidi="en-US"/>
        </w:rPr>
      </w:pPr>
    </w:p>
    <w:p w14:paraId="224BE2E7">
      <w:pPr>
        <w:keepLines/>
        <w:spacing w:before="120" w:after="120" w:line="415" w:lineRule="auto"/>
        <w:jc w:val="center"/>
        <w:outlineLvl w:val="1"/>
        <w:rPr>
          <w:rFonts w:ascii="宋体" w:hAnsi="宋体" w:cs="宋体"/>
          <w:b/>
          <w:bCs/>
          <w:color w:val="auto"/>
          <w:kern w:val="0"/>
          <w:szCs w:val="21"/>
          <w:highlight w:val="none"/>
          <w:lang w:bidi="en-US"/>
        </w:rPr>
      </w:pPr>
      <w:r>
        <w:rPr>
          <w:rFonts w:hint="eastAsia" w:ascii="宋体" w:hAnsi="宋体" w:cs="宋体"/>
          <w:b/>
          <w:bCs/>
          <w:color w:val="auto"/>
          <w:kern w:val="0"/>
          <w:szCs w:val="21"/>
          <w:highlight w:val="none"/>
          <w:lang w:bidi="en-US"/>
        </w:rPr>
        <w:t>第三节  合同附件格式</w:t>
      </w:r>
      <w:bookmarkEnd w:id="526"/>
      <w:bookmarkEnd w:id="527"/>
      <w:bookmarkEnd w:id="528"/>
    </w:p>
    <w:p w14:paraId="0A2BB8B6">
      <w:pPr>
        <w:keepLines/>
        <w:spacing w:before="120" w:after="120" w:line="415" w:lineRule="auto"/>
        <w:jc w:val="left"/>
        <w:outlineLvl w:val="1"/>
        <w:rPr>
          <w:rFonts w:ascii="宋体" w:hAnsi="宋体" w:cs="宋体"/>
          <w:b/>
          <w:bCs/>
          <w:color w:val="auto"/>
          <w:kern w:val="0"/>
          <w:szCs w:val="21"/>
          <w:highlight w:val="none"/>
          <w:lang w:bidi="en-US"/>
        </w:rPr>
      </w:pPr>
      <w:bookmarkStart w:id="529" w:name="_Toc10268"/>
      <w:bookmarkStart w:id="530" w:name="_Toc14710461"/>
      <w:bookmarkStart w:id="531" w:name="bookmark1893"/>
      <w:bookmarkStart w:id="532" w:name="bookmark1891"/>
      <w:bookmarkStart w:id="533" w:name="_Toc14930"/>
      <w:bookmarkStart w:id="534" w:name="bookmark1892"/>
      <w:r>
        <w:rPr>
          <w:rFonts w:hint="eastAsia" w:ascii="宋体" w:hAnsi="宋体" w:cs="宋体"/>
          <w:b/>
          <w:bCs/>
          <w:color w:val="auto"/>
          <w:kern w:val="0"/>
          <w:szCs w:val="21"/>
          <w:highlight w:val="none"/>
          <w:lang w:bidi="en-US"/>
        </w:rPr>
        <w:t>附件一：合同协议书</w:t>
      </w:r>
      <w:bookmarkEnd w:id="529"/>
      <w:bookmarkEnd w:id="530"/>
      <w:bookmarkEnd w:id="531"/>
      <w:bookmarkEnd w:id="532"/>
      <w:bookmarkEnd w:id="533"/>
      <w:bookmarkEnd w:id="534"/>
    </w:p>
    <w:p w14:paraId="7C2D06E7">
      <w:pPr>
        <w:jc w:val="center"/>
        <w:rPr>
          <w:rFonts w:ascii="宋体" w:hAnsi="宋体" w:cs="宋体"/>
          <w:b/>
          <w:color w:val="auto"/>
          <w:kern w:val="0"/>
          <w:szCs w:val="21"/>
          <w:highlight w:val="none"/>
          <w:lang w:bidi="en-US"/>
        </w:rPr>
      </w:pPr>
      <w:bookmarkStart w:id="535" w:name="bookmark1895"/>
      <w:bookmarkStart w:id="536" w:name="bookmark1894"/>
      <w:bookmarkStart w:id="537" w:name="bookmark1896"/>
      <w:r>
        <w:rPr>
          <w:rFonts w:hint="eastAsia" w:ascii="宋体" w:hAnsi="宋体" w:cs="宋体"/>
          <w:b/>
          <w:color w:val="auto"/>
          <w:kern w:val="0"/>
          <w:szCs w:val="21"/>
          <w:highlight w:val="none"/>
          <w:lang w:bidi="en-US"/>
        </w:rPr>
        <w:t>合同协议书</w:t>
      </w:r>
      <w:bookmarkEnd w:id="535"/>
      <w:bookmarkEnd w:id="536"/>
      <w:bookmarkEnd w:id="537"/>
    </w:p>
    <w:p w14:paraId="68F5A9B0">
      <w:pPr>
        <w:rPr>
          <w:rFonts w:ascii="宋体" w:hAnsi="宋体" w:cs="宋体"/>
          <w:b/>
          <w:color w:val="auto"/>
          <w:kern w:val="0"/>
          <w:szCs w:val="21"/>
          <w:highlight w:val="none"/>
          <w:lang w:bidi="en-US"/>
        </w:rPr>
      </w:pPr>
    </w:p>
    <w:p w14:paraId="1B8232A3">
      <w:pPr>
        <w:jc w:val="left"/>
        <w:rPr>
          <w:rFonts w:ascii="宋体" w:hAnsi="宋体" w:cs="宋体"/>
          <w:color w:val="auto"/>
          <w:kern w:val="0"/>
          <w:szCs w:val="21"/>
          <w:highlight w:val="none"/>
          <w:lang w:eastAsia="en-US" w:bidi="en-US"/>
        </w:rPr>
      </w:pPr>
      <w:r>
        <w:rPr>
          <w:rFonts w:hint="eastAsia" w:ascii="宋体" w:hAnsi="宋体" w:cs="宋体"/>
          <w:color w:val="auto"/>
          <w:kern w:val="0"/>
          <w:szCs w:val="21"/>
          <w:highlight w:val="none"/>
          <w:lang w:bidi="en-US"/>
        </w:rPr>
        <w:tab/>
      </w:r>
      <w:r>
        <w:rPr>
          <w:rFonts w:hint="eastAsia" w:ascii="宋体" w:hAnsi="宋体" w:cs="宋体"/>
          <w:color w:val="auto"/>
          <w:kern w:val="0"/>
          <w:szCs w:val="21"/>
          <w:highlight w:val="none"/>
          <w:lang w:bidi="en-US"/>
        </w:rPr>
        <w:t>（发包人名称，以下简称“发包人”）为实施</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 xml:space="preserve"> </w:t>
      </w:r>
      <w:r>
        <w:rPr>
          <w:rFonts w:hint="eastAsia" w:ascii="宋体" w:hAnsi="宋体" w:cs="宋体"/>
          <w:color w:val="auto"/>
          <w:kern w:val="0"/>
          <w:szCs w:val="21"/>
          <w:highlight w:val="none"/>
          <w:lang w:bidi="en-US"/>
        </w:rPr>
        <w:t>（项目名称），已接受</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lang w:bidi="en-US"/>
        </w:rPr>
        <w:t xml:space="preserve">  （承包人名称，以下简称“承包人”）对该项目</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（项目名称）</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（标段名称）的投标，并确定其为中标人。</w:t>
      </w:r>
      <w:r>
        <w:rPr>
          <w:rFonts w:hint="eastAsia" w:ascii="宋体" w:hAnsi="宋体" w:cs="宋体"/>
          <w:color w:val="auto"/>
          <w:kern w:val="0"/>
          <w:szCs w:val="21"/>
          <w:highlight w:val="none"/>
          <w:lang w:eastAsia="en-US" w:bidi="en-US"/>
        </w:rPr>
        <w:t>发包人和承包人共同达成如下协议。</w:t>
      </w:r>
    </w:p>
    <w:p w14:paraId="6B1EE35E">
      <w:pPr>
        <w:numPr>
          <w:ilvl w:val="0"/>
          <w:numId w:val="14"/>
        </w:numPr>
        <w:tabs>
          <w:tab w:val="left" w:pos="764"/>
        </w:tabs>
        <w:spacing w:line="352" w:lineRule="exact"/>
        <w:ind w:firstLine="420"/>
        <w:jc w:val="left"/>
        <w:rPr>
          <w:rFonts w:ascii="宋体" w:hAnsi="宋体" w:cs="宋体"/>
          <w:color w:val="auto"/>
          <w:kern w:val="0"/>
          <w:szCs w:val="21"/>
          <w:highlight w:val="none"/>
          <w:lang w:val="zh-CN" w:bidi="zh-CN"/>
        </w:rPr>
      </w:pPr>
      <w:bookmarkStart w:id="538" w:name="bookmark1897"/>
      <w:bookmarkEnd w:id="538"/>
      <w:r>
        <w:rPr>
          <w:rFonts w:hint="eastAsia" w:ascii="宋体" w:hAnsi="宋体" w:cs="宋体"/>
          <w:color w:val="auto"/>
          <w:kern w:val="0"/>
          <w:szCs w:val="21"/>
          <w:highlight w:val="none"/>
          <w:lang w:val="zh-CN" w:bidi="zh-CN"/>
        </w:rPr>
        <w:t>本协议书与下列文件一起构成合同文件：</w:t>
      </w:r>
    </w:p>
    <w:p w14:paraId="4ACCDDDA">
      <w:pPr>
        <w:tabs>
          <w:tab w:val="left" w:pos="903"/>
        </w:tabs>
        <w:spacing w:line="352" w:lineRule="exact"/>
        <w:ind w:firstLine="420"/>
        <w:rPr>
          <w:rFonts w:ascii="宋体" w:hAnsi="宋体" w:cs="宋体"/>
          <w:color w:val="auto"/>
          <w:kern w:val="0"/>
          <w:szCs w:val="21"/>
          <w:highlight w:val="none"/>
          <w:lang w:val="zh-CN" w:bidi="zh-CN"/>
        </w:rPr>
      </w:pPr>
      <w:bookmarkStart w:id="539" w:name="bookmark1898"/>
      <w:r>
        <w:rPr>
          <w:rFonts w:hint="eastAsia" w:ascii="宋体" w:hAnsi="宋体" w:cs="宋体"/>
          <w:color w:val="auto"/>
          <w:kern w:val="0"/>
          <w:szCs w:val="21"/>
          <w:highlight w:val="none"/>
          <w:lang w:val="zh-CN" w:bidi="zh-CN"/>
        </w:rPr>
        <w:t>（</w:t>
      </w:r>
      <w:bookmarkEnd w:id="539"/>
      <w:r>
        <w:rPr>
          <w:rFonts w:hint="eastAsia" w:ascii="宋体" w:hAnsi="宋体" w:cs="宋体"/>
          <w:color w:val="auto"/>
          <w:kern w:val="0"/>
          <w:szCs w:val="21"/>
          <w:highlight w:val="none"/>
          <w:lang w:val="zh-CN" w:bidi="zh-CN"/>
        </w:rPr>
        <w:t>1）</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中标通知书；</w:t>
      </w:r>
    </w:p>
    <w:p w14:paraId="0200D286">
      <w:pPr>
        <w:tabs>
          <w:tab w:val="left" w:pos="903"/>
        </w:tabs>
        <w:spacing w:line="352" w:lineRule="exact"/>
        <w:ind w:firstLine="420"/>
        <w:rPr>
          <w:rFonts w:ascii="宋体" w:hAnsi="宋体" w:cs="宋体"/>
          <w:color w:val="auto"/>
          <w:kern w:val="0"/>
          <w:szCs w:val="21"/>
          <w:highlight w:val="none"/>
          <w:lang w:val="zh-CN" w:bidi="zh-CN"/>
        </w:rPr>
      </w:pPr>
      <w:bookmarkStart w:id="540" w:name="bookmark1899"/>
      <w:r>
        <w:rPr>
          <w:rFonts w:hint="eastAsia" w:ascii="宋体" w:hAnsi="宋体" w:cs="宋体"/>
          <w:color w:val="auto"/>
          <w:kern w:val="0"/>
          <w:szCs w:val="21"/>
          <w:highlight w:val="none"/>
          <w:lang w:val="zh-CN" w:bidi="zh-CN"/>
        </w:rPr>
        <w:t>（</w:t>
      </w:r>
      <w:bookmarkEnd w:id="540"/>
      <w:r>
        <w:rPr>
          <w:rFonts w:hint="eastAsia" w:ascii="宋体" w:hAnsi="宋体" w:cs="宋体"/>
          <w:color w:val="auto"/>
          <w:kern w:val="0"/>
          <w:szCs w:val="21"/>
          <w:highlight w:val="none"/>
          <w:lang w:val="zh-CN" w:bidi="zh-CN"/>
        </w:rPr>
        <w:t>2）</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投标函及投标函附录；</w:t>
      </w:r>
    </w:p>
    <w:p w14:paraId="4E67CC2C">
      <w:pPr>
        <w:tabs>
          <w:tab w:val="left" w:pos="903"/>
        </w:tabs>
        <w:spacing w:line="352" w:lineRule="exact"/>
        <w:ind w:firstLine="420"/>
        <w:rPr>
          <w:rFonts w:ascii="宋体" w:hAnsi="宋体" w:cs="宋体"/>
          <w:color w:val="auto"/>
          <w:kern w:val="0"/>
          <w:szCs w:val="21"/>
          <w:highlight w:val="none"/>
          <w:lang w:val="zh-CN" w:bidi="zh-CN"/>
        </w:rPr>
      </w:pPr>
      <w:bookmarkStart w:id="541" w:name="bookmark1900"/>
      <w:r>
        <w:rPr>
          <w:rFonts w:hint="eastAsia" w:ascii="宋体" w:hAnsi="宋体" w:cs="宋体"/>
          <w:color w:val="auto"/>
          <w:kern w:val="0"/>
          <w:szCs w:val="21"/>
          <w:highlight w:val="none"/>
          <w:lang w:val="zh-CN" w:bidi="zh-CN"/>
        </w:rPr>
        <w:t>（</w:t>
      </w:r>
      <w:bookmarkEnd w:id="541"/>
      <w:r>
        <w:rPr>
          <w:rFonts w:hint="eastAsia" w:ascii="宋体" w:hAnsi="宋体" w:cs="宋体"/>
          <w:color w:val="auto"/>
          <w:kern w:val="0"/>
          <w:szCs w:val="21"/>
          <w:highlight w:val="none"/>
          <w:lang w:val="zh-CN" w:bidi="zh-CN"/>
        </w:rPr>
        <w:t>3）</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专用合同条款（含附加条款）；</w:t>
      </w:r>
    </w:p>
    <w:p w14:paraId="3708B885">
      <w:pPr>
        <w:tabs>
          <w:tab w:val="left" w:pos="903"/>
        </w:tabs>
        <w:spacing w:line="352" w:lineRule="exact"/>
        <w:ind w:firstLine="420"/>
        <w:rPr>
          <w:rFonts w:ascii="宋体" w:hAnsi="宋体" w:cs="宋体"/>
          <w:color w:val="auto"/>
          <w:kern w:val="0"/>
          <w:szCs w:val="21"/>
          <w:highlight w:val="none"/>
          <w:lang w:val="zh-CN" w:bidi="zh-CN"/>
        </w:rPr>
      </w:pPr>
      <w:bookmarkStart w:id="542" w:name="bookmark1901"/>
      <w:r>
        <w:rPr>
          <w:rFonts w:hint="eastAsia" w:ascii="宋体" w:hAnsi="宋体" w:cs="宋体"/>
          <w:color w:val="auto"/>
          <w:kern w:val="0"/>
          <w:szCs w:val="21"/>
          <w:highlight w:val="none"/>
          <w:lang w:val="zh-CN" w:bidi="zh-CN"/>
        </w:rPr>
        <w:t>（</w:t>
      </w:r>
      <w:bookmarkEnd w:id="542"/>
      <w:r>
        <w:rPr>
          <w:rFonts w:hint="eastAsia" w:ascii="宋体" w:hAnsi="宋体" w:cs="宋体"/>
          <w:color w:val="auto"/>
          <w:kern w:val="0"/>
          <w:szCs w:val="21"/>
          <w:highlight w:val="none"/>
          <w:lang w:val="zh-CN" w:bidi="zh-CN"/>
        </w:rPr>
        <w:t>4）</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通用合同条款；</w:t>
      </w:r>
    </w:p>
    <w:p w14:paraId="30593A85">
      <w:pPr>
        <w:tabs>
          <w:tab w:val="left" w:pos="903"/>
        </w:tabs>
        <w:spacing w:line="352" w:lineRule="exact"/>
        <w:ind w:firstLine="420"/>
        <w:rPr>
          <w:rFonts w:ascii="宋体" w:hAnsi="宋体" w:cs="宋体"/>
          <w:color w:val="auto"/>
          <w:kern w:val="0"/>
          <w:szCs w:val="21"/>
          <w:highlight w:val="none"/>
          <w:lang w:val="zh-CN" w:bidi="zh-CN"/>
        </w:rPr>
      </w:pPr>
      <w:bookmarkStart w:id="543" w:name="bookmark1902"/>
      <w:r>
        <w:rPr>
          <w:rFonts w:hint="eastAsia" w:ascii="宋体" w:hAnsi="宋体" w:cs="宋体"/>
          <w:color w:val="auto"/>
          <w:kern w:val="0"/>
          <w:szCs w:val="21"/>
          <w:highlight w:val="none"/>
          <w:lang w:val="zh-CN" w:bidi="zh-CN"/>
        </w:rPr>
        <w:t>（</w:t>
      </w:r>
      <w:bookmarkEnd w:id="543"/>
      <w:r>
        <w:rPr>
          <w:rFonts w:hint="eastAsia" w:ascii="宋体" w:hAnsi="宋体" w:cs="宋体"/>
          <w:color w:val="auto"/>
          <w:kern w:val="0"/>
          <w:szCs w:val="21"/>
          <w:highlight w:val="none"/>
          <w:lang w:val="zh-CN" w:bidi="zh-CN"/>
        </w:rPr>
        <w:t>5）</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技术标准和要求（合同技术条款）；</w:t>
      </w:r>
    </w:p>
    <w:p w14:paraId="5D601A9A">
      <w:pPr>
        <w:tabs>
          <w:tab w:val="left" w:pos="903"/>
        </w:tabs>
        <w:spacing w:line="352" w:lineRule="exact"/>
        <w:ind w:firstLine="420"/>
        <w:rPr>
          <w:rFonts w:ascii="宋体" w:hAnsi="宋体" w:cs="宋体"/>
          <w:color w:val="auto"/>
          <w:kern w:val="0"/>
          <w:szCs w:val="21"/>
          <w:highlight w:val="none"/>
          <w:lang w:val="zh-CN" w:bidi="zh-CN"/>
        </w:rPr>
      </w:pPr>
      <w:bookmarkStart w:id="544" w:name="bookmark1903"/>
      <w:r>
        <w:rPr>
          <w:rFonts w:hint="eastAsia" w:ascii="宋体" w:hAnsi="宋体" w:cs="宋体"/>
          <w:color w:val="auto"/>
          <w:kern w:val="0"/>
          <w:szCs w:val="21"/>
          <w:highlight w:val="none"/>
          <w:lang w:val="zh-CN" w:bidi="zh-CN"/>
        </w:rPr>
        <w:t>（</w:t>
      </w:r>
      <w:bookmarkEnd w:id="544"/>
      <w:r>
        <w:rPr>
          <w:rFonts w:hint="eastAsia" w:ascii="宋体" w:hAnsi="宋体" w:cs="宋体"/>
          <w:color w:val="auto"/>
          <w:kern w:val="0"/>
          <w:szCs w:val="21"/>
          <w:highlight w:val="none"/>
          <w:lang w:val="zh-CN" w:bidi="zh-CN"/>
        </w:rPr>
        <w:t>6）</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图纸；</w:t>
      </w:r>
    </w:p>
    <w:p w14:paraId="19E4E838">
      <w:pPr>
        <w:tabs>
          <w:tab w:val="left" w:pos="903"/>
        </w:tabs>
        <w:spacing w:line="352" w:lineRule="exact"/>
        <w:ind w:firstLine="420"/>
        <w:rPr>
          <w:rFonts w:ascii="宋体" w:hAnsi="宋体" w:cs="宋体"/>
          <w:color w:val="auto"/>
          <w:kern w:val="0"/>
          <w:szCs w:val="21"/>
          <w:highlight w:val="none"/>
          <w:lang w:val="zh-CN" w:bidi="zh-CN"/>
        </w:rPr>
      </w:pPr>
      <w:bookmarkStart w:id="545" w:name="bookmark1904"/>
      <w:r>
        <w:rPr>
          <w:rFonts w:hint="eastAsia" w:ascii="宋体" w:hAnsi="宋体" w:cs="宋体"/>
          <w:color w:val="auto"/>
          <w:kern w:val="0"/>
          <w:szCs w:val="21"/>
          <w:highlight w:val="none"/>
          <w:lang w:val="zh-CN" w:bidi="zh-CN"/>
        </w:rPr>
        <w:t>（</w:t>
      </w:r>
      <w:bookmarkEnd w:id="545"/>
      <w:r>
        <w:rPr>
          <w:rFonts w:hint="eastAsia" w:ascii="宋体" w:hAnsi="宋体" w:cs="宋体"/>
          <w:color w:val="auto"/>
          <w:kern w:val="0"/>
          <w:szCs w:val="21"/>
          <w:highlight w:val="none"/>
          <w:lang w:val="zh-CN" w:bidi="zh-CN"/>
        </w:rPr>
        <w:t>7）</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已标价工程量清单；</w:t>
      </w:r>
    </w:p>
    <w:p w14:paraId="7187A61A">
      <w:pPr>
        <w:tabs>
          <w:tab w:val="left" w:pos="903"/>
        </w:tabs>
        <w:spacing w:line="352" w:lineRule="exact"/>
        <w:ind w:firstLine="420"/>
        <w:rPr>
          <w:rFonts w:ascii="宋体" w:hAnsi="宋体" w:cs="宋体"/>
          <w:color w:val="auto"/>
          <w:kern w:val="0"/>
          <w:szCs w:val="21"/>
          <w:highlight w:val="none"/>
          <w:lang w:val="zh-CN" w:bidi="zh-CN"/>
        </w:rPr>
      </w:pPr>
      <w:bookmarkStart w:id="546" w:name="bookmark1905"/>
      <w:r>
        <w:rPr>
          <w:rFonts w:hint="eastAsia" w:ascii="宋体" w:hAnsi="宋体" w:cs="宋体"/>
          <w:color w:val="auto"/>
          <w:kern w:val="0"/>
          <w:szCs w:val="21"/>
          <w:highlight w:val="none"/>
          <w:lang w:val="zh-CN" w:bidi="zh-CN"/>
        </w:rPr>
        <w:t>（</w:t>
      </w:r>
      <w:bookmarkEnd w:id="546"/>
      <w:r>
        <w:rPr>
          <w:rFonts w:hint="eastAsia" w:ascii="宋体" w:hAnsi="宋体" w:cs="宋体"/>
          <w:color w:val="auto"/>
          <w:kern w:val="0"/>
          <w:szCs w:val="21"/>
          <w:highlight w:val="none"/>
          <w:lang w:val="zh-CN" w:bidi="zh-CN"/>
        </w:rPr>
        <w:t>8）</w:t>
      </w:r>
      <w:r>
        <w:rPr>
          <w:rFonts w:hint="eastAsia" w:ascii="宋体" w:hAnsi="宋体" w:cs="宋体"/>
          <w:color w:val="auto"/>
          <w:kern w:val="0"/>
          <w:szCs w:val="21"/>
          <w:highlight w:val="none"/>
          <w:lang w:val="zh-CN" w:bidi="zh-CN"/>
        </w:rPr>
        <w:tab/>
      </w:r>
      <w:r>
        <w:rPr>
          <w:rFonts w:hint="eastAsia" w:ascii="宋体" w:hAnsi="宋体" w:cs="宋体"/>
          <w:color w:val="auto"/>
          <w:kern w:val="0"/>
          <w:szCs w:val="21"/>
          <w:highlight w:val="none"/>
          <w:lang w:val="zh-CN" w:bidi="zh-CN"/>
        </w:rPr>
        <w:t>其他合同文件。</w:t>
      </w:r>
    </w:p>
    <w:p w14:paraId="0A79C5B0">
      <w:pPr>
        <w:numPr>
          <w:ilvl w:val="0"/>
          <w:numId w:val="14"/>
        </w:numPr>
        <w:tabs>
          <w:tab w:val="left" w:pos="764"/>
        </w:tabs>
        <w:spacing w:line="352" w:lineRule="exact"/>
        <w:ind w:firstLine="420"/>
        <w:jc w:val="left"/>
        <w:rPr>
          <w:rFonts w:ascii="宋体" w:hAnsi="宋体" w:cs="宋体"/>
          <w:color w:val="auto"/>
          <w:kern w:val="0"/>
          <w:szCs w:val="21"/>
          <w:highlight w:val="none"/>
          <w:lang w:val="zh-CN" w:bidi="zh-CN"/>
        </w:rPr>
      </w:pPr>
      <w:bookmarkStart w:id="547" w:name="bookmark1906"/>
      <w:bookmarkEnd w:id="547"/>
      <w:r>
        <w:rPr>
          <w:rFonts w:hint="eastAsia" w:ascii="宋体" w:hAnsi="宋体" w:cs="宋体"/>
          <w:color w:val="auto"/>
          <w:kern w:val="0"/>
          <w:szCs w:val="21"/>
          <w:highlight w:val="none"/>
          <w:lang w:val="zh-CN" w:bidi="zh-CN"/>
        </w:rPr>
        <w:t>上述文件互相补充和解释，如有不明确或不一致之处，以合同约定次序在先者为准。</w:t>
      </w:r>
    </w:p>
    <w:p w14:paraId="5C0786B7">
      <w:pPr>
        <w:numPr>
          <w:ilvl w:val="0"/>
          <w:numId w:val="14"/>
        </w:numPr>
        <w:tabs>
          <w:tab w:val="left" w:pos="764"/>
          <w:tab w:val="left" w:pos="4291"/>
          <w:tab w:val="left" w:pos="5794"/>
        </w:tabs>
        <w:spacing w:line="352" w:lineRule="exact"/>
        <w:ind w:firstLine="420"/>
        <w:jc w:val="left"/>
        <w:rPr>
          <w:rFonts w:ascii="宋体" w:hAnsi="宋体" w:cs="宋体"/>
          <w:color w:val="auto"/>
          <w:kern w:val="0"/>
          <w:szCs w:val="21"/>
          <w:highlight w:val="none"/>
          <w:lang w:val="zh-CN" w:bidi="zh-CN"/>
        </w:rPr>
      </w:pPr>
      <w:bookmarkStart w:id="548" w:name="bookmark1907"/>
      <w:bookmarkEnd w:id="548"/>
      <w:r>
        <w:rPr>
          <w:rFonts w:hint="eastAsia" w:ascii="宋体" w:hAnsi="宋体" w:cs="宋体"/>
          <w:color w:val="auto"/>
          <w:kern w:val="0"/>
          <w:szCs w:val="21"/>
          <w:highlight w:val="none"/>
          <w:lang w:val="zh-CN" w:bidi="zh-CN"/>
        </w:rPr>
        <w:t>签约合同价：人民币（大写）</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元（¥</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r>
        <w:rPr>
          <w:rFonts w:hint="eastAsia" w:ascii="宋体" w:hAnsi="宋体" w:cs="宋体"/>
          <w:color w:val="auto"/>
          <w:kern w:val="0"/>
          <w:szCs w:val="21"/>
          <w:highlight w:val="none"/>
          <w:vertAlign w:val="subscript"/>
          <w:lang w:bidi="en-US"/>
        </w:rPr>
        <w:t>o</w:t>
      </w:r>
    </w:p>
    <w:p w14:paraId="7B85B8C3">
      <w:pPr>
        <w:numPr>
          <w:ilvl w:val="0"/>
          <w:numId w:val="14"/>
        </w:numPr>
        <w:tabs>
          <w:tab w:val="left" w:pos="764"/>
          <w:tab w:val="left" w:pos="4234"/>
        </w:tabs>
        <w:spacing w:line="352" w:lineRule="exact"/>
        <w:ind w:firstLine="420"/>
        <w:jc w:val="left"/>
        <w:rPr>
          <w:rFonts w:ascii="宋体" w:hAnsi="宋体" w:cs="宋体"/>
          <w:color w:val="auto"/>
          <w:kern w:val="0"/>
          <w:szCs w:val="21"/>
          <w:highlight w:val="none"/>
          <w:lang w:val="zh-CN" w:bidi="zh-CN"/>
        </w:rPr>
      </w:pPr>
      <w:bookmarkStart w:id="549" w:name="bookmark1908"/>
      <w:bookmarkEnd w:id="549"/>
      <w:r>
        <w:rPr>
          <w:rFonts w:hint="eastAsia" w:ascii="宋体" w:hAnsi="宋体" w:cs="宋体"/>
          <w:color w:val="auto"/>
          <w:kern w:val="0"/>
          <w:szCs w:val="21"/>
          <w:highlight w:val="none"/>
          <w:lang w:val="zh-CN" w:bidi="zh-CN"/>
        </w:rPr>
        <w:t>承包人项目经理：</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p>
    <w:p w14:paraId="44F2B64B">
      <w:pPr>
        <w:numPr>
          <w:ilvl w:val="0"/>
          <w:numId w:val="14"/>
        </w:numPr>
        <w:tabs>
          <w:tab w:val="left" w:pos="764"/>
          <w:tab w:val="left" w:pos="3809"/>
        </w:tabs>
        <w:spacing w:line="352" w:lineRule="exact"/>
        <w:ind w:firstLine="420"/>
        <w:jc w:val="left"/>
        <w:rPr>
          <w:rFonts w:ascii="宋体" w:hAnsi="宋体" w:cs="宋体"/>
          <w:color w:val="auto"/>
          <w:kern w:val="0"/>
          <w:szCs w:val="21"/>
          <w:highlight w:val="none"/>
          <w:lang w:val="zh-CN" w:bidi="zh-CN"/>
        </w:rPr>
      </w:pPr>
      <w:bookmarkStart w:id="550" w:name="bookmark1909"/>
      <w:bookmarkEnd w:id="550"/>
      <w:r>
        <w:rPr>
          <w:rFonts w:hint="eastAsia" w:ascii="宋体" w:hAnsi="宋体" w:cs="宋体"/>
          <w:color w:val="auto"/>
          <w:kern w:val="0"/>
          <w:szCs w:val="21"/>
          <w:highlight w:val="none"/>
          <w:lang w:val="zh-CN" w:bidi="zh-CN"/>
        </w:rPr>
        <w:t>工程质量符合</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标准。</w:t>
      </w:r>
    </w:p>
    <w:p w14:paraId="6812FE65">
      <w:pPr>
        <w:numPr>
          <w:ilvl w:val="0"/>
          <w:numId w:val="14"/>
        </w:numPr>
        <w:tabs>
          <w:tab w:val="left" w:pos="764"/>
        </w:tabs>
        <w:spacing w:line="352" w:lineRule="exact"/>
        <w:ind w:firstLine="420"/>
        <w:jc w:val="left"/>
        <w:rPr>
          <w:rFonts w:ascii="宋体" w:hAnsi="宋体" w:cs="宋体"/>
          <w:color w:val="auto"/>
          <w:kern w:val="0"/>
          <w:szCs w:val="21"/>
          <w:highlight w:val="none"/>
          <w:lang w:val="zh-CN" w:bidi="zh-CN"/>
        </w:rPr>
      </w:pPr>
      <w:bookmarkStart w:id="551" w:name="bookmark1910"/>
      <w:bookmarkEnd w:id="551"/>
      <w:r>
        <w:rPr>
          <w:rFonts w:hint="eastAsia" w:ascii="宋体" w:hAnsi="宋体" w:cs="宋体"/>
          <w:color w:val="auto"/>
          <w:kern w:val="0"/>
          <w:szCs w:val="21"/>
          <w:highlight w:val="none"/>
          <w:lang w:val="zh-CN" w:bidi="zh-CN"/>
        </w:rPr>
        <w:t>承包人承诺按合同约定承担工程的实施、完成及缺陷修复。</w:t>
      </w:r>
    </w:p>
    <w:p w14:paraId="1BD9BEEB">
      <w:pPr>
        <w:numPr>
          <w:ilvl w:val="0"/>
          <w:numId w:val="14"/>
        </w:numPr>
        <w:tabs>
          <w:tab w:val="left" w:pos="764"/>
        </w:tabs>
        <w:spacing w:line="352" w:lineRule="exact"/>
        <w:ind w:firstLine="420"/>
        <w:jc w:val="left"/>
        <w:rPr>
          <w:rFonts w:ascii="宋体" w:hAnsi="宋体" w:cs="宋体"/>
          <w:color w:val="auto"/>
          <w:kern w:val="0"/>
          <w:szCs w:val="21"/>
          <w:highlight w:val="none"/>
          <w:lang w:val="zh-CN" w:bidi="zh-CN"/>
        </w:rPr>
      </w:pPr>
      <w:bookmarkStart w:id="552" w:name="bookmark1911"/>
      <w:bookmarkEnd w:id="552"/>
      <w:r>
        <w:rPr>
          <w:rFonts w:hint="eastAsia" w:ascii="宋体" w:hAnsi="宋体" w:cs="宋体"/>
          <w:color w:val="auto"/>
          <w:kern w:val="0"/>
          <w:szCs w:val="21"/>
          <w:highlight w:val="none"/>
          <w:lang w:val="zh-CN" w:bidi="zh-CN"/>
        </w:rPr>
        <w:t>发包人承诺按合同约定的条件、时间和方式向承包人支付合同价款。</w:t>
      </w:r>
    </w:p>
    <w:p w14:paraId="055B6585">
      <w:pPr>
        <w:numPr>
          <w:ilvl w:val="0"/>
          <w:numId w:val="14"/>
        </w:numPr>
        <w:tabs>
          <w:tab w:val="left" w:pos="764"/>
          <w:tab w:val="left" w:pos="5717"/>
        </w:tabs>
        <w:spacing w:line="352" w:lineRule="exact"/>
        <w:ind w:firstLine="420"/>
        <w:jc w:val="left"/>
        <w:rPr>
          <w:rFonts w:ascii="宋体" w:hAnsi="宋体" w:cs="宋体"/>
          <w:color w:val="auto"/>
          <w:kern w:val="0"/>
          <w:szCs w:val="21"/>
          <w:highlight w:val="none"/>
          <w:lang w:val="zh-CN" w:bidi="zh-CN"/>
        </w:rPr>
      </w:pPr>
      <w:bookmarkStart w:id="553" w:name="bookmark1912"/>
      <w:bookmarkEnd w:id="553"/>
      <w:r>
        <w:rPr>
          <w:rFonts w:hint="eastAsia" w:ascii="宋体" w:hAnsi="宋体" w:cs="宋体"/>
          <w:color w:val="auto"/>
          <w:kern w:val="0"/>
          <w:szCs w:val="21"/>
          <w:highlight w:val="none"/>
          <w:lang w:val="zh-CN" w:bidi="zh-CN"/>
        </w:rPr>
        <w:t>承包人承诺执行监理人开工通知，计划工期为</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天。</w:t>
      </w:r>
    </w:p>
    <w:p w14:paraId="6BA788DD">
      <w:pPr>
        <w:numPr>
          <w:ilvl w:val="0"/>
          <w:numId w:val="14"/>
        </w:numPr>
        <w:tabs>
          <w:tab w:val="left" w:pos="764"/>
          <w:tab w:val="left" w:pos="2789"/>
        </w:tabs>
        <w:spacing w:line="352" w:lineRule="exact"/>
        <w:ind w:firstLine="420"/>
        <w:jc w:val="left"/>
        <w:rPr>
          <w:rFonts w:ascii="宋体" w:hAnsi="宋体" w:cs="宋体"/>
          <w:color w:val="auto"/>
          <w:kern w:val="0"/>
          <w:szCs w:val="21"/>
          <w:highlight w:val="none"/>
          <w:lang w:val="zh-CN" w:bidi="zh-CN"/>
        </w:rPr>
      </w:pPr>
      <w:bookmarkStart w:id="554" w:name="bookmark1913"/>
      <w:bookmarkEnd w:id="554"/>
      <w:r>
        <w:rPr>
          <w:rFonts w:hint="eastAsia" w:ascii="宋体" w:hAnsi="宋体" w:cs="宋体"/>
          <w:color w:val="auto"/>
          <w:kern w:val="0"/>
          <w:szCs w:val="21"/>
          <w:highlight w:val="none"/>
          <w:lang w:val="zh-CN" w:bidi="zh-CN"/>
        </w:rPr>
        <w:t>本协议书一式</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份，合同双方各执一份。</w:t>
      </w:r>
    </w:p>
    <w:p w14:paraId="1E08C95A">
      <w:pPr>
        <w:numPr>
          <w:ilvl w:val="0"/>
          <w:numId w:val="14"/>
        </w:numPr>
        <w:tabs>
          <w:tab w:val="left" w:pos="841"/>
        </w:tabs>
        <w:spacing w:after="320" w:line="352" w:lineRule="exact"/>
        <w:ind w:firstLine="420"/>
        <w:jc w:val="left"/>
        <w:rPr>
          <w:rFonts w:ascii="宋体" w:hAnsi="宋体" w:cs="宋体"/>
          <w:color w:val="auto"/>
          <w:szCs w:val="21"/>
          <w:highlight w:val="none"/>
          <w:u w:val="single"/>
        </w:rPr>
      </w:pPr>
      <w:bookmarkStart w:id="555" w:name="bookmark1914"/>
      <w:bookmarkEnd w:id="555"/>
      <w:r>
        <w:rPr>
          <w:rFonts w:hint="eastAsia" w:ascii="宋体" w:hAnsi="宋体" w:cs="宋体"/>
          <w:color w:val="auto"/>
          <w:kern w:val="0"/>
          <w:szCs w:val="21"/>
          <w:highlight w:val="none"/>
          <w:lang w:val="zh-CN" w:bidi="zh-CN"/>
        </w:rPr>
        <w:t>合同未尽事宜，双方另行签订补充协议。补充协议是合同的组成部分。</w:t>
      </w:r>
      <w:bookmarkStart w:id="556" w:name="_Toc21416"/>
      <w:bookmarkStart w:id="557" w:name="_Toc14710462"/>
      <w:bookmarkStart w:id="558" w:name="bookmark1917"/>
      <w:bookmarkStart w:id="559" w:name="_Toc7161"/>
      <w:bookmarkStart w:id="560" w:name="bookmark1916"/>
      <w:bookmarkStart w:id="561" w:name="bookmark1915"/>
    </w:p>
    <w:p w14:paraId="5ED33FE0">
      <w:pPr>
        <w:tabs>
          <w:tab w:val="left" w:pos="841"/>
        </w:tabs>
        <w:spacing w:after="320" w:line="352" w:lineRule="exact"/>
        <w:jc w:val="left"/>
        <w:rPr>
          <w:rFonts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w:t>
      </w:r>
    </w:p>
    <w:p w14:paraId="0BF68326">
      <w:pPr>
        <w:spacing w:line="400" w:lineRule="exact"/>
        <w:ind w:left="4410" w:hanging="4410" w:hangingChars="2100"/>
        <w:rPr>
          <w:rFonts w:ascii="宋体" w:hAnsi="宋体" w:cs="宋体"/>
          <w:color w:val="auto"/>
          <w:szCs w:val="21"/>
          <w:highlight w:val="none"/>
        </w:rPr>
      </w:pPr>
      <w:r>
        <w:rPr>
          <w:rFonts w:hint="eastAsia" w:ascii="宋体" w:hAnsi="宋体" w:cs="宋体"/>
          <w:color w:val="auto"/>
          <w:szCs w:val="21"/>
          <w:highlight w:val="none"/>
        </w:rPr>
        <w:t>或委托代理人：</w:t>
      </w:r>
      <w:r>
        <w:rPr>
          <w:rFonts w:hint="eastAsia" w:ascii="宋体" w:hAnsi="宋体" w:cs="宋体"/>
          <w:color w:val="auto"/>
          <w:szCs w:val="21"/>
          <w:highlight w:val="none"/>
          <w:u w:val="single"/>
        </w:rPr>
        <w:t>　　　　　　　　</w:t>
      </w:r>
      <w:r>
        <w:rPr>
          <w:rFonts w:hint="eastAsia" w:ascii="宋体" w:hAnsi="宋体" w:cs="宋体"/>
          <w:color w:val="auto"/>
          <w:szCs w:val="21"/>
          <w:highlight w:val="none"/>
        </w:rPr>
        <w:t>　　或委托代理人：</w:t>
      </w:r>
      <w:r>
        <w:rPr>
          <w:rFonts w:hint="eastAsia" w:ascii="宋体" w:hAnsi="宋体" w:cs="宋体"/>
          <w:color w:val="auto"/>
          <w:szCs w:val="21"/>
          <w:highlight w:val="none"/>
          <w:u w:val="single"/>
        </w:rPr>
        <w:t>　　　　　　　　　</w:t>
      </w:r>
    </w:p>
    <w:p w14:paraId="34CAAE26">
      <w:pPr>
        <w:pStyle w:val="13"/>
        <w:tabs>
          <w:tab w:val="left" w:pos="5040"/>
          <w:tab w:val="left" w:pos="5400"/>
        </w:tabs>
        <w:spacing w:line="520" w:lineRule="exact"/>
        <w:ind w:firstLine="0"/>
        <w:rPr>
          <w:rFonts w:ascii="宋体" w:hAnsi="宋体" w:cs="宋体"/>
          <w:color w:val="auto"/>
          <w:sz w:val="21"/>
          <w:szCs w:val="21"/>
          <w:highlight w:val="none"/>
        </w:rPr>
      </w:pPr>
      <w:r>
        <w:rPr>
          <w:rFonts w:hint="eastAsia" w:ascii="宋体" w:hAnsi="宋体" w:cs="宋体"/>
          <w:color w:val="auto"/>
          <w:sz w:val="21"/>
          <w:szCs w:val="21"/>
          <w:highlight w:val="none"/>
        </w:rPr>
        <w:t>地　址：地　址：</w:t>
      </w:r>
    </w:p>
    <w:p w14:paraId="631345EF">
      <w:pPr>
        <w:pStyle w:val="13"/>
        <w:tabs>
          <w:tab w:val="left" w:pos="5040"/>
          <w:tab w:val="left" w:pos="5400"/>
        </w:tabs>
        <w:spacing w:line="520" w:lineRule="exact"/>
        <w:ind w:firstLine="0"/>
        <w:rPr>
          <w:rFonts w:ascii="宋体" w:hAnsi="宋体" w:cs="宋体"/>
          <w:color w:val="auto"/>
          <w:sz w:val="21"/>
          <w:szCs w:val="21"/>
          <w:highlight w:val="none"/>
        </w:rPr>
      </w:pPr>
      <w:r>
        <w:rPr>
          <w:rFonts w:hint="eastAsia" w:ascii="宋体" w:hAnsi="宋体" w:cs="宋体"/>
          <w:color w:val="auto"/>
          <w:sz w:val="21"/>
          <w:szCs w:val="21"/>
          <w:highlight w:val="none"/>
        </w:rPr>
        <w:t>电  话：电  话：</w:t>
      </w:r>
    </w:p>
    <w:p w14:paraId="128F78A4">
      <w:pPr>
        <w:keepLines/>
        <w:spacing w:before="120" w:after="120" w:line="415" w:lineRule="auto"/>
        <w:jc w:val="left"/>
        <w:outlineLvl w:val="1"/>
        <w:rPr>
          <w:rFonts w:ascii="宋体" w:hAnsi="宋体" w:cs="宋体"/>
          <w:b/>
          <w:bCs/>
          <w:color w:val="auto"/>
          <w:kern w:val="0"/>
          <w:szCs w:val="21"/>
          <w:highlight w:val="none"/>
          <w:lang w:bidi="en-US"/>
        </w:rPr>
      </w:pPr>
    </w:p>
    <w:p w14:paraId="22464336">
      <w:pPr>
        <w:keepLines/>
        <w:spacing w:before="120" w:after="120" w:line="415" w:lineRule="auto"/>
        <w:jc w:val="left"/>
        <w:outlineLvl w:val="1"/>
        <w:rPr>
          <w:rFonts w:ascii="宋体" w:hAnsi="宋体" w:cs="宋体"/>
          <w:b/>
          <w:bCs/>
          <w:color w:val="auto"/>
          <w:kern w:val="0"/>
          <w:szCs w:val="21"/>
          <w:highlight w:val="none"/>
          <w:lang w:bidi="en-US"/>
        </w:rPr>
      </w:pPr>
    </w:p>
    <w:p w14:paraId="56C1D120">
      <w:pPr>
        <w:keepLines/>
        <w:spacing w:before="120" w:after="120" w:line="415" w:lineRule="auto"/>
        <w:jc w:val="left"/>
        <w:outlineLvl w:val="1"/>
        <w:rPr>
          <w:rFonts w:ascii="宋体" w:hAnsi="宋体" w:cs="宋体"/>
          <w:b/>
          <w:bCs/>
          <w:color w:val="auto"/>
          <w:kern w:val="0"/>
          <w:szCs w:val="21"/>
          <w:highlight w:val="none"/>
          <w:lang w:bidi="en-US"/>
        </w:rPr>
      </w:pPr>
    </w:p>
    <w:p w14:paraId="7F3FA55E">
      <w:pPr>
        <w:keepLines/>
        <w:spacing w:before="120" w:after="120" w:line="415" w:lineRule="auto"/>
        <w:jc w:val="left"/>
        <w:outlineLvl w:val="1"/>
        <w:rPr>
          <w:rFonts w:hint="eastAsia" w:ascii="宋体" w:hAnsi="宋体" w:cs="宋体"/>
          <w:b/>
          <w:bCs/>
          <w:color w:val="auto"/>
          <w:kern w:val="0"/>
          <w:szCs w:val="21"/>
          <w:highlight w:val="none"/>
          <w:lang w:bidi="en-US"/>
        </w:rPr>
      </w:pPr>
    </w:p>
    <w:p w14:paraId="1651D874">
      <w:pPr>
        <w:keepLines/>
        <w:spacing w:before="120" w:after="120" w:line="415" w:lineRule="auto"/>
        <w:jc w:val="left"/>
        <w:outlineLvl w:val="1"/>
        <w:rPr>
          <w:rFonts w:ascii="宋体" w:hAnsi="宋体" w:cs="宋体"/>
          <w:b/>
          <w:bCs/>
          <w:color w:val="auto"/>
          <w:kern w:val="0"/>
          <w:szCs w:val="21"/>
          <w:highlight w:val="none"/>
          <w:lang w:bidi="en-US"/>
        </w:rPr>
      </w:pPr>
      <w:r>
        <w:rPr>
          <w:rFonts w:hint="eastAsia" w:ascii="宋体" w:hAnsi="宋体" w:cs="宋体"/>
          <w:b/>
          <w:bCs/>
          <w:color w:val="auto"/>
          <w:kern w:val="0"/>
          <w:szCs w:val="21"/>
          <w:highlight w:val="none"/>
          <w:lang w:bidi="en-US"/>
        </w:rPr>
        <w:t>附件二：履约保函</w:t>
      </w:r>
      <w:bookmarkEnd w:id="556"/>
      <w:bookmarkEnd w:id="557"/>
      <w:bookmarkEnd w:id="558"/>
      <w:bookmarkEnd w:id="559"/>
      <w:bookmarkEnd w:id="560"/>
      <w:bookmarkEnd w:id="561"/>
    </w:p>
    <w:p w14:paraId="23B99A99">
      <w:pPr>
        <w:jc w:val="center"/>
        <w:rPr>
          <w:rFonts w:ascii="宋体" w:hAnsi="宋体" w:cs="宋体"/>
          <w:b/>
          <w:color w:val="auto"/>
          <w:kern w:val="0"/>
          <w:szCs w:val="21"/>
          <w:highlight w:val="none"/>
          <w:lang w:bidi="en-US"/>
        </w:rPr>
      </w:pPr>
      <w:bookmarkStart w:id="562" w:name="bookmark1918"/>
      <w:bookmarkStart w:id="563" w:name="bookmark1920"/>
      <w:bookmarkStart w:id="564" w:name="bookmark1919"/>
      <w:r>
        <w:rPr>
          <w:rFonts w:hint="eastAsia" w:ascii="宋体" w:hAnsi="宋体" w:cs="宋体"/>
          <w:b/>
          <w:color w:val="auto"/>
          <w:kern w:val="0"/>
          <w:szCs w:val="21"/>
          <w:highlight w:val="none"/>
          <w:lang w:bidi="en-US"/>
        </w:rPr>
        <w:t>履约保函</w:t>
      </w:r>
      <w:bookmarkEnd w:id="562"/>
      <w:bookmarkEnd w:id="563"/>
      <w:bookmarkEnd w:id="564"/>
    </w:p>
    <w:p w14:paraId="0E991FD7">
      <w:pPr>
        <w:jc w:val="center"/>
        <w:rPr>
          <w:rFonts w:ascii="宋体" w:hAnsi="宋体" w:cs="宋体"/>
          <w:b/>
          <w:color w:val="auto"/>
          <w:kern w:val="0"/>
          <w:szCs w:val="21"/>
          <w:highlight w:val="none"/>
          <w:lang w:bidi="en-US"/>
        </w:rPr>
      </w:pPr>
    </w:p>
    <w:p w14:paraId="4B526B40">
      <w:pPr>
        <w:jc w:val="center"/>
        <w:rPr>
          <w:rFonts w:ascii="宋体" w:hAnsi="宋体" w:cs="宋体"/>
          <w:b/>
          <w:color w:val="auto"/>
          <w:kern w:val="0"/>
          <w:szCs w:val="21"/>
          <w:highlight w:val="none"/>
          <w:lang w:bidi="en-US"/>
        </w:rPr>
      </w:pPr>
    </w:p>
    <w:p w14:paraId="3FCC88D7">
      <w:pPr>
        <w:tabs>
          <w:tab w:val="left" w:pos="1870"/>
        </w:tabs>
        <w:spacing w:after="340" w:line="354" w:lineRule="exact"/>
        <w:rPr>
          <w:rFonts w:ascii="宋体" w:hAnsi="宋体" w:cs="宋体"/>
          <w:color w:val="auto"/>
          <w:kern w:val="0"/>
          <w:szCs w:val="21"/>
          <w:highlight w:val="none"/>
          <w:lang w:val="zh-CN" w:bidi="zh-CN"/>
        </w:rPr>
      </w:pP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（发包人名称）：</w:t>
      </w:r>
    </w:p>
    <w:p w14:paraId="08799E06">
      <w:pPr>
        <w:tabs>
          <w:tab w:val="left" w:pos="847"/>
          <w:tab w:val="left" w:pos="1870"/>
          <w:tab w:val="left" w:pos="3485"/>
          <w:tab w:val="left" w:pos="3554"/>
          <w:tab w:val="left" w:pos="6878"/>
          <w:tab w:val="left" w:pos="8059"/>
        </w:tabs>
        <w:spacing w:line="354" w:lineRule="exact"/>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鉴于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 xml:space="preserve">（发包人名称，以下简称“发包人”）接受 </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 xml:space="preserve">（承包人名称，以下称“承包人”）于年月 </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日递交的（项目名称）（标段名称）的投标文件。我方愿意无条件地、不可撤销地就承包人履行与你方订立的合同，向你方提供担保。</w:t>
      </w:r>
    </w:p>
    <w:p w14:paraId="609031FB">
      <w:pPr>
        <w:numPr>
          <w:ilvl w:val="0"/>
          <w:numId w:val="15"/>
        </w:numPr>
        <w:tabs>
          <w:tab w:val="left" w:pos="733"/>
          <w:tab w:val="left" w:pos="4879"/>
          <w:tab w:val="left" w:pos="7402"/>
        </w:tabs>
        <w:spacing w:line="354" w:lineRule="exact"/>
        <w:ind w:firstLine="420"/>
        <w:jc w:val="left"/>
        <w:rPr>
          <w:rFonts w:ascii="宋体" w:hAnsi="宋体" w:cs="宋体"/>
          <w:color w:val="auto"/>
          <w:kern w:val="0"/>
          <w:szCs w:val="21"/>
          <w:highlight w:val="none"/>
          <w:lang w:val="zh-CN" w:bidi="zh-CN"/>
        </w:rPr>
      </w:pPr>
      <w:bookmarkStart w:id="565" w:name="bookmark1921"/>
      <w:bookmarkEnd w:id="565"/>
      <w:r>
        <w:rPr>
          <w:rFonts w:hint="eastAsia" w:ascii="宋体" w:hAnsi="宋体" w:cs="宋体"/>
          <w:color w:val="auto"/>
          <w:kern w:val="0"/>
          <w:szCs w:val="21"/>
          <w:highlight w:val="none"/>
          <w:lang w:val="zh-CN" w:bidi="zh-CN"/>
        </w:rPr>
        <w:t>担保金额人民币（大写）</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元（¥</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元）</w:t>
      </w:r>
      <w:r>
        <w:rPr>
          <w:rFonts w:hint="eastAsia" w:ascii="宋体" w:hAnsi="宋体" w:cs="宋体"/>
          <w:color w:val="auto"/>
          <w:kern w:val="0"/>
          <w:szCs w:val="21"/>
          <w:highlight w:val="none"/>
          <w:vertAlign w:val="subscript"/>
          <w:lang w:bidi="en-US"/>
        </w:rPr>
        <w:t>o</w:t>
      </w:r>
    </w:p>
    <w:p w14:paraId="65CC4489">
      <w:pPr>
        <w:numPr>
          <w:ilvl w:val="0"/>
          <w:numId w:val="15"/>
        </w:numPr>
        <w:tabs>
          <w:tab w:val="left" w:pos="697"/>
        </w:tabs>
        <w:spacing w:line="354" w:lineRule="exact"/>
        <w:ind w:firstLine="420"/>
        <w:jc w:val="left"/>
        <w:rPr>
          <w:rFonts w:ascii="宋体" w:hAnsi="宋体" w:cs="宋体"/>
          <w:color w:val="auto"/>
          <w:kern w:val="0"/>
          <w:szCs w:val="21"/>
          <w:highlight w:val="none"/>
          <w:lang w:val="zh-CN" w:bidi="zh-CN"/>
        </w:rPr>
      </w:pPr>
      <w:bookmarkStart w:id="566" w:name="bookmark1922"/>
      <w:bookmarkEnd w:id="566"/>
      <w:r>
        <w:rPr>
          <w:rFonts w:hint="eastAsia" w:ascii="宋体" w:hAnsi="宋体" w:cs="宋体"/>
          <w:color w:val="auto"/>
          <w:kern w:val="0"/>
          <w:szCs w:val="21"/>
          <w:highlight w:val="none"/>
          <w:lang w:val="zh-CN" w:bidi="zh-CN"/>
        </w:rPr>
        <w:t>担保有效期自发包人与承包人签订的合同生效之日起至发包人签发工程完工证书之日止。</w:t>
      </w:r>
    </w:p>
    <w:p w14:paraId="5F338A47">
      <w:pPr>
        <w:numPr>
          <w:ilvl w:val="0"/>
          <w:numId w:val="15"/>
        </w:numPr>
        <w:tabs>
          <w:tab w:val="left" w:pos="736"/>
        </w:tabs>
        <w:spacing w:line="354" w:lineRule="exact"/>
        <w:ind w:firstLine="420"/>
        <w:jc w:val="left"/>
        <w:rPr>
          <w:rFonts w:ascii="宋体" w:hAnsi="宋体" w:cs="宋体"/>
          <w:color w:val="auto"/>
          <w:kern w:val="0"/>
          <w:szCs w:val="21"/>
          <w:highlight w:val="none"/>
          <w:lang w:val="zh-CN" w:bidi="zh-CN"/>
        </w:rPr>
      </w:pPr>
      <w:bookmarkStart w:id="567" w:name="bookmark1923"/>
      <w:bookmarkEnd w:id="567"/>
      <w:r>
        <w:rPr>
          <w:rFonts w:hint="eastAsia" w:ascii="宋体" w:hAnsi="宋体" w:cs="宋体"/>
          <w:color w:val="auto"/>
          <w:kern w:val="0"/>
          <w:szCs w:val="21"/>
          <w:highlight w:val="none"/>
          <w:lang w:val="zh-CN" w:bidi="zh-CN"/>
        </w:rPr>
        <w:t>在本担保有效期内，因承包人违反合同约定的义务给你方造成经济损失时，我方在收到你方以书面形式提出的在担保金额内的赔偿要求后，无条件地在7天内予以支付。</w:t>
      </w:r>
    </w:p>
    <w:p w14:paraId="112886E8">
      <w:pPr>
        <w:numPr>
          <w:ilvl w:val="0"/>
          <w:numId w:val="15"/>
        </w:numPr>
        <w:tabs>
          <w:tab w:val="left" w:pos="740"/>
        </w:tabs>
        <w:spacing w:after="340" w:line="354" w:lineRule="exact"/>
        <w:ind w:firstLine="420"/>
        <w:jc w:val="left"/>
        <w:rPr>
          <w:rFonts w:ascii="宋体" w:hAnsi="宋体" w:cs="宋体"/>
          <w:color w:val="auto"/>
          <w:kern w:val="0"/>
          <w:szCs w:val="21"/>
          <w:highlight w:val="none"/>
          <w:lang w:val="zh-CN" w:bidi="zh-CN"/>
        </w:rPr>
      </w:pPr>
      <w:bookmarkStart w:id="568" w:name="bookmark1924"/>
      <w:bookmarkEnd w:id="568"/>
      <w:r>
        <w:rPr>
          <w:rFonts w:hint="eastAsia" w:ascii="宋体" w:hAnsi="宋体" w:cs="宋体"/>
          <w:color w:val="auto"/>
          <w:kern w:val="0"/>
          <w:szCs w:val="21"/>
          <w:highlight w:val="none"/>
          <w:lang w:val="zh-CN" w:bidi="zh-CN"/>
        </w:rPr>
        <w:t>发包人和承包人按《通用合同条款》第15条变更合同时，我方承担本担保规定的义务不变。</w:t>
      </w:r>
    </w:p>
    <w:p w14:paraId="2E99334F">
      <w:pPr>
        <w:pStyle w:val="5"/>
        <w:rPr>
          <w:rFonts w:hint="eastAsia" w:ascii="宋体" w:hAnsi="宋体" w:cs="宋体"/>
          <w:color w:val="auto"/>
          <w:kern w:val="0"/>
          <w:szCs w:val="21"/>
          <w:highlight w:val="none"/>
          <w:lang w:val="zh-CN" w:bidi="zh-CN"/>
        </w:rPr>
      </w:pPr>
    </w:p>
    <w:p w14:paraId="5963833D">
      <w:pPr>
        <w:rPr>
          <w:color w:val="auto"/>
          <w:highlight w:val="none"/>
          <w:lang w:val="zh-CN"/>
        </w:rPr>
      </w:pPr>
    </w:p>
    <w:p w14:paraId="17E11686">
      <w:pPr>
        <w:jc w:val="center"/>
        <w:rPr>
          <w:color w:val="auto"/>
          <w:highlight w:val="none"/>
        </w:rPr>
      </w:pP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担  保 人：</w:t>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 xml:space="preserve">（盖单位公章） </w:t>
      </w:r>
    </w:p>
    <w:p w14:paraId="33B13BE0">
      <w:pPr>
        <w:jc w:val="lef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eastAsia="zh-CN" w:bidi="en-US"/>
        </w:rPr>
        <w:t>法</w:t>
      </w:r>
      <w:r>
        <w:rPr>
          <w:rFonts w:hint="eastAsia" w:ascii="宋体" w:hAnsi="宋体" w:cs="宋体"/>
          <w:color w:val="auto"/>
          <w:kern w:val="0"/>
          <w:szCs w:val="21"/>
          <w:highlight w:val="none"/>
          <w:lang w:bidi="en-US"/>
        </w:rPr>
        <w:t>定代表人(或委托代理人)：</w:t>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（签字）</w:t>
      </w:r>
    </w:p>
    <w:p w14:paraId="27B336EF">
      <w:pPr>
        <w:jc w:val="center"/>
        <w:rPr>
          <w:rFonts w:ascii="宋体" w:hAnsi="宋体" w:cs="宋体"/>
          <w:color w:val="auto"/>
          <w:kern w:val="0"/>
          <w:szCs w:val="21"/>
          <w:highlight w:val="none"/>
          <w:lang w:bidi="en-US"/>
        </w:rPr>
      </w:pP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地      址：</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1408C336">
      <w:pPr>
        <w:jc w:val="righ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 xml:space="preserve">        邮政编码：</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1D73CC26">
      <w:pPr>
        <w:jc w:val="right"/>
        <w:rPr>
          <w:rFonts w:ascii="宋体" w:hAnsi="宋体" w:cs="宋体"/>
          <w:color w:val="auto"/>
          <w:kern w:val="0"/>
          <w:szCs w:val="21"/>
          <w:highlight w:val="none"/>
          <w:u w:val="single"/>
          <w:lang w:bidi="en-US"/>
        </w:rPr>
      </w:pP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 xml:space="preserve"> 电      话：</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50254614">
      <w:pPr>
        <w:jc w:val="righ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传      真：</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6F255B3F">
      <w:pPr>
        <w:jc w:val="right"/>
        <w:rPr>
          <w:rFonts w:ascii="宋体" w:hAnsi="宋体" w:cs="宋体"/>
          <w:color w:val="auto"/>
          <w:kern w:val="0"/>
          <w:szCs w:val="21"/>
          <w:highlight w:val="none"/>
          <w:lang w:bidi="en-US"/>
        </w:rPr>
      </w:pP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lang w:bidi="en-US"/>
        </w:rPr>
        <w:t>年</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月</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 xml:space="preserve">日      </w:t>
      </w:r>
    </w:p>
    <w:p w14:paraId="5A64B4B2">
      <w:pPr>
        <w:jc w:val="lef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注：</w:t>
      </w:r>
    </w:p>
    <w:p w14:paraId="46A22790">
      <w:pPr>
        <w:numPr>
          <w:ilvl w:val="0"/>
          <w:numId w:val="16"/>
        </w:numPr>
        <w:tabs>
          <w:tab w:val="left" w:pos="733"/>
        </w:tabs>
        <w:spacing w:line="354" w:lineRule="exact"/>
        <w:ind w:firstLine="420"/>
        <w:jc w:val="left"/>
        <w:rPr>
          <w:rFonts w:ascii="宋体" w:hAnsi="宋体" w:cs="宋体"/>
          <w:color w:val="auto"/>
          <w:kern w:val="0"/>
          <w:szCs w:val="21"/>
          <w:highlight w:val="none"/>
          <w:lang w:val="zh-CN" w:bidi="zh-CN"/>
        </w:rPr>
      </w:pPr>
      <w:bookmarkStart w:id="569" w:name="bookmark1925"/>
      <w:bookmarkEnd w:id="569"/>
      <w:r>
        <w:rPr>
          <w:rFonts w:hint="eastAsia" w:ascii="宋体" w:hAnsi="宋体" w:cs="宋体"/>
          <w:color w:val="auto"/>
          <w:kern w:val="0"/>
          <w:szCs w:val="21"/>
          <w:highlight w:val="none"/>
          <w:lang w:val="zh-CN" w:bidi="zh-CN"/>
        </w:rPr>
        <w:t>担保人必须是投标人单位基本账户的开户银行。</w:t>
      </w:r>
    </w:p>
    <w:p w14:paraId="58D62E7B">
      <w:pPr>
        <w:numPr>
          <w:ilvl w:val="0"/>
          <w:numId w:val="16"/>
        </w:numPr>
        <w:tabs>
          <w:tab w:val="left" w:pos="750"/>
        </w:tabs>
        <w:spacing w:after="340" w:line="354" w:lineRule="exact"/>
        <w:ind w:firstLine="420"/>
        <w:jc w:val="left"/>
        <w:rPr>
          <w:rFonts w:ascii="宋体" w:hAnsi="宋体" w:cs="宋体"/>
          <w:color w:val="auto"/>
          <w:kern w:val="0"/>
          <w:szCs w:val="21"/>
          <w:highlight w:val="none"/>
          <w:lang w:val="zh-CN" w:bidi="zh-CN"/>
        </w:rPr>
      </w:pPr>
      <w:bookmarkStart w:id="570" w:name="bookmark1926"/>
      <w:bookmarkEnd w:id="570"/>
      <w:r>
        <w:rPr>
          <w:rFonts w:hint="eastAsia" w:ascii="宋体" w:hAnsi="宋体" w:cs="宋体"/>
          <w:color w:val="auto"/>
          <w:kern w:val="0"/>
          <w:szCs w:val="21"/>
          <w:highlight w:val="none"/>
          <w:lang w:val="zh-CN" w:bidi="zh-CN"/>
        </w:rPr>
        <w:t>委托代理人应附授权委托书。</w:t>
      </w:r>
    </w:p>
    <w:p w14:paraId="10CEA3D1">
      <w:pPr>
        <w:tabs>
          <w:tab w:val="left" w:pos="750"/>
        </w:tabs>
        <w:spacing w:after="340" w:line="354" w:lineRule="exact"/>
        <w:ind w:firstLine="400"/>
        <w:rPr>
          <w:rFonts w:ascii="宋体" w:hAnsi="宋体" w:cs="宋体"/>
          <w:color w:val="auto"/>
          <w:kern w:val="0"/>
          <w:szCs w:val="21"/>
          <w:highlight w:val="none"/>
          <w:lang w:val="zh-CN" w:bidi="zh-CN"/>
        </w:rPr>
      </w:pPr>
    </w:p>
    <w:p w14:paraId="0A8E7A9B">
      <w:pPr>
        <w:jc w:val="left"/>
        <w:rPr>
          <w:rFonts w:ascii="宋体" w:hAnsi="宋体" w:cs="宋体"/>
          <w:color w:val="auto"/>
          <w:kern w:val="0"/>
          <w:szCs w:val="21"/>
          <w:highlight w:val="none"/>
          <w:lang w:bidi="en-US"/>
        </w:rPr>
      </w:pPr>
      <w:bookmarkStart w:id="571" w:name="bookmark1928"/>
      <w:bookmarkStart w:id="572" w:name="bookmark1927"/>
      <w:bookmarkStart w:id="573" w:name="bookmark1929"/>
      <w:bookmarkStart w:id="574" w:name="_Toc14710463"/>
      <w:bookmarkStart w:id="575" w:name="_Toc21423"/>
      <w:bookmarkStart w:id="576" w:name="_Toc4188"/>
    </w:p>
    <w:p w14:paraId="66C6752C">
      <w:pPr>
        <w:pStyle w:val="18"/>
        <w:ind w:left="63" w:right="63"/>
        <w:rPr>
          <w:color w:val="auto"/>
          <w:highlight w:val="none"/>
        </w:rPr>
      </w:pPr>
    </w:p>
    <w:p w14:paraId="3A41467E">
      <w:pPr>
        <w:jc w:val="left"/>
        <w:rPr>
          <w:rFonts w:ascii="宋体" w:hAnsi="宋体" w:cs="宋体"/>
          <w:color w:val="auto"/>
          <w:kern w:val="0"/>
          <w:szCs w:val="21"/>
          <w:highlight w:val="none"/>
          <w:lang w:bidi="en-US"/>
        </w:rPr>
      </w:pPr>
    </w:p>
    <w:p w14:paraId="0A9FACBD">
      <w:pPr>
        <w:jc w:val="left"/>
        <w:rPr>
          <w:rFonts w:ascii="宋体" w:hAnsi="宋体" w:cs="宋体"/>
          <w:color w:val="auto"/>
          <w:kern w:val="0"/>
          <w:szCs w:val="21"/>
          <w:highlight w:val="none"/>
          <w:lang w:bidi="en-US"/>
        </w:rPr>
      </w:pPr>
    </w:p>
    <w:p w14:paraId="4E023C40">
      <w:pPr>
        <w:jc w:val="left"/>
        <w:rPr>
          <w:rFonts w:ascii="宋体" w:hAnsi="宋体" w:cs="宋体"/>
          <w:color w:val="auto"/>
          <w:kern w:val="0"/>
          <w:szCs w:val="21"/>
          <w:highlight w:val="none"/>
          <w:lang w:bidi="en-US"/>
        </w:rPr>
      </w:pPr>
    </w:p>
    <w:p w14:paraId="2647A901">
      <w:pPr>
        <w:pStyle w:val="5"/>
        <w:rPr>
          <w:color w:val="auto"/>
          <w:highlight w:val="none"/>
        </w:rPr>
      </w:pPr>
    </w:p>
    <w:p w14:paraId="7E84F1CA">
      <w:pPr>
        <w:jc w:val="left"/>
        <w:rPr>
          <w:rFonts w:ascii="宋体" w:hAnsi="宋体" w:cs="宋体"/>
          <w:color w:val="auto"/>
          <w:kern w:val="0"/>
          <w:szCs w:val="21"/>
          <w:highlight w:val="none"/>
          <w:lang w:bidi="en-US"/>
        </w:rPr>
      </w:pPr>
    </w:p>
    <w:p w14:paraId="4AF18961">
      <w:pPr>
        <w:jc w:val="left"/>
        <w:rPr>
          <w:rFonts w:ascii="宋体" w:hAnsi="宋体" w:cs="宋体"/>
          <w:color w:val="auto"/>
          <w:kern w:val="0"/>
          <w:szCs w:val="21"/>
          <w:highlight w:val="none"/>
          <w:lang w:bidi="en-US"/>
        </w:rPr>
      </w:pPr>
    </w:p>
    <w:p w14:paraId="096FBBB4">
      <w:pPr>
        <w:jc w:val="left"/>
        <w:rPr>
          <w:rFonts w:ascii="宋体" w:hAnsi="宋体" w:cs="宋体"/>
          <w:color w:val="auto"/>
          <w:kern w:val="0"/>
          <w:szCs w:val="21"/>
          <w:highlight w:val="none"/>
          <w:lang w:bidi="en-US"/>
        </w:rPr>
      </w:pPr>
    </w:p>
    <w:p w14:paraId="1ADD67D3">
      <w:pPr>
        <w:keepLines/>
        <w:spacing w:before="120" w:after="120" w:line="415" w:lineRule="auto"/>
        <w:jc w:val="left"/>
        <w:outlineLvl w:val="1"/>
        <w:rPr>
          <w:rFonts w:hint="eastAsia" w:ascii="宋体" w:hAnsi="宋体" w:cs="宋体"/>
          <w:b/>
          <w:bCs/>
          <w:color w:val="auto"/>
          <w:kern w:val="0"/>
          <w:szCs w:val="21"/>
          <w:highlight w:val="none"/>
          <w:lang w:bidi="en-US"/>
        </w:rPr>
      </w:pPr>
    </w:p>
    <w:p w14:paraId="62E40AF1">
      <w:pPr>
        <w:keepLines/>
        <w:spacing w:before="120" w:after="120" w:line="415" w:lineRule="auto"/>
        <w:jc w:val="left"/>
        <w:outlineLvl w:val="1"/>
        <w:rPr>
          <w:rFonts w:ascii="宋体" w:hAnsi="宋体" w:cs="宋体"/>
          <w:b/>
          <w:bCs/>
          <w:color w:val="auto"/>
          <w:kern w:val="0"/>
          <w:szCs w:val="21"/>
          <w:highlight w:val="none"/>
          <w:lang w:bidi="en-US"/>
        </w:rPr>
      </w:pPr>
      <w:r>
        <w:rPr>
          <w:rFonts w:hint="eastAsia" w:ascii="宋体" w:hAnsi="宋体" w:cs="宋体"/>
          <w:b/>
          <w:bCs/>
          <w:color w:val="auto"/>
          <w:kern w:val="0"/>
          <w:szCs w:val="21"/>
          <w:highlight w:val="none"/>
          <w:lang w:bidi="en-US"/>
        </w:rPr>
        <w:t>附件三：预付款担保函</w:t>
      </w:r>
      <w:bookmarkEnd w:id="571"/>
      <w:bookmarkEnd w:id="572"/>
      <w:bookmarkEnd w:id="573"/>
      <w:bookmarkEnd w:id="574"/>
      <w:bookmarkEnd w:id="575"/>
      <w:bookmarkEnd w:id="576"/>
    </w:p>
    <w:p w14:paraId="08EC5453">
      <w:pPr>
        <w:spacing w:beforeLines="50"/>
        <w:jc w:val="center"/>
        <w:rPr>
          <w:rFonts w:ascii="宋体" w:hAnsi="宋体" w:cs="宋体"/>
          <w:b/>
          <w:color w:val="auto"/>
          <w:kern w:val="0"/>
          <w:szCs w:val="21"/>
          <w:highlight w:val="none"/>
          <w:lang w:bidi="en-US"/>
        </w:rPr>
      </w:pPr>
      <w:bookmarkStart w:id="577" w:name="bookmark1932"/>
      <w:bookmarkStart w:id="578" w:name="bookmark1931"/>
      <w:bookmarkStart w:id="579" w:name="bookmark1930"/>
      <w:r>
        <w:rPr>
          <w:rFonts w:hint="eastAsia" w:ascii="宋体" w:hAnsi="宋体" w:cs="宋体"/>
          <w:b/>
          <w:color w:val="auto"/>
          <w:kern w:val="0"/>
          <w:szCs w:val="21"/>
          <w:highlight w:val="none"/>
          <w:lang w:bidi="en-US"/>
        </w:rPr>
        <w:t>预付款担保函</w:t>
      </w:r>
      <w:bookmarkEnd w:id="577"/>
      <w:bookmarkEnd w:id="578"/>
      <w:bookmarkEnd w:id="579"/>
    </w:p>
    <w:p w14:paraId="700DEB55">
      <w:pPr>
        <w:jc w:val="center"/>
        <w:rPr>
          <w:rFonts w:ascii="宋体" w:hAnsi="宋体" w:cs="宋体"/>
          <w:b/>
          <w:color w:val="auto"/>
          <w:kern w:val="0"/>
          <w:szCs w:val="21"/>
          <w:highlight w:val="none"/>
          <w:lang w:bidi="en-US"/>
        </w:rPr>
      </w:pPr>
    </w:p>
    <w:p w14:paraId="70F8A117">
      <w:pPr>
        <w:tabs>
          <w:tab w:val="left" w:pos="1870"/>
        </w:tabs>
        <w:spacing w:after="340"/>
        <w:rPr>
          <w:rFonts w:ascii="宋体" w:hAnsi="宋体" w:cs="宋体"/>
          <w:color w:val="auto"/>
          <w:kern w:val="0"/>
          <w:szCs w:val="21"/>
          <w:highlight w:val="none"/>
          <w:lang w:val="zh-CN" w:bidi="zh-CN"/>
        </w:rPr>
      </w:pP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（发包人名称）:</w:t>
      </w:r>
    </w:p>
    <w:p w14:paraId="1829818C">
      <w:pPr>
        <w:tabs>
          <w:tab w:val="left" w:pos="1870"/>
          <w:tab w:val="left" w:pos="2707"/>
          <w:tab w:val="left" w:pos="5004"/>
          <w:tab w:val="left" w:pos="5033"/>
          <w:tab w:val="left" w:pos="6163"/>
          <w:tab w:val="left" w:pos="7322"/>
          <w:tab w:val="left" w:pos="8333"/>
        </w:tabs>
        <w:spacing w:after="120" w:line="355" w:lineRule="exact"/>
        <w:ind w:firstLine="420"/>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根据</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（承包人名称，以下称“承包人”）与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 xml:space="preserve"> （发包人名称，以下简称“发包人”）于</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年</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 xml:space="preserve">月日签订的 </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（项目名称）</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（标段名称）合同协议书，承包人 按约定的金额向发包人提交一份预付款担保，即有权得到发包人支付相等金额的预付款。 我方愿意就你方提供给承包人的预付款提供担保。</w:t>
      </w:r>
    </w:p>
    <w:p w14:paraId="5278D4C6">
      <w:pPr>
        <w:numPr>
          <w:ilvl w:val="0"/>
          <w:numId w:val="17"/>
        </w:numPr>
        <w:tabs>
          <w:tab w:val="left" w:pos="719"/>
          <w:tab w:val="left" w:pos="4879"/>
          <w:tab w:val="left" w:pos="7402"/>
        </w:tabs>
        <w:spacing w:line="372" w:lineRule="auto"/>
        <w:ind w:firstLine="420"/>
        <w:jc w:val="left"/>
        <w:rPr>
          <w:rFonts w:ascii="宋体" w:hAnsi="宋体" w:cs="宋体"/>
          <w:color w:val="auto"/>
          <w:kern w:val="0"/>
          <w:szCs w:val="21"/>
          <w:highlight w:val="none"/>
          <w:lang w:val="zh-CN" w:bidi="zh-CN"/>
        </w:rPr>
      </w:pPr>
      <w:bookmarkStart w:id="580" w:name="bookmark1933"/>
      <w:bookmarkEnd w:id="580"/>
      <w:r>
        <w:rPr>
          <w:rFonts w:hint="eastAsia" w:ascii="宋体" w:hAnsi="宋体" w:cs="宋体"/>
          <w:color w:val="auto"/>
          <w:kern w:val="0"/>
          <w:szCs w:val="21"/>
          <w:highlight w:val="none"/>
          <w:lang w:val="zh-CN" w:bidi="zh-CN"/>
        </w:rPr>
        <w:t>担保金额人民币（大写）</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val="zh-CN" w:bidi="zh-CN"/>
        </w:rPr>
        <w:t>元（¥</w:t>
      </w:r>
      <w:r>
        <w:rPr>
          <w:rFonts w:hint="eastAsia" w:ascii="宋体" w:hAnsi="宋体" w:cs="宋体"/>
          <w:color w:val="auto"/>
          <w:kern w:val="0"/>
          <w:szCs w:val="21"/>
          <w:highlight w:val="none"/>
          <w:u w:val="single"/>
          <w:lang w:val="zh-CN" w:bidi="zh-CN"/>
        </w:rPr>
        <w:tab/>
      </w:r>
      <w:r>
        <w:rPr>
          <w:rFonts w:hint="eastAsia" w:ascii="宋体" w:hAnsi="宋体" w:cs="宋体"/>
          <w:color w:val="auto"/>
          <w:kern w:val="0"/>
          <w:szCs w:val="21"/>
          <w:highlight w:val="none"/>
          <w:lang w:bidi="en-US"/>
        </w:rPr>
        <w:t>）</w:t>
      </w:r>
      <w:r>
        <w:rPr>
          <w:rFonts w:hint="eastAsia" w:ascii="宋体" w:hAnsi="宋体" w:cs="宋体"/>
          <w:color w:val="auto"/>
          <w:kern w:val="0"/>
          <w:szCs w:val="21"/>
          <w:highlight w:val="none"/>
          <w:vertAlign w:val="subscript"/>
          <w:lang w:bidi="en-US"/>
        </w:rPr>
        <w:t>o</w:t>
      </w:r>
    </w:p>
    <w:p w14:paraId="753BB624">
      <w:pPr>
        <w:numPr>
          <w:ilvl w:val="0"/>
          <w:numId w:val="17"/>
        </w:numPr>
        <w:tabs>
          <w:tab w:val="left" w:pos="726"/>
        </w:tabs>
        <w:spacing w:line="355" w:lineRule="exact"/>
        <w:ind w:firstLine="420"/>
        <w:jc w:val="left"/>
        <w:rPr>
          <w:rFonts w:ascii="宋体" w:hAnsi="宋体" w:cs="宋体"/>
          <w:color w:val="auto"/>
          <w:kern w:val="0"/>
          <w:szCs w:val="21"/>
          <w:highlight w:val="none"/>
          <w:lang w:val="zh-CN" w:bidi="zh-CN"/>
        </w:rPr>
      </w:pPr>
      <w:bookmarkStart w:id="581" w:name="bookmark1934"/>
      <w:bookmarkEnd w:id="581"/>
      <w:r>
        <w:rPr>
          <w:rFonts w:hint="eastAsia" w:ascii="宋体" w:hAnsi="宋体" w:cs="宋体"/>
          <w:color w:val="auto"/>
          <w:kern w:val="0"/>
          <w:szCs w:val="21"/>
          <w:highlight w:val="none"/>
          <w:lang w:val="zh-CN" w:bidi="zh-CN"/>
        </w:rPr>
        <w:t>担保有效期自预付款支付给承包人起生效，至发包人签发的进度付款证书说明已完全扣清止。</w:t>
      </w:r>
    </w:p>
    <w:p w14:paraId="76D8C290">
      <w:pPr>
        <w:numPr>
          <w:ilvl w:val="0"/>
          <w:numId w:val="17"/>
        </w:numPr>
        <w:tabs>
          <w:tab w:val="left" w:pos="731"/>
        </w:tabs>
        <w:spacing w:line="355" w:lineRule="exact"/>
        <w:ind w:firstLine="420"/>
        <w:jc w:val="left"/>
        <w:rPr>
          <w:rFonts w:ascii="宋体" w:hAnsi="宋体" w:cs="宋体"/>
          <w:color w:val="auto"/>
          <w:kern w:val="0"/>
          <w:szCs w:val="21"/>
          <w:highlight w:val="none"/>
          <w:lang w:val="zh-CN" w:bidi="zh-CN"/>
        </w:rPr>
      </w:pPr>
      <w:bookmarkStart w:id="582" w:name="bookmark1935"/>
      <w:bookmarkEnd w:id="582"/>
      <w:r>
        <w:rPr>
          <w:rFonts w:hint="eastAsia" w:ascii="宋体" w:hAnsi="宋体" w:cs="宋体"/>
          <w:color w:val="auto"/>
          <w:kern w:val="0"/>
          <w:szCs w:val="21"/>
          <w:highlight w:val="none"/>
          <w:lang w:val="zh-CN" w:bidi="zh-CN"/>
        </w:rPr>
        <w:t>在本担保有效期内，因承包人违反合同约定的义务而要求收回预付款时，我方在收到你方的书面通知后，无条件地在7天内予以支付。但本担保的担保金额，在任何时候不应超过预付款金额减去发包人按合同约定在向承包人签发的进度付款证书中已扣回的金额。</w:t>
      </w:r>
      <w:bookmarkStart w:id="583" w:name="bookmark1936"/>
      <w:bookmarkEnd w:id="583"/>
      <w:r>
        <w:rPr>
          <w:rFonts w:hint="eastAsia" w:ascii="宋体" w:hAnsi="宋体" w:cs="宋体"/>
          <w:color w:val="auto"/>
          <w:kern w:val="0"/>
          <w:szCs w:val="21"/>
          <w:highlight w:val="none"/>
          <w:lang w:val="zh-CN" w:bidi="zh-CN"/>
        </w:rPr>
        <w:t>发包人和承包人按《通用合同条款》第15条变更合同时，我方承担本担保规定的 义务不变。</w:t>
      </w:r>
    </w:p>
    <w:p w14:paraId="5AF5E1F3">
      <w:pPr>
        <w:pStyle w:val="5"/>
        <w:rPr>
          <w:rFonts w:hint="eastAsia" w:ascii="宋体" w:hAnsi="宋体" w:cs="宋体"/>
          <w:color w:val="auto"/>
          <w:kern w:val="0"/>
          <w:szCs w:val="21"/>
          <w:highlight w:val="none"/>
          <w:lang w:val="zh-CN" w:bidi="zh-CN"/>
        </w:rPr>
      </w:pPr>
    </w:p>
    <w:p w14:paraId="5F29AC83">
      <w:pPr>
        <w:rPr>
          <w:rFonts w:hint="eastAsia" w:ascii="宋体" w:hAnsi="宋体" w:cs="宋体"/>
          <w:color w:val="auto"/>
          <w:kern w:val="0"/>
          <w:szCs w:val="21"/>
          <w:highlight w:val="none"/>
          <w:lang w:val="zh-CN" w:bidi="zh-CN"/>
        </w:rPr>
      </w:pPr>
    </w:p>
    <w:p w14:paraId="4DD4D538">
      <w:pPr>
        <w:pStyle w:val="5"/>
        <w:rPr>
          <w:color w:val="auto"/>
          <w:highlight w:val="none"/>
          <w:lang w:val="zh-CN"/>
        </w:rPr>
      </w:pPr>
    </w:p>
    <w:p w14:paraId="3D0FA04B">
      <w:pPr>
        <w:tabs>
          <w:tab w:val="left" w:pos="731"/>
        </w:tabs>
        <w:spacing w:line="355" w:lineRule="exact"/>
        <w:ind w:left="420"/>
        <w:rPr>
          <w:rFonts w:ascii="宋体" w:hAnsi="宋体" w:cs="宋体"/>
          <w:color w:val="auto"/>
          <w:kern w:val="0"/>
          <w:szCs w:val="21"/>
          <w:highlight w:val="none"/>
          <w:lang w:val="zh-CN" w:bidi="zh-CN"/>
        </w:rPr>
      </w:pPr>
    </w:p>
    <w:p w14:paraId="0B869055">
      <w:pPr>
        <w:jc w:val="center"/>
        <w:rPr>
          <w:color w:val="auto"/>
          <w:highlight w:val="none"/>
        </w:rPr>
      </w:pP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担  保 人：</w:t>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 xml:space="preserve">（盖单位公章） </w:t>
      </w:r>
    </w:p>
    <w:p w14:paraId="47DE43D7">
      <w:pPr>
        <w:jc w:val="lef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eastAsia="zh-CN" w:bidi="en-US"/>
        </w:rPr>
        <w:t>法</w:t>
      </w:r>
      <w:r>
        <w:rPr>
          <w:rFonts w:hint="eastAsia" w:ascii="宋体" w:hAnsi="宋体" w:cs="宋体"/>
          <w:color w:val="auto"/>
          <w:kern w:val="0"/>
          <w:szCs w:val="21"/>
          <w:highlight w:val="none"/>
          <w:lang w:bidi="en-US"/>
        </w:rPr>
        <w:t>定代表人(或委托代理人)：</w:t>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（签字）</w:t>
      </w:r>
    </w:p>
    <w:p w14:paraId="065FB224">
      <w:pPr>
        <w:jc w:val="center"/>
        <w:rPr>
          <w:rFonts w:ascii="宋体" w:hAnsi="宋体" w:cs="宋体"/>
          <w:color w:val="auto"/>
          <w:kern w:val="0"/>
          <w:szCs w:val="21"/>
          <w:highlight w:val="none"/>
          <w:lang w:bidi="en-US"/>
        </w:rPr>
      </w:pP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地      址：</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76DA0D07">
      <w:pPr>
        <w:jc w:val="righ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 xml:space="preserve">        邮政编码：</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6A351976">
      <w:pPr>
        <w:jc w:val="right"/>
        <w:rPr>
          <w:rFonts w:ascii="宋体" w:hAnsi="宋体" w:cs="宋体"/>
          <w:color w:val="auto"/>
          <w:kern w:val="0"/>
          <w:szCs w:val="21"/>
          <w:highlight w:val="none"/>
          <w:u w:val="single"/>
          <w:lang w:bidi="en-US"/>
        </w:rPr>
      </w:pP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 xml:space="preserve"> 电      话：</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44A03E93">
      <w:pPr>
        <w:jc w:val="right"/>
        <w:rPr>
          <w:rFonts w:ascii="宋体" w:hAnsi="宋体" w:cs="宋体"/>
          <w:color w:val="auto"/>
          <w:kern w:val="0"/>
          <w:szCs w:val="21"/>
          <w:highlight w:val="none"/>
          <w:lang w:bidi="en-US"/>
        </w:rPr>
      </w:pPr>
      <w:r>
        <w:rPr>
          <w:rFonts w:hint="eastAsia" w:ascii="宋体" w:hAnsi="宋体" w:cs="宋体"/>
          <w:color w:val="auto"/>
          <w:kern w:val="0"/>
          <w:szCs w:val="21"/>
          <w:highlight w:val="none"/>
          <w:lang w:bidi="en-US"/>
        </w:rPr>
        <w:t xml:space="preserve">        </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lang w:bidi="en-US"/>
        </w:rPr>
        <w:t>传      真：</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bidi="en-US"/>
        </w:rPr>
        <w:tab/>
      </w:r>
    </w:p>
    <w:p w14:paraId="4DADAACC">
      <w:pPr>
        <w:jc w:val="right"/>
        <w:rPr>
          <w:rFonts w:ascii="宋体" w:hAnsi="宋体" w:cs="宋体"/>
          <w:color w:val="auto"/>
          <w:kern w:val="0"/>
          <w:szCs w:val="21"/>
          <w:highlight w:val="none"/>
          <w:lang w:bidi="en-US"/>
        </w:rPr>
      </w:pP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lang w:bidi="en-US"/>
        </w:rPr>
        <w:t>年</w:t>
      </w:r>
      <w:r>
        <w:rPr>
          <w:rFonts w:hint="eastAsia" w:ascii="宋体" w:hAnsi="宋体" w:cs="宋体"/>
          <w:color w:val="auto"/>
          <w:kern w:val="0"/>
          <w:szCs w:val="21"/>
          <w:highlight w:val="none"/>
          <w:u w:val="single"/>
          <w:lang w:bidi="en-US"/>
        </w:rPr>
        <w:tab/>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月</w:t>
      </w:r>
      <w:r>
        <w:rPr>
          <w:rFonts w:hint="eastAsia" w:ascii="宋体" w:hAnsi="宋体" w:cs="宋体"/>
          <w:color w:val="auto"/>
          <w:kern w:val="0"/>
          <w:szCs w:val="21"/>
          <w:highlight w:val="none"/>
          <w:lang w:val="en-US" w:eastAsia="zh-CN" w:bidi="en-US"/>
        </w:rPr>
        <w:t xml:space="preserve"> </w:t>
      </w:r>
      <w:r>
        <w:rPr>
          <w:rFonts w:hint="eastAsia" w:ascii="宋体" w:hAnsi="宋体" w:cs="宋体"/>
          <w:color w:val="auto"/>
          <w:kern w:val="0"/>
          <w:szCs w:val="21"/>
          <w:highlight w:val="none"/>
          <w:u w:val="single"/>
          <w:lang w:val="en-US" w:eastAsia="zh-CN" w:bidi="en-US"/>
        </w:rPr>
        <w:t xml:space="preserve">     </w:t>
      </w:r>
      <w:r>
        <w:rPr>
          <w:rFonts w:hint="eastAsia" w:ascii="宋体" w:hAnsi="宋体" w:cs="宋体"/>
          <w:color w:val="auto"/>
          <w:kern w:val="0"/>
          <w:szCs w:val="21"/>
          <w:highlight w:val="none"/>
          <w:lang w:bidi="en-US"/>
        </w:rPr>
        <w:t xml:space="preserve">日     </w:t>
      </w:r>
    </w:p>
    <w:p w14:paraId="5A5F46EA">
      <w:pPr>
        <w:tabs>
          <w:tab w:val="left" w:pos="726"/>
        </w:tabs>
        <w:spacing w:after="340" w:line="355" w:lineRule="exact"/>
        <w:rPr>
          <w:rFonts w:ascii="宋体" w:hAnsi="宋体" w:cs="宋体"/>
          <w:color w:val="auto"/>
          <w:kern w:val="0"/>
          <w:szCs w:val="21"/>
          <w:highlight w:val="none"/>
          <w:lang w:val="zh-CN" w:bidi="zh-CN"/>
        </w:rPr>
      </w:pPr>
      <w:r>
        <w:rPr>
          <w:rFonts w:hint="eastAsia" w:ascii="宋体" w:hAnsi="宋体" w:cs="宋体"/>
          <w:color w:val="auto"/>
          <w:kern w:val="0"/>
          <w:szCs w:val="21"/>
          <w:highlight w:val="none"/>
          <w:lang w:val="zh-CN" w:bidi="zh-CN"/>
        </w:rPr>
        <w:t>注：</w:t>
      </w:r>
    </w:p>
    <w:p w14:paraId="5939784D">
      <w:pPr>
        <w:numPr>
          <w:ilvl w:val="0"/>
          <w:numId w:val="18"/>
        </w:numPr>
        <w:tabs>
          <w:tab w:val="left" w:pos="699"/>
        </w:tabs>
        <w:spacing w:line="372" w:lineRule="auto"/>
        <w:jc w:val="left"/>
        <w:rPr>
          <w:rFonts w:ascii="宋体" w:hAnsi="宋体" w:cs="宋体"/>
          <w:color w:val="auto"/>
          <w:kern w:val="0"/>
          <w:szCs w:val="21"/>
          <w:highlight w:val="none"/>
          <w:lang w:val="zh-CN" w:bidi="zh-CN"/>
        </w:rPr>
      </w:pPr>
      <w:bookmarkStart w:id="584" w:name="bookmark1937"/>
      <w:bookmarkEnd w:id="584"/>
      <w:r>
        <w:rPr>
          <w:rFonts w:hint="eastAsia" w:ascii="宋体" w:hAnsi="宋体" w:cs="宋体"/>
          <w:color w:val="auto"/>
          <w:kern w:val="0"/>
          <w:szCs w:val="21"/>
          <w:highlight w:val="none"/>
          <w:lang w:val="zh-CN" w:bidi="zh-CN"/>
        </w:rPr>
        <w:t>担保人必须是投标人单位基本账户的开户银行。</w:t>
      </w:r>
    </w:p>
    <w:p w14:paraId="632EE06F">
      <w:pPr>
        <w:numPr>
          <w:ilvl w:val="0"/>
          <w:numId w:val="18"/>
        </w:numPr>
        <w:tabs>
          <w:tab w:val="left" w:pos="716"/>
        </w:tabs>
        <w:spacing w:after="340" w:line="372" w:lineRule="auto"/>
        <w:jc w:val="left"/>
        <w:rPr>
          <w:rFonts w:ascii="宋体" w:hAnsi="宋体" w:cs="宋体"/>
          <w:color w:val="auto"/>
          <w:kern w:val="0"/>
          <w:szCs w:val="21"/>
          <w:highlight w:val="none"/>
          <w:lang w:val="zh-CN" w:bidi="zh-CN"/>
        </w:rPr>
      </w:pPr>
      <w:bookmarkStart w:id="585" w:name="bookmark1938"/>
      <w:bookmarkEnd w:id="585"/>
      <w:r>
        <w:rPr>
          <w:rFonts w:hint="eastAsia" w:ascii="宋体" w:hAnsi="宋体" w:cs="宋体"/>
          <w:color w:val="auto"/>
          <w:kern w:val="0"/>
          <w:szCs w:val="21"/>
          <w:highlight w:val="none"/>
          <w:lang w:val="zh-CN" w:bidi="zh-CN"/>
        </w:rPr>
        <w:t>委托代理人应附授权委托书</w:t>
      </w:r>
    </w:p>
    <w:p w14:paraId="5779FC01">
      <w:pPr>
        <w:rPr>
          <w:rFonts w:ascii="宋体" w:hAnsi="宋体"/>
          <w:color w:val="auto"/>
          <w:highlight w:val="none"/>
        </w:rPr>
      </w:pPr>
    </w:p>
    <w:p w14:paraId="5FFA7F16">
      <w:pPr>
        <w:pStyle w:val="5"/>
        <w:rPr>
          <w:color w:val="auto"/>
          <w:highlight w:val="none"/>
        </w:rPr>
      </w:pPr>
    </w:p>
    <w:p w14:paraId="7EB929A0">
      <w:pPr>
        <w:spacing w:line="500" w:lineRule="exact"/>
        <w:rPr>
          <w:b/>
          <w:color w:val="auto"/>
          <w:sz w:val="36"/>
          <w:highlight w:val="none"/>
        </w:rPr>
      </w:pPr>
    </w:p>
    <w:p w14:paraId="68C3C2D6">
      <w:pPr>
        <w:spacing w:line="500" w:lineRule="exact"/>
        <w:ind w:firstLine="3235" w:firstLineChars="895"/>
        <w:rPr>
          <w:b/>
          <w:color w:val="auto"/>
          <w:sz w:val="36"/>
          <w:highlight w:val="none"/>
        </w:rPr>
      </w:pPr>
      <w:r>
        <w:rPr>
          <w:rFonts w:hint="eastAsia"/>
          <w:b/>
          <w:color w:val="auto"/>
          <w:sz w:val="36"/>
          <w:highlight w:val="none"/>
        </w:rPr>
        <w:t>第五章   工程量清单</w:t>
      </w:r>
    </w:p>
    <w:p w14:paraId="3174C6C0">
      <w:pPr>
        <w:spacing w:line="360" w:lineRule="exact"/>
        <w:jc w:val="left"/>
        <w:rPr>
          <w:color w:val="auto"/>
          <w:sz w:val="24"/>
          <w:highlight w:val="none"/>
        </w:rPr>
      </w:pPr>
    </w:p>
    <w:p w14:paraId="38365DA7">
      <w:pPr>
        <w:spacing w:line="360" w:lineRule="exact"/>
        <w:jc w:val="left"/>
        <w:rPr>
          <w:b/>
          <w:color w:val="auto"/>
          <w:sz w:val="24"/>
          <w:highlight w:val="none"/>
        </w:rPr>
      </w:pPr>
      <w:r>
        <w:rPr>
          <w:rFonts w:hint="eastAsia"/>
          <w:b/>
          <w:color w:val="auto"/>
          <w:sz w:val="24"/>
          <w:highlight w:val="none"/>
        </w:rPr>
        <w:t>1.工程量清单说明</w:t>
      </w:r>
    </w:p>
    <w:p w14:paraId="55CBD44B">
      <w:pPr>
        <w:spacing w:line="360" w:lineRule="exact"/>
        <w:jc w:val="left"/>
        <w:rPr>
          <w:b/>
          <w:color w:val="auto"/>
          <w:sz w:val="24"/>
          <w:highlight w:val="none"/>
        </w:rPr>
      </w:pPr>
    </w:p>
    <w:p w14:paraId="0138FF5B">
      <w:pPr>
        <w:spacing w:line="360" w:lineRule="exact"/>
        <w:ind w:firstLine="420" w:firstLineChars="200"/>
        <w:jc w:val="left"/>
        <w:rPr>
          <w:color w:val="auto"/>
          <w:szCs w:val="21"/>
          <w:highlight w:val="none"/>
        </w:rPr>
      </w:pPr>
      <w:r>
        <w:rPr>
          <w:rFonts w:hint="eastAsia"/>
          <w:color w:val="auto"/>
          <w:szCs w:val="21"/>
          <w:highlight w:val="none"/>
        </w:rPr>
        <w:t>1.1本工程量清单是根据招标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4F755F21">
      <w:pPr>
        <w:spacing w:line="360" w:lineRule="exact"/>
        <w:ind w:firstLine="420" w:firstLineChars="200"/>
        <w:jc w:val="left"/>
        <w:rPr>
          <w:rFonts w:ascii="宋体" w:hAnsi="宋体"/>
          <w:color w:val="auto"/>
          <w:szCs w:val="21"/>
          <w:highlight w:val="none"/>
        </w:rPr>
      </w:pPr>
      <w:r>
        <w:rPr>
          <w:rFonts w:hint="eastAsia"/>
          <w:color w:val="auto"/>
          <w:szCs w:val="21"/>
          <w:highlight w:val="none"/>
        </w:rPr>
        <w:t>1.2本工程量清单应与招标文件中的投标人须知、通知合同条款、专用合同条款、技术标准和要求及图纸等一起阅读和理解。</w:t>
      </w:r>
    </w:p>
    <w:p w14:paraId="64CB0112">
      <w:pPr>
        <w:spacing w:line="360" w:lineRule="exact"/>
        <w:ind w:firstLine="420" w:firstLineChars="200"/>
        <w:jc w:val="left"/>
        <w:rPr>
          <w:color w:val="auto"/>
          <w:szCs w:val="21"/>
          <w:highlight w:val="none"/>
        </w:rPr>
      </w:pPr>
      <w:r>
        <w:rPr>
          <w:rFonts w:hint="eastAsia" w:ascii="宋体" w:hAnsi="宋体"/>
          <w:color w:val="auto"/>
          <w:szCs w:val="21"/>
          <w:highlight w:val="none"/>
        </w:rPr>
        <w:t>1.3本工程量清单仅是投标报价的共同基础，实现工程计量和工程价款的</w:t>
      </w:r>
      <w:r>
        <w:rPr>
          <w:rFonts w:hint="eastAsia"/>
          <w:color w:val="auto"/>
          <w:szCs w:val="21"/>
          <w:highlight w:val="none"/>
        </w:rPr>
        <w:t>支付应遵循合同条款的约定和第七章“技术标准和要求”的有关规定。</w:t>
      </w:r>
    </w:p>
    <w:p w14:paraId="0EF6A6C6">
      <w:pPr>
        <w:spacing w:line="360" w:lineRule="exact"/>
        <w:ind w:firstLine="420" w:firstLineChars="200"/>
        <w:jc w:val="left"/>
        <w:rPr>
          <w:color w:val="auto"/>
          <w:szCs w:val="21"/>
          <w:highlight w:val="none"/>
        </w:rPr>
      </w:pPr>
      <w:r>
        <w:rPr>
          <w:rFonts w:hint="eastAsia"/>
          <w:color w:val="auto"/>
          <w:szCs w:val="21"/>
          <w:highlight w:val="none"/>
        </w:rPr>
        <w:t>1.4补充子目工程量计算规则及子目工作内容说明：。</w:t>
      </w:r>
    </w:p>
    <w:p w14:paraId="5B5792E7">
      <w:pPr>
        <w:spacing w:line="360" w:lineRule="exact"/>
        <w:jc w:val="left"/>
        <w:rPr>
          <w:b/>
          <w:color w:val="auto"/>
          <w:sz w:val="24"/>
          <w:highlight w:val="none"/>
        </w:rPr>
      </w:pPr>
      <w:r>
        <w:rPr>
          <w:rFonts w:hint="eastAsia"/>
          <w:b/>
          <w:color w:val="auto"/>
          <w:sz w:val="24"/>
          <w:highlight w:val="none"/>
        </w:rPr>
        <w:t>2.投标报价说明</w:t>
      </w:r>
    </w:p>
    <w:p w14:paraId="13DB5A7B">
      <w:pPr>
        <w:spacing w:line="360" w:lineRule="exact"/>
        <w:ind w:firstLine="422" w:firstLineChars="200"/>
        <w:jc w:val="left"/>
        <w:rPr>
          <w:b/>
          <w:color w:val="auto"/>
          <w:highlight w:val="none"/>
        </w:rPr>
      </w:pPr>
    </w:p>
    <w:p w14:paraId="61CCCCC6">
      <w:pPr>
        <w:spacing w:line="360" w:lineRule="exact"/>
        <w:ind w:firstLine="420" w:firstLineChars="200"/>
        <w:jc w:val="left"/>
        <w:rPr>
          <w:color w:val="auto"/>
          <w:highlight w:val="none"/>
        </w:rPr>
      </w:pPr>
      <w:r>
        <w:rPr>
          <w:rFonts w:hint="eastAsia"/>
          <w:color w:val="auto"/>
          <w:highlight w:val="none"/>
        </w:rPr>
        <w:t>2.1工程量清单中的每一子目须填入单价或价格，且只允许有一个报价。</w:t>
      </w:r>
    </w:p>
    <w:p w14:paraId="02F8A23D">
      <w:pPr>
        <w:spacing w:line="360" w:lineRule="exact"/>
        <w:ind w:firstLine="420" w:firstLineChars="200"/>
        <w:jc w:val="left"/>
        <w:rPr>
          <w:color w:val="auto"/>
          <w:highlight w:val="none"/>
        </w:rPr>
      </w:pPr>
      <w:r>
        <w:rPr>
          <w:rFonts w:hint="eastAsia"/>
          <w:color w:val="auto"/>
          <w:highlight w:val="none"/>
        </w:rPr>
        <w:t xml:space="preserve">2.2工程量清单中标价的单价或金额，应包括所需人工费、施工机械使用费、材料费、其他（运杂费、质检费、安装费、缺陷修复费、保险费，以及合同明示或暗示的风险、责任和义务等），以及管理费、利润费。 </w:t>
      </w:r>
    </w:p>
    <w:p w14:paraId="5FC71CFB">
      <w:pPr>
        <w:spacing w:line="360" w:lineRule="exact"/>
        <w:ind w:firstLine="420" w:firstLineChars="200"/>
        <w:jc w:val="left"/>
        <w:rPr>
          <w:color w:val="auto"/>
          <w:highlight w:val="none"/>
        </w:rPr>
      </w:pPr>
      <w:r>
        <w:rPr>
          <w:rFonts w:hint="eastAsia"/>
          <w:color w:val="auto"/>
          <w:highlight w:val="none"/>
        </w:rPr>
        <w:t>2.3 工程量清单中投标人没有填入单价或价格的子目，其费用视为已分摊在工程量清单中其他相关子目的单价或价格之中。</w:t>
      </w:r>
    </w:p>
    <w:p w14:paraId="0CB65725">
      <w:pPr>
        <w:spacing w:line="360" w:lineRule="exact"/>
        <w:ind w:firstLine="420" w:firstLineChars="200"/>
        <w:jc w:val="left"/>
        <w:rPr>
          <w:color w:val="auto"/>
          <w:highlight w:val="none"/>
        </w:rPr>
      </w:pPr>
      <w:r>
        <w:rPr>
          <w:rFonts w:hint="eastAsia"/>
          <w:color w:val="auto"/>
          <w:highlight w:val="none"/>
        </w:rPr>
        <w:t>2.4暂列金额的数量及拟用子目的说明：。</w:t>
      </w:r>
    </w:p>
    <w:p w14:paraId="65FB3D16">
      <w:pPr>
        <w:spacing w:line="360" w:lineRule="exact"/>
        <w:ind w:firstLine="420" w:firstLineChars="200"/>
        <w:jc w:val="left"/>
        <w:rPr>
          <w:color w:val="auto"/>
          <w:highlight w:val="none"/>
        </w:rPr>
      </w:pPr>
      <w:r>
        <w:rPr>
          <w:rFonts w:hint="eastAsia"/>
          <w:color w:val="auto"/>
          <w:highlight w:val="none"/>
        </w:rPr>
        <w:t>2.5暂估价的数量及拟用子目的说明：。</w:t>
      </w:r>
    </w:p>
    <w:p w14:paraId="00237BC4">
      <w:pPr>
        <w:spacing w:line="400" w:lineRule="exact"/>
        <w:ind w:firstLine="422" w:firstLineChars="200"/>
        <w:rPr>
          <w:rFonts w:ascii="宋体" w:hAnsi="宋体"/>
          <w:b/>
          <w:bCs/>
          <w:color w:val="auto"/>
          <w:szCs w:val="21"/>
          <w:highlight w:val="none"/>
        </w:rPr>
      </w:pPr>
    </w:p>
    <w:p w14:paraId="19FBC466">
      <w:pPr>
        <w:spacing w:line="360" w:lineRule="exact"/>
        <w:jc w:val="left"/>
        <w:rPr>
          <w:b/>
          <w:color w:val="auto"/>
          <w:sz w:val="24"/>
          <w:highlight w:val="none"/>
        </w:rPr>
      </w:pPr>
      <w:r>
        <w:rPr>
          <w:rFonts w:hint="eastAsia"/>
          <w:b/>
          <w:color w:val="auto"/>
          <w:sz w:val="24"/>
          <w:highlight w:val="none"/>
        </w:rPr>
        <w:t>3.其他说明</w:t>
      </w:r>
    </w:p>
    <w:p w14:paraId="0DAEA5C1">
      <w:pPr>
        <w:spacing w:line="360" w:lineRule="auto"/>
        <w:rPr>
          <w:rFonts w:ascii="宋体" w:hAnsi="宋体" w:cs="宋体"/>
          <w:color w:val="auto"/>
          <w:szCs w:val="21"/>
          <w:highlight w:val="none"/>
        </w:rPr>
      </w:pPr>
    </w:p>
    <w:p w14:paraId="18C59E06">
      <w:pPr>
        <w:spacing w:line="360" w:lineRule="auto"/>
        <w:rPr>
          <w:rFonts w:ascii="宋体" w:hAnsi="宋体" w:cs="宋体"/>
          <w:color w:val="auto"/>
          <w:szCs w:val="21"/>
          <w:highlight w:val="none"/>
        </w:rPr>
      </w:pPr>
    </w:p>
    <w:p w14:paraId="7A240EA4">
      <w:pPr>
        <w:spacing w:line="360" w:lineRule="auto"/>
        <w:rPr>
          <w:rFonts w:ascii="宋体" w:hAnsi="宋体" w:cs="宋体"/>
          <w:color w:val="auto"/>
          <w:szCs w:val="21"/>
          <w:highlight w:val="none"/>
        </w:rPr>
      </w:pPr>
    </w:p>
    <w:p w14:paraId="1C2229F6">
      <w:pPr>
        <w:spacing w:line="360" w:lineRule="auto"/>
        <w:rPr>
          <w:rFonts w:ascii="宋体" w:hAnsi="宋体" w:cs="宋体"/>
          <w:color w:val="auto"/>
          <w:szCs w:val="21"/>
          <w:highlight w:val="none"/>
        </w:rPr>
      </w:pPr>
    </w:p>
    <w:p w14:paraId="354F7BE8">
      <w:pPr>
        <w:tabs>
          <w:tab w:val="left" w:pos="1080"/>
        </w:tabs>
        <w:spacing w:line="360" w:lineRule="auto"/>
        <w:rPr>
          <w:rFonts w:ascii="宋体" w:hAnsi="宋体"/>
          <w:b/>
          <w:color w:val="auto"/>
          <w:sz w:val="24"/>
          <w:highlight w:val="none"/>
        </w:rPr>
      </w:pPr>
    </w:p>
    <w:p w14:paraId="21C629EA">
      <w:pPr>
        <w:rPr>
          <w:rFonts w:ascii="宋体" w:hAnsi="宋体"/>
          <w:b/>
          <w:color w:val="auto"/>
          <w:sz w:val="32"/>
          <w:szCs w:val="32"/>
          <w:highlight w:val="none"/>
        </w:rPr>
      </w:pPr>
    </w:p>
    <w:p w14:paraId="308B1E76">
      <w:pPr>
        <w:rPr>
          <w:rFonts w:ascii="宋体" w:hAnsi="宋体"/>
          <w:b/>
          <w:color w:val="auto"/>
          <w:sz w:val="32"/>
          <w:szCs w:val="32"/>
          <w:highlight w:val="none"/>
        </w:rPr>
      </w:pPr>
      <w:r>
        <w:rPr>
          <w:rFonts w:ascii="宋体" w:hAnsi="宋体"/>
          <w:b/>
          <w:color w:val="auto"/>
          <w:sz w:val="32"/>
          <w:szCs w:val="32"/>
          <w:highlight w:val="none"/>
        </w:rPr>
        <w:br w:type="page"/>
      </w:r>
    </w:p>
    <w:p w14:paraId="15174F7A">
      <w:pPr>
        <w:pStyle w:val="3"/>
        <w:spacing w:line="500" w:lineRule="exact"/>
        <w:jc w:val="center"/>
        <w:rPr>
          <w:rFonts w:ascii="宋体" w:hAnsi="宋体" w:cs="宋体"/>
          <w:color w:val="auto"/>
          <w:sz w:val="32"/>
          <w:highlight w:val="none"/>
        </w:rPr>
      </w:pPr>
      <w:bookmarkStart w:id="586" w:name="_Toc25225"/>
      <w:r>
        <w:rPr>
          <w:rFonts w:hint="eastAsia" w:ascii="宋体" w:hAnsi="宋体" w:cs="宋体"/>
          <w:color w:val="auto"/>
          <w:sz w:val="32"/>
          <w:highlight w:val="none"/>
        </w:rPr>
        <w:t>第四章  图纸</w:t>
      </w:r>
      <w:bookmarkEnd w:id="151"/>
      <w:bookmarkEnd w:id="586"/>
    </w:p>
    <w:p w14:paraId="2AEA099A">
      <w:pPr>
        <w:pStyle w:val="3"/>
        <w:jc w:val="center"/>
        <w:rPr>
          <w:rFonts w:ascii="宋体" w:hAnsi="宋体"/>
          <w:color w:val="auto"/>
          <w:sz w:val="32"/>
          <w:szCs w:val="32"/>
          <w:highlight w:val="none"/>
        </w:rPr>
      </w:pPr>
      <w:bookmarkStart w:id="587" w:name="_Toc26251"/>
      <w:bookmarkStart w:id="588" w:name="_Toc80818642"/>
      <w:r>
        <w:rPr>
          <w:rFonts w:hint="eastAsia" w:ascii="宋体" w:hAnsi="宋体"/>
          <w:b w:val="0"/>
          <w:color w:val="auto"/>
          <w:sz w:val="32"/>
          <w:szCs w:val="32"/>
          <w:highlight w:val="none"/>
        </w:rPr>
        <w:t>请供应商自行到</w:t>
      </w:r>
      <w:r>
        <w:rPr>
          <w:rFonts w:hint="eastAsia" w:ascii="宋体" w:hAnsi="宋体"/>
          <w:b w:val="0"/>
          <w:color w:val="auto"/>
          <w:sz w:val="32"/>
          <w:szCs w:val="32"/>
          <w:highlight w:val="none"/>
          <w:lang w:eastAsia="zh-CN"/>
        </w:rPr>
        <w:t>广西政府采购云</w:t>
      </w:r>
      <w:r>
        <w:rPr>
          <w:rFonts w:hint="eastAsia" w:ascii="宋体" w:hAnsi="宋体"/>
          <w:b w:val="0"/>
          <w:color w:val="auto"/>
          <w:sz w:val="32"/>
          <w:szCs w:val="32"/>
          <w:highlight w:val="none"/>
        </w:rPr>
        <w:t>平台（https://www.zcygov.cn/）下载。</w:t>
      </w:r>
      <w:bookmarkEnd w:id="587"/>
      <w:bookmarkEnd w:id="588"/>
    </w:p>
    <w:p w14:paraId="14DAC8DA">
      <w:pPr>
        <w:rPr>
          <w:rFonts w:ascii="宋体" w:hAnsi="宋体"/>
          <w:color w:val="auto"/>
          <w:highlight w:val="none"/>
        </w:rPr>
      </w:pPr>
    </w:p>
    <w:p w14:paraId="4B29494B">
      <w:pPr>
        <w:rPr>
          <w:rFonts w:ascii="宋体" w:hAnsi="宋体"/>
          <w:color w:val="auto"/>
          <w:highlight w:val="none"/>
        </w:rPr>
      </w:pPr>
    </w:p>
    <w:p w14:paraId="1CAD1B53">
      <w:pPr>
        <w:rPr>
          <w:rFonts w:ascii="宋体" w:hAnsi="宋体"/>
          <w:color w:val="auto"/>
          <w:highlight w:val="none"/>
        </w:rPr>
      </w:pPr>
    </w:p>
    <w:p w14:paraId="5F6FFEDE">
      <w:pPr>
        <w:rPr>
          <w:rFonts w:ascii="宋体" w:hAnsi="宋体"/>
          <w:color w:val="auto"/>
          <w:highlight w:val="none"/>
        </w:rPr>
      </w:pPr>
    </w:p>
    <w:p w14:paraId="116EF64A">
      <w:pPr>
        <w:rPr>
          <w:rFonts w:ascii="宋体" w:hAnsi="宋体"/>
          <w:color w:val="auto"/>
          <w:highlight w:val="none"/>
        </w:rPr>
      </w:pPr>
    </w:p>
    <w:p w14:paraId="1A3FACC9">
      <w:pPr>
        <w:rPr>
          <w:rFonts w:ascii="宋体" w:hAnsi="宋体"/>
          <w:color w:val="auto"/>
          <w:highlight w:val="none"/>
        </w:rPr>
      </w:pPr>
    </w:p>
    <w:p w14:paraId="2189BA3A">
      <w:pPr>
        <w:rPr>
          <w:rFonts w:ascii="宋体" w:hAnsi="宋体"/>
          <w:color w:val="auto"/>
          <w:highlight w:val="none"/>
        </w:rPr>
      </w:pPr>
    </w:p>
    <w:p w14:paraId="07ACCFDA">
      <w:pPr>
        <w:rPr>
          <w:rFonts w:ascii="宋体" w:hAnsi="宋体"/>
          <w:color w:val="auto"/>
          <w:highlight w:val="none"/>
        </w:rPr>
      </w:pPr>
    </w:p>
    <w:p w14:paraId="15FF424D">
      <w:pPr>
        <w:rPr>
          <w:rFonts w:ascii="宋体" w:hAnsi="宋体"/>
          <w:color w:val="auto"/>
          <w:highlight w:val="none"/>
        </w:rPr>
      </w:pPr>
    </w:p>
    <w:p w14:paraId="12694EBE">
      <w:pPr>
        <w:rPr>
          <w:rFonts w:ascii="宋体" w:hAnsi="宋体"/>
          <w:color w:val="auto"/>
          <w:highlight w:val="none"/>
        </w:rPr>
      </w:pPr>
    </w:p>
    <w:p w14:paraId="71AE7F50">
      <w:pPr>
        <w:rPr>
          <w:rFonts w:ascii="宋体" w:hAnsi="宋体"/>
          <w:color w:val="auto"/>
          <w:highlight w:val="none"/>
        </w:rPr>
      </w:pPr>
    </w:p>
    <w:p w14:paraId="592B886D">
      <w:pPr>
        <w:rPr>
          <w:rFonts w:ascii="宋体" w:hAnsi="宋体"/>
          <w:color w:val="auto"/>
          <w:highlight w:val="none"/>
        </w:rPr>
      </w:pPr>
    </w:p>
    <w:p w14:paraId="457D9FFD">
      <w:pPr>
        <w:rPr>
          <w:rFonts w:ascii="宋体" w:hAnsi="宋体"/>
          <w:color w:val="auto"/>
          <w:highlight w:val="none"/>
        </w:rPr>
      </w:pPr>
    </w:p>
    <w:p w14:paraId="4E003E8F">
      <w:pPr>
        <w:rPr>
          <w:rFonts w:ascii="宋体" w:hAnsi="宋体"/>
          <w:color w:val="auto"/>
          <w:highlight w:val="none"/>
        </w:rPr>
      </w:pPr>
    </w:p>
    <w:p w14:paraId="6767D775">
      <w:pPr>
        <w:rPr>
          <w:rFonts w:ascii="宋体" w:hAnsi="宋体"/>
          <w:color w:val="auto"/>
          <w:highlight w:val="none"/>
        </w:rPr>
      </w:pPr>
    </w:p>
    <w:p w14:paraId="07C58115">
      <w:pPr>
        <w:rPr>
          <w:rFonts w:ascii="宋体" w:hAnsi="宋体"/>
          <w:color w:val="auto"/>
          <w:highlight w:val="none"/>
        </w:rPr>
      </w:pPr>
    </w:p>
    <w:p w14:paraId="098EEB41">
      <w:pPr>
        <w:rPr>
          <w:rFonts w:ascii="宋体" w:hAnsi="宋体"/>
          <w:color w:val="auto"/>
          <w:highlight w:val="none"/>
        </w:rPr>
      </w:pPr>
    </w:p>
    <w:p w14:paraId="5B128121">
      <w:pPr>
        <w:rPr>
          <w:rFonts w:ascii="宋体" w:hAnsi="宋体"/>
          <w:color w:val="auto"/>
          <w:highlight w:val="none"/>
        </w:rPr>
      </w:pPr>
    </w:p>
    <w:p w14:paraId="142B2DD7">
      <w:pPr>
        <w:rPr>
          <w:rFonts w:ascii="宋体" w:hAnsi="宋体"/>
          <w:color w:val="auto"/>
          <w:highlight w:val="none"/>
        </w:rPr>
      </w:pPr>
    </w:p>
    <w:p w14:paraId="46F5E649">
      <w:pPr>
        <w:rPr>
          <w:rFonts w:ascii="宋体" w:hAnsi="宋体"/>
          <w:color w:val="auto"/>
          <w:highlight w:val="none"/>
        </w:rPr>
      </w:pPr>
    </w:p>
    <w:p w14:paraId="309BEB08">
      <w:pPr>
        <w:rPr>
          <w:rFonts w:ascii="宋体" w:hAnsi="宋体"/>
          <w:color w:val="auto"/>
          <w:highlight w:val="none"/>
        </w:rPr>
      </w:pPr>
    </w:p>
    <w:p w14:paraId="57C732EC">
      <w:pPr>
        <w:rPr>
          <w:rFonts w:ascii="宋体" w:hAnsi="宋体"/>
          <w:color w:val="auto"/>
          <w:highlight w:val="none"/>
        </w:rPr>
      </w:pPr>
    </w:p>
    <w:p w14:paraId="15A0B5A5">
      <w:pPr>
        <w:rPr>
          <w:rFonts w:ascii="宋体" w:hAnsi="宋体"/>
          <w:color w:val="auto"/>
          <w:highlight w:val="none"/>
        </w:rPr>
      </w:pPr>
    </w:p>
    <w:p w14:paraId="500E9E80">
      <w:pPr>
        <w:rPr>
          <w:rFonts w:ascii="宋体" w:hAnsi="宋体"/>
          <w:color w:val="auto"/>
          <w:highlight w:val="none"/>
        </w:rPr>
      </w:pPr>
    </w:p>
    <w:p w14:paraId="3009E98E">
      <w:pPr>
        <w:rPr>
          <w:rFonts w:ascii="宋体" w:hAnsi="宋体"/>
          <w:color w:val="auto"/>
          <w:highlight w:val="none"/>
        </w:rPr>
      </w:pPr>
    </w:p>
    <w:p w14:paraId="681C4447">
      <w:pPr>
        <w:rPr>
          <w:rFonts w:ascii="宋体" w:hAnsi="宋体"/>
          <w:color w:val="auto"/>
          <w:highlight w:val="none"/>
        </w:rPr>
      </w:pPr>
    </w:p>
    <w:p w14:paraId="00315017">
      <w:pPr>
        <w:rPr>
          <w:rFonts w:ascii="宋体" w:hAnsi="宋体"/>
          <w:color w:val="auto"/>
          <w:highlight w:val="none"/>
        </w:rPr>
      </w:pPr>
    </w:p>
    <w:p w14:paraId="1A74E7B6">
      <w:pPr>
        <w:rPr>
          <w:rFonts w:ascii="宋体" w:hAnsi="宋体"/>
          <w:color w:val="auto"/>
          <w:highlight w:val="none"/>
        </w:rPr>
      </w:pPr>
    </w:p>
    <w:p w14:paraId="109C34D1">
      <w:pPr>
        <w:rPr>
          <w:rFonts w:ascii="宋体" w:hAnsi="宋体"/>
          <w:color w:val="auto"/>
          <w:highlight w:val="none"/>
        </w:rPr>
      </w:pPr>
    </w:p>
    <w:p w14:paraId="7202A20D">
      <w:pPr>
        <w:rPr>
          <w:rFonts w:ascii="宋体" w:hAnsi="宋体"/>
          <w:color w:val="auto"/>
          <w:highlight w:val="none"/>
        </w:rPr>
      </w:pPr>
    </w:p>
    <w:p w14:paraId="014B09B2">
      <w:pPr>
        <w:rPr>
          <w:rFonts w:ascii="宋体" w:hAnsi="宋体"/>
          <w:color w:val="auto"/>
          <w:highlight w:val="none"/>
        </w:rPr>
      </w:pPr>
    </w:p>
    <w:p w14:paraId="602E50BA">
      <w:pPr>
        <w:rPr>
          <w:rFonts w:ascii="宋体" w:hAnsi="宋体"/>
          <w:color w:val="auto"/>
          <w:highlight w:val="none"/>
        </w:rPr>
      </w:pPr>
    </w:p>
    <w:p w14:paraId="4B3AB476">
      <w:pPr>
        <w:rPr>
          <w:rFonts w:ascii="宋体" w:hAnsi="宋体"/>
          <w:color w:val="auto"/>
          <w:highlight w:val="none"/>
        </w:rPr>
      </w:pPr>
    </w:p>
    <w:p w14:paraId="63D8590B">
      <w:pPr>
        <w:rPr>
          <w:rFonts w:ascii="宋体" w:hAnsi="宋体"/>
          <w:color w:val="auto"/>
          <w:highlight w:val="none"/>
        </w:rPr>
      </w:pPr>
    </w:p>
    <w:p w14:paraId="2A475F28">
      <w:pPr>
        <w:rPr>
          <w:rFonts w:ascii="宋体" w:hAnsi="宋体"/>
          <w:color w:val="auto"/>
          <w:highlight w:val="none"/>
        </w:rPr>
      </w:pPr>
    </w:p>
    <w:p w14:paraId="6A547E8F">
      <w:pPr>
        <w:rPr>
          <w:rFonts w:ascii="宋体" w:hAnsi="宋体"/>
          <w:color w:val="auto"/>
          <w:highlight w:val="none"/>
        </w:rPr>
      </w:pPr>
    </w:p>
    <w:p w14:paraId="1A47BF48">
      <w:pPr>
        <w:rPr>
          <w:rFonts w:ascii="宋体" w:hAnsi="宋体"/>
          <w:color w:val="auto"/>
          <w:highlight w:val="none"/>
        </w:rPr>
      </w:pPr>
    </w:p>
    <w:p w14:paraId="0FCB031E">
      <w:pPr>
        <w:rPr>
          <w:rFonts w:ascii="宋体" w:hAnsi="宋体"/>
          <w:color w:val="auto"/>
          <w:highlight w:val="none"/>
        </w:rPr>
      </w:pPr>
    </w:p>
    <w:p w14:paraId="2356ADD0">
      <w:pPr>
        <w:rPr>
          <w:rFonts w:ascii="宋体" w:hAnsi="宋体"/>
          <w:color w:val="auto"/>
          <w:highlight w:val="none"/>
        </w:rPr>
      </w:pPr>
    </w:p>
    <w:p w14:paraId="46B552ED">
      <w:pPr>
        <w:rPr>
          <w:rFonts w:ascii="宋体" w:hAnsi="宋体"/>
          <w:color w:val="auto"/>
          <w:highlight w:val="none"/>
        </w:rPr>
      </w:pPr>
    </w:p>
    <w:p w14:paraId="3F080483">
      <w:pPr>
        <w:pStyle w:val="3"/>
        <w:jc w:val="center"/>
        <w:rPr>
          <w:rFonts w:ascii="宋体" w:hAnsi="宋体"/>
          <w:color w:val="auto"/>
          <w:sz w:val="32"/>
          <w:szCs w:val="32"/>
          <w:highlight w:val="none"/>
        </w:rPr>
      </w:pPr>
      <w:bookmarkStart w:id="589" w:name="_Toc5969"/>
      <w:r>
        <w:rPr>
          <w:rFonts w:hint="eastAsia" w:ascii="宋体" w:hAnsi="宋体"/>
          <w:color w:val="auto"/>
          <w:sz w:val="32"/>
          <w:szCs w:val="32"/>
          <w:highlight w:val="none"/>
        </w:rPr>
        <w:t>第五章  技术规范</w:t>
      </w:r>
      <w:bookmarkEnd w:id="589"/>
    </w:p>
    <w:p w14:paraId="27B669F8">
      <w:pPr>
        <w:jc w:val="center"/>
        <w:rPr>
          <w:rFonts w:ascii="宋体" w:hAnsi="宋体"/>
          <w:color w:val="auto"/>
          <w:szCs w:val="21"/>
          <w:highlight w:val="none"/>
        </w:rPr>
      </w:pPr>
      <w:r>
        <w:rPr>
          <w:rFonts w:hint="eastAsia" w:ascii="宋体" w:hAnsi="宋体" w:cs="宋体"/>
          <w:color w:val="auto"/>
          <w:sz w:val="28"/>
          <w:szCs w:val="28"/>
          <w:highlight w:val="none"/>
        </w:rPr>
        <w:t>按国家行业和地方现行标准、规范和规程等要求执行。</w:t>
      </w:r>
    </w:p>
    <w:p w14:paraId="67955F3F">
      <w:pPr>
        <w:pStyle w:val="3"/>
        <w:rPr>
          <w:rFonts w:ascii="宋体" w:hAnsi="宋体"/>
          <w:color w:val="auto"/>
          <w:sz w:val="32"/>
          <w:szCs w:val="32"/>
          <w:highlight w:val="none"/>
        </w:rPr>
      </w:pPr>
    </w:p>
    <w:p w14:paraId="3533D510">
      <w:pPr>
        <w:rPr>
          <w:rFonts w:ascii="宋体" w:hAnsi="宋体"/>
          <w:color w:val="auto"/>
          <w:highlight w:val="none"/>
        </w:rPr>
      </w:pPr>
    </w:p>
    <w:p w14:paraId="3A495E18">
      <w:pPr>
        <w:rPr>
          <w:rFonts w:ascii="宋体" w:hAnsi="宋体"/>
          <w:color w:val="auto"/>
          <w:highlight w:val="none"/>
        </w:rPr>
      </w:pPr>
    </w:p>
    <w:p w14:paraId="26070328">
      <w:pPr>
        <w:rPr>
          <w:rFonts w:ascii="宋体" w:hAnsi="宋体"/>
          <w:color w:val="auto"/>
          <w:highlight w:val="none"/>
        </w:rPr>
      </w:pPr>
    </w:p>
    <w:p w14:paraId="633036BF">
      <w:pPr>
        <w:rPr>
          <w:rFonts w:ascii="宋体" w:hAnsi="宋体"/>
          <w:color w:val="auto"/>
          <w:highlight w:val="none"/>
        </w:rPr>
      </w:pPr>
    </w:p>
    <w:p w14:paraId="58D4F6DC">
      <w:pPr>
        <w:rPr>
          <w:rFonts w:ascii="宋体" w:hAnsi="宋体"/>
          <w:color w:val="auto"/>
          <w:highlight w:val="none"/>
        </w:rPr>
      </w:pPr>
    </w:p>
    <w:p w14:paraId="70763284">
      <w:pPr>
        <w:rPr>
          <w:rFonts w:ascii="宋体" w:hAnsi="宋体"/>
          <w:color w:val="auto"/>
          <w:highlight w:val="none"/>
        </w:rPr>
      </w:pPr>
    </w:p>
    <w:p w14:paraId="3DCC0DB8">
      <w:pPr>
        <w:rPr>
          <w:rFonts w:ascii="宋体" w:hAnsi="宋体"/>
          <w:color w:val="auto"/>
          <w:highlight w:val="none"/>
        </w:rPr>
      </w:pPr>
    </w:p>
    <w:p w14:paraId="318AF92D">
      <w:pPr>
        <w:rPr>
          <w:rFonts w:ascii="宋体" w:hAnsi="宋体"/>
          <w:color w:val="auto"/>
          <w:highlight w:val="none"/>
        </w:rPr>
      </w:pPr>
    </w:p>
    <w:p w14:paraId="6DBE3BA2">
      <w:pPr>
        <w:rPr>
          <w:rFonts w:ascii="宋体" w:hAnsi="宋体"/>
          <w:color w:val="auto"/>
          <w:highlight w:val="none"/>
        </w:rPr>
      </w:pPr>
    </w:p>
    <w:p w14:paraId="661AE1BC">
      <w:pPr>
        <w:rPr>
          <w:rFonts w:ascii="宋体" w:hAnsi="宋体"/>
          <w:color w:val="auto"/>
          <w:highlight w:val="none"/>
        </w:rPr>
      </w:pPr>
    </w:p>
    <w:p w14:paraId="7C39FF6F">
      <w:pPr>
        <w:rPr>
          <w:rFonts w:ascii="宋体" w:hAnsi="宋体"/>
          <w:color w:val="auto"/>
          <w:highlight w:val="none"/>
        </w:rPr>
      </w:pPr>
    </w:p>
    <w:p w14:paraId="4D195BA8">
      <w:pPr>
        <w:rPr>
          <w:rFonts w:ascii="宋体" w:hAnsi="宋体"/>
          <w:color w:val="auto"/>
          <w:highlight w:val="none"/>
        </w:rPr>
      </w:pPr>
    </w:p>
    <w:p w14:paraId="279FF014">
      <w:pPr>
        <w:rPr>
          <w:rFonts w:ascii="宋体" w:hAnsi="宋体"/>
          <w:color w:val="auto"/>
          <w:highlight w:val="none"/>
        </w:rPr>
      </w:pPr>
    </w:p>
    <w:p w14:paraId="56CEA5FD">
      <w:pPr>
        <w:rPr>
          <w:rFonts w:ascii="宋体" w:hAnsi="宋体"/>
          <w:color w:val="auto"/>
          <w:highlight w:val="none"/>
        </w:rPr>
      </w:pPr>
    </w:p>
    <w:p w14:paraId="69D6A11A">
      <w:pPr>
        <w:rPr>
          <w:rFonts w:ascii="宋体" w:hAnsi="宋体"/>
          <w:color w:val="auto"/>
          <w:highlight w:val="none"/>
        </w:rPr>
      </w:pPr>
    </w:p>
    <w:p w14:paraId="6DF252F2">
      <w:pPr>
        <w:rPr>
          <w:rFonts w:ascii="宋体" w:hAnsi="宋体"/>
          <w:color w:val="auto"/>
          <w:highlight w:val="none"/>
        </w:rPr>
      </w:pPr>
    </w:p>
    <w:p w14:paraId="6A87F57A">
      <w:pPr>
        <w:rPr>
          <w:rFonts w:ascii="宋体" w:hAnsi="宋体"/>
          <w:color w:val="auto"/>
          <w:highlight w:val="none"/>
        </w:rPr>
      </w:pPr>
    </w:p>
    <w:p w14:paraId="61335EC0">
      <w:pPr>
        <w:rPr>
          <w:rFonts w:ascii="宋体" w:hAnsi="宋体"/>
          <w:color w:val="auto"/>
          <w:highlight w:val="none"/>
        </w:rPr>
      </w:pPr>
    </w:p>
    <w:p w14:paraId="1139B5AD">
      <w:pPr>
        <w:rPr>
          <w:rFonts w:ascii="宋体" w:hAnsi="宋体"/>
          <w:color w:val="auto"/>
          <w:highlight w:val="none"/>
        </w:rPr>
      </w:pPr>
    </w:p>
    <w:p w14:paraId="65585840">
      <w:pPr>
        <w:rPr>
          <w:rFonts w:ascii="宋体" w:hAnsi="宋体"/>
          <w:color w:val="auto"/>
          <w:highlight w:val="none"/>
        </w:rPr>
      </w:pPr>
    </w:p>
    <w:p w14:paraId="4596B1FC">
      <w:pPr>
        <w:rPr>
          <w:rFonts w:ascii="宋体" w:hAnsi="宋体"/>
          <w:color w:val="auto"/>
          <w:highlight w:val="none"/>
        </w:rPr>
      </w:pPr>
    </w:p>
    <w:p w14:paraId="00B58E5C">
      <w:pPr>
        <w:rPr>
          <w:rFonts w:ascii="宋体" w:hAnsi="宋体"/>
          <w:color w:val="auto"/>
          <w:highlight w:val="none"/>
        </w:rPr>
      </w:pPr>
    </w:p>
    <w:p w14:paraId="19CFE19A">
      <w:pPr>
        <w:rPr>
          <w:rFonts w:ascii="宋体" w:hAnsi="宋体"/>
          <w:color w:val="auto"/>
          <w:highlight w:val="none"/>
        </w:rPr>
      </w:pPr>
    </w:p>
    <w:p w14:paraId="54FEB4E1">
      <w:pPr>
        <w:rPr>
          <w:rFonts w:ascii="宋体" w:hAnsi="宋体"/>
          <w:color w:val="auto"/>
          <w:highlight w:val="none"/>
        </w:rPr>
      </w:pPr>
    </w:p>
    <w:p w14:paraId="357C8D3E">
      <w:pPr>
        <w:rPr>
          <w:rFonts w:ascii="宋体" w:hAnsi="宋体"/>
          <w:color w:val="auto"/>
          <w:highlight w:val="none"/>
        </w:rPr>
      </w:pPr>
    </w:p>
    <w:p w14:paraId="1D545793">
      <w:pPr>
        <w:rPr>
          <w:rFonts w:ascii="宋体" w:hAnsi="宋体"/>
          <w:color w:val="auto"/>
          <w:highlight w:val="none"/>
        </w:rPr>
      </w:pPr>
    </w:p>
    <w:p w14:paraId="6FE30D8F">
      <w:pPr>
        <w:rPr>
          <w:rFonts w:ascii="宋体" w:hAnsi="宋体"/>
          <w:color w:val="auto"/>
          <w:highlight w:val="none"/>
        </w:rPr>
      </w:pPr>
    </w:p>
    <w:p w14:paraId="14620B14">
      <w:pPr>
        <w:rPr>
          <w:rFonts w:ascii="宋体" w:hAnsi="宋体"/>
          <w:color w:val="auto"/>
          <w:highlight w:val="none"/>
        </w:rPr>
      </w:pPr>
    </w:p>
    <w:p w14:paraId="4CBD750A">
      <w:pPr>
        <w:rPr>
          <w:rFonts w:ascii="宋体" w:hAnsi="宋体"/>
          <w:color w:val="auto"/>
          <w:highlight w:val="none"/>
        </w:rPr>
      </w:pPr>
    </w:p>
    <w:p w14:paraId="731326D4">
      <w:pPr>
        <w:rPr>
          <w:rFonts w:ascii="宋体" w:hAnsi="宋体"/>
          <w:color w:val="auto"/>
          <w:highlight w:val="none"/>
        </w:rPr>
      </w:pPr>
    </w:p>
    <w:p w14:paraId="5A605BF4">
      <w:pPr>
        <w:rPr>
          <w:rFonts w:ascii="宋体" w:hAnsi="宋体"/>
          <w:color w:val="auto"/>
          <w:highlight w:val="none"/>
        </w:rPr>
      </w:pPr>
    </w:p>
    <w:p w14:paraId="05E2677F">
      <w:pPr>
        <w:rPr>
          <w:rFonts w:ascii="宋体" w:hAnsi="宋体"/>
          <w:color w:val="auto"/>
          <w:highlight w:val="none"/>
        </w:rPr>
      </w:pPr>
    </w:p>
    <w:p w14:paraId="37F2C834">
      <w:pPr>
        <w:rPr>
          <w:rFonts w:ascii="宋体" w:hAnsi="宋体"/>
          <w:color w:val="auto"/>
          <w:highlight w:val="none"/>
        </w:rPr>
      </w:pPr>
    </w:p>
    <w:p w14:paraId="11263E85">
      <w:pPr>
        <w:rPr>
          <w:rFonts w:ascii="宋体" w:hAnsi="宋体"/>
          <w:color w:val="auto"/>
          <w:highlight w:val="none"/>
        </w:rPr>
      </w:pPr>
      <w:r>
        <w:rPr>
          <w:rFonts w:ascii="宋体" w:hAnsi="宋体"/>
          <w:color w:val="auto"/>
          <w:highlight w:val="none"/>
        </w:rPr>
        <w:br w:type="page"/>
      </w:r>
    </w:p>
    <w:p w14:paraId="135F001B">
      <w:pPr>
        <w:pStyle w:val="3"/>
        <w:spacing w:line="276" w:lineRule="auto"/>
        <w:jc w:val="center"/>
        <w:rPr>
          <w:rFonts w:ascii="宋体" w:hAnsi="宋体"/>
          <w:color w:val="auto"/>
          <w:sz w:val="32"/>
          <w:szCs w:val="32"/>
          <w:highlight w:val="none"/>
        </w:rPr>
      </w:pPr>
      <w:bookmarkStart w:id="590" w:name="_Toc1649"/>
      <w:r>
        <w:rPr>
          <w:rFonts w:ascii="宋体" w:hAnsi="宋体"/>
          <w:color w:val="auto"/>
          <w:sz w:val="32"/>
          <w:szCs w:val="32"/>
          <w:highlight w:val="none"/>
        </w:rPr>
        <w:t>第</w:t>
      </w:r>
      <w:r>
        <w:rPr>
          <w:rFonts w:hint="eastAsia" w:ascii="宋体" w:hAnsi="宋体"/>
          <w:color w:val="auto"/>
          <w:sz w:val="32"/>
          <w:szCs w:val="32"/>
          <w:highlight w:val="none"/>
        </w:rPr>
        <w:t>六</w:t>
      </w:r>
      <w:r>
        <w:rPr>
          <w:rFonts w:ascii="宋体" w:hAnsi="宋体"/>
          <w:color w:val="auto"/>
          <w:sz w:val="32"/>
          <w:szCs w:val="32"/>
          <w:highlight w:val="none"/>
        </w:rPr>
        <w:t>章</w:t>
      </w:r>
      <w:r>
        <w:rPr>
          <w:rFonts w:hint="eastAsia" w:ascii="宋体" w:hAnsi="宋体"/>
          <w:color w:val="auto"/>
          <w:sz w:val="32"/>
          <w:szCs w:val="32"/>
          <w:highlight w:val="none"/>
        </w:rPr>
        <w:t xml:space="preserve">  </w:t>
      </w:r>
      <w:r>
        <w:rPr>
          <w:rFonts w:ascii="宋体" w:hAnsi="宋体"/>
          <w:color w:val="auto"/>
          <w:sz w:val="32"/>
          <w:szCs w:val="32"/>
          <w:highlight w:val="none"/>
        </w:rPr>
        <w:t>工程量清单</w:t>
      </w:r>
      <w:bookmarkEnd w:id="590"/>
    </w:p>
    <w:p w14:paraId="7FF3497F">
      <w:pPr>
        <w:spacing w:line="390" w:lineRule="exact"/>
        <w:rPr>
          <w:rFonts w:ascii="宋体" w:hAnsi="宋体"/>
          <w:color w:val="auto"/>
          <w:szCs w:val="21"/>
          <w:highlight w:val="none"/>
        </w:rPr>
      </w:pPr>
      <w:bookmarkStart w:id="591" w:name="_Toc346264361"/>
    </w:p>
    <w:p w14:paraId="5F014D7D">
      <w:pPr>
        <w:pStyle w:val="3"/>
        <w:jc w:val="center"/>
        <w:rPr>
          <w:rFonts w:ascii="宋体" w:hAnsi="宋体"/>
          <w:color w:val="auto"/>
          <w:sz w:val="32"/>
          <w:szCs w:val="32"/>
          <w:highlight w:val="none"/>
        </w:rPr>
      </w:pPr>
      <w:bookmarkStart w:id="592" w:name="_Toc80818645"/>
      <w:bookmarkStart w:id="593" w:name="_Toc10747"/>
      <w:r>
        <w:rPr>
          <w:rFonts w:hint="eastAsia" w:ascii="宋体" w:hAnsi="宋体"/>
          <w:b w:val="0"/>
          <w:color w:val="auto"/>
          <w:sz w:val="32"/>
          <w:szCs w:val="32"/>
          <w:highlight w:val="none"/>
        </w:rPr>
        <w:t>请供应商自行到</w:t>
      </w:r>
      <w:r>
        <w:rPr>
          <w:rFonts w:hint="eastAsia" w:ascii="宋体" w:hAnsi="宋体"/>
          <w:b w:val="0"/>
          <w:color w:val="auto"/>
          <w:sz w:val="32"/>
          <w:szCs w:val="32"/>
          <w:highlight w:val="none"/>
          <w:lang w:eastAsia="zh-CN"/>
        </w:rPr>
        <w:t>广西政府采购云</w:t>
      </w:r>
      <w:r>
        <w:rPr>
          <w:rFonts w:hint="eastAsia" w:ascii="宋体" w:hAnsi="宋体"/>
          <w:b w:val="0"/>
          <w:color w:val="auto"/>
          <w:sz w:val="32"/>
          <w:szCs w:val="32"/>
          <w:highlight w:val="none"/>
        </w:rPr>
        <w:t>平台（https://www.zcygov.cn/）下载。</w:t>
      </w:r>
      <w:bookmarkEnd w:id="592"/>
      <w:bookmarkEnd w:id="593"/>
    </w:p>
    <w:p w14:paraId="306C1243">
      <w:pPr>
        <w:spacing w:line="390" w:lineRule="exact"/>
        <w:rPr>
          <w:rFonts w:ascii="宋体" w:hAnsi="宋体"/>
          <w:b/>
          <w:color w:val="auto"/>
          <w:szCs w:val="21"/>
          <w:highlight w:val="none"/>
        </w:rPr>
      </w:pPr>
    </w:p>
    <w:p w14:paraId="24A42287">
      <w:pPr>
        <w:spacing w:line="390" w:lineRule="exact"/>
        <w:rPr>
          <w:rFonts w:ascii="宋体" w:hAnsi="宋体"/>
          <w:b/>
          <w:color w:val="auto"/>
          <w:szCs w:val="21"/>
          <w:highlight w:val="none"/>
        </w:rPr>
      </w:pPr>
    </w:p>
    <w:p w14:paraId="60982293">
      <w:pPr>
        <w:spacing w:line="390" w:lineRule="exact"/>
        <w:rPr>
          <w:rFonts w:ascii="宋体" w:hAnsi="宋体"/>
          <w:b/>
          <w:color w:val="auto"/>
          <w:szCs w:val="21"/>
          <w:highlight w:val="none"/>
        </w:rPr>
      </w:pPr>
    </w:p>
    <w:p w14:paraId="5A1B4775">
      <w:pPr>
        <w:spacing w:line="390" w:lineRule="exact"/>
        <w:rPr>
          <w:rFonts w:ascii="宋体" w:hAnsi="宋体"/>
          <w:b/>
          <w:color w:val="auto"/>
          <w:szCs w:val="21"/>
          <w:highlight w:val="none"/>
        </w:rPr>
      </w:pPr>
    </w:p>
    <w:p w14:paraId="7CD5BB63">
      <w:pPr>
        <w:spacing w:line="390" w:lineRule="exact"/>
        <w:rPr>
          <w:rFonts w:ascii="宋体" w:hAnsi="宋体"/>
          <w:b/>
          <w:color w:val="auto"/>
          <w:szCs w:val="21"/>
          <w:highlight w:val="none"/>
        </w:rPr>
      </w:pPr>
    </w:p>
    <w:p w14:paraId="7F7D6F04">
      <w:pPr>
        <w:spacing w:line="390" w:lineRule="exact"/>
        <w:rPr>
          <w:rFonts w:ascii="宋体" w:hAnsi="宋体"/>
          <w:b/>
          <w:color w:val="auto"/>
          <w:szCs w:val="21"/>
          <w:highlight w:val="none"/>
        </w:rPr>
      </w:pPr>
    </w:p>
    <w:p w14:paraId="5A7050CC">
      <w:pPr>
        <w:spacing w:line="390" w:lineRule="exact"/>
        <w:rPr>
          <w:rFonts w:ascii="宋体" w:hAnsi="宋体"/>
          <w:b/>
          <w:color w:val="auto"/>
          <w:szCs w:val="21"/>
          <w:highlight w:val="none"/>
        </w:rPr>
      </w:pPr>
    </w:p>
    <w:p w14:paraId="7F94F818">
      <w:pPr>
        <w:spacing w:line="390" w:lineRule="exact"/>
        <w:rPr>
          <w:rFonts w:ascii="宋体" w:hAnsi="宋体"/>
          <w:b/>
          <w:color w:val="auto"/>
          <w:szCs w:val="21"/>
          <w:highlight w:val="none"/>
        </w:rPr>
      </w:pPr>
    </w:p>
    <w:p w14:paraId="5B1F965E">
      <w:pPr>
        <w:spacing w:line="390" w:lineRule="exact"/>
        <w:rPr>
          <w:rFonts w:ascii="宋体" w:hAnsi="宋体"/>
          <w:b/>
          <w:color w:val="auto"/>
          <w:szCs w:val="21"/>
          <w:highlight w:val="none"/>
        </w:rPr>
      </w:pPr>
    </w:p>
    <w:p w14:paraId="514D9D3D">
      <w:pPr>
        <w:spacing w:line="390" w:lineRule="exact"/>
        <w:rPr>
          <w:rFonts w:ascii="宋体" w:hAnsi="宋体"/>
          <w:b/>
          <w:color w:val="auto"/>
          <w:szCs w:val="21"/>
          <w:highlight w:val="none"/>
        </w:rPr>
      </w:pPr>
    </w:p>
    <w:p w14:paraId="785ABCFC">
      <w:pPr>
        <w:spacing w:line="390" w:lineRule="exact"/>
        <w:rPr>
          <w:rFonts w:ascii="宋体" w:hAnsi="宋体"/>
          <w:b/>
          <w:color w:val="auto"/>
          <w:szCs w:val="21"/>
          <w:highlight w:val="none"/>
        </w:rPr>
      </w:pPr>
    </w:p>
    <w:p w14:paraId="2D6FF9BE">
      <w:pPr>
        <w:spacing w:line="390" w:lineRule="exact"/>
        <w:rPr>
          <w:rFonts w:ascii="宋体" w:hAnsi="宋体"/>
          <w:b/>
          <w:color w:val="auto"/>
          <w:szCs w:val="21"/>
          <w:highlight w:val="none"/>
        </w:rPr>
      </w:pPr>
    </w:p>
    <w:p w14:paraId="1D4B688F">
      <w:pPr>
        <w:spacing w:line="390" w:lineRule="exact"/>
        <w:rPr>
          <w:rFonts w:ascii="宋体" w:hAnsi="宋体"/>
          <w:b/>
          <w:color w:val="auto"/>
          <w:szCs w:val="21"/>
          <w:highlight w:val="none"/>
        </w:rPr>
      </w:pPr>
    </w:p>
    <w:p w14:paraId="3012E90C">
      <w:pPr>
        <w:spacing w:line="390" w:lineRule="exact"/>
        <w:rPr>
          <w:rFonts w:ascii="宋体" w:hAnsi="宋体"/>
          <w:b/>
          <w:color w:val="auto"/>
          <w:szCs w:val="21"/>
          <w:highlight w:val="none"/>
        </w:rPr>
      </w:pPr>
    </w:p>
    <w:p w14:paraId="5FBA675E">
      <w:pPr>
        <w:spacing w:line="390" w:lineRule="exact"/>
        <w:rPr>
          <w:rFonts w:ascii="宋体" w:hAnsi="宋体"/>
          <w:b/>
          <w:color w:val="auto"/>
          <w:szCs w:val="21"/>
          <w:highlight w:val="none"/>
        </w:rPr>
      </w:pPr>
    </w:p>
    <w:p w14:paraId="644E71ED">
      <w:pPr>
        <w:spacing w:line="390" w:lineRule="exact"/>
        <w:rPr>
          <w:rFonts w:ascii="宋体" w:hAnsi="宋体"/>
          <w:b/>
          <w:color w:val="auto"/>
          <w:szCs w:val="21"/>
          <w:highlight w:val="none"/>
        </w:rPr>
      </w:pPr>
    </w:p>
    <w:p w14:paraId="353920A8">
      <w:pPr>
        <w:spacing w:line="390" w:lineRule="exact"/>
        <w:rPr>
          <w:rFonts w:ascii="宋体" w:hAnsi="宋体"/>
          <w:b/>
          <w:color w:val="auto"/>
          <w:szCs w:val="21"/>
          <w:highlight w:val="none"/>
        </w:rPr>
      </w:pPr>
    </w:p>
    <w:p w14:paraId="18D6E9F4">
      <w:pPr>
        <w:spacing w:line="390" w:lineRule="exact"/>
        <w:rPr>
          <w:rFonts w:ascii="宋体" w:hAnsi="宋体"/>
          <w:b/>
          <w:color w:val="auto"/>
          <w:szCs w:val="21"/>
          <w:highlight w:val="none"/>
        </w:rPr>
      </w:pPr>
    </w:p>
    <w:p w14:paraId="745FCB60">
      <w:pPr>
        <w:spacing w:line="390" w:lineRule="exact"/>
        <w:rPr>
          <w:rFonts w:ascii="宋体" w:hAnsi="宋体"/>
          <w:b/>
          <w:color w:val="auto"/>
          <w:szCs w:val="21"/>
          <w:highlight w:val="none"/>
        </w:rPr>
      </w:pPr>
    </w:p>
    <w:p w14:paraId="4CCBCA04">
      <w:pPr>
        <w:spacing w:line="390" w:lineRule="exact"/>
        <w:rPr>
          <w:rFonts w:ascii="宋体" w:hAnsi="宋体"/>
          <w:b/>
          <w:color w:val="auto"/>
          <w:szCs w:val="21"/>
          <w:highlight w:val="none"/>
        </w:rPr>
      </w:pPr>
    </w:p>
    <w:p w14:paraId="746B43A3">
      <w:pPr>
        <w:spacing w:line="390" w:lineRule="exact"/>
        <w:rPr>
          <w:rFonts w:ascii="宋体" w:hAnsi="宋体"/>
          <w:b/>
          <w:color w:val="auto"/>
          <w:szCs w:val="21"/>
          <w:highlight w:val="none"/>
        </w:rPr>
      </w:pPr>
    </w:p>
    <w:p w14:paraId="2D115E21">
      <w:pPr>
        <w:spacing w:line="390" w:lineRule="exact"/>
        <w:rPr>
          <w:rFonts w:ascii="宋体" w:hAnsi="宋体"/>
          <w:b/>
          <w:color w:val="auto"/>
          <w:szCs w:val="21"/>
          <w:highlight w:val="none"/>
        </w:rPr>
      </w:pPr>
    </w:p>
    <w:p w14:paraId="21577F46">
      <w:pPr>
        <w:spacing w:line="390" w:lineRule="exact"/>
        <w:rPr>
          <w:rFonts w:ascii="宋体" w:hAnsi="宋体"/>
          <w:b/>
          <w:color w:val="auto"/>
          <w:szCs w:val="21"/>
          <w:highlight w:val="none"/>
        </w:rPr>
      </w:pPr>
    </w:p>
    <w:p w14:paraId="4F7ECA43">
      <w:pPr>
        <w:spacing w:line="390" w:lineRule="exact"/>
        <w:rPr>
          <w:rFonts w:ascii="宋体" w:hAnsi="宋体"/>
          <w:b/>
          <w:color w:val="auto"/>
          <w:highlight w:val="none"/>
        </w:rPr>
      </w:pPr>
    </w:p>
    <w:p w14:paraId="0365ADCB">
      <w:pPr>
        <w:spacing w:line="390" w:lineRule="exact"/>
        <w:rPr>
          <w:rFonts w:ascii="宋体" w:hAnsi="宋体"/>
          <w:b/>
          <w:color w:val="auto"/>
          <w:highlight w:val="none"/>
        </w:rPr>
      </w:pPr>
    </w:p>
    <w:p w14:paraId="59D49DFE">
      <w:pPr>
        <w:spacing w:line="390" w:lineRule="exact"/>
        <w:rPr>
          <w:rFonts w:ascii="宋体" w:hAnsi="宋体"/>
          <w:b/>
          <w:color w:val="auto"/>
          <w:highlight w:val="none"/>
        </w:rPr>
      </w:pPr>
    </w:p>
    <w:p w14:paraId="13A107EC">
      <w:pPr>
        <w:spacing w:line="390" w:lineRule="exact"/>
        <w:rPr>
          <w:rFonts w:ascii="宋体" w:hAnsi="宋体"/>
          <w:b/>
          <w:color w:val="auto"/>
          <w:highlight w:val="none"/>
        </w:rPr>
      </w:pPr>
    </w:p>
    <w:p w14:paraId="0B7B1E1C">
      <w:pPr>
        <w:pStyle w:val="3"/>
        <w:jc w:val="center"/>
        <w:rPr>
          <w:rFonts w:ascii="宋体" w:hAnsi="宋体"/>
          <w:color w:val="auto"/>
          <w:sz w:val="40"/>
          <w:szCs w:val="32"/>
          <w:highlight w:val="none"/>
        </w:rPr>
      </w:pPr>
      <w:bookmarkStart w:id="594" w:name="_Toc29132"/>
      <w:r>
        <w:rPr>
          <w:rFonts w:hint="eastAsia" w:ascii="宋体" w:hAnsi="宋体"/>
          <w:color w:val="auto"/>
          <w:sz w:val="40"/>
          <w:szCs w:val="32"/>
          <w:highlight w:val="none"/>
        </w:rPr>
        <w:t>第七章  响应文件格式</w:t>
      </w:r>
      <w:bookmarkEnd w:id="591"/>
      <w:bookmarkEnd w:id="594"/>
    </w:p>
    <w:p w14:paraId="3D5671F0">
      <w:pPr>
        <w:widowControl/>
        <w:ind w:firstLine="420"/>
        <w:jc w:val="left"/>
        <w:rPr>
          <w:rFonts w:ascii="宋体" w:hAnsi="宋体"/>
          <w:color w:val="auto"/>
          <w:kern w:val="0"/>
          <w:sz w:val="24"/>
          <w:highlight w:val="none"/>
        </w:rPr>
      </w:pPr>
      <w:r>
        <w:rPr>
          <w:rFonts w:hint="eastAsia" w:ascii="宋体" w:hAnsi="宋体"/>
          <w:color w:val="auto"/>
          <w:kern w:val="0"/>
          <w:sz w:val="24"/>
          <w:highlight w:val="none"/>
        </w:rPr>
        <w:t>封面格式</w:t>
      </w:r>
    </w:p>
    <w:p w14:paraId="1BA25A8A">
      <w:pPr>
        <w:widowControl/>
        <w:ind w:firstLine="420"/>
        <w:jc w:val="left"/>
        <w:rPr>
          <w:rFonts w:ascii="宋体" w:hAnsi="宋体"/>
          <w:color w:val="auto"/>
          <w:kern w:val="0"/>
          <w:sz w:val="24"/>
          <w:highlight w:val="none"/>
        </w:rPr>
      </w:pPr>
    </w:p>
    <w:p w14:paraId="3EF85999">
      <w:pPr>
        <w:widowControl/>
        <w:ind w:firstLine="420"/>
        <w:jc w:val="left"/>
        <w:rPr>
          <w:rFonts w:ascii="宋体" w:hAnsi="宋体"/>
          <w:color w:val="auto"/>
          <w:kern w:val="0"/>
          <w:sz w:val="24"/>
          <w:highlight w:val="none"/>
        </w:rPr>
      </w:pPr>
    </w:p>
    <w:p w14:paraId="35A710BA">
      <w:pPr>
        <w:pStyle w:val="253"/>
        <w:ind w:left="2477" w:leftChars="950" w:hanging="482" w:hangingChars="150"/>
        <w:rPr>
          <w:rFonts w:hint="eastAsia" w:hAnsi="宋体" w:eastAsia="宋体"/>
          <w:b/>
          <w:color w:val="auto"/>
          <w:sz w:val="28"/>
          <w:szCs w:val="28"/>
          <w:highlight w:val="none"/>
          <w:lang w:eastAsia="zh-CN"/>
        </w:rPr>
      </w:pPr>
      <w:r>
        <w:rPr>
          <w:rFonts w:hint="eastAsia" w:hAnsi="宋体"/>
          <w:b/>
          <w:color w:val="auto"/>
          <w:sz w:val="32"/>
          <w:szCs w:val="32"/>
          <w:highlight w:val="none"/>
          <w:lang w:eastAsia="zh-CN"/>
        </w:rPr>
        <w:t xml:space="preserve">凤村上凤小型农田水利项目 </w:t>
      </w:r>
    </w:p>
    <w:p w14:paraId="77D40A26">
      <w:pPr>
        <w:widowControl/>
        <w:ind w:firstLine="996" w:firstLineChars="310"/>
        <w:jc w:val="center"/>
        <w:rPr>
          <w:rFonts w:ascii="宋体" w:hAnsi="宋体"/>
          <w:b/>
          <w:color w:val="auto"/>
          <w:sz w:val="32"/>
          <w:szCs w:val="32"/>
          <w:highlight w:val="none"/>
        </w:rPr>
      </w:pPr>
    </w:p>
    <w:p w14:paraId="3907A212">
      <w:pPr>
        <w:widowControl/>
        <w:ind w:firstLine="992" w:firstLineChars="310"/>
        <w:jc w:val="left"/>
        <w:rPr>
          <w:rFonts w:ascii="宋体" w:hAnsi="宋体"/>
          <w:color w:val="auto"/>
          <w:kern w:val="0"/>
          <w:sz w:val="32"/>
          <w:szCs w:val="32"/>
          <w:highlight w:val="none"/>
          <w:u w:val="single"/>
        </w:rPr>
      </w:pPr>
    </w:p>
    <w:p w14:paraId="3B0A2122">
      <w:pPr>
        <w:spacing w:line="540" w:lineRule="exact"/>
        <w:ind w:firstLine="1968" w:firstLineChars="700"/>
        <w:rPr>
          <w:rFonts w:ascii="宋体" w:hAnsi="宋体"/>
          <w:b/>
          <w:color w:val="auto"/>
          <w:sz w:val="28"/>
          <w:szCs w:val="28"/>
          <w:highlight w:val="none"/>
          <w:u w:val="single"/>
        </w:rPr>
      </w:pPr>
      <w:r>
        <w:rPr>
          <w:rFonts w:hint="eastAsia" w:ascii="宋体" w:hAnsi="宋体"/>
          <w:b/>
          <w:color w:val="auto"/>
          <w:kern w:val="0"/>
          <w:sz w:val="28"/>
          <w:szCs w:val="28"/>
          <w:highlight w:val="none"/>
        </w:rPr>
        <w:t>项目编号：</w:t>
      </w:r>
      <w:r>
        <w:rPr>
          <w:rFonts w:hint="eastAsia" w:ascii="宋体" w:hAnsi="宋体"/>
          <w:b/>
          <w:color w:val="auto"/>
          <w:sz w:val="28"/>
          <w:szCs w:val="28"/>
          <w:highlight w:val="none"/>
          <w:u w:val="single"/>
          <w:lang w:eastAsia="zh-CN"/>
        </w:rPr>
        <w:t>YLZC2026-C2-020100-GXQL</w:t>
      </w:r>
      <w:r>
        <w:rPr>
          <w:rFonts w:hint="eastAsia" w:ascii="宋体" w:hAnsi="宋体"/>
          <w:b/>
          <w:color w:val="auto"/>
          <w:sz w:val="28"/>
          <w:szCs w:val="28"/>
          <w:highlight w:val="none"/>
          <w:u w:val="single"/>
        </w:rPr>
        <w:t xml:space="preserve"> </w:t>
      </w:r>
    </w:p>
    <w:p w14:paraId="20FE2891">
      <w:pPr>
        <w:widowControl/>
        <w:ind w:firstLine="689" w:firstLineChars="245"/>
        <w:jc w:val="center"/>
        <w:rPr>
          <w:rFonts w:ascii="宋体" w:hAnsi="宋体"/>
          <w:b/>
          <w:color w:val="auto"/>
          <w:kern w:val="0"/>
          <w:sz w:val="28"/>
          <w:szCs w:val="28"/>
          <w:highlight w:val="none"/>
        </w:rPr>
      </w:pPr>
    </w:p>
    <w:p w14:paraId="7603EAD3">
      <w:pPr>
        <w:widowControl/>
        <w:ind w:firstLine="992" w:firstLineChars="310"/>
        <w:jc w:val="left"/>
        <w:rPr>
          <w:rFonts w:ascii="宋体" w:hAnsi="宋体"/>
          <w:color w:val="auto"/>
          <w:kern w:val="0"/>
          <w:sz w:val="32"/>
          <w:szCs w:val="32"/>
          <w:highlight w:val="none"/>
          <w:u w:val="single"/>
        </w:rPr>
      </w:pPr>
    </w:p>
    <w:p w14:paraId="6B9F3B0B">
      <w:pPr>
        <w:widowControl/>
        <w:ind w:firstLine="992" w:firstLineChars="310"/>
        <w:jc w:val="left"/>
        <w:rPr>
          <w:rFonts w:ascii="宋体" w:hAnsi="宋体"/>
          <w:color w:val="auto"/>
          <w:kern w:val="0"/>
          <w:sz w:val="32"/>
          <w:szCs w:val="32"/>
          <w:highlight w:val="none"/>
          <w:u w:val="single"/>
        </w:rPr>
      </w:pPr>
    </w:p>
    <w:p w14:paraId="16299FCE">
      <w:pPr>
        <w:widowControl/>
        <w:ind w:firstLine="992" w:firstLineChars="310"/>
        <w:jc w:val="left"/>
        <w:rPr>
          <w:rFonts w:ascii="宋体" w:hAnsi="宋体"/>
          <w:color w:val="auto"/>
          <w:kern w:val="0"/>
          <w:sz w:val="32"/>
          <w:szCs w:val="32"/>
          <w:highlight w:val="none"/>
          <w:u w:val="single"/>
        </w:rPr>
      </w:pPr>
    </w:p>
    <w:p w14:paraId="6CFD03B0">
      <w:pPr>
        <w:widowControl/>
        <w:jc w:val="center"/>
        <w:rPr>
          <w:rFonts w:ascii="宋体" w:hAnsi="宋体"/>
          <w:b/>
          <w:color w:val="auto"/>
          <w:kern w:val="0"/>
          <w:sz w:val="48"/>
          <w:szCs w:val="32"/>
          <w:highlight w:val="none"/>
        </w:rPr>
      </w:pPr>
      <w:r>
        <w:rPr>
          <w:rFonts w:hint="eastAsia" w:ascii="宋体" w:hAnsi="宋体"/>
          <w:b/>
          <w:color w:val="auto"/>
          <w:kern w:val="0"/>
          <w:sz w:val="48"/>
          <w:szCs w:val="32"/>
          <w:highlight w:val="none"/>
        </w:rPr>
        <w:t xml:space="preserve"> 响 应 文 件</w:t>
      </w:r>
    </w:p>
    <w:p w14:paraId="0F113622">
      <w:pPr>
        <w:widowControl/>
        <w:ind w:firstLine="868" w:firstLineChars="310"/>
        <w:jc w:val="left"/>
        <w:rPr>
          <w:rFonts w:ascii="宋体" w:hAnsi="宋体"/>
          <w:color w:val="auto"/>
          <w:kern w:val="0"/>
          <w:sz w:val="28"/>
          <w:szCs w:val="28"/>
          <w:highlight w:val="none"/>
        </w:rPr>
      </w:pPr>
    </w:p>
    <w:p w14:paraId="532D2194">
      <w:pPr>
        <w:widowControl/>
        <w:jc w:val="center"/>
        <w:rPr>
          <w:rFonts w:ascii="宋体" w:hAnsi="宋体"/>
          <w:color w:val="auto"/>
          <w:kern w:val="0"/>
          <w:sz w:val="28"/>
          <w:szCs w:val="28"/>
          <w:highlight w:val="none"/>
        </w:rPr>
      </w:pPr>
    </w:p>
    <w:p w14:paraId="7F2A6F08">
      <w:pPr>
        <w:widowControl/>
        <w:jc w:val="center"/>
        <w:rPr>
          <w:rFonts w:ascii="宋体" w:hAnsi="宋体"/>
          <w:b/>
          <w:color w:val="auto"/>
          <w:kern w:val="0"/>
          <w:sz w:val="28"/>
          <w:szCs w:val="28"/>
          <w:highlight w:val="none"/>
        </w:rPr>
      </w:pPr>
      <w:r>
        <w:rPr>
          <w:rFonts w:hint="eastAsia" w:ascii="宋体" w:hAnsi="宋体"/>
          <w:b/>
          <w:color w:val="auto"/>
          <w:kern w:val="0"/>
          <w:sz w:val="28"/>
          <w:szCs w:val="28"/>
          <w:highlight w:val="none"/>
        </w:rPr>
        <w:t xml:space="preserve"> </w:t>
      </w:r>
    </w:p>
    <w:p w14:paraId="3A92214E">
      <w:pPr>
        <w:widowControl/>
        <w:ind w:firstLine="868" w:firstLineChars="310"/>
        <w:rPr>
          <w:rFonts w:ascii="宋体" w:hAnsi="宋体"/>
          <w:color w:val="auto"/>
          <w:kern w:val="0"/>
          <w:sz w:val="28"/>
          <w:szCs w:val="28"/>
          <w:highlight w:val="none"/>
        </w:rPr>
      </w:pPr>
    </w:p>
    <w:p w14:paraId="49C47E3E">
      <w:pPr>
        <w:widowControl/>
        <w:jc w:val="left"/>
        <w:rPr>
          <w:rFonts w:ascii="宋体" w:hAnsi="宋体"/>
          <w:color w:val="auto"/>
          <w:kern w:val="0"/>
          <w:sz w:val="20"/>
          <w:szCs w:val="20"/>
          <w:highlight w:val="none"/>
        </w:rPr>
      </w:pPr>
    </w:p>
    <w:p w14:paraId="0578C783">
      <w:pPr>
        <w:widowControl/>
        <w:ind w:firstLine="420"/>
        <w:jc w:val="left"/>
        <w:rPr>
          <w:rFonts w:ascii="宋体" w:hAnsi="宋体"/>
          <w:color w:val="auto"/>
          <w:kern w:val="0"/>
          <w:sz w:val="20"/>
          <w:szCs w:val="20"/>
          <w:highlight w:val="none"/>
        </w:rPr>
      </w:pPr>
    </w:p>
    <w:p w14:paraId="5FEED08F">
      <w:pPr>
        <w:widowControl/>
        <w:ind w:firstLine="420"/>
        <w:jc w:val="left"/>
        <w:rPr>
          <w:rFonts w:ascii="宋体" w:hAnsi="宋体"/>
          <w:color w:val="auto"/>
          <w:kern w:val="0"/>
          <w:sz w:val="20"/>
          <w:szCs w:val="20"/>
          <w:highlight w:val="none"/>
        </w:rPr>
      </w:pPr>
    </w:p>
    <w:p w14:paraId="43F1D69B">
      <w:pPr>
        <w:widowControl/>
        <w:ind w:firstLine="700" w:firstLineChars="249"/>
        <w:rPr>
          <w:rFonts w:ascii="宋体" w:hAnsi="宋体"/>
          <w:b/>
          <w:color w:val="auto"/>
          <w:kern w:val="0"/>
          <w:sz w:val="28"/>
          <w:szCs w:val="28"/>
          <w:highlight w:val="none"/>
          <w:u w:val="single"/>
        </w:rPr>
      </w:pPr>
      <w:r>
        <w:rPr>
          <w:rFonts w:hint="eastAsia" w:ascii="宋体" w:hAnsi="宋体"/>
          <w:b/>
          <w:color w:val="auto"/>
          <w:kern w:val="0"/>
          <w:sz w:val="28"/>
          <w:szCs w:val="28"/>
          <w:highlight w:val="none"/>
        </w:rPr>
        <w:t>供应商：</w:t>
      </w:r>
      <w:r>
        <w:rPr>
          <w:rFonts w:hint="eastAsia" w:ascii="宋体" w:hAnsi="宋体"/>
          <w:b/>
          <w:color w:val="auto"/>
          <w:kern w:val="0"/>
          <w:sz w:val="28"/>
          <w:szCs w:val="28"/>
          <w:highlight w:val="none"/>
          <w:u w:val="single"/>
        </w:rPr>
        <w:t xml:space="preserve">                                   （盖章）</w:t>
      </w:r>
    </w:p>
    <w:p w14:paraId="44468D6E">
      <w:pPr>
        <w:widowControl/>
        <w:ind w:firstLine="647" w:firstLineChars="230"/>
        <w:rPr>
          <w:rFonts w:ascii="宋体" w:hAnsi="宋体"/>
          <w:b/>
          <w:color w:val="auto"/>
          <w:kern w:val="0"/>
          <w:sz w:val="28"/>
          <w:szCs w:val="28"/>
          <w:highlight w:val="none"/>
        </w:rPr>
      </w:pPr>
    </w:p>
    <w:p w14:paraId="79456FCF">
      <w:pPr>
        <w:widowControl/>
        <w:ind w:firstLine="647" w:firstLineChars="230"/>
        <w:rPr>
          <w:rFonts w:ascii="宋体" w:hAnsi="宋体"/>
          <w:b/>
          <w:color w:val="auto"/>
          <w:kern w:val="0"/>
          <w:sz w:val="28"/>
          <w:szCs w:val="28"/>
          <w:highlight w:val="none"/>
          <w:u w:val="single"/>
        </w:rPr>
      </w:pPr>
      <w:r>
        <w:rPr>
          <w:rFonts w:hint="eastAsia" w:ascii="宋体" w:hAnsi="宋体"/>
          <w:b/>
          <w:color w:val="auto"/>
          <w:kern w:val="0"/>
          <w:sz w:val="28"/>
          <w:szCs w:val="28"/>
          <w:highlight w:val="none"/>
        </w:rPr>
        <w:t>法定代表人或其委托代理人：</w:t>
      </w:r>
      <w:r>
        <w:rPr>
          <w:rFonts w:hint="eastAsia" w:ascii="宋体" w:hAnsi="宋体"/>
          <w:b/>
          <w:color w:val="auto"/>
          <w:kern w:val="0"/>
          <w:sz w:val="28"/>
          <w:szCs w:val="28"/>
          <w:highlight w:val="none"/>
          <w:u w:val="single"/>
        </w:rPr>
        <w:t xml:space="preserve">               （签字或盖章）</w:t>
      </w:r>
    </w:p>
    <w:p w14:paraId="2A15F94C">
      <w:pPr>
        <w:adjustRightInd w:val="0"/>
        <w:spacing w:line="312" w:lineRule="atLeast"/>
        <w:jc w:val="center"/>
        <w:textAlignment w:val="baseline"/>
        <w:rPr>
          <w:rFonts w:ascii="宋体" w:hAnsi="宋体"/>
          <w:b/>
          <w:color w:val="auto"/>
          <w:kern w:val="0"/>
          <w:sz w:val="28"/>
          <w:szCs w:val="28"/>
          <w:highlight w:val="none"/>
        </w:rPr>
      </w:pPr>
    </w:p>
    <w:p w14:paraId="7581A6EF">
      <w:pPr>
        <w:adjustRightInd w:val="0"/>
        <w:spacing w:line="312" w:lineRule="atLeast"/>
        <w:ind w:firstLine="689" w:firstLineChars="245"/>
        <w:textAlignment w:val="baseline"/>
        <w:rPr>
          <w:rFonts w:ascii="宋体" w:hAnsi="宋体"/>
          <w:b/>
          <w:color w:val="auto"/>
          <w:kern w:val="0"/>
          <w:sz w:val="28"/>
          <w:szCs w:val="28"/>
          <w:highlight w:val="none"/>
        </w:rPr>
      </w:pPr>
      <w:r>
        <w:rPr>
          <w:rFonts w:hint="eastAsia" w:ascii="宋体" w:hAnsi="宋体"/>
          <w:b/>
          <w:color w:val="auto"/>
          <w:kern w:val="0"/>
          <w:sz w:val="28"/>
          <w:szCs w:val="28"/>
          <w:highlight w:val="none"/>
        </w:rPr>
        <w:t>日期：</w:t>
      </w:r>
      <w:r>
        <w:rPr>
          <w:rFonts w:hint="eastAsia" w:ascii="宋体" w:hAnsi="宋体"/>
          <w:b/>
          <w:color w:val="auto"/>
          <w:kern w:val="0"/>
          <w:sz w:val="28"/>
          <w:szCs w:val="28"/>
          <w:highlight w:val="none"/>
          <w:u w:val="single"/>
        </w:rPr>
        <w:t xml:space="preserve">         </w:t>
      </w:r>
      <w:r>
        <w:rPr>
          <w:rFonts w:hint="eastAsia" w:ascii="宋体" w:hAnsi="宋体"/>
          <w:b/>
          <w:color w:val="auto"/>
          <w:kern w:val="0"/>
          <w:sz w:val="28"/>
          <w:szCs w:val="28"/>
          <w:highlight w:val="none"/>
        </w:rPr>
        <w:t>年</w:t>
      </w:r>
      <w:r>
        <w:rPr>
          <w:rFonts w:hint="eastAsia" w:ascii="宋体" w:hAnsi="宋体"/>
          <w:b/>
          <w:color w:val="auto"/>
          <w:kern w:val="0"/>
          <w:sz w:val="28"/>
          <w:szCs w:val="28"/>
          <w:highlight w:val="none"/>
          <w:u w:val="single"/>
        </w:rPr>
        <w:t xml:space="preserve">          </w:t>
      </w:r>
      <w:r>
        <w:rPr>
          <w:rFonts w:hint="eastAsia" w:ascii="宋体" w:hAnsi="宋体"/>
          <w:b/>
          <w:color w:val="auto"/>
          <w:kern w:val="0"/>
          <w:sz w:val="28"/>
          <w:szCs w:val="28"/>
          <w:highlight w:val="none"/>
        </w:rPr>
        <w:t>月</w:t>
      </w:r>
      <w:r>
        <w:rPr>
          <w:rFonts w:hint="eastAsia" w:ascii="宋体" w:hAnsi="宋体"/>
          <w:b/>
          <w:color w:val="auto"/>
          <w:kern w:val="0"/>
          <w:sz w:val="28"/>
          <w:szCs w:val="28"/>
          <w:highlight w:val="none"/>
          <w:u w:val="single"/>
        </w:rPr>
        <w:t xml:space="preserve">        </w:t>
      </w:r>
      <w:r>
        <w:rPr>
          <w:rFonts w:hint="eastAsia" w:ascii="宋体" w:hAnsi="宋体"/>
          <w:b/>
          <w:color w:val="auto"/>
          <w:kern w:val="0"/>
          <w:sz w:val="28"/>
          <w:szCs w:val="28"/>
          <w:highlight w:val="none"/>
        </w:rPr>
        <w:t>日</w:t>
      </w:r>
    </w:p>
    <w:p w14:paraId="42536D4C">
      <w:pPr>
        <w:spacing w:line="400" w:lineRule="exact"/>
        <w:jc w:val="center"/>
        <w:rPr>
          <w:rFonts w:ascii="宋体" w:hAnsi="宋体"/>
          <w:b/>
          <w:color w:val="auto"/>
          <w:sz w:val="44"/>
          <w:szCs w:val="44"/>
          <w:highlight w:val="none"/>
        </w:rPr>
      </w:pPr>
      <w:r>
        <w:rPr>
          <w:rFonts w:ascii="宋体" w:hAnsi="宋体"/>
          <w:b/>
          <w:color w:val="auto"/>
          <w:kern w:val="0"/>
          <w:szCs w:val="20"/>
          <w:highlight w:val="none"/>
        </w:rPr>
        <w:br w:type="page"/>
      </w:r>
      <w:r>
        <w:rPr>
          <w:rFonts w:hint="eastAsia" w:ascii="宋体" w:hAnsi="宋体"/>
          <w:b/>
          <w:color w:val="auto"/>
          <w:sz w:val="44"/>
          <w:szCs w:val="44"/>
          <w:highlight w:val="none"/>
        </w:rPr>
        <w:t>目  录</w:t>
      </w:r>
    </w:p>
    <w:p w14:paraId="67532FAB">
      <w:pPr>
        <w:spacing w:line="360" w:lineRule="auto"/>
        <w:jc w:val="center"/>
        <w:rPr>
          <w:rFonts w:ascii="宋体" w:hAnsi="宋体"/>
          <w:b/>
          <w:color w:val="auto"/>
          <w:sz w:val="44"/>
          <w:szCs w:val="44"/>
          <w:highlight w:val="none"/>
        </w:rPr>
      </w:pPr>
    </w:p>
    <w:p w14:paraId="47F787E1">
      <w:pPr>
        <w:spacing w:line="600" w:lineRule="exact"/>
        <w:ind w:firstLine="472" w:firstLineChars="196"/>
        <w:rPr>
          <w:rFonts w:ascii="宋体" w:hAnsi="宋体"/>
          <w:b/>
          <w:color w:val="auto"/>
          <w:sz w:val="24"/>
          <w:highlight w:val="none"/>
        </w:rPr>
      </w:pPr>
      <w:r>
        <w:rPr>
          <w:rFonts w:hint="eastAsia" w:ascii="宋体" w:hAnsi="宋体"/>
          <w:b/>
          <w:color w:val="auto"/>
          <w:sz w:val="24"/>
          <w:highlight w:val="none"/>
        </w:rPr>
        <w:t>一、资格文件</w:t>
      </w:r>
    </w:p>
    <w:p w14:paraId="6460BEEC">
      <w:pPr>
        <w:snapToGrid w:val="0"/>
        <w:spacing w:line="600" w:lineRule="exact"/>
        <w:ind w:firstLine="480" w:firstLineChars="200"/>
        <w:rPr>
          <w:rFonts w:ascii="宋体" w:hAnsi="宋体"/>
          <w:bCs/>
          <w:color w:val="auto"/>
          <w:sz w:val="24"/>
          <w:highlight w:val="none"/>
        </w:rPr>
      </w:pPr>
      <w:r>
        <w:rPr>
          <w:rFonts w:hint="eastAsia" w:ascii="宋体" w:hAnsi="宋体"/>
          <w:bCs/>
          <w:color w:val="auto"/>
          <w:sz w:val="24"/>
          <w:highlight w:val="none"/>
        </w:rPr>
        <w:t>（按供应商须知第9.2条要求内容顺序编写）</w:t>
      </w:r>
    </w:p>
    <w:p w14:paraId="0DDCFD1F">
      <w:pPr>
        <w:spacing w:line="600" w:lineRule="exact"/>
        <w:ind w:firstLine="472" w:firstLineChars="196"/>
        <w:rPr>
          <w:rFonts w:ascii="宋体" w:hAnsi="宋体"/>
          <w:b/>
          <w:color w:val="auto"/>
          <w:sz w:val="24"/>
          <w:highlight w:val="none"/>
        </w:rPr>
      </w:pPr>
      <w:r>
        <w:rPr>
          <w:rFonts w:hint="eastAsia" w:ascii="宋体" w:hAnsi="宋体"/>
          <w:b/>
          <w:color w:val="auto"/>
          <w:sz w:val="24"/>
          <w:highlight w:val="none"/>
        </w:rPr>
        <w:t>二、</w:t>
      </w:r>
      <w:r>
        <w:rPr>
          <w:rFonts w:ascii="宋体" w:hAnsi="宋体"/>
          <w:b/>
          <w:color w:val="auto"/>
          <w:sz w:val="24"/>
          <w:highlight w:val="none"/>
        </w:rPr>
        <w:t>商务</w:t>
      </w:r>
      <w:r>
        <w:rPr>
          <w:rFonts w:hint="eastAsia" w:ascii="宋体" w:hAnsi="宋体"/>
          <w:b/>
          <w:color w:val="auto"/>
          <w:sz w:val="24"/>
          <w:highlight w:val="none"/>
        </w:rPr>
        <w:t>技术文件</w:t>
      </w:r>
    </w:p>
    <w:p w14:paraId="016695BE">
      <w:pPr>
        <w:snapToGrid w:val="0"/>
        <w:spacing w:line="600" w:lineRule="exact"/>
        <w:ind w:firstLine="480" w:firstLineChars="200"/>
        <w:rPr>
          <w:rFonts w:ascii="宋体" w:hAnsi="宋体"/>
          <w:bCs/>
          <w:color w:val="auto"/>
          <w:sz w:val="24"/>
          <w:highlight w:val="none"/>
        </w:rPr>
      </w:pPr>
      <w:r>
        <w:rPr>
          <w:rFonts w:hint="eastAsia" w:ascii="宋体" w:hAnsi="宋体"/>
          <w:bCs/>
          <w:color w:val="auto"/>
          <w:sz w:val="24"/>
          <w:highlight w:val="none"/>
        </w:rPr>
        <w:t>（按供应商须知第9.3条要求内容顺序编写）</w:t>
      </w:r>
    </w:p>
    <w:p w14:paraId="7D78E754">
      <w:pPr>
        <w:spacing w:line="600" w:lineRule="exact"/>
        <w:ind w:firstLine="472" w:firstLineChars="196"/>
        <w:rPr>
          <w:rFonts w:ascii="宋体" w:hAnsi="宋体"/>
          <w:b/>
          <w:color w:val="auto"/>
          <w:sz w:val="24"/>
          <w:highlight w:val="none"/>
        </w:rPr>
      </w:pPr>
      <w:r>
        <w:rPr>
          <w:rFonts w:hint="eastAsia" w:ascii="宋体" w:hAnsi="宋体"/>
          <w:b/>
          <w:color w:val="auto"/>
          <w:sz w:val="24"/>
          <w:highlight w:val="none"/>
        </w:rPr>
        <w:t>三、报价文件</w:t>
      </w:r>
    </w:p>
    <w:p w14:paraId="099B548A">
      <w:pPr>
        <w:spacing w:line="600" w:lineRule="exact"/>
        <w:ind w:firstLine="470" w:firstLineChars="196"/>
        <w:rPr>
          <w:rFonts w:ascii="宋体" w:hAnsi="宋体"/>
          <w:bCs/>
          <w:color w:val="auto"/>
          <w:sz w:val="24"/>
          <w:highlight w:val="none"/>
        </w:rPr>
      </w:pPr>
      <w:r>
        <w:rPr>
          <w:rFonts w:hint="eastAsia" w:ascii="宋体" w:hAnsi="宋体"/>
          <w:bCs/>
          <w:color w:val="auto"/>
          <w:sz w:val="24"/>
          <w:highlight w:val="none"/>
        </w:rPr>
        <w:t>（按供应商须知第9.4条要求内容顺序编写）</w:t>
      </w:r>
    </w:p>
    <w:p w14:paraId="33F107D4">
      <w:pPr>
        <w:snapToGrid w:val="0"/>
        <w:spacing w:line="600" w:lineRule="exact"/>
        <w:ind w:firstLine="552" w:firstLineChars="250"/>
        <w:rPr>
          <w:rFonts w:ascii="宋体" w:hAnsi="宋体" w:cs="宋体"/>
          <w:b/>
          <w:color w:val="auto"/>
          <w:sz w:val="22"/>
          <w:szCs w:val="21"/>
          <w:highlight w:val="none"/>
        </w:rPr>
      </w:pPr>
    </w:p>
    <w:p w14:paraId="489D6B1F">
      <w:pPr>
        <w:spacing w:line="600" w:lineRule="exact"/>
        <w:rPr>
          <w:rFonts w:ascii="宋体" w:hAnsi="宋体" w:cs="宋体"/>
          <w:color w:val="auto"/>
          <w:highlight w:val="none"/>
        </w:rPr>
      </w:pPr>
    </w:p>
    <w:p w14:paraId="03F41D18">
      <w:pPr>
        <w:spacing w:line="600" w:lineRule="exact"/>
        <w:ind w:firstLine="660" w:firstLineChars="300"/>
        <w:rPr>
          <w:rFonts w:ascii="宋体" w:hAnsi="宋体" w:cs="宋体"/>
          <w:color w:val="auto"/>
          <w:sz w:val="22"/>
          <w:szCs w:val="21"/>
          <w:highlight w:val="none"/>
        </w:rPr>
      </w:pPr>
    </w:p>
    <w:p w14:paraId="33EA008E">
      <w:pPr>
        <w:snapToGrid w:val="0"/>
        <w:spacing w:line="600" w:lineRule="exact"/>
        <w:ind w:firstLine="315" w:firstLineChars="150"/>
        <w:rPr>
          <w:rFonts w:ascii="宋体" w:hAnsi="宋体" w:cs="宋体"/>
          <w:color w:val="auto"/>
          <w:szCs w:val="21"/>
          <w:highlight w:val="none"/>
        </w:rPr>
      </w:pPr>
    </w:p>
    <w:p w14:paraId="17334CE9">
      <w:pPr>
        <w:snapToGrid w:val="0"/>
        <w:spacing w:line="600" w:lineRule="exact"/>
        <w:ind w:firstLine="315" w:firstLineChars="150"/>
        <w:rPr>
          <w:rFonts w:ascii="宋体" w:hAnsi="宋体" w:cs="宋体"/>
          <w:color w:val="auto"/>
          <w:szCs w:val="21"/>
          <w:highlight w:val="none"/>
        </w:rPr>
      </w:pPr>
    </w:p>
    <w:p w14:paraId="0A04CCBD">
      <w:pPr>
        <w:snapToGrid w:val="0"/>
        <w:spacing w:line="360" w:lineRule="auto"/>
        <w:ind w:firstLine="315" w:firstLineChars="150"/>
        <w:rPr>
          <w:rFonts w:ascii="宋体" w:hAnsi="宋体" w:cs="宋体"/>
          <w:color w:val="auto"/>
          <w:szCs w:val="21"/>
          <w:highlight w:val="none"/>
        </w:rPr>
      </w:pPr>
    </w:p>
    <w:p w14:paraId="33AE9336">
      <w:pPr>
        <w:snapToGrid w:val="0"/>
        <w:spacing w:line="360" w:lineRule="auto"/>
        <w:ind w:firstLine="315" w:firstLineChars="150"/>
        <w:rPr>
          <w:rFonts w:ascii="宋体" w:hAnsi="宋体" w:cs="宋体"/>
          <w:color w:val="auto"/>
          <w:szCs w:val="21"/>
          <w:highlight w:val="none"/>
        </w:rPr>
      </w:pPr>
    </w:p>
    <w:p w14:paraId="0359C9AA">
      <w:pPr>
        <w:snapToGrid w:val="0"/>
        <w:spacing w:line="360" w:lineRule="auto"/>
        <w:ind w:firstLine="315" w:firstLineChars="150"/>
        <w:rPr>
          <w:rFonts w:ascii="宋体" w:hAnsi="宋体" w:cs="宋体"/>
          <w:color w:val="auto"/>
          <w:szCs w:val="21"/>
          <w:highlight w:val="none"/>
        </w:rPr>
      </w:pPr>
    </w:p>
    <w:p w14:paraId="5B443105">
      <w:pPr>
        <w:snapToGrid w:val="0"/>
        <w:spacing w:line="360" w:lineRule="auto"/>
        <w:ind w:firstLine="315" w:firstLineChars="150"/>
        <w:rPr>
          <w:rFonts w:ascii="宋体" w:hAnsi="宋体" w:cs="宋体"/>
          <w:color w:val="auto"/>
          <w:szCs w:val="21"/>
          <w:highlight w:val="none"/>
        </w:rPr>
      </w:pPr>
    </w:p>
    <w:p w14:paraId="1338E77B">
      <w:pPr>
        <w:snapToGrid w:val="0"/>
        <w:spacing w:line="360" w:lineRule="auto"/>
        <w:ind w:firstLine="315" w:firstLineChars="150"/>
        <w:rPr>
          <w:rFonts w:ascii="宋体" w:hAnsi="宋体" w:cs="宋体"/>
          <w:color w:val="auto"/>
          <w:szCs w:val="21"/>
          <w:highlight w:val="none"/>
        </w:rPr>
      </w:pPr>
    </w:p>
    <w:p w14:paraId="2DC611A6">
      <w:pPr>
        <w:adjustRightInd w:val="0"/>
        <w:spacing w:line="360" w:lineRule="auto"/>
        <w:jc w:val="center"/>
        <w:textAlignment w:val="baseline"/>
        <w:rPr>
          <w:rFonts w:ascii="宋体" w:hAnsi="宋体"/>
          <w:b/>
          <w:color w:val="auto"/>
          <w:kern w:val="0"/>
          <w:sz w:val="32"/>
          <w:szCs w:val="20"/>
          <w:highlight w:val="none"/>
        </w:rPr>
      </w:pPr>
    </w:p>
    <w:p w14:paraId="131B5BF0">
      <w:pPr>
        <w:adjustRightInd w:val="0"/>
        <w:spacing w:line="360" w:lineRule="auto"/>
        <w:jc w:val="center"/>
        <w:textAlignment w:val="baseline"/>
        <w:rPr>
          <w:rFonts w:ascii="宋体" w:hAnsi="宋体"/>
          <w:b/>
          <w:color w:val="auto"/>
          <w:kern w:val="0"/>
          <w:sz w:val="32"/>
          <w:szCs w:val="20"/>
          <w:highlight w:val="none"/>
        </w:rPr>
      </w:pPr>
    </w:p>
    <w:p w14:paraId="09BAC473">
      <w:pPr>
        <w:adjustRightInd w:val="0"/>
        <w:spacing w:line="360" w:lineRule="auto"/>
        <w:jc w:val="center"/>
        <w:textAlignment w:val="baseline"/>
        <w:rPr>
          <w:rFonts w:ascii="宋体" w:hAnsi="宋体"/>
          <w:b/>
          <w:color w:val="auto"/>
          <w:kern w:val="0"/>
          <w:sz w:val="32"/>
          <w:szCs w:val="20"/>
          <w:highlight w:val="none"/>
        </w:rPr>
      </w:pPr>
    </w:p>
    <w:p w14:paraId="5C6C4C1A">
      <w:pPr>
        <w:adjustRightInd w:val="0"/>
        <w:spacing w:line="360" w:lineRule="auto"/>
        <w:jc w:val="center"/>
        <w:textAlignment w:val="baseline"/>
        <w:rPr>
          <w:rFonts w:ascii="宋体" w:hAnsi="宋体"/>
          <w:b/>
          <w:color w:val="auto"/>
          <w:kern w:val="0"/>
          <w:sz w:val="32"/>
          <w:szCs w:val="20"/>
          <w:highlight w:val="none"/>
        </w:rPr>
      </w:pPr>
    </w:p>
    <w:p w14:paraId="55911EEA">
      <w:pPr>
        <w:adjustRightInd w:val="0"/>
        <w:spacing w:line="360" w:lineRule="auto"/>
        <w:jc w:val="center"/>
        <w:textAlignment w:val="baseline"/>
        <w:rPr>
          <w:rFonts w:ascii="宋体" w:hAnsi="宋体"/>
          <w:b/>
          <w:color w:val="auto"/>
          <w:kern w:val="0"/>
          <w:sz w:val="32"/>
          <w:szCs w:val="20"/>
          <w:highlight w:val="none"/>
        </w:rPr>
      </w:pPr>
    </w:p>
    <w:p w14:paraId="7875501D">
      <w:pPr>
        <w:adjustRightInd w:val="0"/>
        <w:spacing w:line="360" w:lineRule="auto"/>
        <w:jc w:val="center"/>
        <w:textAlignment w:val="baseline"/>
        <w:rPr>
          <w:rFonts w:ascii="宋体" w:hAnsi="宋体"/>
          <w:b/>
          <w:color w:val="auto"/>
          <w:kern w:val="0"/>
          <w:sz w:val="32"/>
          <w:szCs w:val="20"/>
          <w:highlight w:val="none"/>
        </w:rPr>
      </w:pPr>
    </w:p>
    <w:p w14:paraId="5FBDB506">
      <w:pPr>
        <w:adjustRightInd w:val="0"/>
        <w:spacing w:line="360" w:lineRule="auto"/>
        <w:jc w:val="center"/>
        <w:textAlignment w:val="baseline"/>
        <w:rPr>
          <w:rFonts w:ascii="宋体" w:hAnsi="宋体"/>
          <w:b/>
          <w:color w:val="auto"/>
          <w:kern w:val="0"/>
          <w:sz w:val="32"/>
          <w:szCs w:val="20"/>
          <w:highlight w:val="none"/>
        </w:rPr>
      </w:pPr>
    </w:p>
    <w:p w14:paraId="180C8DBC">
      <w:pPr>
        <w:rPr>
          <w:rFonts w:ascii="宋体" w:hAnsi="宋体"/>
          <w:b/>
          <w:color w:val="auto"/>
          <w:sz w:val="24"/>
          <w:highlight w:val="none"/>
        </w:rPr>
      </w:pPr>
    </w:p>
    <w:p w14:paraId="5BFE3165">
      <w:pPr>
        <w:jc w:val="left"/>
        <w:rPr>
          <w:rFonts w:ascii="宋体" w:hAnsi="宋体"/>
          <w:b/>
          <w:color w:val="auto"/>
          <w:sz w:val="24"/>
          <w:highlight w:val="none"/>
        </w:rPr>
      </w:pPr>
      <w:r>
        <w:rPr>
          <w:rFonts w:hint="eastAsia" w:ascii="宋体" w:hAnsi="宋体"/>
          <w:b/>
          <w:color w:val="auto"/>
          <w:sz w:val="24"/>
          <w:highlight w:val="none"/>
        </w:rPr>
        <w:t>格式一：</w:t>
      </w:r>
    </w:p>
    <w:p w14:paraId="2322B32B">
      <w:pPr>
        <w:spacing w:line="420" w:lineRule="exact"/>
        <w:ind w:firstLine="482" w:firstLineChars="200"/>
        <w:jc w:val="left"/>
        <w:rPr>
          <w:rFonts w:ascii="宋体" w:hAnsi="宋体"/>
          <w:b/>
          <w:color w:val="auto"/>
          <w:sz w:val="24"/>
          <w:highlight w:val="none"/>
        </w:rPr>
      </w:pPr>
    </w:p>
    <w:p w14:paraId="1E215C9A">
      <w:pPr>
        <w:spacing w:line="420" w:lineRule="exact"/>
        <w:ind w:firstLine="482" w:firstLineChars="200"/>
        <w:jc w:val="left"/>
        <w:rPr>
          <w:rFonts w:ascii="宋体" w:hAnsi="宋体"/>
          <w:color w:val="auto"/>
          <w:sz w:val="24"/>
          <w:highlight w:val="none"/>
        </w:rPr>
      </w:pPr>
      <w:r>
        <w:rPr>
          <w:rFonts w:hint="eastAsia" w:ascii="宋体" w:hAnsi="宋体"/>
          <w:b/>
          <w:color w:val="auto"/>
          <w:sz w:val="24"/>
          <w:highlight w:val="none"/>
        </w:rPr>
        <w:t>供应商参与政府采购活动前三年在经营活动中没有重大违法记录的书面声明函</w:t>
      </w:r>
    </w:p>
    <w:p w14:paraId="2DFE44E7">
      <w:pPr>
        <w:spacing w:line="400" w:lineRule="exact"/>
        <w:ind w:left="28" w:firstLine="452"/>
        <w:jc w:val="center"/>
        <w:rPr>
          <w:rFonts w:ascii="宋体" w:hAnsi="宋体"/>
          <w:b/>
          <w:color w:val="auto"/>
          <w:sz w:val="24"/>
          <w:highlight w:val="none"/>
        </w:rPr>
      </w:pPr>
    </w:p>
    <w:p w14:paraId="07AB256C">
      <w:pPr>
        <w:spacing w:line="400" w:lineRule="exact"/>
        <w:ind w:left="28" w:firstLine="452"/>
        <w:jc w:val="center"/>
        <w:rPr>
          <w:rFonts w:ascii="宋体" w:hAnsi="宋体"/>
          <w:b/>
          <w:color w:val="auto"/>
          <w:sz w:val="24"/>
          <w:highlight w:val="none"/>
        </w:rPr>
      </w:pPr>
    </w:p>
    <w:p w14:paraId="235380D0">
      <w:pPr>
        <w:spacing w:line="460" w:lineRule="exac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（采购人） </w:t>
      </w:r>
    </w:p>
    <w:p w14:paraId="42AA2C2F">
      <w:pPr>
        <w:spacing w:line="460" w:lineRule="exact"/>
        <w:ind w:firstLine="315" w:firstLineChars="150"/>
        <w:rPr>
          <w:rFonts w:ascii="宋体" w:hAnsi="宋体"/>
          <w:color w:val="auto"/>
          <w:szCs w:val="21"/>
          <w:highlight w:val="none"/>
        </w:rPr>
      </w:pPr>
    </w:p>
    <w:p w14:paraId="2797957E">
      <w:pPr>
        <w:spacing w:line="460" w:lineRule="exact"/>
        <w:ind w:firstLine="315" w:firstLineChars="150"/>
        <w:rPr>
          <w:rFonts w:ascii="宋体" w:hAnsi="宋体"/>
          <w:color w:val="auto"/>
          <w:szCs w:val="21"/>
          <w:highlight w:val="none"/>
        </w:rPr>
      </w:pPr>
      <w:r>
        <w:rPr>
          <w:rFonts w:hint="eastAsia" w:ascii="宋体" w:hAnsi="宋体"/>
          <w:color w:val="auto"/>
          <w:szCs w:val="21"/>
          <w:highlight w:val="none"/>
        </w:rPr>
        <w:t>我单位近三年在经营活动中没有重大违法记录（包括：因违法经营受到刑事处罚或者责令停产停业，吊销许可证或者执照、较大数额罚款等行政处罚），特此声明。</w:t>
      </w:r>
    </w:p>
    <w:p w14:paraId="00011815">
      <w:pPr>
        <w:spacing w:line="460" w:lineRule="exact"/>
        <w:ind w:firstLine="315" w:firstLineChars="150"/>
        <w:rPr>
          <w:rFonts w:ascii="宋体" w:hAnsi="宋体"/>
          <w:color w:val="auto"/>
          <w:szCs w:val="21"/>
          <w:highlight w:val="none"/>
        </w:rPr>
      </w:pPr>
      <w:r>
        <w:rPr>
          <w:rFonts w:hint="eastAsia" w:ascii="宋体" w:hAnsi="宋体"/>
          <w:color w:val="auto"/>
          <w:szCs w:val="21"/>
          <w:highlight w:val="none"/>
        </w:rPr>
        <w:t>若采购单位在本项目采购过程中发现我单位近三年内在经营活动中有重大违法记录，我单位将无条件地退出本项目的磋商，并承担因此引起的一切后果。</w:t>
      </w:r>
    </w:p>
    <w:p w14:paraId="70CF5291">
      <w:pPr>
        <w:spacing w:line="460" w:lineRule="exact"/>
        <w:ind w:firstLine="315" w:firstLineChars="150"/>
        <w:rPr>
          <w:rFonts w:ascii="宋体" w:hAnsi="宋体"/>
          <w:color w:val="auto"/>
          <w:szCs w:val="21"/>
          <w:highlight w:val="none"/>
        </w:rPr>
      </w:pPr>
    </w:p>
    <w:p w14:paraId="4110D6F5">
      <w:pPr>
        <w:spacing w:line="360" w:lineRule="exact"/>
        <w:rPr>
          <w:rFonts w:ascii="宋体" w:hAnsi="宋体"/>
          <w:color w:val="auto"/>
          <w:szCs w:val="21"/>
          <w:highlight w:val="none"/>
        </w:rPr>
      </w:pPr>
    </w:p>
    <w:p w14:paraId="7810D554">
      <w:pPr>
        <w:spacing w:line="360" w:lineRule="exact"/>
        <w:ind w:firstLine="315" w:firstLineChars="150"/>
        <w:rPr>
          <w:rFonts w:ascii="宋体" w:hAnsi="宋体"/>
          <w:color w:val="auto"/>
          <w:szCs w:val="21"/>
          <w:highlight w:val="none"/>
        </w:rPr>
      </w:pPr>
      <w:r>
        <w:rPr>
          <w:rFonts w:hint="eastAsia" w:ascii="宋体" w:hAnsi="宋体"/>
          <w:color w:val="auto"/>
          <w:szCs w:val="21"/>
          <w:highlight w:val="none"/>
        </w:rPr>
        <w:t>供应商（公章）：</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105234A">
      <w:pPr>
        <w:spacing w:line="360" w:lineRule="exact"/>
        <w:ind w:firstLine="315" w:firstLineChars="150"/>
        <w:rPr>
          <w:rFonts w:ascii="宋体" w:hAnsi="宋体"/>
          <w:color w:val="auto"/>
          <w:szCs w:val="21"/>
          <w:highlight w:val="none"/>
        </w:rPr>
      </w:pPr>
      <w:r>
        <w:rPr>
          <w:rFonts w:hint="eastAsia" w:ascii="宋体" w:hAnsi="宋体"/>
          <w:color w:val="auto"/>
          <w:szCs w:val="21"/>
          <w:highlight w:val="none"/>
        </w:rPr>
        <w:t xml:space="preserve"> </w:t>
      </w:r>
    </w:p>
    <w:p w14:paraId="64BE64FC">
      <w:pPr>
        <w:spacing w:line="360" w:lineRule="exact"/>
        <w:ind w:firstLine="315" w:firstLineChars="150"/>
        <w:rPr>
          <w:rFonts w:ascii="宋体" w:hAnsi="宋体"/>
          <w:color w:val="auto"/>
          <w:szCs w:val="21"/>
          <w:highlight w:val="none"/>
        </w:rPr>
      </w:pPr>
      <w:r>
        <w:rPr>
          <w:rFonts w:hint="eastAsia" w:ascii="宋体" w:hAnsi="宋体"/>
          <w:color w:val="auto"/>
          <w:szCs w:val="21"/>
          <w:highlight w:val="none"/>
        </w:rPr>
        <w:t>法定代表人或授权委托代理人（签字）：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60E2A5D">
      <w:pPr>
        <w:spacing w:line="360" w:lineRule="exact"/>
        <w:ind w:firstLine="315" w:firstLineChars="150"/>
        <w:rPr>
          <w:rFonts w:ascii="宋体" w:hAnsi="宋体"/>
          <w:color w:val="auto"/>
          <w:szCs w:val="21"/>
          <w:highlight w:val="none"/>
        </w:rPr>
      </w:pPr>
    </w:p>
    <w:p w14:paraId="25EA367F">
      <w:pPr>
        <w:spacing w:line="360" w:lineRule="exact"/>
        <w:ind w:firstLine="315" w:firstLineChars="150"/>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p>
    <w:p w14:paraId="1E48F63E">
      <w:pPr>
        <w:jc w:val="center"/>
        <w:rPr>
          <w:rFonts w:ascii="宋体" w:hAnsi="宋体"/>
          <w:b/>
          <w:color w:val="auto"/>
          <w:sz w:val="24"/>
          <w:highlight w:val="none"/>
        </w:rPr>
      </w:pPr>
    </w:p>
    <w:p w14:paraId="77DE4603">
      <w:pPr>
        <w:jc w:val="center"/>
        <w:rPr>
          <w:rFonts w:ascii="宋体" w:hAnsi="宋体"/>
          <w:b/>
          <w:color w:val="auto"/>
          <w:sz w:val="24"/>
          <w:highlight w:val="none"/>
        </w:rPr>
      </w:pPr>
    </w:p>
    <w:p w14:paraId="18937956">
      <w:pPr>
        <w:jc w:val="center"/>
        <w:rPr>
          <w:rFonts w:ascii="宋体" w:hAnsi="宋体"/>
          <w:b/>
          <w:color w:val="auto"/>
          <w:sz w:val="24"/>
          <w:highlight w:val="none"/>
        </w:rPr>
      </w:pPr>
    </w:p>
    <w:p w14:paraId="46DE84F9">
      <w:pPr>
        <w:jc w:val="center"/>
        <w:rPr>
          <w:rFonts w:ascii="宋体" w:hAnsi="宋体"/>
          <w:b/>
          <w:color w:val="auto"/>
          <w:sz w:val="24"/>
          <w:highlight w:val="none"/>
        </w:rPr>
      </w:pPr>
    </w:p>
    <w:p w14:paraId="6128951A">
      <w:pPr>
        <w:jc w:val="center"/>
        <w:rPr>
          <w:rFonts w:ascii="宋体" w:hAnsi="宋体"/>
          <w:b/>
          <w:color w:val="auto"/>
          <w:sz w:val="24"/>
          <w:highlight w:val="none"/>
        </w:rPr>
      </w:pPr>
    </w:p>
    <w:p w14:paraId="5A9CD62D">
      <w:pPr>
        <w:jc w:val="center"/>
        <w:rPr>
          <w:rFonts w:ascii="宋体" w:hAnsi="宋体"/>
          <w:b/>
          <w:color w:val="auto"/>
          <w:sz w:val="24"/>
          <w:highlight w:val="none"/>
        </w:rPr>
      </w:pPr>
    </w:p>
    <w:p w14:paraId="1392E663">
      <w:pPr>
        <w:jc w:val="center"/>
        <w:rPr>
          <w:rFonts w:ascii="宋体" w:hAnsi="宋体"/>
          <w:b/>
          <w:color w:val="auto"/>
          <w:sz w:val="24"/>
          <w:highlight w:val="none"/>
        </w:rPr>
      </w:pPr>
    </w:p>
    <w:p w14:paraId="145FB227">
      <w:pPr>
        <w:jc w:val="center"/>
        <w:rPr>
          <w:rFonts w:ascii="宋体" w:hAnsi="宋体"/>
          <w:b/>
          <w:color w:val="auto"/>
          <w:sz w:val="24"/>
          <w:highlight w:val="none"/>
        </w:rPr>
      </w:pPr>
    </w:p>
    <w:p w14:paraId="2E566008">
      <w:pPr>
        <w:jc w:val="center"/>
        <w:rPr>
          <w:rFonts w:ascii="宋体" w:hAnsi="宋体"/>
          <w:b/>
          <w:color w:val="auto"/>
          <w:sz w:val="24"/>
          <w:highlight w:val="none"/>
        </w:rPr>
      </w:pPr>
    </w:p>
    <w:p w14:paraId="505C4E56">
      <w:pPr>
        <w:jc w:val="center"/>
        <w:rPr>
          <w:rFonts w:ascii="宋体" w:hAnsi="宋体"/>
          <w:b/>
          <w:color w:val="auto"/>
          <w:sz w:val="24"/>
          <w:highlight w:val="none"/>
        </w:rPr>
      </w:pPr>
    </w:p>
    <w:p w14:paraId="55AB1CED">
      <w:pPr>
        <w:jc w:val="center"/>
        <w:rPr>
          <w:rFonts w:ascii="宋体" w:hAnsi="宋体"/>
          <w:b/>
          <w:color w:val="auto"/>
          <w:sz w:val="24"/>
          <w:highlight w:val="none"/>
        </w:rPr>
      </w:pPr>
    </w:p>
    <w:p w14:paraId="01580A8F">
      <w:pPr>
        <w:jc w:val="center"/>
        <w:rPr>
          <w:rFonts w:ascii="宋体" w:hAnsi="宋体"/>
          <w:b/>
          <w:color w:val="auto"/>
          <w:sz w:val="24"/>
          <w:highlight w:val="none"/>
        </w:rPr>
      </w:pPr>
    </w:p>
    <w:p w14:paraId="6DB7B9C7">
      <w:pPr>
        <w:jc w:val="center"/>
        <w:rPr>
          <w:rFonts w:ascii="宋体" w:hAnsi="宋体"/>
          <w:b/>
          <w:color w:val="auto"/>
          <w:sz w:val="24"/>
          <w:highlight w:val="none"/>
        </w:rPr>
      </w:pPr>
    </w:p>
    <w:p w14:paraId="794FB2D5">
      <w:pPr>
        <w:jc w:val="center"/>
        <w:rPr>
          <w:rFonts w:ascii="宋体" w:hAnsi="宋体"/>
          <w:b/>
          <w:color w:val="auto"/>
          <w:sz w:val="24"/>
          <w:highlight w:val="none"/>
        </w:rPr>
      </w:pPr>
    </w:p>
    <w:p w14:paraId="7A4E9F2B">
      <w:pPr>
        <w:jc w:val="center"/>
        <w:rPr>
          <w:rFonts w:ascii="宋体" w:hAnsi="宋体"/>
          <w:b/>
          <w:color w:val="auto"/>
          <w:sz w:val="24"/>
          <w:highlight w:val="none"/>
        </w:rPr>
      </w:pPr>
    </w:p>
    <w:p w14:paraId="2D5417C4">
      <w:pPr>
        <w:jc w:val="center"/>
        <w:rPr>
          <w:rFonts w:ascii="宋体" w:hAnsi="宋体"/>
          <w:b/>
          <w:color w:val="auto"/>
          <w:sz w:val="24"/>
          <w:highlight w:val="none"/>
        </w:rPr>
      </w:pPr>
    </w:p>
    <w:p w14:paraId="7D647EF6">
      <w:pPr>
        <w:jc w:val="center"/>
        <w:rPr>
          <w:rFonts w:ascii="宋体" w:hAnsi="宋体"/>
          <w:b/>
          <w:color w:val="auto"/>
          <w:sz w:val="24"/>
          <w:highlight w:val="none"/>
        </w:rPr>
      </w:pPr>
    </w:p>
    <w:p w14:paraId="460A1F43">
      <w:pPr>
        <w:jc w:val="center"/>
        <w:rPr>
          <w:rFonts w:ascii="宋体" w:hAnsi="宋体"/>
          <w:b/>
          <w:color w:val="auto"/>
          <w:sz w:val="24"/>
          <w:highlight w:val="none"/>
        </w:rPr>
      </w:pPr>
    </w:p>
    <w:p w14:paraId="30130435">
      <w:pPr>
        <w:jc w:val="center"/>
        <w:rPr>
          <w:rFonts w:ascii="宋体" w:hAnsi="宋体"/>
          <w:b/>
          <w:color w:val="auto"/>
          <w:sz w:val="24"/>
          <w:highlight w:val="none"/>
        </w:rPr>
      </w:pPr>
    </w:p>
    <w:p w14:paraId="2B5BED55">
      <w:pPr>
        <w:jc w:val="center"/>
        <w:rPr>
          <w:rFonts w:ascii="宋体" w:hAnsi="宋体"/>
          <w:b/>
          <w:color w:val="auto"/>
          <w:sz w:val="24"/>
          <w:highlight w:val="none"/>
        </w:rPr>
      </w:pPr>
    </w:p>
    <w:p w14:paraId="59F8243D">
      <w:pPr>
        <w:jc w:val="center"/>
        <w:rPr>
          <w:rFonts w:ascii="宋体" w:hAnsi="宋体"/>
          <w:b/>
          <w:color w:val="auto"/>
          <w:sz w:val="24"/>
          <w:highlight w:val="none"/>
        </w:rPr>
      </w:pPr>
    </w:p>
    <w:p w14:paraId="2C8357C1">
      <w:pPr>
        <w:jc w:val="center"/>
        <w:rPr>
          <w:rFonts w:ascii="宋体" w:hAnsi="宋体"/>
          <w:b/>
          <w:color w:val="auto"/>
          <w:sz w:val="24"/>
          <w:highlight w:val="none"/>
        </w:rPr>
      </w:pPr>
    </w:p>
    <w:p w14:paraId="21C5BF28">
      <w:pPr>
        <w:jc w:val="left"/>
        <w:rPr>
          <w:rFonts w:ascii="宋体" w:hAnsi="宋体"/>
          <w:b/>
          <w:color w:val="auto"/>
          <w:sz w:val="24"/>
          <w:highlight w:val="none"/>
        </w:rPr>
      </w:pPr>
      <w:r>
        <w:rPr>
          <w:rFonts w:hint="eastAsia" w:ascii="宋体" w:hAnsi="宋体"/>
          <w:b/>
          <w:color w:val="auto"/>
          <w:sz w:val="24"/>
          <w:highlight w:val="none"/>
        </w:rPr>
        <w:t>格式二：</w:t>
      </w:r>
    </w:p>
    <w:p w14:paraId="15873C31">
      <w:pPr>
        <w:jc w:val="center"/>
        <w:rPr>
          <w:rFonts w:ascii="宋体" w:hAnsi="宋体"/>
          <w:b/>
          <w:color w:val="auto"/>
          <w:sz w:val="24"/>
          <w:highlight w:val="none"/>
        </w:rPr>
      </w:pPr>
    </w:p>
    <w:p w14:paraId="691467D4">
      <w:pPr>
        <w:jc w:val="center"/>
        <w:rPr>
          <w:rFonts w:ascii="宋体" w:hAnsi="宋体"/>
          <w:b/>
          <w:color w:val="auto"/>
          <w:sz w:val="24"/>
          <w:highlight w:val="none"/>
        </w:rPr>
      </w:pPr>
      <w:r>
        <w:rPr>
          <w:rFonts w:hint="eastAsia" w:ascii="宋体" w:hAnsi="宋体"/>
          <w:b/>
          <w:color w:val="auto"/>
          <w:sz w:val="24"/>
          <w:highlight w:val="none"/>
        </w:rPr>
        <w:t xml:space="preserve"> </w:t>
      </w:r>
      <w:r>
        <w:rPr>
          <w:rFonts w:ascii="宋体" w:hAnsi="宋体"/>
          <w:b/>
          <w:color w:val="auto"/>
          <w:sz w:val="24"/>
          <w:highlight w:val="none"/>
        </w:rPr>
        <w:t>诚信声明</w:t>
      </w:r>
      <w:r>
        <w:rPr>
          <w:rFonts w:hint="eastAsia" w:ascii="宋体" w:hAnsi="宋体"/>
          <w:b/>
          <w:color w:val="auto"/>
          <w:sz w:val="24"/>
          <w:highlight w:val="none"/>
        </w:rPr>
        <w:t xml:space="preserve"> </w:t>
      </w:r>
    </w:p>
    <w:p w14:paraId="7018F3C4">
      <w:pPr>
        <w:spacing w:line="520" w:lineRule="exact"/>
        <w:rPr>
          <w:rFonts w:ascii="宋体" w:hAnsi="宋体"/>
          <w:color w:val="auto"/>
          <w:highlight w:val="none"/>
        </w:rPr>
      </w:pPr>
    </w:p>
    <w:p w14:paraId="61A874F7">
      <w:pPr>
        <w:spacing w:line="460" w:lineRule="exact"/>
        <w:ind w:firstLine="315" w:firstLineChars="150"/>
        <w:rPr>
          <w:rFonts w:ascii="宋体" w:hAnsi="宋体"/>
          <w:color w:val="auto"/>
          <w:highlight w:val="none"/>
        </w:rPr>
      </w:pPr>
      <w:r>
        <w:rPr>
          <w:rFonts w:hint="eastAsia" w:ascii="宋体" w:hAnsi="宋体"/>
          <w:color w:val="auto"/>
          <w:highlight w:val="none"/>
        </w:rPr>
        <w:t>本人</w:t>
      </w:r>
      <w:r>
        <w:rPr>
          <w:rFonts w:ascii="宋体" w:hAnsi="宋体"/>
          <w:color w:val="auto"/>
          <w:highlight w:val="none"/>
          <w:u w:val="single"/>
        </w:rPr>
        <w:t xml:space="preserve">       </w:t>
      </w:r>
      <w:r>
        <w:rPr>
          <w:rFonts w:hint="eastAsia" w:ascii="宋体" w:hAnsi="宋体"/>
          <w:color w:val="auto"/>
          <w:highlight w:val="none"/>
          <w:u w:val="single"/>
        </w:rPr>
        <w:t>（法定代表人、身份证号码）</w:t>
      </w:r>
      <w:r>
        <w:rPr>
          <w:rFonts w:ascii="宋体" w:hAnsi="宋体"/>
          <w:color w:val="auto"/>
          <w:highlight w:val="none"/>
          <w:u w:val="single"/>
        </w:rPr>
        <w:t xml:space="preserve">         </w:t>
      </w:r>
      <w:r>
        <w:rPr>
          <w:rFonts w:hint="eastAsia" w:ascii="宋体" w:hAnsi="宋体"/>
          <w:color w:val="auto"/>
          <w:highlight w:val="none"/>
        </w:rPr>
        <w:t>郑重声明，本企业参加</w:t>
      </w:r>
      <w:r>
        <w:rPr>
          <w:rFonts w:ascii="宋体" w:hAnsi="宋体"/>
          <w:color w:val="auto"/>
          <w:highlight w:val="none"/>
          <w:u w:val="single"/>
        </w:rPr>
        <w:t xml:space="preserve">  </w:t>
      </w:r>
      <w:r>
        <w:rPr>
          <w:rFonts w:hint="eastAsia" w:ascii="宋体" w:hAnsi="宋体"/>
          <w:color w:val="auto"/>
          <w:highlight w:val="none"/>
          <w:u w:val="single"/>
        </w:rPr>
        <w:t>（项目名称）</w:t>
      </w:r>
      <w:r>
        <w:rPr>
          <w:rFonts w:ascii="宋体" w:hAnsi="宋体"/>
          <w:color w:val="auto"/>
          <w:highlight w:val="none"/>
          <w:u w:val="single"/>
        </w:rPr>
        <w:t xml:space="preserve"> </w:t>
      </w:r>
      <w:r>
        <w:rPr>
          <w:rFonts w:hint="eastAsia" w:ascii="宋体" w:hAnsi="宋体"/>
          <w:color w:val="auto"/>
          <w:highlight w:val="none"/>
        </w:rPr>
        <w:t>磋商活动所提交的所有资料、填写数据及所包含的附件资料内容是真实的、合法的、有效的，同样我在此所作的声明也是真实有效的，并愿意对在磋商过程中有关部门的调查结果承担责任。</w:t>
      </w:r>
    </w:p>
    <w:p w14:paraId="4924A5F0">
      <w:pPr>
        <w:spacing w:line="460" w:lineRule="exact"/>
        <w:ind w:firstLine="480"/>
        <w:rPr>
          <w:rFonts w:ascii="宋体" w:hAnsi="宋体"/>
          <w:color w:val="auto"/>
          <w:highlight w:val="none"/>
        </w:rPr>
      </w:pPr>
      <w:r>
        <w:rPr>
          <w:rFonts w:hint="eastAsia" w:ascii="宋体" w:hAnsi="宋体"/>
          <w:color w:val="auto"/>
          <w:highlight w:val="none"/>
        </w:rPr>
        <w:t>本企业提交的所有磋商资料如有不实，愿接受政府采购监督管理部门和建设行政主管部门依据有关法律法规给予的处罚。</w:t>
      </w:r>
    </w:p>
    <w:p w14:paraId="2E9D149A">
      <w:pPr>
        <w:spacing w:line="460" w:lineRule="exact"/>
        <w:rPr>
          <w:rFonts w:ascii="宋体" w:hAnsi="宋体"/>
          <w:color w:val="auto"/>
          <w:highlight w:val="none"/>
        </w:rPr>
      </w:pPr>
    </w:p>
    <w:p w14:paraId="49CFF6BE">
      <w:pPr>
        <w:spacing w:line="440" w:lineRule="exact"/>
        <w:rPr>
          <w:rFonts w:ascii="宋体" w:hAnsi="宋体"/>
          <w:color w:val="auto"/>
          <w:highlight w:val="none"/>
        </w:rPr>
      </w:pPr>
    </w:p>
    <w:p w14:paraId="7F44D11E">
      <w:pPr>
        <w:spacing w:line="440" w:lineRule="exact"/>
        <w:ind w:firstLine="4410" w:firstLineChars="2100"/>
        <w:rPr>
          <w:rFonts w:ascii="宋体" w:hAnsi="宋体"/>
          <w:color w:val="auto"/>
          <w:highlight w:val="none"/>
        </w:rPr>
      </w:pPr>
      <w:r>
        <w:rPr>
          <w:rFonts w:hint="eastAsia" w:ascii="宋体" w:hAnsi="宋体"/>
          <w:color w:val="auto"/>
          <w:highlight w:val="none"/>
        </w:rPr>
        <w:t>供应商：</w:t>
      </w:r>
      <w:r>
        <w:rPr>
          <w:rFonts w:hint="eastAsia" w:ascii="宋体" w:hAnsi="宋体"/>
          <w:color w:val="auto"/>
          <w:highlight w:val="none"/>
          <w:u w:val="single"/>
        </w:rPr>
        <w:t xml:space="preserve">   （全称）         </w:t>
      </w:r>
      <w:r>
        <w:rPr>
          <w:rFonts w:hint="eastAsia" w:ascii="宋体" w:hAnsi="宋体"/>
          <w:color w:val="auto"/>
          <w:highlight w:val="none"/>
        </w:rPr>
        <w:t>（盖单位章）</w:t>
      </w:r>
    </w:p>
    <w:p w14:paraId="0156B382">
      <w:pPr>
        <w:spacing w:line="440" w:lineRule="exact"/>
        <w:ind w:firstLine="4410" w:firstLineChars="2100"/>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（签字）</w:t>
      </w:r>
    </w:p>
    <w:p w14:paraId="4B6D07CC">
      <w:pPr>
        <w:spacing w:line="440" w:lineRule="exact"/>
        <w:ind w:firstLine="5775" w:firstLineChars="2750"/>
        <w:rPr>
          <w:rFonts w:ascii="宋体" w:hAnsi="宋体"/>
          <w:color w:val="auto"/>
          <w:highlight w:val="none"/>
        </w:rPr>
      </w:pPr>
      <w:r>
        <w:rPr>
          <w:rFonts w:hint="eastAsia" w:ascii="宋体" w:hAnsi="宋体"/>
          <w:color w:val="auto"/>
          <w:highlight w:val="none"/>
        </w:rPr>
        <w:t>年</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月</w:t>
      </w:r>
      <w:r>
        <w:rPr>
          <w:rFonts w:ascii="宋体" w:hAnsi="宋体"/>
          <w:color w:val="auto"/>
          <w:highlight w:val="none"/>
        </w:rPr>
        <w:t xml:space="preserve">    </w:t>
      </w:r>
      <w:r>
        <w:rPr>
          <w:rFonts w:hint="eastAsia" w:ascii="宋体" w:hAnsi="宋体"/>
          <w:color w:val="auto"/>
          <w:highlight w:val="none"/>
        </w:rPr>
        <w:t>日</w:t>
      </w:r>
    </w:p>
    <w:p w14:paraId="39293F66">
      <w:pPr>
        <w:spacing w:line="440" w:lineRule="exact"/>
        <w:rPr>
          <w:rFonts w:ascii="宋体" w:hAnsi="宋体"/>
          <w:color w:val="auto"/>
          <w:sz w:val="24"/>
          <w:highlight w:val="none"/>
        </w:rPr>
      </w:pPr>
    </w:p>
    <w:p w14:paraId="34D1D4E9">
      <w:pPr>
        <w:spacing w:line="440" w:lineRule="exact"/>
        <w:rPr>
          <w:rFonts w:ascii="宋体" w:hAnsi="宋体"/>
          <w:color w:val="auto"/>
          <w:sz w:val="24"/>
          <w:highlight w:val="none"/>
        </w:rPr>
      </w:pPr>
      <w:bookmarkStart w:id="595" w:name="_Toc163270989"/>
      <w:bookmarkStart w:id="596" w:name="_Toc158458008"/>
    </w:p>
    <w:p w14:paraId="7D0AE67B">
      <w:pPr>
        <w:spacing w:line="440" w:lineRule="exact"/>
        <w:rPr>
          <w:rFonts w:ascii="宋体" w:hAnsi="宋体"/>
          <w:color w:val="auto"/>
          <w:sz w:val="24"/>
          <w:highlight w:val="none"/>
        </w:rPr>
      </w:pPr>
    </w:p>
    <w:p w14:paraId="0AC14E8C">
      <w:pPr>
        <w:spacing w:line="440" w:lineRule="exact"/>
        <w:rPr>
          <w:rFonts w:ascii="宋体" w:hAnsi="宋体"/>
          <w:color w:val="auto"/>
          <w:sz w:val="24"/>
          <w:highlight w:val="none"/>
        </w:rPr>
      </w:pPr>
    </w:p>
    <w:p w14:paraId="77BD753A">
      <w:pPr>
        <w:spacing w:line="440" w:lineRule="exact"/>
        <w:rPr>
          <w:rFonts w:ascii="宋体" w:hAnsi="宋体"/>
          <w:color w:val="auto"/>
          <w:sz w:val="24"/>
          <w:highlight w:val="none"/>
        </w:rPr>
      </w:pPr>
    </w:p>
    <w:p w14:paraId="5FCEE80A">
      <w:pPr>
        <w:spacing w:line="440" w:lineRule="exact"/>
        <w:rPr>
          <w:rFonts w:ascii="宋体" w:hAnsi="宋体"/>
          <w:color w:val="auto"/>
          <w:sz w:val="24"/>
          <w:highlight w:val="none"/>
        </w:rPr>
      </w:pPr>
    </w:p>
    <w:p w14:paraId="5EEE7408">
      <w:pPr>
        <w:spacing w:line="440" w:lineRule="exact"/>
        <w:rPr>
          <w:rFonts w:ascii="宋体" w:hAnsi="宋体"/>
          <w:color w:val="auto"/>
          <w:sz w:val="24"/>
          <w:highlight w:val="none"/>
        </w:rPr>
      </w:pPr>
    </w:p>
    <w:p w14:paraId="76F75C7B">
      <w:pPr>
        <w:spacing w:line="440" w:lineRule="exact"/>
        <w:rPr>
          <w:rFonts w:ascii="宋体" w:hAnsi="宋体"/>
          <w:color w:val="auto"/>
          <w:sz w:val="24"/>
          <w:highlight w:val="none"/>
        </w:rPr>
      </w:pPr>
    </w:p>
    <w:p w14:paraId="7B474FC7">
      <w:pPr>
        <w:spacing w:line="440" w:lineRule="exact"/>
        <w:rPr>
          <w:rFonts w:ascii="宋体" w:hAnsi="宋体"/>
          <w:color w:val="auto"/>
          <w:sz w:val="24"/>
          <w:highlight w:val="none"/>
        </w:rPr>
      </w:pPr>
    </w:p>
    <w:p w14:paraId="62F3BF21">
      <w:pPr>
        <w:spacing w:line="440" w:lineRule="exact"/>
        <w:rPr>
          <w:rFonts w:ascii="宋体" w:hAnsi="宋体"/>
          <w:color w:val="auto"/>
          <w:sz w:val="24"/>
          <w:highlight w:val="none"/>
        </w:rPr>
      </w:pPr>
    </w:p>
    <w:p w14:paraId="57E6A9B1">
      <w:pPr>
        <w:spacing w:line="440" w:lineRule="exact"/>
        <w:rPr>
          <w:rFonts w:ascii="宋体" w:hAnsi="宋体"/>
          <w:color w:val="auto"/>
          <w:sz w:val="24"/>
          <w:highlight w:val="none"/>
        </w:rPr>
      </w:pPr>
    </w:p>
    <w:p w14:paraId="5E8A4C2E">
      <w:pPr>
        <w:spacing w:line="440" w:lineRule="exact"/>
        <w:rPr>
          <w:rFonts w:ascii="宋体" w:hAnsi="宋体"/>
          <w:color w:val="auto"/>
          <w:sz w:val="24"/>
          <w:highlight w:val="none"/>
        </w:rPr>
      </w:pPr>
    </w:p>
    <w:p w14:paraId="683BBBCA">
      <w:pPr>
        <w:spacing w:line="440" w:lineRule="exact"/>
        <w:rPr>
          <w:rFonts w:ascii="宋体" w:hAnsi="宋体"/>
          <w:color w:val="auto"/>
          <w:sz w:val="24"/>
          <w:highlight w:val="none"/>
        </w:rPr>
      </w:pPr>
    </w:p>
    <w:p w14:paraId="26B34C0B">
      <w:pPr>
        <w:spacing w:line="440" w:lineRule="exact"/>
        <w:rPr>
          <w:rFonts w:ascii="宋体" w:hAnsi="宋体"/>
          <w:color w:val="auto"/>
          <w:sz w:val="24"/>
          <w:highlight w:val="none"/>
        </w:rPr>
      </w:pPr>
    </w:p>
    <w:p w14:paraId="44F43F79">
      <w:pPr>
        <w:spacing w:line="440" w:lineRule="exact"/>
        <w:rPr>
          <w:rFonts w:ascii="宋体" w:hAnsi="宋体"/>
          <w:color w:val="auto"/>
          <w:sz w:val="24"/>
          <w:highlight w:val="none"/>
        </w:rPr>
      </w:pPr>
    </w:p>
    <w:p w14:paraId="08E30FD5">
      <w:pPr>
        <w:spacing w:line="440" w:lineRule="exact"/>
        <w:rPr>
          <w:rFonts w:ascii="宋体" w:hAnsi="宋体"/>
          <w:color w:val="auto"/>
          <w:sz w:val="24"/>
          <w:highlight w:val="none"/>
        </w:rPr>
      </w:pPr>
    </w:p>
    <w:p w14:paraId="19B3A427">
      <w:pPr>
        <w:spacing w:line="440" w:lineRule="exact"/>
        <w:rPr>
          <w:rFonts w:ascii="宋体" w:hAnsi="宋体"/>
          <w:color w:val="auto"/>
          <w:sz w:val="24"/>
          <w:highlight w:val="none"/>
        </w:rPr>
      </w:pPr>
    </w:p>
    <w:p w14:paraId="2E53D8A1">
      <w:pPr>
        <w:spacing w:line="440" w:lineRule="exact"/>
        <w:rPr>
          <w:rFonts w:ascii="宋体" w:hAnsi="宋体"/>
          <w:color w:val="auto"/>
          <w:sz w:val="24"/>
          <w:highlight w:val="none"/>
        </w:rPr>
      </w:pPr>
    </w:p>
    <w:p w14:paraId="6A3E9173">
      <w:pPr>
        <w:spacing w:line="440" w:lineRule="exact"/>
        <w:jc w:val="left"/>
        <w:rPr>
          <w:rFonts w:ascii="宋体" w:hAnsi="宋体"/>
          <w:b/>
          <w:color w:val="auto"/>
          <w:sz w:val="24"/>
          <w:highlight w:val="none"/>
        </w:rPr>
      </w:pPr>
      <w:r>
        <w:rPr>
          <w:rFonts w:ascii="宋体" w:hAnsi="宋体"/>
          <w:color w:val="auto"/>
          <w:sz w:val="24"/>
          <w:highlight w:val="none"/>
        </w:rPr>
        <w:br w:type="page"/>
      </w:r>
      <w:bookmarkStart w:id="597" w:name="_Toc173558684"/>
      <w:r>
        <w:rPr>
          <w:rFonts w:hint="eastAsia" w:ascii="宋体" w:hAnsi="宋体"/>
          <w:b/>
          <w:color w:val="auto"/>
          <w:sz w:val="24"/>
          <w:highlight w:val="none"/>
        </w:rPr>
        <w:t>格式三：</w:t>
      </w:r>
    </w:p>
    <w:p w14:paraId="10263A10">
      <w:pPr>
        <w:jc w:val="center"/>
        <w:rPr>
          <w:rFonts w:ascii="宋体" w:hAnsi="宋体"/>
          <w:b/>
          <w:color w:val="auto"/>
          <w:sz w:val="24"/>
          <w:highlight w:val="none"/>
        </w:rPr>
      </w:pPr>
      <w:r>
        <w:rPr>
          <w:rFonts w:hint="eastAsia" w:ascii="宋体" w:hAnsi="宋体"/>
          <w:b/>
          <w:color w:val="auto"/>
          <w:sz w:val="24"/>
          <w:highlight w:val="none"/>
        </w:rPr>
        <w:t>法定代表人授权委托书</w:t>
      </w:r>
    </w:p>
    <w:p w14:paraId="4C387782">
      <w:pPr>
        <w:spacing w:after="156" w:line="360" w:lineRule="auto"/>
        <w:rPr>
          <w:rFonts w:ascii="宋体" w:hAnsi="宋体"/>
          <w:color w:val="auto"/>
          <w:highlight w:val="none"/>
        </w:rPr>
      </w:pPr>
    </w:p>
    <w:p w14:paraId="1E0CA904">
      <w:pPr>
        <w:spacing w:line="440" w:lineRule="exact"/>
        <w:ind w:firstLine="420" w:firstLineChars="200"/>
        <w:rPr>
          <w:rFonts w:ascii="宋体" w:hAnsi="宋体"/>
          <w:color w:val="auto"/>
          <w:highlight w:val="none"/>
        </w:rPr>
      </w:pPr>
      <w:r>
        <w:rPr>
          <w:rFonts w:ascii="宋体" w:hAnsi="宋体"/>
          <w:color w:val="auto"/>
          <w:highlight w:val="none"/>
        </w:rPr>
        <w:t>本授权委托书声明：我</w:t>
      </w:r>
      <w:r>
        <w:rPr>
          <w:rFonts w:ascii="宋体" w:hAnsi="宋体"/>
          <w:color w:val="auto"/>
          <w:highlight w:val="none"/>
          <w:u w:val="single"/>
        </w:rPr>
        <w:t xml:space="preserve">             </w:t>
      </w:r>
      <w:r>
        <w:rPr>
          <w:rFonts w:ascii="宋体" w:hAnsi="宋体"/>
          <w:color w:val="auto"/>
          <w:highlight w:val="none"/>
        </w:rPr>
        <w:t>（姓名）系</w:t>
      </w:r>
      <w:r>
        <w:rPr>
          <w:rFonts w:ascii="宋体" w:hAnsi="宋体"/>
          <w:color w:val="auto"/>
          <w:highlight w:val="none"/>
          <w:u w:val="single"/>
        </w:rPr>
        <w:t xml:space="preserve">        </w:t>
      </w:r>
      <w:r>
        <w:rPr>
          <w:rFonts w:ascii="宋体" w:hAnsi="宋体"/>
          <w:color w:val="auto"/>
          <w:highlight w:val="none"/>
        </w:rPr>
        <w:t>（</w:t>
      </w:r>
      <w:r>
        <w:rPr>
          <w:rFonts w:hint="eastAsia" w:ascii="宋体" w:hAnsi="宋体"/>
          <w:color w:val="auto"/>
          <w:highlight w:val="none"/>
        </w:rPr>
        <w:t>供应商</w:t>
      </w:r>
      <w:r>
        <w:rPr>
          <w:rFonts w:ascii="宋体" w:hAnsi="宋体"/>
          <w:color w:val="auto"/>
          <w:highlight w:val="none"/>
        </w:rPr>
        <w:t>名称）的法定代表人，现授权委托</w:t>
      </w:r>
      <w:r>
        <w:rPr>
          <w:rFonts w:ascii="宋体" w:hAnsi="宋体"/>
          <w:color w:val="auto"/>
          <w:highlight w:val="none"/>
          <w:u w:val="single"/>
        </w:rPr>
        <w:t xml:space="preserve">      </w:t>
      </w:r>
      <w:r>
        <w:rPr>
          <w:rFonts w:ascii="宋体" w:hAnsi="宋体"/>
          <w:color w:val="auto"/>
          <w:highlight w:val="none"/>
        </w:rPr>
        <w:t>（单位名称）的</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ascii="宋体" w:hAnsi="宋体"/>
          <w:color w:val="auto"/>
          <w:highlight w:val="none"/>
        </w:rPr>
        <w:t>（姓名）为我公司签署</w:t>
      </w:r>
      <w:r>
        <w:rPr>
          <w:rFonts w:hint="eastAsia" w:ascii="宋体" w:hAnsi="宋体"/>
          <w:color w:val="auto"/>
          <w:highlight w:val="none"/>
          <w:u w:val="single"/>
        </w:rPr>
        <w:t xml:space="preserve">    </w:t>
      </w:r>
      <w:r>
        <w:rPr>
          <w:rFonts w:hint="eastAsia" w:ascii="宋体" w:hAnsi="宋体"/>
          <w:color w:val="auto"/>
          <w:highlight w:val="none"/>
        </w:rPr>
        <w:t>（项目名称），项目编号为</w:t>
      </w:r>
      <w:r>
        <w:rPr>
          <w:rFonts w:hint="eastAsia" w:ascii="宋体" w:hAnsi="宋体"/>
          <w:color w:val="auto"/>
          <w:highlight w:val="none"/>
          <w:u w:val="single"/>
        </w:rPr>
        <w:t xml:space="preserve">           </w:t>
      </w:r>
      <w:r>
        <w:rPr>
          <w:rFonts w:ascii="宋体" w:hAnsi="宋体"/>
          <w:color w:val="auto"/>
          <w:highlight w:val="none"/>
        </w:rPr>
        <w:t>的</w:t>
      </w:r>
      <w:r>
        <w:rPr>
          <w:rFonts w:hint="eastAsia" w:ascii="宋体" w:hAnsi="宋体"/>
          <w:color w:val="auto"/>
          <w:highlight w:val="none"/>
        </w:rPr>
        <w:t>响应文件</w:t>
      </w:r>
      <w:r>
        <w:rPr>
          <w:rFonts w:ascii="宋体" w:hAnsi="宋体"/>
          <w:color w:val="auto"/>
          <w:highlight w:val="none"/>
        </w:rPr>
        <w:t>的法定代表人授权委托代理人，我承认代理人全权代表我所签署的本工程的</w:t>
      </w:r>
      <w:r>
        <w:rPr>
          <w:rFonts w:hint="eastAsia" w:ascii="宋体" w:hAnsi="宋体"/>
          <w:color w:val="auto"/>
          <w:highlight w:val="none"/>
        </w:rPr>
        <w:t>响应文件</w:t>
      </w:r>
      <w:r>
        <w:rPr>
          <w:rFonts w:ascii="宋体" w:hAnsi="宋体"/>
          <w:color w:val="auto"/>
          <w:highlight w:val="none"/>
        </w:rPr>
        <w:t>的内容。</w:t>
      </w:r>
    </w:p>
    <w:p w14:paraId="7ED3564A">
      <w:pPr>
        <w:spacing w:line="440" w:lineRule="exact"/>
        <w:ind w:firstLine="420" w:firstLineChars="200"/>
        <w:rPr>
          <w:rFonts w:ascii="宋体" w:hAnsi="宋体"/>
          <w:color w:val="auto"/>
          <w:highlight w:val="none"/>
        </w:rPr>
      </w:pPr>
      <w:r>
        <w:rPr>
          <w:rFonts w:ascii="宋体" w:hAnsi="宋体"/>
          <w:color w:val="auto"/>
          <w:highlight w:val="none"/>
        </w:rPr>
        <w:t>代理人无转委托权，特此委托。</w:t>
      </w:r>
    </w:p>
    <w:p w14:paraId="4E17BCF6">
      <w:pPr>
        <w:spacing w:line="440" w:lineRule="exact"/>
        <w:ind w:firstLine="420" w:firstLineChars="200"/>
        <w:rPr>
          <w:rFonts w:ascii="宋体" w:hAnsi="宋体"/>
          <w:color w:val="auto"/>
          <w:highlight w:val="none"/>
        </w:rPr>
      </w:pPr>
      <w:r>
        <w:rPr>
          <w:rFonts w:ascii="宋体" w:hAnsi="宋体"/>
          <w:color w:val="auto"/>
          <w:highlight w:val="none"/>
        </w:rPr>
        <w:t>授权</w:t>
      </w:r>
      <w:r>
        <w:rPr>
          <w:rFonts w:hint="eastAsia" w:ascii="宋体" w:hAnsi="宋体"/>
          <w:color w:val="auto"/>
          <w:highlight w:val="none"/>
        </w:rPr>
        <w:t>委托</w:t>
      </w:r>
      <w:r>
        <w:rPr>
          <w:rFonts w:ascii="宋体" w:hAnsi="宋体"/>
          <w:color w:val="auto"/>
          <w:highlight w:val="none"/>
        </w:rPr>
        <w:t>代理</w:t>
      </w:r>
      <w:r>
        <w:rPr>
          <w:rFonts w:hint="eastAsia" w:ascii="宋体" w:hAnsi="宋体"/>
          <w:color w:val="auto"/>
          <w:highlight w:val="none"/>
        </w:rPr>
        <w:t>期限：</w:t>
      </w:r>
      <w:r>
        <w:rPr>
          <w:rFonts w:hint="eastAsia" w:ascii="宋体" w:hAnsi="宋体"/>
          <w:color w:val="auto"/>
          <w:highlight w:val="none"/>
          <w:u w:val="single"/>
          <w:lang w:val="en-US" w:eastAsia="zh-CN"/>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日至</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日</w:t>
      </w:r>
    </w:p>
    <w:p w14:paraId="1C993A7F">
      <w:pPr>
        <w:spacing w:line="440" w:lineRule="exact"/>
        <w:ind w:firstLine="413" w:firstLineChars="196"/>
        <w:rPr>
          <w:rFonts w:ascii="宋体" w:hAnsi="宋体"/>
          <w:color w:val="auto"/>
          <w:highlight w:val="none"/>
        </w:rPr>
      </w:pPr>
      <w:r>
        <w:rPr>
          <w:rFonts w:hint="eastAsia" w:ascii="宋体" w:hAnsi="宋体"/>
          <w:b/>
          <w:color w:val="auto"/>
          <w:highlight w:val="none"/>
        </w:rPr>
        <w:t>附：委托代理人身份证复印件</w:t>
      </w:r>
    </w:p>
    <w:p w14:paraId="033A53AE">
      <w:pPr>
        <w:spacing w:line="440" w:lineRule="exact"/>
        <w:rPr>
          <w:rFonts w:ascii="宋体" w:hAnsi="宋体"/>
          <w:color w:val="auto"/>
          <w:highlight w:val="none"/>
        </w:rPr>
      </w:pPr>
    </w:p>
    <w:p w14:paraId="46D936E6">
      <w:pPr>
        <w:spacing w:line="440" w:lineRule="exact"/>
        <w:ind w:left="2699"/>
        <w:rPr>
          <w:rFonts w:ascii="宋体" w:hAnsi="宋体"/>
          <w:color w:val="auto"/>
          <w:highlight w:val="none"/>
          <w:u w:val="single"/>
        </w:rPr>
      </w:pPr>
      <w:r>
        <w:rPr>
          <w:rFonts w:ascii="宋体" w:hAnsi="宋体"/>
          <w:color w:val="auto"/>
          <w:highlight w:val="none"/>
        </w:rPr>
        <w:t>代理人：</w:t>
      </w:r>
      <w:r>
        <w:rPr>
          <w:rFonts w:ascii="宋体" w:hAnsi="宋体"/>
          <w:color w:val="auto"/>
          <w:highlight w:val="none"/>
          <w:u w:val="single"/>
        </w:rPr>
        <w:t xml:space="preserve">   （签字）</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ascii="宋体" w:hAnsi="宋体"/>
          <w:color w:val="auto"/>
          <w:highlight w:val="none"/>
        </w:rPr>
        <w:t>性别 ：</w:t>
      </w:r>
      <w:r>
        <w:rPr>
          <w:rFonts w:ascii="宋体" w:hAnsi="宋体"/>
          <w:color w:val="auto"/>
          <w:highlight w:val="none"/>
          <w:u w:val="single"/>
        </w:rPr>
        <w:t xml:space="preserve">          </w:t>
      </w:r>
      <w:r>
        <w:rPr>
          <w:rFonts w:ascii="宋体" w:hAnsi="宋体"/>
          <w:color w:val="auto"/>
          <w:highlight w:val="none"/>
        </w:rPr>
        <w:t>年龄：_______</w:t>
      </w:r>
    </w:p>
    <w:p w14:paraId="20FB013B">
      <w:pPr>
        <w:spacing w:line="440" w:lineRule="exact"/>
        <w:ind w:left="2699"/>
        <w:rPr>
          <w:rFonts w:ascii="宋体" w:hAnsi="宋体"/>
          <w:b/>
          <w:color w:val="auto"/>
          <w:highlight w:val="none"/>
          <w:u w:val="single"/>
        </w:rPr>
      </w:pPr>
      <w:r>
        <w:rPr>
          <w:rFonts w:ascii="宋体" w:hAnsi="宋体"/>
          <w:color w:val="auto"/>
          <w:highlight w:val="none"/>
        </w:rPr>
        <w:t>身份证号码：</w:t>
      </w:r>
      <w:r>
        <w:rPr>
          <w:rFonts w:ascii="宋体" w:hAnsi="宋体"/>
          <w:color w:val="auto"/>
          <w:highlight w:val="none"/>
          <w:u w:val="single"/>
        </w:rPr>
        <w:t xml:space="preserve">                    </w:t>
      </w:r>
      <w:r>
        <w:rPr>
          <w:rFonts w:ascii="宋体" w:hAnsi="宋体"/>
          <w:color w:val="auto"/>
          <w:highlight w:val="none"/>
        </w:rPr>
        <w:t>职务：</w:t>
      </w:r>
      <w:r>
        <w:rPr>
          <w:rFonts w:ascii="宋体" w:hAnsi="宋体"/>
          <w:b/>
          <w:color w:val="auto"/>
          <w:highlight w:val="none"/>
          <w:u w:val="single"/>
        </w:rPr>
        <w:t xml:space="preserve">       </w:t>
      </w:r>
      <w:r>
        <w:rPr>
          <w:rFonts w:hint="eastAsia" w:ascii="宋体" w:hAnsi="宋体"/>
          <w:b/>
          <w:color w:val="auto"/>
          <w:highlight w:val="none"/>
          <w:u w:val="single"/>
        </w:rPr>
        <w:t xml:space="preserve">      </w:t>
      </w:r>
      <w:r>
        <w:rPr>
          <w:rFonts w:ascii="宋体" w:hAnsi="宋体"/>
          <w:b/>
          <w:color w:val="auto"/>
          <w:highlight w:val="none"/>
          <w:u w:val="single"/>
        </w:rPr>
        <w:t xml:space="preserve">  </w:t>
      </w:r>
    </w:p>
    <w:p w14:paraId="44162084">
      <w:pPr>
        <w:spacing w:line="440" w:lineRule="exact"/>
        <w:ind w:left="2699"/>
        <w:rPr>
          <w:rFonts w:ascii="宋体" w:hAnsi="宋体"/>
          <w:color w:val="auto"/>
          <w:highlight w:val="none"/>
        </w:rPr>
      </w:pPr>
      <w:r>
        <w:rPr>
          <w:rFonts w:hint="eastAsia" w:ascii="宋体" w:hAnsi="宋体"/>
          <w:color w:val="auto"/>
          <w:highlight w:val="none"/>
        </w:rPr>
        <w:t>供应商</w:t>
      </w:r>
      <w:r>
        <w:rPr>
          <w:rFonts w:ascii="宋体" w:hAnsi="宋体"/>
          <w:color w:val="auto"/>
          <w:highlight w:val="none"/>
        </w:rPr>
        <w:t>：</w:t>
      </w:r>
      <w:r>
        <w:rPr>
          <w:rFonts w:ascii="宋体" w:hAnsi="宋体"/>
          <w:color w:val="auto"/>
          <w:highlight w:val="none"/>
          <w:u w:val="single"/>
        </w:rPr>
        <w:t xml:space="preserve">   </w:t>
      </w:r>
      <w:r>
        <w:rPr>
          <w:rFonts w:hint="eastAsia" w:ascii="宋体" w:hAnsi="宋体"/>
          <w:color w:val="auto"/>
          <w:highlight w:val="none"/>
          <w:u w:val="single"/>
        </w:rPr>
        <w:t>（全称）</w:t>
      </w:r>
      <w:r>
        <w:rPr>
          <w:rFonts w:ascii="宋体" w:hAnsi="宋体"/>
          <w:color w:val="auto"/>
          <w:highlight w:val="none"/>
          <w:u w:val="single"/>
        </w:rPr>
        <w:t xml:space="preserve">                 </w:t>
      </w:r>
      <w:r>
        <w:rPr>
          <w:rFonts w:ascii="宋体" w:hAnsi="宋体"/>
          <w:color w:val="auto"/>
          <w:highlight w:val="none"/>
        </w:rPr>
        <w:t>（盖</w:t>
      </w:r>
      <w:r>
        <w:rPr>
          <w:rFonts w:hint="eastAsia" w:ascii="宋体" w:hAnsi="宋体"/>
          <w:color w:val="auto"/>
          <w:highlight w:val="none"/>
        </w:rPr>
        <w:t>单位</w:t>
      </w:r>
      <w:r>
        <w:rPr>
          <w:rFonts w:ascii="宋体" w:hAnsi="宋体"/>
          <w:color w:val="auto"/>
          <w:highlight w:val="none"/>
        </w:rPr>
        <w:t>章）</w:t>
      </w:r>
    </w:p>
    <w:p w14:paraId="1D62ECAD">
      <w:pPr>
        <w:spacing w:line="440" w:lineRule="exact"/>
        <w:ind w:left="2699"/>
        <w:rPr>
          <w:rFonts w:ascii="宋体" w:hAnsi="宋体"/>
          <w:color w:val="auto"/>
          <w:highlight w:val="none"/>
        </w:rPr>
      </w:pPr>
      <w:r>
        <w:rPr>
          <w:rFonts w:ascii="宋体" w:hAnsi="宋体"/>
          <w:color w:val="auto"/>
          <w:highlight w:val="none"/>
        </w:rPr>
        <w:t>法定代表人：</w:t>
      </w:r>
      <w:r>
        <w:rPr>
          <w:rFonts w:ascii="宋体" w:hAnsi="宋体"/>
          <w:color w:val="auto"/>
          <w:highlight w:val="none"/>
          <w:u w:val="single"/>
        </w:rPr>
        <w:t xml:space="preserve">                            </w:t>
      </w:r>
      <w:r>
        <w:rPr>
          <w:rFonts w:ascii="宋体" w:hAnsi="宋体"/>
          <w:color w:val="auto"/>
          <w:highlight w:val="none"/>
        </w:rPr>
        <w:t>（签字）</w:t>
      </w:r>
    </w:p>
    <w:p w14:paraId="53FB6F2B">
      <w:pPr>
        <w:spacing w:line="440" w:lineRule="exact"/>
        <w:ind w:left="2699"/>
        <w:rPr>
          <w:rFonts w:ascii="宋体" w:hAnsi="宋体"/>
          <w:color w:val="auto"/>
          <w:highlight w:val="none"/>
        </w:rPr>
      </w:pPr>
      <w:r>
        <w:rPr>
          <w:rFonts w:ascii="宋体" w:hAnsi="宋体"/>
          <w:color w:val="auto"/>
          <w:highlight w:val="none"/>
        </w:rPr>
        <w:t>授权委托日期：</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rPr>
        <w:t>年</w:t>
      </w:r>
      <w:r>
        <w:rPr>
          <w:rFonts w:ascii="宋体" w:hAnsi="宋体"/>
          <w:color w:val="auto"/>
          <w:highlight w:val="none"/>
          <w:u w:val="single"/>
        </w:rPr>
        <w:t xml:space="preserve">     </w:t>
      </w:r>
      <w:r>
        <w:rPr>
          <w:rFonts w:ascii="宋体" w:hAnsi="宋体"/>
          <w:color w:val="auto"/>
          <w:highlight w:val="none"/>
        </w:rPr>
        <w:t>月</w:t>
      </w:r>
      <w:r>
        <w:rPr>
          <w:rFonts w:ascii="宋体" w:hAnsi="宋体"/>
          <w:color w:val="auto"/>
          <w:highlight w:val="none"/>
          <w:u w:val="single"/>
        </w:rPr>
        <w:t xml:space="preserve">     </w:t>
      </w:r>
      <w:r>
        <w:rPr>
          <w:rFonts w:ascii="宋体" w:hAnsi="宋体"/>
          <w:color w:val="auto"/>
          <w:highlight w:val="none"/>
        </w:rPr>
        <w:t>日</w:t>
      </w:r>
    </w:p>
    <w:p w14:paraId="4D1F01F4">
      <w:pPr>
        <w:spacing w:line="360" w:lineRule="auto"/>
        <w:rPr>
          <w:rFonts w:ascii="宋体" w:hAnsi="宋体"/>
          <w:color w:val="auto"/>
          <w:highlight w:val="none"/>
        </w:rPr>
      </w:pPr>
    </w:p>
    <w:p w14:paraId="7019FAA9">
      <w:pPr>
        <w:spacing w:line="400" w:lineRule="exact"/>
        <w:ind w:left="28" w:firstLine="452"/>
        <w:rPr>
          <w:rFonts w:ascii="宋体" w:hAnsi="宋体"/>
          <w:color w:val="auto"/>
          <w:highlight w:val="none"/>
        </w:rPr>
      </w:pPr>
      <w:r>
        <w:rPr>
          <w:rFonts w:ascii="宋体" w:hAnsi="宋体"/>
          <w:color w:val="auto"/>
          <w:highlight w:val="none"/>
        </w:rPr>
        <w:br w:type="page"/>
      </w:r>
      <w:r>
        <w:rPr>
          <w:rFonts w:hint="eastAsia" w:ascii="宋体" w:hAnsi="宋体"/>
          <w:b/>
          <w:color w:val="auto"/>
          <w:sz w:val="24"/>
          <w:highlight w:val="none"/>
        </w:rPr>
        <w:t>格式四：</w:t>
      </w:r>
    </w:p>
    <w:p w14:paraId="78968046">
      <w:pPr>
        <w:spacing w:line="400" w:lineRule="exact"/>
        <w:ind w:left="28" w:firstLine="452"/>
        <w:rPr>
          <w:rFonts w:ascii="宋体" w:hAnsi="宋体"/>
          <w:color w:val="auto"/>
          <w:highlight w:val="none"/>
        </w:rPr>
      </w:pPr>
    </w:p>
    <w:p w14:paraId="7526CA96">
      <w:pPr>
        <w:spacing w:line="400" w:lineRule="exact"/>
        <w:ind w:left="28" w:firstLine="452"/>
        <w:jc w:val="center"/>
        <w:rPr>
          <w:rFonts w:ascii="宋体" w:hAnsi="宋体"/>
          <w:b/>
          <w:color w:val="auto"/>
          <w:sz w:val="24"/>
          <w:highlight w:val="none"/>
        </w:rPr>
      </w:pPr>
      <w:r>
        <w:rPr>
          <w:rFonts w:hint="eastAsia" w:ascii="宋体" w:hAnsi="宋体"/>
          <w:b/>
          <w:color w:val="auto"/>
          <w:sz w:val="24"/>
          <w:highlight w:val="none"/>
        </w:rPr>
        <w:t>足额缴纳农民工工资的承诺书</w:t>
      </w:r>
    </w:p>
    <w:p w14:paraId="1F80D3B7">
      <w:pPr>
        <w:spacing w:line="400" w:lineRule="exact"/>
        <w:ind w:left="28" w:firstLine="452"/>
        <w:jc w:val="center"/>
        <w:rPr>
          <w:rFonts w:ascii="宋体" w:hAnsi="宋体" w:cs="宋体"/>
          <w:color w:val="auto"/>
          <w:highlight w:val="none"/>
        </w:rPr>
      </w:pPr>
    </w:p>
    <w:p w14:paraId="7BACF892">
      <w:pPr>
        <w:spacing w:line="480" w:lineRule="auto"/>
        <w:jc w:val="left"/>
        <w:rPr>
          <w:rFonts w:ascii="宋体" w:hAnsi="宋体"/>
          <w:color w:val="auto"/>
          <w:highlight w:val="none"/>
        </w:rPr>
      </w:pPr>
      <w:r>
        <w:rPr>
          <w:rFonts w:hint="eastAsia" w:ascii="宋体" w:hAnsi="宋体" w:cs="宋体"/>
          <w:color w:val="auto"/>
          <w:highlight w:val="none"/>
        </w:rPr>
        <w:t>致</w:t>
      </w:r>
      <w:r>
        <w:rPr>
          <w:rFonts w:ascii="宋体" w:hAnsi="宋体"/>
          <w:color w:val="auto"/>
          <w:highlight w:val="none"/>
          <w:u w:val="single"/>
        </w:rPr>
        <w:t xml:space="preserve">                        </w:t>
      </w:r>
      <w:r>
        <w:rPr>
          <w:rFonts w:hint="eastAsia" w:ascii="宋体" w:hAnsi="宋体" w:cs="宋体"/>
          <w:color w:val="auto"/>
          <w:highlight w:val="none"/>
        </w:rPr>
        <w:t>（采购人名称）：</w:t>
      </w:r>
    </w:p>
    <w:p w14:paraId="7BDBF08F">
      <w:pPr>
        <w:spacing w:line="520" w:lineRule="exact"/>
        <w:ind w:left="-10" w:firstLine="455" w:firstLineChars="217"/>
        <w:jc w:val="left"/>
        <w:rPr>
          <w:rFonts w:ascii="宋体" w:hAnsi="宋体"/>
          <w:b/>
          <w:color w:val="auto"/>
          <w:sz w:val="24"/>
          <w:highlight w:val="none"/>
        </w:rPr>
      </w:pPr>
      <w:r>
        <w:rPr>
          <w:rFonts w:hint="eastAsia" w:ascii="宋体" w:hAnsi="宋体" w:cs="宋体"/>
          <w:color w:val="auto"/>
          <w:highlight w:val="none"/>
        </w:rPr>
        <w:t>作为参与</w:t>
      </w:r>
      <w:r>
        <w:rPr>
          <w:rFonts w:ascii="宋体" w:hAnsi="宋体"/>
          <w:color w:val="auto"/>
          <w:highlight w:val="none"/>
          <w:u w:val="single"/>
        </w:rPr>
        <w:t xml:space="preserve">                  </w:t>
      </w:r>
      <w:r>
        <w:rPr>
          <w:rFonts w:hint="eastAsia" w:ascii="宋体" w:hAnsi="宋体" w:cs="宋体"/>
          <w:color w:val="auto"/>
          <w:highlight w:val="none"/>
        </w:rPr>
        <w:t>（工程名称）项目的供应商，根据国家、自治区相关文件规定，我方在此向采标人承诺：</w:t>
      </w:r>
    </w:p>
    <w:p w14:paraId="4A12ACAC">
      <w:pPr>
        <w:spacing w:line="520" w:lineRule="exact"/>
        <w:ind w:left="-10" w:firstLine="455" w:firstLineChars="217"/>
        <w:jc w:val="left"/>
        <w:rPr>
          <w:rFonts w:ascii="宋体" w:hAnsi="宋体" w:cs="宋体"/>
          <w:color w:val="auto"/>
          <w:highlight w:val="none"/>
        </w:rPr>
      </w:pPr>
      <w:r>
        <w:rPr>
          <w:rFonts w:hint="eastAsia" w:ascii="宋体" w:hAnsi="宋体" w:cs="宋体"/>
          <w:color w:val="auto"/>
          <w:highlight w:val="none"/>
        </w:rPr>
        <w:t>一旦成交，我方保证按照政府相关部门的规定，在发出成交通知书之日起</w:t>
      </w:r>
      <w:r>
        <w:rPr>
          <w:rFonts w:ascii="宋体" w:hAnsi="宋体"/>
          <w:color w:val="auto"/>
          <w:highlight w:val="none"/>
        </w:rPr>
        <w:t>7</w:t>
      </w:r>
      <w:r>
        <w:rPr>
          <w:rFonts w:hint="eastAsia" w:ascii="宋体" w:hAnsi="宋体" w:cs="宋体"/>
          <w:color w:val="auto"/>
          <w:highlight w:val="none"/>
        </w:rPr>
        <w:t>个工作日内足额将农民工工资保障金转入农民工工资保障金专用账户，或向采购人提供由工程项目所在地（工程项目所在省区范围内）商业银行出具同等金额农民工工资保证金银行保函，作为支付承包人拖欠的农民工工资的保证。一旦我方所承包的该项目中出现拖欠农民工工资情况，由劳动保障、住房城乡建设行政主管部门按照《关于进一步完善建筑行业农民工工资保证金制度的通知》（桂劳社发〔</w:t>
      </w:r>
      <w:r>
        <w:rPr>
          <w:rFonts w:ascii="宋体" w:hAnsi="宋体"/>
          <w:color w:val="auto"/>
          <w:highlight w:val="none"/>
        </w:rPr>
        <w:t>2009</w:t>
      </w:r>
      <w:r>
        <w:rPr>
          <w:rFonts w:hint="eastAsia" w:ascii="宋体" w:hAnsi="宋体" w:cs="宋体"/>
          <w:color w:val="auto"/>
          <w:highlight w:val="none"/>
        </w:rPr>
        <w:t>〕</w:t>
      </w:r>
      <w:r>
        <w:rPr>
          <w:rFonts w:ascii="宋体" w:hAnsi="宋体"/>
          <w:color w:val="auto"/>
          <w:highlight w:val="none"/>
        </w:rPr>
        <w:t>50</w:t>
      </w:r>
      <w:r>
        <w:rPr>
          <w:rFonts w:hint="eastAsia" w:ascii="宋体" w:hAnsi="宋体" w:cs="宋体"/>
          <w:color w:val="auto"/>
          <w:highlight w:val="none"/>
        </w:rPr>
        <w:t>号）从我方农民工工资保障金中先予划支。</w:t>
      </w:r>
    </w:p>
    <w:p w14:paraId="2C4D9D52">
      <w:pPr>
        <w:spacing w:line="520" w:lineRule="exact"/>
        <w:ind w:left="-10" w:firstLine="455" w:firstLineChars="217"/>
        <w:jc w:val="left"/>
        <w:rPr>
          <w:rFonts w:ascii="宋体" w:hAnsi="宋体" w:cs="宋体"/>
          <w:color w:val="auto"/>
          <w:highlight w:val="none"/>
        </w:rPr>
      </w:pPr>
    </w:p>
    <w:p w14:paraId="30B4B865">
      <w:pPr>
        <w:pStyle w:val="24"/>
        <w:rPr>
          <w:rFonts w:hAnsi="宋体"/>
          <w:color w:val="auto"/>
          <w:sz w:val="24"/>
          <w:highlight w:val="none"/>
          <w:u w:val="single"/>
        </w:rPr>
      </w:pPr>
    </w:p>
    <w:p w14:paraId="7FA4168E">
      <w:pPr>
        <w:spacing w:line="360" w:lineRule="exact"/>
        <w:ind w:firstLine="315" w:firstLineChars="150"/>
        <w:rPr>
          <w:rFonts w:ascii="宋体" w:hAnsi="宋体"/>
          <w:color w:val="auto"/>
          <w:szCs w:val="21"/>
          <w:highlight w:val="none"/>
        </w:rPr>
      </w:pPr>
      <w:r>
        <w:rPr>
          <w:rFonts w:hint="eastAsia" w:ascii="宋体" w:hAnsi="宋体"/>
          <w:color w:val="auto"/>
          <w:szCs w:val="21"/>
          <w:highlight w:val="none"/>
        </w:rPr>
        <w:t>供应商（公章）：</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B963FC0">
      <w:pPr>
        <w:spacing w:line="360" w:lineRule="exact"/>
        <w:ind w:firstLine="315" w:firstLineChars="150"/>
        <w:rPr>
          <w:rFonts w:ascii="宋体" w:hAnsi="宋体"/>
          <w:color w:val="auto"/>
          <w:szCs w:val="21"/>
          <w:highlight w:val="none"/>
        </w:rPr>
      </w:pPr>
    </w:p>
    <w:p w14:paraId="786AD0F4">
      <w:pPr>
        <w:spacing w:line="360" w:lineRule="exact"/>
        <w:ind w:firstLine="315" w:firstLineChars="150"/>
        <w:rPr>
          <w:rFonts w:ascii="宋体" w:hAnsi="宋体"/>
          <w:color w:val="auto"/>
          <w:szCs w:val="21"/>
          <w:highlight w:val="none"/>
        </w:rPr>
      </w:pPr>
      <w:r>
        <w:rPr>
          <w:rFonts w:hint="eastAsia" w:ascii="宋体" w:hAnsi="宋体"/>
          <w:color w:val="auto"/>
          <w:szCs w:val="21"/>
          <w:highlight w:val="none"/>
        </w:rPr>
        <w:t>法定代表人或授权委托代理人（签字）：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6207C17">
      <w:pPr>
        <w:spacing w:line="360" w:lineRule="exact"/>
        <w:ind w:firstLine="315" w:firstLineChars="150"/>
        <w:rPr>
          <w:rFonts w:ascii="宋体" w:hAnsi="宋体"/>
          <w:color w:val="auto"/>
          <w:szCs w:val="21"/>
          <w:highlight w:val="none"/>
        </w:rPr>
      </w:pPr>
    </w:p>
    <w:p w14:paraId="135FD839">
      <w:pPr>
        <w:spacing w:line="360" w:lineRule="exact"/>
        <w:ind w:firstLine="315" w:firstLineChars="150"/>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p>
    <w:p w14:paraId="1B74BAC5">
      <w:pPr>
        <w:spacing w:line="520" w:lineRule="exact"/>
        <w:ind w:left="-10" w:firstLine="455" w:firstLineChars="217"/>
        <w:jc w:val="left"/>
        <w:rPr>
          <w:rFonts w:ascii="宋体" w:hAnsi="宋体"/>
          <w:color w:val="auto"/>
          <w:highlight w:val="none"/>
        </w:rPr>
      </w:pPr>
    </w:p>
    <w:p w14:paraId="48ED2039">
      <w:pPr>
        <w:spacing w:line="520" w:lineRule="exact"/>
        <w:ind w:left="-10" w:firstLine="455" w:firstLineChars="217"/>
        <w:jc w:val="left"/>
        <w:rPr>
          <w:rFonts w:ascii="宋体" w:hAnsi="宋体"/>
          <w:color w:val="auto"/>
          <w:highlight w:val="none"/>
        </w:rPr>
      </w:pPr>
    </w:p>
    <w:p w14:paraId="6EEF16B3">
      <w:pPr>
        <w:spacing w:line="520" w:lineRule="exact"/>
        <w:ind w:left="-10" w:firstLine="455" w:firstLineChars="217"/>
        <w:jc w:val="left"/>
        <w:rPr>
          <w:rFonts w:ascii="宋体" w:hAnsi="宋体"/>
          <w:color w:val="auto"/>
          <w:highlight w:val="none"/>
        </w:rPr>
      </w:pPr>
    </w:p>
    <w:p w14:paraId="2AA5DF0A">
      <w:pPr>
        <w:spacing w:line="520" w:lineRule="exact"/>
        <w:ind w:left="-10" w:firstLine="455" w:firstLineChars="217"/>
        <w:jc w:val="left"/>
        <w:rPr>
          <w:rFonts w:ascii="宋体" w:hAnsi="宋体"/>
          <w:color w:val="auto"/>
          <w:highlight w:val="none"/>
        </w:rPr>
      </w:pPr>
    </w:p>
    <w:p w14:paraId="1F3561A4">
      <w:pPr>
        <w:spacing w:line="520" w:lineRule="exact"/>
        <w:ind w:left="-10" w:firstLine="455" w:firstLineChars="217"/>
        <w:jc w:val="left"/>
        <w:rPr>
          <w:rFonts w:ascii="宋体" w:hAnsi="宋体"/>
          <w:color w:val="auto"/>
          <w:highlight w:val="none"/>
        </w:rPr>
      </w:pPr>
    </w:p>
    <w:p w14:paraId="410B8C50">
      <w:pPr>
        <w:spacing w:line="520" w:lineRule="exact"/>
        <w:ind w:left="-10" w:firstLine="455" w:firstLineChars="217"/>
        <w:jc w:val="left"/>
        <w:rPr>
          <w:rFonts w:ascii="宋体" w:hAnsi="宋体"/>
          <w:color w:val="auto"/>
          <w:highlight w:val="none"/>
        </w:rPr>
      </w:pPr>
    </w:p>
    <w:p w14:paraId="0F0AA893">
      <w:pPr>
        <w:spacing w:line="520" w:lineRule="exact"/>
        <w:ind w:left="-10" w:firstLine="455" w:firstLineChars="217"/>
        <w:jc w:val="left"/>
        <w:rPr>
          <w:rFonts w:ascii="宋体" w:hAnsi="宋体"/>
          <w:color w:val="auto"/>
          <w:highlight w:val="none"/>
        </w:rPr>
      </w:pPr>
    </w:p>
    <w:p w14:paraId="671E0345">
      <w:pPr>
        <w:spacing w:line="520" w:lineRule="exact"/>
        <w:ind w:left="-10" w:firstLine="455" w:firstLineChars="217"/>
        <w:jc w:val="left"/>
        <w:rPr>
          <w:rFonts w:ascii="宋体" w:hAnsi="宋体"/>
          <w:color w:val="auto"/>
          <w:highlight w:val="none"/>
        </w:rPr>
      </w:pPr>
    </w:p>
    <w:p w14:paraId="7ABF51CA">
      <w:pPr>
        <w:spacing w:line="520" w:lineRule="exact"/>
        <w:ind w:left="-10" w:firstLine="455" w:firstLineChars="217"/>
        <w:jc w:val="left"/>
        <w:rPr>
          <w:rFonts w:ascii="宋体" w:hAnsi="宋体"/>
          <w:color w:val="auto"/>
          <w:highlight w:val="none"/>
        </w:rPr>
      </w:pPr>
    </w:p>
    <w:p w14:paraId="40EFCD66">
      <w:pPr>
        <w:spacing w:line="520" w:lineRule="exact"/>
        <w:ind w:left="-10" w:firstLine="455" w:firstLineChars="217"/>
        <w:jc w:val="left"/>
        <w:rPr>
          <w:rFonts w:ascii="宋体" w:hAnsi="宋体"/>
          <w:color w:val="auto"/>
          <w:highlight w:val="none"/>
        </w:rPr>
      </w:pPr>
    </w:p>
    <w:p w14:paraId="5CD76D63">
      <w:pPr>
        <w:spacing w:line="520" w:lineRule="exact"/>
        <w:ind w:left="-10" w:firstLine="523" w:firstLineChars="217"/>
        <w:jc w:val="left"/>
        <w:rPr>
          <w:rFonts w:ascii="宋体" w:hAnsi="宋体"/>
          <w:color w:val="auto"/>
          <w:highlight w:val="none"/>
        </w:rPr>
      </w:pPr>
      <w:r>
        <w:rPr>
          <w:rFonts w:hint="eastAsia" w:ascii="宋体" w:hAnsi="宋体"/>
          <w:b/>
          <w:color w:val="auto"/>
          <w:sz w:val="24"/>
          <w:highlight w:val="none"/>
        </w:rPr>
        <w:t>格式五：</w:t>
      </w:r>
    </w:p>
    <w:p w14:paraId="1211195D">
      <w:pPr>
        <w:spacing w:line="520" w:lineRule="exact"/>
        <w:ind w:left="-10" w:firstLine="523" w:firstLineChars="217"/>
        <w:jc w:val="center"/>
        <w:rPr>
          <w:rFonts w:ascii="宋体" w:hAnsi="宋体"/>
          <w:b/>
          <w:color w:val="auto"/>
          <w:sz w:val="24"/>
          <w:highlight w:val="none"/>
        </w:rPr>
      </w:pPr>
      <w:r>
        <w:rPr>
          <w:rFonts w:hint="eastAsia" w:ascii="宋体" w:hAnsi="宋体"/>
          <w:b/>
          <w:color w:val="auto"/>
          <w:sz w:val="24"/>
          <w:highlight w:val="none"/>
        </w:rPr>
        <w:t>安全防护、文明施工措施方案的承诺书</w:t>
      </w:r>
    </w:p>
    <w:p w14:paraId="36109169">
      <w:pPr>
        <w:spacing w:line="520" w:lineRule="exact"/>
        <w:ind w:left="-10" w:firstLine="523" w:firstLineChars="217"/>
        <w:jc w:val="center"/>
        <w:rPr>
          <w:rFonts w:ascii="宋体" w:hAnsi="宋体"/>
          <w:b/>
          <w:color w:val="auto"/>
          <w:sz w:val="24"/>
          <w:highlight w:val="none"/>
        </w:rPr>
      </w:pPr>
    </w:p>
    <w:p w14:paraId="1C80B6AC">
      <w:pPr>
        <w:spacing w:line="480" w:lineRule="auto"/>
        <w:jc w:val="left"/>
        <w:rPr>
          <w:rFonts w:ascii="宋体" w:hAnsi="宋体"/>
          <w:color w:val="auto"/>
          <w:highlight w:val="none"/>
        </w:rPr>
      </w:pPr>
      <w:r>
        <w:rPr>
          <w:rFonts w:hint="eastAsia" w:ascii="宋体" w:hAnsi="宋体" w:cs="宋体"/>
          <w:color w:val="auto"/>
          <w:highlight w:val="none"/>
        </w:rPr>
        <w:t>致</w:t>
      </w:r>
      <w:r>
        <w:rPr>
          <w:rFonts w:ascii="宋体" w:hAnsi="宋体" w:cs="宋体"/>
          <w:color w:val="auto"/>
          <w:highlight w:val="none"/>
          <w:u w:val="single"/>
        </w:rPr>
        <w:t xml:space="preserve">      </w:t>
      </w:r>
      <w:r>
        <w:rPr>
          <w:rFonts w:hint="eastAsia" w:ascii="宋体" w:hAnsi="宋体" w:cs="宋体"/>
          <w:color w:val="auto"/>
          <w:highlight w:val="none"/>
          <w:u w:val="single"/>
        </w:rPr>
        <w:t>（采购人名称）</w:t>
      </w:r>
      <w:r>
        <w:rPr>
          <w:rFonts w:ascii="宋体" w:hAnsi="宋体" w:cs="宋体"/>
          <w:color w:val="auto"/>
          <w:highlight w:val="none"/>
          <w:u w:val="single"/>
        </w:rPr>
        <w:t xml:space="preserve">     </w:t>
      </w:r>
      <w:r>
        <w:rPr>
          <w:rFonts w:hint="eastAsia" w:ascii="宋体" w:hAnsi="宋体" w:cs="宋体"/>
          <w:color w:val="auto"/>
          <w:highlight w:val="none"/>
        </w:rPr>
        <w:t>：</w:t>
      </w:r>
    </w:p>
    <w:p w14:paraId="68679F5D">
      <w:pPr>
        <w:spacing w:line="480" w:lineRule="auto"/>
        <w:ind w:firstLine="422" w:firstLineChars="201"/>
        <w:jc w:val="left"/>
        <w:rPr>
          <w:rFonts w:ascii="宋体" w:hAnsi="宋体"/>
          <w:color w:val="auto"/>
          <w:highlight w:val="none"/>
        </w:rPr>
      </w:pPr>
      <w:r>
        <w:rPr>
          <w:rFonts w:hint="eastAsia" w:ascii="宋体" w:hAnsi="宋体" w:cs="宋体"/>
          <w:color w:val="auto"/>
          <w:highlight w:val="none"/>
        </w:rPr>
        <w:t>根据桂建质</w:t>
      </w:r>
      <w:r>
        <w:rPr>
          <w:rFonts w:ascii="宋体" w:hAnsi="宋体" w:cs="宋体"/>
          <w:color w:val="auto"/>
          <w:highlight w:val="none"/>
        </w:rPr>
        <w:t>[2015]16</w:t>
      </w:r>
      <w:r>
        <w:rPr>
          <w:rFonts w:hint="eastAsia" w:ascii="宋体" w:hAnsi="宋体" w:cs="宋体"/>
          <w:color w:val="auto"/>
          <w:highlight w:val="none"/>
        </w:rPr>
        <w:t>号文件规定，我方在此向采购人承诺：</w:t>
      </w:r>
    </w:p>
    <w:p w14:paraId="4B8B697B">
      <w:pPr>
        <w:spacing w:line="480" w:lineRule="auto"/>
        <w:ind w:left="-10" w:firstLine="455" w:firstLineChars="217"/>
        <w:jc w:val="left"/>
        <w:rPr>
          <w:rFonts w:ascii="宋体" w:hAnsi="宋体"/>
          <w:color w:val="auto"/>
          <w:highlight w:val="none"/>
        </w:rPr>
      </w:pPr>
      <w:r>
        <w:rPr>
          <w:rFonts w:ascii="宋体" w:hAnsi="宋体" w:cs="宋体"/>
          <w:color w:val="auto"/>
          <w:highlight w:val="none"/>
        </w:rPr>
        <w:t>1</w:t>
      </w:r>
      <w:r>
        <w:rPr>
          <w:rFonts w:hint="eastAsia" w:ascii="宋体" w:hAnsi="宋体" w:cs="宋体"/>
          <w:color w:val="auto"/>
          <w:highlight w:val="none"/>
        </w:rPr>
        <w:t>、我方参与磋商的</w:t>
      </w:r>
      <w:r>
        <w:rPr>
          <w:rFonts w:ascii="宋体" w:hAnsi="宋体" w:cs="宋体"/>
          <w:color w:val="auto"/>
          <w:highlight w:val="none"/>
          <w:u w:val="single"/>
        </w:rPr>
        <w:t xml:space="preserve">    </w:t>
      </w:r>
      <w:r>
        <w:rPr>
          <w:rFonts w:hint="eastAsia" w:ascii="宋体" w:hAnsi="宋体" w:cs="宋体"/>
          <w:color w:val="auto"/>
          <w:highlight w:val="none"/>
          <w:u w:val="single"/>
        </w:rPr>
        <w:t xml:space="preserve">（工程名称） </w:t>
      </w:r>
      <w:r>
        <w:rPr>
          <w:rFonts w:ascii="宋体" w:hAnsi="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rPr>
        <w:t>项目，一旦成交，我方保证在施工过程中，严格执行《广西壮族自治区建筑工程安全防护、文明施工措施费及使用管理细则》（桂建质</w:t>
      </w:r>
      <w:r>
        <w:rPr>
          <w:rFonts w:ascii="宋体" w:hAnsi="宋体" w:cs="宋体"/>
          <w:color w:val="auto"/>
          <w:highlight w:val="none"/>
        </w:rPr>
        <w:t>[2015]16</w:t>
      </w:r>
      <w:r>
        <w:rPr>
          <w:rFonts w:hint="eastAsia" w:ascii="宋体" w:hAnsi="宋体" w:cs="宋体"/>
          <w:color w:val="auto"/>
          <w:highlight w:val="none"/>
        </w:rPr>
        <w:t>号文）的有关规定，确保建设工程各项安全防护、文明施工措施落实到位。</w:t>
      </w:r>
    </w:p>
    <w:p w14:paraId="4DBE4321">
      <w:pPr>
        <w:spacing w:line="480" w:lineRule="auto"/>
        <w:ind w:left="-10" w:firstLine="455" w:firstLineChars="217"/>
        <w:jc w:val="left"/>
        <w:rPr>
          <w:rFonts w:ascii="宋体" w:hAnsi="宋体"/>
          <w:color w:val="auto"/>
          <w:highlight w:val="none"/>
        </w:rPr>
      </w:pPr>
      <w:r>
        <w:rPr>
          <w:rFonts w:ascii="宋体" w:hAnsi="宋体" w:cs="宋体"/>
          <w:color w:val="auto"/>
          <w:highlight w:val="none"/>
        </w:rPr>
        <w:t>2</w:t>
      </w:r>
      <w:r>
        <w:rPr>
          <w:rFonts w:hint="eastAsia" w:ascii="宋体" w:hAnsi="宋体" w:cs="宋体"/>
          <w:color w:val="auto"/>
          <w:highlight w:val="none"/>
        </w:rPr>
        <w:t>、如我方在承包的</w:t>
      </w:r>
      <w:r>
        <w:rPr>
          <w:rFonts w:ascii="宋体" w:hAnsi="宋体" w:cs="宋体"/>
          <w:color w:val="auto"/>
          <w:highlight w:val="none"/>
          <w:u w:val="single"/>
        </w:rPr>
        <w:t xml:space="preserve">    </w:t>
      </w:r>
      <w:r>
        <w:rPr>
          <w:rFonts w:hint="eastAsia" w:ascii="宋体" w:hAnsi="宋体" w:cs="宋体"/>
          <w:color w:val="auto"/>
          <w:highlight w:val="none"/>
          <w:u w:val="single"/>
        </w:rPr>
        <w:t>（工程名称）</w:t>
      </w:r>
      <w:r>
        <w:rPr>
          <w:rFonts w:ascii="宋体" w:hAnsi="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rPr>
        <w:t>项目中出现未按桂建质</w:t>
      </w:r>
      <w:r>
        <w:rPr>
          <w:rFonts w:ascii="宋体" w:hAnsi="宋体" w:cs="宋体"/>
          <w:color w:val="auto"/>
          <w:highlight w:val="none"/>
        </w:rPr>
        <w:t>[2015]16</w:t>
      </w:r>
      <w:r>
        <w:rPr>
          <w:rFonts w:hint="eastAsia" w:ascii="宋体" w:hAnsi="宋体" w:cs="宋体"/>
          <w:color w:val="auto"/>
          <w:highlight w:val="none"/>
        </w:rPr>
        <w:t>号文附件一规定执行的情形，我方愿意按照相关规定接受采购人及有关主管部门的处罚。</w:t>
      </w:r>
    </w:p>
    <w:p w14:paraId="30C6032F">
      <w:pPr>
        <w:spacing w:line="360" w:lineRule="auto"/>
        <w:ind w:left="-2" w:leftChars="-1" w:firstLine="449" w:firstLineChars="214"/>
        <w:jc w:val="left"/>
        <w:rPr>
          <w:rFonts w:ascii="宋体" w:hAnsi="宋体"/>
          <w:color w:val="auto"/>
          <w:highlight w:val="none"/>
        </w:rPr>
      </w:pPr>
    </w:p>
    <w:p w14:paraId="2E7A9550">
      <w:pPr>
        <w:spacing w:line="360" w:lineRule="auto"/>
        <w:jc w:val="left"/>
        <w:rPr>
          <w:rFonts w:ascii="宋体" w:hAnsi="宋体"/>
          <w:color w:val="auto"/>
          <w:highlight w:val="none"/>
        </w:rPr>
      </w:pPr>
    </w:p>
    <w:p w14:paraId="3754C410">
      <w:pPr>
        <w:spacing w:line="360" w:lineRule="auto"/>
        <w:jc w:val="left"/>
        <w:rPr>
          <w:rFonts w:ascii="宋体" w:hAnsi="宋体"/>
          <w:color w:val="auto"/>
          <w:highlight w:val="none"/>
        </w:rPr>
      </w:pPr>
    </w:p>
    <w:p w14:paraId="00B4F7CA">
      <w:pPr>
        <w:spacing w:line="360" w:lineRule="auto"/>
        <w:jc w:val="left"/>
        <w:rPr>
          <w:rFonts w:ascii="宋体" w:hAnsi="宋体"/>
          <w:color w:val="auto"/>
          <w:highlight w:val="none"/>
        </w:rPr>
      </w:pPr>
    </w:p>
    <w:p w14:paraId="186DBD64">
      <w:pPr>
        <w:spacing w:line="360" w:lineRule="auto"/>
        <w:ind w:firstLine="1260" w:firstLineChars="600"/>
        <w:jc w:val="left"/>
        <w:rPr>
          <w:rFonts w:ascii="宋体" w:hAnsi="宋体"/>
          <w:color w:val="auto"/>
          <w:highlight w:val="none"/>
          <w:u w:val="single"/>
        </w:rPr>
      </w:pPr>
      <w:r>
        <w:rPr>
          <w:rFonts w:hint="eastAsia" w:ascii="宋体" w:hAnsi="宋体"/>
          <w:color w:val="auto"/>
          <w:highlight w:val="none"/>
        </w:rPr>
        <w:t>供应商</w:t>
      </w:r>
      <w:r>
        <w:rPr>
          <w:rFonts w:hint="eastAsia" w:ascii="宋体" w:hAnsi="宋体" w:cs="宋体"/>
          <w:color w:val="auto"/>
          <w:highlight w:val="none"/>
        </w:rPr>
        <w:t>：</w:t>
      </w:r>
      <w:r>
        <w:rPr>
          <w:rFonts w:ascii="宋体" w:hAnsi="宋体" w:cs="宋体"/>
          <w:color w:val="auto"/>
          <w:highlight w:val="none"/>
          <w:u w:val="single"/>
        </w:rPr>
        <w:t xml:space="preserve">    </w:t>
      </w:r>
      <w:r>
        <w:rPr>
          <w:rFonts w:hint="eastAsia" w:ascii="宋体" w:hAnsi="宋体" w:cs="宋体"/>
          <w:color w:val="auto"/>
          <w:highlight w:val="none"/>
          <w:u w:val="single"/>
        </w:rPr>
        <w:t>（供应商名称）</w:t>
      </w:r>
      <w:r>
        <w:rPr>
          <w:rFonts w:ascii="宋体" w:hAnsi="宋体" w:cs="宋体"/>
          <w:color w:val="auto"/>
          <w:highlight w:val="none"/>
          <w:u w:val="single"/>
        </w:rPr>
        <w:t xml:space="preserve">    </w:t>
      </w:r>
      <w:r>
        <w:rPr>
          <w:rFonts w:hint="eastAsia" w:ascii="宋体" w:hAnsi="宋体" w:cs="宋体"/>
          <w:color w:val="auto"/>
          <w:highlight w:val="none"/>
          <w:u w:val="single"/>
        </w:rPr>
        <w:t>（盖章）</w:t>
      </w:r>
    </w:p>
    <w:p w14:paraId="26D71FFB">
      <w:pPr>
        <w:spacing w:line="360" w:lineRule="auto"/>
        <w:ind w:firstLine="1260" w:firstLineChars="600"/>
        <w:jc w:val="left"/>
        <w:rPr>
          <w:rFonts w:ascii="宋体" w:hAnsi="宋体"/>
          <w:color w:val="auto"/>
          <w:highlight w:val="none"/>
        </w:rPr>
      </w:pPr>
    </w:p>
    <w:p w14:paraId="4B2A074C">
      <w:pPr>
        <w:spacing w:line="360" w:lineRule="auto"/>
        <w:ind w:firstLine="1260" w:firstLineChars="600"/>
        <w:jc w:val="left"/>
        <w:rPr>
          <w:rFonts w:ascii="宋体" w:hAnsi="宋体"/>
          <w:color w:val="auto"/>
          <w:highlight w:val="none"/>
        </w:rPr>
      </w:pPr>
      <w:r>
        <w:rPr>
          <w:rFonts w:hint="eastAsia" w:ascii="宋体" w:hAnsi="宋体" w:cs="宋体"/>
          <w:color w:val="auto"/>
          <w:highlight w:val="none"/>
        </w:rPr>
        <w:t>法定代表人或授权代理人：</w:t>
      </w:r>
      <w:r>
        <w:rPr>
          <w:rFonts w:ascii="宋体" w:hAnsi="宋体" w:cs="宋体"/>
          <w:color w:val="auto"/>
          <w:highlight w:val="none"/>
        </w:rPr>
        <w:t xml:space="preserve"> </w:t>
      </w:r>
      <w:r>
        <w:rPr>
          <w:rFonts w:hint="eastAsia" w:ascii="宋体" w:hAnsi="宋体" w:cs="宋体"/>
          <w:color w:val="auto"/>
          <w:highlight w:val="none"/>
        </w:rPr>
        <w:t>（签字）</w:t>
      </w:r>
      <w:r>
        <w:rPr>
          <w:rFonts w:ascii="宋体" w:hAnsi="宋体" w:cs="宋体"/>
          <w:color w:val="auto"/>
          <w:highlight w:val="none"/>
        </w:rPr>
        <w:t xml:space="preserve"> </w:t>
      </w:r>
    </w:p>
    <w:p w14:paraId="19288ABC">
      <w:pPr>
        <w:spacing w:line="360" w:lineRule="auto"/>
        <w:ind w:firstLine="1260" w:firstLineChars="600"/>
        <w:jc w:val="left"/>
        <w:rPr>
          <w:rFonts w:ascii="宋体" w:hAnsi="宋体"/>
          <w:color w:val="auto"/>
          <w:highlight w:val="none"/>
        </w:rPr>
      </w:pPr>
    </w:p>
    <w:p w14:paraId="1FB7F306">
      <w:pPr>
        <w:spacing w:line="360" w:lineRule="auto"/>
        <w:ind w:firstLine="1260" w:firstLineChars="600"/>
        <w:jc w:val="left"/>
        <w:rPr>
          <w:rFonts w:ascii="宋体" w:hAnsi="宋体"/>
          <w:color w:val="auto"/>
          <w:highlight w:val="none"/>
        </w:rPr>
      </w:pPr>
      <w:r>
        <w:rPr>
          <w:rFonts w:hint="eastAsia" w:ascii="宋体" w:hAnsi="宋体" w:cs="宋体"/>
          <w:color w:val="auto"/>
          <w:highlight w:val="none"/>
        </w:rPr>
        <w:t>日期：</w:t>
      </w:r>
      <w:r>
        <w:rPr>
          <w:rFonts w:ascii="宋体" w:hAnsi="宋体" w:cs="宋体"/>
          <w:color w:val="auto"/>
          <w:highlight w:val="none"/>
        </w:rPr>
        <w:t xml:space="preserve">    </w:t>
      </w:r>
      <w:r>
        <w:rPr>
          <w:rFonts w:hint="eastAsia" w:ascii="宋体" w:hAnsi="宋体" w:cs="宋体"/>
          <w:color w:val="auto"/>
          <w:highlight w:val="none"/>
        </w:rPr>
        <w:t>年</w:t>
      </w:r>
      <w:r>
        <w:rPr>
          <w:rFonts w:ascii="宋体" w:hAnsi="宋体" w:cs="宋体"/>
          <w:color w:val="auto"/>
          <w:highlight w:val="none"/>
        </w:rPr>
        <w:t xml:space="preserve">   </w:t>
      </w:r>
      <w:r>
        <w:rPr>
          <w:rFonts w:hint="eastAsia" w:ascii="宋体" w:hAnsi="宋体" w:cs="宋体"/>
          <w:color w:val="auto"/>
          <w:highlight w:val="none"/>
        </w:rPr>
        <w:t>月</w:t>
      </w:r>
      <w:r>
        <w:rPr>
          <w:rFonts w:ascii="宋体" w:hAnsi="宋体" w:cs="宋体"/>
          <w:color w:val="auto"/>
          <w:highlight w:val="none"/>
        </w:rPr>
        <w:t xml:space="preserve">   </w:t>
      </w:r>
      <w:r>
        <w:rPr>
          <w:rFonts w:hint="eastAsia" w:ascii="宋体" w:hAnsi="宋体" w:cs="宋体"/>
          <w:color w:val="auto"/>
          <w:highlight w:val="none"/>
        </w:rPr>
        <w:t>日</w:t>
      </w:r>
    </w:p>
    <w:p w14:paraId="6CFE01F7">
      <w:pPr>
        <w:spacing w:line="520" w:lineRule="exact"/>
        <w:ind w:left="-10" w:firstLine="455" w:firstLineChars="217"/>
        <w:jc w:val="left"/>
        <w:rPr>
          <w:rFonts w:ascii="宋体" w:hAnsi="宋体"/>
          <w:color w:val="auto"/>
          <w:highlight w:val="none"/>
        </w:rPr>
      </w:pPr>
    </w:p>
    <w:p w14:paraId="21D2D9AE">
      <w:pPr>
        <w:spacing w:line="520" w:lineRule="exact"/>
        <w:ind w:left="-10" w:firstLine="455" w:firstLineChars="217"/>
        <w:jc w:val="left"/>
        <w:rPr>
          <w:rFonts w:ascii="宋体" w:hAnsi="宋体"/>
          <w:color w:val="auto"/>
          <w:highlight w:val="none"/>
        </w:rPr>
      </w:pPr>
    </w:p>
    <w:p w14:paraId="4DC2DEFE">
      <w:pPr>
        <w:spacing w:line="520" w:lineRule="exact"/>
        <w:ind w:left="-10" w:firstLine="455" w:firstLineChars="217"/>
        <w:jc w:val="left"/>
        <w:rPr>
          <w:rFonts w:ascii="宋体" w:hAnsi="宋体"/>
          <w:color w:val="auto"/>
          <w:highlight w:val="none"/>
        </w:rPr>
      </w:pPr>
    </w:p>
    <w:p w14:paraId="031A91C0">
      <w:pPr>
        <w:spacing w:line="520" w:lineRule="exact"/>
        <w:ind w:left="-10" w:firstLine="455" w:firstLineChars="217"/>
        <w:jc w:val="left"/>
        <w:rPr>
          <w:rFonts w:ascii="宋体" w:hAnsi="宋体"/>
          <w:color w:val="auto"/>
          <w:highlight w:val="none"/>
        </w:rPr>
      </w:pPr>
    </w:p>
    <w:p w14:paraId="34A3EAED">
      <w:pPr>
        <w:spacing w:line="520" w:lineRule="exact"/>
        <w:ind w:left="-10" w:firstLine="455" w:firstLineChars="217"/>
        <w:jc w:val="left"/>
        <w:rPr>
          <w:rFonts w:ascii="宋体" w:hAnsi="宋体"/>
          <w:color w:val="auto"/>
          <w:highlight w:val="none"/>
        </w:rPr>
      </w:pPr>
    </w:p>
    <w:p w14:paraId="703D09CE">
      <w:pPr>
        <w:spacing w:line="520" w:lineRule="exact"/>
        <w:ind w:left="-10" w:firstLine="455" w:firstLineChars="217"/>
        <w:jc w:val="left"/>
        <w:rPr>
          <w:rFonts w:ascii="宋体" w:hAnsi="宋体"/>
          <w:color w:val="auto"/>
          <w:highlight w:val="none"/>
        </w:rPr>
      </w:pPr>
      <w:r>
        <w:rPr>
          <w:rFonts w:ascii="宋体" w:hAnsi="宋体"/>
          <w:color w:val="auto"/>
          <w:highlight w:val="none"/>
        </w:rPr>
        <w:br w:type="page"/>
      </w:r>
      <w:bookmarkEnd w:id="595"/>
      <w:bookmarkEnd w:id="596"/>
      <w:bookmarkEnd w:id="597"/>
      <w:r>
        <w:rPr>
          <w:rFonts w:hint="eastAsia" w:ascii="宋体" w:hAnsi="宋体"/>
          <w:b/>
          <w:color w:val="auto"/>
          <w:sz w:val="24"/>
          <w:highlight w:val="none"/>
        </w:rPr>
        <w:t>格式六：</w:t>
      </w:r>
    </w:p>
    <w:p w14:paraId="55BD6083">
      <w:pPr>
        <w:pStyle w:val="24"/>
        <w:jc w:val="center"/>
        <w:rPr>
          <w:rFonts w:hAnsi="宋体"/>
          <w:b/>
          <w:color w:val="auto"/>
          <w:sz w:val="28"/>
          <w:szCs w:val="28"/>
          <w:highlight w:val="none"/>
        </w:rPr>
      </w:pPr>
    </w:p>
    <w:p w14:paraId="3D1005FE">
      <w:pPr>
        <w:snapToGrid w:val="0"/>
        <w:spacing w:line="380" w:lineRule="exact"/>
        <w:jc w:val="cente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中小企业声明函</w:t>
      </w:r>
    </w:p>
    <w:p w14:paraId="674ED65C">
      <w:pPr>
        <w:pStyle w:val="29"/>
        <w:rPr>
          <w:rFonts w:hint="eastAsia"/>
          <w:color w:val="auto"/>
          <w:highlight w:val="none"/>
        </w:rPr>
      </w:pPr>
    </w:p>
    <w:p w14:paraId="0860DD6D">
      <w:pPr>
        <w:keepNext w:val="0"/>
        <w:keepLines w:val="0"/>
        <w:pageBreakBefore w:val="0"/>
        <w:widowControl w:val="0"/>
        <w:kinsoku/>
        <w:wordWrap/>
        <w:overflowPunct/>
        <w:topLinePunct w:val="0"/>
        <w:autoSpaceDE/>
        <w:autoSpaceDN/>
        <w:bidi w:val="0"/>
        <w:adjustRightInd/>
        <w:spacing w:line="408" w:lineRule="auto"/>
        <w:ind w:firstLine="422" w:firstLineChars="200"/>
        <w:textAlignment w:val="auto"/>
        <w:rPr>
          <w:rFonts w:hint="eastAsia" w:ascii="宋体" w:hAnsi="宋体" w:eastAsia="宋体" w:cs="宋体"/>
          <w:color w:val="auto"/>
          <w:spacing w:val="6"/>
          <w:sz w:val="21"/>
          <w:szCs w:val="21"/>
          <w:highlight w:val="none"/>
        </w:rPr>
      </w:pPr>
      <w:r>
        <w:rPr>
          <w:rFonts w:hint="eastAsia" w:ascii="宋体" w:hAnsi="宋体" w:cs="宋体"/>
          <w:b/>
          <w:bCs/>
          <w:color w:val="auto"/>
          <w:kern w:val="0"/>
          <w:szCs w:val="21"/>
          <w:highlight w:val="none"/>
        </w:rPr>
        <w:t> </w:t>
      </w:r>
      <w:r>
        <w:rPr>
          <w:rFonts w:hint="eastAsia" w:ascii="宋体" w:hAnsi="宋体" w:cs="宋体"/>
          <w:b w:val="0"/>
          <w:bCs w:val="0"/>
          <w:color w:val="auto"/>
          <w:kern w:val="0"/>
          <w:szCs w:val="21"/>
          <w:highlight w:val="none"/>
          <w:lang w:val="en-US" w:eastAsia="zh-CN"/>
        </w:rPr>
        <w:t xml:space="preserve">   </w:t>
      </w:r>
      <w:r>
        <w:rPr>
          <w:rFonts w:hint="eastAsia" w:ascii="宋体" w:hAnsi="宋体" w:eastAsia="宋体" w:cs="宋体"/>
          <w:color w:val="auto"/>
          <w:spacing w:val="6"/>
          <w:sz w:val="21"/>
          <w:szCs w:val="21"/>
          <w:highlight w:val="none"/>
        </w:rPr>
        <w:t>本公司（联合体）郑重声明，根据《政府采购促进中小企业发展管理办法》（财库﹝2020﹞46 号）的规定，本公司 （联合体）参加（单位名称）的（项目名称）采购活动，工程的施工单位全部为符合政策要求的中小企业（或者：服务全部由符合政策要求的中小企业承接）。相关企业（含联合 体中的中小企业、签订分包意向协议的中小企业）的具体情况如下：</w:t>
      </w:r>
    </w:p>
    <w:p w14:paraId="07D62047">
      <w:pPr>
        <w:keepNext w:val="0"/>
        <w:keepLines w:val="0"/>
        <w:pageBreakBefore w:val="0"/>
        <w:widowControl w:val="0"/>
        <w:kinsoku/>
        <w:wordWrap/>
        <w:overflowPunct/>
        <w:topLinePunct w:val="0"/>
        <w:autoSpaceDE/>
        <w:autoSpaceDN/>
        <w:bidi w:val="0"/>
        <w:adjustRightInd/>
        <w:spacing w:line="408" w:lineRule="auto"/>
        <w:ind w:firstLine="555" w:firstLineChars="25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 xml:space="preserve">1. </w:t>
      </w:r>
      <w:r>
        <w:rPr>
          <w:rFonts w:hint="eastAsia" w:ascii="宋体" w:hAnsi="宋体" w:eastAsia="宋体" w:cs="宋体"/>
          <w:color w:val="auto"/>
          <w:spacing w:val="6"/>
          <w:sz w:val="21"/>
          <w:szCs w:val="21"/>
          <w:highlight w:val="none"/>
          <w:u w:val="single"/>
        </w:rPr>
        <w:t xml:space="preserve">（标的名称） </w:t>
      </w:r>
      <w:r>
        <w:rPr>
          <w:rFonts w:hint="eastAsia" w:ascii="宋体" w:hAnsi="宋体" w:eastAsia="宋体" w:cs="宋体"/>
          <w:color w:val="auto"/>
          <w:spacing w:val="6"/>
          <w:sz w:val="21"/>
          <w:szCs w:val="21"/>
          <w:highlight w:val="none"/>
        </w:rPr>
        <w:t>，属于</w:t>
      </w:r>
      <w:r>
        <w:rPr>
          <w:rFonts w:hint="eastAsia" w:ascii="宋体" w:hAnsi="宋体" w:eastAsia="宋体" w:cs="宋体"/>
          <w:color w:val="auto"/>
          <w:spacing w:val="6"/>
          <w:sz w:val="21"/>
          <w:szCs w:val="21"/>
          <w:highlight w:val="none"/>
          <w:u w:val="single"/>
        </w:rPr>
        <w:t>（采购文件中明确的所属行业）</w:t>
      </w:r>
      <w:r>
        <w:rPr>
          <w:rFonts w:hint="eastAsia" w:ascii="宋体" w:hAnsi="宋体" w:eastAsia="宋体" w:cs="宋体"/>
          <w:color w:val="auto"/>
          <w:spacing w:val="6"/>
          <w:sz w:val="21"/>
          <w:szCs w:val="21"/>
          <w:highlight w:val="none"/>
        </w:rPr>
        <w:t>；承建（承接）企业为</w:t>
      </w:r>
      <w:r>
        <w:rPr>
          <w:rFonts w:hint="eastAsia" w:ascii="宋体" w:hAnsi="宋体" w:eastAsia="宋体" w:cs="宋体"/>
          <w:color w:val="auto"/>
          <w:spacing w:val="6"/>
          <w:sz w:val="21"/>
          <w:szCs w:val="21"/>
          <w:highlight w:val="none"/>
          <w:u w:val="single"/>
        </w:rPr>
        <w:t>（企业名称）</w:t>
      </w:r>
      <w:r>
        <w:rPr>
          <w:rFonts w:hint="eastAsia" w:ascii="宋体" w:hAnsi="宋体" w:eastAsia="宋体" w:cs="宋体"/>
          <w:color w:val="auto"/>
          <w:spacing w:val="6"/>
          <w:sz w:val="21"/>
          <w:szCs w:val="21"/>
          <w:highlight w:val="none"/>
        </w:rPr>
        <w:t>，从业人员</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 xml:space="preserve">人，营业收入为 </w:t>
      </w:r>
      <w:r>
        <w:rPr>
          <w:rFonts w:hint="eastAsia" w:ascii="宋体" w:hAnsi="宋体" w:eastAsia="宋体" w:cs="宋体"/>
          <w:color w:val="auto"/>
          <w:spacing w:val="6"/>
          <w:sz w:val="21"/>
          <w:szCs w:val="21"/>
          <w:highlight w:val="none"/>
          <w:u w:val="single"/>
        </w:rPr>
        <w:t xml:space="preserve">   万元</w:t>
      </w:r>
      <w:r>
        <w:rPr>
          <w:rFonts w:hint="eastAsia" w:ascii="宋体" w:hAnsi="宋体" w:eastAsia="宋体" w:cs="宋体"/>
          <w:color w:val="auto"/>
          <w:spacing w:val="6"/>
          <w:sz w:val="21"/>
          <w:szCs w:val="21"/>
          <w:highlight w:val="none"/>
        </w:rPr>
        <w:t>，资产总额为</w:t>
      </w:r>
      <w:r>
        <w:rPr>
          <w:rFonts w:hint="eastAsia" w:ascii="宋体" w:hAnsi="宋体" w:eastAsia="宋体" w:cs="宋体"/>
          <w:color w:val="auto"/>
          <w:spacing w:val="6"/>
          <w:sz w:val="21"/>
          <w:szCs w:val="21"/>
          <w:highlight w:val="none"/>
          <w:u w:val="single"/>
        </w:rPr>
        <w:t xml:space="preserve">     万元</w:t>
      </w:r>
      <w:r>
        <w:rPr>
          <w:rFonts w:hint="eastAsia" w:ascii="宋体" w:hAnsi="宋体" w:eastAsia="宋体" w:cs="宋体"/>
          <w:color w:val="auto"/>
          <w:spacing w:val="6"/>
          <w:sz w:val="21"/>
          <w:szCs w:val="21"/>
          <w:highlight w:val="none"/>
        </w:rPr>
        <w:t>，属于</w:t>
      </w:r>
      <w:r>
        <w:rPr>
          <w:rFonts w:hint="eastAsia" w:ascii="宋体" w:hAnsi="宋体" w:eastAsia="宋体" w:cs="宋体"/>
          <w:color w:val="auto"/>
          <w:spacing w:val="6"/>
          <w:sz w:val="21"/>
          <w:szCs w:val="21"/>
          <w:highlight w:val="none"/>
          <w:u w:val="single"/>
        </w:rPr>
        <w:t>（中型企业、小型企业、微型企业）</w:t>
      </w:r>
      <w:r>
        <w:rPr>
          <w:rFonts w:hint="eastAsia" w:ascii="宋体" w:hAnsi="宋体" w:eastAsia="宋体" w:cs="宋体"/>
          <w:color w:val="auto"/>
          <w:spacing w:val="6"/>
          <w:sz w:val="21"/>
          <w:szCs w:val="21"/>
          <w:highlight w:val="none"/>
        </w:rPr>
        <w:t xml:space="preserve">； </w:t>
      </w:r>
    </w:p>
    <w:p w14:paraId="1A22E7B7">
      <w:pPr>
        <w:keepNext w:val="0"/>
        <w:keepLines w:val="0"/>
        <w:pageBreakBefore w:val="0"/>
        <w:widowControl w:val="0"/>
        <w:kinsoku/>
        <w:wordWrap/>
        <w:overflowPunct/>
        <w:topLinePunct w:val="0"/>
        <w:autoSpaceDE/>
        <w:autoSpaceDN/>
        <w:bidi w:val="0"/>
        <w:adjustRightInd/>
        <w:spacing w:line="408" w:lineRule="auto"/>
        <w:ind w:firstLine="444" w:firstLineChars="20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6"/>
          <w:sz w:val="21"/>
          <w:szCs w:val="21"/>
          <w:highlight w:val="none"/>
          <w:u w:val="single"/>
        </w:rPr>
        <w:t xml:space="preserve"> （标的名称） </w:t>
      </w:r>
      <w:r>
        <w:rPr>
          <w:rFonts w:hint="eastAsia" w:ascii="宋体" w:hAnsi="宋体" w:eastAsia="宋体" w:cs="宋体"/>
          <w:color w:val="auto"/>
          <w:spacing w:val="6"/>
          <w:sz w:val="21"/>
          <w:szCs w:val="21"/>
          <w:highlight w:val="none"/>
        </w:rPr>
        <w:t>，属于</w:t>
      </w:r>
      <w:r>
        <w:rPr>
          <w:rFonts w:hint="eastAsia" w:ascii="宋体" w:hAnsi="宋体" w:eastAsia="宋体" w:cs="宋体"/>
          <w:color w:val="auto"/>
          <w:spacing w:val="6"/>
          <w:sz w:val="21"/>
          <w:szCs w:val="21"/>
          <w:highlight w:val="none"/>
          <w:u w:val="single"/>
        </w:rPr>
        <w:t>（采购文件中明确的所属行业）</w:t>
      </w:r>
      <w:r>
        <w:rPr>
          <w:rFonts w:hint="eastAsia" w:ascii="宋体" w:hAnsi="宋体" w:eastAsia="宋体" w:cs="宋体"/>
          <w:color w:val="auto"/>
          <w:spacing w:val="6"/>
          <w:sz w:val="21"/>
          <w:szCs w:val="21"/>
          <w:highlight w:val="none"/>
        </w:rPr>
        <w:t>； 承建（承接）企业为</w:t>
      </w:r>
      <w:r>
        <w:rPr>
          <w:rFonts w:hint="eastAsia" w:ascii="宋体" w:hAnsi="宋体" w:eastAsia="宋体" w:cs="宋体"/>
          <w:color w:val="auto"/>
          <w:spacing w:val="6"/>
          <w:sz w:val="21"/>
          <w:szCs w:val="21"/>
          <w:highlight w:val="none"/>
          <w:u w:val="single"/>
        </w:rPr>
        <w:t>（企业名称）</w:t>
      </w:r>
      <w:r>
        <w:rPr>
          <w:rFonts w:hint="eastAsia" w:ascii="宋体" w:hAnsi="宋体" w:eastAsia="宋体" w:cs="宋体"/>
          <w:color w:val="auto"/>
          <w:spacing w:val="6"/>
          <w:sz w:val="21"/>
          <w:szCs w:val="21"/>
          <w:highlight w:val="none"/>
        </w:rPr>
        <w:t>，从业人员</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人，营业收入为</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万元，资产总额为</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万元，属于</w:t>
      </w:r>
      <w:r>
        <w:rPr>
          <w:rFonts w:hint="eastAsia" w:ascii="宋体" w:hAnsi="宋体" w:eastAsia="宋体" w:cs="宋体"/>
          <w:color w:val="auto"/>
          <w:spacing w:val="6"/>
          <w:sz w:val="21"/>
          <w:szCs w:val="21"/>
          <w:highlight w:val="none"/>
          <w:u w:val="single"/>
        </w:rPr>
        <w:t>（中型企业、 小型企业、微型企业）</w:t>
      </w:r>
      <w:r>
        <w:rPr>
          <w:rFonts w:hint="eastAsia" w:ascii="宋体" w:hAnsi="宋体" w:eastAsia="宋体" w:cs="宋体"/>
          <w:color w:val="auto"/>
          <w:spacing w:val="6"/>
          <w:sz w:val="21"/>
          <w:szCs w:val="21"/>
          <w:highlight w:val="none"/>
        </w:rPr>
        <w:t xml:space="preserve">； </w:t>
      </w:r>
    </w:p>
    <w:p w14:paraId="7BE51620">
      <w:pPr>
        <w:keepNext w:val="0"/>
        <w:keepLines w:val="0"/>
        <w:pageBreakBefore w:val="0"/>
        <w:widowControl w:val="0"/>
        <w:kinsoku/>
        <w:wordWrap/>
        <w:overflowPunct/>
        <w:topLinePunct w:val="0"/>
        <w:autoSpaceDE/>
        <w:autoSpaceDN/>
        <w:bidi w:val="0"/>
        <w:adjustRightInd/>
        <w:spacing w:line="408" w:lineRule="auto"/>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w:t>
      </w:r>
    </w:p>
    <w:p w14:paraId="143CADF8">
      <w:pPr>
        <w:keepNext w:val="0"/>
        <w:keepLines w:val="0"/>
        <w:pageBreakBefore w:val="0"/>
        <w:widowControl w:val="0"/>
        <w:kinsoku/>
        <w:wordWrap/>
        <w:overflowPunct/>
        <w:topLinePunct w:val="0"/>
        <w:autoSpaceDE/>
        <w:autoSpaceDN/>
        <w:bidi w:val="0"/>
        <w:adjustRightInd/>
        <w:spacing w:line="408" w:lineRule="auto"/>
        <w:ind w:firstLine="444" w:firstLineChars="20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以上企业，不属于大企业的分支机构，不存在控股股东为大企业的情形，也不存在与大企业的负责人为同一人的情形。</w:t>
      </w:r>
    </w:p>
    <w:p w14:paraId="2AB6EF6D">
      <w:pPr>
        <w:keepNext w:val="0"/>
        <w:keepLines w:val="0"/>
        <w:pageBreakBefore w:val="0"/>
        <w:widowControl w:val="0"/>
        <w:kinsoku/>
        <w:wordWrap/>
        <w:overflowPunct/>
        <w:topLinePunct w:val="0"/>
        <w:autoSpaceDE/>
        <w:autoSpaceDN/>
        <w:bidi w:val="0"/>
        <w:adjustRightInd/>
        <w:spacing w:line="408" w:lineRule="auto"/>
        <w:ind w:firstLine="444" w:firstLineChars="20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 xml:space="preserve">本企业对上述声明内容的真实性负责。如有虚假，将依法承担相应责任。 </w:t>
      </w:r>
    </w:p>
    <w:p w14:paraId="048B07B0">
      <w:pPr>
        <w:pStyle w:val="29"/>
        <w:keepNext w:val="0"/>
        <w:keepLines w:val="0"/>
        <w:pageBreakBefore w:val="0"/>
        <w:widowControl w:val="0"/>
        <w:kinsoku/>
        <w:wordWrap/>
        <w:overflowPunct/>
        <w:topLinePunct w:val="0"/>
        <w:autoSpaceDE/>
        <w:autoSpaceDN/>
        <w:bidi w:val="0"/>
        <w:adjustRightInd/>
        <w:spacing w:line="408" w:lineRule="auto"/>
        <w:textAlignment w:val="auto"/>
        <w:rPr>
          <w:rFonts w:hint="eastAsia" w:ascii="宋体" w:hAnsi="宋体" w:eastAsia="宋体" w:cs="宋体"/>
          <w:color w:val="auto"/>
          <w:sz w:val="21"/>
          <w:szCs w:val="21"/>
          <w:highlight w:val="none"/>
          <w:lang w:val="en-US" w:eastAsia="zh-CN"/>
        </w:rPr>
      </w:pPr>
    </w:p>
    <w:p w14:paraId="6CCA3D5E">
      <w:pPr>
        <w:pStyle w:val="29"/>
        <w:keepNext w:val="0"/>
        <w:keepLines w:val="0"/>
        <w:pageBreakBefore w:val="0"/>
        <w:widowControl w:val="0"/>
        <w:kinsoku/>
        <w:wordWrap/>
        <w:overflowPunct/>
        <w:topLinePunct w:val="0"/>
        <w:autoSpaceDE/>
        <w:autoSpaceDN/>
        <w:bidi w:val="0"/>
        <w:adjustRightInd/>
        <w:spacing w:line="408" w:lineRule="auto"/>
        <w:textAlignment w:val="auto"/>
        <w:rPr>
          <w:rFonts w:hint="eastAsia" w:ascii="宋体" w:hAnsi="宋体" w:eastAsia="宋体" w:cs="宋体"/>
          <w:color w:val="auto"/>
          <w:sz w:val="21"/>
          <w:szCs w:val="21"/>
          <w:highlight w:val="none"/>
          <w:lang w:val="en-US" w:eastAsia="zh-CN"/>
        </w:rPr>
      </w:pPr>
    </w:p>
    <w:p w14:paraId="29908CD2">
      <w:pPr>
        <w:keepNext w:val="0"/>
        <w:keepLines w:val="0"/>
        <w:pageBreakBefore w:val="0"/>
        <w:widowControl w:val="0"/>
        <w:kinsoku/>
        <w:wordWrap/>
        <w:overflowPunct/>
        <w:topLinePunct w:val="0"/>
        <w:autoSpaceDE/>
        <w:autoSpaceDN/>
        <w:bidi w:val="0"/>
        <w:adjustRightInd/>
        <w:spacing w:line="408" w:lineRule="auto"/>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企业名称（盖章）：</w:t>
      </w:r>
    </w:p>
    <w:p w14:paraId="6D3231D7">
      <w:pPr>
        <w:keepNext w:val="0"/>
        <w:keepLines w:val="0"/>
        <w:pageBreakBefore w:val="0"/>
        <w:widowControl w:val="0"/>
        <w:kinsoku/>
        <w:wordWrap/>
        <w:overflowPunct/>
        <w:topLinePunct w:val="0"/>
        <w:autoSpaceDE/>
        <w:autoSpaceDN/>
        <w:bidi w:val="0"/>
        <w:adjustRightInd/>
        <w:spacing w:line="408" w:lineRule="auto"/>
        <w:ind w:firstLine="444"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lang w:val="en-US" w:eastAsia="zh-CN"/>
        </w:rPr>
        <w:t xml:space="preserve">     </w:t>
      </w:r>
      <w:r>
        <w:rPr>
          <w:rFonts w:hint="eastAsia" w:ascii="宋体" w:hAnsi="宋体" w:eastAsia="宋体" w:cs="宋体"/>
          <w:color w:val="auto"/>
          <w:spacing w:val="6"/>
          <w:sz w:val="21"/>
          <w:szCs w:val="21"/>
          <w:highlight w:val="none"/>
        </w:rPr>
        <w:t xml:space="preserve">日 </w:t>
      </w:r>
      <w:r>
        <w:rPr>
          <w:rFonts w:hint="eastAsia" w:ascii="宋体" w:hAnsi="宋体" w:eastAsia="宋体" w:cs="宋体"/>
          <w:color w:val="auto"/>
          <w:spacing w:val="6"/>
          <w:sz w:val="21"/>
          <w:szCs w:val="21"/>
          <w:highlight w:val="none"/>
          <w:lang w:val="en-US" w:eastAsia="zh-CN"/>
        </w:rPr>
        <w:t xml:space="preserve"> </w:t>
      </w:r>
      <w:r>
        <w:rPr>
          <w:rFonts w:hint="eastAsia" w:ascii="宋体" w:hAnsi="宋体" w:eastAsia="宋体" w:cs="宋体"/>
          <w:color w:val="auto"/>
          <w:spacing w:val="6"/>
          <w:sz w:val="21"/>
          <w:szCs w:val="21"/>
          <w:highlight w:val="none"/>
        </w:rPr>
        <w:t xml:space="preserve">期： </w:t>
      </w:r>
      <w:r>
        <w:rPr>
          <w:rFonts w:hint="eastAsia" w:ascii="宋体" w:hAnsi="宋体" w:eastAsia="宋体" w:cs="宋体"/>
          <w:color w:val="auto"/>
          <w:sz w:val="21"/>
          <w:szCs w:val="21"/>
          <w:highlight w:val="none"/>
        </w:rPr>
        <w:t xml:space="preserve">        </w:t>
      </w:r>
    </w:p>
    <w:p w14:paraId="3EB5AA0E">
      <w:pPr>
        <w:spacing w:line="520" w:lineRule="exact"/>
        <w:rPr>
          <w:rFonts w:hint="eastAsia" w:ascii="宋体" w:hAnsi="宋体" w:eastAsia="宋体" w:cs="宋体"/>
          <w:color w:val="auto"/>
          <w:sz w:val="21"/>
          <w:szCs w:val="21"/>
          <w:highlight w:val="none"/>
        </w:rPr>
      </w:pPr>
    </w:p>
    <w:p w14:paraId="72357FDA">
      <w:pPr>
        <w:spacing w:line="5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注：请根据自己的真实情况出具《中小企业声明函》。依法享受中小企业优惠政策的，采购人或采购代理机构在公告中标结果时，同时公告其《中小企业声明函》，接受社会监督。</w:t>
      </w:r>
    </w:p>
    <w:p w14:paraId="60AB9FBD">
      <w:pPr>
        <w:pStyle w:val="13"/>
        <w:rPr>
          <w:rFonts w:hint="eastAsia" w:ascii="宋体" w:hAnsi="宋体"/>
          <w:b/>
          <w:color w:val="auto"/>
          <w:sz w:val="24"/>
          <w:highlight w:val="none"/>
        </w:rPr>
      </w:pPr>
    </w:p>
    <w:p w14:paraId="19598396">
      <w:pPr>
        <w:pStyle w:val="13"/>
        <w:rPr>
          <w:rFonts w:hint="eastAsia" w:ascii="宋体" w:hAnsi="宋体"/>
          <w:b/>
          <w:color w:val="auto"/>
          <w:sz w:val="24"/>
          <w:highlight w:val="none"/>
        </w:rPr>
      </w:pPr>
    </w:p>
    <w:p w14:paraId="4B4AD6CC">
      <w:pPr>
        <w:pStyle w:val="13"/>
        <w:rPr>
          <w:rFonts w:hint="eastAsia" w:ascii="宋体" w:hAnsi="宋体"/>
          <w:b/>
          <w:color w:val="auto"/>
          <w:sz w:val="24"/>
          <w:highlight w:val="none"/>
        </w:rPr>
      </w:pPr>
    </w:p>
    <w:p w14:paraId="1B06E4E1">
      <w:pPr>
        <w:pStyle w:val="13"/>
        <w:rPr>
          <w:rFonts w:hint="eastAsia" w:ascii="宋体" w:hAnsi="宋体"/>
          <w:b/>
          <w:color w:val="auto"/>
          <w:sz w:val="24"/>
          <w:highlight w:val="none"/>
        </w:rPr>
      </w:pPr>
    </w:p>
    <w:p w14:paraId="32243B0B">
      <w:pPr>
        <w:pStyle w:val="13"/>
        <w:rPr>
          <w:rFonts w:hint="eastAsia" w:ascii="宋体" w:hAnsi="宋体"/>
          <w:b/>
          <w:color w:val="auto"/>
          <w:sz w:val="24"/>
          <w:highlight w:val="none"/>
        </w:rPr>
      </w:pPr>
    </w:p>
    <w:p w14:paraId="5D074454">
      <w:pPr>
        <w:pStyle w:val="13"/>
        <w:rPr>
          <w:rFonts w:hint="eastAsia" w:ascii="宋体" w:hAnsi="宋体"/>
          <w:b/>
          <w:color w:val="auto"/>
          <w:sz w:val="24"/>
          <w:highlight w:val="none"/>
        </w:rPr>
      </w:pPr>
    </w:p>
    <w:p w14:paraId="2E373616">
      <w:pPr>
        <w:pStyle w:val="13"/>
        <w:rPr>
          <w:rFonts w:hint="eastAsia" w:ascii="宋体" w:hAnsi="宋体"/>
          <w:b/>
          <w:color w:val="auto"/>
          <w:sz w:val="24"/>
          <w:highlight w:val="none"/>
        </w:rPr>
      </w:pPr>
    </w:p>
    <w:p w14:paraId="4FD5B996">
      <w:pPr>
        <w:pStyle w:val="13"/>
        <w:rPr>
          <w:rFonts w:hint="eastAsia" w:ascii="宋体" w:hAnsi="宋体"/>
          <w:b/>
          <w:color w:val="auto"/>
          <w:sz w:val="24"/>
          <w:highlight w:val="none"/>
        </w:rPr>
      </w:pPr>
    </w:p>
    <w:p w14:paraId="6FC3A97A">
      <w:pPr>
        <w:pStyle w:val="13"/>
        <w:rPr>
          <w:rFonts w:hint="eastAsia" w:ascii="宋体" w:hAnsi="宋体"/>
          <w:b/>
          <w:color w:val="auto"/>
          <w:sz w:val="24"/>
          <w:highlight w:val="none"/>
        </w:rPr>
      </w:pPr>
    </w:p>
    <w:p w14:paraId="2B3A1C1D">
      <w:pPr>
        <w:pStyle w:val="13"/>
        <w:rPr>
          <w:rFonts w:ascii="宋体" w:hAnsi="宋体"/>
          <w:b/>
          <w:color w:val="auto"/>
          <w:sz w:val="28"/>
          <w:szCs w:val="28"/>
          <w:highlight w:val="none"/>
        </w:rPr>
      </w:pPr>
      <w:r>
        <w:rPr>
          <w:rFonts w:hint="eastAsia" w:ascii="宋体" w:hAnsi="宋体"/>
          <w:b/>
          <w:color w:val="auto"/>
          <w:sz w:val="24"/>
          <w:highlight w:val="none"/>
        </w:rPr>
        <w:t>格式七：</w:t>
      </w:r>
    </w:p>
    <w:p w14:paraId="2C1A148F">
      <w:pPr>
        <w:pStyle w:val="24"/>
        <w:spacing w:line="500" w:lineRule="exact"/>
        <w:jc w:val="center"/>
        <w:rPr>
          <w:rFonts w:hAnsi="宋体"/>
          <w:b/>
          <w:color w:val="auto"/>
          <w:sz w:val="28"/>
          <w:szCs w:val="28"/>
          <w:highlight w:val="none"/>
        </w:rPr>
      </w:pPr>
      <w:r>
        <w:rPr>
          <w:rFonts w:hint="eastAsia" w:hAnsi="宋体"/>
          <w:b/>
          <w:color w:val="auto"/>
          <w:sz w:val="28"/>
          <w:szCs w:val="28"/>
          <w:highlight w:val="none"/>
        </w:rPr>
        <w:t xml:space="preserve"> 残疾人福利性单位声明函 </w:t>
      </w:r>
    </w:p>
    <w:p w14:paraId="3CCF7A47">
      <w:pPr>
        <w:pStyle w:val="24"/>
        <w:spacing w:line="500" w:lineRule="exact"/>
        <w:ind w:firstLine="600" w:firstLineChars="250"/>
        <w:rPr>
          <w:rFonts w:hAnsi="宋体"/>
          <w:color w:val="auto"/>
          <w:sz w:val="24"/>
          <w:szCs w:val="24"/>
          <w:highlight w:val="none"/>
        </w:rPr>
      </w:pPr>
    </w:p>
    <w:p w14:paraId="063A9D5A">
      <w:pPr>
        <w:spacing w:line="588" w:lineRule="exact"/>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 民政部 中国残疾人联合会关于促进残疾人就业政府采购政策的通知》（财库</w:t>
      </w:r>
      <w:r>
        <w:rPr>
          <w:rFonts w:hint="eastAsia" w:ascii="宋体" w:hAnsi="宋体"/>
          <w:color w:val="auto"/>
          <w:szCs w:val="21"/>
          <w:highlight w:val="none"/>
        </w:rPr>
        <w:t>〔2017〕 141</w:t>
      </w:r>
      <w:r>
        <w:rPr>
          <w:rFonts w:hint="eastAsia" w:ascii="宋体" w:hAnsi="宋体"/>
          <w:color w:val="auto"/>
          <w:spacing w:val="6"/>
          <w:szCs w:val="21"/>
          <w:highlight w:val="none"/>
        </w:rPr>
        <w:t>号）的规定，本单位为</w:t>
      </w:r>
      <w:r>
        <w:rPr>
          <w:rFonts w:hint="eastAsia" w:ascii="宋体" w:hAnsi="宋体"/>
          <w:color w:val="auto"/>
          <w:spacing w:val="6"/>
          <w:szCs w:val="21"/>
          <w:highlight w:val="none"/>
          <w:u w:val="single"/>
        </w:rPr>
        <w:t>(符合/不符合)</w:t>
      </w:r>
      <w:r>
        <w:rPr>
          <w:rFonts w:hint="eastAsia" w:ascii="宋体" w:hAnsi="宋体"/>
          <w:color w:val="auto"/>
          <w:spacing w:val="6"/>
          <w:szCs w:val="21"/>
          <w:highlight w:val="none"/>
        </w:rPr>
        <w:t>条件的残疾人福利性单位，且本单位参加</w:t>
      </w:r>
      <w:r>
        <w:rPr>
          <w:rFonts w:hint="eastAsia" w:ascii="宋体" w:hAnsi="宋体"/>
          <w:color w:val="auto"/>
          <w:szCs w:val="21"/>
          <w:highlight w:val="none"/>
          <w:u w:val="single"/>
        </w:rPr>
        <w:t xml:space="preserve">  （采购人名称）     </w:t>
      </w:r>
      <w:r>
        <w:rPr>
          <w:rFonts w:hint="eastAsia" w:ascii="宋体" w:hAnsi="宋体"/>
          <w:color w:val="auto"/>
          <w:spacing w:val="6"/>
          <w:szCs w:val="21"/>
          <w:highlight w:val="none"/>
        </w:rPr>
        <w:t>单位的</w:t>
      </w:r>
      <w:r>
        <w:rPr>
          <w:rFonts w:hint="eastAsia" w:ascii="宋体" w:hAnsi="宋体"/>
          <w:color w:val="auto"/>
          <w:szCs w:val="21"/>
          <w:highlight w:val="none"/>
          <w:u w:val="single"/>
        </w:rPr>
        <w:t xml:space="preserve">      （项目名称）         </w:t>
      </w:r>
      <w:r>
        <w:rPr>
          <w:rFonts w:hint="eastAsia" w:ascii="宋体" w:hAnsi="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1FC8D8B8">
      <w:pPr>
        <w:spacing w:line="588" w:lineRule="exact"/>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14:paraId="420F0E4E">
      <w:pPr>
        <w:spacing w:line="588" w:lineRule="exact"/>
        <w:ind w:firstLine="444" w:firstLineChars="200"/>
        <w:rPr>
          <w:rFonts w:ascii="宋体" w:hAnsi="宋体"/>
          <w:color w:val="auto"/>
          <w:spacing w:val="6"/>
          <w:szCs w:val="21"/>
          <w:highlight w:val="none"/>
        </w:rPr>
      </w:pPr>
    </w:p>
    <w:p w14:paraId="7798E425">
      <w:pPr>
        <w:spacing w:line="588" w:lineRule="exact"/>
        <w:ind w:firstLine="444" w:firstLineChars="200"/>
        <w:rPr>
          <w:rFonts w:ascii="宋体" w:hAnsi="宋体"/>
          <w:color w:val="auto"/>
          <w:spacing w:val="6"/>
          <w:szCs w:val="21"/>
          <w:highlight w:val="none"/>
        </w:rPr>
      </w:pPr>
    </w:p>
    <w:p w14:paraId="66B5EB88">
      <w:pPr>
        <w:tabs>
          <w:tab w:val="left" w:pos="4860"/>
        </w:tabs>
        <w:spacing w:line="588" w:lineRule="exact"/>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单位名称（盖章）：</w:t>
      </w:r>
    </w:p>
    <w:p w14:paraId="0B808B13">
      <w:pPr>
        <w:tabs>
          <w:tab w:val="left" w:pos="4860"/>
        </w:tabs>
        <w:spacing w:line="588" w:lineRule="exact"/>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日  期：</w:t>
      </w:r>
    </w:p>
    <w:p w14:paraId="29891D8E">
      <w:pPr>
        <w:pStyle w:val="24"/>
        <w:spacing w:line="500" w:lineRule="exact"/>
        <w:rPr>
          <w:rFonts w:hAnsi="宋体"/>
          <w:b/>
          <w:color w:val="auto"/>
          <w:highlight w:val="none"/>
        </w:rPr>
      </w:pPr>
    </w:p>
    <w:p w14:paraId="5F5A2791">
      <w:pPr>
        <w:pStyle w:val="24"/>
        <w:spacing w:line="500" w:lineRule="exact"/>
        <w:rPr>
          <w:rFonts w:hAnsi="宋体"/>
          <w:b/>
          <w:color w:val="auto"/>
          <w:highlight w:val="none"/>
        </w:rPr>
      </w:pPr>
    </w:p>
    <w:p w14:paraId="360A6B1A">
      <w:pPr>
        <w:pStyle w:val="24"/>
        <w:spacing w:line="500" w:lineRule="exact"/>
        <w:rPr>
          <w:rFonts w:hAnsi="宋体"/>
          <w:b/>
          <w:color w:val="auto"/>
          <w:highlight w:val="none"/>
        </w:rPr>
      </w:pPr>
    </w:p>
    <w:p w14:paraId="41955984">
      <w:pPr>
        <w:pStyle w:val="24"/>
        <w:spacing w:line="500" w:lineRule="exact"/>
        <w:rPr>
          <w:rFonts w:hAnsi="宋体"/>
          <w:b/>
          <w:color w:val="auto"/>
          <w:highlight w:val="none"/>
        </w:rPr>
      </w:pPr>
    </w:p>
    <w:p w14:paraId="03D0A511">
      <w:pPr>
        <w:pStyle w:val="24"/>
        <w:spacing w:line="500" w:lineRule="exact"/>
        <w:rPr>
          <w:rFonts w:hAnsi="宋体"/>
          <w:b/>
          <w:color w:val="auto"/>
          <w:highlight w:val="none"/>
        </w:rPr>
      </w:pPr>
    </w:p>
    <w:p w14:paraId="12543D60">
      <w:pPr>
        <w:pStyle w:val="24"/>
        <w:spacing w:line="500" w:lineRule="exact"/>
        <w:rPr>
          <w:rFonts w:hAnsi="宋体"/>
          <w:b/>
          <w:color w:val="auto"/>
          <w:highlight w:val="none"/>
        </w:rPr>
      </w:pPr>
    </w:p>
    <w:p w14:paraId="4CE3D605">
      <w:pPr>
        <w:pStyle w:val="24"/>
        <w:spacing w:line="500" w:lineRule="exact"/>
        <w:rPr>
          <w:rFonts w:hAnsi="宋体"/>
          <w:b/>
          <w:color w:val="auto"/>
          <w:highlight w:val="none"/>
        </w:rPr>
      </w:pPr>
    </w:p>
    <w:p w14:paraId="5D84F4BE">
      <w:pPr>
        <w:pStyle w:val="24"/>
        <w:spacing w:line="500" w:lineRule="exact"/>
        <w:rPr>
          <w:rFonts w:hAnsi="宋体"/>
          <w:b/>
          <w:color w:val="auto"/>
          <w:highlight w:val="none"/>
        </w:rPr>
      </w:pPr>
    </w:p>
    <w:p w14:paraId="330961EF">
      <w:pPr>
        <w:pStyle w:val="24"/>
        <w:spacing w:line="500" w:lineRule="exact"/>
        <w:rPr>
          <w:rFonts w:hAnsi="宋体"/>
          <w:b/>
          <w:color w:val="auto"/>
          <w:highlight w:val="none"/>
        </w:rPr>
      </w:pPr>
    </w:p>
    <w:p w14:paraId="02F3437A">
      <w:pPr>
        <w:pStyle w:val="24"/>
        <w:spacing w:line="500" w:lineRule="exact"/>
        <w:rPr>
          <w:rFonts w:hAnsi="宋体"/>
          <w:b/>
          <w:color w:val="auto"/>
          <w:highlight w:val="none"/>
        </w:rPr>
      </w:pPr>
    </w:p>
    <w:p w14:paraId="7055862D">
      <w:pPr>
        <w:pStyle w:val="24"/>
        <w:spacing w:line="500" w:lineRule="exact"/>
        <w:rPr>
          <w:rFonts w:hAnsi="宋体"/>
          <w:b/>
          <w:color w:val="auto"/>
          <w:highlight w:val="none"/>
        </w:rPr>
      </w:pPr>
    </w:p>
    <w:p w14:paraId="55A89984">
      <w:pPr>
        <w:pStyle w:val="24"/>
        <w:spacing w:line="500" w:lineRule="exact"/>
        <w:rPr>
          <w:rFonts w:hAnsi="宋体"/>
          <w:b/>
          <w:color w:val="auto"/>
          <w:highlight w:val="none"/>
        </w:rPr>
      </w:pPr>
    </w:p>
    <w:p w14:paraId="7BB1D079">
      <w:pPr>
        <w:pStyle w:val="24"/>
        <w:spacing w:line="500" w:lineRule="exact"/>
        <w:rPr>
          <w:rFonts w:hAnsi="宋体"/>
          <w:b/>
          <w:color w:val="auto"/>
          <w:highlight w:val="none"/>
        </w:rPr>
      </w:pPr>
    </w:p>
    <w:p w14:paraId="7993C6D6">
      <w:pPr>
        <w:spacing w:line="360" w:lineRule="exact"/>
        <w:rPr>
          <w:rFonts w:ascii="宋体" w:hAnsi="宋体" w:cs="宋体"/>
          <w:color w:val="auto"/>
          <w:highlight w:val="none"/>
        </w:rPr>
      </w:pPr>
    </w:p>
    <w:p w14:paraId="24582A24">
      <w:pPr>
        <w:spacing w:line="360" w:lineRule="exact"/>
        <w:rPr>
          <w:rFonts w:ascii="宋体" w:hAnsi="宋体" w:cs="宋体"/>
          <w:color w:val="auto"/>
          <w:highlight w:val="none"/>
        </w:rPr>
      </w:pPr>
      <w:r>
        <w:rPr>
          <w:rFonts w:hint="eastAsia" w:ascii="宋体" w:hAnsi="宋体"/>
          <w:b/>
          <w:color w:val="auto"/>
          <w:sz w:val="24"/>
          <w:highlight w:val="none"/>
        </w:rPr>
        <w:t>格式八：</w:t>
      </w:r>
    </w:p>
    <w:p w14:paraId="5F2958CC">
      <w:pPr>
        <w:adjustRightInd w:val="0"/>
        <w:spacing w:line="300" w:lineRule="auto"/>
        <w:jc w:val="center"/>
        <w:rPr>
          <w:rFonts w:ascii="宋体" w:hAnsi="宋体" w:cs="宋体"/>
          <w:b/>
          <w:color w:val="auto"/>
          <w:sz w:val="24"/>
          <w:highlight w:val="none"/>
        </w:rPr>
      </w:pPr>
      <w:r>
        <w:rPr>
          <w:rFonts w:hint="eastAsia" w:ascii="宋体" w:hAnsi="宋体" w:cs="宋体"/>
          <w:b/>
          <w:color w:val="auto"/>
          <w:sz w:val="24"/>
          <w:highlight w:val="none"/>
        </w:rPr>
        <w:t>（一）项目管理机构配备情况表</w:t>
      </w:r>
    </w:p>
    <w:tbl>
      <w:tblPr>
        <w:tblStyle w:val="45"/>
        <w:tblW w:w="0" w:type="auto"/>
        <w:jc w:val="center"/>
        <w:tblLayout w:type="fixed"/>
        <w:tblCellMar>
          <w:top w:w="0" w:type="dxa"/>
          <w:left w:w="0" w:type="dxa"/>
          <w:bottom w:w="0" w:type="dxa"/>
          <w:right w:w="0" w:type="dxa"/>
        </w:tblCellMar>
      </w:tblPr>
      <w:tblGrid>
        <w:gridCol w:w="2428"/>
        <w:gridCol w:w="1027"/>
        <w:gridCol w:w="857"/>
        <w:gridCol w:w="706"/>
        <w:gridCol w:w="808"/>
        <w:gridCol w:w="850"/>
        <w:gridCol w:w="1339"/>
        <w:gridCol w:w="1164"/>
      </w:tblGrid>
      <w:tr w14:paraId="4DF05A65">
        <w:tblPrEx>
          <w:tblCellMar>
            <w:top w:w="0" w:type="dxa"/>
            <w:left w:w="0" w:type="dxa"/>
            <w:bottom w:w="0" w:type="dxa"/>
            <w:right w:w="0" w:type="dxa"/>
          </w:tblCellMar>
        </w:tblPrEx>
        <w:trPr>
          <w:trHeight w:val="913" w:hRule="exact"/>
          <w:jc w:val="center"/>
        </w:trPr>
        <w:tc>
          <w:tcPr>
            <w:tcW w:w="242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D70CE93">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工作岗位名称</w:t>
            </w:r>
          </w:p>
        </w:tc>
        <w:tc>
          <w:tcPr>
            <w:tcW w:w="1027"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23BF7B0">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姓  名</w:t>
            </w:r>
          </w:p>
        </w:tc>
        <w:tc>
          <w:tcPr>
            <w:tcW w:w="857"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D1067D9">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性别</w:t>
            </w:r>
          </w:p>
        </w:tc>
        <w:tc>
          <w:tcPr>
            <w:tcW w:w="70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68BA46E">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工作职责</w:t>
            </w:r>
          </w:p>
        </w:tc>
        <w:tc>
          <w:tcPr>
            <w:tcW w:w="808"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BE47A16">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职  称</w:t>
            </w:r>
          </w:p>
        </w:tc>
        <w:tc>
          <w:tcPr>
            <w:tcW w:w="85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077C93F">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专  业</w:t>
            </w:r>
          </w:p>
        </w:tc>
        <w:tc>
          <w:tcPr>
            <w:tcW w:w="133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C3B01A0">
            <w:pPr>
              <w:adjustRightInd w:val="0"/>
              <w:spacing w:line="320" w:lineRule="exact"/>
              <w:jc w:val="center"/>
              <w:rPr>
                <w:rFonts w:ascii="宋体" w:hAnsi="宋体" w:cs="宋体"/>
                <w:color w:val="auto"/>
                <w:szCs w:val="21"/>
                <w:highlight w:val="none"/>
              </w:rPr>
            </w:pPr>
            <w:r>
              <w:rPr>
                <w:rFonts w:hint="eastAsia" w:ascii="宋体" w:hAnsi="宋体" w:cs="宋体"/>
                <w:bCs/>
                <w:color w:val="auto"/>
                <w:szCs w:val="21"/>
                <w:highlight w:val="none"/>
              </w:rPr>
              <w:t>相关证书名称及编号</w:t>
            </w:r>
          </w:p>
        </w:tc>
        <w:tc>
          <w:tcPr>
            <w:tcW w:w="11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F5EC7CF">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相关工作年限</w:t>
            </w:r>
          </w:p>
        </w:tc>
      </w:tr>
      <w:tr w14:paraId="0575D1B7">
        <w:tblPrEx>
          <w:tblCellMar>
            <w:top w:w="0" w:type="dxa"/>
            <w:left w:w="0" w:type="dxa"/>
            <w:bottom w:w="0" w:type="dxa"/>
            <w:right w:w="0" w:type="dxa"/>
          </w:tblCellMar>
        </w:tblPrEx>
        <w:trPr>
          <w:trHeight w:val="611" w:hRule="exact"/>
          <w:jc w:val="center"/>
        </w:trPr>
        <w:tc>
          <w:tcPr>
            <w:tcW w:w="2428"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062A0FA">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1、项目经理</w:t>
            </w:r>
          </w:p>
        </w:tc>
        <w:tc>
          <w:tcPr>
            <w:tcW w:w="1027" w:type="dxa"/>
            <w:tcBorders>
              <w:top w:val="nil"/>
              <w:left w:val="nil"/>
              <w:bottom w:val="single" w:color="auto" w:sz="4" w:space="0"/>
              <w:right w:val="single" w:color="auto" w:sz="4" w:space="0"/>
            </w:tcBorders>
            <w:tcMar>
              <w:top w:w="15" w:type="dxa"/>
              <w:left w:w="15" w:type="dxa"/>
              <w:bottom w:w="0" w:type="dxa"/>
              <w:right w:w="15" w:type="dxa"/>
            </w:tcMar>
            <w:vAlign w:val="center"/>
          </w:tcPr>
          <w:p w14:paraId="7D33FAB0">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7" w:type="dxa"/>
            <w:tcBorders>
              <w:top w:val="nil"/>
              <w:left w:val="nil"/>
              <w:bottom w:val="single" w:color="auto" w:sz="4" w:space="0"/>
              <w:right w:val="single" w:color="auto" w:sz="4" w:space="0"/>
            </w:tcBorders>
            <w:tcMar>
              <w:top w:w="15" w:type="dxa"/>
              <w:left w:w="15" w:type="dxa"/>
              <w:bottom w:w="0" w:type="dxa"/>
              <w:right w:w="15" w:type="dxa"/>
            </w:tcMar>
            <w:vAlign w:val="center"/>
          </w:tcPr>
          <w:p w14:paraId="17A6F145">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706" w:type="dxa"/>
            <w:tcBorders>
              <w:top w:val="nil"/>
              <w:left w:val="nil"/>
              <w:bottom w:val="single" w:color="auto" w:sz="4" w:space="0"/>
              <w:right w:val="single" w:color="auto" w:sz="4" w:space="0"/>
            </w:tcBorders>
            <w:tcMar>
              <w:top w:w="15" w:type="dxa"/>
              <w:left w:w="15" w:type="dxa"/>
              <w:bottom w:w="0" w:type="dxa"/>
              <w:right w:w="15" w:type="dxa"/>
            </w:tcMar>
            <w:vAlign w:val="center"/>
          </w:tcPr>
          <w:p w14:paraId="2150F253">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08" w:type="dxa"/>
            <w:tcBorders>
              <w:top w:val="nil"/>
              <w:left w:val="nil"/>
              <w:bottom w:val="single" w:color="auto" w:sz="4" w:space="0"/>
              <w:right w:val="single" w:color="auto" w:sz="4" w:space="0"/>
            </w:tcBorders>
            <w:tcMar>
              <w:top w:w="15" w:type="dxa"/>
              <w:left w:w="15" w:type="dxa"/>
              <w:bottom w:w="0" w:type="dxa"/>
              <w:right w:w="15" w:type="dxa"/>
            </w:tcMar>
            <w:vAlign w:val="center"/>
          </w:tcPr>
          <w:p w14:paraId="518D33AB">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51A4C0B6">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339" w:type="dxa"/>
            <w:tcBorders>
              <w:top w:val="nil"/>
              <w:left w:val="nil"/>
              <w:bottom w:val="single" w:color="auto" w:sz="4" w:space="0"/>
              <w:right w:val="single" w:color="auto" w:sz="4" w:space="0"/>
            </w:tcBorders>
            <w:tcMar>
              <w:top w:w="15" w:type="dxa"/>
              <w:left w:w="15" w:type="dxa"/>
              <w:bottom w:w="0" w:type="dxa"/>
              <w:right w:w="15" w:type="dxa"/>
            </w:tcMar>
            <w:vAlign w:val="center"/>
          </w:tcPr>
          <w:p w14:paraId="0F0BCED8">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164" w:type="dxa"/>
            <w:tcBorders>
              <w:top w:val="nil"/>
              <w:left w:val="nil"/>
              <w:bottom w:val="single" w:color="auto" w:sz="4" w:space="0"/>
              <w:right w:val="single" w:color="auto" w:sz="4" w:space="0"/>
            </w:tcBorders>
            <w:tcMar>
              <w:top w:w="15" w:type="dxa"/>
              <w:left w:w="15" w:type="dxa"/>
              <w:bottom w:w="0" w:type="dxa"/>
              <w:right w:w="15" w:type="dxa"/>
            </w:tcMar>
            <w:vAlign w:val="center"/>
          </w:tcPr>
          <w:p w14:paraId="3C5A7660">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r>
      <w:tr w14:paraId="47BD69EB">
        <w:tblPrEx>
          <w:tblCellMar>
            <w:top w:w="0" w:type="dxa"/>
            <w:left w:w="0" w:type="dxa"/>
            <w:bottom w:w="0" w:type="dxa"/>
            <w:right w:w="0" w:type="dxa"/>
          </w:tblCellMar>
        </w:tblPrEx>
        <w:trPr>
          <w:trHeight w:val="898" w:hRule="exact"/>
          <w:jc w:val="center"/>
        </w:trPr>
        <w:tc>
          <w:tcPr>
            <w:tcW w:w="2428"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BA09D10">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2、项目总工</w:t>
            </w:r>
          </w:p>
          <w:p w14:paraId="7706E2F2">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（技术负责人）</w:t>
            </w:r>
          </w:p>
        </w:tc>
        <w:tc>
          <w:tcPr>
            <w:tcW w:w="1027" w:type="dxa"/>
            <w:tcBorders>
              <w:top w:val="nil"/>
              <w:left w:val="nil"/>
              <w:bottom w:val="single" w:color="auto" w:sz="4" w:space="0"/>
              <w:right w:val="single" w:color="auto" w:sz="4" w:space="0"/>
            </w:tcBorders>
            <w:tcMar>
              <w:top w:w="15" w:type="dxa"/>
              <w:left w:w="15" w:type="dxa"/>
              <w:bottom w:w="0" w:type="dxa"/>
              <w:right w:w="15" w:type="dxa"/>
            </w:tcMar>
            <w:vAlign w:val="center"/>
          </w:tcPr>
          <w:p w14:paraId="114DB5D8">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7" w:type="dxa"/>
            <w:tcBorders>
              <w:top w:val="nil"/>
              <w:left w:val="nil"/>
              <w:bottom w:val="single" w:color="auto" w:sz="4" w:space="0"/>
              <w:right w:val="single" w:color="auto" w:sz="4" w:space="0"/>
            </w:tcBorders>
            <w:tcMar>
              <w:top w:w="15" w:type="dxa"/>
              <w:left w:w="15" w:type="dxa"/>
              <w:bottom w:w="0" w:type="dxa"/>
              <w:right w:w="15" w:type="dxa"/>
            </w:tcMar>
            <w:vAlign w:val="center"/>
          </w:tcPr>
          <w:p w14:paraId="59633AD3">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706" w:type="dxa"/>
            <w:tcBorders>
              <w:top w:val="nil"/>
              <w:left w:val="nil"/>
              <w:bottom w:val="single" w:color="auto" w:sz="4" w:space="0"/>
              <w:right w:val="single" w:color="auto" w:sz="4" w:space="0"/>
            </w:tcBorders>
            <w:tcMar>
              <w:top w:w="15" w:type="dxa"/>
              <w:left w:w="15" w:type="dxa"/>
              <w:bottom w:w="0" w:type="dxa"/>
              <w:right w:w="15" w:type="dxa"/>
            </w:tcMar>
            <w:vAlign w:val="center"/>
          </w:tcPr>
          <w:p w14:paraId="23D2C71F">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08" w:type="dxa"/>
            <w:tcBorders>
              <w:top w:val="nil"/>
              <w:left w:val="nil"/>
              <w:bottom w:val="single" w:color="auto" w:sz="4" w:space="0"/>
              <w:right w:val="single" w:color="auto" w:sz="4" w:space="0"/>
            </w:tcBorders>
            <w:tcMar>
              <w:top w:w="15" w:type="dxa"/>
              <w:left w:w="15" w:type="dxa"/>
              <w:bottom w:w="0" w:type="dxa"/>
              <w:right w:w="15" w:type="dxa"/>
            </w:tcMar>
            <w:vAlign w:val="center"/>
          </w:tcPr>
          <w:p w14:paraId="59DB34C7">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5BDAD6B6">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339" w:type="dxa"/>
            <w:tcBorders>
              <w:top w:val="nil"/>
              <w:left w:val="nil"/>
              <w:bottom w:val="single" w:color="auto" w:sz="4" w:space="0"/>
              <w:right w:val="single" w:color="auto" w:sz="4" w:space="0"/>
            </w:tcBorders>
            <w:tcMar>
              <w:top w:w="15" w:type="dxa"/>
              <w:left w:w="15" w:type="dxa"/>
              <w:bottom w:w="0" w:type="dxa"/>
              <w:right w:w="15" w:type="dxa"/>
            </w:tcMar>
            <w:vAlign w:val="center"/>
          </w:tcPr>
          <w:p w14:paraId="3E9453D7">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164" w:type="dxa"/>
            <w:tcBorders>
              <w:top w:val="nil"/>
              <w:left w:val="nil"/>
              <w:bottom w:val="single" w:color="auto" w:sz="4" w:space="0"/>
              <w:right w:val="single" w:color="auto" w:sz="4" w:space="0"/>
            </w:tcBorders>
            <w:tcMar>
              <w:top w:w="15" w:type="dxa"/>
              <w:left w:w="15" w:type="dxa"/>
              <w:bottom w:w="0" w:type="dxa"/>
              <w:right w:w="15" w:type="dxa"/>
            </w:tcMar>
            <w:vAlign w:val="center"/>
          </w:tcPr>
          <w:p w14:paraId="29AE1789">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r>
      <w:tr w14:paraId="7261C4EC">
        <w:tblPrEx>
          <w:tblCellMar>
            <w:top w:w="0" w:type="dxa"/>
            <w:left w:w="0" w:type="dxa"/>
            <w:bottom w:w="0" w:type="dxa"/>
            <w:right w:w="0" w:type="dxa"/>
          </w:tblCellMar>
        </w:tblPrEx>
        <w:trPr>
          <w:trHeight w:val="611" w:hRule="exact"/>
          <w:jc w:val="center"/>
        </w:trPr>
        <w:tc>
          <w:tcPr>
            <w:tcW w:w="2428"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7083D0E4">
            <w:pPr>
              <w:adjustRightInd w:val="0"/>
              <w:spacing w:line="320" w:lineRule="exact"/>
              <w:jc w:val="center"/>
              <w:rPr>
                <w:rFonts w:ascii="宋体" w:hAnsi="宋体" w:cs="宋体"/>
                <w:color w:val="auto"/>
                <w:szCs w:val="21"/>
                <w:highlight w:val="none"/>
              </w:rPr>
            </w:pPr>
          </w:p>
        </w:tc>
        <w:tc>
          <w:tcPr>
            <w:tcW w:w="1027" w:type="dxa"/>
            <w:tcBorders>
              <w:top w:val="nil"/>
              <w:left w:val="nil"/>
              <w:bottom w:val="single" w:color="auto" w:sz="4" w:space="0"/>
              <w:right w:val="single" w:color="auto" w:sz="4" w:space="0"/>
            </w:tcBorders>
            <w:tcMar>
              <w:top w:w="15" w:type="dxa"/>
              <w:left w:w="15" w:type="dxa"/>
              <w:bottom w:w="0" w:type="dxa"/>
              <w:right w:w="15" w:type="dxa"/>
            </w:tcMar>
            <w:vAlign w:val="center"/>
          </w:tcPr>
          <w:p w14:paraId="21F7B403">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7" w:type="dxa"/>
            <w:tcBorders>
              <w:top w:val="nil"/>
              <w:left w:val="nil"/>
              <w:bottom w:val="single" w:color="auto" w:sz="4" w:space="0"/>
              <w:right w:val="single" w:color="auto" w:sz="4" w:space="0"/>
            </w:tcBorders>
            <w:tcMar>
              <w:top w:w="15" w:type="dxa"/>
              <w:left w:w="15" w:type="dxa"/>
              <w:bottom w:w="0" w:type="dxa"/>
              <w:right w:w="15" w:type="dxa"/>
            </w:tcMar>
            <w:vAlign w:val="center"/>
          </w:tcPr>
          <w:p w14:paraId="46929AAE">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706" w:type="dxa"/>
            <w:tcBorders>
              <w:top w:val="nil"/>
              <w:left w:val="nil"/>
              <w:bottom w:val="single" w:color="auto" w:sz="4" w:space="0"/>
              <w:right w:val="single" w:color="auto" w:sz="4" w:space="0"/>
            </w:tcBorders>
            <w:tcMar>
              <w:top w:w="15" w:type="dxa"/>
              <w:left w:w="15" w:type="dxa"/>
              <w:bottom w:w="0" w:type="dxa"/>
              <w:right w:w="15" w:type="dxa"/>
            </w:tcMar>
            <w:vAlign w:val="center"/>
          </w:tcPr>
          <w:p w14:paraId="29B86758">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08" w:type="dxa"/>
            <w:tcBorders>
              <w:top w:val="nil"/>
              <w:left w:val="nil"/>
              <w:bottom w:val="single" w:color="auto" w:sz="4" w:space="0"/>
              <w:right w:val="single" w:color="auto" w:sz="4" w:space="0"/>
            </w:tcBorders>
            <w:tcMar>
              <w:top w:w="15" w:type="dxa"/>
              <w:left w:w="15" w:type="dxa"/>
              <w:bottom w:w="0" w:type="dxa"/>
              <w:right w:w="15" w:type="dxa"/>
            </w:tcMar>
            <w:vAlign w:val="center"/>
          </w:tcPr>
          <w:p w14:paraId="45CFC12F">
            <w:pPr>
              <w:pStyle w:val="172"/>
              <w:widowControl w:val="0"/>
              <w:overflowPunct/>
              <w:autoSpaceDE/>
              <w:autoSpaceDN/>
              <w:spacing w:before="0" w:line="320" w:lineRule="exact"/>
              <w:textAlignment w:val="auto"/>
              <w:rPr>
                <w:rFonts w:ascii="宋体" w:hAnsi="宋体" w:cs="宋体"/>
                <w:color w:val="auto"/>
                <w:kern w:val="2"/>
                <w:sz w:val="21"/>
                <w:szCs w:val="21"/>
                <w:highlight w:val="none"/>
              </w:rPr>
            </w:pPr>
            <w:r>
              <w:rPr>
                <w:rFonts w:hint="eastAsia" w:ascii="宋体" w:hAnsi="宋体" w:cs="宋体"/>
                <w:color w:val="auto"/>
                <w:kern w:val="2"/>
                <w:sz w:val="21"/>
                <w:szCs w:val="21"/>
                <w:highlight w:val="none"/>
              </w:rPr>
              <w:t>　</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0E21B3EA">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339" w:type="dxa"/>
            <w:tcBorders>
              <w:top w:val="nil"/>
              <w:left w:val="nil"/>
              <w:bottom w:val="single" w:color="auto" w:sz="4" w:space="0"/>
              <w:right w:val="single" w:color="auto" w:sz="4" w:space="0"/>
            </w:tcBorders>
            <w:tcMar>
              <w:top w:w="15" w:type="dxa"/>
              <w:left w:w="15" w:type="dxa"/>
              <w:bottom w:w="0" w:type="dxa"/>
              <w:right w:w="15" w:type="dxa"/>
            </w:tcMar>
            <w:vAlign w:val="center"/>
          </w:tcPr>
          <w:p w14:paraId="262B3909">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164" w:type="dxa"/>
            <w:tcBorders>
              <w:top w:val="nil"/>
              <w:left w:val="nil"/>
              <w:bottom w:val="single" w:color="auto" w:sz="4" w:space="0"/>
              <w:right w:val="single" w:color="auto" w:sz="4" w:space="0"/>
            </w:tcBorders>
            <w:tcMar>
              <w:top w:w="15" w:type="dxa"/>
              <w:left w:w="15" w:type="dxa"/>
              <w:bottom w:w="0" w:type="dxa"/>
              <w:right w:w="15" w:type="dxa"/>
            </w:tcMar>
            <w:vAlign w:val="center"/>
          </w:tcPr>
          <w:p w14:paraId="232E82CE">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r>
      <w:tr w14:paraId="4B80FB96">
        <w:tblPrEx>
          <w:tblCellMar>
            <w:top w:w="0" w:type="dxa"/>
            <w:left w:w="0" w:type="dxa"/>
            <w:bottom w:w="0" w:type="dxa"/>
            <w:right w:w="0" w:type="dxa"/>
          </w:tblCellMar>
        </w:tblPrEx>
        <w:trPr>
          <w:trHeight w:val="611" w:hRule="exact"/>
          <w:jc w:val="center"/>
        </w:trPr>
        <w:tc>
          <w:tcPr>
            <w:tcW w:w="2428"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47E2314F">
            <w:pPr>
              <w:adjustRightInd w:val="0"/>
              <w:spacing w:line="320" w:lineRule="exact"/>
              <w:jc w:val="center"/>
              <w:rPr>
                <w:rFonts w:ascii="宋体" w:hAnsi="宋体" w:cs="宋体"/>
                <w:color w:val="auto"/>
                <w:szCs w:val="21"/>
                <w:highlight w:val="none"/>
              </w:rPr>
            </w:pPr>
          </w:p>
        </w:tc>
        <w:tc>
          <w:tcPr>
            <w:tcW w:w="1027" w:type="dxa"/>
            <w:tcBorders>
              <w:top w:val="nil"/>
              <w:left w:val="nil"/>
              <w:bottom w:val="single" w:color="auto" w:sz="4" w:space="0"/>
              <w:right w:val="single" w:color="auto" w:sz="4" w:space="0"/>
            </w:tcBorders>
            <w:tcMar>
              <w:top w:w="15" w:type="dxa"/>
              <w:left w:w="15" w:type="dxa"/>
              <w:bottom w:w="0" w:type="dxa"/>
              <w:right w:w="15" w:type="dxa"/>
            </w:tcMar>
            <w:vAlign w:val="center"/>
          </w:tcPr>
          <w:p w14:paraId="59396046">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7" w:type="dxa"/>
            <w:tcBorders>
              <w:top w:val="nil"/>
              <w:left w:val="nil"/>
              <w:bottom w:val="single" w:color="auto" w:sz="4" w:space="0"/>
              <w:right w:val="single" w:color="auto" w:sz="4" w:space="0"/>
            </w:tcBorders>
            <w:tcMar>
              <w:top w:w="15" w:type="dxa"/>
              <w:left w:w="15" w:type="dxa"/>
              <w:bottom w:w="0" w:type="dxa"/>
              <w:right w:w="15" w:type="dxa"/>
            </w:tcMar>
            <w:vAlign w:val="center"/>
          </w:tcPr>
          <w:p w14:paraId="7C28FC54">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706" w:type="dxa"/>
            <w:tcBorders>
              <w:top w:val="nil"/>
              <w:left w:val="nil"/>
              <w:bottom w:val="single" w:color="auto" w:sz="4" w:space="0"/>
              <w:right w:val="single" w:color="auto" w:sz="4" w:space="0"/>
            </w:tcBorders>
            <w:tcMar>
              <w:top w:w="15" w:type="dxa"/>
              <w:left w:w="15" w:type="dxa"/>
              <w:bottom w:w="0" w:type="dxa"/>
              <w:right w:w="15" w:type="dxa"/>
            </w:tcMar>
            <w:vAlign w:val="center"/>
          </w:tcPr>
          <w:p w14:paraId="0DDD28CD">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08" w:type="dxa"/>
            <w:tcBorders>
              <w:top w:val="nil"/>
              <w:left w:val="nil"/>
              <w:bottom w:val="single" w:color="auto" w:sz="4" w:space="0"/>
              <w:right w:val="single" w:color="auto" w:sz="4" w:space="0"/>
            </w:tcBorders>
            <w:tcMar>
              <w:top w:w="15" w:type="dxa"/>
              <w:left w:w="15" w:type="dxa"/>
              <w:bottom w:w="0" w:type="dxa"/>
              <w:right w:w="15" w:type="dxa"/>
            </w:tcMar>
            <w:vAlign w:val="center"/>
          </w:tcPr>
          <w:p w14:paraId="2C7B5E45">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77E5FCA7">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339" w:type="dxa"/>
            <w:tcBorders>
              <w:top w:val="nil"/>
              <w:left w:val="nil"/>
              <w:bottom w:val="single" w:color="auto" w:sz="4" w:space="0"/>
              <w:right w:val="single" w:color="auto" w:sz="4" w:space="0"/>
            </w:tcBorders>
            <w:tcMar>
              <w:top w:w="15" w:type="dxa"/>
              <w:left w:w="15" w:type="dxa"/>
              <w:bottom w:w="0" w:type="dxa"/>
              <w:right w:w="15" w:type="dxa"/>
            </w:tcMar>
            <w:vAlign w:val="center"/>
          </w:tcPr>
          <w:p w14:paraId="2926B9A3">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164" w:type="dxa"/>
            <w:tcBorders>
              <w:top w:val="nil"/>
              <w:left w:val="nil"/>
              <w:bottom w:val="single" w:color="auto" w:sz="4" w:space="0"/>
              <w:right w:val="single" w:color="auto" w:sz="4" w:space="0"/>
            </w:tcBorders>
            <w:tcMar>
              <w:top w:w="15" w:type="dxa"/>
              <w:left w:w="15" w:type="dxa"/>
              <w:bottom w:w="0" w:type="dxa"/>
              <w:right w:w="15" w:type="dxa"/>
            </w:tcMar>
            <w:vAlign w:val="center"/>
          </w:tcPr>
          <w:p w14:paraId="0D659139">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r>
      <w:tr w14:paraId="011A5BA9">
        <w:tblPrEx>
          <w:tblCellMar>
            <w:top w:w="0" w:type="dxa"/>
            <w:left w:w="0" w:type="dxa"/>
            <w:bottom w:w="0" w:type="dxa"/>
            <w:right w:w="0" w:type="dxa"/>
          </w:tblCellMar>
        </w:tblPrEx>
        <w:trPr>
          <w:trHeight w:val="611" w:hRule="exact"/>
          <w:jc w:val="center"/>
        </w:trPr>
        <w:tc>
          <w:tcPr>
            <w:tcW w:w="2428"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BB87471">
            <w:pPr>
              <w:adjustRightInd w:val="0"/>
              <w:spacing w:line="320" w:lineRule="exact"/>
              <w:jc w:val="center"/>
              <w:rPr>
                <w:rFonts w:ascii="宋体" w:hAnsi="宋体" w:cs="宋体"/>
                <w:color w:val="auto"/>
                <w:szCs w:val="21"/>
                <w:highlight w:val="none"/>
              </w:rPr>
            </w:pPr>
          </w:p>
        </w:tc>
        <w:tc>
          <w:tcPr>
            <w:tcW w:w="1027" w:type="dxa"/>
            <w:tcBorders>
              <w:top w:val="nil"/>
              <w:left w:val="nil"/>
              <w:bottom w:val="single" w:color="auto" w:sz="4" w:space="0"/>
              <w:right w:val="single" w:color="auto" w:sz="4" w:space="0"/>
            </w:tcBorders>
            <w:tcMar>
              <w:top w:w="15" w:type="dxa"/>
              <w:left w:w="15" w:type="dxa"/>
              <w:bottom w:w="0" w:type="dxa"/>
              <w:right w:w="15" w:type="dxa"/>
            </w:tcMar>
            <w:vAlign w:val="center"/>
          </w:tcPr>
          <w:p w14:paraId="50C4C9BC">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7" w:type="dxa"/>
            <w:tcBorders>
              <w:top w:val="nil"/>
              <w:left w:val="nil"/>
              <w:bottom w:val="single" w:color="auto" w:sz="4" w:space="0"/>
              <w:right w:val="single" w:color="auto" w:sz="4" w:space="0"/>
            </w:tcBorders>
            <w:tcMar>
              <w:top w:w="15" w:type="dxa"/>
              <w:left w:w="15" w:type="dxa"/>
              <w:bottom w:w="0" w:type="dxa"/>
              <w:right w:w="15" w:type="dxa"/>
            </w:tcMar>
            <w:vAlign w:val="center"/>
          </w:tcPr>
          <w:p w14:paraId="2508DBD9">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706" w:type="dxa"/>
            <w:tcBorders>
              <w:top w:val="nil"/>
              <w:left w:val="nil"/>
              <w:bottom w:val="single" w:color="auto" w:sz="4" w:space="0"/>
              <w:right w:val="single" w:color="auto" w:sz="4" w:space="0"/>
            </w:tcBorders>
            <w:tcMar>
              <w:top w:w="15" w:type="dxa"/>
              <w:left w:w="15" w:type="dxa"/>
              <w:bottom w:w="0" w:type="dxa"/>
              <w:right w:w="15" w:type="dxa"/>
            </w:tcMar>
            <w:vAlign w:val="center"/>
          </w:tcPr>
          <w:p w14:paraId="02473C6C">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08" w:type="dxa"/>
            <w:tcBorders>
              <w:top w:val="nil"/>
              <w:left w:val="nil"/>
              <w:bottom w:val="single" w:color="auto" w:sz="4" w:space="0"/>
              <w:right w:val="single" w:color="auto" w:sz="4" w:space="0"/>
            </w:tcBorders>
            <w:tcMar>
              <w:top w:w="15" w:type="dxa"/>
              <w:left w:w="15" w:type="dxa"/>
              <w:bottom w:w="0" w:type="dxa"/>
              <w:right w:w="15" w:type="dxa"/>
            </w:tcMar>
            <w:vAlign w:val="center"/>
          </w:tcPr>
          <w:p w14:paraId="6254F067">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48562E1F">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339" w:type="dxa"/>
            <w:tcBorders>
              <w:top w:val="nil"/>
              <w:left w:val="nil"/>
              <w:bottom w:val="single" w:color="auto" w:sz="4" w:space="0"/>
              <w:right w:val="single" w:color="auto" w:sz="4" w:space="0"/>
            </w:tcBorders>
            <w:tcMar>
              <w:top w:w="15" w:type="dxa"/>
              <w:left w:w="15" w:type="dxa"/>
              <w:bottom w:w="0" w:type="dxa"/>
              <w:right w:w="15" w:type="dxa"/>
            </w:tcMar>
            <w:vAlign w:val="center"/>
          </w:tcPr>
          <w:p w14:paraId="1841817F">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164" w:type="dxa"/>
            <w:tcBorders>
              <w:top w:val="nil"/>
              <w:left w:val="nil"/>
              <w:bottom w:val="single" w:color="auto" w:sz="4" w:space="0"/>
              <w:right w:val="single" w:color="auto" w:sz="4" w:space="0"/>
            </w:tcBorders>
            <w:tcMar>
              <w:top w:w="15" w:type="dxa"/>
              <w:left w:w="15" w:type="dxa"/>
              <w:bottom w:w="0" w:type="dxa"/>
              <w:right w:w="15" w:type="dxa"/>
            </w:tcMar>
            <w:vAlign w:val="center"/>
          </w:tcPr>
          <w:p w14:paraId="5863849F">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r>
      <w:tr w14:paraId="2FE92E2D">
        <w:tblPrEx>
          <w:tblCellMar>
            <w:top w:w="0" w:type="dxa"/>
            <w:left w:w="0" w:type="dxa"/>
            <w:bottom w:w="0" w:type="dxa"/>
            <w:right w:w="0" w:type="dxa"/>
          </w:tblCellMar>
        </w:tblPrEx>
        <w:trPr>
          <w:trHeight w:val="611" w:hRule="exact"/>
          <w:jc w:val="center"/>
        </w:trPr>
        <w:tc>
          <w:tcPr>
            <w:tcW w:w="2428"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71AFBEE9">
            <w:pPr>
              <w:adjustRightInd w:val="0"/>
              <w:spacing w:line="320" w:lineRule="exact"/>
              <w:jc w:val="center"/>
              <w:rPr>
                <w:rFonts w:ascii="宋体" w:hAnsi="宋体" w:cs="宋体"/>
                <w:color w:val="auto"/>
                <w:szCs w:val="21"/>
                <w:highlight w:val="none"/>
              </w:rPr>
            </w:pPr>
          </w:p>
        </w:tc>
        <w:tc>
          <w:tcPr>
            <w:tcW w:w="1027" w:type="dxa"/>
            <w:tcBorders>
              <w:top w:val="nil"/>
              <w:left w:val="nil"/>
              <w:bottom w:val="single" w:color="auto" w:sz="4" w:space="0"/>
              <w:right w:val="single" w:color="auto" w:sz="4" w:space="0"/>
            </w:tcBorders>
            <w:tcMar>
              <w:top w:w="15" w:type="dxa"/>
              <w:left w:w="15" w:type="dxa"/>
              <w:bottom w:w="0" w:type="dxa"/>
              <w:right w:w="15" w:type="dxa"/>
            </w:tcMar>
            <w:vAlign w:val="center"/>
          </w:tcPr>
          <w:p w14:paraId="45B8CFF9">
            <w:pPr>
              <w:adjustRightInd w:val="0"/>
              <w:spacing w:line="320" w:lineRule="exact"/>
              <w:rPr>
                <w:rFonts w:ascii="宋体" w:hAnsi="宋体" w:cs="宋体"/>
                <w:color w:val="auto"/>
                <w:szCs w:val="21"/>
                <w:highlight w:val="none"/>
              </w:rPr>
            </w:pPr>
          </w:p>
        </w:tc>
        <w:tc>
          <w:tcPr>
            <w:tcW w:w="857" w:type="dxa"/>
            <w:tcBorders>
              <w:top w:val="nil"/>
              <w:left w:val="nil"/>
              <w:bottom w:val="single" w:color="auto" w:sz="4" w:space="0"/>
              <w:right w:val="single" w:color="auto" w:sz="4" w:space="0"/>
            </w:tcBorders>
            <w:tcMar>
              <w:top w:w="15" w:type="dxa"/>
              <w:left w:w="15" w:type="dxa"/>
              <w:bottom w:w="0" w:type="dxa"/>
              <w:right w:w="15" w:type="dxa"/>
            </w:tcMar>
            <w:vAlign w:val="center"/>
          </w:tcPr>
          <w:p w14:paraId="0BEC430C">
            <w:pPr>
              <w:adjustRightInd w:val="0"/>
              <w:spacing w:line="320" w:lineRule="exact"/>
              <w:rPr>
                <w:rFonts w:ascii="宋体" w:hAnsi="宋体" w:cs="宋体"/>
                <w:color w:val="auto"/>
                <w:szCs w:val="21"/>
                <w:highlight w:val="none"/>
              </w:rPr>
            </w:pPr>
          </w:p>
        </w:tc>
        <w:tc>
          <w:tcPr>
            <w:tcW w:w="706" w:type="dxa"/>
            <w:tcBorders>
              <w:top w:val="nil"/>
              <w:left w:val="nil"/>
              <w:bottom w:val="single" w:color="auto" w:sz="4" w:space="0"/>
              <w:right w:val="single" w:color="auto" w:sz="4" w:space="0"/>
            </w:tcBorders>
            <w:tcMar>
              <w:top w:w="15" w:type="dxa"/>
              <w:left w:w="15" w:type="dxa"/>
              <w:bottom w:w="0" w:type="dxa"/>
              <w:right w:w="15" w:type="dxa"/>
            </w:tcMar>
            <w:vAlign w:val="center"/>
          </w:tcPr>
          <w:p w14:paraId="7AA46782">
            <w:pPr>
              <w:adjustRightInd w:val="0"/>
              <w:spacing w:line="320" w:lineRule="exact"/>
              <w:rPr>
                <w:rFonts w:ascii="宋体" w:hAnsi="宋体" w:cs="宋体"/>
                <w:color w:val="auto"/>
                <w:szCs w:val="21"/>
                <w:highlight w:val="none"/>
              </w:rPr>
            </w:pPr>
          </w:p>
        </w:tc>
        <w:tc>
          <w:tcPr>
            <w:tcW w:w="808" w:type="dxa"/>
            <w:tcBorders>
              <w:top w:val="nil"/>
              <w:left w:val="nil"/>
              <w:bottom w:val="single" w:color="auto" w:sz="4" w:space="0"/>
              <w:right w:val="single" w:color="auto" w:sz="4" w:space="0"/>
            </w:tcBorders>
            <w:tcMar>
              <w:top w:w="15" w:type="dxa"/>
              <w:left w:w="15" w:type="dxa"/>
              <w:bottom w:w="0" w:type="dxa"/>
              <w:right w:w="15" w:type="dxa"/>
            </w:tcMar>
            <w:vAlign w:val="center"/>
          </w:tcPr>
          <w:p w14:paraId="3E403A9C">
            <w:pPr>
              <w:adjustRightInd w:val="0"/>
              <w:spacing w:line="320" w:lineRule="exact"/>
              <w:rPr>
                <w:rFonts w:ascii="宋体" w:hAnsi="宋体" w:cs="宋体"/>
                <w:color w:val="auto"/>
                <w:szCs w:val="21"/>
                <w:highlight w:val="none"/>
              </w:rPr>
            </w:pP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066DAFF5">
            <w:pPr>
              <w:adjustRightInd w:val="0"/>
              <w:spacing w:line="320" w:lineRule="exact"/>
              <w:rPr>
                <w:rFonts w:ascii="宋体" w:hAnsi="宋体" w:cs="宋体"/>
                <w:color w:val="auto"/>
                <w:szCs w:val="21"/>
                <w:highlight w:val="none"/>
              </w:rPr>
            </w:pPr>
          </w:p>
        </w:tc>
        <w:tc>
          <w:tcPr>
            <w:tcW w:w="1339" w:type="dxa"/>
            <w:tcBorders>
              <w:top w:val="nil"/>
              <w:left w:val="nil"/>
              <w:bottom w:val="single" w:color="auto" w:sz="4" w:space="0"/>
              <w:right w:val="single" w:color="auto" w:sz="4" w:space="0"/>
            </w:tcBorders>
            <w:tcMar>
              <w:top w:w="15" w:type="dxa"/>
              <w:left w:w="15" w:type="dxa"/>
              <w:bottom w:w="0" w:type="dxa"/>
              <w:right w:w="15" w:type="dxa"/>
            </w:tcMar>
            <w:vAlign w:val="center"/>
          </w:tcPr>
          <w:p w14:paraId="06E3716F">
            <w:pPr>
              <w:adjustRightInd w:val="0"/>
              <w:spacing w:line="320" w:lineRule="exact"/>
              <w:rPr>
                <w:rFonts w:ascii="宋体" w:hAnsi="宋体" w:cs="宋体"/>
                <w:color w:val="auto"/>
                <w:szCs w:val="21"/>
                <w:highlight w:val="none"/>
              </w:rPr>
            </w:pPr>
          </w:p>
        </w:tc>
        <w:tc>
          <w:tcPr>
            <w:tcW w:w="1164" w:type="dxa"/>
            <w:tcBorders>
              <w:top w:val="nil"/>
              <w:left w:val="nil"/>
              <w:bottom w:val="single" w:color="auto" w:sz="4" w:space="0"/>
              <w:right w:val="single" w:color="auto" w:sz="4" w:space="0"/>
            </w:tcBorders>
            <w:tcMar>
              <w:top w:w="15" w:type="dxa"/>
              <w:left w:w="15" w:type="dxa"/>
              <w:bottom w:w="0" w:type="dxa"/>
              <w:right w:w="15" w:type="dxa"/>
            </w:tcMar>
            <w:vAlign w:val="center"/>
          </w:tcPr>
          <w:p w14:paraId="3CD59E49">
            <w:pPr>
              <w:adjustRightInd w:val="0"/>
              <w:spacing w:line="320" w:lineRule="exact"/>
              <w:rPr>
                <w:rFonts w:ascii="宋体" w:hAnsi="宋体" w:cs="宋体"/>
                <w:color w:val="auto"/>
                <w:szCs w:val="21"/>
                <w:highlight w:val="none"/>
              </w:rPr>
            </w:pPr>
          </w:p>
        </w:tc>
      </w:tr>
      <w:tr w14:paraId="18CCBD4C">
        <w:tblPrEx>
          <w:tblCellMar>
            <w:top w:w="0" w:type="dxa"/>
            <w:left w:w="0" w:type="dxa"/>
            <w:bottom w:w="0" w:type="dxa"/>
            <w:right w:w="0" w:type="dxa"/>
          </w:tblCellMar>
        </w:tblPrEx>
        <w:trPr>
          <w:trHeight w:val="611" w:hRule="exact"/>
          <w:jc w:val="center"/>
        </w:trPr>
        <w:tc>
          <w:tcPr>
            <w:tcW w:w="2428"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EFB3E26">
            <w:pPr>
              <w:adjustRightIn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w:t>
            </w:r>
          </w:p>
        </w:tc>
        <w:tc>
          <w:tcPr>
            <w:tcW w:w="1027" w:type="dxa"/>
            <w:tcBorders>
              <w:top w:val="nil"/>
              <w:left w:val="nil"/>
              <w:bottom w:val="single" w:color="auto" w:sz="4" w:space="0"/>
              <w:right w:val="single" w:color="auto" w:sz="4" w:space="0"/>
            </w:tcBorders>
            <w:tcMar>
              <w:top w:w="15" w:type="dxa"/>
              <w:left w:w="15" w:type="dxa"/>
              <w:bottom w:w="0" w:type="dxa"/>
              <w:right w:w="15" w:type="dxa"/>
            </w:tcMar>
            <w:vAlign w:val="center"/>
          </w:tcPr>
          <w:p w14:paraId="56C4FE5B">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7" w:type="dxa"/>
            <w:tcBorders>
              <w:top w:val="nil"/>
              <w:left w:val="nil"/>
              <w:bottom w:val="single" w:color="auto" w:sz="4" w:space="0"/>
              <w:right w:val="single" w:color="auto" w:sz="4" w:space="0"/>
            </w:tcBorders>
            <w:tcMar>
              <w:top w:w="15" w:type="dxa"/>
              <w:left w:w="15" w:type="dxa"/>
              <w:bottom w:w="0" w:type="dxa"/>
              <w:right w:w="15" w:type="dxa"/>
            </w:tcMar>
            <w:vAlign w:val="center"/>
          </w:tcPr>
          <w:p w14:paraId="784014C2">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706" w:type="dxa"/>
            <w:tcBorders>
              <w:top w:val="nil"/>
              <w:left w:val="nil"/>
              <w:bottom w:val="single" w:color="auto" w:sz="4" w:space="0"/>
              <w:right w:val="single" w:color="auto" w:sz="4" w:space="0"/>
            </w:tcBorders>
            <w:tcMar>
              <w:top w:w="15" w:type="dxa"/>
              <w:left w:w="15" w:type="dxa"/>
              <w:bottom w:w="0" w:type="dxa"/>
              <w:right w:w="15" w:type="dxa"/>
            </w:tcMar>
            <w:vAlign w:val="center"/>
          </w:tcPr>
          <w:p w14:paraId="26C271D5">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08" w:type="dxa"/>
            <w:tcBorders>
              <w:top w:val="nil"/>
              <w:left w:val="nil"/>
              <w:bottom w:val="single" w:color="auto" w:sz="4" w:space="0"/>
              <w:right w:val="single" w:color="auto" w:sz="4" w:space="0"/>
            </w:tcBorders>
            <w:tcMar>
              <w:top w:w="15" w:type="dxa"/>
              <w:left w:w="15" w:type="dxa"/>
              <w:bottom w:w="0" w:type="dxa"/>
              <w:right w:w="15" w:type="dxa"/>
            </w:tcMar>
            <w:vAlign w:val="center"/>
          </w:tcPr>
          <w:p w14:paraId="2505B63A">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1962CC3F">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339" w:type="dxa"/>
            <w:tcBorders>
              <w:top w:val="nil"/>
              <w:left w:val="nil"/>
              <w:bottom w:val="single" w:color="auto" w:sz="4" w:space="0"/>
              <w:right w:val="single" w:color="auto" w:sz="4" w:space="0"/>
            </w:tcBorders>
            <w:tcMar>
              <w:top w:w="15" w:type="dxa"/>
              <w:left w:w="15" w:type="dxa"/>
              <w:bottom w:w="0" w:type="dxa"/>
              <w:right w:w="15" w:type="dxa"/>
            </w:tcMar>
            <w:vAlign w:val="center"/>
          </w:tcPr>
          <w:p w14:paraId="71E6E2C2">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c>
          <w:tcPr>
            <w:tcW w:w="1164" w:type="dxa"/>
            <w:tcBorders>
              <w:top w:val="nil"/>
              <w:left w:val="nil"/>
              <w:bottom w:val="single" w:color="auto" w:sz="4" w:space="0"/>
              <w:right w:val="single" w:color="auto" w:sz="4" w:space="0"/>
            </w:tcBorders>
            <w:tcMar>
              <w:top w:w="15" w:type="dxa"/>
              <w:left w:w="15" w:type="dxa"/>
              <w:bottom w:w="0" w:type="dxa"/>
              <w:right w:w="15" w:type="dxa"/>
            </w:tcMar>
            <w:vAlign w:val="center"/>
          </w:tcPr>
          <w:p w14:paraId="551F1BA0">
            <w:pPr>
              <w:adjustRightInd w:val="0"/>
              <w:spacing w:line="320" w:lineRule="exact"/>
              <w:rPr>
                <w:rFonts w:ascii="宋体" w:hAnsi="宋体" w:cs="宋体"/>
                <w:color w:val="auto"/>
                <w:szCs w:val="21"/>
                <w:highlight w:val="none"/>
              </w:rPr>
            </w:pPr>
            <w:r>
              <w:rPr>
                <w:rFonts w:hint="eastAsia" w:ascii="宋体" w:hAnsi="宋体" w:cs="宋体"/>
                <w:color w:val="auto"/>
                <w:szCs w:val="21"/>
                <w:highlight w:val="none"/>
              </w:rPr>
              <w:t>　</w:t>
            </w:r>
          </w:p>
        </w:tc>
      </w:tr>
    </w:tbl>
    <w:p w14:paraId="270FE96B">
      <w:pPr>
        <w:pStyle w:val="24"/>
        <w:ind w:firstLine="2835" w:firstLineChars="1350"/>
        <w:rPr>
          <w:rFonts w:hAnsi="宋体"/>
          <w:color w:val="auto"/>
          <w:szCs w:val="21"/>
          <w:highlight w:val="none"/>
        </w:rPr>
      </w:pPr>
    </w:p>
    <w:p w14:paraId="11D3DCFB">
      <w:pPr>
        <w:pStyle w:val="24"/>
        <w:ind w:firstLine="3990" w:firstLineChars="1900"/>
        <w:rPr>
          <w:rFonts w:hAnsi="宋体"/>
          <w:color w:val="auto"/>
          <w:szCs w:val="21"/>
          <w:highlight w:val="none"/>
        </w:rPr>
      </w:pPr>
      <w:r>
        <w:rPr>
          <w:rFonts w:hint="eastAsia" w:hAnsi="宋体"/>
          <w:color w:val="auto"/>
          <w:szCs w:val="21"/>
          <w:highlight w:val="none"/>
        </w:rPr>
        <w:t>法定代表人或委托代理人签字：</w:t>
      </w:r>
      <w:r>
        <w:rPr>
          <w:rFonts w:hint="eastAsia" w:hAnsi="宋体"/>
          <w:color w:val="auto"/>
          <w:szCs w:val="21"/>
          <w:highlight w:val="none"/>
          <w:u w:val="single"/>
        </w:rPr>
        <w:t>　　　　　　　　　　</w:t>
      </w:r>
    </w:p>
    <w:p w14:paraId="72A382AF">
      <w:pPr>
        <w:pStyle w:val="24"/>
        <w:ind w:firstLine="210" w:firstLineChars="100"/>
        <w:rPr>
          <w:rFonts w:hAnsi="宋体"/>
          <w:color w:val="auto"/>
          <w:szCs w:val="21"/>
          <w:highlight w:val="none"/>
        </w:rPr>
      </w:pPr>
    </w:p>
    <w:p w14:paraId="2FA58886">
      <w:pPr>
        <w:pStyle w:val="24"/>
        <w:ind w:firstLine="3990" w:firstLineChars="1900"/>
        <w:rPr>
          <w:rFonts w:hAnsi="宋体"/>
          <w:color w:val="auto"/>
          <w:szCs w:val="21"/>
          <w:highlight w:val="none"/>
          <w:u w:val="single"/>
        </w:rPr>
      </w:pPr>
      <w:r>
        <w:rPr>
          <w:rFonts w:hint="eastAsia" w:hAnsi="宋体"/>
          <w:color w:val="auto"/>
          <w:szCs w:val="21"/>
          <w:highlight w:val="none"/>
        </w:rPr>
        <w:t>供应商（公章)：</w:t>
      </w:r>
      <w:r>
        <w:rPr>
          <w:rFonts w:hint="eastAsia" w:hAnsi="宋体"/>
          <w:color w:val="auto"/>
          <w:szCs w:val="21"/>
          <w:highlight w:val="none"/>
          <w:u w:val="single"/>
        </w:rPr>
        <w:t xml:space="preserve">　　　　　　　　　　             </w:t>
      </w:r>
    </w:p>
    <w:p w14:paraId="05A6CF0D">
      <w:pPr>
        <w:pStyle w:val="24"/>
        <w:ind w:firstLine="210" w:firstLineChars="100"/>
        <w:rPr>
          <w:rFonts w:hAnsi="宋体"/>
          <w:color w:val="auto"/>
          <w:szCs w:val="21"/>
          <w:highlight w:val="none"/>
        </w:rPr>
      </w:pPr>
    </w:p>
    <w:p w14:paraId="2D948DA7">
      <w:pPr>
        <w:pStyle w:val="24"/>
        <w:ind w:firstLine="4095" w:firstLineChars="1950"/>
        <w:rPr>
          <w:rFonts w:hAnsi="宋体"/>
          <w:color w:val="auto"/>
          <w:szCs w:val="21"/>
          <w:highlight w:val="none"/>
        </w:rPr>
      </w:pPr>
      <w:r>
        <w:rPr>
          <w:rFonts w:hint="eastAsia" w:hAnsi="宋体"/>
          <w:color w:val="auto"/>
          <w:szCs w:val="21"/>
          <w:highlight w:val="none"/>
        </w:rPr>
        <w:t>日　期：</w:t>
      </w:r>
      <w:r>
        <w:rPr>
          <w:rFonts w:hint="eastAsia" w:hAnsi="宋体"/>
          <w:color w:val="auto"/>
          <w:szCs w:val="21"/>
          <w:highlight w:val="none"/>
          <w:u w:val="single"/>
        </w:rPr>
        <w:t xml:space="preserve">　　　　　　　　　　　　　　            </w:t>
      </w:r>
    </w:p>
    <w:p w14:paraId="054A22CF">
      <w:pPr>
        <w:spacing w:line="360" w:lineRule="auto"/>
        <w:rPr>
          <w:rFonts w:ascii="宋体" w:hAnsi="宋体" w:cs="宋体"/>
          <w:color w:val="auto"/>
          <w:szCs w:val="21"/>
          <w:highlight w:val="none"/>
        </w:rPr>
      </w:pPr>
    </w:p>
    <w:p w14:paraId="6DCAAEE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注：本表应附拟投入人员的身份证、岗位证（如有）、职称证（如有）、资格证书（如有）等证明材料，及供应商单位为拟投入人员所缴纳社保费的缴费证明复印件（</w:t>
      </w:r>
      <w:r>
        <w:rPr>
          <w:rFonts w:hint="eastAsia" w:ascii="宋体" w:hAnsi="宋体" w:cs="宋体"/>
          <w:color w:val="auto"/>
          <w:szCs w:val="21"/>
          <w:highlight w:val="none"/>
        </w:rPr>
        <w:t>要求缴费时间为磋商截止时间前半年内任意</w:t>
      </w:r>
      <w:r>
        <w:rPr>
          <w:rFonts w:hint="eastAsia" w:ascii="宋体" w:hAnsi="宋体" w:cs="宋体"/>
          <w:color w:val="auto"/>
          <w:szCs w:val="21"/>
          <w:highlight w:val="none"/>
          <w:lang w:eastAsia="zh-CN"/>
        </w:rPr>
        <w:t>一</w:t>
      </w:r>
      <w:r>
        <w:rPr>
          <w:rFonts w:hint="eastAsia" w:ascii="宋体" w:hAnsi="宋体" w:cs="宋体"/>
          <w:color w:val="auto"/>
          <w:szCs w:val="21"/>
          <w:highlight w:val="none"/>
        </w:rPr>
        <w:t>个月</w:t>
      </w:r>
      <w:r>
        <w:rPr>
          <w:rFonts w:hint="eastAsia" w:ascii="宋体" w:hAnsi="宋体" w:cs="宋体"/>
          <w:color w:val="auto"/>
          <w:szCs w:val="21"/>
          <w:highlight w:val="none"/>
        </w:rPr>
        <w:t>）</w:t>
      </w:r>
      <w:r>
        <w:rPr>
          <w:rFonts w:hint="eastAsia" w:ascii="宋体" w:hAnsi="宋体" w:cs="宋体"/>
          <w:color w:val="auto"/>
          <w:szCs w:val="21"/>
          <w:highlight w:val="none"/>
        </w:rPr>
        <w:t>。</w:t>
      </w:r>
    </w:p>
    <w:p w14:paraId="7848E684">
      <w:pPr>
        <w:pStyle w:val="24"/>
        <w:rPr>
          <w:rFonts w:hAnsi="宋体"/>
          <w:b/>
          <w:color w:val="auto"/>
          <w:sz w:val="24"/>
          <w:szCs w:val="24"/>
          <w:highlight w:val="none"/>
        </w:rPr>
      </w:pPr>
    </w:p>
    <w:p w14:paraId="45B933D9">
      <w:pPr>
        <w:pStyle w:val="24"/>
        <w:rPr>
          <w:rFonts w:hAnsi="宋体"/>
          <w:b/>
          <w:color w:val="auto"/>
          <w:sz w:val="24"/>
          <w:szCs w:val="24"/>
          <w:highlight w:val="none"/>
        </w:rPr>
      </w:pPr>
    </w:p>
    <w:p w14:paraId="14F00C96">
      <w:pPr>
        <w:pStyle w:val="24"/>
        <w:rPr>
          <w:rFonts w:hAnsi="宋体" w:cs="宋体"/>
          <w:color w:val="auto"/>
          <w:highlight w:val="none"/>
        </w:rPr>
      </w:pPr>
      <w:r>
        <w:rPr>
          <w:rFonts w:hAnsi="宋体"/>
          <w:b/>
          <w:color w:val="auto"/>
          <w:sz w:val="24"/>
          <w:szCs w:val="24"/>
          <w:highlight w:val="none"/>
        </w:rPr>
        <w:br w:type="page"/>
      </w:r>
      <w:r>
        <w:rPr>
          <w:rFonts w:hint="eastAsia" w:hAnsi="宋体"/>
          <w:b/>
          <w:color w:val="auto"/>
          <w:sz w:val="24"/>
          <w:highlight w:val="none"/>
        </w:rPr>
        <w:t>格式九：</w:t>
      </w:r>
    </w:p>
    <w:p w14:paraId="2A9F737E">
      <w:pPr>
        <w:jc w:val="center"/>
        <w:rPr>
          <w:rFonts w:ascii="宋体" w:hAnsi="宋体" w:cs="宋体"/>
          <w:b/>
          <w:color w:val="auto"/>
          <w:sz w:val="24"/>
          <w:highlight w:val="none"/>
        </w:rPr>
      </w:pPr>
    </w:p>
    <w:p w14:paraId="5F0F9DD2">
      <w:pPr>
        <w:jc w:val="center"/>
        <w:rPr>
          <w:rFonts w:ascii="宋体" w:hAnsi="宋体" w:cs="宋体"/>
          <w:b/>
          <w:color w:val="auto"/>
          <w:sz w:val="24"/>
          <w:highlight w:val="none"/>
        </w:rPr>
      </w:pPr>
      <w:r>
        <w:rPr>
          <w:rFonts w:hint="eastAsia" w:ascii="宋体" w:hAnsi="宋体" w:cs="宋体"/>
          <w:b/>
          <w:color w:val="auto"/>
          <w:sz w:val="24"/>
          <w:highlight w:val="none"/>
        </w:rPr>
        <w:t xml:space="preserve">拟投入本工程项目经理的简历表  </w:t>
      </w:r>
    </w:p>
    <w:p w14:paraId="139BD9C1">
      <w:pPr>
        <w:jc w:val="center"/>
        <w:rPr>
          <w:rFonts w:ascii="宋体" w:hAnsi="宋体" w:cs="宋体"/>
          <w:b/>
          <w:color w:val="auto"/>
          <w:sz w:val="24"/>
          <w:highlight w:val="none"/>
        </w:rPr>
      </w:pPr>
    </w:p>
    <w:tbl>
      <w:tblPr>
        <w:tblStyle w:val="4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291"/>
        <w:gridCol w:w="1103"/>
        <w:gridCol w:w="885"/>
        <w:gridCol w:w="214"/>
        <w:gridCol w:w="736"/>
        <w:gridCol w:w="1222"/>
        <w:gridCol w:w="1942"/>
        <w:gridCol w:w="1223"/>
      </w:tblGrid>
      <w:tr w14:paraId="59A3B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291" w:type="dxa"/>
            <w:tcBorders>
              <w:top w:val="single" w:color="auto" w:sz="6" w:space="0"/>
              <w:left w:val="single" w:color="auto" w:sz="6" w:space="0"/>
              <w:bottom w:val="single" w:color="auto" w:sz="6" w:space="0"/>
              <w:right w:val="single" w:color="auto" w:sz="6" w:space="0"/>
            </w:tcBorders>
            <w:vAlign w:val="center"/>
          </w:tcPr>
          <w:p w14:paraId="2DB87D41">
            <w:pPr>
              <w:adjustRightInd w:val="0"/>
              <w:jc w:val="center"/>
              <w:rPr>
                <w:rFonts w:ascii="宋体" w:hAnsi="宋体" w:cs="宋体"/>
                <w:color w:val="auto"/>
                <w:szCs w:val="21"/>
                <w:highlight w:val="none"/>
              </w:rPr>
            </w:pPr>
            <w:r>
              <w:rPr>
                <w:rFonts w:hint="eastAsia" w:ascii="宋体" w:hAnsi="宋体" w:cs="宋体"/>
                <w:color w:val="auto"/>
                <w:szCs w:val="21"/>
                <w:highlight w:val="none"/>
              </w:rPr>
              <w:t>姓  名</w:t>
            </w:r>
          </w:p>
        </w:tc>
        <w:tc>
          <w:tcPr>
            <w:tcW w:w="1103" w:type="dxa"/>
            <w:tcBorders>
              <w:top w:val="single" w:color="auto" w:sz="6" w:space="0"/>
              <w:left w:val="single" w:color="auto" w:sz="6" w:space="0"/>
              <w:bottom w:val="single" w:color="auto" w:sz="6" w:space="0"/>
              <w:right w:val="single" w:color="auto" w:sz="6" w:space="0"/>
            </w:tcBorders>
            <w:vAlign w:val="center"/>
          </w:tcPr>
          <w:p w14:paraId="7A855698">
            <w:pPr>
              <w:adjustRightInd w:val="0"/>
              <w:jc w:val="center"/>
              <w:rPr>
                <w:rFonts w:ascii="宋体" w:hAnsi="宋体" w:cs="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404322B2">
            <w:pPr>
              <w:adjustRightInd w:val="0"/>
              <w:jc w:val="center"/>
              <w:rPr>
                <w:rFonts w:ascii="宋体" w:hAnsi="宋体" w:cs="宋体"/>
                <w:color w:val="auto"/>
                <w:szCs w:val="21"/>
                <w:highlight w:val="none"/>
              </w:rPr>
            </w:pPr>
            <w:r>
              <w:rPr>
                <w:rFonts w:hint="eastAsia" w:ascii="宋体" w:hAnsi="宋体" w:cs="宋体"/>
                <w:color w:val="auto"/>
                <w:szCs w:val="21"/>
                <w:highlight w:val="none"/>
              </w:rPr>
              <w:t>性  别</w:t>
            </w:r>
          </w:p>
        </w:tc>
        <w:tc>
          <w:tcPr>
            <w:tcW w:w="950" w:type="dxa"/>
            <w:gridSpan w:val="2"/>
            <w:tcBorders>
              <w:top w:val="single" w:color="auto" w:sz="6" w:space="0"/>
              <w:left w:val="single" w:color="auto" w:sz="6" w:space="0"/>
              <w:bottom w:val="single" w:color="auto" w:sz="6" w:space="0"/>
              <w:right w:val="single" w:color="auto" w:sz="6" w:space="0"/>
            </w:tcBorders>
            <w:vAlign w:val="center"/>
          </w:tcPr>
          <w:p w14:paraId="50FDC2D6">
            <w:pPr>
              <w:adjustRightInd w:val="0"/>
              <w:jc w:val="center"/>
              <w:rPr>
                <w:rFonts w:ascii="宋体" w:hAnsi="宋体" w:cs="宋体"/>
                <w:color w:val="auto"/>
                <w:szCs w:val="21"/>
                <w:highlight w:val="none"/>
              </w:rPr>
            </w:pPr>
          </w:p>
        </w:tc>
        <w:tc>
          <w:tcPr>
            <w:tcW w:w="1222" w:type="dxa"/>
            <w:tcBorders>
              <w:top w:val="single" w:color="auto" w:sz="6" w:space="0"/>
              <w:left w:val="single" w:color="auto" w:sz="6" w:space="0"/>
              <w:bottom w:val="single" w:color="auto" w:sz="6" w:space="0"/>
              <w:right w:val="single" w:color="auto" w:sz="6" w:space="0"/>
            </w:tcBorders>
            <w:vAlign w:val="center"/>
          </w:tcPr>
          <w:p w14:paraId="66E0530D">
            <w:pPr>
              <w:adjustRightInd w:val="0"/>
              <w:jc w:val="center"/>
              <w:rPr>
                <w:rFonts w:ascii="宋体" w:hAnsi="宋体" w:cs="宋体"/>
                <w:color w:val="auto"/>
                <w:szCs w:val="21"/>
                <w:highlight w:val="none"/>
              </w:rPr>
            </w:pPr>
            <w:r>
              <w:rPr>
                <w:rFonts w:hint="eastAsia" w:ascii="宋体" w:hAnsi="宋体" w:cs="宋体"/>
                <w:color w:val="auto"/>
                <w:szCs w:val="21"/>
                <w:highlight w:val="none"/>
              </w:rPr>
              <w:t>年  龄</w:t>
            </w:r>
          </w:p>
        </w:tc>
        <w:tc>
          <w:tcPr>
            <w:tcW w:w="3165" w:type="dxa"/>
            <w:gridSpan w:val="2"/>
            <w:tcBorders>
              <w:top w:val="single" w:color="auto" w:sz="6" w:space="0"/>
              <w:left w:val="single" w:color="auto" w:sz="6" w:space="0"/>
              <w:bottom w:val="single" w:color="auto" w:sz="6" w:space="0"/>
              <w:right w:val="single" w:color="auto" w:sz="6" w:space="0"/>
            </w:tcBorders>
            <w:vAlign w:val="center"/>
          </w:tcPr>
          <w:p w14:paraId="2F97D84B">
            <w:pPr>
              <w:adjustRightInd w:val="0"/>
              <w:jc w:val="center"/>
              <w:rPr>
                <w:rFonts w:ascii="宋体" w:hAnsi="宋体" w:cs="宋体"/>
                <w:color w:val="auto"/>
                <w:szCs w:val="21"/>
                <w:highlight w:val="none"/>
              </w:rPr>
            </w:pPr>
          </w:p>
        </w:tc>
      </w:tr>
      <w:tr w14:paraId="02F90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78" w:hRule="atLeast"/>
          <w:jc w:val="center"/>
        </w:trPr>
        <w:tc>
          <w:tcPr>
            <w:tcW w:w="1291" w:type="dxa"/>
            <w:tcBorders>
              <w:top w:val="single" w:color="auto" w:sz="6" w:space="0"/>
              <w:left w:val="single" w:color="auto" w:sz="6" w:space="0"/>
              <w:bottom w:val="single" w:color="auto" w:sz="6" w:space="0"/>
              <w:right w:val="single" w:color="auto" w:sz="6" w:space="0"/>
            </w:tcBorders>
            <w:vAlign w:val="center"/>
          </w:tcPr>
          <w:p w14:paraId="1DA62A82">
            <w:pPr>
              <w:adjustRightInd w:val="0"/>
              <w:jc w:val="center"/>
              <w:rPr>
                <w:rFonts w:ascii="宋体" w:hAnsi="宋体" w:cs="宋体"/>
                <w:color w:val="auto"/>
                <w:szCs w:val="21"/>
                <w:highlight w:val="none"/>
              </w:rPr>
            </w:pPr>
            <w:r>
              <w:rPr>
                <w:rFonts w:hint="eastAsia" w:ascii="宋体" w:hAnsi="宋体" w:cs="宋体"/>
                <w:color w:val="auto"/>
                <w:szCs w:val="21"/>
                <w:highlight w:val="none"/>
              </w:rPr>
              <w:t>职  务</w:t>
            </w:r>
          </w:p>
        </w:tc>
        <w:tc>
          <w:tcPr>
            <w:tcW w:w="1103" w:type="dxa"/>
            <w:tcBorders>
              <w:top w:val="single" w:color="auto" w:sz="6" w:space="0"/>
              <w:left w:val="single" w:color="auto" w:sz="6" w:space="0"/>
              <w:bottom w:val="single" w:color="auto" w:sz="6" w:space="0"/>
              <w:right w:val="single" w:color="auto" w:sz="6" w:space="0"/>
            </w:tcBorders>
            <w:vAlign w:val="center"/>
          </w:tcPr>
          <w:p w14:paraId="1BBEE209">
            <w:pPr>
              <w:adjustRightInd w:val="0"/>
              <w:jc w:val="center"/>
              <w:rPr>
                <w:rFonts w:ascii="宋体" w:hAnsi="宋体" w:cs="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68FC4738">
            <w:pPr>
              <w:adjustRightInd w:val="0"/>
              <w:jc w:val="center"/>
              <w:rPr>
                <w:rFonts w:ascii="宋体" w:hAnsi="宋体" w:cs="宋体"/>
                <w:color w:val="auto"/>
                <w:szCs w:val="21"/>
                <w:highlight w:val="none"/>
              </w:rPr>
            </w:pPr>
            <w:r>
              <w:rPr>
                <w:rFonts w:hint="eastAsia" w:ascii="宋体" w:hAnsi="宋体" w:cs="宋体"/>
                <w:color w:val="auto"/>
                <w:szCs w:val="21"/>
                <w:highlight w:val="none"/>
              </w:rPr>
              <w:t>职  称</w:t>
            </w:r>
          </w:p>
        </w:tc>
        <w:tc>
          <w:tcPr>
            <w:tcW w:w="950" w:type="dxa"/>
            <w:gridSpan w:val="2"/>
            <w:tcBorders>
              <w:top w:val="single" w:color="auto" w:sz="6" w:space="0"/>
              <w:left w:val="single" w:color="auto" w:sz="6" w:space="0"/>
              <w:bottom w:val="single" w:color="auto" w:sz="6" w:space="0"/>
              <w:right w:val="single" w:color="auto" w:sz="6" w:space="0"/>
            </w:tcBorders>
            <w:vAlign w:val="center"/>
          </w:tcPr>
          <w:p w14:paraId="29DC7DBD">
            <w:pPr>
              <w:adjustRightInd w:val="0"/>
              <w:jc w:val="center"/>
              <w:rPr>
                <w:rFonts w:ascii="宋体" w:hAnsi="宋体" w:cs="宋体"/>
                <w:color w:val="auto"/>
                <w:szCs w:val="21"/>
                <w:highlight w:val="none"/>
              </w:rPr>
            </w:pPr>
          </w:p>
        </w:tc>
        <w:tc>
          <w:tcPr>
            <w:tcW w:w="1222" w:type="dxa"/>
            <w:tcBorders>
              <w:top w:val="single" w:color="auto" w:sz="6" w:space="0"/>
              <w:left w:val="single" w:color="auto" w:sz="6" w:space="0"/>
              <w:bottom w:val="single" w:color="auto" w:sz="6" w:space="0"/>
              <w:right w:val="single" w:color="auto" w:sz="6" w:space="0"/>
            </w:tcBorders>
            <w:vAlign w:val="center"/>
          </w:tcPr>
          <w:p w14:paraId="5D1F2792">
            <w:pPr>
              <w:adjustRightInd w:val="0"/>
              <w:jc w:val="center"/>
              <w:rPr>
                <w:rFonts w:ascii="宋体" w:hAnsi="宋体" w:cs="宋体"/>
                <w:color w:val="auto"/>
                <w:szCs w:val="21"/>
                <w:highlight w:val="none"/>
              </w:rPr>
            </w:pPr>
            <w:r>
              <w:rPr>
                <w:rFonts w:hint="eastAsia" w:ascii="宋体" w:hAnsi="宋体" w:cs="宋体"/>
                <w:color w:val="auto"/>
                <w:szCs w:val="21"/>
                <w:highlight w:val="none"/>
              </w:rPr>
              <w:t>学  历</w:t>
            </w:r>
          </w:p>
        </w:tc>
        <w:tc>
          <w:tcPr>
            <w:tcW w:w="3165" w:type="dxa"/>
            <w:gridSpan w:val="2"/>
            <w:tcBorders>
              <w:top w:val="single" w:color="auto" w:sz="6" w:space="0"/>
              <w:left w:val="single" w:color="auto" w:sz="6" w:space="0"/>
              <w:bottom w:val="single" w:color="auto" w:sz="6" w:space="0"/>
              <w:right w:val="single" w:color="auto" w:sz="6" w:space="0"/>
            </w:tcBorders>
            <w:vAlign w:val="center"/>
          </w:tcPr>
          <w:p w14:paraId="671BA59B">
            <w:pPr>
              <w:adjustRightInd w:val="0"/>
              <w:jc w:val="center"/>
              <w:rPr>
                <w:rFonts w:ascii="宋体" w:hAnsi="宋体" w:cs="宋体"/>
                <w:color w:val="auto"/>
                <w:szCs w:val="21"/>
                <w:highlight w:val="none"/>
              </w:rPr>
            </w:pPr>
          </w:p>
        </w:tc>
      </w:tr>
      <w:tr w14:paraId="66901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9" w:hRule="atLeast"/>
          <w:jc w:val="center"/>
        </w:trPr>
        <w:tc>
          <w:tcPr>
            <w:tcW w:w="2394" w:type="dxa"/>
            <w:gridSpan w:val="2"/>
            <w:tcBorders>
              <w:top w:val="single" w:color="auto" w:sz="6" w:space="0"/>
              <w:left w:val="single" w:color="auto" w:sz="6" w:space="0"/>
              <w:bottom w:val="single" w:color="auto" w:sz="6" w:space="0"/>
              <w:right w:val="single" w:color="auto" w:sz="6" w:space="0"/>
            </w:tcBorders>
            <w:vAlign w:val="center"/>
          </w:tcPr>
          <w:p w14:paraId="3975F8DA">
            <w:pPr>
              <w:adjustRightInd w:val="0"/>
              <w:jc w:val="center"/>
              <w:rPr>
                <w:rFonts w:ascii="宋体" w:hAnsi="宋体" w:cs="宋体"/>
                <w:color w:val="auto"/>
                <w:szCs w:val="21"/>
                <w:highlight w:val="none"/>
              </w:rPr>
            </w:pPr>
            <w:r>
              <w:rPr>
                <w:rFonts w:hint="eastAsia" w:ascii="宋体" w:hAnsi="宋体" w:cs="宋体"/>
                <w:color w:val="auto"/>
                <w:szCs w:val="21"/>
                <w:highlight w:val="none"/>
              </w:rPr>
              <w:t>执业或职业资格证书名称及编号</w:t>
            </w:r>
          </w:p>
        </w:tc>
        <w:tc>
          <w:tcPr>
            <w:tcW w:w="1835" w:type="dxa"/>
            <w:gridSpan w:val="3"/>
            <w:tcBorders>
              <w:top w:val="single" w:color="auto" w:sz="6" w:space="0"/>
              <w:left w:val="single" w:color="auto" w:sz="6" w:space="0"/>
              <w:bottom w:val="single" w:color="auto" w:sz="6" w:space="0"/>
              <w:right w:val="single" w:color="auto" w:sz="4" w:space="0"/>
            </w:tcBorders>
            <w:vAlign w:val="center"/>
          </w:tcPr>
          <w:p w14:paraId="32D1F378">
            <w:pPr>
              <w:adjustRightInd w:val="0"/>
              <w:jc w:val="center"/>
              <w:rPr>
                <w:rFonts w:ascii="宋体" w:hAnsi="宋体" w:cs="宋体"/>
                <w:color w:val="auto"/>
                <w:szCs w:val="21"/>
                <w:highlight w:val="none"/>
              </w:rPr>
            </w:pPr>
          </w:p>
        </w:tc>
        <w:tc>
          <w:tcPr>
            <w:tcW w:w="1222" w:type="dxa"/>
            <w:tcBorders>
              <w:top w:val="single" w:color="auto" w:sz="6" w:space="0"/>
              <w:left w:val="single" w:color="auto" w:sz="4" w:space="0"/>
              <w:bottom w:val="single" w:color="auto" w:sz="6" w:space="0"/>
              <w:right w:val="single" w:color="auto" w:sz="6" w:space="0"/>
            </w:tcBorders>
            <w:vAlign w:val="center"/>
          </w:tcPr>
          <w:p w14:paraId="3E16B11C">
            <w:pPr>
              <w:adjustRightInd w:val="0"/>
              <w:jc w:val="center"/>
              <w:rPr>
                <w:rFonts w:ascii="宋体" w:hAnsi="宋体" w:cs="宋体"/>
                <w:color w:val="auto"/>
                <w:szCs w:val="21"/>
                <w:highlight w:val="none"/>
              </w:rPr>
            </w:pPr>
            <w:r>
              <w:rPr>
                <w:rFonts w:hint="eastAsia" w:ascii="宋体" w:hAnsi="宋体" w:cs="宋体"/>
                <w:color w:val="auto"/>
                <w:szCs w:val="21"/>
                <w:highlight w:val="none"/>
              </w:rPr>
              <w:t>拟在本合同任职</w:t>
            </w:r>
          </w:p>
        </w:tc>
        <w:tc>
          <w:tcPr>
            <w:tcW w:w="3165" w:type="dxa"/>
            <w:gridSpan w:val="2"/>
            <w:tcBorders>
              <w:top w:val="single" w:color="auto" w:sz="6" w:space="0"/>
              <w:left w:val="single" w:color="auto" w:sz="6" w:space="0"/>
              <w:bottom w:val="single" w:color="auto" w:sz="6" w:space="0"/>
              <w:right w:val="single" w:color="auto" w:sz="6" w:space="0"/>
            </w:tcBorders>
            <w:vAlign w:val="center"/>
          </w:tcPr>
          <w:p w14:paraId="2549F120">
            <w:pPr>
              <w:adjustRightInd w:val="0"/>
              <w:jc w:val="center"/>
              <w:rPr>
                <w:rFonts w:ascii="宋体" w:hAnsi="宋体" w:cs="宋体"/>
                <w:color w:val="auto"/>
                <w:szCs w:val="21"/>
                <w:highlight w:val="none"/>
              </w:rPr>
            </w:pPr>
          </w:p>
        </w:tc>
      </w:tr>
      <w:tr w14:paraId="74200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9" w:hRule="atLeast"/>
          <w:jc w:val="center"/>
        </w:trPr>
        <w:tc>
          <w:tcPr>
            <w:tcW w:w="2394" w:type="dxa"/>
            <w:gridSpan w:val="2"/>
            <w:tcBorders>
              <w:top w:val="single" w:color="auto" w:sz="6" w:space="0"/>
              <w:left w:val="single" w:color="auto" w:sz="6" w:space="0"/>
              <w:bottom w:val="single" w:color="auto" w:sz="6" w:space="0"/>
              <w:right w:val="single" w:color="auto" w:sz="4" w:space="0"/>
            </w:tcBorders>
            <w:vAlign w:val="center"/>
          </w:tcPr>
          <w:p w14:paraId="5618EEFC">
            <w:pPr>
              <w:adjustRightInd w:val="0"/>
              <w:jc w:val="center"/>
              <w:rPr>
                <w:rFonts w:ascii="宋体" w:hAnsi="宋体" w:cs="宋体"/>
                <w:color w:val="auto"/>
                <w:szCs w:val="21"/>
                <w:highlight w:val="none"/>
              </w:rPr>
            </w:pPr>
            <w:r>
              <w:rPr>
                <w:rFonts w:hint="eastAsia" w:ascii="宋体" w:hAnsi="宋体" w:cs="宋体"/>
                <w:color w:val="auto"/>
                <w:szCs w:val="21"/>
                <w:highlight w:val="none"/>
              </w:rPr>
              <w:t>安全生产考核合格证书</w:t>
            </w:r>
          </w:p>
        </w:tc>
        <w:tc>
          <w:tcPr>
            <w:tcW w:w="1835" w:type="dxa"/>
            <w:gridSpan w:val="3"/>
            <w:tcBorders>
              <w:top w:val="single" w:color="auto" w:sz="6" w:space="0"/>
              <w:left w:val="single" w:color="auto" w:sz="4" w:space="0"/>
              <w:bottom w:val="single" w:color="auto" w:sz="6" w:space="0"/>
              <w:right w:val="single" w:color="auto" w:sz="4" w:space="0"/>
            </w:tcBorders>
            <w:vAlign w:val="center"/>
          </w:tcPr>
          <w:p w14:paraId="0214E727">
            <w:pPr>
              <w:adjustRightInd w:val="0"/>
              <w:jc w:val="center"/>
              <w:rPr>
                <w:rFonts w:ascii="宋体" w:hAnsi="宋体" w:cs="宋体"/>
                <w:color w:val="auto"/>
                <w:szCs w:val="21"/>
                <w:highlight w:val="none"/>
              </w:rPr>
            </w:pPr>
          </w:p>
        </w:tc>
        <w:tc>
          <w:tcPr>
            <w:tcW w:w="1222" w:type="dxa"/>
            <w:tcBorders>
              <w:top w:val="single" w:color="auto" w:sz="6" w:space="0"/>
              <w:left w:val="single" w:color="auto" w:sz="4" w:space="0"/>
              <w:bottom w:val="single" w:color="auto" w:sz="6" w:space="0"/>
              <w:right w:val="single" w:color="auto" w:sz="6" w:space="0"/>
            </w:tcBorders>
            <w:vAlign w:val="center"/>
          </w:tcPr>
          <w:p w14:paraId="770E5645">
            <w:pPr>
              <w:adjustRightInd w:val="0"/>
              <w:jc w:val="center"/>
              <w:rPr>
                <w:rFonts w:ascii="宋体" w:hAnsi="宋体" w:cs="宋体"/>
                <w:color w:val="auto"/>
                <w:szCs w:val="21"/>
                <w:highlight w:val="none"/>
              </w:rPr>
            </w:pPr>
            <w:r>
              <w:rPr>
                <w:rFonts w:hint="eastAsia" w:ascii="宋体" w:hAnsi="宋体" w:cs="宋体"/>
                <w:color w:val="auto"/>
                <w:szCs w:val="21"/>
                <w:highlight w:val="none"/>
              </w:rPr>
              <w:t>担任本职工作年限</w:t>
            </w:r>
          </w:p>
        </w:tc>
        <w:tc>
          <w:tcPr>
            <w:tcW w:w="3165" w:type="dxa"/>
            <w:gridSpan w:val="2"/>
            <w:tcBorders>
              <w:top w:val="single" w:color="auto" w:sz="6" w:space="0"/>
              <w:left w:val="single" w:color="auto" w:sz="6" w:space="0"/>
              <w:bottom w:val="single" w:color="auto" w:sz="6" w:space="0"/>
              <w:right w:val="single" w:color="auto" w:sz="6" w:space="0"/>
            </w:tcBorders>
            <w:vAlign w:val="center"/>
          </w:tcPr>
          <w:p w14:paraId="5300C1FD">
            <w:pPr>
              <w:adjustRightInd w:val="0"/>
              <w:jc w:val="center"/>
              <w:rPr>
                <w:rFonts w:ascii="宋体" w:hAnsi="宋体" w:cs="宋体"/>
                <w:color w:val="auto"/>
                <w:szCs w:val="21"/>
                <w:highlight w:val="none"/>
              </w:rPr>
            </w:pPr>
          </w:p>
        </w:tc>
      </w:tr>
      <w:tr w14:paraId="29637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36" w:hRule="atLeast"/>
          <w:jc w:val="center"/>
        </w:trPr>
        <w:tc>
          <w:tcPr>
            <w:tcW w:w="2394" w:type="dxa"/>
            <w:gridSpan w:val="2"/>
            <w:tcBorders>
              <w:top w:val="single" w:color="auto" w:sz="6" w:space="0"/>
              <w:left w:val="single" w:color="auto" w:sz="6" w:space="0"/>
              <w:bottom w:val="single" w:color="auto" w:sz="6" w:space="0"/>
              <w:right w:val="single" w:color="auto" w:sz="4" w:space="0"/>
            </w:tcBorders>
            <w:vAlign w:val="center"/>
          </w:tcPr>
          <w:p w14:paraId="0ABFB4FB">
            <w:pPr>
              <w:adjustRightInd w:val="0"/>
              <w:jc w:val="center"/>
              <w:rPr>
                <w:rFonts w:ascii="宋体" w:hAnsi="宋体" w:cs="宋体"/>
                <w:color w:val="auto"/>
                <w:szCs w:val="21"/>
                <w:highlight w:val="none"/>
              </w:rPr>
            </w:pPr>
            <w:r>
              <w:rPr>
                <w:rFonts w:hint="eastAsia" w:ascii="宋体" w:hAnsi="宋体" w:cs="宋体"/>
                <w:color w:val="auto"/>
                <w:szCs w:val="21"/>
                <w:highlight w:val="none"/>
              </w:rPr>
              <w:t>毕业学校</w:t>
            </w:r>
          </w:p>
        </w:tc>
        <w:tc>
          <w:tcPr>
            <w:tcW w:w="6222" w:type="dxa"/>
            <w:gridSpan w:val="6"/>
            <w:tcBorders>
              <w:top w:val="single" w:color="auto" w:sz="6" w:space="0"/>
              <w:left w:val="single" w:color="auto" w:sz="4" w:space="0"/>
              <w:bottom w:val="single" w:color="auto" w:sz="6" w:space="0"/>
              <w:right w:val="single" w:color="auto" w:sz="6" w:space="0"/>
            </w:tcBorders>
            <w:vAlign w:val="center"/>
          </w:tcPr>
          <w:p w14:paraId="649FC404">
            <w:pPr>
              <w:adjustRightInd w:val="0"/>
              <w:rPr>
                <w:rFonts w:ascii="宋体" w:hAnsi="宋体" w:cs="宋体"/>
                <w:color w:val="auto"/>
                <w:szCs w:val="21"/>
                <w:highlight w:val="none"/>
              </w:rPr>
            </w:pPr>
            <w:r>
              <w:rPr>
                <w:rFonts w:hint="eastAsia" w:ascii="宋体" w:hAnsi="宋体" w:cs="宋体"/>
                <w:color w:val="auto"/>
                <w:szCs w:val="21"/>
                <w:highlight w:val="none"/>
              </w:rPr>
              <w:t xml:space="preserve">        年毕业于          学校        专业</w:t>
            </w:r>
          </w:p>
        </w:tc>
      </w:tr>
      <w:tr w14:paraId="6EF62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81" w:hRule="atLeast"/>
          <w:jc w:val="center"/>
        </w:trPr>
        <w:tc>
          <w:tcPr>
            <w:tcW w:w="8616" w:type="dxa"/>
            <w:gridSpan w:val="8"/>
            <w:tcBorders>
              <w:top w:val="single" w:color="auto" w:sz="6" w:space="0"/>
              <w:left w:val="single" w:color="auto" w:sz="6" w:space="0"/>
              <w:bottom w:val="single" w:color="auto" w:sz="6" w:space="0"/>
              <w:right w:val="single" w:color="auto" w:sz="6" w:space="0"/>
            </w:tcBorders>
            <w:vAlign w:val="center"/>
          </w:tcPr>
          <w:p w14:paraId="3DB31DE4">
            <w:pPr>
              <w:adjustRightInd w:val="0"/>
              <w:jc w:val="center"/>
              <w:rPr>
                <w:rFonts w:ascii="宋体" w:hAnsi="宋体" w:cs="宋体"/>
                <w:color w:val="auto"/>
                <w:szCs w:val="21"/>
                <w:highlight w:val="none"/>
              </w:rPr>
            </w:pPr>
            <w:r>
              <w:rPr>
                <w:rFonts w:hint="eastAsia" w:ascii="宋体" w:hAnsi="宋体" w:cs="宋体"/>
                <w:color w:val="auto"/>
                <w:szCs w:val="21"/>
                <w:highlight w:val="none"/>
              </w:rPr>
              <w:t>已完工程项目情况表</w:t>
            </w:r>
          </w:p>
        </w:tc>
      </w:tr>
      <w:tr w14:paraId="22AF0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9" w:hRule="atLeast"/>
          <w:jc w:val="center"/>
        </w:trPr>
        <w:tc>
          <w:tcPr>
            <w:tcW w:w="1291" w:type="dxa"/>
            <w:tcBorders>
              <w:top w:val="single" w:color="auto" w:sz="6" w:space="0"/>
              <w:left w:val="single" w:color="auto" w:sz="6" w:space="0"/>
              <w:bottom w:val="single" w:color="auto" w:sz="6" w:space="0"/>
              <w:right w:val="single" w:color="auto" w:sz="6" w:space="0"/>
            </w:tcBorders>
            <w:vAlign w:val="center"/>
          </w:tcPr>
          <w:p w14:paraId="11776E7E">
            <w:pPr>
              <w:adjustRightInd w:val="0"/>
              <w:jc w:val="center"/>
              <w:rPr>
                <w:rFonts w:ascii="宋体" w:hAnsi="宋体" w:cs="宋体"/>
                <w:color w:val="auto"/>
                <w:szCs w:val="21"/>
                <w:highlight w:val="none"/>
              </w:rPr>
            </w:pPr>
            <w:r>
              <w:rPr>
                <w:rFonts w:hint="eastAsia" w:ascii="宋体" w:hAnsi="宋体" w:cs="宋体"/>
                <w:color w:val="auto"/>
                <w:szCs w:val="21"/>
                <w:highlight w:val="none"/>
              </w:rPr>
              <w:t>建设单位</w:t>
            </w:r>
          </w:p>
        </w:tc>
        <w:tc>
          <w:tcPr>
            <w:tcW w:w="1103" w:type="dxa"/>
            <w:tcBorders>
              <w:top w:val="single" w:color="auto" w:sz="6" w:space="0"/>
              <w:left w:val="single" w:color="auto" w:sz="6" w:space="0"/>
              <w:bottom w:val="single" w:color="auto" w:sz="6" w:space="0"/>
              <w:right w:val="single" w:color="auto" w:sz="6" w:space="0"/>
            </w:tcBorders>
            <w:vAlign w:val="center"/>
          </w:tcPr>
          <w:p w14:paraId="29346959">
            <w:pPr>
              <w:adjustRightInd w:val="0"/>
              <w:jc w:val="center"/>
              <w:rPr>
                <w:rFonts w:ascii="宋体" w:hAnsi="宋体" w:cs="宋体"/>
                <w:color w:val="auto"/>
                <w:szCs w:val="21"/>
                <w:highlight w:val="none"/>
              </w:rPr>
            </w:pPr>
            <w:r>
              <w:rPr>
                <w:rFonts w:hint="eastAsia" w:ascii="宋体" w:hAnsi="宋体" w:cs="宋体"/>
                <w:color w:val="auto"/>
                <w:szCs w:val="21"/>
                <w:highlight w:val="none"/>
              </w:rPr>
              <w:t>项目名称</w:t>
            </w:r>
          </w:p>
        </w:tc>
        <w:tc>
          <w:tcPr>
            <w:tcW w:w="1099" w:type="dxa"/>
            <w:gridSpan w:val="2"/>
            <w:tcBorders>
              <w:top w:val="single" w:color="auto" w:sz="6" w:space="0"/>
              <w:left w:val="single" w:color="auto" w:sz="6" w:space="0"/>
              <w:bottom w:val="single" w:color="auto" w:sz="6" w:space="0"/>
              <w:right w:val="single" w:color="auto" w:sz="6" w:space="0"/>
            </w:tcBorders>
            <w:vAlign w:val="center"/>
          </w:tcPr>
          <w:p w14:paraId="25C9AE9E">
            <w:pPr>
              <w:adjustRightInd w:val="0"/>
              <w:jc w:val="center"/>
              <w:rPr>
                <w:rFonts w:ascii="宋体" w:hAnsi="宋体" w:cs="宋体"/>
                <w:color w:val="auto"/>
                <w:szCs w:val="21"/>
                <w:highlight w:val="none"/>
              </w:rPr>
            </w:pPr>
            <w:r>
              <w:rPr>
                <w:rFonts w:hint="eastAsia" w:ascii="宋体" w:hAnsi="宋体" w:cs="宋体"/>
                <w:color w:val="auto"/>
                <w:szCs w:val="21"/>
                <w:highlight w:val="none"/>
              </w:rPr>
              <w:t>建设规模</w:t>
            </w:r>
          </w:p>
        </w:tc>
        <w:tc>
          <w:tcPr>
            <w:tcW w:w="1958" w:type="dxa"/>
            <w:gridSpan w:val="2"/>
            <w:tcBorders>
              <w:top w:val="single" w:color="auto" w:sz="6" w:space="0"/>
              <w:left w:val="single" w:color="auto" w:sz="6" w:space="0"/>
              <w:bottom w:val="single" w:color="auto" w:sz="6" w:space="0"/>
              <w:right w:val="single" w:color="auto" w:sz="6" w:space="0"/>
            </w:tcBorders>
            <w:vAlign w:val="center"/>
          </w:tcPr>
          <w:p w14:paraId="152B6B26">
            <w:pPr>
              <w:adjustRightInd w:val="0"/>
              <w:jc w:val="center"/>
              <w:rPr>
                <w:rFonts w:ascii="宋体" w:hAnsi="宋体" w:cs="宋体"/>
                <w:color w:val="auto"/>
                <w:szCs w:val="21"/>
                <w:highlight w:val="none"/>
              </w:rPr>
            </w:pPr>
            <w:r>
              <w:rPr>
                <w:rFonts w:hint="eastAsia" w:ascii="宋体" w:hAnsi="宋体" w:cs="宋体"/>
                <w:color w:val="auto"/>
                <w:szCs w:val="21"/>
                <w:highlight w:val="none"/>
              </w:rPr>
              <w:t>开、竣工日期</w:t>
            </w:r>
          </w:p>
        </w:tc>
        <w:tc>
          <w:tcPr>
            <w:tcW w:w="1942" w:type="dxa"/>
            <w:tcBorders>
              <w:top w:val="single" w:color="auto" w:sz="6" w:space="0"/>
              <w:left w:val="single" w:color="auto" w:sz="6" w:space="0"/>
              <w:bottom w:val="single" w:color="auto" w:sz="6" w:space="0"/>
              <w:right w:val="single" w:color="auto" w:sz="6" w:space="0"/>
            </w:tcBorders>
            <w:vAlign w:val="center"/>
          </w:tcPr>
          <w:p w14:paraId="5E4EA74F">
            <w:pPr>
              <w:adjustRightInd w:val="0"/>
              <w:jc w:val="center"/>
              <w:rPr>
                <w:rFonts w:ascii="宋体" w:hAnsi="宋体" w:cs="宋体"/>
                <w:color w:val="auto"/>
                <w:szCs w:val="21"/>
                <w:highlight w:val="none"/>
              </w:rPr>
            </w:pPr>
            <w:r>
              <w:rPr>
                <w:rFonts w:hint="eastAsia" w:ascii="宋体" w:hAnsi="宋体" w:cs="宋体"/>
                <w:color w:val="auto"/>
                <w:szCs w:val="21"/>
                <w:highlight w:val="none"/>
              </w:rPr>
              <w:t>工程质量</w:t>
            </w:r>
          </w:p>
        </w:tc>
        <w:tc>
          <w:tcPr>
            <w:tcW w:w="1223" w:type="dxa"/>
            <w:tcBorders>
              <w:top w:val="single" w:color="auto" w:sz="6" w:space="0"/>
              <w:left w:val="single" w:color="auto" w:sz="6" w:space="0"/>
              <w:bottom w:val="single" w:color="auto" w:sz="6" w:space="0"/>
              <w:right w:val="single" w:color="auto" w:sz="6" w:space="0"/>
            </w:tcBorders>
            <w:vAlign w:val="center"/>
          </w:tcPr>
          <w:p w14:paraId="4759208C">
            <w:pPr>
              <w:adjustRightInd w:val="0"/>
              <w:jc w:val="center"/>
              <w:rPr>
                <w:rFonts w:ascii="宋体" w:hAnsi="宋体" w:cs="宋体"/>
                <w:color w:val="auto"/>
                <w:szCs w:val="21"/>
                <w:highlight w:val="none"/>
              </w:rPr>
            </w:pPr>
            <w:r>
              <w:rPr>
                <w:rFonts w:hint="eastAsia" w:ascii="宋体" w:hAnsi="宋体" w:cs="宋体"/>
                <w:color w:val="auto"/>
                <w:szCs w:val="21"/>
                <w:highlight w:val="none"/>
              </w:rPr>
              <w:t>受奖情况</w:t>
            </w:r>
          </w:p>
        </w:tc>
      </w:tr>
      <w:tr w14:paraId="14A44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87" w:hRule="exact"/>
          <w:jc w:val="center"/>
        </w:trPr>
        <w:tc>
          <w:tcPr>
            <w:tcW w:w="1291" w:type="dxa"/>
            <w:tcBorders>
              <w:top w:val="single" w:color="auto" w:sz="6" w:space="0"/>
              <w:left w:val="single" w:color="auto" w:sz="6" w:space="0"/>
              <w:bottom w:val="single" w:color="auto" w:sz="6" w:space="0"/>
              <w:right w:val="single" w:color="auto" w:sz="6" w:space="0"/>
            </w:tcBorders>
          </w:tcPr>
          <w:p w14:paraId="74B0DAA4">
            <w:pPr>
              <w:adjustRightInd w:val="0"/>
              <w:rPr>
                <w:rFonts w:ascii="宋体" w:hAnsi="宋体" w:cs="宋体"/>
                <w:color w:val="auto"/>
                <w:szCs w:val="21"/>
                <w:highlight w:val="none"/>
              </w:rPr>
            </w:pPr>
          </w:p>
        </w:tc>
        <w:tc>
          <w:tcPr>
            <w:tcW w:w="1103" w:type="dxa"/>
            <w:tcBorders>
              <w:top w:val="single" w:color="auto" w:sz="6" w:space="0"/>
              <w:left w:val="single" w:color="auto" w:sz="6" w:space="0"/>
              <w:bottom w:val="single" w:color="auto" w:sz="6" w:space="0"/>
              <w:right w:val="single" w:color="auto" w:sz="6" w:space="0"/>
            </w:tcBorders>
          </w:tcPr>
          <w:p w14:paraId="167E3B06">
            <w:pPr>
              <w:adjustRightInd w:val="0"/>
              <w:rPr>
                <w:rFonts w:ascii="宋体" w:hAnsi="宋体" w:cs="宋体"/>
                <w:color w:val="auto"/>
                <w:szCs w:val="21"/>
                <w:highlight w:val="none"/>
              </w:rPr>
            </w:pPr>
          </w:p>
        </w:tc>
        <w:tc>
          <w:tcPr>
            <w:tcW w:w="1099" w:type="dxa"/>
            <w:gridSpan w:val="2"/>
            <w:tcBorders>
              <w:top w:val="single" w:color="auto" w:sz="6" w:space="0"/>
              <w:left w:val="single" w:color="auto" w:sz="6" w:space="0"/>
              <w:bottom w:val="single" w:color="auto" w:sz="6" w:space="0"/>
              <w:right w:val="single" w:color="auto" w:sz="6" w:space="0"/>
            </w:tcBorders>
          </w:tcPr>
          <w:p w14:paraId="58681DB6">
            <w:pPr>
              <w:adjustRightInd w:val="0"/>
              <w:rPr>
                <w:rFonts w:ascii="宋体" w:hAnsi="宋体" w:cs="宋体"/>
                <w:color w:val="auto"/>
                <w:szCs w:val="21"/>
                <w:highlight w:val="none"/>
              </w:rPr>
            </w:pPr>
          </w:p>
        </w:tc>
        <w:tc>
          <w:tcPr>
            <w:tcW w:w="1958" w:type="dxa"/>
            <w:gridSpan w:val="2"/>
            <w:tcBorders>
              <w:top w:val="single" w:color="auto" w:sz="6" w:space="0"/>
              <w:left w:val="single" w:color="auto" w:sz="6" w:space="0"/>
              <w:bottom w:val="single" w:color="auto" w:sz="6" w:space="0"/>
              <w:right w:val="single" w:color="auto" w:sz="6" w:space="0"/>
            </w:tcBorders>
          </w:tcPr>
          <w:p w14:paraId="078A8938">
            <w:pPr>
              <w:adjustRightInd w:val="0"/>
              <w:rPr>
                <w:rFonts w:ascii="宋体" w:hAnsi="宋体" w:cs="宋体"/>
                <w:color w:val="auto"/>
                <w:szCs w:val="21"/>
                <w:highlight w:val="none"/>
              </w:rPr>
            </w:pPr>
          </w:p>
        </w:tc>
        <w:tc>
          <w:tcPr>
            <w:tcW w:w="1942" w:type="dxa"/>
            <w:tcBorders>
              <w:top w:val="single" w:color="auto" w:sz="6" w:space="0"/>
              <w:left w:val="single" w:color="auto" w:sz="6" w:space="0"/>
              <w:bottom w:val="single" w:color="auto" w:sz="6" w:space="0"/>
              <w:right w:val="single" w:color="auto" w:sz="6" w:space="0"/>
            </w:tcBorders>
          </w:tcPr>
          <w:p w14:paraId="20869312">
            <w:pPr>
              <w:adjustRightInd w:val="0"/>
              <w:rPr>
                <w:rFonts w:ascii="宋体" w:hAnsi="宋体" w:cs="宋体"/>
                <w:color w:val="auto"/>
                <w:szCs w:val="21"/>
                <w:highlight w:val="none"/>
              </w:rPr>
            </w:pPr>
          </w:p>
        </w:tc>
        <w:tc>
          <w:tcPr>
            <w:tcW w:w="1223" w:type="dxa"/>
            <w:tcBorders>
              <w:top w:val="single" w:color="auto" w:sz="6" w:space="0"/>
              <w:left w:val="single" w:color="auto" w:sz="6" w:space="0"/>
              <w:bottom w:val="single" w:color="auto" w:sz="6" w:space="0"/>
              <w:right w:val="single" w:color="auto" w:sz="6" w:space="0"/>
            </w:tcBorders>
          </w:tcPr>
          <w:p w14:paraId="469E2C99">
            <w:pPr>
              <w:adjustRightInd w:val="0"/>
              <w:rPr>
                <w:rFonts w:ascii="宋体" w:hAnsi="宋体" w:cs="宋体"/>
                <w:color w:val="auto"/>
                <w:szCs w:val="21"/>
                <w:highlight w:val="none"/>
              </w:rPr>
            </w:pPr>
          </w:p>
        </w:tc>
      </w:tr>
      <w:tr w14:paraId="4D5D7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87" w:hRule="exact"/>
          <w:jc w:val="center"/>
        </w:trPr>
        <w:tc>
          <w:tcPr>
            <w:tcW w:w="1291" w:type="dxa"/>
            <w:tcBorders>
              <w:top w:val="single" w:color="auto" w:sz="6" w:space="0"/>
              <w:left w:val="single" w:color="auto" w:sz="6" w:space="0"/>
              <w:bottom w:val="single" w:color="auto" w:sz="6" w:space="0"/>
              <w:right w:val="single" w:color="auto" w:sz="6" w:space="0"/>
            </w:tcBorders>
          </w:tcPr>
          <w:p w14:paraId="588A030D">
            <w:pPr>
              <w:adjustRightInd w:val="0"/>
              <w:rPr>
                <w:rFonts w:ascii="宋体" w:hAnsi="宋体" w:cs="宋体"/>
                <w:color w:val="auto"/>
                <w:szCs w:val="21"/>
                <w:highlight w:val="none"/>
              </w:rPr>
            </w:pPr>
          </w:p>
        </w:tc>
        <w:tc>
          <w:tcPr>
            <w:tcW w:w="1103" w:type="dxa"/>
            <w:tcBorders>
              <w:top w:val="single" w:color="auto" w:sz="6" w:space="0"/>
              <w:left w:val="single" w:color="auto" w:sz="6" w:space="0"/>
              <w:bottom w:val="single" w:color="auto" w:sz="6" w:space="0"/>
              <w:right w:val="single" w:color="auto" w:sz="6" w:space="0"/>
            </w:tcBorders>
          </w:tcPr>
          <w:p w14:paraId="6AE69A4B">
            <w:pPr>
              <w:adjustRightInd w:val="0"/>
              <w:rPr>
                <w:rFonts w:ascii="宋体" w:hAnsi="宋体" w:cs="宋体"/>
                <w:color w:val="auto"/>
                <w:szCs w:val="21"/>
                <w:highlight w:val="none"/>
              </w:rPr>
            </w:pPr>
          </w:p>
        </w:tc>
        <w:tc>
          <w:tcPr>
            <w:tcW w:w="1099" w:type="dxa"/>
            <w:gridSpan w:val="2"/>
            <w:tcBorders>
              <w:top w:val="single" w:color="auto" w:sz="6" w:space="0"/>
              <w:left w:val="single" w:color="auto" w:sz="6" w:space="0"/>
              <w:bottom w:val="single" w:color="auto" w:sz="6" w:space="0"/>
              <w:right w:val="single" w:color="auto" w:sz="6" w:space="0"/>
            </w:tcBorders>
          </w:tcPr>
          <w:p w14:paraId="17C8BE4F">
            <w:pPr>
              <w:adjustRightInd w:val="0"/>
              <w:rPr>
                <w:rFonts w:ascii="宋体" w:hAnsi="宋体" w:cs="宋体"/>
                <w:color w:val="auto"/>
                <w:szCs w:val="21"/>
                <w:highlight w:val="none"/>
              </w:rPr>
            </w:pPr>
          </w:p>
        </w:tc>
        <w:tc>
          <w:tcPr>
            <w:tcW w:w="1958" w:type="dxa"/>
            <w:gridSpan w:val="2"/>
            <w:tcBorders>
              <w:top w:val="single" w:color="auto" w:sz="6" w:space="0"/>
              <w:left w:val="single" w:color="auto" w:sz="6" w:space="0"/>
              <w:bottom w:val="single" w:color="auto" w:sz="6" w:space="0"/>
              <w:right w:val="single" w:color="auto" w:sz="6" w:space="0"/>
            </w:tcBorders>
          </w:tcPr>
          <w:p w14:paraId="170A986D">
            <w:pPr>
              <w:adjustRightInd w:val="0"/>
              <w:rPr>
                <w:rFonts w:ascii="宋体" w:hAnsi="宋体" w:cs="宋体"/>
                <w:color w:val="auto"/>
                <w:szCs w:val="21"/>
                <w:highlight w:val="none"/>
              </w:rPr>
            </w:pPr>
          </w:p>
        </w:tc>
        <w:tc>
          <w:tcPr>
            <w:tcW w:w="1942" w:type="dxa"/>
            <w:tcBorders>
              <w:top w:val="single" w:color="auto" w:sz="6" w:space="0"/>
              <w:left w:val="single" w:color="auto" w:sz="6" w:space="0"/>
              <w:bottom w:val="single" w:color="auto" w:sz="6" w:space="0"/>
              <w:right w:val="single" w:color="auto" w:sz="6" w:space="0"/>
            </w:tcBorders>
          </w:tcPr>
          <w:p w14:paraId="10F1A9F7">
            <w:pPr>
              <w:adjustRightInd w:val="0"/>
              <w:rPr>
                <w:rFonts w:ascii="宋体" w:hAnsi="宋体" w:cs="宋体"/>
                <w:color w:val="auto"/>
                <w:szCs w:val="21"/>
                <w:highlight w:val="none"/>
              </w:rPr>
            </w:pPr>
          </w:p>
        </w:tc>
        <w:tc>
          <w:tcPr>
            <w:tcW w:w="1223" w:type="dxa"/>
            <w:tcBorders>
              <w:top w:val="single" w:color="auto" w:sz="6" w:space="0"/>
              <w:left w:val="single" w:color="auto" w:sz="6" w:space="0"/>
              <w:bottom w:val="single" w:color="auto" w:sz="6" w:space="0"/>
              <w:right w:val="single" w:color="auto" w:sz="6" w:space="0"/>
            </w:tcBorders>
          </w:tcPr>
          <w:p w14:paraId="39A11417">
            <w:pPr>
              <w:adjustRightInd w:val="0"/>
              <w:rPr>
                <w:rFonts w:ascii="宋体" w:hAnsi="宋体" w:cs="宋体"/>
                <w:color w:val="auto"/>
                <w:szCs w:val="21"/>
                <w:highlight w:val="none"/>
              </w:rPr>
            </w:pPr>
          </w:p>
        </w:tc>
      </w:tr>
      <w:tr w14:paraId="3BE03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87" w:hRule="exact"/>
          <w:jc w:val="center"/>
        </w:trPr>
        <w:tc>
          <w:tcPr>
            <w:tcW w:w="1291" w:type="dxa"/>
            <w:tcBorders>
              <w:top w:val="single" w:color="auto" w:sz="6" w:space="0"/>
              <w:left w:val="single" w:color="auto" w:sz="6" w:space="0"/>
              <w:bottom w:val="single" w:color="auto" w:sz="6" w:space="0"/>
              <w:right w:val="single" w:color="auto" w:sz="6" w:space="0"/>
            </w:tcBorders>
          </w:tcPr>
          <w:p w14:paraId="334C1A22">
            <w:pPr>
              <w:adjustRightInd w:val="0"/>
              <w:rPr>
                <w:rFonts w:ascii="宋体" w:hAnsi="宋体" w:cs="宋体"/>
                <w:color w:val="auto"/>
                <w:szCs w:val="21"/>
                <w:highlight w:val="none"/>
              </w:rPr>
            </w:pPr>
          </w:p>
        </w:tc>
        <w:tc>
          <w:tcPr>
            <w:tcW w:w="1103" w:type="dxa"/>
            <w:tcBorders>
              <w:top w:val="single" w:color="auto" w:sz="6" w:space="0"/>
              <w:left w:val="single" w:color="auto" w:sz="6" w:space="0"/>
              <w:bottom w:val="single" w:color="auto" w:sz="6" w:space="0"/>
              <w:right w:val="single" w:color="auto" w:sz="6" w:space="0"/>
            </w:tcBorders>
          </w:tcPr>
          <w:p w14:paraId="3E418202">
            <w:pPr>
              <w:adjustRightInd w:val="0"/>
              <w:rPr>
                <w:rFonts w:ascii="宋体" w:hAnsi="宋体" w:cs="宋体"/>
                <w:color w:val="auto"/>
                <w:szCs w:val="21"/>
                <w:highlight w:val="none"/>
              </w:rPr>
            </w:pPr>
          </w:p>
        </w:tc>
        <w:tc>
          <w:tcPr>
            <w:tcW w:w="1099" w:type="dxa"/>
            <w:gridSpan w:val="2"/>
            <w:tcBorders>
              <w:top w:val="single" w:color="auto" w:sz="6" w:space="0"/>
              <w:left w:val="single" w:color="auto" w:sz="6" w:space="0"/>
              <w:bottom w:val="single" w:color="auto" w:sz="6" w:space="0"/>
              <w:right w:val="single" w:color="auto" w:sz="6" w:space="0"/>
            </w:tcBorders>
          </w:tcPr>
          <w:p w14:paraId="305576ED">
            <w:pPr>
              <w:adjustRightInd w:val="0"/>
              <w:rPr>
                <w:rFonts w:ascii="宋体" w:hAnsi="宋体" w:cs="宋体"/>
                <w:color w:val="auto"/>
                <w:szCs w:val="21"/>
                <w:highlight w:val="none"/>
              </w:rPr>
            </w:pPr>
          </w:p>
        </w:tc>
        <w:tc>
          <w:tcPr>
            <w:tcW w:w="1958" w:type="dxa"/>
            <w:gridSpan w:val="2"/>
            <w:tcBorders>
              <w:top w:val="single" w:color="auto" w:sz="6" w:space="0"/>
              <w:left w:val="single" w:color="auto" w:sz="6" w:space="0"/>
              <w:bottom w:val="single" w:color="auto" w:sz="6" w:space="0"/>
              <w:right w:val="single" w:color="auto" w:sz="6" w:space="0"/>
            </w:tcBorders>
          </w:tcPr>
          <w:p w14:paraId="4C9C562D">
            <w:pPr>
              <w:adjustRightInd w:val="0"/>
              <w:rPr>
                <w:rFonts w:ascii="宋体" w:hAnsi="宋体" w:cs="宋体"/>
                <w:color w:val="auto"/>
                <w:szCs w:val="21"/>
                <w:highlight w:val="none"/>
              </w:rPr>
            </w:pPr>
          </w:p>
        </w:tc>
        <w:tc>
          <w:tcPr>
            <w:tcW w:w="1942" w:type="dxa"/>
            <w:tcBorders>
              <w:top w:val="single" w:color="auto" w:sz="6" w:space="0"/>
              <w:left w:val="single" w:color="auto" w:sz="6" w:space="0"/>
              <w:bottom w:val="single" w:color="auto" w:sz="6" w:space="0"/>
              <w:right w:val="single" w:color="auto" w:sz="6" w:space="0"/>
            </w:tcBorders>
          </w:tcPr>
          <w:p w14:paraId="1EEF55EC">
            <w:pPr>
              <w:adjustRightInd w:val="0"/>
              <w:rPr>
                <w:rFonts w:ascii="宋体" w:hAnsi="宋体" w:cs="宋体"/>
                <w:color w:val="auto"/>
                <w:szCs w:val="21"/>
                <w:highlight w:val="none"/>
              </w:rPr>
            </w:pPr>
          </w:p>
        </w:tc>
        <w:tc>
          <w:tcPr>
            <w:tcW w:w="1223" w:type="dxa"/>
            <w:tcBorders>
              <w:top w:val="single" w:color="auto" w:sz="6" w:space="0"/>
              <w:left w:val="single" w:color="auto" w:sz="6" w:space="0"/>
              <w:bottom w:val="single" w:color="auto" w:sz="6" w:space="0"/>
              <w:right w:val="single" w:color="auto" w:sz="6" w:space="0"/>
            </w:tcBorders>
          </w:tcPr>
          <w:p w14:paraId="6CC80D7E">
            <w:pPr>
              <w:adjustRightInd w:val="0"/>
              <w:rPr>
                <w:rFonts w:ascii="宋体" w:hAnsi="宋体" w:cs="宋体"/>
                <w:color w:val="auto"/>
                <w:szCs w:val="21"/>
                <w:highlight w:val="none"/>
              </w:rPr>
            </w:pPr>
          </w:p>
        </w:tc>
      </w:tr>
    </w:tbl>
    <w:p w14:paraId="7A34DA32">
      <w:pPr>
        <w:pStyle w:val="24"/>
        <w:ind w:firstLine="1050" w:firstLineChars="500"/>
        <w:rPr>
          <w:rFonts w:hAnsi="宋体"/>
          <w:color w:val="auto"/>
          <w:szCs w:val="21"/>
          <w:highlight w:val="none"/>
        </w:rPr>
      </w:pPr>
    </w:p>
    <w:p w14:paraId="4D2B656D">
      <w:pPr>
        <w:pStyle w:val="24"/>
        <w:ind w:firstLine="1050" w:firstLineChars="500"/>
        <w:rPr>
          <w:rFonts w:hAnsi="宋体"/>
          <w:color w:val="auto"/>
          <w:szCs w:val="21"/>
          <w:highlight w:val="none"/>
        </w:rPr>
      </w:pPr>
    </w:p>
    <w:p w14:paraId="1A767763">
      <w:pPr>
        <w:pStyle w:val="24"/>
        <w:ind w:firstLine="4620" w:firstLineChars="2200"/>
        <w:rPr>
          <w:rFonts w:hAnsi="宋体"/>
          <w:color w:val="auto"/>
          <w:szCs w:val="21"/>
          <w:highlight w:val="none"/>
        </w:rPr>
      </w:pPr>
      <w:r>
        <w:rPr>
          <w:rFonts w:hint="eastAsia" w:hAnsi="宋体"/>
          <w:color w:val="auto"/>
          <w:szCs w:val="21"/>
          <w:highlight w:val="none"/>
        </w:rPr>
        <w:t>法定代表人或委托代理人签字：</w:t>
      </w:r>
      <w:r>
        <w:rPr>
          <w:rFonts w:hint="eastAsia" w:hAnsi="宋体"/>
          <w:color w:val="auto"/>
          <w:szCs w:val="21"/>
          <w:highlight w:val="none"/>
          <w:u w:val="single"/>
        </w:rPr>
        <w:t>　　　　　</w:t>
      </w:r>
    </w:p>
    <w:p w14:paraId="416DA9BA">
      <w:pPr>
        <w:pStyle w:val="24"/>
        <w:ind w:firstLine="210" w:firstLineChars="100"/>
        <w:rPr>
          <w:rFonts w:hAnsi="宋体"/>
          <w:color w:val="auto"/>
          <w:szCs w:val="21"/>
          <w:highlight w:val="none"/>
        </w:rPr>
      </w:pPr>
    </w:p>
    <w:p w14:paraId="37F7FAC6">
      <w:pPr>
        <w:pStyle w:val="24"/>
        <w:ind w:firstLine="4620" w:firstLineChars="2200"/>
        <w:rPr>
          <w:rFonts w:hAnsi="宋体"/>
          <w:color w:val="auto"/>
          <w:szCs w:val="21"/>
          <w:highlight w:val="none"/>
          <w:u w:val="single"/>
        </w:rPr>
      </w:pPr>
      <w:r>
        <w:rPr>
          <w:rFonts w:hint="eastAsia" w:hAnsi="宋体"/>
          <w:color w:val="auto"/>
          <w:szCs w:val="21"/>
          <w:highlight w:val="none"/>
        </w:rPr>
        <w:t>供应商（公章)：</w:t>
      </w:r>
      <w:r>
        <w:rPr>
          <w:rFonts w:hint="eastAsia" w:hAnsi="宋体"/>
          <w:color w:val="auto"/>
          <w:szCs w:val="21"/>
          <w:highlight w:val="none"/>
          <w:u w:val="single"/>
        </w:rPr>
        <w:t>　　　　　　　　　　</w:t>
      </w:r>
    </w:p>
    <w:p w14:paraId="7B8E0A7C">
      <w:pPr>
        <w:pStyle w:val="24"/>
        <w:ind w:firstLine="210" w:firstLineChars="100"/>
        <w:rPr>
          <w:rFonts w:hAnsi="宋体"/>
          <w:color w:val="auto"/>
          <w:szCs w:val="21"/>
          <w:highlight w:val="none"/>
        </w:rPr>
      </w:pPr>
    </w:p>
    <w:p w14:paraId="314B7EA5">
      <w:pPr>
        <w:pStyle w:val="24"/>
        <w:ind w:firstLine="5040" w:firstLineChars="2400"/>
        <w:rPr>
          <w:rFonts w:hAnsi="宋体"/>
          <w:color w:val="auto"/>
          <w:szCs w:val="21"/>
          <w:highlight w:val="none"/>
        </w:rPr>
      </w:pPr>
      <w:r>
        <w:rPr>
          <w:rFonts w:hint="eastAsia" w:hAnsi="宋体"/>
          <w:color w:val="auto"/>
          <w:szCs w:val="21"/>
          <w:highlight w:val="none"/>
        </w:rPr>
        <w:t>日　期：</w:t>
      </w:r>
      <w:r>
        <w:rPr>
          <w:rFonts w:hint="eastAsia" w:hAnsi="宋体"/>
          <w:color w:val="auto"/>
          <w:szCs w:val="21"/>
          <w:highlight w:val="none"/>
          <w:u w:val="single"/>
        </w:rPr>
        <w:t>　　　　　　　　　　　　　　</w:t>
      </w:r>
    </w:p>
    <w:p w14:paraId="390D5000">
      <w:pPr>
        <w:adjustRightInd w:val="0"/>
        <w:spacing w:line="300" w:lineRule="auto"/>
        <w:ind w:firstLine="443" w:firstLineChars="210"/>
        <w:rPr>
          <w:rFonts w:ascii="宋体" w:hAnsi="宋体" w:cs="宋体"/>
          <w:b/>
          <w:color w:val="auto"/>
          <w:szCs w:val="21"/>
          <w:highlight w:val="none"/>
        </w:rPr>
      </w:pPr>
    </w:p>
    <w:p w14:paraId="50F46A78">
      <w:pPr>
        <w:pStyle w:val="24"/>
        <w:rPr>
          <w:rFonts w:hAnsi="宋体"/>
          <w:color w:val="auto"/>
          <w:szCs w:val="21"/>
          <w:highlight w:val="none"/>
        </w:rPr>
      </w:pPr>
    </w:p>
    <w:p w14:paraId="1419A8C4">
      <w:pPr>
        <w:pStyle w:val="24"/>
        <w:rPr>
          <w:rFonts w:hAnsi="宋体"/>
          <w:color w:val="auto"/>
          <w:szCs w:val="21"/>
          <w:highlight w:val="none"/>
        </w:rPr>
      </w:pPr>
    </w:p>
    <w:p w14:paraId="7BA7701E">
      <w:pPr>
        <w:pStyle w:val="24"/>
        <w:rPr>
          <w:rFonts w:hAnsi="宋体"/>
          <w:color w:val="auto"/>
          <w:szCs w:val="21"/>
          <w:highlight w:val="none"/>
        </w:rPr>
      </w:pPr>
    </w:p>
    <w:p w14:paraId="3F94B15C">
      <w:pPr>
        <w:snapToGrid w:val="0"/>
        <w:spacing w:line="400" w:lineRule="exact"/>
        <w:rPr>
          <w:rFonts w:ascii="宋体" w:hAnsi="宋体"/>
          <w:b/>
          <w:bCs/>
          <w:color w:val="auto"/>
          <w:sz w:val="32"/>
          <w:szCs w:val="32"/>
          <w:highlight w:val="none"/>
        </w:rPr>
      </w:pPr>
    </w:p>
    <w:p w14:paraId="03BD3CC7">
      <w:pPr>
        <w:snapToGrid w:val="0"/>
        <w:spacing w:line="400" w:lineRule="exact"/>
        <w:rPr>
          <w:rFonts w:ascii="宋体" w:hAnsi="宋体"/>
          <w:b/>
          <w:bCs/>
          <w:color w:val="auto"/>
          <w:sz w:val="32"/>
          <w:szCs w:val="32"/>
          <w:highlight w:val="none"/>
        </w:rPr>
      </w:pPr>
    </w:p>
    <w:p w14:paraId="19A6BDE6">
      <w:pPr>
        <w:snapToGrid w:val="0"/>
        <w:spacing w:line="400" w:lineRule="exact"/>
        <w:rPr>
          <w:rFonts w:ascii="宋体" w:hAnsi="宋体"/>
          <w:b/>
          <w:bCs/>
          <w:color w:val="auto"/>
          <w:sz w:val="32"/>
          <w:szCs w:val="32"/>
          <w:highlight w:val="none"/>
        </w:rPr>
      </w:pPr>
    </w:p>
    <w:p w14:paraId="37E27AE6">
      <w:pPr>
        <w:snapToGrid w:val="0"/>
        <w:spacing w:line="400" w:lineRule="exact"/>
        <w:rPr>
          <w:rFonts w:ascii="宋体" w:hAnsi="宋体"/>
          <w:b/>
          <w:bCs/>
          <w:color w:val="auto"/>
          <w:sz w:val="32"/>
          <w:szCs w:val="32"/>
          <w:highlight w:val="none"/>
        </w:rPr>
      </w:pPr>
    </w:p>
    <w:p w14:paraId="1301FE71">
      <w:pPr>
        <w:snapToGrid w:val="0"/>
        <w:spacing w:line="400" w:lineRule="exact"/>
        <w:rPr>
          <w:rFonts w:ascii="宋体" w:hAnsi="宋体"/>
          <w:b/>
          <w:bCs/>
          <w:color w:val="auto"/>
          <w:sz w:val="32"/>
          <w:szCs w:val="32"/>
          <w:highlight w:val="none"/>
        </w:rPr>
      </w:pPr>
    </w:p>
    <w:p w14:paraId="2EC340CE">
      <w:pPr>
        <w:snapToGrid w:val="0"/>
        <w:spacing w:line="400" w:lineRule="exact"/>
        <w:rPr>
          <w:rFonts w:ascii="宋体" w:hAnsi="宋体"/>
          <w:b/>
          <w:bCs/>
          <w:color w:val="auto"/>
          <w:sz w:val="32"/>
          <w:szCs w:val="32"/>
          <w:highlight w:val="none"/>
        </w:rPr>
      </w:pPr>
    </w:p>
    <w:p w14:paraId="1F2D505E">
      <w:pPr>
        <w:snapToGrid w:val="0"/>
        <w:spacing w:line="400" w:lineRule="exact"/>
        <w:rPr>
          <w:rFonts w:ascii="宋体" w:hAnsi="宋体"/>
          <w:b/>
          <w:bCs/>
          <w:color w:val="auto"/>
          <w:sz w:val="32"/>
          <w:szCs w:val="32"/>
          <w:highlight w:val="none"/>
        </w:rPr>
      </w:pPr>
    </w:p>
    <w:p w14:paraId="300DC195">
      <w:pPr>
        <w:snapToGrid w:val="0"/>
        <w:spacing w:line="400" w:lineRule="exact"/>
        <w:rPr>
          <w:rFonts w:ascii="宋体" w:hAnsi="宋体"/>
          <w:b/>
          <w:bCs/>
          <w:color w:val="auto"/>
          <w:sz w:val="32"/>
          <w:szCs w:val="32"/>
          <w:highlight w:val="none"/>
        </w:rPr>
      </w:pPr>
    </w:p>
    <w:p w14:paraId="52F19D8B">
      <w:pPr>
        <w:pStyle w:val="24"/>
        <w:spacing w:line="500" w:lineRule="exact"/>
        <w:rPr>
          <w:rFonts w:hAnsi="宋体"/>
          <w:b/>
          <w:color w:val="auto"/>
          <w:highlight w:val="none"/>
        </w:rPr>
      </w:pPr>
    </w:p>
    <w:p w14:paraId="4A8775D0">
      <w:pPr>
        <w:spacing w:line="520" w:lineRule="exact"/>
        <w:ind w:left="-10" w:firstLine="455" w:firstLineChars="217"/>
        <w:jc w:val="left"/>
        <w:rPr>
          <w:rFonts w:ascii="宋体" w:hAnsi="宋体"/>
          <w:color w:val="auto"/>
          <w:highlight w:val="none"/>
        </w:rPr>
      </w:pPr>
    </w:p>
    <w:p w14:paraId="348BC626">
      <w:pPr>
        <w:spacing w:line="520" w:lineRule="exact"/>
        <w:ind w:left="-10" w:firstLine="455" w:firstLineChars="217"/>
        <w:jc w:val="left"/>
        <w:rPr>
          <w:rFonts w:ascii="宋体" w:hAnsi="宋体"/>
          <w:color w:val="auto"/>
          <w:szCs w:val="21"/>
          <w:highlight w:val="none"/>
        </w:rPr>
      </w:pPr>
    </w:p>
    <w:p w14:paraId="627EECDB">
      <w:pPr>
        <w:spacing w:line="400" w:lineRule="exact"/>
        <w:rPr>
          <w:rFonts w:ascii="宋体" w:hAnsi="宋体"/>
          <w:color w:val="auto"/>
          <w:szCs w:val="21"/>
          <w:highlight w:val="none"/>
        </w:rPr>
      </w:pPr>
    </w:p>
    <w:p w14:paraId="0D470B81">
      <w:pPr>
        <w:jc w:val="left"/>
        <w:rPr>
          <w:rFonts w:ascii="宋体" w:hAnsi="宋体"/>
          <w:b/>
          <w:color w:val="auto"/>
          <w:sz w:val="28"/>
          <w:szCs w:val="28"/>
          <w:highlight w:val="none"/>
        </w:rPr>
      </w:pPr>
      <w:r>
        <w:rPr>
          <w:rFonts w:hint="eastAsia" w:ascii="宋体" w:hAnsi="宋体"/>
          <w:b/>
          <w:color w:val="auto"/>
          <w:sz w:val="24"/>
          <w:highlight w:val="none"/>
        </w:rPr>
        <w:t>格式十：</w:t>
      </w:r>
    </w:p>
    <w:p w14:paraId="5366D619">
      <w:pPr>
        <w:jc w:val="center"/>
        <w:rPr>
          <w:rFonts w:ascii="宋体" w:hAnsi="宋体"/>
          <w:b/>
          <w:color w:val="auto"/>
          <w:sz w:val="28"/>
          <w:szCs w:val="28"/>
          <w:highlight w:val="none"/>
        </w:rPr>
      </w:pPr>
      <w:r>
        <w:rPr>
          <w:rFonts w:hint="eastAsia" w:ascii="宋体" w:hAnsi="宋体"/>
          <w:b/>
          <w:color w:val="auto"/>
          <w:sz w:val="28"/>
          <w:szCs w:val="28"/>
          <w:highlight w:val="none"/>
        </w:rPr>
        <w:t>磋商函</w:t>
      </w:r>
    </w:p>
    <w:p w14:paraId="004A77FF">
      <w:pPr>
        <w:spacing w:line="440" w:lineRule="exact"/>
        <w:rPr>
          <w:rFonts w:ascii="宋体" w:hAnsi="宋体"/>
          <w:color w:val="auto"/>
          <w:highlight w:val="none"/>
          <w:u w:val="single"/>
        </w:rPr>
      </w:pPr>
      <w:r>
        <w:rPr>
          <w:rFonts w:ascii="宋体" w:hAnsi="宋体"/>
          <w:color w:val="auto"/>
          <w:highlight w:val="none"/>
        </w:rPr>
        <w:t>致：</w:t>
      </w:r>
      <w:r>
        <w:rPr>
          <w:rFonts w:hint="eastAsia" w:ascii="宋体" w:hAnsi="宋体"/>
          <w:color w:val="auto"/>
          <w:highlight w:val="none"/>
        </w:rPr>
        <w:t>（</w:t>
      </w:r>
      <w:r>
        <w:rPr>
          <w:rFonts w:hint="eastAsia" w:ascii="宋体" w:hAnsi="宋体"/>
          <w:color w:val="auto"/>
          <w:highlight w:val="none"/>
          <w:u w:val="single"/>
        </w:rPr>
        <w:t>采购人名称）</w:t>
      </w:r>
    </w:p>
    <w:p w14:paraId="28736BD2">
      <w:pPr>
        <w:spacing w:line="440" w:lineRule="exact"/>
        <w:ind w:firstLine="488"/>
        <w:rPr>
          <w:rFonts w:ascii="宋体" w:hAnsi="宋体"/>
          <w:b/>
          <w:color w:val="auto"/>
          <w:szCs w:val="21"/>
          <w:highlight w:val="none"/>
        </w:rPr>
      </w:pPr>
      <w:r>
        <w:rPr>
          <w:rFonts w:ascii="宋体" w:hAnsi="宋体"/>
          <w:color w:val="auto"/>
          <w:highlight w:val="none"/>
        </w:rPr>
        <w:t>1</w:t>
      </w:r>
      <w:r>
        <w:rPr>
          <w:rFonts w:hint="eastAsia" w:ascii="宋体" w:hAnsi="宋体"/>
          <w:color w:val="auto"/>
          <w:highlight w:val="none"/>
        </w:rPr>
        <w:t xml:space="preserve">. </w:t>
      </w:r>
      <w:r>
        <w:rPr>
          <w:rFonts w:ascii="宋体" w:hAnsi="宋体"/>
          <w:color w:val="auto"/>
          <w:highlight w:val="none"/>
        </w:rPr>
        <w:t>根据你方项目编号为</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{项目编号}</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ascii="宋体" w:hAnsi="宋体"/>
          <w:color w:val="auto"/>
          <w:highlight w:val="none"/>
        </w:rPr>
        <w:t>的</w:t>
      </w:r>
      <w:r>
        <w:rPr>
          <w:rFonts w:hint="eastAsia" w:ascii="宋体" w:hAnsi="宋体"/>
          <w:color w:val="auto"/>
          <w:highlight w:val="none"/>
          <w:u w:val="single"/>
        </w:rPr>
        <w:t>（项目名称）标</w:t>
      </w:r>
      <w:r>
        <w:rPr>
          <w:rFonts w:ascii="宋体" w:hAnsi="宋体"/>
          <w:color w:val="auto"/>
          <w:highlight w:val="none"/>
        </w:rPr>
        <w:t>磋商文件，遵照</w:t>
      </w:r>
      <w:r>
        <w:rPr>
          <w:rFonts w:hint="eastAsia" w:ascii="宋体" w:hAnsi="宋体" w:cs="宋体"/>
          <w:color w:val="auto"/>
          <w:szCs w:val="21"/>
          <w:highlight w:val="none"/>
        </w:rPr>
        <w:t>《中华人民共和国政府采购法》、</w:t>
      </w:r>
      <w:r>
        <w:rPr>
          <w:rFonts w:hint="eastAsia" w:ascii="宋体" w:hAnsi="宋体" w:cs="Arial"/>
          <w:color w:val="auto"/>
          <w:szCs w:val="21"/>
          <w:highlight w:val="none"/>
        </w:rPr>
        <w:t>《中华人民共和国政府采购法实施条例》、《政府采购竞争性磋商采购方式管理暂行办法》</w:t>
      </w:r>
      <w:r>
        <w:rPr>
          <w:rFonts w:ascii="宋体" w:hAnsi="宋体" w:cs="Arial"/>
          <w:color w:val="auto"/>
          <w:szCs w:val="21"/>
          <w:highlight w:val="none"/>
        </w:rPr>
        <w:t>等</w:t>
      </w:r>
      <w:r>
        <w:rPr>
          <w:rFonts w:ascii="宋体" w:hAnsi="宋体"/>
          <w:color w:val="auto"/>
          <w:highlight w:val="none"/>
        </w:rPr>
        <w:t>有关规定，经踏勘项目现场和研究上述磋商文件的磋商须知、合同条款、图纸、工程建设标准和工程量清单及其他有关文件后，</w:t>
      </w:r>
      <w:r>
        <w:rPr>
          <w:rFonts w:ascii="宋体" w:hAnsi="宋体"/>
          <w:b/>
          <w:color w:val="auto"/>
          <w:szCs w:val="21"/>
          <w:highlight w:val="none"/>
        </w:rPr>
        <w:t>我方</w:t>
      </w:r>
      <w:r>
        <w:rPr>
          <w:rFonts w:hint="eastAsia" w:ascii="宋体" w:hAnsi="宋体"/>
          <w:b/>
          <w:color w:val="auto"/>
          <w:szCs w:val="21"/>
          <w:highlight w:val="none"/>
        </w:rPr>
        <w:t>愿以</w:t>
      </w:r>
      <w:r>
        <w:rPr>
          <w:rFonts w:ascii="宋体" w:hAnsi="宋体"/>
          <w:b/>
          <w:color w:val="auto"/>
          <w:szCs w:val="21"/>
          <w:highlight w:val="none"/>
        </w:rPr>
        <w:t>人民币(大写)</w:t>
      </w:r>
      <w:r>
        <w:rPr>
          <w:rFonts w:ascii="宋体" w:hAnsi="宋体"/>
          <w:b/>
          <w:color w:val="auto"/>
          <w:szCs w:val="21"/>
          <w:highlight w:val="none"/>
          <w:u w:val="single"/>
        </w:rPr>
        <w:t xml:space="preserve">    </w:t>
      </w:r>
      <w:r>
        <w:rPr>
          <w:rFonts w:hint="eastAsia" w:ascii="宋体" w:hAnsi="宋体"/>
          <w:b/>
          <w:color w:val="auto"/>
          <w:szCs w:val="21"/>
          <w:highlight w:val="none"/>
          <w:u w:val="single"/>
        </w:rPr>
        <w:t xml:space="preserve">    </w:t>
      </w:r>
      <w:r>
        <w:rPr>
          <w:rFonts w:ascii="宋体" w:hAnsi="宋体"/>
          <w:b/>
          <w:color w:val="auto"/>
          <w:szCs w:val="21"/>
          <w:highlight w:val="none"/>
          <w:u w:val="single"/>
        </w:rPr>
        <w:t xml:space="preserve">  </w:t>
      </w:r>
      <w:r>
        <w:rPr>
          <w:rFonts w:ascii="宋体" w:hAnsi="宋体"/>
          <w:b/>
          <w:color w:val="auto"/>
          <w:szCs w:val="21"/>
          <w:highlight w:val="none"/>
        </w:rPr>
        <w:t>元（RMB</w:t>
      </w:r>
      <w:r>
        <w:rPr>
          <w:rFonts w:ascii="宋体" w:hAnsi="宋体"/>
          <w:b/>
          <w:color w:val="auto"/>
          <w:szCs w:val="21"/>
          <w:highlight w:val="none"/>
          <w:u w:val="single"/>
        </w:rPr>
        <w:t xml:space="preserve">¥   </w:t>
      </w:r>
      <w:r>
        <w:rPr>
          <w:rFonts w:hint="eastAsia" w:ascii="宋体" w:hAnsi="宋体"/>
          <w:b/>
          <w:color w:val="auto"/>
          <w:szCs w:val="21"/>
          <w:highlight w:val="none"/>
          <w:u w:val="single"/>
        </w:rPr>
        <w:t xml:space="preserve"> </w:t>
      </w:r>
      <w:r>
        <w:rPr>
          <w:rFonts w:ascii="宋体" w:hAnsi="宋体"/>
          <w:b/>
          <w:color w:val="auto"/>
          <w:szCs w:val="21"/>
          <w:highlight w:val="none"/>
          <w:u w:val="single"/>
        </w:rPr>
        <w:t xml:space="preserve">   </w:t>
      </w:r>
      <w:r>
        <w:rPr>
          <w:rFonts w:ascii="宋体" w:hAnsi="宋体"/>
          <w:b/>
          <w:color w:val="auto"/>
          <w:szCs w:val="21"/>
          <w:highlight w:val="none"/>
        </w:rPr>
        <w:t>）磋商</w:t>
      </w:r>
      <w:r>
        <w:rPr>
          <w:rFonts w:hint="eastAsia" w:ascii="宋体" w:hAnsi="宋体"/>
          <w:b/>
          <w:color w:val="auto"/>
          <w:szCs w:val="21"/>
          <w:highlight w:val="none"/>
        </w:rPr>
        <w:t>总</w:t>
      </w:r>
      <w:r>
        <w:rPr>
          <w:rFonts w:ascii="宋体" w:hAnsi="宋体"/>
          <w:b/>
          <w:color w:val="auto"/>
          <w:szCs w:val="21"/>
          <w:highlight w:val="none"/>
        </w:rPr>
        <w:t>报价</w:t>
      </w:r>
      <w:r>
        <w:rPr>
          <w:rFonts w:hint="eastAsia" w:ascii="宋体" w:hAnsi="宋体"/>
          <w:b/>
          <w:color w:val="auto"/>
          <w:szCs w:val="21"/>
          <w:highlight w:val="none"/>
        </w:rPr>
        <w:t>；</w:t>
      </w:r>
      <w:r>
        <w:rPr>
          <w:rFonts w:ascii="宋体" w:hAnsi="宋体"/>
          <w:b/>
          <w:color w:val="auto"/>
          <w:szCs w:val="21"/>
          <w:highlight w:val="none"/>
        </w:rPr>
        <w:t>并按上述图纸、合同条款、工程建设标准和工程量清单的条件要求承包上述工程的施工、竣工，并承担任何质量缺陷保修责任。</w:t>
      </w:r>
      <w:r>
        <w:rPr>
          <w:rFonts w:hint="eastAsia" w:ascii="宋体" w:hAnsi="宋体"/>
          <w:b/>
          <w:color w:val="auto"/>
          <w:szCs w:val="21"/>
          <w:highlight w:val="none"/>
        </w:rPr>
        <w:t>施工工期为</w:t>
      </w:r>
      <w:r>
        <w:rPr>
          <w:rFonts w:hint="eastAsia" w:ascii="宋体" w:hAnsi="宋体"/>
          <w:b/>
          <w:color w:val="auto"/>
          <w:szCs w:val="21"/>
          <w:highlight w:val="none"/>
          <w:u w:val="single"/>
        </w:rPr>
        <w:t xml:space="preserve">      天</w:t>
      </w:r>
      <w:r>
        <w:rPr>
          <w:rFonts w:hint="eastAsia" w:ascii="宋体" w:hAnsi="宋体"/>
          <w:b/>
          <w:color w:val="auto"/>
          <w:szCs w:val="21"/>
          <w:highlight w:val="none"/>
        </w:rPr>
        <w:t>（</w:t>
      </w:r>
      <w:r>
        <w:rPr>
          <w:rFonts w:hint="eastAsia" w:ascii="宋体" w:hAnsi="宋体"/>
          <w:b/>
          <w:color w:val="auto"/>
          <w:szCs w:val="21"/>
          <w:highlight w:val="none"/>
          <w:lang w:eastAsia="zh-CN"/>
        </w:rPr>
        <w:t>日历天</w:t>
      </w:r>
      <w:r>
        <w:rPr>
          <w:rFonts w:hint="eastAsia" w:ascii="宋体" w:hAnsi="宋体"/>
          <w:b/>
          <w:color w:val="auto"/>
          <w:szCs w:val="21"/>
          <w:highlight w:val="none"/>
        </w:rPr>
        <w:t>），工程质量标准</w:t>
      </w:r>
      <w:r>
        <w:rPr>
          <w:rFonts w:hint="eastAsia" w:ascii="宋体" w:hAnsi="宋体"/>
          <w:b/>
          <w:color w:val="auto"/>
          <w:szCs w:val="21"/>
          <w:highlight w:val="none"/>
          <w:u w:val="single"/>
        </w:rPr>
        <w:t xml:space="preserve">       </w:t>
      </w:r>
      <w:r>
        <w:rPr>
          <w:rFonts w:hint="eastAsia" w:ascii="宋体" w:hAnsi="宋体"/>
          <w:b/>
          <w:color w:val="auto"/>
          <w:szCs w:val="21"/>
          <w:highlight w:val="none"/>
        </w:rPr>
        <w:t>。</w:t>
      </w:r>
    </w:p>
    <w:p w14:paraId="72A86780">
      <w:pPr>
        <w:spacing w:line="440" w:lineRule="exact"/>
        <w:ind w:firstLine="442"/>
        <w:rPr>
          <w:rFonts w:ascii="宋体" w:hAnsi="宋体"/>
          <w:color w:val="auto"/>
          <w:highlight w:val="none"/>
        </w:rPr>
      </w:pPr>
      <w:r>
        <w:rPr>
          <w:rFonts w:ascii="宋体" w:hAnsi="宋体"/>
          <w:color w:val="auto"/>
          <w:highlight w:val="none"/>
        </w:rPr>
        <w:t>2</w:t>
      </w:r>
      <w:r>
        <w:rPr>
          <w:rFonts w:hint="eastAsia" w:ascii="宋体" w:hAnsi="宋体"/>
          <w:color w:val="auto"/>
          <w:highlight w:val="none"/>
        </w:rPr>
        <w:t xml:space="preserve">. </w:t>
      </w:r>
      <w:r>
        <w:rPr>
          <w:rFonts w:ascii="宋体" w:hAnsi="宋体"/>
          <w:color w:val="auto"/>
          <w:highlight w:val="none"/>
        </w:rPr>
        <w:t>我方已详细审核全部磋商文件，包括修改文件（如有时）及有关附件。</w:t>
      </w:r>
    </w:p>
    <w:p w14:paraId="61299FC2">
      <w:pPr>
        <w:spacing w:line="440" w:lineRule="exact"/>
        <w:ind w:firstLine="442"/>
        <w:rPr>
          <w:rFonts w:ascii="宋体" w:hAnsi="宋体"/>
          <w:color w:val="auto"/>
          <w:highlight w:val="none"/>
        </w:rPr>
      </w:pPr>
      <w:r>
        <w:rPr>
          <w:rFonts w:hint="eastAsia" w:ascii="宋体" w:hAnsi="宋体"/>
          <w:color w:val="auto"/>
          <w:highlight w:val="none"/>
        </w:rPr>
        <w:t xml:space="preserve">3. </w:t>
      </w:r>
      <w:r>
        <w:rPr>
          <w:rFonts w:ascii="宋体" w:hAnsi="宋体"/>
          <w:color w:val="auto"/>
          <w:highlight w:val="none"/>
        </w:rPr>
        <w:t>一旦我方成交，我方保证按合同书中规定的工期</w:t>
      </w:r>
      <w:r>
        <w:rPr>
          <w:rFonts w:ascii="宋体" w:hAnsi="宋体"/>
          <w:color w:val="auto"/>
          <w:highlight w:val="none"/>
          <w:u w:val="single"/>
        </w:rPr>
        <w:t xml:space="preserve"> {工期}  </w:t>
      </w:r>
      <w:r>
        <w:rPr>
          <w:rFonts w:hint="eastAsia" w:ascii="宋体" w:hAnsi="宋体"/>
          <w:color w:val="auto"/>
          <w:highlight w:val="none"/>
          <w:lang w:eastAsia="zh-CN"/>
        </w:rPr>
        <w:t>日历天</w:t>
      </w:r>
      <w:r>
        <w:rPr>
          <w:rFonts w:ascii="宋体" w:hAnsi="宋体"/>
          <w:color w:val="auto"/>
          <w:highlight w:val="none"/>
        </w:rPr>
        <w:t>内完成并移交全部工程。</w:t>
      </w:r>
    </w:p>
    <w:p w14:paraId="7CDF4EE4">
      <w:pPr>
        <w:spacing w:line="440" w:lineRule="exact"/>
        <w:ind w:firstLine="442"/>
        <w:rPr>
          <w:rFonts w:ascii="宋体" w:hAnsi="宋体"/>
          <w:color w:val="auto"/>
          <w:highlight w:val="none"/>
        </w:rPr>
      </w:pPr>
      <w:r>
        <w:rPr>
          <w:rFonts w:hint="eastAsia" w:ascii="宋体" w:hAnsi="宋体"/>
          <w:color w:val="auto"/>
          <w:highlight w:val="none"/>
        </w:rPr>
        <w:t xml:space="preserve">4. </w:t>
      </w:r>
      <w:r>
        <w:rPr>
          <w:rFonts w:ascii="宋体" w:hAnsi="宋体"/>
          <w:color w:val="auto"/>
          <w:highlight w:val="none"/>
        </w:rPr>
        <w:t>如果我方成交，我方将按照</w:t>
      </w:r>
      <w:r>
        <w:rPr>
          <w:rFonts w:hint="eastAsia" w:ascii="宋体" w:hAnsi="宋体"/>
          <w:color w:val="auto"/>
          <w:highlight w:val="none"/>
        </w:rPr>
        <w:t>磋商</w:t>
      </w:r>
      <w:r>
        <w:rPr>
          <w:rFonts w:ascii="宋体" w:hAnsi="宋体"/>
          <w:color w:val="auto"/>
          <w:highlight w:val="none"/>
        </w:rPr>
        <w:t>文件规定提交</w:t>
      </w:r>
      <w:r>
        <w:rPr>
          <w:rFonts w:hint="eastAsia" w:ascii="宋体" w:hAnsi="宋体"/>
          <w:color w:val="auto"/>
          <w:highlight w:val="none"/>
        </w:rPr>
        <w:t>履约保证金（如有）</w:t>
      </w:r>
      <w:r>
        <w:rPr>
          <w:rFonts w:ascii="宋体" w:hAnsi="宋体"/>
          <w:color w:val="auto"/>
          <w:highlight w:val="none"/>
        </w:rPr>
        <w:t>作为履约担保。</w:t>
      </w:r>
    </w:p>
    <w:p w14:paraId="37C9C18C">
      <w:pPr>
        <w:spacing w:line="440" w:lineRule="exact"/>
        <w:ind w:firstLine="442"/>
        <w:rPr>
          <w:rFonts w:ascii="宋体" w:hAnsi="宋体"/>
          <w:color w:val="auto"/>
          <w:highlight w:val="none"/>
        </w:rPr>
      </w:pPr>
      <w:r>
        <w:rPr>
          <w:rFonts w:hint="eastAsia" w:ascii="宋体" w:hAnsi="宋体"/>
          <w:color w:val="auto"/>
          <w:highlight w:val="none"/>
        </w:rPr>
        <w:t xml:space="preserve">5. </w:t>
      </w:r>
      <w:r>
        <w:rPr>
          <w:rFonts w:ascii="宋体" w:hAnsi="宋体"/>
          <w:color w:val="auto"/>
          <w:highlight w:val="none"/>
        </w:rPr>
        <w:t>我方同意所提交的</w:t>
      </w:r>
      <w:r>
        <w:rPr>
          <w:rFonts w:hint="eastAsia" w:ascii="宋体" w:hAnsi="宋体"/>
          <w:color w:val="auto"/>
          <w:highlight w:val="none"/>
        </w:rPr>
        <w:t>响应文件</w:t>
      </w:r>
      <w:r>
        <w:rPr>
          <w:rFonts w:ascii="宋体" w:hAnsi="宋体"/>
          <w:color w:val="auto"/>
          <w:highlight w:val="none"/>
        </w:rPr>
        <w:t>在磋商文件的磋商须知中第</w:t>
      </w:r>
      <w:r>
        <w:rPr>
          <w:rFonts w:hint="eastAsia" w:ascii="宋体" w:hAnsi="宋体"/>
          <w:color w:val="auto"/>
          <w:highlight w:val="none"/>
        </w:rPr>
        <w:t>10</w:t>
      </w:r>
      <w:r>
        <w:rPr>
          <w:rFonts w:ascii="宋体" w:hAnsi="宋体"/>
          <w:color w:val="auto"/>
          <w:highlight w:val="none"/>
        </w:rPr>
        <w:t>条规定的磋商有效期内有效，在此期间内如果成交，我方将受此约束。</w:t>
      </w:r>
    </w:p>
    <w:p w14:paraId="43DD2B40">
      <w:pPr>
        <w:spacing w:line="440" w:lineRule="exact"/>
        <w:ind w:firstLine="442"/>
        <w:rPr>
          <w:rFonts w:ascii="宋体" w:hAnsi="宋体"/>
          <w:color w:val="auto"/>
          <w:highlight w:val="none"/>
        </w:rPr>
      </w:pPr>
      <w:r>
        <w:rPr>
          <w:rFonts w:ascii="宋体" w:hAnsi="宋体"/>
          <w:color w:val="auto"/>
          <w:highlight w:val="none"/>
        </w:rPr>
        <w:t>7</w:t>
      </w:r>
      <w:r>
        <w:rPr>
          <w:rFonts w:hint="eastAsia" w:ascii="宋体" w:hAnsi="宋体"/>
          <w:color w:val="auto"/>
          <w:highlight w:val="none"/>
        </w:rPr>
        <w:t xml:space="preserve">. </w:t>
      </w:r>
      <w:r>
        <w:rPr>
          <w:rFonts w:ascii="宋体" w:hAnsi="宋体"/>
          <w:color w:val="auto"/>
          <w:highlight w:val="none"/>
        </w:rPr>
        <w:t>除非另外达成协议并生效，你方的成交通知书和本</w:t>
      </w:r>
      <w:r>
        <w:rPr>
          <w:rFonts w:hint="eastAsia" w:ascii="宋体" w:hAnsi="宋体"/>
          <w:color w:val="auto"/>
          <w:highlight w:val="none"/>
        </w:rPr>
        <w:t>响应文件</w:t>
      </w:r>
      <w:r>
        <w:rPr>
          <w:rFonts w:ascii="宋体" w:hAnsi="宋体"/>
          <w:color w:val="auto"/>
          <w:highlight w:val="none"/>
        </w:rPr>
        <w:t>将成为约束双方的合同文件的组成部分。</w:t>
      </w:r>
    </w:p>
    <w:p w14:paraId="05406A5D">
      <w:pPr>
        <w:spacing w:line="440" w:lineRule="exact"/>
        <w:ind w:firstLine="442"/>
        <w:rPr>
          <w:rFonts w:ascii="宋体" w:hAnsi="宋体"/>
          <w:color w:val="auto"/>
          <w:highlight w:val="none"/>
        </w:rPr>
      </w:pPr>
      <w:r>
        <w:rPr>
          <w:rFonts w:ascii="宋体" w:hAnsi="宋体"/>
          <w:color w:val="auto"/>
          <w:highlight w:val="none"/>
        </w:rPr>
        <w:t>8</w:t>
      </w:r>
      <w:r>
        <w:rPr>
          <w:rFonts w:hint="eastAsia" w:ascii="宋体" w:hAnsi="宋体"/>
          <w:color w:val="auto"/>
          <w:highlight w:val="none"/>
        </w:rPr>
        <w:t xml:space="preserve">. </w:t>
      </w:r>
      <w:r>
        <w:rPr>
          <w:rFonts w:ascii="宋体" w:hAnsi="宋体"/>
          <w:color w:val="auto"/>
          <w:highlight w:val="none"/>
        </w:rPr>
        <w:t>我方将与本磋商函一起，提交人民币</w:t>
      </w:r>
      <w:r>
        <w:rPr>
          <w:rFonts w:ascii="宋体" w:hAnsi="宋体"/>
          <w:color w:val="auto"/>
          <w:highlight w:val="none"/>
          <w:u w:val="single"/>
        </w:rPr>
        <w:t xml:space="preserve">  </w:t>
      </w:r>
      <w:r>
        <w:rPr>
          <w:rFonts w:hint="eastAsia" w:ascii="宋体" w:hAnsi="宋体"/>
          <w:color w:val="auto"/>
          <w:highlight w:val="none"/>
          <w:u w:val="single"/>
        </w:rPr>
        <w:t>/</w:t>
      </w:r>
      <w:r>
        <w:rPr>
          <w:rFonts w:ascii="宋体" w:hAnsi="宋体"/>
          <w:color w:val="auto"/>
          <w:highlight w:val="none"/>
          <w:u w:val="single"/>
        </w:rPr>
        <w:t xml:space="preserve">  </w:t>
      </w:r>
      <w:r>
        <w:rPr>
          <w:rFonts w:ascii="宋体" w:hAnsi="宋体"/>
          <w:color w:val="auto"/>
          <w:highlight w:val="none"/>
        </w:rPr>
        <w:t>元作为磋商担保。</w:t>
      </w:r>
    </w:p>
    <w:p w14:paraId="71F48F37">
      <w:pPr>
        <w:spacing w:line="440" w:lineRule="exact"/>
        <w:rPr>
          <w:rFonts w:ascii="宋体" w:hAnsi="宋体"/>
          <w:color w:val="auto"/>
          <w:highlight w:val="none"/>
        </w:rPr>
      </w:pPr>
    </w:p>
    <w:p w14:paraId="5E22E767">
      <w:pPr>
        <w:spacing w:line="440" w:lineRule="exact"/>
        <w:ind w:left="1000"/>
        <w:rPr>
          <w:rFonts w:ascii="宋体" w:hAnsi="宋体"/>
          <w:color w:val="auto"/>
          <w:highlight w:val="none"/>
          <w:u w:val="single"/>
        </w:rPr>
      </w:pPr>
      <w:r>
        <w:rPr>
          <w:rFonts w:ascii="宋体" w:hAnsi="宋体"/>
          <w:color w:val="auto"/>
          <w:highlight w:val="none"/>
        </w:rPr>
        <w:t xml:space="preserve">         </w:t>
      </w:r>
      <w:r>
        <w:rPr>
          <w:rFonts w:hint="eastAsia" w:ascii="宋体" w:hAnsi="宋体"/>
          <w:color w:val="auto"/>
          <w:highlight w:val="none"/>
        </w:rPr>
        <w:t>供应商</w:t>
      </w:r>
      <w:r>
        <w:rPr>
          <w:rFonts w:ascii="宋体" w:hAnsi="宋体"/>
          <w:color w:val="auto"/>
          <w:highlight w:val="none"/>
        </w:rPr>
        <w:t>：</w:t>
      </w:r>
      <w:r>
        <w:rPr>
          <w:rFonts w:ascii="宋体" w:hAnsi="宋体"/>
          <w:color w:val="auto"/>
          <w:highlight w:val="none"/>
          <w:u w:val="single"/>
        </w:rPr>
        <w:t xml:space="preserve">   </w:t>
      </w:r>
      <w:r>
        <w:rPr>
          <w:rFonts w:hint="eastAsia" w:ascii="宋体" w:hAnsi="宋体"/>
          <w:color w:val="auto"/>
          <w:highlight w:val="none"/>
          <w:u w:val="single"/>
        </w:rPr>
        <w:t>（全称）</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（盖</w:t>
      </w:r>
      <w:r>
        <w:rPr>
          <w:rFonts w:hint="eastAsia" w:ascii="宋体" w:hAnsi="宋体"/>
          <w:color w:val="auto"/>
          <w:highlight w:val="none"/>
          <w:u w:val="single"/>
        </w:rPr>
        <w:t>单位</w:t>
      </w:r>
      <w:r>
        <w:rPr>
          <w:rFonts w:ascii="宋体" w:hAnsi="宋体"/>
          <w:color w:val="auto"/>
          <w:highlight w:val="none"/>
          <w:u w:val="single"/>
        </w:rPr>
        <w:t>章）</w:t>
      </w:r>
    </w:p>
    <w:p w14:paraId="75089B81">
      <w:pPr>
        <w:spacing w:line="440" w:lineRule="exact"/>
        <w:ind w:left="1000"/>
        <w:rPr>
          <w:rFonts w:ascii="宋体" w:hAnsi="宋体"/>
          <w:color w:val="auto"/>
          <w:highlight w:val="none"/>
          <w:u w:val="single"/>
        </w:rPr>
      </w:pPr>
      <w:r>
        <w:rPr>
          <w:rFonts w:ascii="宋体" w:hAnsi="宋体"/>
          <w:color w:val="auto"/>
          <w:highlight w:val="none"/>
        </w:rPr>
        <w:t xml:space="preserve">         单位地址：</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p>
    <w:p w14:paraId="4C79EA6A">
      <w:pPr>
        <w:spacing w:line="440" w:lineRule="exact"/>
        <w:ind w:left="1000"/>
        <w:rPr>
          <w:rFonts w:ascii="宋体" w:hAnsi="宋体"/>
          <w:color w:val="auto"/>
          <w:highlight w:val="none"/>
          <w:u w:val="single"/>
        </w:rPr>
      </w:pPr>
      <w:r>
        <w:rPr>
          <w:rFonts w:ascii="宋体" w:hAnsi="宋体"/>
          <w:color w:val="auto"/>
          <w:highlight w:val="none"/>
        </w:rPr>
        <w:t xml:space="preserve">         法定代表人或</w:t>
      </w:r>
      <w:r>
        <w:rPr>
          <w:rFonts w:hint="eastAsia" w:ascii="宋体" w:hAnsi="宋体"/>
          <w:color w:val="auto"/>
          <w:highlight w:val="none"/>
        </w:rPr>
        <w:t>授权</w:t>
      </w:r>
      <w:r>
        <w:rPr>
          <w:rFonts w:ascii="宋体" w:hAnsi="宋体"/>
          <w:color w:val="auto"/>
          <w:highlight w:val="none"/>
        </w:rPr>
        <w:t>委托代理人：</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（签字）</w:t>
      </w:r>
    </w:p>
    <w:p w14:paraId="3712BAF4">
      <w:pPr>
        <w:spacing w:line="440" w:lineRule="exact"/>
        <w:ind w:left="1000"/>
        <w:rPr>
          <w:rFonts w:ascii="宋体" w:hAnsi="宋体"/>
          <w:color w:val="auto"/>
          <w:highlight w:val="none"/>
        </w:rPr>
      </w:pPr>
      <w:r>
        <w:rPr>
          <w:rFonts w:ascii="宋体" w:hAnsi="宋体"/>
          <w:color w:val="auto"/>
          <w:highlight w:val="none"/>
        </w:rPr>
        <w:t xml:space="preserve">         邮政编码：</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rPr>
        <w:t>电话：</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rPr>
        <w:t xml:space="preserve"> 传真：</w:t>
      </w:r>
      <w:r>
        <w:rPr>
          <w:rFonts w:ascii="宋体" w:hAnsi="宋体"/>
          <w:color w:val="auto"/>
          <w:highlight w:val="none"/>
          <w:u w:val="single"/>
        </w:rPr>
        <w:tab/>
      </w:r>
      <w:r>
        <w:rPr>
          <w:rFonts w:ascii="宋体" w:hAnsi="宋体"/>
          <w:color w:val="auto"/>
          <w:highlight w:val="none"/>
          <w:u w:val="single"/>
        </w:rPr>
        <w:tab/>
      </w:r>
    </w:p>
    <w:p w14:paraId="08E71364">
      <w:pPr>
        <w:spacing w:line="440" w:lineRule="exact"/>
        <w:ind w:left="1000"/>
        <w:rPr>
          <w:rFonts w:ascii="宋体" w:hAnsi="宋体"/>
          <w:color w:val="auto"/>
          <w:highlight w:val="none"/>
        </w:rPr>
      </w:pPr>
      <w:r>
        <w:rPr>
          <w:rFonts w:ascii="宋体" w:hAnsi="宋体"/>
          <w:color w:val="auto"/>
          <w:highlight w:val="none"/>
        </w:rPr>
        <w:t xml:space="preserve">         开户银行名称：</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p>
    <w:p w14:paraId="47329521">
      <w:pPr>
        <w:spacing w:line="440" w:lineRule="exact"/>
        <w:ind w:left="1000"/>
        <w:rPr>
          <w:rFonts w:ascii="宋体" w:hAnsi="宋体"/>
          <w:color w:val="auto"/>
          <w:highlight w:val="none"/>
        </w:rPr>
      </w:pPr>
      <w:r>
        <w:rPr>
          <w:rFonts w:ascii="宋体" w:hAnsi="宋体"/>
          <w:color w:val="auto"/>
          <w:highlight w:val="none"/>
        </w:rPr>
        <w:t xml:space="preserve">         开户银行账号：</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 xml:space="preserve">  </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p>
    <w:p w14:paraId="7C3A0C1F">
      <w:pPr>
        <w:spacing w:line="440" w:lineRule="exact"/>
        <w:ind w:left="1000"/>
        <w:rPr>
          <w:rFonts w:ascii="宋体" w:hAnsi="宋体"/>
          <w:color w:val="auto"/>
          <w:highlight w:val="none"/>
        </w:rPr>
      </w:pPr>
      <w:r>
        <w:rPr>
          <w:rFonts w:ascii="宋体" w:hAnsi="宋体"/>
          <w:color w:val="auto"/>
          <w:highlight w:val="none"/>
        </w:rPr>
        <w:t xml:space="preserve">         开户银行地址：</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p>
    <w:p w14:paraId="16CD54F4">
      <w:pPr>
        <w:spacing w:line="440" w:lineRule="exact"/>
        <w:ind w:left="1000"/>
        <w:rPr>
          <w:rFonts w:ascii="宋体" w:hAnsi="宋体"/>
          <w:color w:val="auto"/>
          <w:highlight w:val="none"/>
        </w:rPr>
      </w:pPr>
      <w:r>
        <w:rPr>
          <w:rFonts w:ascii="宋体" w:hAnsi="宋体"/>
          <w:color w:val="auto"/>
          <w:highlight w:val="none"/>
        </w:rPr>
        <w:t xml:space="preserve">         开户银行电话：</w:t>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r>
        <w:rPr>
          <w:rFonts w:ascii="宋体" w:hAnsi="宋体"/>
          <w:color w:val="auto"/>
          <w:highlight w:val="none"/>
          <w:u w:val="single"/>
        </w:rPr>
        <w:tab/>
      </w:r>
    </w:p>
    <w:p w14:paraId="3508E4F3">
      <w:pPr>
        <w:spacing w:line="440" w:lineRule="exact"/>
        <w:ind w:firstLine="1890" w:firstLineChars="900"/>
        <w:rPr>
          <w:rFonts w:ascii="宋体" w:hAnsi="宋体"/>
          <w:color w:val="auto"/>
          <w:szCs w:val="21"/>
          <w:highlight w:val="none"/>
        </w:rPr>
      </w:pPr>
      <w:r>
        <w:rPr>
          <w:rFonts w:hint="eastAsia" w:ascii="宋体" w:hAnsi="宋体"/>
          <w:color w:val="auto"/>
          <w:highlight w:val="none"/>
        </w:rPr>
        <w:t xml:space="preserve"> </w:t>
      </w:r>
      <w:r>
        <w:rPr>
          <w:rFonts w:ascii="宋体" w:hAnsi="宋体"/>
          <w:color w:val="auto"/>
          <w:highlight w:val="none"/>
        </w:rPr>
        <w:t>日</w:t>
      </w:r>
      <w:r>
        <w:rPr>
          <w:rFonts w:hint="eastAsia" w:ascii="宋体" w:hAnsi="宋体"/>
          <w:color w:val="auto"/>
          <w:highlight w:val="none"/>
        </w:rPr>
        <w:t xml:space="preserve">    </w:t>
      </w:r>
      <w:r>
        <w:rPr>
          <w:rFonts w:ascii="宋体" w:hAnsi="宋体"/>
          <w:color w:val="auto"/>
          <w:highlight w:val="none"/>
        </w:rPr>
        <w:t>期：_____年____月___日</w:t>
      </w:r>
    </w:p>
    <w:p w14:paraId="50AC0A4B">
      <w:pPr>
        <w:tabs>
          <w:tab w:val="left" w:pos="0"/>
        </w:tabs>
        <w:spacing w:after="50" w:line="400" w:lineRule="exact"/>
        <w:rPr>
          <w:rFonts w:ascii="宋体" w:hAnsi="宋体"/>
          <w:b/>
          <w:bCs/>
          <w:color w:val="auto"/>
          <w:sz w:val="24"/>
          <w:highlight w:val="none"/>
        </w:rPr>
      </w:pPr>
    </w:p>
    <w:p w14:paraId="4022F56C">
      <w:pPr>
        <w:tabs>
          <w:tab w:val="left" w:pos="0"/>
        </w:tabs>
        <w:spacing w:after="50" w:line="400" w:lineRule="exact"/>
        <w:rPr>
          <w:rFonts w:ascii="宋体" w:hAnsi="宋体"/>
          <w:b/>
          <w:bCs/>
          <w:color w:val="auto"/>
          <w:sz w:val="24"/>
          <w:highlight w:val="none"/>
        </w:rPr>
      </w:pPr>
    </w:p>
    <w:p w14:paraId="7EC82956">
      <w:pPr>
        <w:pStyle w:val="24"/>
        <w:jc w:val="center"/>
        <w:rPr>
          <w:rFonts w:hAnsi="宋体"/>
          <w:color w:val="auto"/>
          <w:szCs w:val="21"/>
          <w:highlight w:val="none"/>
        </w:rPr>
      </w:pPr>
      <w:r>
        <w:rPr>
          <w:rFonts w:hAnsi="宋体"/>
          <w:b/>
          <w:bCs/>
          <w:color w:val="auto"/>
          <w:sz w:val="24"/>
          <w:highlight w:val="none"/>
        </w:rPr>
        <w:br w:type="page"/>
      </w:r>
      <w:bookmarkStart w:id="598" w:name="_Toc3628"/>
      <w:r>
        <w:rPr>
          <w:rFonts w:hint="eastAsia" w:hAnsi="宋体"/>
          <w:color w:val="auto"/>
          <w:sz w:val="36"/>
          <w:highlight w:val="none"/>
        </w:rPr>
        <w:t>第八章  评标办法</w:t>
      </w:r>
      <w:bookmarkEnd w:id="598"/>
    </w:p>
    <w:p w14:paraId="1657E973">
      <w:pPr>
        <w:spacing w:line="360" w:lineRule="auto"/>
        <w:ind w:firstLine="435"/>
        <w:rPr>
          <w:rFonts w:ascii="宋体" w:hAnsi="宋体"/>
          <w:b/>
          <w:bCs/>
          <w:color w:val="auto"/>
          <w:szCs w:val="21"/>
          <w:highlight w:val="none"/>
        </w:rPr>
      </w:pPr>
      <w:r>
        <w:rPr>
          <w:rFonts w:hint="eastAsia" w:ascii="宋体" w:hAnsi="宋体"/>
          <w:b/>
          <w:bCs/>
          <w:color w:val="auto"/>
          <w:szCs w:val="21"/>
          <w:highlight w:val="none"/>
        </w:rPr>
        <w:t>一、评标原则</w:t>
      </w:r>
    </w:p>
    <w:p w14:paraId="72165046">
      <w:pPr>
        <w:spacing w:line="420" w:lineRule="exact"/>
        <w:ind w:firstLine="435"/>
        <w:rPr>
          <w:rFonts w:ascii="宋体" w:hAnsi="宋体"/>
          <w:color w:val="auto"/>
          <w:szCs w:val="21"/>
          <w:highlight w:val="none"/>
        </w:rPr>
      </w:pPr>
      <w:r>
        <w:rPr>
          <w:rFonts w:hint="eastAsia" w:ascii="宋体" w:hAnsi="宋体"/>
          <w:color w:val="auto"/>
          <w:szCs w:val="21"/>
          <w:highlight w:val="none"/>
        </w:rPr>
        <w:t>磋商小组构成：本采购项目的磋商小组由评审专家三人以上（含3人）的单数组成，其中专家人数不得少于成员总数的三分之二。</w:t>
      </w:r>
    </w:p>
    <w:p w14:paraId="7051A634">
      <w:pPr>
        <w:spacing w:line="420" w:lineRule="exact"/>
        <w:ind w:firstLine="435"/>
        <w:rPr>
          <w:rFonts w:ascii="宋体" w:hAnsi="宋体"/>
          <w:color w:val="auto"/>
          <w:szCs w:val="21"/>
          <w:highlight w:val="none"/>
        </w:rPr>
      </w:pPr>
      <w:r>
        <w:rPr>
          <w:rFonts w:hint="eastAsia" w:ascii="宋体" w:hAnsi="宋体"/>
          <w:color w:val="auto"/>
          <w:szCs w:val="21"/>
          <w:highlight w:val="none"/>
        </w:rPr>
        <w:t>评标依据：采购文件和磋商响应文件为评定依据。</w:t>
      </w:r>
    </w:p>
    <w:p w14:paraId="4A62C177">
      <w:pPr>
        <w:spacing w:line="420" w:lineRule="exact"/>
        <w:ind w:firstLine="435"/>
        <w:rPr>
          <w:rFonts w:ascii="宋体" w:hAnsi="宋体"/>
          <w:color w:val="auto"/>
          <w:szCs w:val="21"/>
          <w:highlight w:val="none"/>
        </w:rPr>
      </w:pPr>
      <w:r>
        <w:rPr>
          <w:rFonts w:hint="eastAsia" w:ascii="宋体" w:hAnsi="宋体"/>
          <w:color w:val="auto"/>
          <w:szCs w:val="21"/>
          <w:highlight w:val="none"/>
        </w:rPr>
        <w:t>评标办法：</w:t>
      </w:r>
      <w:r>
        <w:rPr>
          <w:rFonts w:hint="eastAsia" w:ascii="宋体" w:hAnsi="宋体" w:cs="Courier New"/>
          <w:color w:val="auto"/>
          <w:szCs w:val="21"/>
          <w:highlight w:val="none"/>
          <w:shd w:val="clear" w:color="auto" w:fill="FFFFFF"/>
        </w:rPr>
        <w:t xml:space="preserve">采用综合评分法 </w:t>
      </w:r>
      <w:r>
        <w:rPr>
          <w:rFonts w:hint="eastAsia" w:ascii="宋体" w:hAnsi="宋体"/>
          <w:color w:val="auto"/>
          <w:szCs w:val="21"/>
          <w:highlight w:val="none"/>
        </w:rPr>
        <w:t>。</w:t>
      </w:r>
    </w:p>
    <w:p w14:paraId="7CFDFEDF">
      <w:pPr>
        <w:numPr>
          <w:ilvl w:val="0"/>
          <w:numId w:val="19"/>
        </w:numPr>
        <w:spacing w:line="420" w:lineRule="exact"/>
        <w:ind w:firstLine="435"/>
        <w:rPr>
          <w:rFonts w:ascii="宋体" w:hAnsi="宋体"/>
          <w:color w:val="auto"/>
          <w:szCs w:val="21"/>
          <w:highlight w:val="none"/>
        </w:rPr>
      </w:pPr>
      <w:r>
        <w:rPr>
          <w:rFonts w:hint="eastAsia" w:ascii="宋体" w:hAnsi="宋体"/>
          <w:b/>
          <w:bCs/>
          <w:color w:val="auto"/>
          <w:szCs w:val="21"/>
          <w:highlight w:val="none"/>
        </w:rPr>
        <w:t>评定方法：</w:t>
      </w:r>
      <w:r>
        <w:rPr>
          <w:rFonts w:hint="eastAsia" w:ascii="宋体" w:hAnsi="宋体"/>
          <w:color w:val="auto"/>
          <w:szCs w:val="21"/>
          <w:highlight w:val="none"/>
        </w:rPr>
        <w:t>对资格性和符合性检查合格的磋商响应文件，采用</w:t>
      </w:r>
      <w:r>
        <w:rPr>
          <w:rFonts w:hint="eastAsia" w:ascii="宋体" w:hAnsi="宋体" w:cs="Courier New"/>
          <w:color w:val="auto"/>
          <w:szCs w:val="21"/>
          <w:highlight w:val="none"/>
          <w:shd w:val="clear" w:color="auto" w:fill="FFFFFF"/>
        </w:rPr>
        <w:t>综合评分法</w:t>
      </w:r>
      <w:r>
        <w:rPr>
          <w:rFonts w:hint="eastAsia" w:ascii="宋体" w:hAnsi="宋体"/>
          <w:color w:val="auto"/>
          <w:szCs w:val="21"/>
          <w:highlight w:val="none"/>
        </w:rPr>
        <w:t>进行评审。只有通过了资格审查和符合性评审的供应商，才能进入详细评审程序。</w:t>
      </w:r>
    </w:p>
    <w:tbl>
      <w:tblPr>
        <w:tblStyle w:val="45"/>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276"/>
        <w:gridCol w:w="1559"/>
        <w:gridCol w:w="6078"/>
      </w:tblGrid>
      <w:tr w14:paraId="3372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693" w:type="dxa"/>
            <w:tcBorders>
              <w:right w:val="single" w:color="auto" w:sz="4" w:space="0"/>
            </w:tcBorders>
            <w:vAlign w:val="center"/>
          </w:tcPr>
          <w:p w14:paraId="166F571F">
            <w:pPr>
              <w:widowControl/>
              <w:spacing w:line="40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40C36A45">
            <w:pPr>
              <w:widowControl/>
              <w:spacing w:line="40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评审因素</w:t>
            </w:r>
          </w:p>
        </w:tc>
        <w:tc>
          <w:tcPr>
            <w:tcW w:w="7637" w:type="dxa"/>
            <w:gridSpan w:val="2"/>
            <w:tcBorders>
              <w:left w:val="single" w:color="auto" w:sz="4" w:space="0"/>
            </w:tcBorders>
            <w:vAlign w:val="center"/>
          </w:tcPr>
          <w:p w14:paraId="37186DDE">
            <w:pPr>
              <w:widowControl/>
              <w:spacing w:line="40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评审因素具体内容</w:t>
            </w:r>
          </w:p>
        </w:tc>
      </w:tr>
      <w:tr w14:paraId="5027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93" w:type="dxa"/>
            <w:tcBorders>
              <w:right w:val="single" w:color="auto" w:sz="4" w:space="0"/>
            </w:tcBorders>
            <w:vAlign w:val="center"/>
          </w:tcPr>
          <w:p w14:paraId="092F8361">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276" w:type="dxa"/>
            <w:tcBorders>
              <w:top w:val="single" w:color="auto" w:sz="4" w:space="0"/>
              <w:left w:val="single" w:color="auto" w:sz="4" w:space="0"/>
              <w:bottom w:val="single" w:color="auto" w:sz="4" w:space="0"/>
              <w:right w:val="single" w:color="auto" w:sz="4" w:space="0"/>
            </w:tcBorders>
            <w:vAlign w:val="center"/>
          </w:tcPr>
          <w:p w14:paraId="1D30261C">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价格分</w:t>
            </w:r>
          </w:p>
          <w:p w14:paraId="6D717A16">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（30分）</w:t>
            </w:r>
          </w:p>
        </w:tc>
        <w:tc>
          <w:tcPr>
            <w:tcW w:w="7637" w:type="dxa"/>
            <w:gridSpan w:val="2"/>
            <w:tcBorders>
              <w:left w:val="single" w:color="auto" w:sz="4" w:space="0"/>
            </w:tcBorders>
          </w:tcPr>
          <w:p w14:paraId="48FBC25C">
            <w:pPr>
              <w:snapToGrid w:val="0"/>
              <w:spacing w:line="400" w:lineRule="exact"/>
              <w:ind w:firstLine="441" w:firstLineChars="210"/>
              <w:rPr>
                <w:rFonts w:ascii="宋体" w:hAnsi="宋体"/>
                <w:bCs/>
                <w:color w:val="auto"/>
                <w:szCs w:val="21"/>
                <w:highlight w:val="none"/>
              </w:rPr>
            </w:pPr>
            <w:r>
              <w:rPr>
                <w:rFonts w:hint="eastAsia" w:ascii="宋体" w:hAnsi="宋体"/>
                <w:bCs/>
                <w:color w:val="auto"/>
                <w:szCs w:val="21"/>
                <w:highlight w:val="none"/>
              </w:rPr>
              <w:t>（</w:t>
            </w:r>
            <w:r>
              <w:rPr>
                <w:rFonts w:hint="eastAsia" w:ascii="宋体" w:hAnsi="宋体"/>
                <w:bCs/>
                <w:color w:val="auto"/>
                <w:szCs w:val="21"/>
                <w:highlight w:val="none"/>
                <w:lang w:val="en-US" w:eastAsia="zh-CN"/>
              </w:rPr>
              <w:t>1</w:t>
            </w:r>
            <w:r>
              <w:rPr>
                <w:rFonts w:hint="eastAsia" w:ascii="宋体" w:hAnsi="宋体"/>
                <w:bCs/>
                <w:color w:val="auto"/>
                <w:szCs w:val="21"/>
                <w:highlight w:val="none"/>
              </w:rPr>
              <w:t>）满足</w:t>
            </w:r>
            <w:r>
              <w:rPr>
                <w:rFonts w:hint="eastAsia" w:ascii="宋体" w:hAnsi="宋体"/>
                <w:color w:val="auto"/>
                <w:szCs w:val="21"/>
                <w:highlight w:val="none"/>
              </w:rPr>
              <w:t>磋商</w:t>
            </w:r>
            <w:r>
              <w:rPr>
                <w:rFonts w:hint="eastAsia" w:ascii="宋体" w:hAnsi="宋体"/>
                <w:bCs/>
                <w:color w:val="auto"/>
                <w:szCs w:val="21"/>
                <w:highlight w:val="none"/>
              </w:rPr>
              <w:t>文件要求且评标报价最低的评标报价为评标基准价，基准价报价得分为</w:t>
            </w:r>
            <w:r>
              <w:rPr>
                <w:rFonts w:hint="eastAsia" w:ascii="宋体" w:hAnsi="宋体"/>
                <w:bCs/>
                <w:color w:val="auto"/>
                <w:szCs w:val="21"/>
                <w:highlight w:val="none"/>
                <w:u w:val="single"/>
              </w:rPr>
              <w:t>30</w:t>
            </w:r>
            <w:r>
              <w:rPr>
                <w:rFonts w:hint="eastAsia" w:ascii="宋体" w:hAnsi="宋体"/>
                <w:bCs/>
                <w:color w:val="auto"/>
                <w:szCs w:val="21"/>
                <w:highlight w:val="none"/>
              </w:rPr>
              <w:t>分。</w:t>
            </w:r>
          </w:p>
          <w:p w14:paraId="438169F1">
            <w:pPr>
              <w:spacing w:line="400" w:lineRule="exact"/>
              <w:ind w:firstLine="441" w:firstLineChars="210"/>
              <w:rPr>
                <w:rFonts w:ascii="宋体" w:hAnsi="宋体"/>
                <w:bCs/>
                <w:color w:val="auto"/>
                <w:szCs w:val="21"/>
                <w:highlight w:val="none"/>
              </w:rPr>
            </w:pPr>
            <w:r>
              <w:rPr>
                <w:rFonts w:hint="eastAsia" w:ascii="宋体" w:hAnsi="宋体"/>
                <w:bCs/>
                <w:color w:val="auto"/>
                <w:szCs w:val="21"/>
                <w:highlight w:val="none"/>
              </w:rPr>
              <w:t>（</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）价格分计算公式：        </w:t>
            </w:r>
          </w:p>
          <w:p w14:paraId="3E6FDC07">
            <w:pPr>
              <w:spacing w:line="400" w:lineRule="exact"/>
              <w:ind w:firstLine="630" w:firstLineChars="300"/>
              <w:rPr>
                <w:rFonts w:ascii="宋体" w:hAnsi="宋体" w:cs="宋体"/>
                <w:bCs/>
                <w:color w:val="auto"/>
                <w:szCs w:val="21"/>
                <w:highlight w:val="none"/>
              </w:rPr>
            </w:pPr>
            <w:r>
              <w:rPr>
                <w:rFonts w:hint="eastAsia" w:ascii="宋体" w:hAnsi="宋体"/>
                <w:bCs/>
                <w:color w:val="auto"/>
                <w:szCs w:val="21"/>
                <w:highlight w:val="none"/>
              </w:rPr>
              <w:t>价格分</w:t>
            </w:r>
            <w:r>
              <w:rPr>
                <w:rFonts w:hint="eastAsia" w:ascii="宋体" w:hAnsi="宋体" w:cs="Courier New"/>
                <w:bCs/>
                <w:color w:val="auto"/>
                <w:szCs w:val="21"/>
                <w:highlight w:val="none"/>
              </w:rPr>
              <w:t>=(评标基准价／评标报价)×</w:t>
            </w:r>
            <w:r>
              <w:rPr>
                <w:rFonts w:hint="eastAsia" w:ascii="宋体" w:hAnsi="宋体"/>
                <w:bCs/>
                <w:color w:val="auto"/>
                <w:szCs w:val="21"/>
                <w:highlight w:val="none"/>
              </w:rPr>
              <w:t>30</w:t>
            </w:r>
            <w:r>
              <w:rPr>
                <w:rFonts w:hint="eastAsia" w:ascii="宋体" w:hAnsi="宋体" w:cs="Courier New"/>
                <w:bCs/>
                <w:color w:val="auto"/>
                <w:szCs w:val="21"/>
                <w:highlight w:val="none"/>
              </w:rPr>
              <w:t>分</w:t>
            </w:r>
          </w:p>
        </w:tc>
      </w:tr>
      <w:tr w14:paraId="38F3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jc w:val="center"/>
        </w:trPr>
        <w:tc>
          <w:tcPr>
            <w:tcW w:w="693" w:type="dxa"/>
            <w:vMerge w:val="restart"/>
            <w:tcBorders>
              <w:right w:val="single" w:color="auto" w:sz="4" w:space="0"/>
            </w:tcBorders>
            <w:vAlign w:val="center"/>
          </w:tcPr>
          <w:p w14:paraId="128F32AB">
            <w:pPr>
              <w:autoSpaceDE w:val="0"/>
              <w:autoSpaceDN w:val="0"/>
              <w:spacing w:line="400" w:lineRule="exact"/>
              <w:jc w:val="left"/>
              <w:rPr>
                <w:rFonts w:ascii="宋体" w:hAnsi="宋体"/>
                <w:color w:val="auto"/>
                <w:kern w:val="0"/>
                <w:szCs w:val="21"/>
                <w:highlight w:val="none"/>
                <w:lang w:val="ru-RU"/>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ru-RU"/>
              </w:rPr>
              <w:t>技术部分（</w:t>
            </w:r>
            <w:r>
              <w:rPr>
                <w:rFonts w:hint="eastAsia" w:ascii="宋体" w:hAnsi="宋体" w:cs="宋体"/>
                <w:color w:val="auto"/>
                <w:spacing w:val="2"/>
                <w:kern w:val="0"/>
                <w:szCs w:val="21"/>
                <w:highlight w:val="none"/>
                <w:lang w:val="ru-RU"/>
              </w:rPr>
              <w:t>满分</w:t>
            </w:r>
            <w:r>
              <w:rPr>
                <w:rFonts w:hint="eastAsia" w:ascii="宋体" w:hAnsi="宋体"/>
                <w:color w:val="auto"/>
                <w:spacing w:val="1"/>
                <w:kern w:val="0"/>
                <w:szCs w:val="21"/>
                <w:highlight w:val="none"/>
              </w:rPr>
              <w:t>70</w:t>
            </w:r>
            <w:r>
              <w:rPr>
                <w:rFonts w:hint="eastAsia" w:ascii="宋体" w:hAnsi="宋体" w:cs="宋体"/>
                <w:color w:val="auto"/>
                <w:kern w:val="0"/>
                <w:szCs w:val="21"/>
                <w:highlight w:val="none"/>
                <w:lang w:val="ru-RU"/>
              </w:rPr>
              <w:t>分）</w:t>
            </w:r>
          </w:p>
        </w:tc>
        <w:tc>
          <w:tcPr>
            <w:tcW w:w="1276" w:type="dxa"/>
            <w:vMerge w:val="restart"/>
            <w:tcBorders>
              <w:top w:val="single" w:color="auto" w:sz="4" w:space="0"/>
              <w:left w:val="single" w:color="auto" w:sz="4" w:space="0"/>
              <w:right w:val="single" w:color="auto" w:sz="4" w:space="0"/>
            </w:tcBorders>
            <w:vAlign w:val="center"/>
          </w:tcPr>
          <w:p w14:paraId="321AC604">
            <w:pPr>
              <w:autoSpaceDE w:val="0"/>
              <w:autoSpaceDN w:val="0"/>
              <w:spacing w:line="400" w:lineRule="exact"/>
              <w:jc w:val="left"/>
              <w:rPr>
                <w:rFonts w:ascii="宋体" w:hAnsi="宋体"/>
                <w:color w:val="auto"/>
                <w:kern w:val="0"/>
                <w:szCs w:val="21"/>
                <w:highlight w:val="none"/>
                <w:lang w:val="ru-RU"/>
              </w:rPr>
            </w:pPr>
            <w:r>
              <w:rPr>
                <w:rFonts w:hint="eastAsia" w:ascii="宋体" w:hAnsi="宋体" w:cs="宋体"/>
                <w:color w:val="auto"/>
                <w:spacing w:val="1"/>
                <w:kern w:val="0"/>
                <w:szCs w:val="21"/>
                <w:highlight w:val="none"/>
                <w:lang w:val="ru-RU"/>
              </w:rPr>
              <w:t>项目管理机构</w:t>
            </w:r>
            <w:r>
              <w:rPr>
                <w:rFonts w:hint="eastAsia" w:ascii="宋体" w:hAnsi="宋体" w:cs="宋体"/>
                <w:color w:val="auto"/>
                <w:spacing w:val="2"/>
                <w:kern w:val="0"/>
                <w:szCs w:val="21"/>
                <w:highlight w:val="none"/>
                <w:lang w:val="ru-RU"/>
              </w:rPr>
              <w:t>（满分</w:t>
            </w:r>
            <w:r>
              <w:rPr>
                <w:rFonts w:hint="eastAsia" w:ascii="宋体" w:hAnsi="宋体"/>
                <w:color w:val="auto"/>
                <w:kern w:val="0"/>
                <w:szCs w:val="21"/>
                <w:highlight w:val="none"/>
              </w:rPr>
              <w:t>2</w:t>
            </w:r>
            <w:r>
              <w:rPr>
                <w:rFonts w:ascii="宋体" w:hAnsi="宋体"/>
                <w:color w:val="auto"/>
                <w:kern w:val="0"/>
                <w:szCs w:val="21"/>
                <w:highlight w:val="none"/>
                <w:lang w:val="ru-RU"/>
              </w:rPr>
              <w:t>0</w:t>
            </w:r>
            <w:r>
              <w:rPr>
                <w:rFonts w:hint="eastAsia" w:ascii="宋体" w:hAnsi="宋体" w:cs="宋体"/>
                <w:color w:val="auto"/>
                <w:kern w:val="0"/>
                <w:szCs w:val="21"/>
                <w:highlight w:val="none"/>
                <w:lang w:val="ru-RU"/>
              </w:rPr>
              <w:t>分）</w:t>
            </w:r>
          </w:p>
          <w:p w14:paraId="29E24F61">
            <w:pPr>
              <w:spacing w:line="400" w:lineRule="exact"/>
              <w:rPr>
                <w:rFonts w:ascii="宋体" w:hAnsi="宋体"/>
                <w:color w:val="auto"/>
                <w:szCs w:val="21"/>
                <w:highlight w:val="none"/>
                <w:lang w:val="ru-RU"/>
              </w:rPr>
            </w:pPr>
          </w:p>
        </w:tc>
        <w:tc>
          <w:tcPr>
            <w:tcW w:w="1559" w:type="dxa"/>
            <w:tcBorders>
              <w:left w:val="single" w:color="auto" w:sz="4" w:space="0"/>
            </w:tcBorders>
            <w:vAlign w:val="center"/>
          </w:tcPr>
          <w:p w14:paraId="6BD661A6">
            <w:pPr>
              <w:spacing w:line="400" w:lineRule="exact"/>
              <w:rPr>
                <w:rFonts w:ascii="宋体" w:hAnsi="宋体"/>
                <w:color w:val="auto"/>
                <w:szCs w:val="21"/>
                <w:highlight w:val="none"/>
              </w:rPr>
            </w:pPr>
            <w:r>
              <w:rPr>
                <w:rFonts w:hint="eastAsia" w:ascii="宋体" w:hAnsi="宋体"/>
                <w:color w:val="auto"/>
                <w:szCs w:val="21"/>
                <w:highlight w:val="none"/>
              </w:rPr>
              <w:t>项目经理任职资格与业绩、工作经历等（</w:t>
            </w:r>
            <w:r>
              <w:rPr>
                <w:rFonts w:hint="eastAsia" w:ascii="宋体" w:hAnsi="宋体" w:cs="宋体"/>
                <w:color w:val="auto"/>
                <w:spacing w:val="2"/>
                <w:szCs w:val="21"/>
                <w:highlight w:val="none"/>
              </w:rPr>
              <w:t>满分</w:t>
            </w:r>
            <w:r>
              <w:rPr>
                <w:rFonts w:hint="eastAsia" w:ascii="宋体" w:hAnsi="宋体"/>
                <w:color w:val="auto"/>
                <w:szCs w:val="21"/>
                <w:highlight w:val="none"/>
              </w:rPr>
              <w:t>10分）</w:t>
            </w:r>
          </w:p>
        </w:tc>
        <w:tc>
          <w:tcPr>
            <w:tcW w:w="6078" w:type="dxa"/>
            <w:vAlign w:val="center"/>
          </w:tcPr>
          <w:p w14:paraId="3D7188F6">
            <w:pPr>
              <w:numPr>
                <w:ilvl w:val="0"/>
                <w:numId w:val="0"/>
              </w:num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项目经理资质：项目经理满足采购文件资格要求的得</w:t>
            </w:r>
            <w:r>
              <w:rPr>
                <w:rFonts w:hint="eastAsia" w:ascii="宋体" w:hAnsi="宋体" w:cs="微软雅黑"/>
                <w:color w:val="auto"/>
                <w:kern w:val="0"/>
                <w:szCs w:val="21"/>
                <w:highlight w:val="none"/>
                <w:lang w:val="en-US" w:eastAsia="zh-CN"/>
              </w:rPr>
              <w:t>10</w:t>
            </w:r>
            <w:r>
              <w:rPr>
                <w:rFonts w:hint="eastAsia" w:ascii="宋体" w:hAnsi="宋体" w:cs="微软雅黑"/>
                <w:color w:val="auto"/>
                <w:kern w:val="0"/>
                <w:szCs w:val="21"/>
                <w:highlight w:val="none"/>
              </w:rPr>
              <w:t>分。</w:t>
            </w:r>
          </w:p>
          <w:p w14:paraId="238F80F3">
            <w:pPr>
              <w:spacing w:line="400" w:lineRule="exact"/>
              <w:rPr>
                <w:rFonts w:ascii="宋体" w:hAnsi="宋体"/>
                <w:color w:val="auto"/>
                <w:szCs w:val="21"/>
                <w:highlight w:val="none"/>
              </w:rPr>
            </w:pPr>
          </w:p>
        </w:tc>
      </w:tr>
      <w:tr w14:paraId="5EAD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93" w:type="dxa"/>
            <w:vMerge w:val="continue"/>
            <w:tcBorders>
              <w:right w:val="single" w:color="auto" w:sz="4" w:space="0"/>
            </w:tcBorders>
            <w:vAlign w:val="center"/>
          </w:tcPr>
          <w:p w14:paraId="1D16CF1D">
            <w:pPr>
              <w:autoSpaceDE w:val="0"/>
              <w:autoSpaceDN w:val="0"/>
              <w:spacing w:line="400" w:lineRule="exact"/>
              <w:jc w:val="left"/>
              <w:rPr>
                <w:rFonts w:ascii="宋体" w:hAnsi="宋体" w:cs="宋体"/>
                <w:color w:val="auto"/>
                <w:kern w:val="0"/>
                <w:szCs w:val="21"/>
                <w:highlight w:val="none"/>
                <w:lang w:val="ru-RU"/>
              </w:rPr>
            </w:pPr>
          </w:p>
        </w:tc>
        <w:tc>
          <w:tcPr>
            <w:tcW w:w="1276" w:type="dxa"/>
            <w:vMerge w:val="continue"/>
            <w:tcBorders>
              <w:left w:val="single" w:color="auto" w:sz="4" w:space="0"/>
              <w:right w:val="single" w:color="auto" w:sz="4" w:space="0"/>
            </w:tcBorders>
            <w:vAlign w:val="center"/>
          </w:tcPr>
          <w:p w14:paraId="4F62E253">
            <w:pPr>
              <w:spacing w:line="400" w:lineRule="exact"/>
              <w:rPr>
                <w:rFonts w:ascii="宋体" w:hAnsi="宋体"/>
                <w:color w:val="auto"/>
                <w:szCs w:val="21"/>
                <w:highlight w:val="none"/>
              </w:rPr>
            </w:pPr>
          </w:p>
        </w:tc>
        <w:tc>
          <w:tcPr>
            <w:tcW w:w="1559" w:type="dxa"/>
            <w:tcBorders>
              <w:left w:val="single" w:color="auto" w:sz="4" w:space="0"/>
            </w:tcBorders>
            <w:vAlign w:val="center"/>
          </w:tcPr>
          <w:p w14:paraId="28DC6820">
            <w:pPr>
              <w:autoSpaceDE w:val="0"/>
              <w:autoSpaceDN w:val="0"/>
              <w:spacing w:line="400" w:lineRule="exact"/>
              <w:jc w:val="left"/>
              <w:rPr>
                <w:rFonts w:ascii="宋体" w:hAnsi="宋体" w:cs="宋体"/>
                <w:color w:val="auto"/>
                <w:spacing w:val="-21"/>
                <w:kern w:val="0"/>
                <w:szCs w:val="21"/>
                <w:highlight w:val="none"/>
                <w:lang w:val="ru-RU"/>
              </w:rPr>
            </w:pPr>
            <w:r>
              <w:rPr>
                <w:rFonts w:hint="eastAsia" w:ascii="宋体" w:hAnsi="宋体" w:cs="宋体"/>
                <w:color w:val="auto"/>
                <w:kern w:val="0"/>
                <w:szCs w:val="21"/>
                <w:highlight w:val="none"/>
                <w:lang w:val="ru-RU"/>
              </w:rPr>
              <w:t>其他主要</w:t>
            </w:r>
            <w:r>
              <w:rPr>
                <w:rFonts w:hint="eastAsia" w:ascii="宋体" w:hAnsi="宋体" w:cs="宋体"/>
                <w:color w:val="auto"/>
                <w:spacing w:val="-21"/>
                <w:kern w:val="0"/>
                <w:szCs w:val="21"/>
                <w:highlight w:val="none"/>
                <w:lang w:val="ru-RU"/>
              </w:rPr>
              <w:t>人员</w:t>
            </w:r>
          </w:p>
          <w:p w14:paraId="6CA44308">
            <w:pPr>
              <w:autoSpaceDE w:val="0"/>
              <w:autoSpaceDN w:val="0"/>
              <w:spacing w:line="400" w:lineRule="exact"/>
              <w:jc w:val="left"/>
              <w:rPr>
                <w:rFonts w:ascii="宋体" w:hAnsi="宋体"/>
                <w:color w:val="auto"/>
                <w:kern w:val="0"/>
                <w:szCs w:val="21"/>
                <w:highlight w:val="none"/>
                <w:lang w:val="ru-RU"/>
              </w:rPr>
            </w:pPr>
            <w:r>
              <w:rPr>
                <w:rFonts w:hint="eastAsia" w:ascii="宋体" w:hAnsi="宋体" w:cs="宋体"/>
                <w:color w:val="auto"/>
                <w:spacing w:val="-21"/>
                <w:kern w:val="0"/>
                <w:szCs w:val="21"/>
                <w:highlight w:val="none"/>
                <w:lang w:val="ru-RU"/>
              </w:rPr>
              <w:t>（</w:t>
            </w:r>
            <w:r>
              <w:rPr>
                <w:rFonts w:hint="eastAsia" w:ascii="宋体" w:hAnsi="宋体" w:cs="宋体"/>
                <w:color w:val="auto"/>
                <w:spacing w:val="2"/>
                <w:kern w:val="0"/>
                <w:szCs w:val="21"/>
                <w:highlight w:val="none"/>
                <w:lang w:val="ru-RU"/>
              </w:rPr>
              <w:t>满分</w:t>
            </w:r>
            <w:r>
              <w:rPr>
                <w:rFonts w:hint="eastAsia" w:ascii="宋体" w:hAnsi="宋体"/>
                <w:color w:val="auto"/>
                <w:kern w:val="0"/>
                <w:szCs w:val="21"/>
                <w:highlight w:val="none"/>
              </w:rPr>
              <w:t>10</w:t>
            </w:r>
            <w:r>
              <w:rPr>
                <w:rFonts w:hint="eastAsia" w:ascii="宋体" w:hAnsi="宋体" w:cs="宋体"/>
                <w:color w:val="auto"/>
                <w:spacing w:val="1"/>
                <w:kern w:val="0"/>
                <w:szCs w:val="21"/>
                <w:highlight w:val="none"/>
                <w:lang w:val="ru-RU"/>
              </w:rPr>
              <w:t>分）</w:t>
            </w:r>
          </w:p>
        </w:tc>
        <w:tc>
          <w:tcPr>
            <w:tcW w:w="6078" w:type="dxa"/>
            <w:vAlign w:val="center"/>
          </w:tcPr>
          <w:p w14:paraId="6A5D3DEF">
            <w:pPr>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拟派任技术负责人具备</w:t>
            </w:r>
            <w:r>
              <w:rPr>
                <w:rFonts w:hint="eastAsia" w:ascii="宋体" w:hAnsi="宋体"/>
                <w:color w:val="auto"/>
                <w:szCs w:val="21"/>
                <w:highlight w:val="none"/>
                <w:lang w:eastAsia="zh-CN"/>
              </w:rPr>
              <w:t>相关工程类</w:t>
            </w:r>
            <w:r>
              <w:rPr>
                <w:rFonts w:hint="eastAsia" w:ascii="宋体" w:hAnsi="宋体"/>
                <w:color w:val="auto"/>
                <w:szCs w:val="21"/>
                <w:highlight w:val="none"/>
              </w:rPr>
              <w:t>中级及以上职称的得</w:t>
            </w:r>
            <w:r>
              <w:rPr>
                <w:rFonts w:hint="eastAsia" w:ascii="宋体" w:hAnsi="宋体"/>
                <w:color w:val="auto"/>
                <w:szCs w:val="21"/>
                <w:highlight w:val="none"/>
                <w:lang w:val="en-US" w:eastAsia="zh-CN"/>
              </w:rPr>
              <w:t>10</w:t>
            </w:r>
            <w:r>
              <w:rPr>
                <w:rFonts w:hint="eastAsia" w:ascii="宋体" w:hAnsi="宋体"/>
                <w:color w:val="auto"/>
                <w:szCs w:val="21"/>
                <w:highlight w:val="none"/>
              </w:rPr>
              <w:t xml:space="preserve"> 分</w:t>
            </w:r>
            <w:r>
              <w:rPr>
                <w:rFonts w:hint="eastAsia" w:ascii="宋体" w:hAnsi="宋体"/>
                <w:color w:val="auto"/>
                <w:szCs w:val="21"/>
                <w:highlight w:val="none"/>
                <w:lang w:eastAsia="zh-CN"/>
              </w:rPr>
              <w:t>。</w:t>
            </w:r>
          </w:p>
        </w:tc>
      </w:tr>
      <w:tr w14:paraId="1DA9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jc w:val="center"/>
        </w:trPr>
        <w:tc>
          <w:tcPr>
            <w:tcW w:w="693" w:type="dxa"/>
            <w:vMerge w:val="continue"/>
            <w:tcBorders>
              <w:right w:val="single" w:color="auto" w:sz="4" w:space="0"/>
            </w:tcBorders>
            <w:vAlign w:val="center"/>
          </w:tcPr>
          <w:p w14:paraId="3B1204AA">
            <w:pPr>
              <w:spacing w:line="400" w:lineRule="exact"/>
              <w:rPr>
                <w:rFonts w:ascii="宋体" w:hAnsi="宋体"/>
                <w:color w:val="auto"/>
                <w:szCs w:val="21"/>
                <w:highlight w:val="none"/>
              </w:rPr>
            </w:pPr>
          </w:p>
        </w:tc>
        <w:tc>
          <w:tcPr>
            <w:tcW w:w="1276" w:type="dxa"/>
            <w:vMerge w:val="restart"/>
            <w:tcBorders>
              <w:left w:val="single" w:color="auto" w:sz="4" w:space="0"/>
            </w:tcBorders>
            <w:vAlign w:val="center"/>
          </w:tcPr>
          <w:p w14:paraId="63BA85A4">
            <w:pPr>
              <w:autoSpaceDE w:val="0"/>
              <w:autoSpaceDN w:val="0"/>
              <w:spacing w:line="400" w:lineRule="exact"/>
              <w:jc w:val="left"/>
              <w:rPr>
                <w:rFonts w:ascii="宋体" w:hAnsi="宋体"/>
                <w:color w:val="auto"/>
                <w:kern w:val="0"/>
                <w:szCs w:val="21"/>
                <w:highlight w:val="none"/>
                <w:lang w:val="ru-RU"/>
              </w:rPr>
            </w:pPr>
            <w:r>
              <w:rPr>
                <w:rFonts w:hint="eastAsia" w:ascii="宋体" w:hAnsi="宋体" w:cs="宋体"/>
                <w:color w:val="auto"/>
                <w:spacing w:val="1"/>
                <w:kern w:val="0"/>
                <w:szCs w:val="21"/>
                <w:highlight w:val="none"/>
                <w:lang w:val="ru-RU"/>
              </w:rPr>
              <w:t>施工组织设计</w:t>
            </w:r>
            <w:r>
              <w:rPr>
                <w:rFonts w:hint="eastAsia" w:ascii="宋体" w:hAnsi="宋体" w:cs="宋体"/>
                <w:color w:val="auto"/>
                <w:kern w:val="0"/>
                <w:szCs w:val="21"/>
                <w:highlight w:val="none"/>
                <w:lang w:val="ru-RU"/>
              </w:rPr>
              <w:t>（</w:t>
            </w:r>
            <w:r>
              <w:rPr>
                <w:rFonts w:hint="eastAsia" w:ascii="宋体" w:hAnsi="宋体" w:cs="宋体"/>
                <w:color w:val="auto"/>
                <w:spacing w:val="2"/>
                <w:kern w:val="0"/>
                <w:szCs w:val="21"/>
                <w:highlight w:val="none"/>
                <w:lang w:val="ru-RU"/>
              </w:rPr>
              <w:t>满分</w:t>
            </w:r>
            <w:r>
              <w:rPr>
                <w:rFonts w:ascii="宋体" w:hAnsi="宋体"/>
                <w:color w:val="auto"/>
                <w:spacing w:val="-1"/>
                <w:kern w:val="0"/>
                <w:szCs w:val="21"/>
                <w:highlight w:val="none"/>
                <w:lang w:val="ru-RU"/>
              </w:rPr>
              <w:t>50</w:t>
            </w:r>
            <w:r>
              <w:rPr>
                <w:rFonts w:hint="eastAsia" w:ascii="宋体" w:hAnsi="宋体"/>
                <w:color w:val="auto"/>
                <w:spacing w:val="-1"/>
                <w:kern w:val="0"/>
                <w:szCs w:val="21"/>
                <w:highlight w:val="none"/>
                <w:lang w:val="ru-RU"/>
              </w:rPr>
              <w:t>分</w:t>
            </w:r>
            <w:r>
              <w:rPr>
                <w:rFonts w:ascii="宋体" w:hAnsi="宋体"/>
                <w:color w:val="auto"/>
                <w:kern w:val="0"/>
                <w:szCs w:val="21"/>
                <w:highlight w:val="none"/>
                <w:lang w:val="ru-RU"/>
              </w:rPr>
              <w:t xml:space="preserve"> </w:t>
            </w:r>
            <w:r>
              <w:rPr>
                <w:rFonts w:hint="eastAsia" w:ascii="宋体" w:hAnsi="宋体" w:cs="宋体"/>
                <w:color w:val="auto"/>
                <w:kern w:val="0"/>
                <w:szCs w:val="21"/>
                <w:highlight w:val="none"/>
                <w:lang w:val="ru-RU"/>
              </w:rPr>
              <w:t>）</w:t>
            </w:r>
          </w:p>
          <w:p w14:paraId="55ED193E">
            <w:pPr>
              <w:spacing w:line="400" w:lineRule="exact"/>
              <w:rPr>
                <w:rFonts w:ascii="宋体" w:hAnsi="宋体"/>
                <w:color w:val="auto"/>
                <w:szCs w:val="21"/>
                <w:highlight w:val="none"/>
              </w:rPr>
            </w:pPr>
          </w:p>
        </w:tc>
        <w:tc>
          <w:tcPr>
            <w:tcW w:w="1559" w:type="dxa"/>
            <w:vAlign w:val="center"/>
          </w:tcPr>
          <w:p w14:paraId="13CCF0CF">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主要施工方法</w:t>
            </w:r>
          </w:p>
          <w:p w14:paraId="29C5AD8D">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（满分8分）</w:t>
            </w:r>
          </w:p>
          <w:p w14:paraId="479DC15D">
            <w:pPr>
              <w:spacing w:line="400" w:lineRule="exact"/>
              <w:rPr>
                <w:rFonts w:ascii="宋体" w:hAnsi="宋体" w:cs="微软雅黑"/>
                <w:color w:val="auto"/>
                <w:kern w:val="0"/>
                <w:szCs w:val="21"/>
                <w:highlight w:val="none"/>
              </w:rPr>
            </w:pPr>
          </w:p>
        </w:tc>
        <w:tc>
          <w:tcPr>
            <w:tcW w:w="6078" w:type="dxa"/>
            <w:vAlign w:val="center"/>
          </w:tcPr>
          <w:p w14:paraId="317F6E76">
            <w:pPr>
              <w:spacing w:line="400" w:lineRule="exact"/>
              <w:rPr>
                <w:rFonts w:ascii="宋体" w:hAnsi="宋体"/>
                <w:color w:val="auto"/>
                <w:szCs w:val="21"/>
                <w:highlight w:val="none"/>
              </w:rPr>
            </w:pPr>
            <w:r>
              <w:rPr>
                <w:rFonts w:hint="eastAsia" w:ascii="宋体" w:hAnsi="宋体" w:cs="微软雅黑"/>
                <w:color w:val="auto"/>
                <w:kern w:val="0"/>
                <w:szCs w:val="21"/>
                <w:highlight w:val="none"/>
              </w:rPr>
              <w:t>优（8 分）：</w:t>
            </w:r>
            <w:r>
              <w:rPr>
                <w:rFonts w:ascii="宋体" w:hAnsi="宋体"/>
                <w:color w:val="auto"/>
                <w:szCs w:val="21"/>
                <w:highlight w:val="none"/>
              </w:rPr>
              <w:t>各主要分部施工方法针对性强，施工技术方案详尽周密，工艺先进、方法科学、可行，能很好的指导具体施工并确保安全。</w:t>
            </w:r>
          </w:p>
          <w:p w14:paraId="040E435F">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良（6分）：</w:t>
            </w:r>
            <w:r>
              <w:rPr>
                <w:rFonts w:ascii="宋体" w:hAnsi="宋体"/>
                <w:color w:val="auto"/>
                <w:szCs w:val="21"/>
                <w:highlight w:val="none"/>
              </w:rPr>
              <w:t>各主要分部施工方法符合项目实际，施工技术方案齐全，工艺成熟、方法合理、可行，能指导具体施工并确保安全。</w:t>
            </w:r>
            <w:r>
              <w:rPr>
                <w:rFonts w:hint="eastAsia" w:ascii="宋体" w:hAnsi="宋体" w:cs="微软雅黑"/>
                <w:color w:val="auto"/>
                <w:kern w:val="0"/>
                <w:szCs w:val="21"/>
                <w:highlight w:val="none"/>
              </w:rPr>
              <w:t>。</w:t>
            </w:r>
          </w:p>
          <w:p w14:paraId="59784AEE">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中（3 分）：</w:t>
            </w:r>
            <w:r>
              <w:rPr>
                <w:rFonts w:ascii="宋体" w:hAnsi="宋体"/>
                <w:color w:val="auto"/>
                <w:szCs w:val="21"/>
                <w:highlight w:val="none"/>
              </w:rPr>
              <w:t>各主要分部施工方法基本符合项目实际，施工技术方案基本齐全，方法基本合理、基本可行，基本能指导具体施工并确保安全</w:t>
            </w:r>
            <w:r>
              <w:rPr>
                <w:rFonts w:hint="eastAsia" w:ascii="宋体" w:hAnsi="宋体" w:cs="微软雅黑"/>
                <w:color w:val="auto"/>
                <w:kern w:val="0"/>
                <w:szCs w:val="21"/>
                <w:highlight w:val="none"/>
              </w:rPr>
              <w:t>。</w:t>
            </w:r>
          </w:p>
          <w:p w14:paraId="358EFCEE">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差（1 分）：各主要分部施工方法不符合项目实际，有施工技术方案，工艺一般，不能指导具体施工并确保安全。</w:t>
            </w:r>
          </w:p>
        </w:tc>
      </w:tr>
      <w:tr w14:paraId="3B274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693" w:type="dxa"/>
            <w:vMerge w:val="continue"/>
            <w:tcBorders>
              <w:right w:val="single" w:color="auto" w:sz="4" w:space="0"/>
            </w:tcBorders>
            <w:vAlign w:val="center"/>
          </w:tcPr>
          <w:p w14:paraId="36589AB7">
            <w:pPr>
              <w:spacing w:line="400" w:lineRule="exact"/>
              <w:rPr>
                <w:rFonts w:ascii="宋体" w:hAnsi="宋体"/>
                <w:color w:val="auto"/>
                <w:szCs w:val="21"/>
                <w:highlight w:val="none"/>
              </w:rPr>
            </w:pPr>
          </w:p>
        </w:tc>
        <w:tc>
          <w:tcPr>
            <w:tcW w:w="1276" w:type="dxa"/>
            <w:vMerge w:val="continue"/>
            <w:tcBorders>
              <w:left w:val="single" w:color="auto" w:sz="4" w:space="0"/>
            </w:tcBorders>
            <w:vAlign w:val="center"/>
          </w:tcPr>
          <w:p w14:paraId="7D89710B">
            <w:pPr>
              <w:spacing w:line="400" w:lineRule="exact"/>
              <w:rPr>
                <w:rFonts w:ascii="宋体" w:hAnsi="宋体"/>
                <w:color w:val="auto"/>
                <w:szCs w:val="21"/>
                <w:highlight w:val="none"/>
              </w:rPr>
            </w:pPr>
          </w:p>
        </w:tc>
        <w:tc>
          <w:tcPr>
            <w:tcW w:w="1559" w:type="dxa"/>
            <w:vAlign w:val="center"/>
          </w:tcPr>
          <w:p w14:paraId="75A9ACF6">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拟投入的主要物资计划</w:t>
            </w:r>
          </w:p>
          <w:p w14:paraId="2AEE4DA7">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（满分6分）</w:t>
            </w:r>
          </w:p>
        </w:tc>
        <w:tc>
          <w:tcPr>
            <w:tcW w:w="6078" w:type="dxa"/>
            <w:vAlign w:val="center"/>
          </w:tcPr>
          <w:p w14:paraId="284D8337">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优（6分）：投入的施工材料有详细的组织计划且计划周密，数量、选型配置、进场时间安排合理，满足施工需要。</w:t>
            </w:r>
          </w:p>
          <w:p w14:paraId="02C7A300">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良（4分）：投入的施工材料有详细的组织计划但计划一般，数量、选型配置、进场时间安排合理，满足施工需要。</w:t>
            </w:r>
          </w:p>
          <w:p w14:paraId="406D855B">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中（2 分）：投入的施工材料有组织计划但计划一般，数量、选型配置、进场时间安排合理，基本满足施工需要。</w:t>
            </w:r>
          </w:p>
          <w:p w14:paraId="041BB597">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差（1 分）：投入的施工材料无组织计划，数量、选型配置、进场时间安排不合理，不满足施工需要。</w:t>
            </w:r>
          </w:p>
        </w:tc>
      </w:tr>
      <w:tr w14:paraId="53B6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693" w:type="dxa"/>
            <w:vMerge w:val="continue"/>
            <w:tcBorders>
              <w:right w:val="single" w:color="auto" w:sz="4" w:space="0"/>
            </w:tcBorders>
            <w:vAlign w:val="center"/>
          </w:tcPr>
          <w:p w14:paraId="0AEA1F22">
            <w:pPr>
              <w:spacing w:line="400" w:lineRule="exact"/>
              <w:rPr>
                <w:rFonts w:ascii="宋体" w:hAnsi="宋体"/>
                <w:color w:val="auto"/>
                <w:szCs w:val="21"/>
                <w:highlight w:val="none"/>
              </w:rPr>
            </w:pPr>
          </w:p>
        </w:tc>
        <w:tc>
          <w:tcPr>
            <w:tcW w:w="1276" w:type="dxa"/>
            <w:vMerge w:val="continue"/>
            <w:tcBorders>
              <w:left w:val="single" w:color="auto" w:sz="4" w:space="0"/>
            </w:tcBorders>
            <w:vAlign w:val="center"/>
          </w:tcPr>
          <w:p w14:paraId="2B657576">
            <w:pPr>
              <w:spacing w:line="400" w:lineRule="exact"/>
              <w:rPr>
                <w:rFonts w:ascii="宋体" w:hAnsi="宋体"/>
                <w:color w:val="auto"/>
                <w:szCs w:val="21"/>
                <w:highlight w:val="none"/>
              </w:rPr>
            </w:pPr>
          </w:p>
        </w:tc>
        <w:tc>
          <w:tcPr>
            <w:tcW w:w="1559" w:type="dxa"/>
            <w:vAlign w:val="center"/>
          </w:tcPr>
          <w:p w14:paraId="7A05B0BC">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拟投入的主要施工机械、设备计划</w:t>
            </w:r>
          </w:p>
          <w:p w14:paraId="72CE2E13">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（满分</w:t>
            </w:r>
            <w:r>
              <w:rPr>
                <w:rFonts w:ascii="宋体" w:hAnsi="宋体" w:cs="微软雅黑"/>
                <w:color w:val="auto"/>
                <w:kern w:val="0"/>
                <w:szCs w:val="21"/>
                <w:highlight w:val="none"/>
              </w:rPr>
              <w:t>6</w:t>
            </w:r>
            <w:r>
              <w:rPr>
                <w:rFonts w:hint="eastAsia" w:ascii="宋体" w:hAnsi="宋体" w:cs="微软雅黑"/>
                <w:color w:val="auto"/>
                <w:kern w:val="0"/>
                <w:szCs w:val="21"/>
                <w:highlight w:val="none"/>
              </w:rPr>
              <w:t>分）</w:t>
            </w:r>
          </w:p>
          <w:p w14:paraId="242890A9">
            <w:pPr>
              <w:spacing w:line="400" w:lineRule="exact"/>
              <w:rPr>
                <w:rFonts w:ascii="宋体" w:hAnsi="宋体" w:cs="微软雅黑"/>
                <w:color w:val="auto"/>
                <w:kern w:val="0"/>
                <w:szCs w:val="21"/>
                <w:highlight w:val="none"/>
              </w:rPr>
            </w:pPr>
          </w:p>
        </w:tc>
        <w:tc>
          <w:tcPr>
            <w:tcW w:w="6078" w:type="dxa"/>
            <w:vAlign w:val="center"/>
          </w:tcPr>
          <w:p w14:paraId="0DBB3697">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优（</w:t>
            </w:r>
            <w:r>
              <w:rPr>
                <w:rFonts w:ascii="宋体" w:hAnsi="宋体" w:cs="微软雅黑"/>
                <w:color w:val="auto"/>
                <w:kern w:val="0"/>
                <w:szCs w:val="21"/>
                <w:highlight w:val="none"/>
              </w:rPr>
              <w:t>6</w:t>
            </w:r>
            <w:r>
              <w:rPr>
                <w:rFonts w:hint="eastAsia" w:ascii="宋体" w:hAnsi="宋体" w:cs="微软雅黑"/>
                <w:color w:val="auto"/>
                <w:kern w:val="0"/>
                <w:szCs w:val="21"/>
                <w:highlight w:val="none"/>
              </w:rPr>
              <w:t>分）：投入的施工机械、设备、机具有详细的组织计划且计划周密，设备数量、选型配置、进场时间安排合理，满足施工需要。</w:t>
            </w:r>
          </w:p>
          <w:p w14:paraId="3D98454F">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良（4 分）：投入的施工机械、设备、机具有详细的组织计划但计划一般，设备数量、选型配置、进场时间安排合理，满足施工需要。</w:t>
            </w:r>
          </w:p>
          <w:p w14:paraId="0A21F31E">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中（2 分）：投入的施工机械、设备、机具有组织计划但计划一般，设备数量、选型配置、进场时间安排合理，基本满足施工需要。</w:t>
            </w:r>
          </w:p>
          <w:p w14:paraId="21E425AC">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差（1 分）：投入的施工机械、设备、机具无组织计划，设备数量、选型配置、进场时间安排不合理，不满足施工需要。</w:t>
            </w:r>
          </w:p>
        </w:tc>
      </w:tr>
      <w:tr w14:paraId="06CF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jc w:val="center"/>
        </w:trPr>
        <w:tc>
          <w:tcPr>
            <w:tcW w:w="693" w:type="dxa"/>
            <w:vMerge w:val="continue"/>
            <w:tcBorders>
              <w:right w:val="single" w:color="auto" w:sz="4" w:space="0"/>
            </w:tcBorders>
            <w:vAlign w:val="center"/>
          </w:tcPr>
          <w:p w14:paraId="1B4D1AF4">
            <w:pPr>
              <w:spacing w:line="400" w:lineRule="exact"/>
              <w:rPr>
                <w:rFonts w:ascii="宋体" w:hAnsi="宋体"/>
                <w:color w:val="auto"/>
                <w:szCs w:val="21"/>
                <w:highlight w:val="none"/>
              </w:rPr>
            </w:pPr>
          </w:p>
        </w:tc>
        <w:tc>
          <w:tcPr>
            <w:tcW w:w="1276" w:type="dxa"/>
            <w:vMerge w:val="continue"/>
            <w:tcBorders>
              <w:left w:val="single" w:color="auto" w:sz="4" w:space="0"/>
            </w:tcBorders>
            <w:vAlign w:val="center"/>
          </w:tcPr>
          <w:p w14:paraId="618E2274">
            <w:pPr>
              <w:spacing w:line="400" w:lineRule="exact"/>
              <w:rPr>
                <w:rFonts w:ascii="宋体" w:hAnsi="宋体"/>
                <w:color w:val="auto"/>
                <w:szCs w:val="21"/>
                <w:highlight w:val="none"/>
              </w:rPr>
            </w:pPr>
          </w:p>
        </w:tc>
        <w:tc>
          <w:tcPr>
            <w:tcW w:w="1559" w:type="dxa"/>
            <w:vAlign w:val="center"/>
          </w:tcPr>
          <w:p w14:paraId="24662A91">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劳动力安排计划（满分6分）</w:t>
            </w:r>
          </w:p>
        </w:tc>
        <w:tc>
          <w:tcPr>
            <w:tcW w:w="6078" w:type="dxa"/>
            <w:vAlign w:val="center"/>
          </w:tcPr>
          <w:p w14:paraId="2375240A">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优（6分）：各主要施工工序有详细周密的劳动力安排计划，有各工种劳动力安排计划，劳动力投入合理，满足施工需要。</w:t>
            </w:r>
          </w:p>
          <w:p w14:paraId="46678D77">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良（4分）：各主要施工工序有劳动力安排计划，有各工种劳动力安排计划，劳动力投入合理，满足施工需要。</w:t>
            </w:r>
          </w:p>
          <w:p w14:paraId="572D78B0">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中（</w:t>
            </w:r>
            <w:r>
              <w:rPr>
                <w:rFonts w:ascii="宋体" w:hAnsi="宋体" w:cs="微软雅黑"/>
                <w:color w:val="auto"/>
                <w:kern w:val="0"/>
                <w:szCs w:val="21"/>
                <w:highlight w:val="none"/>
              </w:rPr>
              <w:t>2</w:t>
            </w:r>
            <w:r>
              <w:rPr>
                <w:rFonts w:hint="eastAsia" w:ascii="宋体" w:hAnsi="宋体" w:cs="微软雅黑"/>
                <w:color w:val="auto"/>
                <w:kern w:val="0"/>
                <w:szCs w:val="21"/>
                <w:highlight w:val="none"/>
              </w:rPr>
              <w:t>分）：各主要施工工序只有劳动力安排计划，无各工种劳动力安排计划，劳动力投入合理，基本满足施工需要。</w:t>
            </w:r>
          </w:p>
          <w:p w14:paraId="73937788">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差（</w:t>
            </w:r>
            <w:r>
              <w:rPr>
                <w:rFonts w:ascii="宋体" w:hAnsi="宋体" w:cs="微软雅黑"/>
                <w:color w:val="auto"/>
                <w:kern w:val="0"/>
                <w:szCs w:val="21"/>
                <w:highlight w:val="none"/>
              </w:rPr>
              <w:t>1</w:t>
            </w:r>
            <w:r>
              <w:rPr>
                <w:rFonts w:hint="eastAsia" w:ascii="宋体" w:hAnsi="宋体" w:cs="微软雅黑"/>
                <w:color w:val="auto"/>
                <w:kern w:val="0"/>
                <w:szCs w:val="21"/>
                <w:highlight w:val="none"/>
              </w:rPr>
              <w:t>分）：各主要施工工序无劳动力安排计划，劳动力投入不合理，不满足施工需要。</w:t>
            </w:r>
          </w:p>
        </w:tc>
      </w:tr>
      <w:tr w14:paraId="11CB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3" w:hRule="atLeast"/>
          <w:jc w:val="center"/>
        </w:trPr>
        <w:tc>
          <w:tcPr>
            <w:tcW w:w="693" w:type="dxa"/>
            <w:vMerge w:val="continue"/>
            <w:tcBorders>
              <w:right w:val="single" w:color="auto" w:sz="4" w:space="0"/>
            </w:tcBorders>
            <w:vAlign w:val="center"/>
          </w:tcPr>
          <w:p w14:paraId="6E7C4B2C">
            <w:pPr>
              <w:spacing w:line="400" w:lineRule="exact"/>
              <w:rPr>
                <w:rFonts w:ascii="宋体" w:hAnsi="宋体"/>
                <w:color w:val="auto"/>
                <w:szCs w:val="21"/>
                <w:highlight w:val="none"/>
              </w:rPr>
            </w:pPr>
          </w:p>
        </w:tc>
        <w:tc>
          <w:tcPr>
            <w:tcW w:w="1276" w:type="dxa"/>
            <w:vMerge w:val="continue"/>
            <w:tcBorders>
              <w:left w:val="single" w:color="auto" w:sz="4" w:space="0"/>
            </w:tcBorders>
            <w:vAlign w:val="center"/>
          </w:tcPr>
          <w:p w14:paraId="7B30596F">
            <w:pPr>
              <w:spacing w:line="400" w:lineRule="exact"/>
              <w:rPr>
                <w:rFonts w:ascii="宋体" w:hAnsi="宋体"/>
                <w:color w:val="auto"/>
                <w:szCs w:val="21"/>
                <w:highlight w:val="none"/>
              </w:rPr>
            </w:pPr>
          </w:p>
        </w:tc>
        <w:tc>
          <w:tcPr>
            <w:tcW w:w="1559" w:type="dxa"/>
            <w:vAlign w:val="center"/>
          </w:tcPr>
          <w:p w14:paraId="1DBD870E">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确保工程质量的技术组织措施（满分7分）</w:t>
            </w:r>
          </w:p>
          <w:p w14:paraId="653E8812">
            <w:pPr>
              <w:spacing w:line="400" w:lineRule="exact"/>
              <w:rPr>
                <w:rFonts w:ascii="宋体" w:hAnsi="宋体" w:cs="微软雅黑"/>
                <w:color w:val="auto"/>
                <w:kern w:val="0"/>
                <w:szCs w:val="21"/>
                <w:highlight w:val="none"/>
              </w:rPr>
            </w:pPr>
          </w:p>
        </w:tc>
        <w:tc>
          <w:tcPr>
            <w:tcW w:w="6078" w:type="dxa"/>
            <w:vAlign w:val="center"/>
          </w:tcPr>
          <w:p w14:paraId="69F09111">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优（7分）：有专门的质量技术管理班子和制度，且人员配备合理，制度健全。主要工序有质量技术保证措施和手段，自控体系完整，能有效保证技术质量，达到承诺的质量标准。</w:t>
            </w:r>
          </w:p>
          <w:p w14:paraId="611BB4D6">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良（5</w:t>
            </w:r>
            <w:r>
              <w:rPr>
                <w:rFonts w:ascii="宋体" w:hAnsi="宋体" w:cs="微软雅黑"/>
                <w:color w:val="auto"/>
                <w:kern w:val="0"/>
                <w:szCs w:val="21"/>
                <w:highlight w:val="none"/>
              </w:rPr>
              <w:t xml:space="preserve"> </w:t>
            </w:r>
            <w:r>
              <w:rPr>
                <w:rFonts w:hint="eastAsia" w:ascii="宋体" w:hAnsi="宋体" w:cs="微软雅黑"/>
                <w:color w:val="auto"/>
                <w:kern w:val="0"/>
                <w:szCs w:val="21"/>
                <w:highlight w:val="none"/>
              </w:rPr>
              <w:t>分）：有质量技术管理班子和制度，且人员配备合理，制度健全。主要工序有质量技术保证措施和手段，自控体系完整，能有效保证技术质量，达到承诺的质量标准。</w:t>
            </w:r>
          </w:p>
          <w:p w14:paraId="12CDE55F">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中（3 分）：有质量技术管理班子和制度。主要工序有质量技术保证措施和手段，自控体系一般，基本能保证技术质量，达到承诺的质量标准。</w:t>
            </w:r>
          </w:p>
          <w:p w14:paraId="12E48183">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差（</w:t>
            </w:r>
            <w:r>
              <w:rPr>
                <w:rFonts w:ascii="宋体" w:hAnsi="宋体" w:cs="微软雅黑"/>
                <w:color w:val="auto"/>
                <w:kern w:val="0"/>
                <w:szCs w:val="21"/>
                <w:highlight w:val="none"/>
              </w:rPr>
              <w:t xml:space="preserve">1 </w:t>
            </w:r>
            <w:r>
              <w:rPr>
                <w:rFonts w:hint="eastAsia" w:ascii="宋体" w:hAnsi="宋体" w:cs="微软雅黑"/>
                <w:color w:val="auto"/>
                <w:kern w:val="0"/>
                <w:szCs w:val="21"/>
                <w:highlight w:val="none"/>
              </w:rPr>
              <w:t>分）：有质量技术管理班子和制度。主要工序无质量技术保证措施和手段，自控体系一般，不能有效保证技术质量。</w:t>
            </w:r>
          </w:p>
        </w:tc>
      </w:tr>
      <w:tr w14:paraId="16F0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93" w:type="dxa"/>
            <w:vMerge w:val="continue"/>
            <w:tcBorders>
              <w:right w:val="single" w:color="auto" w:sz="4" w:space="0"/>
            </w:tcBorders>
            <w:vAlign w:val="center"/>
          </w:tcPr>
          <w:p w14:paraId="12F5F797">
            <w:pPr>
              <w:spacing w:line="400" w:lineRule="exact"/>
              <w:rPr>
                <w:rFonts w:ascii="宋体" w:hAnsi="宋体"/>
                <w:color w:val="auto"/>
                <w:szCs w:val="21"/>
                <w:highlight w:val="none"/>
              </w:rPr>
            </w:pPr>
          </w:p>
        </w:tc>
        <w:tc>
          <w:tcPr>
            <w:tcW w:w="1276" w:type="dxa"/>
            <w:vMerge w:val="continue"/>
            <w:tcBorders>
              <w:left w:val="single" w:color="auto" w:sz="4" w:space="0"/>
            </w:tcBorders>
            <w:vAlign w:val="center"/>
          </w:tcPr>
          <w:p w14:paraId="57619E93">
            <w:pPr>
              <w:spacing w:line="400" w:lineRule="exact"/>
              <w:rPr>
                <w:rFonts w:ascii="宋体" w:hAnsi="宋体"/>
                <w:color w:val="auto"/>
                <w:szCs w:val="21"/>
                <w:highlight w:val="none"/>
              </w:rPr>
            </w:pPr>
          </w:p>
        </w:tc>
        <w:tc>
          <w:tcPr>
            <w:tcW w:w="1559" w:type="dxa"/>
            <w:vAlign w:val="center"/>
          </w:tcPr>
          <w:p w14:paraId="6B0FC94C">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确保安全生产的技术组织措施（满分</w:t>
            </w:r>
            <w:r>
              <w:rPr>
                <w:rFonts w:ascii="宋体" w:hAnsi="宋体" w:cs="微软雅黑"/>
                <w:color w:val="auto"/>
                <w:kern w:val="0"/>
                <w:szCs w:val="21"/>
                <w:highlight w:val="none"/>
              </w:rPr>
              <w:t>6</w:t>
            </w:r>
            <w:r>
              <w:rPr>
                <w:rFonts w:hint="eastAsia" w:ascii="宋体" w:hAnsi="宋体" w:cs="微软雅黑"/>
                <w:color w:val="auto"/>
                <w:kern w:val="0"/>
                <w:szCs w:val="21"/>
                <w:highlight w:val="none"/>
              </w:rPr>
              <w:t>分）</w:t>
            </w:r>
          </w:p>
          <w:p w14:paraId="6D4B44C1">
            <w:pPr>
              <w:spacing w:line="400" w:lineRule="exact"/>
              <w:rPr>
                <w:rFonts w:ascii="宋体" w:hAnsi="宋体" w:cs="微软雅黑"/>
                <w:color w:val="auto"/>
                <w:kern w:val="0"/>
                <w:szCs w:val="21"/>
                <w:highlight w:val="none"/>
              </w:rPr>
            </w:pPr>
          </w:p>
        </w:tc>
        <w:tc>
          <w:tcPr>
            <w:tcW w:w="6078" w:type="dxa"/>
            <w:vAlign w:val="center"/>
          </w:tcPr>
          <w:p w14:paraId="73978932">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优（</w:t>
            </w:r>
            <w:r>
              <w:rPr>
                <w:rFonts w:ascii="宋体" w:hAnsi="宋体" w:cs="微软雅黑"/>
                <w:color w:val="auto"/>
                <w:kern w:val="0"/>
                <w:szCs w:val="21"/>
                <w:highlight w:val="none"/>
              </w:rPr>
              <w:t xml:space="preserve">6 </w:t>
            </w:r>
            <w:r>
              <w:rPr>
                <w:rFonts w:hint="eastAsia" w:ascii="宋体" w:hAnsi="宋体" w:cs="微软雅黑"/>
                <w:color w:val="auto"/>
                <w:kern w:val="0"/>
                <w:szCs w:val="21"/>
                <w:highlight w:val="none"/>
              </w:rPr>
              <w:t>分）：有专门的安全管理人员和制度，且人员配备合理，制度健全，各道工序安全技术措施针对性强，符合实际且满足有关安全技术标准要求。现场防火、应急救援、社会治安安全措施得力。</w:t>
            </w:r>
          </w:p>
          <w:p w14:paraId="379250F7">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良（</w:t>
            </w:r>
            <w:r>
              <w:rPr>
                <w:rFonts w:ascii="宋体" w:hAnsi="宋体" w:cs="微软雅黑"/>
                <w:color w:val="auto"/>
                <w:kern w:val="0"/>
                <w:szCs w:val="21"/>
                <w:highlight w:val="none"/>
              </w:rPr>
              <w:t xml:space="preserve">4 </w:t>
            </w:r>
            <w:r>
              <w:rPr>
                <w:rFonts w:hint="eastAsia" w:ascii="宋体" w:hAnsi="宋体" w:cs="微软雅黑"/>
                <w:color w:val="auto"/>
                <w:kern w:val="0"/>
                <w:szCs w:val="21"/>
                <w:highlight w:val="none"/>
              </w:rPr>
              <w:t>分）：有安全管理人员和制度，且人员配备合理，制度健全，各道工序安全技术措施有针对性，符合实际且满足有关安全技术标准要求。现场防火、应急救援、社会治安安全措施满足施工需求。</w:t>
            </w:r>
          </w:p>
          <w:p w14:paraId="3FF1B6B6">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中（2</w:t>
            </w:r>
            <w:r>
              <w:rPr>
                <w:rFonts w:ascii="宋体" w:hAnsi="宋体" w:cs="微软雅黑"/>
                <w:color w:val="auto"/>
                <w:kern w:val="0"/>
                <w:szCs w:val="21"/>
                <w:highlight w:val="none"/>
              </w:rPr>
              <w:t xml:space="preserve"> </w:t>
            </w:r>
            <w:r>
              <w:rPr>
                <w:rFonts w:hint="eastAsia" w:ascii="宋体" w:hAnsi="宋体" w:cs="微软雅黑"/>
                <w:color w:val="auto"/>
                <w:kern w:val="0"/>
                <w:szCs w:val="21"/>
                <w:highlight w:val="none"/>
              </w:rPr>
              <w:t>分）：有安全管理人员和制度，人员配备一般，制度健全一般，各道工序安全技术措施针对性一般，基本满足有关安全技术标准要求。现场防火、应急救援、社会治安安全措施基本满足施工需求。</w:t>
            </w:r>
          </w:p>
          <w:p w14:paraId="61DFE6BB">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差（</w:t>
            </w:r>
            <w:r>
              <w:rPr>
                <w:rFonts w:ascii="宋体" w:hAnsi="宋体" w:cs="微软雅黑"/>
                <w:color w:val="auto"/>
                <w:kern w:val="0"/>
                <w:szCs w:val="21"/>
                <w:highlight w:val="none"/>
              </w:rPr>
              <w:t xml:space="preserve">1 </w:t>
            </w:r>
            <w:r>
              <w:rPr>
                <w:rFonts w:hint="eastAsia" w:ascii="宋体" w:hAnsi="宋体" w:cs="微软雅黑"/>
                <w:color w:val="auto"/>
                <w:kern w:val="0"/>
                <w:szCs w:val="21"/>
                <w:highlight w:val="none"/>
              </w:rPr>
              <w:t>分）：有安全管理人员和制度，各道工序安全技术措施无针对性，满足有关安全技术标准要求。现场防火、应急救援、社会治安安全措施差。</w:t>
            </w:r>
          </w:p>
        </w:tc>
      </w:tr>
      <w:tr w14:paraId="1530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jc w:val="center"/>
        </w:trPr>
        <w:tc>
          <w:tcPr>
            <w:tcW w:w="693" w:type="dxa"/>
            <w:vMerge w:val="continue"/>
            <w:tcBorders>
              <w:right w:val="single" w:color="auto" w:sz="4" w:space="0"/>
            </w:tcBorders>
            <w:vAlign w:val="center"/>
          </w:tcPr>
          <w:p w14:paraId="5317717E">
            <w:pPr>
              <w:spacing w:line="400" w:lineRule="exact"/>
              <w:rPr>
                <w:rFonts w:ascii="宋体" w:hAnsi="宋体"/>
                <w:color w:val="auto"/>
                <w:szCs w:val="21"/>
                <w:highlight w:val="none"/>
              </w:rPr>
            </w:pPr>
          </w:p>
        </w:tc>
        <w:tc>
          <w:tcPr>
            <w:tcW w:w="1276" w:type="dxa"/>
            <w:vMerge w:val="continue"/>
            <w:tcBorders>
              <w:left w:val="single" w:color="auto" w:sz="4" w:space="0"/>
            </w:tcBorders>
            <w:vAlign w:val="center"/>
          </w:tcPr>
          <w:p w14:paraId="42C7AA99">
            <w:pPr>
              <w:spacing w:line="400" w:lineRule="exact"/>
              <w:rPr>
                <w:rFonts w:ascii="宋体" w:hAnsi="宋体"/>
                <w:color w:val="auto"/>
                <w:szCs w:val="21"/>
                <w:highlight w:val="none"/>
              </w:rPr>
            </w:pPr>
          </w:p>
        </w:tc>
        <w:tc>
          <w:tcPr>
            <w:tcW w:w="1559" w:type="dxa"/>
            <w:vAlign w:val="center"/>
          </w:tcPr>
          <w:p w14:paraId="1F49B368">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工程施工的重点和难点（满分6分）</w:t>
            </w:r>
          </w:p>
        </w:tc>
        <w:tc>
          <w:tcPr>
            <w:tcW w:w="6078" w:type="dxa"/>
            <w:vAlign w:val="center"/>
          </w:tcPr>
          <w:p w14:paraId="5EC70F70">
            <w:pPr>
              <w:spacing w:line="400" w:lineRule="exact"/>
              <w:ind w:left="315" w:hanging="315" w:hangingChars="150"/>
              <w:rPr>
                <w:rFonts w:ascii="宋体" w:hAnsi="宋体" w:cs="微软雅黑"/>
                <w:color w:val="auto"/>
                <w:kern w:val="0"/>
                <w:szCs w:val="21"/>
                <w:highlight w:val="none"/>
              </w:rPr>
            </w:pPr>
            <w:r>
              <w:rPr>
                <w:rFonts w:hint="eastAsia" w:ascii="宋体" w:hAnsi="宋体" w:cs="微软雅黑"/>
                <w:color w:val="auto"/>
                <w:kern w:val="0"/>
                <w:szCs w:val="21"/>
                <w:highlight w:val="none"/>
              </w:rPr>
              <w:t>优（6</w:t>
            </w:r>
            <w:r>
              <w:rPr>
                <w:rFonts w:ascii="宋体" w:hAnsi="宋体" w:cs="微软雅黑"/>
                <w:color w:val="auto"/>
                <w:kern w:val="0"/>
                <w:szCs w:val="21"/>
                <w:highlight w:val="none"/>
              </w:rPr>
              <w:t xml:space="preserve"> </w:t>
            </w:r>
            <w:r>
              <w:rPr>
                <w:rFonts w:hint="eastAsia" w:ascii="宋体" w:hAnsi="宋体" w:cs="微软雅黑"/>
                <w:color w:val="auto"/>
                <w:kern w:val="0"/>
                <w:szCs w:val="21"/>
                <w:highlight w:val="none"/>
              </w:rPr>
              <w:t>分）：针对本工程的特点，详细阐述了本工程的重点和难点，解决重点和难点问题的方法合理、可行。</w:t>
            </w:r>
          </w:p>
          <w:p w14:paraId="536B5C34">
            <w:pPr>
              <w:spacing w:line="400" w:lineRule="exact"/>
              <w:ind w:left="315" w:hanging="315" w:hangingChars="150"/>
              <w:rPr>
                <w:rFonts w:ascii="宋体" w:hAnsi="宋体" w:cs="微软雅黑"/>
                <w:color w:val="auto"/>
                <w:kern w:val="0"/>
                <w:szCs w:val="21"/>
                <w:highlight w:val="none"/>
              </w:rPr>
            </w:pPr>
            <w:r>
              <w:rPr>
                <w:rFonts w:hint="eastAsia" w:ascii="宋体" w:hAnsi="宋体" w:cs="微软雅黑"/>
                <w:color w:val="auto"/>
                <w:kern w:val="0"/>
                <w:szCs w:val="21"/>
                <w:highlight w:val="none"/>
              </w:rPr>
              <w:t>中（4</w:t>
            </w:r>
            <w:r>
              <w:rPr>
                <w:rFonts w:ascii="宋体" w:hAnsi="宋体" w:cs="微软雅黑"/>
                <w:color w:val="auto"/>
                <w:kern w:val="0"/>
                <w:szCs w:val="21"/>
                <w:highlight w:val="none"/>
              </w:rPr>
              <w:t xml:space="preserve"> </w:t>
            </w:r>
            <w:r>
              <w:rPr>
                <w:rFonts w:hint="eastAsia" w:ascii="宋体" w:hAnsi="宋体" w:cs="微软雅黑"/>
                <w:color w:val="auto"/>
                <w:kern w:val="0"/>
                <w:szCs w:val="21"/>
                <w:highlight w:val="none"/>
              </w:rPr>
              <w:t>分）：针对本工程的特点，阐述了本工程的重点和难点，解决重点和难点问题的方法合理。</w:t>
            </w:r>
          </w:p>
          <w:p w14:paraId="4E4BD340">
            <w:pPr>
              <w:spacing w:line="400" w:lineRule="exact"/>
              <w:ind w:left="315" w:hanging="315" w:hangingChars="150"/>
              <w:rPr>
                <w:rFonts w:ascii="宋体" w:hAnsi="宋体" w:cs="微软雅黑"/>
                <w:color w:val="auto"/>
                <w:kern w:val="0"/>
                <w:szCs w:val="21"/>
                <w:highlight w:val="none"/>
              </w:rPr>
            </w:pPr>
            <w:r>
              <w:rPr>
                <w:rFonts w:hint="eastAsia" w:ascii="宋体" w:hAnsi="宋体" w:cs="微软雅黑"/>
                <w:color w:val="auto"/>
                <w:kern w:val="0"/>
                <w:szCs w:val="21"/>
                <w:highlight w:val="none"/>
              </w:rPr>
              <w:t>良（</w:t>
            </w:r>
            <w:r>
              <w:rPr>
                <w:rFonts w:ascii="宋体" w:hAnsi="宋体" w:cs="微软雅黑"/>
                <w:color w:val="auto"/>
                <w:kern w:val="0"/>
                <w:szCs w:val="21"/>
                <w:highlight w:val="none"/>
              </w:rPr>
              <w:t xml:space="preserve">2 </w:t>
            </w:r>
            <w:r>
              <w:rPr>
                <w:rFonts w:hint="eastAsia" w:ascii="宋体" w:hAnsi="宋体" w:cs="微软雅黑"/>
                <w:color w:val="auto"/>
                <w:kern w:val="0"/>
                <w:szCs w:val="21"/>
                <w:highlight w:val="none"/>
              </w:rPr>
              <w:t>分）：简单阐述了本工程的重点和难点，解决重点和难点问题的方法一般。</w:t>
            </w:r>
          </w:p>
          <w:p w14:paraId="38175CFD">
            <w:pPr>
              <w:spacing w:line="400" w:lineRule="exact"/>
              <w:ind w:left="210" w:hanging="210" w:hangingChars="100"/>
              <w:rPr>
                <w:rFonts w:ascii="宋体" w:hAnsi="宋体" w:cs="微软雅黑"/>
                <w:color w:val="auto"/>
                <w:kern w:val="0"/>
                <w:szCs w:val="21"/>
                <w:highlight w:val="none"/>
              </w:rPr>
            </w:pPr>
            <w:r>
              <w:rPr>
                <w:rFonts w:hint="eastAsia" w:ascii="宋体" w:hAnsi="宋体" w:cs="微软雅黑"/>
                <w:color w:val="auto"/>
                <w:kern w:val="0"/>
                <w:szCs w:val="21"/>
                <w:highlight w:val="none"/>
              </w:rPr>
              <w:t>差（</w:t>
            </w:r>
            <w:r>
              <w:rPr>
                <w:rFonts w:ascii="宋体" w:hAnsi="宋体" w:cs="微软雅黑"/>
                <w:color w:val="auto"/>
                <w:kern w:val="0"/>
                <w:szCs w:val="21"/>
                <w:highlight w:val="none"/>
              </w:rPr>
              <w:t xml:space="preserve">1 </w:t>
            </w:r>
            <w:r>
              <w:rPr>
                <w:rFonts w:hint="eastAsia" w:ascii="宋体" w:hAnsi="宋体" w:cs="微软雅黑"/>
                <w:color w:val="auto"/>
                <w:kern w:val="0"/>
                <w:szCs w:val="21"/>
                <w:highlight w:val="none"/>
              </w:rPr>
              <w:t>分）：未阐述本工程的重点和难点，无解决及保证措施重点和难点问题的方法。</w:t>
            </w:r>
          </w:p>
        </w:tc>
      </w:tr>
      <w:tr w14:paraId="1335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jc w:val="center"/>
        </w:trPr>
        <w:tc>
          <w:tcPr>
            <w:tcW w:w="693" w:type="dxa"/>
            <w:vMerge w:val="continue"/>
            <w:tcBorders>
              <w:right w:val="single" w:color="auto" w:sz="4" w:space="0"/>
            </w:tcBorders>
            <w:vAlign w:val="center"/>
          </w:tcPr>
          <w:p w14:paraId="05CCAE90">
            <w:pPr>
              <w:spacing w:line="400" w:lineRule="exact"/>
              <w:rPr>
                <w:rFonts w:ascii="宋体" w:hAnsi="宋体"/>
                <w:color w:val="auto"/>
                <w:szCs w:val="21"/>
                <w:highlight w:val="none"/>
              </w:rPr>
            </w:pPr>
          </w:p>
        </w:tc>
        <w:tc>
          <w:tcPr>
            <w:tcW w:w="1276" w:type="dxa"/>
            <w:vMerge w:val="continue"/>
            <w:tcBorders>
              <w:left w:val="single" w:color="auto" w:sz="4" w:space="0"/>
            </w:tcBorders>
            <w:vAlign w:val="center"/>
          </w:tcPr>
          <w:p w14:paraId="1F52F7D5">
            <w:pPr>
              <w:spacing w:line="400" w:lineRule="exact"/>
              <w:rPr>
                <w:rFonts w:ascii="宋体" w:hAnsi="宋体"/>
                <w:color w:val="auto"/>
                <w:szCs w:val="21"/>
                <w:highlight w:val="none"/>
              </w:rPr>
            </w:pPr>
          </w:p>
        </w:tc>
        <w:tc>
          <w:tcPr>
            <w:tcW w:w="1559" w:type="dxa"/>
            <w:vAlign w:val="center"/>
          </w:tcPr>
          <w:p w14:paraId="1D3A0533">
            <w:pPr>
              <w:spacing w:line="400" w:lineRule="exact"/>
              <w:rPr>
                <w:rFonts w:ascii="宋体" w:hAnsi="宋体" w:cs="微软雅黑"/>
                <w:color w:val="auto"/>
                <w:kern w:val="0"/>
                <w:szCs w:val="21"/>
                <w:highlight w:val="none"/>
              </w:rPr>
            </w:pPr>
            <w:r>
              <w:rPr>
                <w:rFonts w:hint="eastAsia" w:ascii="宋体" w:hAnsi="宋体" w:cs="微软雅黑"/>
                <w:color w:val="auto"/>
                <w:kern w:val="0"/>
                <w:szCs w:val="21"/>
                <w:highlight w:val="none"/>
              </w:rPr>
              <w:t>施工总平面布置图（满分5分）</w:t>
            </w:r>
          </w:p>
        </w:tc>
        <w:tc>
          <w:tcPr>
            <w:tcW w:w="6078" w:type="dxa"/>
            <w:vAlign w:val="center"/>
          </w:tcPr>
          <w:p w14:paraId="0B9F0C86">
            <w:pPr>
              <w:spacing w:line="400" w:lineRule="exact"/>
              <w:ind w:left="315" w:hanging="315" w:hangingChars="150"/>
              <w:rPr>
                <w:rFonts w:ascii="宋体" w:hAnsi="宋体" w:cs="微软雅黑"/>
                <w:color w:val="auto"/>
                <w:kern w:val="0"/>
                <w:szCs w:val="21"/>
                <w:highlight w:val="none"/>
              </w:rPr>
            </w:pPr>
            <w:r>
              <w:rPr>
                <w:rFonts w:hint="eastAsia" w:ascii="宋体" w:hAnsi="宋体" w:cs="微软雅黑"/>
                <w:color w:val="auto"/>
                <w:kern w:val="0"/>
                <w:szCs w:val="21"/>
                <w:highlight w:val="none"/>
              </w:rPr>
              <w:t>优（5</w:t>
            </w:r>
            <w:r>
              <w:rPr>
                <w:rFonts w:ascii="宋体" w:hAnsi="宋体" w:cs="微软雅黑"/>
                <w:color w:val="auto"/>
                <w:kern w:val="0"/>
                <w:szCs w:val="21"/>
                <w:highlight w:val="none"/>
              </w:rPr>
              <w:t xml:space="preserve"> </w:t>
            </w:r>
            <w:r>
              <w:rPr>
                <w:rFonts w:hint="eastAsia" w:ascii="宋体" w:hAnsi="宋体" w:cs="微软雅黑"/>
                <w:color w:val="auto"/>
                <w:kern w:val="0"/>
                <w:szCs w:val="21"/>
                <w:highlight w:val="none"/>
              </w:rPr>
              <w:t>分）：</w:t>
            </w:r>
            <w:r>
              <w:rPr>
                <w:rFonts w:ascii="宋体" w:hAnsi="宋体"/>
                <w:color w:val="auto"/>
                <w:szCs w:val="21"/>
                <w:highlight w:val="none"/>
              </w:rPr>
              <w:t>总体布置有针对性、合理，较好满足施工需要，符合安全、文明生产要求</w:t>
            </w:r>
            <w:r>
              <w:rPr>
                <w:rFonts w:hint="eastAsia" w:ascii="宋体" w:hAnsi="宋体" w:cs="微软雅黑"/>
                <w:color w:val="auto"/>
                <w:kern w:val="0"/>
                <w:szCs w:val="21"/>
                <w:highlight w:val="none"/>
              </w:rPr>
              <w:t>。</w:t>
            </w:r>
          </w:p>
          <w:p w14:paraId="1D114460">
            <w:pPr>
              <w:spacing w:line="400" w:lineRule="exact"/>
              <w:ind w:left="315" w:hanging="315" w:hangingChars="150"/>
              <w:rPr>
                <w:rFonts w:ascii="宋体" w:hAnsi="宋体" w:cs="微软雅黑"/>
                <w:color w:val="auto"/>
                <w:kern w:val="0"/>
                <w:szCs w:val="21"/>
                <w:highlight w:val="none"/>
              </w:rPr>
            </w:pPr>
            <w:r>
              <w:rPr>
                <w:rFonts w:hint="eastAsia" w:ascii="宋体" w:hAnsi="宋体" w:cs="微软雅黑"/>
                <w:color w:val="auto"/>
                <w:kern w:val="0"/>
                <w:szCs w:val="21"/>
                <w:highlight w:val="none"/>
              </w:rPr>
              <w:t>中（</w:t>
            </w:r>
            <w:r>
              <w:rPr>
                <w:rFonts w:ascii="宋体" w:hAnsi="宋体" w:cs="微软雅黑"/>
                <w:color w:val="auto"/>
                <w:kern w:val="0"/>
                <w:szCs w:val="21"/>
                <w:highlight w:val="none"/>
              </w:rPr>
              <w:t xml:space="preserve">3 </w:t>
            </w:r>
            <w:r>
              <w:rPr>
                <w:rFonts w:hint="eastAsia" w:ascii="宋体" w:hAnsi="宋体" w:cs="微软雅黑"/>
                <w:color w:val="auto"/>
                <w:kern w:val="0"/>
                <w:szCs w:val="21"/>
                <w:highlight w:val="none"/>
              </w:rPr>
              <w:t>分）：有施工总平面布置图，安排一般，符合本项目施工实际要求。</w:t>
            </w:r>
          </w:p>
          <w:p w14:paraId="32D24335">
            <w:pPr>
              <w:spacing w:line="400" w:lineRule="exact"/>
              <w:ind w:left="315" w:hanging="315" w:hangingChars="150"/>
              <w:rPr>
                <w:rFonts w:ascii="宋体" w:hAnsi="宋体" w:cs="微软雅黑"/>
                <w:color w:val="auto"/>
                <w:kern w:val="0"/>
                <w:szCs w:val="21"/>
                <w:highlight w:val="none"/>
              </w:rPr>
            </w:pPr>
            <w:r>
              <w:rPr>
                <w:rFonts w:hint="eastAsia" w:ascii="宋体" w:hAnsi="宋体" w:cs="微软雅黑"/>
                <w:color w:val="auto"/>
                <w:kern w:val="0"/>
                <w:szCs w:val="21"/>
                <w:highlight w:val="none"/>
              </w:rPr>
              <w:t>良（</w:t>
            </w:r>
            <w:r>
              <w:rPr>
                <w:rFonts w:ascii="宋体" w:hAnsi="宋体" w:cs="微软雅黑"/>
                <w:color w:val="auto"/>
                <w:kern w:val="0"/>
                <w:szCs w:val="21"/>
                <w:highlight w:val="none"/>
              </w:rPr>
              <w:t xml:space="preserve">2 </w:t>
            </w:r>
            <w:r>
              <w:rPr>
                <w:rFonts w:hint="eastAsia" w:ascii="宋体" w:hAnsi="宋体" w:cs="微软雅黑"/>
                <w:color w:val="auto"/>
                <w:kern w:val="0"/>
                <w:szCs w:val="21"/>
                <w:highlight w:val="none"/>
              </w:rPr>
              <w:t>分）：有施工总平面布置图，基本符合本项目施工实际要求。</w:t>
            </w:r>
          </w:p>
          <w:p w14:paraId="550F03F1">
            <w:pPr>
              <w:spacing w:line="400" w:lineRule="exact"/>
              <w:ind w:left="315" w:hanging="315" w:hangingChars="150"/>
              <w:rPr>
                <w:rFonts w:ascii="宋体" w:hAnsi="宋体" w:cs="微软雅黑"/>
                <w:color w:val="auto"/>
                <w:kern w:val="0"/>
                <w:szCs w:val="21"/>
                <w:highlight w:val="none"/>
              </w:rPr>
            </w:pPr>
            <w:r>
              <w:rPr>
                <w:rFonts w:hint="eastAsia" w:ascii="宋体" w:hAnsi="宋体" w:cs="微软雅黑"/>
                <w:color w:val="auto"/>
                <w:kern w:val="0"/>
                <w:szCs w:val="21"/>
                <w:highlight w:val="none"/>
              </w:rPr>
              <w:t>差（</w:t>
            </w:r>
            <w:r>
              <w:rPr>
                <w:rFonts w:ascii="宋体" w:hAnsi="宋体" w:cs="微软雅黑"/>
                <w:color w:val="auto"/>
                <w:kern w:val="0"/>
                <w:szCs w:val="21"/>
                <w:highlight w:val="none"/>
              </w:rPr>
              <w:t xml:space="preserve">1 </w:t>
            </w:r>
            <w:r>
              <w:rPr>
                <w:rFonts w:hint="eastAsia" w:ascii="宋体" w:hAnsi="宋体" w:cs="微软雅黑"/>
                <w:color w:val="auto"/>
                <w:kern w:val="0"/>
                <w:szCs w:val="21"/>
                <w:highlight w:val="none"/>
              </w:rPr>
              <w:t>分）：有施工总平面布置图，但不符合本项目施工实际要求。</w:t>
            </w:r>
          </w:p>
        </w:tc>
      </w:tr>
      <w:tr w14:paraId="3754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606" w:type="dxa"/>
            <w:gridSpan w:val="4"/>
          </w:tcPr>
          <w:p w14:paraId="48466F28">
            <w:pPr>
              <w:widowControl/>
              <w:spacing w:line="400" w:lineRule="exact"/>
              <w:jc w:val="left"/>
              <w:rPr>
                <w:rFonts w:ascii="宋体" w:hAnsi="宋体" w:cs="宋体"/>
                <w:color w:val="auto"/>
                <w:kern w:val="0"/>
                <w:szCs w:val="21"/>
                <w:highlight w:val="none"/>
              </w:rPr>
            </w:pPr>
            <w:r>
              <w:rPr>
                <w:rFonts w:hint="eastAsia" w:ascii="宋体" w:hAnsi="宋体" w:cs="宋体"/>
                <w:bCs/>
                <w:color w:val="auto"/>
                <w:szCs w:val="21"/>
                <w:highlight w:val="none"/>
              </w:rPr>
              <w:t>总得分＝</w:t>
            </w:r>
            <w:r>
              <w:rPr>
                <w:rFonts w:hint="eastAsia" w:ascii="宋体" w:hAnsi="宋体"/>
                <w:color w:val="auto"/>
                <w:szCs w:val="21"/>
                <w:highlight w:val="none"/>
              </w:rPr>
              <w:t>价格</w:t>
            </w:r>
            <w:r>
              <w:rPr>
                <w:rFonts w:ascii="宋体" w:hAnsi="宋体"/>
                <w:color w:val="auto"/>
                <w:szCs w:val="21"/>
                <w:highlight w:val="none"/>
              </w:rPr>
              <w:t>分+</w:t>
            </w:r>
            <w:r>
              <w:rPr>
                <w:rFonts w:hint="eastAsia" w:ascii="宋体" w:hAnsi="宋体"/>
                <w:color w:val="auto"/>
                <w:szCs w:val="21"/>
                <w:highlight w:val="none"/>
              </w:rPr>
              <w:t>技术</w:t>
            </w:r>
            <w:r>
              <w:rPr>
                <w:rFonts w:ascii="宋体" w:hAnsi="宋体"/>
                <w:color w:val="auto"/>
                <w:szCs w:val="21"/>
                <w:highlight w:val="none"/>
              </w:rPr>
              <w:t>分</w:t>
            </w:r>
          </w:p>
        </w:tc>
      </w:tr>
    </w:tbl>
    <w:p w14:paraId="38C833E7">
      <w:pPr>
        <w:spacing w:line="420" w:lineRule="exact"/>
        <w:ind w:firstLine="413" w:firstLineChars="196"/>
        <w:rPr>
          <w:rFonts w:ascii="宋体" w:hAnsi="宋体"/>
          <w:b/>
          <w:bCs/>
          <w:color w:val="auto"/>
          <w:szCs w:val="21"/>
          <w:highlight w:val="none"/>
        </w:rPr>
      </w:pPr>
      <w:r>
        <w:rPr>
          <w:rFonts w:hint="eastAsia" w:ascii="宋体" w:hAnsi="宋体"/>
          <w:b/>
          <w:bCs/>
          <w:color w:val="auto"/>
          <w:szCs w:val="21"/>
          <w:highlight w:val="none"/>
        </w:rPr>
        <w:t>三、总分（100分）</w:t>
      </w:r>
    </w:p>
    <w:p w14:paraId="485A0AF4">
      <w:pPr>
        <w:spacing w:line="42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计算公式：总分＝价格分+技术分</w:t>
      </w:r>
    </w:p>
    <w:p w14:paraId="59A793F9">
      <w:pPr>
        <w:spacing w:line="42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备注：各项指标的分数计算四舍五入，取小数点后两位。</w:t>
      </w:r>
    </w:p>
    <w:p w14:paraId="7F64C173">
      <w:pPr>
        <w:spacing w:line="420" w:lineRule="exact"/>
        <w:ind w:firstLine="413" w:firstLineChars="196"/>
        <w:rPr>
          <w:rFonts w:ascii="宋体" w:hAnsi="宋体"/>
          <w:b/>
          <w:bCs/>
          <w:color w:val="auto"/>
          <w:szCs w:val="21"/>
          <w:highlight w:val="none"/>
        </w:rPr>
      </w:pPr>
      <w:r>
        <w:rPr>
          <w:rFonts w:hint="eastAsia" w:ascii="宋体" w:hAnsi="宋体"/>
          <w:b/>
          <w:bCs/>
          <w:color w:val="auto"/>
          <w:szCs w:val="21"/>
          <w:highlight w:val="none"/>
        </w:rPr>
        <w:t>四、</w:t>
      </w:r>
      <w:r>
        <w:rPr>
          <w:rFonts w:hint="eastAsia" w:ascii="宋体" w:hAnsi="宋体" w:cs="宋体"/>
          <w:b/>
          <w:color w:val="auto"/>
          <w:szCs w:val="21"/>
          <w:highlight w:val="none"/>
        </w:rPr>
        <w:t>成交候选供应商推荐原则</w:t>
      </w:r>
    </w:p>
    <w:p w14:paraId="5AA54970">
      <w:pPr>
        <w:spacing w:line="420" w:lineRule="exact"/>
        <w:ind w:firstLine="435"/>
        <w:rPr>
          <w:rFonts w:ascii="宋体" w:hAnsi="宋体" w:cs="宋体"/>
          <w:color w:val="auto"/>
          <w:szCs w:val="21"/>
          <w:highlight w:val="none"/>
        </w:rPr>
      </w:pPr>
      <w:r>
        <w:rPr>
          <w:rFonts w:ascii="宋体" w:hAnsi="宋体" w:cs="宋体"/>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w:t>
      </w:r>
      <w:r>
        <w:rPr>
          <w:rFonts w:hint="eastAsia" w:ascii="宋体" w:hAnsi="宋体" w:cs="宋体"/>
          <w:color w:val="auto"/>
          <w:szCs w:val="21"/>
          <w:highlight w:val="none"/>
        </w:rPr>
        <w:t>技术部分得分从高到低</w:t>
      </w:r>
      <w:r>
        <w:rPr>
          <w:rFonts w:ascii="宋体" w:hAnsi="宋体" w:cs="宋体"/>
          <w:color w:val="auto"/>
          <w:szCs w:val="21"/>
          <w:highlight w:val="none"/>
        </w:rPr>
        <w:t>顺序推荐。</w:t>
      </w:r>
    </w:p>
    <w:p w14:paraId="12688583">
      <w:pPr>
        <w:spacing w:line="420" w:lineRule="exact"/>
        <w:ind w:firstLine="435"/>
        <w:rPr>
          <w:rFonts w:ascii="宋体" w:hAnsi="宋体" w:cs="宋体"/>
          <w:color w:val="auto"/>
          <w:szCs w:val="21"/>
          <w:highlight w:val="none"/>
        </w:rPr>
      </w:pPr>
      <w:r>
        <w:rPr>
          <w:rFonts w:ascii="宋体" w:hAnsi="宋体" w:cs="宋体"/>
          <w:color w:val="auto"/>
          <w:szCs w:val="21"/>
          <w:highlight w:val="none"/>
        </w:rPr>
        <w:t>采购人应当在收到评审报告后</w:t>
      </w:r>
      <w:r>
        <w:rPr>
          <w:rFonts w:hint="eastAsia" w:ascii="宋体" w:hAnsi="宋体" w:cs="宋体"/>
          <w:color w:val="auto"/>
          <w:szCs w:val="21"/>
          <w:highlight w:val="none"/>
        </w:rPr>
        <w:t>2</w:t>
      </w:r>
      <w:r>
        <w:rPr>
          <w:rFonts w:ascii="宋体" w:hAnsi="宋体" w:cs="宋体"/>
          <w:color w:val="auto"/>
          <w:szCs w:val="21"/>
          <w:highlight w:val="none"/>
        </w:rPr>
        <w:t>个工作日内，</w:t>
      </w:r>
      <w:r>
        <w:rPr>
          <w:rFonts w:hint="eastAsia" w:ascii="宋体" w:hAnsi="宋体" w:cs="宋体"/>
          <w:color w:val="auto"/>
          <w:szCs w:val="21"/>
          <w:highlight w:val="none"/>
        </w:rPr>
        <w:t>根据</w:t>
      </w:r>
      <w:r>
        <w:rPr>
          <w:rFonts w:ascii="宋体" w:hAnsi="宋体" w:cs="宋体"/>
          <w:color w:val="auto"/>
          <w:szCs w:val="21"/>
          <w:highlight w:val="none"/>
        </w:rPr>
        <w:t>评审报告按照</w:t>
      </w:r>
      <w:r>
        <w:rPr>
          <w:rFonts w:hint="eastAsia" w:ascii="宋体" w:hAnsi="宋体" w:cs="宋体"/>
          <w:color w:val="auto"/>
          <w:szCs w:val="21"/>
          <w:highlight w:val="none"/>
        </w:rPr>
        <w:t>评审总得分</w:t>
      </w:r>
      <w:r>
        <w:rPr>
          <w:rFonts w:ascii="宋体" w:hAnsi="宋体" w:cs="宋体"/>
          <w:color w:val="auto"/>
          <w:szCs w:val="21"/>
          <w:highlight w:val="none"/>
        </w:rPr>
        <w:t>排序由高到低的原则确定成交供应商。</w:t>
      </w:r>
      <w:r>
        <w:rPr>
          <w:rFonts w:hint="eastAsia" w:ascii="宋体" w:hAnsi="宋体" w:cs="宋体"/>
          <w:color w:val="auto"/>
          <w:szCs w:val="21"/>
          <w:highlight w:val="none"/>
        </w:rPr>
        <w:t>采购人逾期未确定成交供应商且不提出异议的，视为确定评审报告提出的排序第一的供应商为成交供应商。</w:t>
      </w:r>
    </w:p>
    <w:p w14:paraId="23C4EEB3">
      <w:pPr>
        <w:spacing w:line="480" w:lineRule="exact"/>
        <w:jc w:val="left"/>
        <w:rPr>
          <w:rFonts w:ascii="宋体" w:hAnsi="宋体" w:cs="Courier New"/>
          <w:color w:val="auto"/>
          <w:sz w:val="24"/>
          <w:highlight w:val="none"/>
        </w:rPr>
      </w:pPr>
    </w:p>
    <w:sectPr>
      <w:headerReference r:id="rId3" w:type="default"/>
      <w:footerReference r:id="rId4" w:type="default"/>
      <w:footerReference r:id="rId5" w:type="even"/>
      <w:pgSz w:w="11906" w:h="16838"/>
      <w:pgMar w:top="1304" w:right="1134" w:bottom="1134" w:left="130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nsolas">
    <w:panose1 w:val="020B0609020204030204"/>
    <w:charset w:val="00"/>
    <w:family w:val="modern"/>
    <w:pitch w:val="default"/>
    <w:sig w:usb0="E10002FF" w:usb1="4000FCFF" w:usb2="00000009" w:usb3="00000000" w:csb0="6000019F" w:csb1="DFD7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Ìå">
    <w:altName w:val="Times New Roman"/>
    <w:panose1 w:val="00000000000000000000"/>
    <w:charset w:val="00"/>
    <w:family w:val="auto"/>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8588C">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1905"/>
              <wp:wrapNone/>
              <wp:docPr id="1" name="文本框 1030"/>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00D34B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86</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文本框 1030"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&#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PlfknQAAAAAwEAAA8AAAAAAAAAAQAgAAAAIgAAAGRy&#10;cy9kb3ducmV2LnhtbFBLAQIUABQAAAAIAIdO4kCW13ZODQIAAAUEAAAOAAAAAAAAAAEAIAAAAB8B&#10;AABkcnMvZTJvRG9jLnhtbFBLBQYAAAAABgAGAFkBAACeBQAAAAA=&#10;">
              <v:fill on="f" focussize="0,0"/>
              <v:stroke on="f"/>
              <v:imagedata o:title=""/>
              <o:lock v:ext="edit" aspectratio="f"/>
              <v:textbox inset="0mm,0mm,0mm,0mm" style="mso-fit-shape-to-text:t;">
                <w:txbxContent>
                  <w:p w14:paraId="00D34B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86</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52181">
    <w:pPr>
      <w:pStyle w:val="29"/>
      <w:framePr w:wrap="around" w:vAnchor="text" w:hAnchor="margin" w:xAlign="center" w:y="1"/>
      <w:rPr>
        <w:rStyle w:val="49"/>
      </w:rPr>
    </w:pPr>
    <w:r>
      <w:fldChar w:fldCharType="begin"/>
    </w:r>
    <w:r>
      <w:rPr>
        <w:rStyle w:val="49"/>
      </w:rPr>
      <w:instrText xml:space="preserve">PAGE  </w:instrText>
    </w:r>
    <w:r>
      <w:fldChar w:fldCharType="end"/>
    </w:r>
  </w:p>
  <w:p w14:paraId="286A804B">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2E102">
    <w:pPr>
      <w:pStyle w:val="30"/>
      <w:pBdr>
        <w:bottom w:val="none" w:color="auto" w:sz="0" w:space="0"/>
      </w:pBdr>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CC6FF1"/>
    <w:multiLevelType w:val="singleLevel"/>
    <w:tmpl w:val="B1CC6FF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
    <w:nsid w:val="B4E02BC3"/>
    <w:multiLevelType w:val="singleLevel"/>
    <w:tmpl w:val="B4E02BC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
    <w:nsid w:val="BD196B80"/>
    <w:multiLevelType w:val="singleLevel"/>
    <w:tmpl w:val="BD196B80"/>
    <w:lvl w:ilvl="0" w:tentative="0">
      <w:start w:val="1"/>
      <w:numFmt w:val="decimal"/>
      <w:suff w:val="space"/>
      <w:lvlText w:val="%1."/>
      <w:lvlJc w:val="left"/>
    </w:lvl>
  </w:abstractNum>
  <w:abstractNum w:abstractNumId="3">
    <w:nsid w:val="C9412743"/>
    <w:multiLevelType w:val="singleLevel"/>
    <w:tmpl w:val="C941274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4">
    <w:nsid w:val="D7936317"/>
    <w:multiLevelType w:val="singleLevel"/>
    <w:tmpl w:val="D793631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5">
    <w:nsid w:val="E43A772E"/>
    <w:multiLevelType w:val="singleLevel"/>
    <w:tmpl w:val="E43A772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6">
    <w:nsid w:val="F1FCDEFA"/>
    <w:multiLevelType w:val="singleLevel"/>
    <w:tmpl w:val="F1FCDEF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7">
    <w:nsid w:val="F237ACA1"/>
    <w:multiLevelType w:val="singleLevel"/>
    <w:tmpl w:val="F237ACA1"/>
    <w:lvl w:ilvl="0" w:tentative="0">
      <w:start w:val="1"/>
      <w:numFmt w:val="ideographDigital"/>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8">
    <w:nsid w:val="F2A81E1A"/>
    <w:multiLevelType w:val="singleLevel"/>
    <w:tmpl w:val="F2A81E1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9">
    <w:nsid w:val="F46CCC20"/>
    <w:multiLevelType w:val="singleLevel"/>
    <w:tmpl w:val="F46CCC20"/>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0">
    <w:nsid w:val="01D7E1C7"/>
    <w:multiLevelType w:val="multilevel"/>
    <w:tmpl w:val="01D7E1C7"/>
    <w:lvl w:ilvl="0" w:tentative="0">
      <w:start w:val="8"/>
      <w:numFmt w:val="decimal"/>
      <w:lvlText w:val="%1."/>
      <w:lvlJc w:val="left"/>
      <w:rPr>
        <w:rFonts w:ascii="Times New Roman" w:hAnsi="Times New Roman" w:eastAsia="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1">
    <w:nsid w:val="07F5BCC3"/>
    <w:multiLevelType w:val="singleLevel"/>
    <w:tmpl w:val="07F5BCC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2">
    <w:nsid w:val="252BF6AB"/>
    <w:multiLevelType w:val="singleLevel"/>
    <w:tmpl w:val="252BF6A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3">
    <w:nsid w:val="2659688A"/>
    <w:multiLevelType w:val="singleLevel"/>
    <w:tmpl w:val="2659688A"/>
    <w:lvl w:ilvl="0" w:tentative="0">
      <w:start w:val="7"/>
      <w:numFmt w:val="decimal"/>
      <w:pStyle w:val="245"/>
      <w:lvlText w:val="%1、"/>
      <w:lvlJc w:val="left"/>
      <w:pPr>
        <w:tabs>
          <w:tab w:val="left" w:pos="1260"/>
        </w:tabs>
        <w:ind w:left="1260" w:hanging="720"/>
      </w:pPr>
      <w:rPr>
        <w:rFonts w:hint="eastAsia"/>
      </w:rPr>
    </w:lvl>
  </w:abstractNum>
  <w:abstractNum w:abstractNumId="14">
    <w:nsid w:val="38EAC418"/>
    <w:multiLevelType w:val="singleLevel"/>
    <w:tmpl w:val="38EAC418"/>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5">
    <w:nsid w:val="3D950AF9"/>
    <w:multiLevelType w:val="singleLevel"/>
    <w:tmpl w:val="3D950AF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6">
    <w:nsid w:val="4258023A"/>
    <w:multiLevelType w:val="singleLevel"/>
    <w:tmpl w:val="4258023A"/>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7">
    <w:nsid w:val="4AD1D84F"/>
    <w:multiLevelType w:val="singleLevel"/>
    <w:tmpl w:val="4AD1D84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8">
    <w:nsid w:val="5A23BBC6"/>
    <w:multiLevelType w:val="singleLevel"/>
    <w:tmpl w:val="5A23BBC6"/>
    <w:lvl w:ilvl="0" w:tentative="0">
      <w:start w:val="2"/>
      <w:numFmt w:val="chineseCounting"/>
      <w:suff w:val="nothing"/>
      <w:lvlText w:val="%1、"/>
      <w:lvlJc w:val="left"/>
    </w:lvl>
  </w:abstractNum>
  <w:num w:numId="1">
    <w:abstractNumId w:val="13"/>
  </w:num>
  <w:num w:numId="2">
    <w:abstractNumId w:val="2"/>
  </w:num>
  <w:num w:numId="3">
    <w:abstractNumId w:val="5"/>
  </w:num>
  <w:num w:numId="4">
    <w:abstractNumId w:val="7"/>
  </w:num>
  <w:num w:numId="5">
    <w:abstractNumId w:val="4"/>
  </w:num>
  <w:num w:numId="6">
    <w:abstractNumId w:val="16"/>
  </w:num>
  <w:num w:numId="7">
    <w:abstractNumId w:val="9"/>
  </w:num>
  <w:num w:numId="8">
    <w:abstractNumId w:val="6"/>
  </w:num>
  <w:num w:numId="9">
    <w:abstractNumId w:val="10"/>
  </w:num>
  <w:num w:numId="10">
    <w:abstractNumId w:val="3"/>
  </w:num>
  <w:num w:numId="11">
    <w:abstractNumId w:val="14"/>
  </w:num>
  <w:num w:numId="12">
    <w:abstractNumId w:val="11"/>
  </w:num>
  <w:num w:numId="13">
    <w:abstractNumId w:val="1"/>
  </w:num>
  <w:num w:numId="14">
    <w:abstractNumId w:val="8"/>
  </w:num>
  <w:num w:numId="15">
    <w:abstractNumId w:val="12"/>
  </w:num>
  <w:num w:numId="16">
    <w:abstractNumId w:val="17"/>
  </w:num>
  <w:num w:numId="17">
    <w:abstractNumId w:val="0"/>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1" w:cryptProviderType="rsaFull" w:cryptAlgorithmClass="hash" w:cryptAlgorithmType="typeAny" w:cryptAlgorithmSid="4" w:cryptSpinCount="0" w:hash="zqAV7iEICcM1Bi+chLt/AOnfSBY=" w:salt="8YwdC9wYOQkFpt1UsMZUBQ=="/>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lkMjNmNGM5NGU1MzU5MTJlZmU4YTA3NzFkNDA0OWIifQ=="/>
  </w:docVars>
  <w:rsids>
    <w:rsidRoot w:val="00172A27"/>
    <w:rsid w:val="00000953"/>
    <w:rsid w:val="00000F72"/>
    <w:rsid w:val="00002848"/>
    <w:rsid w:val="00002D06"/>
    <w:rsid w:val="0000367E"/>
    <w:rsid w:val="0000401E"/>
    <w:rsid w:val="000043FB"/>
    <w:rsid w:val="00004564"/>
    <w:rsid w:val="00004A40"/>
    <w:rsid w:val="00007FDD"/>
    <w:rsid w:val="00010215"/>
    <w:rsid w:val="00010A88"/>
    <w:rsid w:val="00011934"/>
    <w:rsid w:val="00011BC1"/>
    <w:rsid w:val="00014128"/>
    <w:rsid w:val="00014131"/>
    <w:rsid w:val="000142D8"/>
    <w:rsid w:val="0001443F"/>
    <w:rsid w:val="00014639"/>
    <w:rsid w:val="00015073"/>
    <w:rsid w:val="00015369"/>
    <w:rsid w:val="00015C4D"/>
    <w:rsid w:val="000162B6"/>
    <w:rsid w:val="00016791"/>
    <w:rsid w:val="00016E98"/>
    <w:rsid w:val="0001798A"/>
    <w:rsid w:val="00020532"/>
    <w:rsid w:val="000206AF"/>
    <w:rsid w:val="00021640"/>
    <w:rsid w:val="000229FD"/>
    <w:rsid w:val="00023164"/>
    <w:rsid w:val="0002331D"/>
    <w:rsid w:val="00023523"/>
    <w:rsid w:val="000237C4"/>
    <w:rsid w:val="00023F63"/>
    <w:rsid w:val="000244F8"/>
    <w:rsid w:val="0002455D"/>
    <w:rsid w:val="00024676"/>
    <w:rsid w:val="000270D7"/>
    <w:rsid w:val="000316C1"/>
    <w:rsid w:val="000336DA"/>
    <w:rsid w:val="000340C8"/>
    <w:rsid w:val="00034923"/>
    <w:rsid w:val="00034DE8"/>
    <w:rsid w:val="000367A3"/>
    <w:rsid w:val="0003756D"/>
    <w:rsid w:val="000378C5"/>
    <w:rsid w:val="000379AC"/>
    <w:rsid w:val="00037B19"/>
    <w:rsid w:val="00040D09"/>
    <w:rsid w:val="0004192E"/>
    <w:rsid w:val="00041D16"/>
    <w:rsid w:val="00042022"/>
    <w:rsid w:val="000422BF"/>
    <w:rsid w:val="0004281C"/>
    <w:rsid w:val="00042FD9"/>
    <w:rsid w:val="00043EF5"/>
    <w:rsid w:val="000446F7"/>
    <w:rsid w:val="000448CD"/>
    <w:rsid w:val="0004529D"/>
    <w:rsid w:val="000454C0"/>
    <w:rsid w:val="000455CF"/>
    <w:rsid w:val="00045EE1"/>
    <w:rsid w:val="0004685F"/>
    <w:rsid w:val="00046B1D"/>
    <w:rsid w:val="00050775"/>
    <w:rsid w:val="00051D9B"/>
    <w:rsid w:val="0005239B"/>
    <w:rsid w:val="000528F2"/>
    <w:rsid w:val="00052F1B"/>
    <w:rsid w:val="000535D7"/>
    <w:rsid w:val="0005378E"/>
    <w:rsid w:val="00054C3C"/>
    <w:rsid w:val="0005511B"/>
    <w:rsid w:val="0005575C"/>
    <w:rsid w:val="00057322"/>
    <w:rsid w:val="000575E8"/>
    <w:rsid w:val="00062E51"/>
    <w:rsid w:val="00063067"/>
    <w:rsid w:val="0006319A"/>
    <w:rsid w:val="00063B28"/>
    <w:rsid w:val="00063D49"/>
    <w:rsid w:val="00065165"/>
    <w:rsid w:val="000653A8"/>
    <w:rsid w:val="00065FD8"/>
    <w:rsid w:val="00066821"/>
    <w:rsid w:val="00066860"/>
    <w:rsid w:val="0006702E"/>
    <w:rsid w:val="0006714B"/>
    <w:rsid w:val="000672AC"/>
    <w:rsid w:val="00067E8C"/>
    <w:rsid w:val="00070982"/>
    <w:rsid w:val="00070B71"/>
    <w:rsid w:val="00071007"/>
    <w:rsid w:val="00071318"/>
    <w:rsid w:val="0007168E"/>
    <w:rsid w:val="000728A8"/>
    <w:rsid w:val="000730A4"/>
    <w:rsid w:val="00074C10"/>
    <w:rsid w:val="000751B2"/>
    <w:rsid w:val="00075B61"/>
    <w:rsid w:val="00076B10"/>
    <w:rsid w:val="00077175"/>
    <w:rsid w:val="00080A9D"/>
    <w:rsid w:val="00080ABC"/>
    <w:rsid w:val="000822BF"/>
    <w:rsid w:val="000826B8"/>
    <w:rsid w:val="000835D4"/>
    <w:rsid w:val="0008484F"/>
    <w:rsid w:val="0008558E"/>
    <w:rsid w:val="00085833"/>
    <w:rsid w:val="00086937"/>
    <w:rsid w:val="00086A3B"/>
    <w:rsid w:val="00086DFC"/>
    <w:rsid w:val="00087072"/>
    <w:rsid w:val="00087E1B"/>
    <w:rsid w:val="0009202F"/>
    <w:rsid w:val="0009288C"/>
    <w:rsid w:val="000928D1"/>
    <w:rsid w:val="00094397"/>
    <w:rsid w:val="00095646"/>
    <w:rsid w:val="00095E53"/>
    <w:rsid w:val="000968BC"/>
    <w:rsid w:val="000A06CE"/>
    <w:rsid w:val="000A0D50"/>
    <w:rsid w:val="000A0EAB"/>
    <w:rsid w:val="000A124D"/>
    <w:rsid w:val="000A12CE"/>
    <w:rsid w:val="000A1461"/>
    <w:rsid w:val="000A1E84"/>
    <w:rsid w:val="000A3DFE"/>
    <w:rsid w:val="000A563C"/>
    <w:rsid w:val="000A7629"/>
    <w:rsid w:val="000A76DE"/>
    <w:rsid w:val="000A78ED"/>
    <w:rsid w:val="000B18EF"/>
    <w:rsid w:val="000B26F6"/>
    <w:rsid w:val="000B2783"/>
    <w:rsid w:val="000B34AE"/>
    <w:rsid w:val="000B3A3A"/>
    <w:rsid w:val="000B446F"/>
    <w:rsid w:val="000B44B8"/>
    <w:rsid w:val="000B5472"/>
    <w:rsid w:val="000B65D4"/>
    <w:rsid w:val="000B72C1"/>
    <w:rsid w:val="000B7448"/>
    <w:rsid w:val="000B7BA8"/>
    <w:rsid w:val="000C0EDC"/>
    <w:rsid w:val="000C16EA"/>
    <w:rsid w:val="000C17B5"/>
    <w:rsid w:val="000C2D68"/>
    <w:rsid w:val="000C3805"/>
    <w:rsid w:val="000C3A17"/>
    <w:rsid w:val="000C4574"/>
    <w:rsid w:val="000C548A"/>
    <w:rsid w:val="000C54F8"/>
    <w:rsid w:val="000C5DB5"/>
    <w:rsid w:val="000C647E"/>
    <w:rsid w:val="000D0A7A"/>
    <w:rsid w:val="000D0DCF"/>
    <w:rsid w:val="000D13A4"/>
    <w:rsid w:val="000D1F08"/>
    <w:rsid w:val="000D1F23"/>
    <w:rsid w:val="000D26D4"/>
    <w:rsid w:val="000D2911"/>
    <w:rsid w:val="000D2C68"/>
    <w:rsid w:val="000D4016"/>
    <w:rsid w:val="000D40CA"/>
    <w:rsid w:val="000D4253"/>
    <w:rsid w:val="000D4C3A"/>
    <w:rsid w:val="000D5065"/>
    <w:rsid w:val="000D5F15"/>
    <w:rsid w:val="000D6A91"/>
    <w:rsid w:val="000D6B0C"/>
    <w:rsid w:val="000D6E2A"/>
    <w:rsid w:val="000D6F43"/>
    <w:rsid w:val="000E0B20"/>
    <w:rsid w:val="000E0C60"/>
    <w:rsid w:val="000E1319"/>
    <w:rsid w:val="000E1CC6"/>
    <w:rsid w:val="000E5545"/>
    <w:rsid w:val="000E6288"/>
    <w:rsid w:val="000E6483"/>
    <w:rsid w:val="000F021E"/>
    <w:rsid w:val="000F026D"/>
    <w:rsid w:val="000F123C"/>
    <w:rsid w:val="000F1CA2"/>
    <w:rsid w:val="000F2A44"/>
    <w:rsid w:val="000F4D6A"/>
    <w:rsid w:val="000F7712"/>
    <w:rsid w:val="000F7A47"/>
    <w:rsid w:val="001009E3"/>
    <w:rsid w:val="00102DBD"/>
    <w:rsid w:val="001044F3"/>
    <w:rsid w:val="0010503C"/>
    <w:rsid w:val="00105C2B"/>
    <w:rsid w:val="001063A6"/>
    <w:rsid w:val="00107281"/>
    <w:rsid w:val="00107CB4"/>
    <w:rsid w:val="00107DBE"/>
    <w:rsid w:val="00107DC8"/>
    <w:rsid w:val="00107E74"/>
    <w:rsid w:val="0011033F"/>
    <w:rsid w:val="00110965"/>
    <w:rsid w:val="00112F08"/>
    <w:rsid w:val="0011372F"/>
    <w:rsid w:val="00114E16"/>
    <w:rsid w:val="00115AFC"/>
    <w:rsid w:val="00115DA4"/>
    <w:rsid w:val="00116438"/>
    <w:rsid w:val="00116466"/>
    <w:rsid w:val="00117410"/>
    <w:rsid w:val="00117C93"/>
    <w:rsid w:val="00117FD1"/>
    <w:rsid w:val="00121E26"/>
    <w:rsid w:val="00122AF5"/>
    <w:rsid w:val="00123FAE"/>
    <w:rsid w:val="00127986"/>
    <w:rsid w:val="00127A4C"/>
    <w:rsid w:val="00127A81"/>
    <w:rsid w:val="00127AC3"/>
    <w:rsid w:val="00127BBE"/>
    <w:rsid w:val="00127D05"/>
    <w:rsid w:val="001305F4"/>
    <w:rsid w:val="00130640"/>
    <w:rsid w:val="0013259B"/>
    <w:rsid w:val="00132E42"/>
    <w:rsid w:val="00132E91"/>
    <w:rsid w:val="0013375D"/>
    <w:rsid w:val="001338A3"/>
    <w:rsid w:val="001404A1"/>
    <w:rsid w:val="001404A9"/>
    <w:rsid w:val="00140CE0"/>
    <w:rsid w:val="00140EE7"/>
    <w:rsid w:val="001417FC"/>
    <w:rsid w:val="00141A43"/>
    <w:rsid w:val="00141FF4"/>
    <w:rsid w:val="001420DC"/>
    <w:rsid w:val="00144107"/>
    <w:rsid w:val="00144308"/>
    <w:rsid w:val="001447E2"/>
    <w:rsid w:val="00144C52"/>
    <w:rsid w:val="001457FA"/>
    <w:rsid w:val="001479F5"/>
    <w:rsid w:val="00150819"/>
    <w:rsid w:val="00150D4B"/>
    <w:rsid w:val="00151917"/>
    <w:rsid w:val="001519F9"/>
    <w:rsid w:val="00152350"/>
    <w:rsid w:val="001553A0"/>
    <w:rsid w:val="0015555B"/>
    <w:rsid w:val="00155A82"/>
    <w:rsid w:val="00156DD2"/>
    <w:rsid w:val="001571F3"/>
    <w:rsid w:val="00157E3B"/>
    <w:rsid w:val="00162C9C"/>
    <w:rsid w:val="00163C04"/>
    <w:rsid w:val="001650A5"/>
    <w:rsid w:val="001655AB"/>
    <w:rsid w:val="00165769"/>
    <w:rsid w:val="001712AF"/>
    <w:rsid w:val="00172A27"/>
    <w:rsid w:val="00172A7A"/>
    <w:rsid w:val="001730C0"/>
    <w:rsid w:val="00175751"/>
    <w:rsid w:val="00175826"/>
    <w:rsid w:val="001762FF"/>
    <w:rsid w:val="00176FA3"/>
    <w:rsid w:val="0017778E"/>
    <w:rsid w:val="00180895"/>
    <w:rsid w:val="00182D48"/>
    <w:rsid w:val="0018344B"/>
    <w:rsid w:val="001835F6"/>
    <w:rsid w:val="001850C4"/>
    <w:rsid w:val="001858C2"/>
    <w:rsid w:val="00185A5D"/>
    <w:rsid w:val="001909B5"/>
    <w:rsid w:val="00191610"/>
    <w:rsid w:val="00196485"/>
    <w:rsid w:val="00196A28"/>
    <w:rsid w:val="00196C36"/>
    <w:rsid w:val="001A0630"/>
    <w:rsid w:val="001A1BC9"/>
    <w:rsid w:val="001A42E4"/>
    <w:rsid w:val="001A456E"/>
    <w:rsid w:val="001A461C"/>
    <w:rsid w:val="001A50ED"/>
    <w:rsid w:val="001A768C"/>
    <w:rsid w:val="001A7B91"/>
    <w:rsid w:val="001B14E9"/>
    <w:rsid w:val="001B15D7"/>
    <w:rsid w:val="001B2580"/>
    <w:rsid w:val="001B2A61"/>
    <w:rsid w:val="001B3D80"/>
    <w:rsid w:val="001B4CF4"/>
    <w:rsid w:val="001B4E50"/>
    <w:rsid w:val="001B55B3"/>
    <w:rsid w:val="001B77A9"/>
    <w:rsid w:val="001C293E"/>
    <w:rsid w:val="001C2E31"/>
    <w:rsid w:val="001C30BA"/>
    <w:rsid w:val="001C322A"/>
    <w:rsid w:val="001C3A5C"/>
    <w:rsid w:val="001C3BF9"/>
    <w:rsid w:val="001C51B4"/>
    <w:rsid w:val="001C5FF6"/>
    <w:rsid w:val="001C6356"/>
    <w:rsid w:val="001D0015"/>
    <w:rsid w:val="001D09C2"/>
    <w:rsid w:val="001D1F31"/>
    <w:rsid w:val="001D2C4B"/>
    <w:rsid w:val="001D2E43"/>
    <w:rsid w:val="001D3F52"/>
    <w:rsid w:val="001D45D9"/>
    <w:rsid w:val="001D5F6E"/>
    <w:rsid w:val="001D6318"/>
    <w:rsid w:val="001D724F"/>
    <w:rsid w:val="001D7393"/>
    <w:rsid w:val="001D7EDF"/>
    <w:rsid w:val="001E0118"/>
    <w:rsid w:val="001E0904"/>
    <w:rsid w:val="001E09EB"/>
    <w:rsid w:val="001E1B6D"/>
    <w:rsid w:val="001E2405"/>
    <w:rsid w:val="001E2C78"/>
    <w:rsid w:val="001E2F92"/>
    <w:rsid w:val="001E6FAB"/>
    <w:rsid w:val="001E7CC1"/>
    <w:rsid w:val="001F0DA4"/>
    <w:rsid w:val="001F2668"/>
    <w:rsid w:val="001F2832"/>
    <w:rsid w:val="001F4E11"/>
    <w:rsid w:val="001F4E5A"/>
    <w:rsid w:val="001F5C08"/>
    <w:rsid w:val="001F6003"/>
    <w:rsid w:val="001F6CDF"/>
    <w:rsid w:val="001F710A"/>
    <w:rsid w:val="001F7B9E"/>
    <w:rsid w:val="001F7D02"/>
    <w:rsid w:val="00200DA4"/>
    <w:rsid w:val="002019C7"/>
    <w:rsid w:val="00201ADA"/>
    <w:rsid w:val="002021EC"/>
    <w:rsid w:val="00203238"/>
    <w:rsid w:val="00204403"/>
    <w:rsid w:val="00205ACE"/>
    <w:rsid w:val="00206C99"/>
    <w:rsid w:val="0020745E"/>
    <w:rsid w:val="002077EC"/>
    <w:rsid w:val="00207DF6"/>
    <w:rsid w:val="002105CE"/>
    <w:rsid w:val="00210B15"/>
    <w:rsid w:val="00211FB8"/>
    <w:rsid w:val="002127CE"/>
    <w:rsid w:val="00212C85"/>
    <w:rsid w:val="002134EE"/>
    <w:rsid w:val="002141AB"/>
    <w:rsid w:val="002156BD"/>
    <w:rsid w:val="00215C33"/>
    <w:rsid w:val="0021636E"/>
    <w:rsid w:val="002167C1"/>
    <w:rsid w:val="00216CCF"/>
    <w:rsid w:val="00216D92"/>
    <w:rsid w:val="00217053"/>
    <w:rsid w:val="00217E54"/>
    <w:rsid w:val="002208ED"/>
    <w:rsid w:val="00220CE7"/>
    <w:rsid w:val="00220FEC"/>
    <w:rsid w:val="00222618"/>
    <w:rsid w:val="002241B4"/>
    <w:rsid w:val="002245D0"/>
    <w:rsid w:val="00224621"/>
    <w:rsid w:val="00224835"/>
    <w:rsid w:val="00224E89"/>
    <w:rsid w:val="0022513E"/>
    <w:rsid w:val="00225674"/>
    <w:rsid w:val="00226514"/>
    <w:rsid w:val="00226703"/>
    <w:rsid w:val="00226813"/>
    <w:rsid w:val="0022756D"/>
    <w:rsid w:val="00227ED3"/>
    <w:rsid w:val="0023217A"/>
    <w:rsid w:val="002326AC"/>
    <w:rsid w:val="002328BA"/>
    <w:rsid w:val="00232BB2"/>
    <w:rsid w:val="00232CC0"/>
    <w:rsid w:val="00233456"/>
    <w:rsid w:val="002337C3"/>
    <w:rsid w:val="00233E1D"/>
    <w:rsid w:val="002348AB"/>
    <w:rsid w:val="00234C74"/>
    <w:rsid w:val="002350DE"/>
    <w:rsid w:val="0023705B"/>
    <w:rsid w:val="00241839"/>
    <w:rsid w:val="00241B23"/>
    <w:rsid w:val="0024214A"/>
    <w:rsid w:val="00243FB0"/>
    <w:rsid w:val="002448BA"/>
    <w:rsid w:val="00244A0F"/>
    <w:rsid w:val="00246392"/>
    <w:rsid w:val="002475F2"/>
    <w:rsid w:val="00250468"/>
    <w:rsid w:val="0025078A"/>
    <w:rsid w:val="00250A4B"/>
    <w:rsid w:val="00250AC0"/>
    <w:rsid w:val="002519E2"/>
    <w:rsid w:val="002529D3"/>
    <w:rsid w:val="002533C0"/>
    <w:rsid w:val="0025384F"/>
    <w:rsid w:val="002540FB"/>
    <w:rsid w:val="0025496A"/>
    <w:rsid w:val="00256C8C"/>
    <w:rsid w:val="0026020C"/>
    <w:rsid w:val="002621C8"/>
    <w:rsid w:val="0026256E"/>
    <w:rsid w:val="00262641"/>
    <w:rsid w:val="002632AD"/>
    <w:rsid w:val="0026330B"/>
    <w:rsid w:val="00263CE2"/>
    <w:rsid w:val="002645D9"/>
    <w:rsid w:val="00265F51"/>
    <w:rsid w:val="00267BB9"/>
    <w:rsid w:val="00270C1D"/>
    <w:rsid w:val="00273354"/>
    <w:rsid w:val="00274C65"/>
    <w:rsid w:val="00274D41"/>
    <w:rsid w:val="00276626"/>
    <w:rsid w:val="002771B6"/>
    <w:rsid w:val="0027724E"/>
    <w:rsid w:val="00280B23"/>
    <w:rsid w:val="00280CAD"/>
    <w:rsid w:val="002812C3"/>
    <w:rsid w:val="002814C0"/>
    <w:rsid w:val="0028156F"/>
    <w:rsid w:val="00281C5E"/>
    <w:rsid w:val="00282850"/>
    <w:rsid w:val="00282F80"/>
    <w:rsid w:val="002854D2"/>
    <w:rsid w:val="0028610B"/>
    <w:rsid w:val="00286146"/>
    <w:rsid w:val="002861A2"/>
    <w:rsid w:val="00286C08"/>
    <w:rsid w:val="0028709A"/>
    <w:rsid w:val="00290313"/>
    <w:rsid w:val="0029082A"/>
    <w:rsid w:val="00290999"/>
    <w:rsid w:val="00291BB8"/>
    <w:rsid w:val="00293093"/>
    <w:rsid w:val="00293322"/>
    <w:rsid w:val="00293704"/>
    <w:rsid w:val="00293B13"/>
    <w:rsid w:val="002941D5"/>
    <w:rsid w:val="00295AA8"/>
    <w:rsid w:val="00295C12"/>
    <w:rsid w:val="00295E45"/>
    <w:rsid w:val="00296FAA"/>
    <w:rsid w:val="0029736A"/>
    <w:rsid w:val="002976E2"/>
    <w:rsid w:val="00297F83"/>
    <w:rsid w:val="002A0175"/>
    <w:rsid w:val="002A223F"/>
    <w:rsid w:val="002A2B9E"/>
    <w:rsid w:val="002A2FF9"/>
    <w:rsid w:val="002A31A3"/>
    <w:rsid w:val="002A3A73"/>
    <w:rsid w:val="002A4DAB"/>
    <w:rsid w:val="002A5447"/>
    <w:rsid w:val="002A7933"/>
    <w:rsid w:val="002A7FA5"/>
    <w:rsid w:val="002B029F"/>
    <w:rsid w:val="002B02A0"/>
    <w:rsid w:val="002B1465"/>
    <w:rsid w:val="002B1787"/>
    <w:rsid w:val="002B1C25"/>
    <w:rsid w:val="002B2089"/>
    <w:rsid w:val="002B2689"/>
    <w:rsid w:val="002B2C27"/>
    <w:rsid w:val="002B3103"/>
    <w:rsid w:val="002B3352"/>
    <w:rsid w:val="002B458D"/>
    <w:rsid w:val="002B4783"/>
    <w:rsid w:val="002B4B47"/>
    <w:rsid w:val="002B570D"/>
    <w:rsid w:val="002B5713"/>
    <w:rsid w:val="002B5B83"/>
    <w:rsid w:val="002B6800"/>
    <w:rsid w:val="002B6EA3"/>
    <w:rsid w:val="002C07D4"/>
    <w:rsid w:val="002C0FEF"/>
    <w:rsid w:val="002C288F"/>
    <w:rsid w:val="002C375D"/>
    <w:rsid w:val="002C4800"/>
    <w:rsid w:val="002C4AA3"/>
    <w:rsid w:val="002C667A"/>
    <w:rsid w:val="002C7114"/>
    <w:rsid w:val="002D0139"/>
    <w:rsid w:val="002D075F"/>
    <w:rsid w:val="002D2BEC"/>
    <w:rsid w:val="002D2E68"/>
    <w:rsid w:val="002D3857"/>
    <w:rsid w:val="002D3DDE"/>
    <w:rsid w:val="002D4850"/>
    <w:rsid w:val="002D4B79"/>
    <w:rsid w:val="002D4C2E"/>
    <w:rsid w:val="002D4D19"/>
    <w:rsid w:val="002D5EE6"/>
    <w:rsid w:val="002D5F58"/>
    <w:rsid w:val="002D5FB6"/>
    <w:rsid w:val="002D7109"/>
    <w:rsid w:val="002D718E"/>
    <w:rsid w:val="002E0288"/>
    <w:rsid w:val="002E0587"/>
    <w:rsid w:val="002E0DDB"/>
    <w:rsid w:val="002E18B8"/>
    <w:rsid w:val="002E37EC"/>
    <w:rsid w:val="002E3A91"/>
    <w:rsid w:val="002E3BA2"/>
    <w:rsid w:val="002E6286"/>
    <w:rsid w:val="002E639B"/>
    <w:rsid w:val="002E67FF"/>
    <w:rsid w:val="002E6E90"/>
    <w:rsid w:val="002E74A0"/>
    <w:rsid w:val="002F1837"/>
    <w:rsid w:val="002F2ECE"/>
    <w:rsid w:val="002F2FB6"/>
    <w:rsid w:val="002F39E5"/>
    <w:rsid w:val="002F4459"/>
    <w:rsid w:val="002F4B93"/>
    <w:rsid w:val="002F5E70"/>
    <w:rsid w:val="002F6864"/>
    <w:rsid w:val="002F7841"/>
    <w:rsid w:val="00301944"/>
    <w:rsid w:val="00301C39"/>
    <w:rsid w:val="00301D8E"/>
    <w:rsid w:val="00303313"/>
    <w:rsid w:val="00303898"/>
    <w:rsid w:val="00305482"/>
    <w:rsid w:val="00306649"/>
    <w:rsid w:val="003078A6"/>
    <w:rsid w:val="00307AB2"/>
    <w:rsid w:val="003109D4"/>
    <w:rsid w:val="00311328"/>
    <w:rsid w:val="00311A5F"/>
    <w:rsid w:val="00311DB4"/>
    <w:rsid w:val="0031250A"/>
    <w:rsid w:val="003128F4"/>
    <w:rsid w:val="0031415A"/>
    <w:rsid w:val="003144BC"/>
    <w:rsid w:val="00314AC3"/>
    <w:rsid w:val="00314BC5"/>
    <w:rsid w:val="00315E45"/>
    <w:rsid w:val="00316886"/>
    <w:rsid w:val="00317172"/>
    <w:rsid w:val="0032337F"/>
    <w:rsid w:val="00323AEF"/>
    <w:rsid w:val="00324652"/>
    <w:rsid w:val="00324A8B"/>
    <w:rsid w:val="00324EEC"/>
    <w:rsid w:val="0032532C"/>
    <w:rsid w:val="00325C7B"/>
    <w:rsid w:val="003271CE"/>
    <w:rsid w:val="0033110E"/>
    <w:rsid w:val="003315DD"/>
    <w:rsid w:val="00331A68"/>
    <w:rsid w:val="00333401"/>
    <w:rsid w:val="00334410"/>
    <w:rsid w:val="003371E1"/>
    <w:rsid w:val="0034036C"/>
    <w:rsid w:val="00340EF8"/>
    <w:rsid w:val="00343873"/>
    <w:rsid w:val="00343A34"/>
    <w:rsid w:val="00343ED8"/>
    <w:rsid w:val="003444E1"/>
    <w:rsid w:val="00345229"/>
    <w:rsid w:val="00345585"/>
    <w:rsid w:val="0034673C"/>
    <w:rsid w:val="0034754D"/>
    <w:rsid w:val="00347AA3"/>
    <w:rsid w:val="003501D9"/>
    <w:rsid w:val="00350420"/>
    <w:rsid w:val="003513A6"/>
    <w:rsid w:val="0035200C"/>
    <w:rsid w:val="0035238A"/>
    <w:rsid w:val="003534A5"/>
    <w:rsid w:val="00353F0D"/>
    <w:rsid w:val="00355BE4"/>
    <w:rsid w:val="00356129"/>
    <w:rsid w:val="00356165"/>
    <w:rsid w:val="00356E19"/>
    <w:rsid w:val="00357410"/>
    <w:rsid w:val="003601C9"/>
    <w:rsid w:val="00361552"/>
    <w:rsid w:val="00361849"/>
    <w:rsid w:val="0036193F"/>
    <w:rsid w:val="00361DC5"/>
    <w:rsid w:val="003620A9"/>
    <w:rsid w:val="003629C5"/>
    <w:rsid w:val="00363190"/>
    <w:rsid w:val="003642A6"/>
    <w:rsid w:val="003643D2"/>
    <w:rsid w:val="00367CE2"/>
    <w:rsid w:val="0037009D"/>
    <w:rsid w:val="003705B5"/>
    <w:rsid w:val="00370BC4"/>
    <w:rsid w:val="00371612"/>
    <w:rsid w:val="00371790"/>
    <w:rsid w:val="003717B0"/>
    <w:rsid w:val="0037294C"/>
    <w:rsid w:val="003729B4"/>
    <w:rsid w:val="0037306D"/>
    <w:rsid w:val="00373AAD"/>
    <w:rsid w:val="00374AEC"/>
    <w:rsid w:val="00376B16"/>
    <w:rsid w:val="003770B9"/>
    <w:rsid w:val="003774B5"/>
    <w:rsid w:val="003774F1"/>
    <w:rsid w:val="003779AD"/>
    <w:rsid w:val="00377A14"/>
    <w:rsid w:val="003819D8"/>
    <w:rsid w:val="00382421"/>
    <w:rsid w:val="003830F3"/>
    <w:rsid w:val="003838A4"/>
    <w:rsid w:val="00384CF8"/>
    <w:rsid w:val="003874A1"/>
    <w:rsid w:val="00391659"/>
    <w:rsid w:val="0039178F"/>
    <w:rsid w:val="00391E97"/>
    <w:rsid w:val="003923F8"/>
    <w:rsid w:val="00392F1E"/>
    <w:rsid w:val="003938A8"/>
    <w:rsid w:val="00393C09"/>
    <w:rsid w:val="00393F7F"/>
    <w:rsid w:val="0039485D"/>
    <w:rsid w:val="00394F78"/>
    <w:rsid w:val="00396BC5"/>
    <w:rsid w:val="003974C4"/>
    <w:rsid w:val="00397505"/>
    <w:rsid w:val="0039769C"/>
    <w:rsid w:val="003A1D01"/>
    <w:rsid w:val="003A1D41"/>
    <w:rsid w:val="003A266E"/>
    <w:rsid w:val="003A3D05"/>
    <w:rsid w:val="003A642D"/>
    <w:rsid w:val="003A6FA6"/>
    <w:rsid w:val="003A79EC"/>
    <w:rsid w:val="003A7CBF"/>
    <w:rsid w:val="003B015C"/>
    <w:rsid w:val="003B09C2"/>
    <w:rsid w:val="003B1360"/>
    <w:rsid w:val="003B14BD"/>
    <w:rsid w:val="003B2EC3"/>
    <w:rsid w:val="003B48F3"/>
    <w:rsid w:val="003B613D"/>
    <w:rsid w:val="003B792E"/>
    <w:rsid w:val="003B7951"/>
    <w:rsid w:val="003B7EAA"/>
    <w:rsid w:val="003C1773"/>
    <w:rsid w:val="003C1E47"/>
    <w:rsid w:val="003C394C"/>
    <w:rsid w:val="003C3DF1"/>
    <w:rsid w:val="003C403E"/>
    <w:rsid w:val="003C512E"/>
    <w:rsid w:val="003C5896"/>
    <w:rsid w:val="003C63E6"/>
    <w:rsid w:val="003C7250"/>
    <w:rsid w:val="003C7C91"/>
    <w:rsid w:val="003D04D6"/>
    <w:rsid w:val="003D1CD9"/>
    <w:rsid w:val="003D47E5"/>
    <w:rsid w:val="003D56E0"/>
    <w:rsid w:val="003E0281"/>
    <w:rsid w:val="003E1A49"/>
    <w:rsid w:val="003E1FE8"/>
    <w:rsid w:val="003E2556"/>
    <w:rsid w:val="003E3718"/>
    <w:rsid w:val="003E3E75"/>
    <w:rsid w:val="003E4307"/>
    <w:rsid w:val="003E43B3"/>
    <w:rsid w:val="003E448A"/>
    <w:rsid w:val="003E4CD9"/>
    <w:rsid w:val="003E53EF"/>
    <w:rsid w:val="003E611B"/>
    <w:rsid w:val="003E61BD"/>
    <w:rsid w:val="003F081F"/>
    <w:rsid w:val="003F111A"/>
    <w:rsid w:val="003F13FF"/>
    <w:rsid w:val="003F27E8"/>
    <w:rsid w:val="003F2B22"/>
    <w:rsid w:val="003F3851"/>
    <w:rsid w:val="003F6AA4"/>
    <w:rsid w:val="003F6AC6"/>
    <w:rsid w:val="003F6C3C"/>
    <w:rsid w:val="003F7169"/>
    <w:rsid w:val="003F7284"/>
    <w:rsid w:val="00400679"/>
    <w:rsid w:val="004012DE"/>
    <w:rsid w:val="00401A53"/>
    <w:rsid w:val="00401D32"/>
    <w:rsid w:val="00402053"/>
    <w:rsid w:val="004027AE"/>
    <w:rsid w:val="00403E54"/>
    <w:rsid w:val="00403FDB"/>
    <w:rsid w:val="004044AE"/>
    <w:rsid w:val="00404750"/>
    <w:rsid w:val="00404F2A"/>
    <w:rsid w:val="00406015"/>
    <w:rsid w:val="00406795"/>
    <w:rsid w:val="00406B66"/>
    <w:rsid w:val="00406C81"/>
    <w:rsid w:val="004108A7"/>
    <w:rsid w:val="00410DB1"/>
    <w:rsid w:val="0041123B"/>
    <w:rsid w:val="004117C4"/>
    <w:rsid w:val="00412387"/>
    <w:rsid w:val="00412609"/>
    <w:rsid w:val="00412A2B"/>
    <w:rsid w:val="00412F92"/>
    <w:rsid w:val="00414A4B"/>
    <w:rsid w:val="00415470"/>
    <w:rsid w:val="00415E5C"/>
    <w:rsid w:val="004163FD"/>
    <w:rsid w:val="00420282"/>
    <w:rsid w:val="004202CF"/>
    <w:rsid w:val="0042095B"/>
    <w:rsid w:val="0042096B"/>
    <w:rsid w:val="0042125F"/>
    <w:rsid w:val="00421807"/>
    <w:rsid w:val="00421BE3"/>
    <w:rsid w:val="00422D62"/>
    <w:rsid w:val="0042375E"/>
    <w:rsid w:val="004240DD"/>
    <w:rsid w:val="00424831"/>
    <w:rsid w:val="00425BA4"/>
    <w:rsid w:val="00425F93"/>
    <w:rsid w:val="004268F1"/>
    <w:rsid w:val="0043056A"/>
    <w:rsid w:val="00430CC9"/>
    <w:rsid w:val="004346B4"/>
    <w:rsid w:val="00434D2F"/>
    <w:rsid w:val="004356C6"/>
    <w:rsid w:val="00435DB4"/>
    <w:rsid w:val="00436826"/>
    <w:rsid w:val="0044000F"/>
    <w:rsid w:val="00440887"/>
    <w:rsid w:val="00440B50"/>
    <w:rsid w:val="00441006"/>
    <w:rsid w:val="0044199C"/>
    <w:rsid w:val="0044268F"/>
    <w:rsid w:val="00442CC6"/>
    <w:rsid w:val="00442DC5"/>
    <w:rsid w:val="00442E3C"/>
    <w:rsid w:val="00443C0F"/>
    <w:rsid w:val="00444074"/>
    <w:rsid w:val="00450CDC"/>
    <w:rsid w:val="0045246E"/>
    <w:rsid w:val="00452783"/>
    <w:rsid w:val="00453221"/>
    <w:rsid w:val="004532CB"/>
    <w:rsid w:val="0045372C"/>
    <w:rsid w:val="00453C76"/>
    <w:rsid w:val="00453D3C"/>
    <w:rsid w:val="004543F1"/>
    <w:rsid w:val="00456660"/>
    <w:rsid w:val="00456B56"/>
    <w:rsid w:val="004602CD"/>
    <w:rsid w:val="00461088"/>
    <w:rsid w:val="004615C2"/>
    <w:rsid w:val="0046184D"/>
    <w:rsid w:val="00461DD7"/>
    <w:rsid w:val="004623EA"/>
    <w:rsid w:val="00462446"/>
    <w:rsid w:val="004636E5"/>
    <w:rsid w:val="00463850"/>
    <w:rsid w:val="00463FC7"/>
    <w:rsid w:val="004652F4"/>
    <w:rsid w:val="00465A6B"/>
    <w:rsid w:val="0046659A"/>
    <w:rsid w:val="00466C5F"/>
    <w:rsid w:val="00467148"/>
    <w:rsid w:val="00467533"/>
    <w:rsid w:val="0047118D"/>
    <w:rsid w:val="00471C80"/>
    <w:rsid w:val="00472001"/>
    <w:rsid w:val="0047277C"/>
    <w:rsid w:val="00473F56"/>
    <w:rsid w:val="00476586"/>
    <w:rsid w:val="00476A03"/>
    <w:rsid w:val="00476A36"/>
    <w:rsid w:val="00476F44"/>
    <w:rsid w:val="00477194"/>
    <w:rsid w:val="00480112"/>
    <w:rsid w:val="00480199"/>
    <w:rsid w:val="00480BDA"/>
    <w:rsid w:val="00481C67"/>
    <w:rsid w:val="004821F7"/>
    <w:rsid w:val="00483D88"/>
    <w:rsid w:val="00486418"/>
    <w:rsid w:val="004865EF"/>
    <w:rsid w:val="004878A7"/>
    <w:rsid w:val="00487B1C"/>
    <w:rsid w:val="004919C0"/>
    <w:rsid w:val="00491C3C"/>
    <w:rsid w:val="00493597"/>
    <w:rsid w:val="0049392A"/>
    <w:rsid w:val="004942BB"/>
    <w:rsid w:val="00494C55"/>
    <w:rsid w:val="0049526A"/>
    <w:rsid w:val="004974E9"/>
    <w:rsid w:val="004A0A92"/>
    <w:rsid w:val="004A19EC"/>
    <w:rsid w:val="004A3915"/>
    <w:rsid w:val="004A548E"/>
    <w:rsid w:val="004A5911"/>
    <w:rsid w:val="004B0930"/>
    <w:rsid w:val="004B0B3C"/>
    <w:rsid w:val="004B1B05"/>
    <w:rsid w:val="004B1EC0"/>
    <w:rsid w:val="004B25E5"/>
    <w:rsid w:val="004B2716"/>
    <w:rsid w:val="004B32B1"/>
    <w:rsid w:val="004B412F"/>
    <w:rsid w:val="004B6648"/>
    <w:rsid w:val="004B6BE6"/>
    <w:rsid w:val="004B6F03"/>
    <w:rsid w:val="004B713E"/>
    <w:rsid w:val="004B7FC4"/>
    <w:rsid w:val="004C0655"/>
    <w:rsid w:val="004C09D6"/>
    <w:rsid w:val="004C0F6F"/>
    <w:rsid w:val="004C1344"/>
    <w:rsid w:val="004C13BF"/>
    <w:rsid w:val="004C3807"/>
    <w:rsid w:val="004C43A0"/>
    <w:rsid w:val="004C54EF"/>
    <w:rsid w:val="004C618F"/>
    <w:rsid w:val="004C651D"/>
    <w:rsid w:val="004C73A1"/>
    <w:rsid w:val="004C7858"/>
    <w:rsid w:val="004D0550"/>
    <w:rsid w:val="004D138F"/>
    <w:rsid w:val="004D152C"/>
    <w:rsid w:val="004D25EB"/>
    <w:rsid w:val="004D31F5"/>
    <w:rsid w:val="004D336E"/>
    <w:rsid w:val="004D3CDD"/>
    <w:rsid w:val="004D3EF0"/>
    <w:rsid w:val="004D44C1"/>
    <w:rsid w:val="004D4B44"/>
    <w:rsid w:val="004D57E2"/>
    <w:rsid w:val="004D5DA5"/>
    <w:rsid w:val="004E0CF7"/>
    <w:rsid w:val="004E14EE"/>
    <w:rsid w:val="004E4123"/>
    <w:rsid w:val="004E442D"/>
    <w:rsid w:val="004E4616"/>
    <w:rsid w:val="004E588E"/>
    <w:rsid w:val="004F00A2"/>
    <w:rsid w:val="004F2817"/>
    <w:rsid w:val="004F31A2"/>
    <w:rsid w:val="004F4418"/>
    <w:rsid w:val="004F4922"/>
    <w:rsid w:val="004F5458"/>
    <w:rsid w:val="004F5723"/>
    <w:rsid w:val="004F58AE"/>
    <w:rsid w:val="004F625D"/>
    <w:rsid w:val="004F76F1"/>
    <w:rsid w:val="005005EB"/>
    <w:rsid w:val="005005F7"/>
    <w:rsid w:val="00500806"/>
    <w:rsid w:val="00501305"/>
    <w:rsid w:val="00504270"/>
    <w:rsid w:val="00505104"/>
    <w:rsid w:val="00506F17"/>
    <w:rsid w:val="00511212"/>
    <w:rsid w:val="0051199F"/>
    <w:rsid w:val="00511B46"/>
    <w:rsid w:val="00513452"/>
    <w:rsid w:val="00515759"/>
    <w:rsid w:val="00515C10"/>
    <w:rsid w:val="00515E88"/>
    <w:rsid w:val="0051612A"/>
    <w:rsid w:val="00516893"/>
    <w:rsid w:val="005170C7"/>
    <w:rsid w:val="0052147F"/>
    <w:rsid w:val="005215D6"/>
    <w:rsid w:val="00522063"/>
    <w:rsid w:val="005237BB"/>
    <w:rsid w:val="00524F29"/>
    <w:rsid w:val="00525221"/>
    <w:rsid w:val="00525760"/>
    <w:rsid w:val="00525A47"/>
    <w:rsid w:val="005261D7"/>
    <w:rsid w:val="00526DD1"/>
    <w:rsid w:val="005273AF"/>
    <w:rsid w:val="005279DC"/>
    <w:rsid w:val="005315A6"/>
    <w:rsid w:val="00531935"/>
    <w:rsid w:val="0053348A"/>
    <w:rsid w:val="0053375D"/>
    <w:rsid w:val="00533C39"/>
    <w:rsid w:val="00533DA1"/>
    <w:rsid w:val="0053404A"/>
    <w:rsid w:val="0053404F"/>
    <w:rsid w:val="00535430"/>
    <w:rsid w:val="005376BA"/>
    <w:rsid w:val="005377EB"/>
    <w:rsid w:val="00537A43"/>
    <w:rsid w:val="00540A85"/>
    <w:rsid w:val="00540B2A"/>
    <w:rsid w:val="005420D8"/>
    <w:rsid w:val="00542ADD"/>
    <w:rsid w:val="00542D40"/>
    <w:rsid w:val="0054343B"/>
    <w:rsid w:val="005443CF"/>
    <w:rsid w:val="00544B97"/>
    <w:rsid w:val="00544C87"/>
    <w:rsid w:val="00546555"/>
    <w:rsid w:val="00546F1B"/>
    <w:rsid w:val="00547FEC"/>
    <w:rsid w:val="005507F4"/>
    <w:rsid w:val="005518AC"/>
    <w:rsid w:val="00551CDA"/>
    <w:rsid w:val="00551ED4"/>
    <w:rsid w:val="005524D1"/>
    <w:rsid w:val="005527DE"/>
    <w:rsid w:val="0055322E"/>
    <w:rsid w:val="00560DCC"/>
    <w:rsid w:val="00560E2A"/>
    <w:rsid w:val="00561782"/>
    <w:rsid w:val="00562903"/>
    <w:rsid w:val="00562EE0"/>
    <w:rsid w:val="005634C6"/>
    <w:rsid w:val="00563D31"/>
    <w:rsid w:val="00564095"/>
    <w:rsid w:val="00564F5C"/>
    <w:rsid w:val="005653DE"/>
    <w:rsid w:val="00565496"/>
    <w:rsid w:val="00566BCB"/>
    <w:rsid w:val="00572272"/>
    <w:rsid w:val="00572D22"/>
    <w:rsid w:val="00573520"/>
    <w:rsid w:val="005740EC"/>
    <w:rsid w:val="00574DA7"/>
    <w:rsid w:val="005758BF"/>
    <w:rsid w:val="00577456"/>
    <w:rsid w:val="005779BC"/>
    <w:rsid w:val="00577A4A"/>
    <w:rsid w:val="00577D5E"/>
    <w:rsid w:val="00581259"/>
    <w:rsid w:val="005816AB"/>
    <w:rsid w:val="00583B94"/>
    <w:rsid w:val="00585402"/>
    <w:rsid w:val="00585A91"/>
    <w:rsid w:val="005862A9"/>
    <w:rsid w:val="00590066"/>
    <w:rsid w:val="00591765"/>
    <w:rsid w:val="00591E41"/>
    <w:rsid w:val="00591FF9"/>
    <w:rsid w:val="00592087"/>
    <w:rsid w:val="005920EB"/>
    <w:rsid w:val="00592556"/>
    <w:rsid w:val="00594804"/>
    <w:rsid w:val="005948AE"/>
    <w:rsid w:val="005955B4"/>
    <w:rsid w:val="005A0AEB"/>
    <w:rsid w:val="005A128B"/>
    <w:rsid w:val="005A2F4A"/>
    <w:rsid w:val="005A50E2"/>
    <w:rsid w:val="005B0485"/>
    <w:rsid w:val="005B09A6"/>
    <w:rsid w:val="005B0CD9"/>
    <w:rsid w:val="005B1256"/>
    <w:rsid w:val="005B13EE"/>
    <w:rsid w:val="005B159C"/>
    <w:rsid w:val="005B2595"/>
    <w:rsid w:val="005B2C31"/>
    <w:rsid w:val="005B2E4B"/>
    <w:rsid w:val="005B3581"/>
    <w:rsid w:val="005B35EB"/>
    <w:rsid w:val="005B614A"/>
    <w:rsid w:val="005B72FC"/>
    <w:rsid w:val="005B74C8"/>
    <w:rsid w:val="005C1D71"/>
    <w:rsid w:val="005C20C9"/>
    <w:rsid w:val="005C2A5E"/>
    <w:rsid w:val="005C2CEF"/>
    <w:rsid w:val="005C2D60"/>
    <w:rsid w:val="005C36C7"/>
    <w:rsid w:val="005C3EB7"/>
    <w:rsid w:val="005C5FF2"/>
    <w:rsid w:val="005C644A"/>
    <w:rsid w:val="005C652E"/>
    <w:rsid w:val="005C6B78"/>
    <w:rsid w:val="005C72CF"/>
    <w:rsid w:val="005C73FA"/>
    <w:rsid w:val="005C7635"/>
    <w:rsid w:val="005C7DBD"/>
    <w:rsid w:val="005D0195"/>
    <w:rsid w:val="005D2492"/>
    <w:rsid w:val="005D2907"/>
    <w:rsid w:val="005D3633"/>
    <w:rsid w:val="005D455F"/>
    <w:rsid w:val="005D47D7"/>
    <w:rsid w:val="005D5634"/>
    <w:rsid w:val="005D7D62"/>
    <w:rsid w:val="005E0C8F"/>
    <w:rsid w:val="005E0DD3"/>
    <w:rsid w:val="005E126E"/>
    <w:rsid w:val="005E2A13"/>
    <w:rsid w:val="005E305F"/>
    <w:rsid w:val="005E3700"/>
    <w:rsid w:val="005E3EEE"/>
    <w:rsid w:val="005E4F21"/>
    <w:rsid w:val="005E50FD"/>
    <w:rsid w:val="005E6007"/>
    <w:rsid w:val="005E6753"/>
    <w:rsid w:val="005E74BE"/>
    <w:rsid w:val="005E77C0"/>
    <w:rsid w:val="005F1CD7"/>
    <w:rsid w:val="005F2D4F"/>
    <w:rsid w:val="005F3976"/>
    <w:rsid w:val="005F409E"/>
    <w:rsid w:val="005F57D3"/>
    <w:rsid w:val="005F59A3"/>
    <w:rsid w:val="005F682E"/>
    <w:rsid w:val="00600A3C"/>
    <w:rsid w:val="00600CF3"/>
    <w:rsid w:val="006038F1"/>
    <w:rsid w:val="00604A8B"/>
    <w:rsid w:val="00604E70"/>
    <w:rsid w:val="006061FA"/>
    <w:rsid w:val="00610585"/>
    <w:rsid w:val="00611093"/>
    <w:rsid w:val="00612360"/>
    <w:rsid w:val="00612F79"/>
    <w:rsid w:val="00615453"/>
    <w:rsid w:val="00615965"/>
    <w:rsid w:val="00615BE0"/>
    <w:rsid w:val="00615D76"/>
    <w:rsid w:val="00616161"/>
    <w:rsid w:val="00617133"/>
    <w:rsid w:val="00617A55"/>
    <w:rsid w:val="00620433"/>
    <w:rsid w:val="006224C5"/>
    <w:rsid w:val="006230DB"/>
    <w:rsid w:val="00623394"/>
    <w:rsid w:val="006261F5"/>
    <w:rsid w:val="0062639D"/>
    <w:rsid w:val="00626EA4"/>
    <w:rsid w:val="00627187"/>
    <w:rsid w:val="00627279"/>
    <w:rsid w:val="00627C0B"/>
    <w:rsid w:val="00630314"/>
    <w:rsid w:val="006303A1"/>
    <w:rsid w:val="00630AFC"/>
    <w:rsid w:val="0063305E"/>
    <w:rsid w:val="00634938"/>
    <w:rsid w:val="00634B1E"/>
    <w:rsid w:val="00634F3E"/>
    <w:rsid w:val="0063552C"/>
    <w:rsid w:val="006355FE"/>
    <w:rsid w:val="00635967"/>
    <w:rsid w:val="00635E0C"/>
    <w:rsid w:val="0063745E"/>
    <w:rsid w:val="006400C8"/>
    <w:rsid w:val="006419F3"/>
    <w:rsid w:val="006428B4"/>
    <w:rsid w:val="00642FDD"/>
    <w:rsid w:val="00643134"/>
    <w:rsid w:val="00643831"/>
    <w:rsid w:val="00644051"/>
    <w:rsid w:val="00644497"/>
    <w:rsid w:val="00644B34"/>
    <w:rsid w:val="00645D1E"/>
    <w:rsid w:val="00645DB6"/>
    <w:rsid w:val="00647D21"/>
    <w:rsid w:val="00650718"/>
    <w:rsid w:val="00650B77"/>
    <w:rsid w:val="006512C0"/>
    <w:rsid w:val="006512CA"/>
    <w:rsid w:val="00651767"/>
    <w:rsid w:val="006519FA"/>
    <w:rsid w:val="00652ADD"/>
    <w:rsid w:val="00654997"/>
    <w:rsid w:val="00654B50"/>
    <w:rsid w:val="00654F18"/>
    <w:rsid w:val="00655D4D"/>
    <w:rsid w:val="006563F5"/>
    <w:rsid w:val="00656511"/>
    <w:rsid w:val="006578A4"/>
    <w:rsid w:val="00657912"/>
    <w:rsid w:val="006608E2"/>
    <w:rsid w:val="00661658"/>
    <w:rsid w:val="00661C26"/>
    <w:rsid w:val="006625A1"/>
    <w:rsid w:val="00663110"/>
    <w:rsid w:val="0066404E"/>
    <w:rsid w:val="00664C74"/>
    <w:rsid w:val="00665010"/>
    <w:rsid w:val="006653B6"/>
    <w:rsid w:val="00666352"/>
    <w:rsid w:val="0066654A"/>
    <w:rsid w:val="00670787"/>
    <w:rsid w:val="006714DE"/>
    <w:rsid w:val="006715E4"/>
    <w:rsid w:val="006716E2"/>
    <w:rsid w:val="00671B3C"/>
    <w:rsid w:val="006723BE"/>
    <w:rsid w:val="00672CEB"/>
    <w:rsid w:val="006730D5"/>
    <w:rsid w:val="006732A4"/>
    <w:rsid w:val="00673592"/>
    <w:rsid w:val="006739F8"/>
    <w:rsid w:val="00673ADC"/>
    <w:rsid w:val="00674B91"/>
    <w:rsid w:val="00675EF5"/>
    <w:rsid w:val="00681D24"/>
    <w:rsid w:val="006821EC"/>
    <w:rsid w:val="00682468"/>
    <w:rsid w:val="00682C01"/>
    <w:rsid w:val="00682DA1"/>
    <w:rsid w:val="00683898"/>
    <w:rsid w:val="006840C3"/>
    <w:rsid w:val="00684452"/>
    <w:rsid w:val="00684B29"/>
    <w:rsid w:val="00685514"/>
    <w:rsid w:val="00685757"/>
    <w:rsid w:val="006871DF"/>
    <w:rsid w:val="00694995"/>
    <w:rsid w:val="00694AE4"/>
    <w:rsid w:val="0069533C"/>
    <w:rsid w:val="00696415"/>
    <w:rsid w:val="0069679E"/>
    <w:rsid w:val="006967D3"/>
    <w:rsid w:val="006A07E7"/>
    <w:rsid w:val="006A3C71"/>
    <w:rsid w:val="006A455C"/>
    <w:rsid w:val="006A55FF"/>
    <w:rsid w:val="006A6442"/>
    <w:rsid w:val="006A64B1"/>
    <w:rsid w:val="006A7556"/>
    <w:rsid w:val="006A7B9A"/>
    <w:rsid w:val="006A7E25"/>
    <w:rsid w:val="006B0B89"/>
    <w:rsid w:val="006B22EC"/>
    <w:rsid w:val="006B2ED4"/>
    <w:rsid w:val="006B31FB"/>
    <w:rsid w:val="006B338D"/>
    <w:rsid w:val="006B50CF"/>
    <w:rsid w:val="006B526C"/>
    <w:rsid w:val="006B58F2"/>
    <w:rsid w:val="006B5F91"/>
    <w:rsid w:val="006B6C64"/>
    <w:rsid w:val="006B7020"/>
    <w:rsid w:val="006B761D"/>
    <w:rsid w:val="006B7BF9"/>
    <w:rsid w:val="006C017D"/>
    <w:rsid w:val="006C0DED"/>
    <w:rsid w:val="006C4F73"/>
    <w:rsid w:val="006C60FD"/>
    <w:rsid w:val="006C61D3"/>
    <w:rsid w:val="006C75D6"/>
    <w:rsid w:val="006D0530"/>
    <w:rsid w:val="006D1026"/>
    <w:rsid w:val="006D288C"/>
    <w:rsid w:val="006D390B"/>
    <w:rsid w:val="006D4FDF"/>
    <w:rsid w:val="006D5BA2"/>
    <w:rsid w:val="006D704C"/>
    <w:rsid w:val="006D7643"/>
    <w:rsid w:val="006E06B5"/>
    <w:rsid w:val="006E0E22"/>
    <w:rsid w:val="006E20E8"/>
    <w:rsid w:val="006E2685"/>
    <w:rsid w:val="006E277D"/>
    <w:rsid w:val="006E3385"/>
    <w:rsid w:val="006E5D43"/>
    <w:rsid w:val="006E679C"/>
    <w:rsid w:val="006E6A24"/>
    <w:rsid w:val="006F08F4"/>
    <w:rsid w:val="006F1433"/>
    <w:rsid w:val="006F14D0"/>
    <w:rsid w:val="006F1915"/>
    <w:rsid w:val="006F218D"/>
    <w:rsid w:val="006F2E4F"/>
    <w:rsid w:val="006F36BC"/>
    <w:rsid w:val="006F3B9D"/>
    <w:rsid w:val="006F41BA"/>
    <w:rsid w:val="006F44D3"/>
    <w:rsid w:val="006F5929"/>
    <w:rsid w:val="00700B04"/>
    <w:rsid w:val="007030BB"/>
    <w:rsid w:val="00703336"/>
    <w:rsid w:val="007037A3"/>
    <w:rsid w:val="00703DDB"/>
    <w:rsid w:val="00704AA9"/>
    <w:rsid w:val="00706E56"/>
    <w:rsid w:val="00707509"/>
    <w:rsid w:val="0070757E"/>
    <w:rsid w:val="0071064E"/>
    <w:rsid w:val="0071068A"/>
    <w:rsid w:val="00710978"/>
    <w:rsid w:val="007109F2"/>
    <w:rsid w:val="00711141"/>
    <w:rsid w:val="00711C85"/>
    <w:rsid w:val="00711E41"/>
    <w:rsid w:val="00712F42"/>
    <w:rsid w:val="00712F99"/>
    <w:rsid w:val="00713D5C"/>
    <w:rsid w:val="00716948"/>
    <w:rsid w:val="00717AC8"/>
    <w:rsid w:val="00717B16"/>
    <w:rsid w:val="00717F75"/>
    <w:rsid w:val="0072020A"/>
    <w:rsid w:val="00721667"/>
    <w:rsid w:val="007234FA"/>
    <w:rsid w:val="00723AB9"/>
    <w:rsid w:val="00724556"/>
    <w:rsid w:val="0072493A"/>
    <w:rsid w:val="00724D4D"/>
    <w:rsid w:val="00725309"/>
    <w:rsid w:val="00726B1C"/>
    <w:rsid w:val="00726FE2"/>
    <w:rsid w:val="00727521"/>
    <w:rsid w:val="00727AD2"/>
    <w:rsid w:val="00730518"/>
    <w:rsid w:val="00730524"/>
    <w:rsid w:val="00731D0F"/>
    <w:rsid w:val="00732416"/>
    <w:rsid w:val="00732511"/>
    <w:rsid w:val="00733308"/>
    <w:rsid w:val="00734C2F"/>
    <w:rsid w:val="00734CE5"/>
    <w:rsid w:val="00736688"/>
    <w:rsid w:val="00736A5C"/>
    <w:rsid w:val="00740443"/>
    <w:rsid w:val="00741DB6"/>
    <w:rsid w:val="007420AF"/>
    <w:rsid w:val="00742262"/>
    <w:rsid w:val="0074235B"/>
    <w:rsid w:val="00744235"/>
    <w:rsid w:val="00744472"/>
    <w:rsid w:val="007446C6"/>
    <w:rsid w:val="007446EA"/>
    <w:rsid w:val="00745021"/>
    <w:rsid w:val="00745203"/>
    <w:rsid w:val="007454A2"/>
    <w:rsid w:val="00745665"/>
    <w:rsid w:val="0074579E"/>
    <w:rsid w:val="00745F41"/>
    <w:rsid w:val="007472CC"/>
    <w:rsid w:val="00747707"/>
    <w:rsid w:val="00751F38"/>
    <w:rsid w:val="00752AB2"/>
    <w:rsid w:val="00753D2C"/>
    <w:rsid w:val="0075684D"/>
    <w:rsid w:val="00757696"/>
    <w:rsid w:val="00757916"/>
    <w:rsid w:val="007601BC"/>
    <w:rsid w:val="00761473"/>
    <w:rsid w:val="00762D86"/>
    <w:rsid w:val="0076360F"/>
    <w:rsid w:val="007639C5"/>
    <w:rsid w:val="00764209"/>
    <w:rsid w:val="00764D6B"/>
    <w:rsid w:val="00765948"/>
    <w:rsid w:val="00767CA0"/>
    <w:rsid w:val="00770693"/>
    <w:rsid w:val="00770B81"/>
    <w:rsid w:val="00771C4F"/>
    <w:rsid w:val="00771E95"/>
    <w:rsid w:val="00772256"/>
    <w:rsid w:val="00772EAB"/>
    <w:rsid w:val="0077445A"/>
    <w:rsid w:val="007744C4"/>
    <w:rsid w:val="00774949"/>
    <w:rsid w:val="00774C45"/>
    <w:rsid w:val="00775027"/>
    <w:rsid w:val="007751B7"/>
    <w:rsid w:val="007764E2"/>
    <w:rsid w:val="0078006C"/>
    <w:rsid w:val="0078039F"/>
    <w:rsid w:val="00782596"/>
    <w:rsid w:val="00782654"/>
    <w:rsid w:val="00783E7F"/>
    <w:rsid w:val="00786AC7"/>
    <w:rsid w:val="00792732"/>
    <w:rsid w:val="00793804"/>
    <w:rsid w:val="00793B7B"/>
    <w:rsid w:val="00793D5E"/>
    <w:rsid w:val="00793D81"/>
    <w:rsid w:val="007947CD"/>
    <w:rsid w:val="00794876"/>
    <w:rsid w:val="00794EA0"/>
    <w:rsid w:val="00794FBD"/>
    <w:rsid w:val="00796DAD"/>
    <w:rsid w:val="007A1001"/>
    <w:rsid w:val="007A58AD"/>
    <w:rsid w:val="007A6C23"/>
    <w:rsid w:val="007A71AA"/>
    <w:rsid w:val="007A722F"/>
    <w:rsid w:val="007A7BF9"/>
    <w:rsid w:val="007A7F52"/>
    <w:rsid w:val="007B07CC"/>
    <w:rsid w:val="007B0960"/>
    <w:rsid w:val="007B1BDC"/>
    <w:rsid w:val="007B3CCC"/>
    <w:rsid w:val="007B56AA"/>
    <w:rsid w:val="007B572E"/>
    <w:rsid w:val="007B6A4B"/>
    <w:rsid w:val="007B6B57"/>
    <w:rsid w:val="007C0CE2"/>
    <w:rsid w:val="007C144F"/>
    <w:rsid w:val="007C1E00"/>
    <w:rsid w:val="007C3D35"/>
    <w:rsid w:val="007C4D96"/>
    <w:rsid w:val="007C51F9"/>
    <w:rsid w:val="007C5BBA"/>
    <w:rsid w:val="007C71B1"/>
    <w:rsid w:val="007C7673"/>
    <w:rsid w:val="007C78F4"/>
    <w:rsid w:val="007D2D03"/>
    <w:rsid w:val="007D4367"/>
    <w:rsid w:val="007D62E5"/>
    <w:rsid w:val="007D6CC8"/>
    <w:rsid w:val="007D73FE"/>
    <w:rsid w:val="007D7ACE"/>
    <w:rsid w:val="007E05DF"/>
    <w:rsid w:val="007E0FFB"/>
    <w:rsid w:val="007E1AF9"/>
    <w:rsid w:val="007E271B"/>
    <w:rsid w:val="007E2B7F"/>
    <w:rsid w:val="007E301A"/>
    <w:rsid w:val="007E34FB"/>
    <w:rsid w:val="007E3779"/>
    <w:rsid w:val="007E3CCB"/>
    <w:rsid w:val="007E4ACF"/>
    <w:rsid w:val="007E4D9A"/>
    <w:rsid w:val="007E54C1"/>
    <w:rsid w:val="007E573C"/>
    <w:rsid w:val="007E6813"/>
    <w:rsid w:val="007E7E59"/>
    <w:rsid w:val="007F0627"/>
    <w:rsid w:val="007F1A55"/>
    <w:rsid w:val="007F3526"/>
    <w:rsid w:val="007F38F7"/>
    <w:rsid w:val="007F4BF2"/>
    <w:rsid w:val="007F6344"/>
    <w:rsid w:val="007F799F"/>
    <w:rsid w:val="00801478"/>
    <w:rsid w:val="00801649"/>
    <w:rsid w:val="00802338"/>
    <w:rsid w:val="008024EE"/>
    <w:rsid w:val="0080274E"/>
    <w:rsid w:val="00803769"/>
    <w:rsid w:val="008047F4"/>
    <w:rsid w:val="008055D6"/>
    <w:rsid w:val="00805640"/>
    <w:rsid w:val="008057D6"/>
    <w:rsid w:val="008065A9"/>
    <w:rsid w:val="008079E0"/>
    <w:rsid w:val="008102F1"/>
    <w:rsid w:val="00811C26"/>
    <w:rsid w:val="00811EED"/>
    <w:rsid w:val="008126AD"/>
    <w:rsid w:val="00814469"/>
    <w:rsid w:val="0081572E"/>
    <w:rsid w:val="00816E86"/>
    <w:rsid w:val="008173B2"/>
    <w:rsid w:val="00817655"/>
    <w:rsid w:val="008176C8"/>
    <w:rsid w:val="00817D13"/>
    <w:rsid w:val="0082082B"/>
    <w:rsid w:val="00821821"/>
    <w:rsid w:val="00822DE2"/>
    <w:rsid w:val="0082314D"/>
    <w:rsid w:val="008232DE"/>
    <w:rsid w:val="00823DE2"/>
    <w:rsid w:val="008240BA"/>
    <w:rsid w:val="008244DC"/>
    <w:rsid w:val="00824AFE"/>
    <w:rsid w:val="008264DC"/>
    <w:rsid w:val="00827400"/>
    <w:rsid w:val="00830000"/>
    <w:rsid w:val="0083021D"/>
    <w:rsid w:val="00833651"/>
    <w:rsid w:val="00833929"/>
    <w:rsid w:val="00834247"/>
    <w:rsid w:val="0083427D"/>
    <w:rsid w:val="0083437B"/>
    <w:rsid w:val="00834B4C"/>
    <w:rsid w:val="00834DF1"/>
    <w:rsid w:val="00834FE3"/>
    <w:rsid w:val="00835D77"/>
    <w:rsid w:val="008364D4"/>
    <w:rsid w:val="00836B80"/>
    <w:rsid w:val="00840BA0"/>
    <w:rsid w:val="00842207"/>
    <w:rsid w:val="00842289"/>
    <w:rsid w:val="008426FB"/>
    <w:rsid w:val="00844250"/>
    <w:rsid w:val="00844E7B"/>
    <w:rsid w:val="00845C27"/>
    <w:rsid w:val="0084685D"/>
    <w:rsid w:val="00850918"/>
    <w:rsid w:val="00850FB0"/>
    <w:rsid w:val="00852A28"/>
    <w:rsid w:val="008533FB"/>
    <w:rsid w:val="00853E14"/>
    <w:rsid w:val="00854747"/>
    <w:rsid w:val="00856CA9"/>
    <w:rsid w:val="00856EF0"/>
    <w:rsid w:val="00857274"/>
    <w:rsid w:val="00857BC1"/>
    <w:rsid w:val="00857C32"/>
    <w:rsid w:val="00860975"/>
    <w:rsid w:val="008612F7"/>
    <w:rsid w:val="00861964"/>
    <w:rsid w:val="0086276F"/>
    <w:rsid w:val="00864285"/>
    <w:rsid w:val="00867A6F"/>
    <w:rsid w:val="00867E33"/>
    <w:rsid w:val="00867E5C"/>
    <w:rsid w:val="00867E91"/>
    <w:rsid w:val="00870317"/>
    <w:rsid w:val="008706BF"/>
    <w:rsid w:val="008721A5"/>
    <w:rsid w:val="00872873"/>
    <w:rsid w:val="00872A03"/>
    <w:rsid w:val="00875043"/>
    <w:rsid w:val="00875152"/>
    <w:rsid w:val="008757BB"/>
    <w:rsid w:val="00875AFC"/>
    <w:rsid w:val="00880474"/>
    <w:rsid w:val="0088136B"/>
    <w:rsid w:val="00881445"/>
    <w:rsid w:val="0088166E"/>
    <w:rsid w:val="0088195B"/>
    <w:rsid w:val="0088240E"/>
    <w:rsid w:val="00883012"/>
    <w:rsid w:val="00884104"/>
    <w:rsid w:val="00884194"/>
    <w:rsid w:val="008906E4"/>
    <w:rsid w:val="0089083B"/>
    <w:rsid w:val="00891205"/>
    <w:rsid w:val="00891D1E"/>
    <w:rsid w:val="00892EF0"/>
    <w:rsid w:val="00893270"/>
    <w:rsid w:val="00893B92"/>
    <w:rsid w:val="00894656"/>
    <w:rsid w:val="00894B76"/>
    <w:rsid w:val="008963A5"/>
    <w:rsid w:val="00896DFC"/>
    <w:rsid w:val="00897B59"/>
    <w:rsid w:val="00897DDE"/>
    <w:rsid w:val="00897E27"/>
    <w:rsid w:val="008A0884"/>
    <w:rsid w:val="008A0CFA"/>
    <w:rsid w:val="008A2B6E"/>
    <w:rsid w:val="008A3058"/>
    <w:rsid w:val="008A3E6A"/>
    <w:rsid w:val="008A3E72"/>
    <w:rsid w:val="008A40A8"/>
    <w:rsid w:val="008A43FE"/>
    <w:rsid w:val="008A4B0D"/>
    <w:rsid w:val="008A4F80"/>
    <w:rsid w:val="008A5325"/>
    <w:rsid w:val="008A5A5D"/>
    <w:rsid w:val="008B02FC"/>
    <w:rsid w:val="008B051E"/>
    <w:rsid w:val="008B0A38"/>
    <w:rsid w:val="008B2DB8"/>
    <w:rsid w:val="008B3140"/>
    <w:rsid w:val="008B4FA3"/>
    <w:rsid w:val="008B7E6C"/>
    <w:rsid w:val="008C2139"/>
    <w:rsid w:val="008C258A"/>
    <w:rsid w:val="008C2A63"/>
    <w:rsid w:val="008C30A3"/>
    <w:rsid w:val="008C30BC"/>
    <w:rsid w:val="008C4AD3"/>
    <w:rsid w:val="008C63D4"/>
    <w:rsid w:val="008C6AA1"/>
    <w:rsid w:val="008C6DA2"/>
    <w:rsid w:val="008C7ADF"/>
    <w:rsid w:val="008D04C8"/>
    <w:rsid w:val="008D09D6"/>
    <w:rsid w:val="008D0EA4"/>
    <w:rsid w:val="008D1ABF"/>
    <w:rsid w:val="008D23AE"/>
    <w:rsid w:val="008D253E"/>
    <w:rsid w:val="008D2619"/>
    <w:rsid w:val="008D3A97"/>
    <w:rsid w:val="008D57D1"/>
    <w:rsid w:val="008D5C2E"/>
    <w:rsid w:val="008D5C4B"/>
    <w:rsid w:val="008D66E6"/>
    <w:rsid w:val="008D6A49"/>
    <w:rsid w:val="008D6E0E"/>
    <w:rsid w:val="008D714B"/>
    <w:rsid w:val="008D7E5B"/>
    <w:rsid w:val="008E03E6"/>
    <w:rsid w:val="008E094A"/>
    <w:rsid w:val="008E0A3C"/>
    <w:rsid w:val="008E0D32"/>
    <w:rsid w:val="008E11CD"/>
    <w:rsid w:val="008E3F5B"/>
    <w:rsid w:val="008E5251"/>
    <w:rsid w:val="008E57BA"/>
    <w:rsid w:val="008E5AB1"/>
    <w:rsid w:val="008E5BD8"/>
    <w:rsid w:val="008E61E7"/>
    <w:rsid w:val="008E733A"/>
    <w:rsid w:val="008E7832"/>
    <w:rsid w:val="008F0F54"/>
    <w:rsid w:val="008F0F9F"/>
    <w:rsid w:val="008F151D"/>
    <w:rsid w:val="008F2C09"/>
    <w:rsid w:val="008F2D11"/>
    <w:rsid w:val="008F31DD"/>
    <w:rsid w:val="008F5273"/>
    <w:rsid w:val="008F55FA"/>
    <w:rsid w:val="008F6068"/>
    <w:rsid w:val="008F693A"/>
    <w:rsid w:val="008F7562"/>
    <w:rsid w:val="008F78F4"/>
    <w:rsid w:val="008F7E1D"/>
    <w:rsid w:val="00900ED8"/>
    <w:rsid w:val="00902006"/>
    <w:rsid w:val="009021AA"/>
    <w:rsid w:val="00902793"/>
    <w:rsid w:val="00902878"/>
    <w:rsid w:val="009031FF"/>
    <w:rsid w:val="009048B4"/>
    <w:rsid w:val="009053A8"/>
    <w:rsid w:val="009102C9"/>
    <w:rsid w:val="00911203"/>
    <w:rsid w:val="00911258"/>
    <w:rsid w:val="009119DF"/>
    <w:rsid w:val="00912ECE"/>
    <w:rsid w:val="0091305D"/>
    <w:rsid w:val="0091328B"/>
    <w:rsid w:val="0091360A"/>
    <w:rsid w:val="00915F41"/>
    <w:rsid w:val="00916985"/>
    <w:rsid w:val="00920017"/>
    <w:rsid w:val="009201E7"/>
    <w:rsid w:val="00921EFE"/>
    <w:rsid w:val="009220AE"/>
    <w:rsid w:val="00922FF6"/>
    <w:rsid w:val="00923954"/>
    <w:rsid w:val="00923CDA"/>
    <w:rsid w:val="00924DD4"/>
    <w:rsid w:val="00925B9F"/>
    <w:rsid w:val="0092609C"/>
    <w:rsid w:val="009262F7"/>
    <w:rsid w:val="009265D2"/>
    <w:rsid w:val="00926BF3"/>
    <w:rsid w:val="00927021"/>
    <w:rsid w:val="009274CA"/>
    <w:rsid w:val="00930676"/>
    <w:rsid w:val="009317C7"/>
    <w:rsid w:val="00931ADB"/>
    <w:rsid w:val="009322B1"/>
    <w:rsid w:val="00936C96"/>
    <w:rsid w:val="00936CC2"/>
    <w:rsid w:val="00936E92"/>
    <w:rsid w:val="00937407"/>
    <w:rsid w:val="0093766E"/>
    <w:rsid w:val="0093771D"/>
    <w:rsid w:val="00937743"/>
    <w:rsid w:val="00943202"/>
    <w:rsid w:val="00943205"/>
    <w:rsid w:val="00943283"/>
    <w:rsid w:val="009440B1"/>
    <w:rsid w:val="009448A9"/>
    <w:rsid w:val="00944A52"/>
    <w:rsid w:val="00944B46"/>
    <w:rsid w:val="0094682A"/>
    <w:rsid w:val="00950C92"/>
    <w:rsid w:val="00950EDD"/>
    <w:rsid w:val="009515E4"/>
    <w:rsid w:val="0095384B"/>
    <w:rsid w:val="00954DD4"/>
    <w:rsid w:val="00955218"/>
    <w:rsid w:val="00955371"/>
    <w:rsid w:val="009557A8"/>
    <w:rsid w:val="00956FB9"/>
    <w:rsid w:val="00957373"/>
    <w:rsid w:val="009575A1"/>
    <w:rsid w:val="00960454"/>
    <w:rsid w:val="00960479"/>
    <w:rsid w:val="009608BA"/>
    <w:rsid w:val="00961121"/>
    <w:rsid w:val="00961301"/>
    <w:rsid w:val="009618CB"/>
    <w:rsid w:val="00962217"/>
    <w:rsid w:val="00962EA8"/>
    <w:rsid w:val="00963E4D"/>
    <w:rsid w:val="009643D6"/>
    <w:rsid w:val="00964649"/>
    <w:rsid w:val="009652C1"/>
    <w:rsid w:val="0096530F"/>
    <w:rsid w:val="009657F4"/>
    <w:rsid w:val="00966BA4"/>
    <w:rsid w:val="00967370"/>
    <w:rsid w:val="0097172E"/>
    <w:rsid w:val="009726AD"/>
    <w:rsid w:val="00972CD5"/>
    <w:rsid w:val="009751A9"/>
    <w:rsid w:val="00975B46"/>
    <w:rsid w:val="0097621B"/>
    <w:rsid w:val="009777BB"/>
    <w:rsid w:val="009819D0"/>
    <w:rsid w:val="0098211A"/>
    <w:rsid w:val="0098227E"/>
    <w:rsid w:val="00983015"/>
    <w:rsid w:val="009830F1"/>
    <w:rsid w:val="00984D5B"/>
    <w:rsid w:val="00985C6C"/>
    <w:rsid w:val="00985D82"/>
    <w:rsid w:val="00991902"/>
    <w:rsid w:val="00992956"/>
    <w:rsid w:val="00993B71"/>
    <w:rsid w:val="00993CE1"/>
    <w:rsid w:val="00994698"/>
    <w:rsid w:val="009958A4"/>
    <w:rsid w:val="00997543"/>
    <w:rsid w:val="00997C62"/>
    <w:rsid w:val="009A0136"/>
    <w:rsid w:val="009A147C"/>
    <w:rsid w:val="009A161C"/>
    <w:rsid w:val="009A168B"/>
    <w:rsid w:val="009A195C"/>
    <w:rsid w:val="009A1F47"/>
    <w:rsid w:val="009A229C"/>
    <w:rsid w:val="009A3973"/>
    <w:rsid w:val="009A43CB"/>
    <w:rsid w:val="009A5855"/>
    <w:rsid w:val="009A60D0"/>
    <w:rsid w:val="009A6134"/>
    <w:rsid w:val="009A6C10"/>
    <w:rsid w:val="009A6EBC"/>
    <w:rsid w:val="009A6EEA"/>
    <w:rsid w:val="009A6F08"/>
    <w:rsid w:val="009A7B86"/>
    <w:rsid w:val="009B2AC0"/>
    <w:rsid w:val="009B2B3F"/>
    <w:rsid w:val="009B32D3"/>
    <w:rsid w:val="009B3579"/>
    <w:rsid w:val="009B43E1"/>
    <w:rsid w:val="009B4A29"/>
    <w:rsid w:val="009B564D"/>
    <w:rsid w:val="009B5CD3"/>
    <w:rsid w:val="009B6546"/>
    <w:rsid w:val="009C058C"/>
    <w:rsid w:val="009C0D33"/>
    <w:rsid w:val="009C1C6A"/>
    <w:rsid w:val="009C3417"/>
    <w:rsid w:val="009C5462"/>
    <w:rsid w:val="009C6D3D"/>
    <w:rsid w:val="009C7F8D"/>
    <w:rsid w:val="009D1206"/>
    <w:rsid w:val="009D223F"/>
    <w:rsid w:val="009D57B3"/>
    <w:rsid w:val="009D582F"/>
    <w:rsid w:val="009D6A22"/>
    <w:rsid w:val="009D6F7E"/>
    <w:rsid w:val="009E23C4"/>
    <w:rsid w:val="009E26E2"/>
    <w:rsid w:val="009E4CA8"/>
    <w:rsid w:val="009E5074"/>
    <w:rsid w:val="009E5DCD"/>
    <w:rsid w:val="009E652B"/>
    <w:rsid w:val="009E6901"/>
    <w:rsid w:val="009E7F43"/>
    <w:rsid w:val="009F215F"/>
    <w:rsid w:val="009F274E"/>
    <w:rsid w:val="009F2817"/>
    <w:rsid w:val="009F51F6"/>
    <w:rsid w:val="009F5DDA"/>
    <w:rsid w:val="009F5F36"/>
    <w:rsid w:val="009F615A"/>
    <w:rsid w:val="00A0055E"/>
    <w:rsid w:val="00A00620"/>
    <w:rsid w:val="00A00C13"/>
    <w:rsid w:val="00A00F16"/>
    <w:rsid w:val="00A01619"/>
    <w:rsid w:val="00A01FBA"/>
    <w:rsid w:val="00A0202F"/>
    <w:rsid w:val="00A02B0A"/>
    <w:rsid w:val="00A02DCF"/>
    <w:rsid w:val="00A047C6"/>
    <w:rsid w:val="00A04EE2"/>
    <w:rsid w:val="00A058BB"/>
    <w:rsid w:val="00A067EB"/>
    <w:rsid w:val="00A06924"/>
    <w:rsid w:val="00A07856"/>
    <w:rsid w:val="00A10269"/>
    <w:rsid w:val="00A102C2"/>
    <w:rsid w:val="00A103AB"/>
    <w:rsid w:val="00A10B87"/>
    <w:rsid w:val="00A120B4"/>
    <w:rsid w:val="00A12C6C"/>
    <w:rsid w:val="00A137CD"/>
    <w:rsid w:val="00A147FD"/>
    <w:rsid w:val="00A15B96"/>
    <w:rsid w:val="00A15CB1"/>
    <w:rsid w:val="00A178EC"/>
    <w:rsid w:val="00A17C08"/>
    <w:rsid w:val="00A20260"/>
    <w:rsid w:val="00A21E4D"/>
    <w:rsid w:val="00A21EF6"/>
    <w:rsid w:val="00A225AA"/>
    <w:rsid w:val="00A22BDB"/>
    <w:rsid w:val="00A249DC"/>
    <w:rsid w:val="00A24DC1"/>
    <w:rsid w:val="00A25124"/>
    <w:rsid w:val="00A26574"/>
    <w:rsid w:val="00A2664E"/>
    <w:rsid w:val="00A268EF"/>
    <w:rsid w:val="00A27DB3"/>
    <w:rsid w:val="00A309F3"/>
    <w:rsid w:val="00A31284"/>
    <w:rsid w:val="00A318BA"/>
    <w:rsid w:val="00A31C3C"/>
    <w:rsid w:val="00A320C5"/>
    <w:rsid w:val="00A32472"/>
    <w:rsid w:val="00A32720"/>
    <w:rsid w:val="00A32B52"/>
    <w:rsid w:val="00A32D2C"/>
    <w:rsid w:val="00A3344C"/>
    <w:rsid w:val="00A35140"/>
    <w:rsid w:val="00A3640F"/>
    <w:rsid w:val="00A36671"/>
    <w:rsid w:val="00A36798"/>
    <w:rsid w:val="00A3752B"/>
    <w:rsid w:val="00A37846"/>
    <w:rsid w:val="00A37A6B"/>
    <w:rsid w:val="00A37CB1"/>
    <w:rsid w:val="00A37E05"/>
    <w:rsid w:val="00A40F48"/>
    <w:rsid w:val="00A414F6"/>
    <w:rsid w:val="00A4222E"/>
    <w:rsid w:val="00A427AF"/>
    <w:rsid w:val="00A4307F"/>
    <w:rsid w:val="00A442DF"/>
    <w:rsid w:val="00A44E43"/>
    <w:rsid w:val="00A45A04"/>
    <w:rsid w:val="00A5035E"/>
    <w:rsid w:val="00A503C9"/>
    <w:rsid w:val="00A504DA"/>
    <w:rsid w:val="00A506A2"/>
    <w:rsid w:val="00A52139"/>
    <w:rsid w:val="00A53B5A"/>
    <w:rsid w:val="00A53E1A"/>
    <w:rsid w:val="00A548D7"/>
    <w:rsid w:val="00A55012"/>
    <w:rsid w:val="00A56DF8"/>
    <w:rsid w:val="00A573E8"/>
    <w:rsid w:val="00A57BE9"/>
    <w:rsid w:val="00A608A7"/>
    <w:rsid w:val="00A629C4"/>
    <w:rsid w:val="00A629D8"/>
    <w:rsid w:val="00A62F65"/>
    <w:rsid w:val="00A63AD8"/>
    <w:rsid w:val="00A63E3F"/>
    <w:rsid w:val="00A65755"/>
    <w:rsid w:val="00A65CB5"/>
    <w:rsid w:val="00A666B9"/>
    <w:rsid w:val="00A6712C"/>
    <w:rsid w:val="00A70CFE"/>
    <w:rsid w:val="00A71E73"/>
    <w:rsid w:val="00A734FD"/>
    <w:rsid w:val="00A7449F"/>
    <w:rsid w:val="00A747B1"/>
    <w:rsid w:val="00A74DBC"/>
    <w:rsid w:val="00A766A9"/>
    <w:rsid w:val="00A81201"/>
    <w:rsid w:val="00A82F97"/>
    <w:rsid w:val="00A8423D"/>
    <w:rsid w:val="00A84655"/>
    <w:rsid w:val="00A8542B"/>
    <w:rsid w:val="00A85516"/>
    <w:rsid w:val="00A86180"/>
    <w:rsid w:val="00A86682"/>
    <w:rsid w:val="00A870B1"/>
    <w:rsid w:val="00A87B68"/>
    <w:rsid w:val="00A9019C"/>
    <w:rsid w:val="00A907C4"/>
    <w:rsid w:val="00A90BEE"/>
    <w:rsid w:val="00A920B3"/>
    <w:rsid w:val="00A9239A"/>
    <w:rsid w:val="00A93B2C"/>
    <w:rsid w:val="00A94955"/>
    <w:rsid w:val="00A952FF"/>
    <w:rsid w:val="00A96234"/>
    <w:rsid w:val="00A96763"/>
    <w:rsid w:val="00A97B0C"/>
    <w:rsid w:val="00AA13AF"/>
    <w:rsid w:val="00AA237D"/>
    <w:rsid w:val="00AA43C1"/>
    <w:rsid w:val="00AA4545"/>
    <w:rsid w:val="00AA643B"/>
    <w:rsid w:val="00AA68D6"/>
    <w:rsid w:val="00AA7F66"/>
    <w:rsid w:val="00AB4829"/>
    <w:rsid w:val="00AB588E"/>
    <w:rsid w:val="00AB6A7C"/>
    <w:rsid w:val="00AB6C38"/>
    <w:rsid w:val="00AB79A7"/>
    <w:rsid w:val="00AC0058"/>
    <w:rsid w:val="00AC0113"/>
    <w:rsid w:val="00AC01D8"/>
    <w:rsid w:val="00AC0645"/>
    <w:rsid w:val="00AC133A"/>
    <w:rsid w:val="00AC1340"/>
    <w:rsid w:val="00AC1620"/>
    <w:rsid w:val="00AC2D81"/>
    <w:rsid w:val="00AC306C"/>
    <w:rsid w:val="00AC32DF"/>
    <w:rsid w:val="00AC353D"/>
    <w:rsid w:val="00AC37D8"/>
    <w:rsid w:val="00AC4053"/>
    <w:rsid w:val="00AC44C9"/>
    <w:rsid w:val="00AC4611"/>
    <w:rsid w:val="00AC7F1C"/>
    <w:rsid w:val="00AD20E2"/>
    <w:rsid w:val="00AD24BF"/>
    <w:rsid w:val="00AD287D"/>
    <w:rsid w:val="00AD2F5D"/>
    <w:rsid w:val="00AD5997"/>
    <w:rsid w:val="00AD5CD2"/>
    <w:rsid w:val="00AD6408"/>
    <w:rsid w:val="00AD7528"/>
    <w:rsid w:val="00AE04AF"/>
    <w:rsid w:val="00AE2157"/>
    <w:rsid w:val="00AE3102"/>
    <w:rsid w:val="00AE3609"/>
    <w:rsid w:val="00AE3969"/>
    <w:rsid w:val="00AE4762"/>
    <w:rsid w:val="00AE4EC7"/>
    <w:rsid w:val="00AE524A"/>
    <w:rsid w:val="00AE6576"/>
    <w:rsid w:val="00AE7041"/>
    <w:rsid w:val="00AE7719"/>
    <w:rsid w:val="00AF0347"/>
    <w:rsid w:val="00AF0391"/>
    <w:rsid w:val="00AF28C7"/>
    <w:rsid w:val="00AF32E6"/>
    <w:rsid w:val="00AF4051"/>
    <w:rsid w:val="00AF45A7"/>
    <w:rsid w:val="00AF57FA"/>
    <w:rsid w:val="00AF6489"/>
    <w:rsid w:val="00AF7B59"/>
    <w:rsid w:val="00B003DA"/>
    <w:rsid w:val="00B016D4"/>
    <w:rsid w:val="00B01AE8"/>
    <w:rsid w:val="00B020EB"/>
    <w:rsid w:val="00B02D33"/>
    <w:rsid w:val="00B0366D"/>
    <w:rsid w:val="00B03F16"/>
    <w:rsid w:val="00B04777"/>
    <w:rsid w:val="00B04E87"/>
    <w:rsid w:val="00B05510"/>
    <w:rsid w:val="00B05A95"/>
    <w:rsid w:val="00B05AC3"/>
    <w:rsid w:val="00B068BD"/>
    <w:rsid w:val="00B06FE2"/>
    <w:rsid w:val="00B0752F"/>
    <w:rsid w:val="00B1017E"/>
    <w:rsid w:val="00B11A8B"/>
    <w:rsid w:val="00B1252E"/>
    <w:rsid w:val="00B12DEB"/>
    <w:rsid w:val="00B13F9B"/>
    <w:rsid w:val="00B141AE"/>
    <w:rsid w:val="00B158A7"/>
    <w:rsid w:val="00B204EA"/>
    <w:rsid w:val="00B21D90"/>
    <w:rsid w:val="00B23C1A"/>
    <w:rsid w:val="00B252FB"/>
    <w:rsid w:val="00B263C9"/>
    <w:rsid w:val="00B26C01"/>
    <w:rsid w:val="00B27086"/>
    <w:rsid w:val="00B27667"/>
    <w:rsid w:val="00B3158E"/>
    <w:rsid w:val="00B32361"/>
    <w:rsid w:val="00B339DF"/>
    <w:rsid w:val="00B35C79"/>
    <w:rsid w:val="00B35C83"/>
    <w:rsid w:val="00B3614E"/>
    <w:rsid w:val="00B376F6"/>
    <w:rsid w:val="00B37D00"/>
    <w:rsid w:val="00B4047D"/>
    <w:rsid w:val="00B41579"/>
    <w:rsid w:val="00B420A3"/>
    <w:rsid w:val="00B43B64"/>
    <w:rsid w:val="00B441EE"/>
    <w:rsid w:val="00B44272"/>
    <w:rsid w:val="00B4454D"/>
    <w:rsid w:val="00B45970"/>
    <w:rsid w:val="00B50CF1"/>
    <w:rsid w:val="00B50E64"/>
    <w:rsid w:val="00B52724"/>
    <w:rsid w:val="00B52731"/>
    <w:rsid w:val="00B52C02"/>
    <w:rsid w:val="00B52C0E"/>
    <w:rsid w:val="00B52F85"/>
    <w:rsid w:val="00B52FE4"/>
    <w:rsid w:val="00B5308B"/>
    <w:rsid w:val="00B53E28"/>
    <w:rsid w:val="00B55986"/>
    <w:rsid w:val="00B60C6F"/>
    <w:rsid w:val="00B61071"/>
    <w:rsid w:val="00B62292"/>
    <w:rsid w:val="00B62A8D"/>
    <w:rsid w:val="00B62FE6"/>
    <w:rsid w:val="00B63CDF"/>
    <w:rsid w:val="00B65206"/>
    <w:rsid w:val="00B65395"/>
    <w:rsid w:val="00B6551D"/>
    <w:rsid w:val="00B666CC"/>
    <w:rsid w:val="00B66E6F"/>
    <w:rsid w:val="00B67993"/>
    <w:rsid w:val="00B71C0C"/>
    <w:rsid w:val="00B7226F"/>
    <w:rsid w:val="00B72444"/>
    <w:rsid w:val="00B74B3A"/>
    <w:rsid w:val="00B76E46"/>
    <w:rsid w:val="00B7739B"/>
    <w:rsid w:val="00B80CE1"/>
    <w:rsid w:val="00B8108E"/>
    <w:rsid w:val="00B8279A"/>
    <w:rsid w:val="00B82B23"/>
    <w:rsid w:val="00B82F1A"/>
    <w:rsid w:val="00B830A3"/>
    <w:rsid w:val="00B835E3"/>
    <w:rsid w:val="00B85EDB"/>
    <w:rsid w:val="00B85FFE"/>
    <w:rsid w:val="00B864DD"/>
    <w:rsid w:val="00B86D0D"/>
    <w:rsid w:val="00B86D3B"/>
    <w:rsid w:val="00B86FC4"/>
    <w:rsid w:val="00B87866"/>
    <w:rsid w:val="00B900C1"/>
    <w:rsid w:val="00B903F8"/>
    <w:rsid w:val="00B91A8D"/>
    <w:rsid w:val="00B9261B"/>
    <w:rsid w:val="00B92647"/>
    <w:rsid w:val="00B932D3"/>
    <w:rsid w:val="00B93745"/>
    <w:rsid w:val="00B94A4D"/>
    <w:rsid w:val="00B94F92"/>
    <w:rsid w:val="00B9659C"/>
    <w:rsid w:val="00B9667C"/>
    <w:rsid w:val="00B970BA"/>
    <w:rsid w:val="00B974B9"/>
    <w:rsid w:val="00BA03FB"/>
    <w:rsid w:val="00BA0EB5"/>
    <w:rsid w:val="00BA10D5"/>
    <w:rsid w:val="00BA1E9D"/>
    <w:rsid w:val="00BA1F1E"/>
    <w:rsid w:val="00BA2600"/>
    <w:rsid w:val="00BA43D5"/>
    <w:rsid w:val="00BA5A30"/>
    <w:rsid w:val="00BA6560"/>
    <w:rsid w:val="00BA658D"/>
    <w:rsid w:val="00BA6B3A"/>
    <w:rsid w:val="00BA702A"/>
    <w:rsid w:val="00BA7158"/>
    <w:rsid w:val="00BB09D0"/>
    <w:rsid w:val="00BB0D8E"/>
    <w:rsid w:val="00BB0F22"/>
    <w:rsid w:val="00BB1200"/>
    <w:rsid w:val="00BB1E2B"/>
    <w:rsid w:val="00BB2738"/>
    <w:rsid w:val="00BB2B65"/>
    <w:rsid w:val="00BB3402"/>
    <w:rsid w:val="00BB5E9B"/>
    <w:rsid w:val="00BB77D4"/>
    <w:rsid w:val="00BB79BB"/>
    <w:rsid w:val="00BC0D5B"/>
    <w:rsid w:val="00BC0DD3"/>
    <w:rsid w:val="00BC2203"/>
    <w:rsid w:val="00BC2333"/>
    <w:rsid w:val="00BC2541"/>
    <w:rsid w:val="00BC2557"/>
    <w:rsid w:val="00BC339D"/>
    <w:rsid w:val="00BC3E2D"/>
    <w:rsid w:val="00BC58A1"/>
    <w:rsid w:val="00BC58C3"/>
    <w:rsid w:val="00BC5BC7"/>
    <w:rsid w:val="00BC5E59"/>
    <w:rsid w:val="00BC656D"/>
    <w:rsid w:val="00BD03FC"/>
    <w:rsid w:val="00BD124D"/>
    <w:rsid w:val="00BD1289"/>
    <w:rsid w:val="00BD1D6F"/>
    <w:rsid w:val="00BD258E"/>
    <w:rsid w:val="00BD2742"/>
    <w:rsid w:val="00BD2BCD"/>
    <w:rsid w:val="00BD2FEC"/>
    <w:rsid w:val="00BD3368"/>
    <w:rsid w:val="00BD3613"/>
    <w:rsid w:val="00BD4D06"/>
    <w:rsid w:val="00BD4DDC"/>
    <w:rsid w:val="00BD5206"/>
    <w:rsid w:val="00BD72E6"/>
    <w:rsid w:val="00BD74A7"/>
    <w:rsid w:val="00BD787F"/>
    <w:rsid w:val="00BE17FB"/>
    <w:rsid w:val="00BE1AD8"/>
    <w:rsid w:val="00BE1C56"/>
    <w:rsid w:val="00BE4139"/>
    <w:rsid w:val="00BE4C2B"/>
    <w:rsid w:val="00BE4EFE"/>
    <w:rsid w:val="00BE5341"/>
    <w:rsid w:val="00BE762A"/>
    <w:rsid w:val="00BE7C58"/>
    <w:rsid w:val="00BF2EF4"/>
    <w:rsid w:val="00BF3759"/>
    <w:rsid w:val="00BF3CD9"/>
    <w:rsid w:val="00BF4769"/>
    <w:rsid w:val="00BF4958"/>
    <w:rsid w:val="00BF4973"/>
    <w:rsid w:val="00BF55F4"/>
    <w:rsid w:val="00BF5B17"/>
    <w:rsid w:val="00BF601B"/>
    <w:rsid w:val="00BF639E"/>
    <w:rsid w:val="00BF696E"/>
    <w:rsid w:val="00BF7BD1"/>
    <w:rsid w:val="00BF7DD8"/>
    <w:rsid w:val="00C00877"/>
    <w:rsid w:val="00C008C2"/>
    <w:rsid w:val="00C00F48"/>
    <w:rsid w:val="00C027CC"/>
    <w:rsid w:val="00C028A6"/>
    <w:rsid w:val="00C045C9"/>
    <w:rsid w:val="00C04628"/>
    <w:rsid w:val="00C04EB1"/>
    <w:rsid w:val="00C0555B"/>
    <w:rsid w:val="00C05728"/>
    <w:rsid w:val="00C063AC"/>
    <w:rsid w:val="00C06674"/>
    <w:rsid w:val="00C073E0"/>
    <w:rsid w:val="00C07A1D"/>
    <w:rsid w:val="00C1146B"/>
    <w:rsid w:val="00C114CE"/>
    <w:rsid w:val="00C1174D"/>
    <w:rsid w:val="00C130A4"/>
    <w:rsid w:val="00C144ED"/>
    <w:rsid w:val="00C15643"/>
    <w:rsid w:val="00C16966"/>
    <w:rsid w:val="00C16A63"/>
    <w:rsid w:val="00C17443"/>
    <w:rsid w:val="00C17B8F"/>
    <w:rsid w:val="00C21EB0"/>
    <w:rsid w:val="00C259AC"/>
    <w:rsid w:val="00C268EC"/>
    <w:rsid w:val="00C26EBB"/>
    <w:rsid w:val="00C27541"/>
    <w:rsid w:val="00C27F29"/>
    <w:rsid w:val="00C304E7"/>
    <w:rsid w:val="00C31014"/>
    <w:rsid w:val="00C31E13"/>
    <w:rsid w:val="00C31EB3"/>
    <w:rsid w:val="00C31FA8"/>
    <w:rsid w:val="00C32924"/>
    <w:rsid w:val="00C32B95"/>
    <w:rsid w:val="00C334DC"/>
    <w:rsid w:val="00C3359B"/>
    <w:rsid w:val="00C33B6E"/>
    <w:rsid w:val="00C33FF7"/>
    <w:rsid w:val="00C34849"/>
    <w:rsid w:val="00C35086"/>
    <w:rsid w:val="00C3536A"/>
    <w:rsid w:val="00C36441"/>
    <w:rsid w:val="00C415AE"/>
    <w:rsid w:val="00C41B85"/>
    <w:rsid w:val="00C41DDF"/>
    <w:rsid w:val="00C42700"/>
    <w:rsid w:val="00C4463E"/>
    <w:rsid w:val="00C460FC"/>
    <w:rsid w:val="00C46ED9"/>
    <w:rsid w:val="00C47F6C"/>
    <w:rsid w:val="00C50248"/>
    <w:rsid w:val="00C52117"/>
    <w:rsid w:val="00C528E6"/>
    <w:rsid w:val="00C5318F"/>
    <w:rsid w:val="00C541B5"/>
    <w:rsid w:val="00C55C33"/>
    <w:rsid w:val="00C5630D"/>
    <w:rsid w:val="00C60F63"/>
    <w:rsid w:val="00C6110D"/>
    <w:rsid w:val="00C61646"/>
    <w:rsid w:val="00C619D3"/>
    <w:rsid w:val="00C61BED"/>
    <w:rsid w:val="00C6450E"/>
    <w:rsid w:val="00C660E6"/>
    <w:rsid w:val="00C66C7E"/>
    <w:rsid w:val="00C67B08"/>
    <w:rsid w:val="00C716EF"/>
    <w:rsid w:val="00C72044"/>
    <w:rsid w:val="00C72814"/>
    <w:rsid w:val="00C72871"/>
    <w:rsid w:val="00C72D46"/>
    <w:rsid w:val="00C73448"/>
    <w:rsid w:val="00C74E82"/>
    <w:rsid w:val="00C760AF"/>
    <w:rsid w:val="00C7629C"/>
    <w:rsid w:val="00C7632D"/>
    <w:rsid w:val="00C77214"/>
    <w:rsid w:val="00C77624"/>
    <w:rsid w:val="00C81D17"/>
    <w:rsid w:val="00C823FA"/>
    <w:rsid w:val="00C83A2A"/>
    <w:rsid w:val="00C83E2D"/>
    <w:rsid w:val="00C84137"/>
    <w:rsid w:val="00C84C76"/>
    <w:rsid w:val="00C85821"/>
    <w:rsid w:val="00C86713"/>
    <w:rsid w:val="00C87042"/>
    <w:rsid w:val="00C87D8C"/>
    <w:rsid w:val="00C905A2"/>
    <w:rsid w:val="00C910FC"/>
    <w:rsid w:val="00C9213B"/>
    <w:rsid w:val="00C92314"/>
    <w:rsid w:val="00C92F9D"/>
    <w:rsid w:val="00C93E3F"/>
    <w:rsid w:val="00C93E90"/>
    <w:rsid w:val="00C940E8"/>
    <w:rsid w:val="00C940EC"/>
    <w:rsid w:val="00C95CB9"/>
    <w:rsid w:val="00C97413"/>
    <w:rsid w:val="00C97588"/>
    <w:rsid w:val="00CA05B5"/>
    <w:rsid w:val="00CA0CC1"/>
    <w:rsid w:val="00CA36EA"/>
    <w:rsid w:val="00CA3D6B"/>
    <w:rsid w:val="00CA406F"/>
    <w:rsid w:val="00CA5985"/>
    <w:rsid w:val="00CA5F19"/>
    <w:rsid w:val="00CA5F95"/>
    <w:rsid w:val="00CB026D"/>
    <w:rsid w:val="00CB075D"/>
    <w:rsid w:val="00CB243C"/>
    <w:rsid w:val="00CB4469"/>
    <w:rsid w:val="00CB4863"/>
    <w:rsid w:val="00CB6A9D"/>
    <w:rsid w:val="00CB741D"/>
    <w:rsid w:val="00CC2747"/>
    <w:rsid w:val="00CC28D3"/>
    <w:rsid w:val="00CC3300"/>
    <w:rsid w:val="00CC3D36"/>
    <w:rsid w:val="00CC4045"/>
    <w:rsid w:val="00CC4800"/>
    <w:rsid w:val="00CC4FF7"/>
    <w:rsid w:val="00CC5CB7"/>
    <w:rsid w:val="00CC5DDF"/>
    <w:rsid w:val="00CC5F00"/>
    <w:rsid w:val="00CC6F65"/>
    <w:rsid w:val="00CC74DA"/>
    <w:rsid w:val="00CD0375"/>
    <w:rsid w:val="00CD051F"/>
    <w:rsid w:val="00CD140B"/>
    <w:rsid w:val="00CD21A7"/>
    <w:rsid w:val="00CD21D2"/>
    <w:rsid w:val="00CD2675"/>
    <w:rsid w:val="00CD2AE5"/>
    <w:rsid w:val="00CD3EEA"/>
    <w:rsid w:val="00CD3F29"/>
    <w:rsid w:val="00CD620F"/>
    <w:rsid w:val="00CD6553"/>
    <w:rsid w:val="00CD6E46"/>
    <w:rsid w:val="00CD7E81"/>
    <w:rsid w:val="00CE0933"/>
    <w:rsid w:val="00CE0C18"/>
    <w:rsid w:val="00CE1926"/>
    <w:rsid w:val="00CE1B14"/>
    <w:rsid w:val="00CE2299"/>
    <w:rsid w:val="00CE2EE1"/>
    <w:rsid w:val="00CE3AF9"/>
    <w:rsid w:val="00CE4341"/>
    <w:rsid w:val="00CE43DF"/>
    <w:rsid w:val="00CE48BD"/>
    <w:rsid w:val="00CE4D18"/>
    <w:rsid w:val="00CE66BA"/>
    <w:rsid w:val="00CE791E"/>
    <w:rsid w:val="00CE7E37"/>
    <w:rsid w:val="00CF0C4E"/>
    <w:rsid w:val="00CF0ED5"/>
    <w:rsid w:val="00CF1E9C"/>
    <w:rsid w:val="00CF2CA2"/>
    <w:rsid w:val="00CF3A5D"/>
    <w:rsid w:val="00CF4614"/>
    <w:rsid w:val="00CF5219"/>
    <w:rsid w:val="00CF6084"/>
    <w:rsid w:val="00CF6709"/>
    <w:rsid w:val="00CF6CCF"/>
    <w:rsid w:val="00D010CE"/>
    <w:rsid w:val="00D012AB"/>
    <w:rsid w:val="00D03CF6"/>
    <w:rsid w:val="00D043FC"/>
    <w:rsid w:val="00D059CE"/>
    <w:rsid w:val="00D065D7"/>
    <w:rsid w:val="00D06B10"/>
    <w:rsid w:val="00D06E3D"/>
    <w:rsid w:val="00D109D4"/>
    <w:rsid w:val="00D10DB2"/>
    <w:rsid w:val="00D11B0D"/>
    <w:rsid w:val="00D12138"/>
    <w:rsid w:val="00D1290B"/>
    <w:rsid w:val="00D12D2C"/>
    <w:rsid w:val="00D131D0"/>
    <w:rsid w:val="00D134DC"/>
    <w:rsid w:val="00D13922"/>
    <w:rsid w:val="00D1453F"/>
    <w:rsid w:val="00D15009"/>
    <w:rsid w:val="00D16149"/>
    <w:rsid w:val="00D16946"/>
    <w:rsid w:val="00D169F0"/>
    <w:rsid w:val="00D17C22"/>
    <w:rsid w:val="00D20941"/>
    <w:rsid w:val="00D209F8"/>
    <w:rsid w:val="00D210F4"/>
    <w:rsid w:val="00D21225"/>
    <w:rsid w:val="00D218E2"/>
    <w:rsid w:val="00D21C2A"/>
    <w:rsid w:val="00D22A9B"/>
    <w:rsid w:val="00D22B8E"/>
    <w:rsid w:val="00D22DD9"/>
    <w:rsid w:val="00D23BFA"/>
    <w:rsid w:val="00D23DFB"/>
    <w:rsid w:val="00D26796"/>
    <w:rsid w:val="00D26D74"/>
    <w:rsid w:val="00D27639"/>
    <w:rsid w:val="00D30FDA"/>
    <w:rsid w:val="00D312B7"/>
    <w:rsid w:val="00D3161E"/>
    <w:rsid w:val="00D319B8"/>
    <w:rsid w:val="00D35299"/>
    <w:rsid w:val="00D3571B"/>
    <w:rsid w:val="00D36B42"/>
    <w:rsid w:val="00D3704A"/>
    <w:rsid w:val="00D37099"/>
    <w:rsid w:val="00D37FCD"/>
    <w:rsid w:val="00D40542"/>
    <w:rsid w:val="00D43E0C"/>
    <w:rsid w:val="00D4425C"/>
    <w:rsid w:val="00D4496A"/>
    <w:rsid w:val="00D45382"/>
    <w:rsid w:val="00D46675"/>
    <w:rsid w:val="00D47BC6"/>
    <w:rsid w:val="00D47DAA"/>
    <w:rsid w:val="00D506BC"/>
    <w:rsid w:val="00D51E56"/>
    <w:rsid w:val="00D52064"/>
    <w:rsid w:val="00D52F6C"/>
    <w:rsid w:val="00D53164"/>
    <w:rsid w:val="00D5377E"/>
    <w:rsid w:val="00D5380D"/>
    <w:rsid w:val="00D538AF"/>
    <w:rsid w:val="00D53B09"/>
    <w:rsid w:val="00D53CCD"/>
    <w:rsid w:val="00D53E0A"/>
    <w:rsid w:val="00D54846"/>
    <w:rsid w:val="00D54BE3"/>
    <w:rsid w:val="00D551C7"/>
    <w:rsid w:val="00D55A03"/>
    <w:rsid w:val="00D55A46"/>
    <w:rsid w:val="00D56A4B"/>
    <w:rsid w:val="00D5707A"/>
    <w:rsid w:val="00D5785C"/>
    <w:rsid w:val="00D60BAD"/>
    <w:rsid w:val="00D61988"/>
    <w:rsid w:val="00D62022"/>
    <w:rsid w:val="00D62080"/>
    <w:rsid w:val="00D62D48"/>
    <w:rsid w:val="00D64209"/>
    <w:rsid w:val="00D64966"/>
    <w:rsid w:val="00D65607"/>
    <w:rsid w:val="00D65E8F"/>
    <w:rsid w:val="00D66AD5"/>
    <w:rsid w:val="00D66DD5"/>
    <w:rsid w:val="00D67CB9"/>
    <w:rsid w:val="00D703E9"/>
    <w:rsid w:val="00D70FFE"/>
    <w:rsid w:val="00D71F0A"/>
    <w:rsid w:val="00D721B7"/>
    <w:rsid w:val="00D74024"/>
    <w:rsid w:val="00D745F2"/>
    <w:rsid w:val="00D759A3"/>
    <w:rsid w:val="00D767D0"/>
    <w:rsid w:val="00D77C23"/>
    <w:rsid w:val="00D823C9"/>
    <w:rsid w:val="00D84AD7"/>
    <w:rsid w:val="00D85C34"/>
    <w:rsid w:val="00D863AF"/>
    <w:rsid w:val="00D8704B"/>
    <w:rsid w:val="00D8776F"/>
    <w:rsid w:val="00D90328"/>
    <w:rsid w:val="00D90AAE"/>
    <w:rsid w:val="00D90C94"/>
    <w:rsid w:val="00D9182E"/>
    <w:rsid w:val="00D93EF2"/>
    <w:rsid w:val="00D93F96"/>
    <w:rsid w:val="00D9567A"/>
    <w:rsid w:val="00D97C1B"/>
    <w:rsid w:val="00D97CAE"/>
    <w:rsid w:val="00D97FE0"/>
    <w:rsid w:val="00DA2F4B"/>
    <w:rsid w:val="00DA3145"/>
    <w:rsid w:val="00DA392A"/>
    <w:rsid w:val="00DA3B58"/>
    <w:rsid w:val="00DA3D88"/>
    <w:rsid w:val="00DA55A6"/>
    <w:rsid w:val="00DA597C"/>
    <w:rsid w:val="00DA6536"/>
    <w:rsid w:val="00DA6F8B"/>
    <w:rsid w:val="00DA7EFA"/>
    <w:rsid w:val="00DB13C0"/>
    <w:rsid w:val="00DB29AC"/>
    <w:rsid w:val="00DB2EC5"/>
    <w:rsid w:val="00DB2F86"/>
    <w:rsid w:val="00DB335C"/>
    <w:rsid w:val="00DB36CD"/>
    <w:rsid w:val="00DB3A6B"/>
    <w:rsid w:val="00DB3CB7"/>
    <w:rsid w:val="00DB451D"/>
    <w:rsid w:val="00DB571D"/>
    <w:rsid w:val="00DB6804"/>
    <w:rsid w:val="00DB74B9"/>
    <w:rsid w:val="00DC00D3"/>
    <w:rsid w:val="00DC0940"/>
    <w:rsid w:val="00DC2809"/>
    <w:rsid w:val="00DC3C89"/>
    <w:rsid w:val="00DC4184"/>
    <w:rsid w:val="00DC4337"/>
    <w:rsid w:val="00DC47D8"/>
    <w:rsid w:val="00DC4938"/>
    <w:rsid w:val="00DC5DE1"/>
    <w:rsid w:val="00DC68F1"/>
    <w:rsid w:val="00DC6A1C"/>
    <w:rsid w:val="00DD0CF2"/>
    <w:rsid w:val="00DD0E61"/>
    <w:rsid w:val="00DD1999"/>
    <w:rsid w:val="00DD1C5E"/>
    <w:rsid w:val="00DD2B20"/>
    <w:rsid w:val="00DD5A99"/>
    <w:rsid w:val="00DD6665"/>
    <w:rsid w:val="00DD682A"/>
    <w:rsid w:val="00DD77B1"/>
    <w:rsid w:val="00DE11C8"/>
    <w:rsid w:val="00DE22D2"/>
    <w:rsid w:val="00DE2B0A"/>
    <w:rsid w:val="00DE3DD6"/>
    <w:rsid w:val="00DE4453"/>
    <w:rsid w:val="00DE4604"/>
    <w:rsid w:val="00DE4DF9"/>
    <w:rsid w:val="00DE4DFB"/>
    <w:rsid w:val="00DE5FE7"/>
    <w:rsid w:val="00DE61EA"/>
    <w:rsid w:val="00DE6391"/>
    <w:rsid w:val="00DE64C6"/>
    <w:rsid w:val="00DE6973"/>
    <w:rsid w:val="00DE6BB9"/>
    <w:rsid w:val="00DE6E8D"/>
    <w:rsid w:val="00DE7F62"/>
    <w:rsid w:val="00DF1FC7"/>
    <w:rsid w:val="00DF229B"/>
    <w:rsid w:val="00DF2896"/>
    <w:rsid w:val="00DF2A1C"/>
    <w:rsid w:val="00DF4696"/>
    <w:rsid w:val="00DF5169"/>
    <w:rsid w:val="00DF55F7"/>
    <w:rsid w:val="00DF791F"/>
    <w:rsid w:val="00DF7D35"/>
    <w:rsid w:val="00E005E4"/>
    <w:rsid w:val="00E005F8"/>
    <w:rsid w:val="00E01756"/>
    <w:rsid w:val="00E02410"/>
    <w:rsid w:val="00E02F43"/>
    <w:rsid w:val="00E055FB"/>
    <w:rsid w:val="00E056F5"/>
    <w:rsid w:val="00E05F46"/>
    <w:rsid w:val="00E0698F"/>
    <w:rsid w:val="00E069DC"/>
    <w:rsid w:val="00E07038"/>
    <w:rsid w:val="00E11BBB"/>
    <w:rsid w:val="00E127D0"/>
    <w:rsid w:val="00E128EB"/>
    <w:rsid w:val="00E12A56"/>
    <w:rsid w:val="00E131EC"/>
    <w:rsid w:val="00E1329A"/>
    <w:rsid w:val="00E13A77"/>
    <w:rsid w:val="00E1414F"/>
    <w:rsid w:val="00E160B9"/>
    <w:rsid w:val="00E16B95"/>
    <w:rsid w:val="00E17F1E"/>
    <w:rsid w:val="00E20349"/>
    <w:rsid w:val="00E2166A"/>
    <w:rsid w:val="00E21F3D"/>
    <w:rsid w:val="00E2301A"/>
    <w:rsid w:val="00E25DB4"/>
    <w:rsid w:val="00E2656B"/>
    <w:rsid w:val="00E27A02"/>
    <w:rsid w:val="00E30594"/>
    <w:rsid w:val="00E3093A"/>
    <w:rsid w:val="00E315AB"/>
    <w:rsid w:val="00E337FA"/>
    <w:rsid w:val="00E33C7A"/>
    <w:rsid w:val="00E34CE9"/>
    <w:rsid w:val="00E358F4"/>
    <w:rsid w:val="00E35F84"/>
    <w:rsid w:val="00E36D6D"/>
    <w:rsid w:val="00E36E40"/>
    <w:rsid w:val="00E37747"/>
    <w:rsid w:val="00E37FA0"/>
    <w:rsid w:val="00E37FF2"/>
    <w:rsid w:val="00E40283"/>
    <w:rsid w:val="00E402DC"/>
    <w:rsid w:val="00E41644"/>
    <w:rsid w:val="00E41B51"/>
    <w:rsid w:val="00E420F8"/>
    <w:rsid w:val="00E421B9"/>
    <w:rsid w:val="00E42FCB"/>
    <w:rsid w:val="00E45274"/>
    <w:rsid w:val="00E45D74"/>
    <w:rsid w:val="00E45F6A"/>
    <w:rsid w:val="00E463B3"/>
    <w:rsid w:val="00E46AF6"/>
    <w:rsid w:val="00E4735C"/>
    <w:rsid w:val="00E47DBC"/>
    <w:rsid w:val="00E502FD"/>
    <w:rsid w:val="00E50481"/>
    <w:rsid w:val="00E506D1"/>
    <w:rsid w:val="00E51955"/>
    <w:rsid w:val="00E519D3"/>
    <w:rsid w:val="00E51B9B"/>
    <w:rsid w:val="00E531B2"/>
    <w:rsid w:val="00E5376A"/>
    <w:rsid w:val="00E53D1A"/>
    <w:rsid w:val="00E56748"/>
    <w:rsid w:val="00E56992"/>
    <w:rsid w:val="00E60338"/>
    <w:rsid w:val="00E60501"/>
    <w:rsid w:val="00E60F25"/>
    <w:rsid w:val="00E6156D"/>
    <w:rsid w:val="00E620F2"/>
    <w:rsid w:val="00E630FB"/>
    <w:rsid w:val="00E6332E"/>
    <w:rsid w:val="00E64FFE"/>
    <w:rsid w:val="00E655A3"/>
    <w:rsid w:val="00E65C89"/>
    <w:rsid w:val="00E65D24"/>
    <w:rsid w:val="00E67194"/>
    <w:rsid w:val="00E671D3"/>
    <w:rsid w:val="00E673B7"/>
    <w:rsid w:val="00E70061"/>
    <w:rsid w:val="00E70CB3"/>
    <w:rsid w:val="00E717AE"/>
    <w:rsid w:val="00E72080"/>
    <w:rsid w:val="00E72179"/>
    <w:rsid w:val="00E7217D"/>
    <w:rsid w:val="00E7274F"/>
    <w:rsid w:val="00E7479F"/>
    <w:rsid w:val="00E74BBD"/>
    <w:rsid w:val="00E75A52"/>
    <w:rsid w:val="00E77102"/>
    <w:rsid w:val="00E7732A"/>
    <w:rsid w:val="00E77679"/>
    <w:rsid w:val="00E8012C"/>
    <w:rsid w:val="00E80308"/>
    <w:rsid w:val="00E8157B"/>
    <w:rsid w:val="00E81DA3"/>
    <w:rsid w:val="00E821D0"/>
    <w:rsid w:val="00E828CA"/>
    <w:rsid w:val="00E8341F"/>
    <w:rsid w:val="00E843B3"/>
    <w:rsid w:val="00E87884"/>
    <w:rsid w:val="00E87C4A"/>
    <w:rsid w:val="00E900C5"/>
    <w:rsid w:val="00E90170"/>
    <w:rsid w:val="00E9145B"/>
    <w:rsid w:val="00E92237"/>
    <w:rsid w:val="00E922D3"/>
    <w:rsid w:val="00E92E39"/>
    <w:rsid w:val="00E942A8"/>
    <w:rsid w:val="00E94916"/>
    <w:rsid w:val="00E96349"/>
    <w:rsid w:val="00E973DC"/>
    <w:rsid w:val="00EA015D"/>
    <w:rsid w:val="00EA01C4"/>
    <w:rsid w:val="00EA04CE"/>
    <w:rsid w:val="00EA0D9C"/>
    <w:rsid w:val="00EA16B2"/>
    <w:rsid w:val="00EA3359"/>
    <w:rsid w:val="00EA46E5"/>
    <w:rsid w:val="00EA51F4"/>
    <w:rsid w:val="00EA5438"/>
    <w:rsid w:val="00EA56B4"/>
    <w:rsid w:val="00EA6AFC"/>
    <w:rsid w:val="00EA7B14"/>
    <w:rsid w:val="00EB0B5D"/>
    <w:rsid w:val="00EB1DE1"/>
    <w:rsid w:val="00EB23BB"/>
    <w:rsid w:val="00EB2BF3"/>
    <w:rsid w:val="00EB30C9"/>
    <w:rsid w:val="00EB5063"/>
    <w:rsid w:val="00EB5283"/>
    <w:rsid w:val="00EB6215"/>
    <w:rsid w:val="00EB7125"/>
    <w:rsid w:val="00EB7975"/>
    <w:rsid w:val="00EB7985"/>
    <w:rsid w:val="00EC030A"/>
    <w:rsid w:val="00EC18A3"/>
    <w:rsid w:val="00EC292A"/>
    <w:rsid w:val="00EC3304"/>
    <w:rsid w:val="00EC4261"/>
    <w:rsid w:val="00EC50DB"/>
    <w:rsid w:val="00EC545A"/>
    <w:rsid w:val="00EC566A"/>
    <w:rsid w:val="00EC5769"/>
    <w:rsid w:val="00EC587C"/>
    <w:rsid w:val="00EC6891"/>
    <w:rsid w:val="00EC69F3"/>
    <w:rsid w:val="00EC6AF3"/>
    <w:rsid w:val="00EC6AF7"/>
    <w:rsid w:val="00ED1346"/>
    <w:rsid w:val="00ED2AFF"/>
    <w:rsid w:val="00ED2D3A"/>
    <w:rsid w:val="00ED2EC0"/>
    <w:rsid w:val="00ED50E0"/>
    <w:rsid w:val="00ED5169"/>
    <w:rsid w:val="00ED5986"/>
    <w:rsid w:val="00ED5EC8"/>
    <w:rsid w:val="00ED70CE"/>
    <w:rsid w:val="00EE0744"/>
    <w:rsid w:val="00EE26D8"/>
    <w:rsid w:val="00EE32B4"/>
    <w:rsid w:val="00EE3A41"/>
    <w:rsid w:val="00EE3FC6"/>
    <w:rsid w:val="00EE623A"/>
    <w:rsid w:val="00EE65F0"/>
    <w:rsid w:val="00EE6B93"/>
    <w:rsid w:val="00EE781F"/>
    <w:rsid w:val="00EE7D6E"/>
    <w:rsid w:val="00EF05D4"/>
    <w:rsid w:val="00EF1298"/>
    <w:rsid w:val="00EF1920"/>
    <w:rsid w:val="00EF1F61"/>
    <w:rsid w:val="00EF3440"/>
    <w:rsid w:val="00EF3920"/>
    <w:rsid w:val="00EF4AC9"/>
    <w:rsid w:val="00EF54D6"/>
    <w:rsid w:val="00EF5908"/>
    <w:rsid w:val="00EF5EB5"/>
    <w:rsid w:val="00EF73D3"/>
    <w:rsid w:val="00F00CFB"/>
    <w:rsid w:val="00F00D6E"/>
    <w:rsid w:val="00F00F91"/>
    <w:rsid w:val="00F01085"/>
    <w:rsid w:val="00F02C31"/>
    <w:rsid w:val="00F03EC9"/>
    <w:rsid w:val="00F0433B"/>
    <w:rsid w:val="00F05371"/>
    <w:rsid w:val="00F05932"/>
    <w:rsid w:val="00F05BF8"/>
    <w:rsid w:val="00F06302"/>
    <w:rsid w:val="00F10E6D"/>
    <w:rsid w:val="00F10EC9"/>
    <w:rsid w:val="00F10F52"/>
    <w:rsid w:val="00F111E2"/>
    <w:rsid w:val="00F11272"/>
    <w:rsid w:val="00F11CB8"/>
    <w:rsid w:val="00F16D9B"/>
    <w:rsid w:val="00F17B49"/>
    <w:rsid w:val="00F2088C"/>
    <w:rsid w:val="00F20CB1"/>
    <w:rsid w:val="00F21437"/>
    <w:rsid w:val="00F228CC"/>
    <w:rsid w:val="00F23934"/>
    <w:rsid w:val="00F24155"/>
    <w:rsid w:val="00F242D6"/>
    <w:rsid w:val="00F24865"/>
    <w:rsid w:val="00F24B07"/>
    <w:rsid w:val="00F25535"/>
    <w:rsid w:val="00F25739"/>
    <w:rsid w:val="00F25E5B"/>
    <w:rsid w:val="00F2713B"/>
    <w:rsid w:val="00F304D3"/>
    <w:rsid w:val="00F30E04"/>
    <w:rsid w:val="00F3121E"/>
    <w:rsid w:val="00F319DD"/>
    <w:rsid w:val="00F31CC8"/>
    <w:rsid w:val="00F32A74"/>
    <w:rsid w:val="00F3518B"/>
    <w:rsid w:val="00F36BC1"/>
    <w:rsid w:val="00F40547"/>
    <w:rsid w:val="00F408BD"/>
    <w:rsid w:val="00F4189D"/>
    <w:rsid w:val="00F4216F"/>
    <w:rsid w:val="00F42314"/>
    <w:rsid w:val="00F42730"/>
    <w:rsid w:val="00F42C01"/>
    <w:rsid w:val="00F432AB"/>
    <w:rsid w:val="00F436D9"/>
    <w:rsid w:val="00F43704"/>
    <w:rsid w:val="00F43D55"/>
    <w:rsid w:val="00F44F3A"/>
    <w:rsid w:val="00F4536A"/>
    <w:rsid w:val="00F45FE8"/>
    <w:rsid w:val="00F46503"/>
    <w:rsid w:val="00F46DCE"/>
    <w:rsid w:val="00F473BA"/>
    <w:rsid w:val="00F478EC"/>
    <w:rsid w:val="00F47991"/>
    <w:rsid w:val="00F47E28"/>
    <w:rsid w:val="00F50061"/>
    <w:rsid w:val="00F50388"/>
    <w:rsid w:val="00F50F89"/>
    <w:rsid w:val="00F51339"/>
    <w:rsid w:val="00F52FD2"/>
    <w:rsid w:val="00F531DC"/>
    <w:rsid w:val="00F53748"/>
    <w:rsid w:val="00F538CF"/>
    <w:rsid w:val="00F53CE0"/>
    <w:rsid w:val="00F53F9F"/>
    <w:rsid w:val="00F541BD"/>
    <w:rsid w:val="00F547A3"/>
    <w:rsid w:val="00F56282"/>
    <w:rsid w:val="00F56C06"/>
    <w:rsid w:val="00F57096"/>
    <w:rsid w:val="00F57A3D"/>
    <w:rsid w:val="00F62698"/>
    <w:rsid w:val="00F635AD"/>
    <w:rsid w:val="00F63964"/>
    <w:rsid w:val="00F654E0"/>
    <w:rsid w:val="00F7014C"/>
    <w:rsid w:val="00F70B1F"/>
    <w:rsid w:val="00F70E1F"/>
    <w:rsid w:val="00F70F85"/>
    <w:rsid w:val="00F71B96"/>
    <w:rsid w:val="00F72435"/>
    <w:rsid w:val="00F72595"/>
    <w:rsid w:val="00F72AFF"/>
    <w:rsid w:val="00F74821"/>
    <w:rsid w:val="00F75C41"/>
    <w:rsid w:val="00F764FC"/>
    <w:rsid w:val="00F76862"/>
    <w:rsid w:val="00F7778B"/>
    <w:rsid w:val="00F77970"/>
    <w:rsid w:val="00F77B0D"/>
    <w:rsid w:val="00F8102D"/>
    <w:rsid w:val="00F81090"/>
    <w:rsid w:val="00F834F9"/>
    <w:rsid w:val="00F867BA"/>
    <w:rsid w:val="00F87897"/>
    <w:rsid w:val="00F87B63"/>
    <w:rsid w:val="00F90271"/>
    <w:rsid w:val="00F90340"/>
    <w:rsid w:val="00F9289A"/>
    <w:rsid w:val="00F92DF7"/>
    <w:rsid w:val="00F948FB"/>
    <w:rsid w:val="00F94E1A"/>
    <w:rsid w:val="00F9509D"/>
    <w:rsid w:val="00F96273"/>
    <w:rsid w:val="00F97D05"/>
    <w:rsid w:val="00FA09AF"/>
    <w:rsid w:val="00FA1124"/>
    <w:rsid w:val="00FA3E38"/>
    <w:rsid w:val="00FA5545"/>
    <w:rsid w:val="00FA55AA"/>
    <w:rsid w:val="00FA615E"/>
    <w:rsid w:val="00FA7101"/>
    <w:rsid w:val="00FA7739"/>
    <w:rsid w:val="00FB0547"/>
    <w:rsid w:val="00FB2FDD"/>
    <w:rsid w:val="00FB3BDC"/>
    <w:rsid w:val="00FB3FD7"/>
    <w:rsid w:val="00FB62BE"/>
    <w:rsid w:val="00FB6386"/>
    <w:rsid w:val="00FC2555"/>
    <w:rsid w:val="00FC45A8"/>
    <w:rsid w:val="00FC50D4"/>
    <w:rsid w:val="00FC58B7"/>
    <w:rsid w:val="00FC715B"/>
    <w:rsid w:val="00FC7E02"/>
    <w:rsid w:val="00FD16BD"/>
    <w:rsid w:val="00FD37B5"/>
    <w:rsid w:val="00FD3FDC"/>
    <w:rsid w:val="00FD4757"/>
    <w:rsid w:val="00FD4CB9"/>
    <w:rsid w:val="00FD4EE7"/>
    <w:rsid w:val="00FD5DF1"/>
    <w:rsid w:val="00FD7FE0"/>
    <w:rsid w:val="00FE0699"/>
    <w:rsid w:val="00FE15E9"/>
    <w:rsid w:val="00FE1F46"/>
    <w:rsid w:val="00FE2721"/>
    <w:rsid w:val="00FE2AE4"/>
    <w:rsid w:val="00FE369B"/>
    <w:rsid w:val="00FE3C4B"/>
    <w:rsid w:val="00FE42F8"/>
    <w:rsid w:val="00FE5262"/>
    <w:rsid w:val="00FE55CF"/>
    <w:rsid w:val="00FE6BCF"/>
    <w:rsid w:val="00FF0D3D"/>
    <w:rsid w:val="00FF1DA5"/>
    <w:rsid w:val="00FF1FE6"/>
    <w:rsid w:val="00FF6B63"/>
    <w:rsid w:val="00FF7081"/>
    <w:rsid w:val="00FF7D18"/>
    <w:rsid w:val="00FF7E08"/>
    <w:rsid w:val="01101FB2"/>
    <w:rsid w:val="0111585B"/>
    <w:rsid w:val="01415CD2"/>
    <w:rsid w:val="017634E4"/>
    <w:rsid w:val="01A912DA"/>
    <w:rsid w:val="01A95359"/>
    <w:rsid w:val="01B65D6B"/>
    <w:rsid w:val="01C42B8B"/>
    <w:rsid w:val="020F3E3B"/>
    <w:rsid w:val="020F585B"/>
    <w:rsid w:val="02111B48"/>
    <w:rsid w:val="02192EC9"/>
    <w:rsid w:val="02624152"/>
    <w:rsid w:val="026B5620"/>
    <w:rsid w:val="02963DFC"/>
    <w:rsid w:val="02BD720C"/>
    <w:rsid w:val="03247659"/>
    <w:rsid w:val="034A7CBD"/>
    <w:rsid w:val="03595555"/>
    <w:rsid w:val="03597303"/>
    <w:rsid w:val="035E6E25"/>
    <w:rsid w:val="036F6B27"/>
    <w:rsid w:val="03715E32"/>
    <w:rsid w:val="039D7B38"/>
    <w:rsid w:val="03C25991"/>
    <w:rsid w:val="03D87216"/>
    <w:rsid w:val="04150238"/>
    <w:rsid w:val="04553F6E"/>
    <w:rsid w:val="04706FFA"/>
    <w:rsid w:val="04F44D17"/>
    <w:rsid w:val="04FC49B8"/>
    <w:rsid w:val="053346E4"/>
    <w:rsid w:val="059C5A3C"/>
    <w:rsid w:val="05E6612A"/>
    <w:rsid w:val="06113EC5"/>
    <w:rsid w:val="06500E17"/>
    <w:rsid w:val="065169B7"/>
    <w:rsid w:val="0665030C"/>
    <w:rsid w:val="067C4C0F"/>
    <w:rsid w:val="06A5135D"/>
    <w:rsid w:val="06D27AF8"/>
    <w:rsid w:val="06E4782C"/>
    <w:rsid w:val="06EE2458"/>
    <w:rsid w:val="06EF6037"/>
    <w:rsid w:val="07535590"/>
    <w:rsid w:val="07C301EB"/>
    <w:rsid w:val="07C93273"/>
    <w:rsid w:val="07CD206E"/>
    <w:rsid w:val="07D465AB"/>
    <w:rsid w:val="08010BE6"/>
    <w:rsid w:val="080950AE"/>
    <w:rsid w:val="084E7652"/>
    <w:rsid w:val="08850B9A"/>
    <w:rsid w:val="08E104C7"/>
    <w:rsid w:val="08EF4AFC"/>
    <w:rsid w:val="08FA25D2"/>
    <w:rsid w:val="09120680"/>
    <w:rsid w:val="09146933"/>
    <w:rsid w:val="098E3024"/>
    <w:rsid w:val="09BF422F"/>
    <w:rsid w:val="09F2640F"/>
    <w:rsid w:val="0A067C3B"/>
    <w:rsid w:val="0A461507"/>
    <w:rsid w:val="0A887B1D"/>
    <w:rsid w:val="0ADE38FD"/>
    <w:rsid w:val="0B217CEC"/>
    <w:rsid w:val="0B317F8F"/>
    <w:rsid w:val="0B3E7C46"/>
    <w:rsid w:val="0B5036E2"/>
    <w:rsid w:val="0B747064"/>
    <w:rsid w:val="0B8230A3"/>
    <w:rsid w:val="0BB54981"/>
    <w:rsid w:val="0BFB1AD5"/>
    <w:rsid w:val="0C7E427E"/>
    <w:rsid w:val="0CB07770"/>
    <w:rsid w:val="0CD45C4C"/>
    <w:rsid w:val="0CFA2AD0"/>
    <w:rsid w:val="0D037946"/>
    <w:rsid w:val="0D374B59"/>
    <w:rsid w:val="0DA41AC3"/>
    <w:rsid w:val="0DC43F13"/>
    <w:rsid w:val="0DFA2BFE"/>
    <w:rsid w:val="0E3270CE"/>
    <w:rsid w:val="0E4D64C8"/>
    <w:rsid w:val="0E9B7F18"/>
    <w:rsid w:val="0EDC547B"/>
    <w:rsid w:val="0F443124"/>
    <w:rsid w:val="0F621C35"/>
    <w:rsid w:val="0F640E0F"/>
    <w:rsid w:val="0F734171"/>
    <w:rsid w:val="0F85657A"/>
    <w:rsid w:val="0FAB0EE6"/>
    <w:rsid w:val="0FC14BAE"/>
    <w:rsid w:val="0FE95324"/>
    <w:rsid w:val="0FF37FCF"/>
    <w:rsid w:val="1028647B"/>
    <w:rsid w:val="10370A0C"/>
    <w:rsid w:val="10BB15FD"/>
    <w:rsid w:val="10FB7B84"/>
    <w:rsid w:val="11203B56"/>
    <w:rsid w:val="1182211B"/>
    <w:rsid w:val="119838F5"/>
    <w:rsid w:val="11983F16"/>
    <w:rsid w:val="119E69F0"/>
    <w:rsid w:val="11A958FA"/>
    <w:rsid w:val="11C12C43"/>
    <w:rsid w:val="11C511D1"/>
    <w:rsid w:val="11E15093"/>
    <w:rsid w:val="11E569CB"/>
    <w:rsid w:val="11E93F48"/>
    <w:rsid w:val="12034DF2"/>
    <w:rsid w:val="12745F08"/>
    <w:rsid w:val="12D521DD"/>
    <w:rsid w:val="12D839D1"/>
    <w:rsid w:val="12E804D5"/>
    <w:rsid w:val="13215580"/>
    <w:rsid w:val="132650F8"/>
    <w:rsid w:val="133576D0"/>
    <w:rsid w:val="136452C0"/>
    <w:rsid w:val="13A10F7E"/>
    <w:rsid w:val="13B710B6"/>
    <w:rsid w:val="142A4914"/>
    <w:rsid w:val="14634486"/>
    <w:rsid w:val="14800779"/>
    <w:rsid w:val="14AB38D4"/>
    <w:rsid w:val="15504E1F"/>
    <w:rsid w:val="155F001F"/>
    <w:rsid w:val="157D7A67"/>
    <w:rsid w:val="15B8610B"/>
    <w:rsid w:val="168E69B2"/>
    <w:rsid w:val="16CE53F5"/>
    <w:rsid w:val="16F75359"/>
    <w:rsid w:val="17A471A8"/>
    <w:rsid w:val="17B374D2"/>
    <w:rsid w:val="17E23077"/>
    <w:rsid w:val="17E86A50"/>
    <w:rsid w:val="181300B2"/>
    <w:rsid w:val="18296142"/>
    <w:rsid w:val="183964CA"/>
    <w:rsid w:val="183C1F53"/>
    <w:rsid w:val="1881312C"/>
    <w:rsid w:val="188A5A9D"/>
    <w:rsid w:val="18C56D3B"/>
    <w:rsid w:val="18D771F0"/>
    <w:rsid w:val="18F17B7A"/>
    <w:rsid w:val="19045B0B"/>
    <w:rsid w:val="190F698A"/>
    <w:rsid w:val="19571313"/>
    <w:rsid w:val="19D779EC"/>
    <w:rsid w:val="19DA4D1A"/>
    <w:rsid w:val="19E219ED"/>
    <w:rsid w:val="19F31E08"/>
    <w:rsid w:val="1A0C4C78"/>
    <w:rsid w:val="1A180016"/>
    <w:rsid w:val="1A3259AD"/>
    <w:rsid w:val="1A3B555D"/>
    <w:rsid w:val="1A650C9B"/>
    <w:rsid w:val="1A8500A5"/>
    <w:rsid w:val="1AAE72A7"/>
    <w:rsid w:val="1ADC289C"/>
    <w:rsid w:val="1B053056"/>
    <w:rsid w:val="1BD21D89"/>
    <w:rsid w:val="1C1451B2"/>
    <w:rsid w:val="1C2629F1"/>
    <w:rsid w:val="1C517F83"/>
    <w:rsid w:val="1D526E45"/>
    <w:rsid w:val="1DB7139E"/>
    <w:rsid w:val="1DD535C0"/>
    <w:rsid w:val="1DF1679E"/>
    <w:rsid w:val="1E3A477C"/>
    <w:rsid w:val="1EA336D1"/>
    <w:rsid w:val="1EEA0D43"/>
    <w:rsid w:val="1EF415B4"/>
    <w:rsid w:val="1F170BE0"/>
    <w:rsid w:val="1FFF6B11"/>
    <w:rsid w:val="205C586D"/>
    <w:rsid w:val="20BC03EC"/>
    <w:rsid w:val="20E701EC"/>
    <w:rsid w:val="21014D2E"/>
    <w:rsid w:val="213A031C"/>
    <w:rsid w:val="215658B1"/>
    <w:rsid w:val="219A4905"/>
    <w:rsid w:val="221548E5"/>
    <w:rsid w:val="22173671"/>
    <w:rsid w:val="22511181"/>
    <w:rsid w:val="22563043"/>
    <w:rsid w:val="225B679C"/>
    <w:rsid w:val="22743D02"/>
    <w:rsid w:val="229248DE"/>
    <w:rsid w:val="22AA7723"/>
    <w:rsid w:val="22BA1565"/>
    <w:rsid w:val="22E456B7"/>
    <w:rsid w:val="232C7111"/>
    <w:rsid w:val="232F19D7"/>
    <w:rsid w:val="233A4603"/>
    <w:rsid w:val="23403BE4"/>
    <w:rsid w:val="234467AB"/>
    <w:rsid w:val="237F4FDE"/>
    <w:rsid w:val="23BA3996"/>
    <w:rsid w:val="23FA0466"/>
    <w:rsid w:val="240A3215"/>
    <w:rsid w:val="24433734"/>
    <w:rsid w:val="24763AB7"/>
    <w:rsid w:val="248D2E59"/>
    <w:rsid w:val="24D6035C"/>
    <w:rsid w:val="25020536"/>
    <w:rsid w:val="25033A80"/>
    <w:rsid w:val="25461985"/>
    <w:rsid w:val="255B3E00"/>
    <w:rsid w:val="25732620"/>
    <w:rsid w:val="257A33DD"/>
    <w:rsid w:val="25A14BA2"/>
    <w:rsid w:val="25C61D14"/>
    <w:rsid w:val="260113C2"/>
    <w:rsid w:val="260449B7"/>
    <w:rsid w:val="26107771"/>
    <w:rsid w:val="261B0AA7"/>
    <w:rsid w:val="26487E79"/>
    <w:rsid w:val="2666570F"/>
    <w:rsid w:val="26860885"/>
    <w:rsid w:val="26BF6828"/>
    <w:rsid w:val="270C6416"/>
    <w:rsid w:val="273F2A16"/>
    <w:rsid w:val="27441CC8"/>
    <w:rsid w:val="27481510"/>
    <w:rsid w:val="278B6C42"/>
    <w:rsid w:val="27A94840"/>
    <w:rsid w:val="27AC56E3"/>
    <w:rsid w:val="27D112AE"/>
    <w:rsid w:val="27E535C9"/>
    <w:rsid w:val="286979D7"/>
    <w:rsid w:val="286B525F"/>
    <w:rsid w:val="28723FC9"/>
    <w:rsid w:val="2891709F"/>
    <w:rsid w:val="28E107A2"/>
    <w:rsid w:val="29020ABB"/>
    <w:rsid w:val="2944442E"/>
    <w:rsid w:val="294F2A84"/>
    <w:rsid w:val="29680339"/>
    <w:rsid w:val="296B4121"/>
    <w:rsid w:val="29960B9A"/>
    <w:rsid w:val="29A6176B"/>
    <w:rsid w:val="2A1D6A2D"/>
    <w:rsid w:val="2A212706"/>
    <w:rsid w:val="2A334FBD"/>
    <w:rsid w:val="2A375458"/>
    <w:rsid w:val="2AB27EDE"/>
    <w:rsid w:val="2AD215C5"/>
    <w:rsid w:val="2B1E2A5D"/>
    <w:rsid w:val="2B231E21"/>
    <w:rsid w:val="2B245020"/>
    <w:rsid w:val="2B5E72FD"/>
    <w:rsid w:val="2B5F363F"/>
    <w:rsid w:val="2B634FBD"/>
    <w:rsid w:val="2B6568DD"/>
    <w:rsid w:val="2B7D3A54"/>
    <w:rsid w:val="2B830B12"/>
    <w:rsid w:val="2B920D55"/>
    <w:rsid w:val="2B936FA7"/>
    <w:rsid w:val="2BC76C9C"/>
    <w:rsid w:val="2C1B212E"/>
    <w:rsid w:val="2C362F15"/>
    <w:rsid w:val="2CFF241A"/>
    <w:rsid w:val="2D29069B"/>
    <w:rsid w:val="2D4514E8"/>
    <w:rsid w:val="2D5221E7"/>
    <w:rsid w:val="2D60110A"/>
    <w:rsid w:val="2D6107C2"/>
    <w:rsid w:val="2DD12008"/>
    <w:rsid w:val="2E2A34C6"/>
    <w:rsid w:val="2E444588"/>
    <w:rsid w:val="2E4A66F8"/>
    <w:rsid w:val="2E8801EE"/>
    <w:rsid w:val="2EDF1E7E"/>
    <w:rsid w:val="2EF531C6"/>
    <w:rsid w:val="2F94153F"/>
    <w:rsid w:val="2FC242FE"/>
    <w:rsid w:val="2FD440C0"/>
    <w:rsid w:val="2FE87156"/>
    <w:rsid w:val="30071D11"/>
    <w:rsid w:val="301B02BA"/>
    <w:rsid w:val="3025488D"/>
    <w:rsid w:val="30422D49"/>
    <w:rsid w:val="304F2588"/>
    <w:rsid w:val="3055592C"/>
    <w:rsid w:val="30656A38"/>
    <w:rsid w:val="30943D2F"/>
    <w:rsid w:val="30B654E5"/>
    <w:rsid w:val="30BA4FD6"/>
    <w:rsid w:val="30E14F91"/>
    <w:rsid w:val="30EF5831"/>
    <w:rsid w:val="312F519A"/>
    <w:rsid w:val="313E5C07"/>
    <w:rsid w:val="31740BD8"/>
    <w:rsid w:val="318E140C"/>
    <w:rsid w:val="31AD68E8"/>
    <w:rsid w:val="31C75889"/>
    <w:rsid w:val="3200110E"/>
    <w:rsid w:val="32716216"/>
    <w:rsid w:val="3287772F"/>
    <w:rsid w:val="32C61150"/>
    <w:rsid w:val="32D721E1"/>
    <w:rsid w:val="32EF5E01"/>
    <w:rsid w:val="330B38C7"/>
    <w:rsid w:val="33267180"/>
    <w:rsid w:val="3367054F"/>
    <w:rsid w:val="336D071C"/>
    <w:rsid w:val="33904F7E"/>
    <w:rsid w:val="33925973"/>
    <w:rsid w:val="33B201E6"/>
    <w:rsid w:val="33EC7B9C"/>
    <w:rsid w:val="34050C5E"/>
    <w:rsid w:val="342237CC"/>
    <w:rsid w:val="348C4B17"/>
    <w:rsid w:val="34930D92"/>
    <w:rsid w:val="34A264AC"/>
    <w:rsid w:val="34B255A3"/>
    <w:rsid w:val="350D5DEE"/>
    <w:rsid w:val="35164262"/>
    <w:rsid w:val="351729F7"/>
    <w:rsid w:val="35266411"/>
    <w:rsid w:val="353D343A"/>
    <w:rsid w:val="35867B20"/>
    <w:rsid w:val="35977693"/>
    <w:rsid w:val="35A41005"/>
    <w:rsid w:val="35CF1523"/>
    <w:rsid w:val="369B7EDF"/>
    <w:rsid w:val="36C13010"/>
    <w:rsid w:val="371D006C"/>
    <w:rsid w:val="37AB4837"/>
    <w:rsid w:val="381B0A50"/>
    <w:rsid w:val="385F357C"/>
    <w:rsid w:val="38765C86"/>
    <w:rsid w:val="38887767"/>
    <w:rsid w:val="38AB0436"/>
    <w:rsid w:val="38B042EE"/>
    <w:rsid w:val="397523E2"/>
    <w:rsid w:val="397B107A"/>
    <w:rsid w:val="399A5379"/>
    <w:rsid w:val="39CB2002"/>
    <w:rsid w:val="3A266863"/>
    <w:rsid w:val="3A653769"/>
    <w:rsid w:val="3B136517"/>
    <w:rsid w:val="3BA94498"/>
    <w:rsid w:val="3BD93EB4"/>
    <w:rsid w:val="3C107B84"/>
    <w:rsid w:val="3C1622DD"/>
    <w:rsid w:val="3C1A012A"/>
    <w:rsid w:val="3C1E3BBE"/>
    <w:rsid w:val="3C29411D"/>
    <w:rsid w:val="3D277BF5"/>
    <w:rsid w:val="3D5A3DC8"/>
    <w:rsid w:val="3D6407A3"/>
    <w:rsid w:val="3DA768E2"/>
    <w:rsid w:val="3DB30D52"/>
    <w:rsid w:val="3DC12254"/>
    <w:rsid w:val="3DD97C8D"/>
    <w:rsid w:val="3DEE79A0"/>
    <w:rsid w:val="3DFC6C2D"/>
    <w:rsid w:val="3E1201FF"/>
    <w:rsid w:val="3E366731"/>
    <w:rsid w:val="3E4D2C4B"/>
    <w:rsid w:val="3E4F22C8"/>
    <w:rsid w:val="3E7F135B"/>
    <w:rsid w:val="3E993FCC"/>
    <w:rsid w:val="3ECA0ADA"/>
    <w:rsid w:val="3FE26263"/>
    <w:rsid w:val="3FE90322"/>
    <w:rsid w:val="3FF971C0"/>
    <w:rsid w:val="408420BB"/>
    <w:rsid w:val="40C84C01"/>
    <w:rsid w:val="40D33704"/>
    <w:rsid w:val="40FE73AD"/>
    <w:rsid w:val="41565937"/>
    <w:rsid w:val="41597EF3"/>
    <w:rsid w:val="41C06A10"/>
    <w:rsid w:val="41D00779"/>
    <w:rsid w:val="42310E70"/>
    <w:rsid w:val="42544D6B"/>
    <w:rsid w:val="42E9148A"/>
    <w:rsid w:val="43122A4F"/>
    <w:rsid w:val="43137B46"/>
    <w:rsid w:val="43831F55"/>
    <w:rsid w:val="438C104B"/>
    <w:rsid w:val="43B6162D"/>
    <w:rsid w:val="43EC7FC3"/>
    <w:rsid w:val="441B5AA4"/>
    <w:rsid w:val="44297E41"/>
    <w:rsid w:val="44374290"/>
    <w:rsid w:val="445D36B1"/>
    <w:rsid w:val="44B37668"/>
    <w:rsid w:val="44CC56D0"/>
    <w:rsid w:val="44D501D8"/>
    <w:rsid w:val="44DD33A0"/>
    <w:rsid w:val="44F94751"/>
    <w:rsid w:val="44FB4BBF"/>
    <w:rsid w:val="4528655A"/>
    <w:rsid w:val="4541761C"/>
    <w:rsid w:val="45835E86"/>
    <w:rsid w:val="458F58BE"/>
    <w:rsid w:val="45EC031F"/>
    <w:rsid w:val="45F823D0"/>
    <w:rsid w:val="4614088C"/>
    <w:rsid w:val="46674C7C"/>
    <w:rsid w:val="46AB4E9E"/>
    <w:rsid w:val="46B71AE4"/>
    <w:rsid w:val="46FD57C4"/>
    <w:rsid w:val="471562DB"/>
    <w:rsid w:val="471A45C8"/>
    <w:rsid w:val="4740402F"/>
    <w:rsid w:val="47497350"/>
    <w:rsid w:val="474D4056"/>
    <w:rsid w:val="47603949"/>
    <w:rsid w:val="478A52AA"/>
    <w:rsid w:val="47A74B69"/>
    <w:rsid w:val="47C65C99"/>
    <w:rsid w:val="47F80EF3"/>
    <w:rsid w:val="480B4BFD"/>
    <w:rsid w:val="488E2B78"/>
    <w:rsid w:val="489832A1"/>
    <w:rsid w:val="48A73C3A"/>
    <w:rsid w:val="48F05286"/>
    <w:rsid w:val="490A030F"/>
    <w:rsid w:val="49A716A5"/>
    <w:rsid w:val="49A96BD9"/>
    <w:rsid w:val="49B57605"/>
    <w:rsid w:val="49BC54C3"/>
    <w:rsid w:val="49BE599F"/>
    <w:rsid w:val="49ED38CE"/>
    <w:rsid w:val="4A875F18"/>
    <w:rsid w:val="4AE20F59"/>
    <w:rsid w:val="4AF37504"/>
    <w:rsid w:val="4B0326F8"/>
    <w:rsid w:val="4B07535B"/>
    <w:rsid w:val="4B1F2BBB"/>
    <w:rsid w:val="4B1F5161"/>
    <w:rsid w:val="4B6B5764"/>
    <w:rsid w:val="4BAF34FA"/>
    <w:rsid w:val="4BE254DD"/>
    <w:rsid w:val="4BEC0155"/>
    <w:rsid w:val="4C183902"/>
    <w:rsid w:val="4C4902C6"/>
    <w:rsid w:val="4C603682"/>
    <w:rsid w:val="4C707265"/>
    <w:rsid w:val="4D9F4D2C"/>
    <w:rsid w:val="4DA04681"/>
    <w:rsid w:val="4E93532D"/>
    <w:rsid w:val="4EFA5CAC"/>
    <w:rsid w:val="4F0A0A7E"/>
    <w:rsid w:val="4F1B712F"/>
    <w:rsid w:val="4F411EED"/>
    <w:rsid w:val="4F4F5FCB"/>
    <w:rsid w:val="4F72505A"/>
    <w:rsid w:val="4F781E8C"/>
    <w:rsid w:val="4F9F0519"/>
    <w:rsid w:val="4FA365AE"/>
    <w:rsid w:val="50002380"/>
    <w:rsid w:val="50642410"/>
    <w:rsid w:val="507210BD"/>
    <w:rsid w:val="5080101B"/>
    <w:rsid w:val="50811214"/>
    <w:rsid w:val="50C11611"/>
    <w:rsid w:val="50DC36EE"/>
    <w:rsid w:val="50DD75B9"/>
    <w:rsid w:val="513749B3"/>
    <w:rsid w:val="515672E9"/>
    <w:rsid w:val="51976B08"/>
    <w:rsid w:val="52151C14"/>
    <w:rsid w:val="523302EC"/>
    <w:rsid w:val="52493D5C"/>
    <w:rsid w:val="524A26A8"/>
    <w:rsid w:val="529945F3"/>
    <w:rsid w:val="52AA040A"/>
    <w:rsid w:val="52BF05D4"/>
    <w:rsid w:val="53023386"/>
    <w:rsid w:val="530A729F"/>
    <w:rsid w:val="536310C8"/>
    <w:rsid w:val="537D2167"/>
    <w:rsid w:val="53AE2320"/>
    <w:rsid w:val="544F45AF"/>
    <w:rsid w:val="54976602"/>
    <w:rsid w:val="54E7744E"/>
    <w:rsid w:val="55277EAD"/>
    <w:rsid w:val="554276CD"/>
    <w:rsid w:val="554A7E27"/>
    <w:rsid w:val="556C4241"/>
    <w:rsid w:val="55CA4039"/>
    <w:rsid w:val="55DD6F17"/>
    <w:rsid w:val="5637484F"/>
    <w:rsid w:val="56443294"/>
    <w:rsid w:val="567B0CBC"/>
    <w:rsid w:val="56960238"/>
    <w:rsid w:val="56AF5AF8"/>
    <w:rsid w:val="576F0018"/>
    <w:rsid w:val="577E336E"/>
    <w:rsid w:val="580E5A83"/>
    <w:rsid w:val="58287414"/>
    <w:rsid w:val="587D0513"/>
    <w:rsid w:val="589D5E08"/>
    <w:rsid w:val="593376EE"/>
    <w:rsid w:val="59582C6C"/>
    <w:rsid w:val="595C7E29"/>
    <w:rsid w:val="59A57D21"/>
    <w:rsid w:val="59B77A55"/>
    <w:rsid w:val="59CF33D3"/>
    <w:rsid w:val="5A81165A"/>
    <w:rsid w:val="5A8C2AB9"/>
    <w:rsid w:val="5AAB75B9"/>
    <w:rsid w:val="5B022F52"/>
    <w:rsid w:val="5B0867BA"/>
    <w:rsid w:val="5B0B12A0"/>
    <w:rsid w:val="5B0D5B7E"/>
    <w:rsid w:val="5B115639"/>
    <w:rsid w:val="5B3E21DC"/>
    <w:rsid w:val="5BA549E9"/>
    <w:rsid w:val="5BEF1728"/>
    <w:rsid w:val="5BEF797A"/>
    <w:rsid w:val="5BF82712"/>
    <w:rsid w:val="5BFC15C5"/>
    <w:rsid w:val="5C5B6DBD"/>
    <w:rsid w:val="5C610E45"/>
    <w:rsid w:val="5CA22C3E"/>
    <w:rsid w:val="5CBC3D00"/>
    <w:rsid w:val="5CE2702C"/>
    <w:rsid w:val="5D1551BE"/>
    <w:rsid w:val="5D63417B"/>
    <w:rsid w:val="5D743B69"/>
    <w:rsid w:val="5D861C18"/>
    <w:rsid w:val="5DA86032"/>
    <w:rsid w:val="5DB04DB9"/>
    <w:rsid w:val="5DC56BE4"/>
    <w:rsid w:val="5DE30E18"/>
    <w:rsid w:val="5E0464D2"/>
    <w:rsid w:val="5E0B591A"/>
    <w:rsid w:val="5E1E00A2"/>
    <w:rsid w:val="5E3E0745"/>
    <w:rsid w:val="5E4C2E61"/>
    <w:rsid w:val="5E7238AF"/>
    <w:rsid w:val="5E78037A"/>
    <w:rsid w:val="5E817C29"/>
    <w:rsid w:val="5E842182"/>
    <w:rsid w:val="5E8B6BF7"/>
    <w:rsid w:val="5ECC0D90"/>
    <w:rsid w:val="5ECE050B"/>
    <w:rsid w:val="5EF06D5F"/>
    <w:rsid w:val="5F1E3693"/>
    <w:rsid w:val="5F1E7164"/>
    <w:rsid w:val="5F2651CE"/>
    <w:rsid w:val="5F364B05"/>
    <w:rsid w:val="5F5F4E16"/>
    <w:rsid w:val="5FAA1D1A"/>
    <w:rsid w:val="5FC37153"/>
    <w:rsid w:val="5FFF2150"/>
    <w:rsid w:val="60023C8F"/>
    <w:rsid w:val="60172FFB"/>
    <w:rsid w:val="6025396A"/>
    <w:rsid w:val="606D70BF"/>
    <w:rsid w:val="60823F80"/>
    <w:rsid w:val="608A3F50"/>
    <w:rsid w:val="60931857"/>
    <w:rsid w:val="60940AF0"/>
    <w:rsid w:val="60A76942"/>
    <w:rsid w:val="60B46A9C"/>
    <w:rsid w:val="60E761A9"/>
    <w:rsid w:val="61442516"/>
    <w:rsid w:val="6152018E"/>
    <w:rsid w:val="61811074"/>
    <w:rsid w:val="61CE6D35"/>
    <w:rsid w:val="61D45648"/>
    <w:rsid w:val="620263AB"/>
    <w:rsid w:val="621912AD"/>
    <w:rsid w:val="623D36E3"/>
    <w:rsid w:val="62A74B0A"/>
    <w:rsid w:val="62BA482D"/>
    <w:rsid w:val="62BF7C51"/>
    <w:rsid w:val="62CF4D8C"/>
    <w:rsid w:val="631E5CAD"/>
    <w:rsid w:val="63317086"/>
    <w:rsid w:val="63725D0E"/>
    <w:rsid w:val="638A31EC"/>
    <w:rsid w:val="639018D1"/>
    <w:rsid w:val="63ED0C43"/>
    <w:rsid w:val="64177A6E"/>
    <w:rsid w:val="641A755E"/>
    <w:rsid w:val="641E0DFC"/>
    <w:rsid w:val="6421033D"/>
    <w:rsid w:val="649D0C50"/>
    <w:rsid w:val="64C6241A"/>
    <w:rsid w:val="64C70422"/>
    <w:rsid w:val="64F16511"/>
    <w:rsid w:val="650E4DE5"/>
    <w:rsid w:val="6571230A"/>
    <w:rsid w:val="65884052"/>
    <w:rsid w:val="65A23E19"/>
    <w:rsid w:val="65C94D98"/>
    <w:rsid w:val="65D75707"/>
    <w:rsid w:val="660563ED"/>
    <w:rsid w:val="662A244F"/>
    <w:rsid w:val="66A80E51"/>
    <w:rsid w:val="66F27A6C"/>
    <w:rsid w:val="67851192"/>
    <w:rsid w:val="67E660D5"/>
    <w:rsid w:val="67E81911"/>
    <w:rsid w:val="68253615"/>
    <w:rsid w:val="686A1C23"/>
    <w:rsid w:val="68E36170"/>
    <w:rsid w:val="6906312E"/>
    <w:rsid w:val="69551F42"/>
    <w:rsid w:val="6A085D71"/>
    <w:rsid w:val="6A5A6906"/>
    <w:rsid w:val="6A5F5CCB"/>
    <w:rsid w:val="6A8169BA"/>
    <w:rsid w:val="6A8D6CDC"/>
    <w:rsid w:val="6AF74D12"/>
    <w:rsid w:val="6B202806"/>
    <w:rsid w:val="6B2F7D93"/>
    <w:rsid w:val="6B560E7C"/>
    <w:rsid w:val="6B96571C"/>
    <w:rsid w:val="6BAA55C4"/>
    <w:rsid w:val="6BB6221B"/>
    <w:rsid w:val="6C315445"/>
    <w:rsid w:val="6C787517"/>
    <w:rsid w:val="6C9A4D76"/>
    <w:rsid w:val="6CBF13CB"/>
    <w:rsid w:val="6CE10C19"/>
    <w:rsid w:val="6D082649"/>
    <w:rsid w:val="6D6A50B2"/>
    <w:rsid w:val="6D8A650F"/>
    <w:rsid w:val="6DA3601F"/>
    <w:rsid w:val="6DD923E6"/>
    <w:rsid w:val="6DDB5FB0"/>
    <w:rsid w:val="6E023C70"/>
    <w:rsid w:val="6E791EB6"/>
    <w:rsid w:val="6E995F15"/>
    <w:rsid w:val="6EB63FC7"/>
    <w:rsid w:val="6EBC6FBF"/>
    <w:rsid w:val="6EBE3907"/>
    <w:rsid w:val="6EDE657A"/>
    <w:rsid w:val="6F036AC3"/>
    <w:rsid w:val="6F3E05A4"/>
    <w:rsid w:val="6FA971F0"/>
    <w:rsid w:val="6FBF1C4F"/>
    <w:rsid w:val="6FF56708"/>
    <w:rsid w:val="703A3509"/>
    <w:rsid w:val="70BE1CC1"/>
    <w:rsid w:val="70DD5B9B"/>
    <w:rsid w:val="70F76C5D"/>
    <w:rsid w:val="71167885"/>
    <w:rsid w:val="713F5CFA"/>
    <w:rsid w:val="7141437C"/>
    <w:rsid w:val="71665975"/>
    <w:rsid w:val="71804EA4"/>
    <w:rsid w:val="718B6892"/>
    <w:rsid w:val="718D4B5B"/>
    <w:rsid w:val="71997D14"/>
    <w:rsid w:val="71BA13EF"/>
    <w:rsid w:val="71E35433"/>
    <w:rsid w:val="71E52F59"/>
    <w:rsid w:val="71F72C8D"/>
    <w:rsid w:val="72133F6A"/>
    <w:rsid w:val="724F3431"/>
    <w:rsid w:val="72EB02C8"/>
    <w:rsid w:val="72F13B80"/>
    <w:rsid w:val="73041B05"/>
    <w:rsid w:val="737D698E"/>
    <w:rsid w:val="73DF324D"/>
    <w:rsid w:val="73E515B6"/>
    <w:rsid w:val="741A51E1"/>
    <w:rsid w:val="747C597A"/>
    <w:rsid w:val="74A40EAA"/>
    <w:rsid w:val="74D15B6D"/>
    <w:rsid w:val="74E4574A"/>
    <w:rsid w:val="75096549"/>
    <w:rsid w:val="751834B0"/>
    <w:rsid w:val="752F5FFD"/>
    <w:rsid w:val="754742BA"/>
    <w:rsid w:val="754A769E"/>
    <w:rsid w:val="75543C54"/>
    <w:rsid w:val="75716319"/>
    <w:rsid w:val="75770645"/>
    <w:rsid w:val="75972BB4"/>
    <w:rsid w:val="75CF01A8"/>
    <w:rsid w:val="76120095"/>
    <w:rsid w:val="767A6F44"/>
    <w:rsid w:val="76A81442"/>
    <w:rsid w:val="76B04A9A"/>
    <w:rsid w:val="770976EA"/>
    <w:rsid w:val="770B3462"/>
    <w:rsid w:val="771341BE"/>
    <w:rsid w:val="775743C4"/>
    <w:rsid w:val="776668EA"/>
    <w:rsid w:val="779C055E"/>
    <w:rsid w:val="782C7B34"/>
    <w:rsid w:val="7847671C"/>
    <w:rsid w:val="78B25EE0"/>
    <w:rsid w:val="78DA7590"/>
    <w:rsid w:val="78DD2BDC"/>
    <w:rsid w:val="7908577F"/>
    <w:rsid w:val="79800339"/>
    <w:rsid w:val="79C87163"/>
    <w:rsid w:val="79D33FDF"/>
    <w:rsid w:val="79E852B0"/>
    <w:rsid w:val="79E87A8A"/>
    <w:rsid w:val="7A066163"/>
    <w:rsid w:val="7A3443FD"/>
    <w:rsid w:val="7A5549F4"/>
    <w:rsid w:val="7A7257BF"/>
    <w:rsid w:val="7ADE49EA"/>
    <w:rsid w:val="7AE83ABA"/>
    <w:rsid w:val="7B476A33"/>
    <w:rsid w:val="7B476B4B"/>
    <w:rsid w:val="7B635225"/>
    <w:rsid w:val="7BA95770"/>
    <w:rsid w:val="7BB75CA4"/>
    <w:rsid w:val="7BD06A28"/>
    <w:rsid w:val="7BF73FB5"/>
    <w:rsid w:val="7C042B76"/>
    <w:rsid w:val="7C201D9F"/>
    <w:rsid w:val="7C6049C4"/>
    <w:rsid w:val="7C75591A"/>
    <w:rsid w:val="7C8F68E3"/>
    <w:rsid w:val="7CA0464C"/>
    <w:rsid w:val="7CB55B91"/>
    <w:rsid w:val="7D0D3FA6"/>
    <w:rsid w:val="7D144A09"/>
    <w:rsid w:val="7D16383D"/>
    <w:rsid w:val="7D16490F"/>
    <w:rsid w:val="7D7B0C16"/>
    <w:rsid w:val="7D9B4E14"/>
    <w:rsid w:val="7DAA4571"/>
    <w:rsid w:val="7DBA4644"/>
    <w:rsid w:val="7DD27ABB"/>
    <w:rsid w:val="7E6F669E"/>
    <w:rsid w:val="7E717724"/>
    <w:rsid w:val="7E725B75"/>
    <w:rsid w:val="7F345520"/>
    <w:rsid w:val="7F62644E"/>
    <w:rsid w:val="7F934E56"/>
    <w:rsid w:val="7F98785D"/>
    <w:rsid w:val="7FE94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60"/>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autoRedefine/>
    <w:qFormat/>
    <w:uiPriority w:val="99"/>
    <w:pPr>
      <w:keepNext/>
      <w:keepLines/>
      <w:spacing w:before="260" w:after="260" w:line="416" w:lineRule="auto"/>
      <w:outlineLvl w:val="2"/>
    </w:pPr>
    <w:rPr>
      <w:b/>
      <w:bCs/>
      <w:sz w:val="32"/>
      <w:szCs w:val="32"/>
    </w:rPr>
  </w:style>
  <w:style w:type="paragraph" w:styleId="6">
    <w:name w:val="heading 4"/>
    <w:basedOn w:val="1"/>
    <w:next w:val="1"/>
    <w:link w:val="61"/>
    <w:autoRedefine/>
    <w:qFormat/>
    <w:uiPriority w:val="99"/>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2"/>
    <w:autoRedefine/>
    <w:qFormat/>
    <w:uiPriority w:val="99"/>
    <w:pPr>
      <w:keepNext/>
      <w:keepLines/>
      <w:spacing w:before="280" w:after="290" w:line="376" w:lineRule="auto"/>
      <w:outlineLvl w:val="4"/>
    </w:pPr>
    <w:rPr>
      <w:b/>
      <w:bCs/>
      <w:sz w:val="28"/>
      <w:szCs w:val="28"/>
    </w:rPr>
  </w:style>
  <w:style w:type="paragraph" w:styleId="8">
    <w:name w:val="heading 6"/>
    <w:basedOn w:val="1"/>
    <w:next w:val="1"/>
    <w:link w:val="63"/>
    <w:autoRedefine/>
    <w:qFormat/>
    <w:uiPriority w:val="9"/>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64"/>
    <w:autoRedefine/>
    <w:qFormat/>
    <w:uiPriority w:val="9"/>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65"/>
    <w:autoRedefine/>
    <w:qFormat/>
    <w:uiPriority w:val="9"/>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66"/>
    <w:autoRedefine/>
    <w:qFormat/>
    <w:uiPriority w:val="9"/>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7">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Text"/>
    <w:basedOn w:val="1"/>
    <w:next w:val="1"/>
    <w:autoRedefine/>
    <w:qFormat/>
    <w:uiPriority w:val="0"/>
    <w:pPr>
      <w:textAlignment w:val="baseline"/>
    </w:pPr>
    <w:rPr>
      <w:szCs w:val="21"/>
    </w:rPr>
  </w:style>
  <w:style w:type="paragraph" w:styleId="12">
    <w:name w:val="toc 7"/>
    <w:basedOn w:val="1"/>
    <w:next w:val="1"/>
    <w:autoRedefine/>
    <w:qFormat/>
    <w:uiPriority w:val="39"/>
    <w:pPr>
      <w:ind w:left="1260"/>
      <w:jc w:val="left"/>
    </w:pPr>
    <w:rPr>
      <w:sz w:val="18"/>
      <w:szCs w:val="18"/>
    </w:rPr>
  </w:style>
  <w:style w:type="paragraph" w:styleId="13">
    <w:name w:val="Normal Indent"/>
    <w:basedOn w:val="1"/>
    <w:autoRedefine/>
    <w:qFormat/>
    <w:uiPriority w:val="99"/>
    <w:pPr>
      <w:widowControl/>
      <w:ind w:firstLine="420"/>
      <w:jc w:val="left"/>
    </w:pPr>
    <w:rPr>
      <w:kern w:val="0"/>
      <w:sz w:val="20"/>
      <w:szCs w:val="20"/>
    </w:rPr>
  </w:style>
  <w:style w:type="paragraph" w:styleId="14">
    <w:name w:val="caption"/>
    <w:basedOn w:val="1"/>
    <w:next w:val="1"/>
    <w:autoRedefine/>
    <w:qFormat/>
    <w:uiPriority w:val="99"/>
    <w:rPr>
      <w:rFonts w:ascii="Cambria" w:hAnsi="Cambria" w:eastAsia="黑体" w:cs="Cambria"/>
      <w:sz w:val="20"/>
      <w:szCs w:val="20"/>
    </w:rPr>
  </w:style>
  <w:style w:type="paragraph" w:styleId="15">
    <w:name w:val="Document Map"/>
    <w:basedOn w:val="1"/>
    <w:link w:val="67"/>
    <w:autoRedefine/>
    <w:qFormat/>
    <w:uiPriority w:val="99"/>
    <w:pPr>
      <w:shd w:val="clear" w:color="auto" w:fill="000080"/>
    </w:pPr>
  </w:style>
  <w:style w:type="paragraph" w:styleId="16">
    <w:name w:val="annotation text"/>
    <w:basedOn w:val="1"/>
    <w:link w:val="68"/>
    <w:autoRedefine/>
    <w:qFormat/>
    <w:uiPriority w:val="0"/>
    <w:pPr>
      <w:jc w:val="left"/>
    </w:pPr>
  </w:style>
  <w:style w:type="paragraph" w:styleId="17">
    <w:name w:val="Body Text 3"/>
    <w:basedOn w:val="1"/>
    <w:link w:val="69"/>
    <w:autoRedefine/>
    <w:qFormat/>
    <w:uiPriority w:val="0"/>
    <w:rPr>
      <w:rFonts w:ascii="宋体"/>
      <w:sz w:val="24"/>
      <w:szCs w:val="20"/>
    </w:rPr>
  </w:style>
  <w:style w:type="paragraph" w:styleId="18">
    <w:name w:val="Body Text"/>
    <w:basedOn w:val="1"/>
    <w:autoRedefine/>
    <w:qFormat/>
    <w:uiPriority w:val="99"/>
    <w:pPr>
      <w:spacing w:after="120"/>
    </w:pPr>
  </w:style>
  <w:style w:type="paragraph" w:styleId="19">
    <w:name w:val="Body Text Indent"/>
    <w:basedOn w:val="1"/>
    <w:link w:val="70"/>
    <w:autoRedefine/>
    <w:qFormat/>
    <w:uiPriority w:val="0"/>
    <w:pPr>
      <w:spacing w:line="200" w:lineRule="exact"/>
      <w:ind w:firstLine="301"/>
    </w:pPr>
    <w:rPr>
      <w:rFonts w:ascii="宋体" w:hAnsi="Courier New"/>
      <w:spacing w:val="-4"/>
      <w:sz w:val="18"/>
      <w:szCs w:val="20"/>
    </w:rPr>
  </w:style>
  <w:style w:type="paragraph" w:styleId="20">
    <w:name w:val="Block Text"/>
    <w:basedOn w:val="1"/>
    <w:autoRedefine/>
    <w:qFormat/>
    <w:uiPriority w:val="0"/>
    <w:pPr>
      <w:widowControl/>
      <w:spacing w:after="120" w:line="357" w:lineRule="atLeast"/>
      <w:ind w:left="1440" w:right="1440"/>
      <w:textAlignment w:val="baseline"/>
    </w:pPr>
    <w:rPr>
      <w:color w:val="000000"/>
      <w:kern w:val="0"/>
      <w:szCs w:val="20"/>
      <w:u w:color="000000"/>
    </w:rPr>
  </w:style>
  <w:style w:type="paragraph" w:styleId="21">
    <w:name w:val="index 4"/>
    <w:basedOn w:val="1"/>
    <w:next w:val="1"/>
    <w:autoRedefine/>
    <w:qFormat/>
    <w:uiPriority w:val="99"/>
    <w:pPr>
      <w:ind w:left="600" w:leftChars="600"/>
    </w:pPr>
    <w:rPr>
      <w:szCs w:val="21"/>
    </w:rPr>
  </w:style>
  <w:style w:type="paragraph" w:styleId="22">
    <w:name w:val="toc 5"/>
    <w:basedOn w:val="1"/>
    <w:next w:val="1"/>
    <w:autoRedefine/>
    <w:qFormat/>
    <w:uiPriority w:val="39"/>
    <w:pPr>
      <w:ind w:left="840"/>
      <w:jc w:val="left"/>
    </w:pPr>
    <w:rPr>
      <w:sz w:val="18"/>
      <w:szCs w:val="18"/>
    </w:rPr>
  </w:style>
  <w:style w:type="paragraph" w:styleId="23">
    <w:name w:val="toc 3"/>
    <w:basedOn w:val="1"/>
    <w:next w:val="1"/>
    <w:autoRedefine/>
    <w:qFormat/>
    <w:uiPriority w:val="39"/>
    <w:pPr>
      <w:ind w:left="840" w:leftChars="400"/>
    </w:pPr>
  </w:style>
  <w:style w:type="paragraph" w:styleId="24">
    <w:name w:val="Plain Text"/>
    <w:basedOn w:val="1"/>
    <w:next w:val="6"/>
    <w:link w:val="71"/>
    <w:autoRedefine/>
    <w:qFormat/>
    <w:uiPriority w:val="0"/>
    <w:rPr>
      <w:rFonts w:ascii="宋体" w:hAnsi="Courier New"/>
      <w:szCs w:val="20"/>
    </w:rPr>
  </w:style>
  <w:style w:type="paragraph" w:styleId="25">
    <w:name w:val="toc 8"/>
    <w:basedOn w:val="1"/>
    <w:next w:val="1"/>
    <w:autoRedefine/>
    <w:qFormat/>
    <w:uiPriority w:val="39"/>
    <w:pPr>
      <w:ind w:left="1470"/>
      <w:jc w:val="left"/>
    </w:pPr>
    <w:rPr>
      <w:sz w:val="18"/>
      <w:szCs w:val="18"/>
    </w:rPr>
  </w:style>
  <w:style w:type="paragraph" w:styleId="26">
    <w:name w:val="Date"/>
    <w:basedOn w:val="1"/>
    <w:next w:val="1"/>
    <w:link w:val="72"/>
    <w:autoRedefine/>
    <w:qFormat/>
    <w:uiPriority w:val="99"/>
    <w:pPr>
      <w:ind w:left="100" w:leftChars="2500"/>
    </w:pPr>
  </w:style>
  <w:style w:type="paragraph" w:styleId="27">
    <w:name w:val="Body Text Indent 2"/>
    <w:basedOn w:val="1"/>
    <w:link w:val="73"/>
    <w:autoRedefine/>
    <w:qFormat/>
    <w:uiPriority w:val="99"/>
    <w:pPr>
      <w:spacing w:after="120" w:line="480" w:lineRule="auto"/>
      <w:ind w:left="420" w:leftChars="200"/>
    </w:pPr>
  </w:style>
  <w:style w:type="paragraph" w:styleId="28">
    <w:name w:val="Balloon Text"/>
    <w:basedOn w:val="1"/>
    <w:link w:val="74"/>
    <w:autoRedefine/>
    <w:semiHidden/>
    <w:qFormat/>
    <w:uiPriority w:val="99"/>
    <w:rPr>
      <w:sz w:val="18"/>
      <w:szCs w:val="18"/>
    </w:rPr>
  </w:style>
  <w:style w:type="paragraph" w:styleId="29">
    <w:name w:val="footer"/>
    <w:basedOn w:val="1"/>
    <w:next w:val="1"/>
    <w:link w:val="75"/>
    <w:autoRedefine/>
    <w:qFormat/>
    <w:uiPriority w:val="99"/>
    <w:pPr>
      <w:tabs>
        <w:tab w:val="center" w:pos="4153"/>
        <w:tab w:val="right" w:pos="8306"/>
      </w:tabs>
      <w:snapToGrid w:val="0"/>
      <w:jc w:val="left"/>
    </w:pPr>
    <w:rPr>
      <w:sz w:val="18"/>
      <w:szCs w:val="18"/>
    </w:rPr>
  </w:style>
  <w:style w:type="paragraph" w:styleId="30">
    <w:name w:val="header"/>
    <w:basedOn w:val="1"/>
    <w:link w:val="76"/>
    <w:autoRedefine/>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qFormat/>
    <w:uiPriority w:val="39"/>
    <w:pPr>
      <w:tabs>
        <w:tab w:val="left" w:pos="840"/>
        <w:tab w:val="right" w:leader="dot" w:pos="9628"/>
      </w:tabs>
    </w:pPr>
  </w:style>
  <w:style w:type="paragraph" w:styleId="32">
    <w:name w:val="toc 4"/>
    <w:basedOn w:val="1"/>
    <w:next w:val="1"/>
    <w:autoRedefine/>
    <w:qFormat/>
    <w:uiPriority w:val="39"/>
    <w:pPr>
      <w:ind w:left="630"/>
      <w:jc w:val="left"/>
    </w:pPr>
    <w:rPr>
      <w:sz w:val="18"/>
      <w:szCs w:val="18"/>
    </w:rPr>
  </w:style>
  <w:style w:type="paragraph" w:styleId="33">
    <w:name w:val="Subtitle"/>
    <w:basedOn w:val="1"/>
    <w:next w:val="1"/>
    <w:link w:val="77"/>
    <w:autoRedefine/>
    <w:qFormat/>
    <w:uiPriority w:val="11"/>
    <w:pPr>
      <w:spacing w:before="240" w:after="60" w:line="312" w:lineRule="auto"/>
      <w:jc w:val="center"/>
      <w:outlineLvl w:val="1"/>
    </w:pPr>
    <w:rPr>
      <w:rFonts w:ascii="Cambria" w:hAnsi="Cambria"/>
      <w:b/>
      <w:bCs/>
      <w:kern w:val="28"/>
      <w:sz w:val="32"/>
      <w:szCs w:val="32"/>
    </w:rPr>
  </w:style>
  <w:style w:type="paragraph" w:styleId="34">
    <w:name w:val="footnote text"/>
    <w:basedOn w:val="1"/>
    <w:link w:val="78"/>
    <w:autoRedefine/>
    <w:qFormat/>
    <w:uiPriority w:val="99"/>
    <w:pPr>
      <w:adjustRightInd w:val="0"/>
      <w:spacing w:line="312" w:lineRule="atLeast"/>
      <w:jc w:val="left"/>
      <w:textAlignment w:val="baseline"/>
    </w:pPr>
    <w:rPr>
      <w:kern w:val="0"/>
      <w:sz w:val="18"/>
      <w:szCs w:val="18"/>
    </w:rPr>
  </w:style>
  <w:style w:type="paragraph" w:styleId="35">
    <w:name w:val="toc 6"/>
    <w:basedOn w:val="1"/>
    <w:next w:val="1"/>
    <w:autoRedefine/>
    <w:qFormat/>
    <w:uiPriority w:val="39"/>
    <w:pPr>
      <w:ind w:left="1050"/>
      <w:jc w:val="left"/>
    </w:pPr>
    <w:rPr>
      <w:sz w:val="18"/>
      <w:szCs w:val="18"/>
    </w:rPr>
  </w:style>
  <w:style w:type="paragraph" w:styleId="36">
    <w:name w:val="Body Text Indent 3"/>
    <w:basedOn w:val="1"/>
    <w:link w:val="79"/>
    <w:autoRedefine/>
    <w:qFormat/>
    <w:uiPriority w:val="0"/>
    <w:pPr>
      <w:spacing w:after="120"/>
      <w:ind w:left="420" w:leftChars="200"/>
    </w:pPr>
    <w:rPr>
      <w:sz w:val="16"/>
      <w:szCs w:val="16"/>
    </w:rPr>
  </w:style>
  <w:style w:type="paragraph" w:styleId="37">
    <w:name w:val="toc 2"/>
    <w:basedOn w:val="1"/>
    <w:next w:val="1"/>
    <w:autoRedefine/>
    <w:qFormat/>
    <w:uiPriority w:val="39"/>
    <w:pPr>
      <w:ind w:left="420" w:leftChars="200"/>
    </w:pPr>
  </w:style>
  <w:style w:type="paragraph" w:styleId="38">
    <w:name w:val="toc 9"/>
    <w:basedOn w:val="1"/>
    <w:next w:val="1"/>
    <w:autoRedefine/>
    <w:qFormat/>
    <w:uiPriority w:val="39"/>
    <w:pPr>
      <w:ind w:left="1680"/>
      <w:jc w:val="left"/>
    </w:pPr>
    <w:rPr>
      <w:sz w:val="18"/>
      <w:szCs w:val="18"/>
    </w:rPr>
  </w:style>
  <w:style w:type="paragraph" w:styleId="39">
    <w:name w:val="Body Text 2"/>
    <w:basedOn w:val="1"/>
    <w:link w:val="80"/>
    <w:autoRedefine/>
    <w:qFormat/>
    <w:uiPriority w:val="0"/>
    <w:pPr>
      <w:spacing w:after="120" w:line="480" w:lineRule="auto"/>
    </w:pPr>
  </w:style>
  <w:style w:type="paragraph" w:styleId="40">
    <w:name w:val="HTML Preformatted"/>
    <w:basedOn w:val="1"/>
    <w:link w:val="8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1">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42">
    <w:name w:val="index 1"/>
    <w:basedOn w:val="1"/>
    <w:next w:val="1"/>
    <w:autoRedefine/>
    <w:semiHidden/>
    <w:qFormat/>
    <w:uiPriority w:val="0"/>
    <w:pPr>
      <w:spacing w:line="300" w:lineRule="exact"/>
      <w:ind w:firstLine="430" w:firstLineChars="205"/>
    </w:pPr>
    <w:rPr>
      <w:rFonts w:ascii="宋体" w:hAnsi="Courier New"/>
      <w:bCs/>
      <w:szCs w:val="36"/>
    </w:rPr>
  </w:style>
  <w:style w:type="paragraph" w:styleId="43">
    <w:name w:val="Title"/>
    <w:basedOn w:val="1"/>
    <w:link w:val="82"/>
    <w:autoRedefine/>
    <w:qFormat/>
    <w:uiPriority w:val="99"/>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link w:val="83"/>
    <w:autoRedefine/>
    <w:semiHidden/>
    <w:qFormat/>
    <w:uiPriority w:val="99"/>
    <w:rPr>
      <w:b/>
      <w:bCs/>
    </w:rPr>
  </w:style>
  <w:style w:type="table" w:styleId="46">
    <w:name w:val="Table Grid"/>
    <w:basedOn w:val="4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autoRedefine/>
    <w:qFormat/>
    <w:uiPriority w:val="22"/>
    <w:rPr>
      <w:b/>
      <w:bCs/>
    </w:rPr>
  </w:style>
  <w:style w:type="character" w:styleId="49">
    <w:name w:val="page number"/>
    <w:autoRedefine/>
    <w:qFormat/>
    <w:uiPriority w:val="0"/>
  </w:style>
  <w:style w:type="character" w:styleId="50">
    <w:name w:val="FollowedHyperlink"/>
    <w:autoRedefine/>
    <w:qFormat/>
    <w:uiPriority w:val="99"/>
    <w:rPr>
      <w:rFonts w:ascii="Arial" w:hAnsi="Arial" w:eastAsia="黑体"/>
      <w:color w:val="800080"/>
      <w:kern w:val="2"/>
      <w:sz w:val="21"/>
      <w:szCs w:val="21"/>
      <w:u w:val="single"/>
      <w:lang w:val="en-US" w:eastAsia="zh-CN" w:bidi="ar-SA"/>
    </w:rPr>
  </w:style>
  <w:style w:type="character" w:styleId="51">
    <w:name w:val="Emphasis"/>
    <w:autoRedefine/>
    <w:qFormat/>
    <w:uiPriority w:val="99"/>
    <w:rPr>
      <w:color w:val="CC0000"/>
      <w:sz w:val="24"/>
      <w:szCs w:val="24"/>
    </w:rPr>
  </w:style>
  <w:style w:type="character" w:styleId="52">
    <w:name w:val="HTML Definition"/>
    <w:basedOn w:val="47"/>
    <w:autoRedefine/>
    <w:qFormat/>
    <w:uiPriority w:val="0"/>
    <w:rPr>
      <w:i/>
      <w:iCs/>
    </w:rPr>
  </w:style>
  <w:style w:type="character" w:styleId="53">
    <w:name w:val="Hyperlink"/>
    <w:basedOn w:val="47"/>
    <w:autoRedefine/>
    <w:qFormat/>
    <w:uiPriority w:val="99"/>
    <w:rPr>
      <w:color w:val="3177FD"/>
      <w:u w:val="none"/>
    </w:rPr>
  </w:style>
  <w:style w:type="character" w:styleId="54">
    <w:name w:val="HTML Code"/>
    <w:basedOn w:val="47"/>
    <w:autoRedefine/>
    <w:qFormat/>
    <w:uiPriority w:val="0"/>
    <w:rPr>
      <w:rFonts w:hint="default" w:ascii="Consolas" w:hAnsi="Consolas" w:eastAsia="Consolas" w:cs="Consolas"/>
      <w:sz w:val="21"/>
      <w:szCs w:val="21"/>
    </w:rPr>
  </w:style>
  <w:style w:type="character" w:styleId="55">
    <w:name w:val="annotation reference"/>
    <w:autoRedefine/>
    <w:qFormat/>
    <w:uiPriority w:val="0"/>
    <w:rPr>
      <w:sz w:val="21"/>
      <w:szCs w:val="21"/>
    </w:rPr>
  </w:style>
  <w:style w:type="character" w:styleId="56">
    <w:name w:val="HTML Keyboard"/>
    <w:basedOn w:val="47"/>
    <w:autoRedefine/>
    <w:qFormat/>
    <w:uiPriority w:val="0"/>
    <w:rPr>
      <w:rFonts w:ascii="Consolas" w:hAnsi="Consolas" w:eastAsia="Consolas" w:cs="Consolas"/>
      <w:sz w:val="21"/>
      <w:szCs w:val="21"/>
    </w:rPr>
  </w:style>
  <w:style w:type="character" w:styleId="57">
    <w:name w:val="HTML Sample"/>
    <w:basedOn w:val="47"/>
    <w:autoRedefine/>
    <w:qFormat/>
    <w:uiPriority w:val="0"/>
    <w:rPr>
      <w:rFonts w:hint="default" w:ascii="Consolas" w:hAnsi="Consolas" w:eastAsia="Consolas" w:cs="Consolas"/>
      <w:sz w:val="21"/>
      <w:szCs w:val="21"/>
    </w:rPr>
  </w:style>
  <w:style w:type="paragraph" w:customStyle="1" w:styleId="58">
    <w:name w:val="Default"/>
    <w:autoRedefine/>
    <w:qFormat/>
    <w:uiPriority w:val="0"/>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59">
    <w:name w:val="表格文字"/>
    <w:basedOn w:val="1"/>
    <w:autoRedefine/>
    <w:qFormat/>
    <w:uiPriority w:val="0"/>
    <w:pPr>
      <w:adjustRightInd w:val="0"/>
      <w:spacing w:line="420" w:lineRule="atLeast"/>
      <w:jc w:val="left"/>
      <w:textAlignment w:val="baseline"/>
    </w:pPr>
    <w:rPr>
      <w:kern w:val="0"/>
      <w:szCs w:val="20"/>
    </w:rPr>
  </w:style>
  <w:style w:type="character" w:customStyle="1" w:styleId="60">
    <w:name w:val="标题 2 字符"/>
    <w:link w:val="4"/>
    <w:autoRedefine/>
    <w:qFormat/>
    <w:locked/>
    <w:uiPriority w:val="99"/>
    <w:rPr>
      <w:rFonts w:ascii="Arial" w:hAnsi="Arial" w:eastAsia="黑体"/>
      <w:b/>
      <w:bCs/>
      <w:kern w:val="2"/>
      <w:sz w:val="32"/>
      <w:szCs w:val="32"/>
    </w:rPr>
  </w:style>
  <w:style w:type="character" w:customStyle="1" w:styleId="61">
    <w:name w:val="标题 4 字符"/>
    <w:link w:val="6"/>
    <w:autoRedefine/>
    <w:qFormat/>
    <w:uiPriority w:val="99"/>
    <w:rPr>
      <w:rFonts w:ascii="Arial" w:hAnsi="Arial" w:eastAsia="黑体"/>
      <w:b/>
      <w:bCs/>
      <w:kern w:val="2"/>
      <w:sz w:val="28"/>
      <w:szCs w:val="28"/>
    </w:rPr>
  </w:style>
  <w:style w:type="character" w:customStyle="1" w:styleId="62">
    <w:name w:val="标题 5 字符"/>
    <w:link w:val="7"/>
    <w:autoRedefine/>
    <w:qFormat/>
    <w:uiPriority w:val="99"/>
    <w:rPr>
      <w:b/>
      <w:bCs/>
      <w:kern w:val="2"/>
      <w:sz w:val="28"/>
      <w:szCs w:val="28"/>
    </w:rPr>
  </w:style>
  <w:style w:type="character" w:customStyle="1" w:styleId="63">
    <w:name w:val="标题 6 字符"/>
    <w:link w:val="8"/>
    <w:autoRedefine/>
    <w:qFormat/>
    <w:uiPriority w:val="9"/>
    <w:rPr>
      <w:rFonts w:ascii="Arial" w:hAnsi="Arial" w:eastAsia="黑体"/>
      <w:b/>
      <w:bCs/>
      <w:sz w:val="24"/>
      <w:szCs w:val="24"/>
    </w:rPr>
  </w:style>
  <w:style w:type="character" w:customStyle="1" w:styleId="64">
    <w:name w:val="标题 7 字符"/>
    <w:link w:val="9"/>
    <w:autoRedefine/>
    <w:qFormat/>
    <w:uiPriority w:val="9"/>
    <w:rPr>
      <w:b/>
      <w:bCs/>
      <w:sz w:val="24"/>
      <w:szCs w:val="24"/>
    </w:rPr>
  </w:style>
  <w:style w:type="character" w:customStyle="1" w:styleId="65">
    <w:name w:val="标题 8 字符"/>
    <w:link w:val="10"/>
    <w:autoRedefine/>
    <w:qFormat/>
    <w:uiPriority w:val="9"/>
    <w:rPr>
      <w:rFonts w:ascii="Arial" w:hAnsi="Arial" w:eastAsia="黑体"/>
      <w:sz w:val="24"/>
      <w:szCs w:val="24"/>
    </w:rPr>
  </w:style>
  <w:style w:type="character" w:customStyle="1" w:styleId="66">
    <w:name w:val="标题 9 字符"/>
    <w:link w:val="11"/>
    <w:autoRedefine/>
    <w:qFormat/>
    <w:uiPriority w:val="9"/>
    <w:rPr>
      <w:rFonts w:ascii="Arial" w:hAnsi="Arial" w:eastAsia="黑体"/>
      <w:sz w:val="21"/>
      <w:szCs w:val="21"/>
    </w:rPr>
  </w:style>
  <w:style w:type="character" w:customStyle="1" w:styleId="67">
    <w:name w:val="文档结构图 字符"/>
    <w:link w:val="15"/>
    <w:autoRedefine/>
    <w:qFormat/>
    <w:uiPriority w:val="99"/>
    <w:rPr>
      <w:kern w:val="2"/>
      <w:sz w:val="21"/>
      <w:szCs w:val="24"/>
      <w:shd w:val="clear" w:color="auto" w:fill="000080"/>
    </w:rPr>
  </w:style>
  <w:style w:type="character" w:customStyle="1" w:styleId="68">
    <w:name w:val="批注文字 字符"/>
    <w:link w:val="16"/>
    <w:autoRedefine/>
    <w:qFormat/>
    <w:locked/>
    <w:uiPriority w:val="0"/>
    <w:rPr>
      <w:kern w:val="2"/>
      <w:sz w:val="21"/>
      <w:szCs w:val="24"/>
    </w:rPr>
  </w:style>
  <w:style w:type="character" w:customStyle="1" w:styleId="69">
    <w:name w:val="正文文本 3 字符"/>
    <w:link w:val="17"/>
    <w:autoRedefine/>
    <w:qFormat/>
    <w:uiPriority w:val="0"/>
    <w:rPr>
      <w:rFonts w:ascii="宋体"/>
      <w:kern w:val="2"/>
      <w:sz w:val="24"/>
    </w:rPr>
  </w:style>
  <w:style w:type="character" w:customStyle="1" w:styleId="70">
    <w:name w:val="正文文本缩进 字符"/>
    <w:link w:val="19"/>
    <w:autoRedefine/>
    <w:qFormat/>
    <w:locked/>
    <w:uiPriority w:val="0"/>
    <w:rPr>
      <w:rFonts w:ascii="宋体" w:hAnsi="Courier New"/>
      <w:spacing w:val="-4"/>
      <w:kern w:val="2"/>
      <w:sz w:val="18"/>
    </w:rPr>
  </w:style>
  <w:style w:type="character" w:customStyle="1" w:styleId="71">
    <w:name w:val="纯文本 字符"/>
    <w:link w:val="24"/>
    <w:autoRedefine/>
    <w:qFormat/>
    <w:uiPriority w:val="0"/>
    <w:rPr>
      <w:rFonts w:ascii="宋体" w:hAnsi="Courier New" w:eastAsia="宋体"/>
      <w:kern w:val="2"/>
      <w:sz w:val="21"/>
      <w:lang w:val="en-US" w:eastAsia="zh-CN" w:bidi="ar-SA"/>
    </w:rPr>
  </w:style>
  <w:style w:type="character" w:customStyle="1" w:styleId="72">
    <w:name w:val="日期 字符"/>
    <w:link w:val="26"/>
    <w:autoRedefine/>
    <w:qFormat/>
    <w:locked/>
    <w:uiPriority w:val="99"/>
    <w:rPr>
      <w:kern w:val="2"/>
      <w:sz w:val="21"/>
      <w:szCs w:val="24"/>
    </w:rPr>
  </w:style>
  <w:style w:type="character" w:customStyle="1" w:styleId="73">
    <w:name w:val="正文文本缩进 2 字符"/>
    <w:link w:val="27"/>
    <w:autoRedefine/>
    <w:qFormat/>
    <w:locked/>
    <w:uiPriority w:val="99"/>
    <w:rPr>
      <w:kern w:val="2"/>
      <w:sz w:val="21"/>
      <w:szCs w:val="24"/>
    </w:rPr>
  </w:style>
  <w:style w:type="character" w:customStyle="1" w:styleId="74">
    <w:name w:val="批注框文本 字符"/>
    <w:link w:val="28"/>
    <w:autoRedefine/>
    <w:semiHidden/>
    <w:qFormat/>
    <w:locked/>
    <w:uiPriority w:val="99"/>
    <w:rPr>
      <w:kern w:val="2"/>
      <w:sz w:val="18"/>
      <w:szCs w:val="18"/>
    </w:rPr>
  </w:style>
  <w:style w:type="character" w:customStyle="1" w:styleId="75">
    <w:name w:val="页脚 字符"/>
    <w:link w:val="29"/>
    <w:autoRedefine/>
    <w:qFormat/>
    <w:uiPriority w:val="99"/>
    <w:rPr>
      <w:kern w:val="2"/>
      <w:sz w:val="18"/>
      <w:szCs w:val="18"/>
    </w:rPr>
  </w:style>
  <w:style w:type="character" w:customStyle="1" w:styleId="76">
    <w:name w:val="页眉 字符"/>
    <w:link w:val="30"/>
    <w:autoRedefine/>
    <w:qFormat/>
    <w:uiPriority w:val="0"/>
    <w:rPr>
      <w:kern w:val="2"/>
      <w:sz w:val="18"/>
      <w:szCs w:val="18"/>
    </w:rPr>
  </w:style>
  <w:style w:type="character" w:customStyle="1" w:styleId="77">
    <w:name w:val="副标题 字符"/>
    <w:link w:val="33"/>
    <w:autoRedefine/>
    <w:qFormat/>
    <w:uiPriority w:val="11"/>
    <w:rPr>
      <w:rFonts w:ascii="Cambria" w:hAnsi="Cambria"/>
      <w:b/>
      <w:bCs/>
      <w:kern w:val="28"/>
      <w:sz w:val="32"/>
      <w:szCs w:val="32"/>
    </w:rPr>
  </w:style>
  <w:style w:type="character" w:customStyle="1" w:styleId="78">
    <w:name w:val="脚注文本 字符"/>
    <w:link w:val="34"/>
    <w:autoRedefine/>
    <w:qFormat/>
    <w:uiPriority w:val="99"/>
    <w:rPr>
      <w:sz w:val="18"/>
      <w:szCs w:val="18"/>
    </w:rPr>
  </w:style>
  <w:style w:type="character" w:customStyle="1" w:styleId="79">
    <w:name w:val="正文文本缩进 3 字符"/>
    <w:link w:val="36"/>
    <w:autoRedefine/>
    <w:qFormat/>
    <w:uiPriority w:val="0"/>
    <w:rPr>
      <w:kern w:val="2"/>
      <w:sz w:val="16"/>
      <w:szCs w:val="16"/>
    </w:rPr>
  </w:style>
  <w:style w:type="character" w:customStyle="1" w:styleId="80">
    <w:name w:val="正文文本 2 字符"/>
    <w:link w:val="39"/>
    <w:autoRedefine/>
    <w:qFormat/>
    <w:uiPriority w:val="0"/>
    <w:rPr>
      <w:kern w:val="2"/>
      <w:sz w:val="21"/>
      <w:szCs w:val="24"/>
    </w:rPr>
  </w:style>
  <w:style w:type="character" w:customStyle="1" w:styleId="81">
    <w:name w:val="HTML 预设格式 字符"/>
    <w:link w:val="40"/>
    <w:autoRedefine/>
    <w:qFormat/>
    <w:uiPriority w:val="0"/>
    <w:rPr>
      <w:rFonts w:ascii="Arial" w:hAnsi="Arial" w:cs="Arial"/>
      <w:sz w:val="24"/>
      <w:szCs w:val="24"/>
    </w:rPr>
  </w:style>
  <w:style w:type="character" w:customStyle="1" w:styleId="82">
    <w:name w:val="标题 字符"/>
    <w:link w:val="43"/>
    <w:autoRedefine/>
    <w:qFormat/>
    <w:uiPriority w:val="99"/>
    <w:rPr>
      <w:rFonts w:ascii="Arial" w:hAnsi="Arial"/>
      <w:b/>
      <w:sz w:val="32"/>
    </w:rPr>
  </w:style>
  <w:style w:type="character" w:customStyle="1" w:styleId="83">
    <w:name w:val="批注主题 字符"/>
    <w:link w:val="44"/>
    <w:autoRedefine/>
    <w:semiHidden/>
    <w:qFormat/>
    <w:locked/>
    <w:uiPriority w:val="99"/>
    <w:rPr>
      <w:b/>
      <w:bCs/>
      <w:kern w:val="2"/>
      <w:sz w:val="21"/>
      <w:szCs w:val="24"/>
    </w:rPr>
  </w:style>
  <w:style w:type="character" w:customStyle="1" w:styleId="84">
    <w:name w:val="Plain Text Char"/>
    <w:autoRedefine/>
    <w:qFormat/>
    <w:uiPriority w:val="99"/>
    <w:rPr>
      <w:rFonts w:ascii="宋体" w:hAnsi="Courier New" w:eastAsia="宋体" w:cs="宋体"/>
      <w:sz w:val="24"/>
      <w:szCs w:val="24"/>
    </w:rPr>
  </w:style>
  <w:style w:type="character" w:customStyle="1" w:styleId="85">
    <w:name w:val="引用 Char1"/>
    <w:autoRedefine/>
    <w:qFormat/>
    <w:uiPriority w:val="99"/>
    <w:rPr>
      <w:rFonts w:ascii="Times New Roman" w:hAnsi="Times New Roman" w:eastAsia="宋体" w:cs="Times New Roman"/>
      <w:i/>
      <w:iCs/>
      <w:color w:val="000000"/>
      <w:sz w:val="24"/>
      <w:szCs w:val="24"/>
    </w:rPr>
  </w:style>
  <w:style w:type="character" w:customStyle="1" w:styleId="86">
    <w:name w:val="Heading 5 Char"/>
    <w:autoRedefine/>
    <w:qFormat/>
    <w:uiPriority w:val="99"/>
    <w:rPr>
      <w:rFonts w:eastAsia="宋体"/>
      <w:b/>
      <w:bCs/>
      <w:kern w:val="2"/>
      <w:sz w:val="28"/>
      <w:szCs w:val="28"/>
      <w:lang w:val="en-US" w:eastAsia="zh-CN"/>
    </w:rPr>
  </w:style>
  <w:style w:type="character" w:customStyle="1" w:styleId="87">
    <w:name w:val="10"/>
    <w:autoRedefine/>
    <w:qFormat/>
    <w:uiPriority w:val="0"/>
  </w:style>
  <w:style w:type="character" w:customStyle="1" w:styleId="88">
    <w:name w:val="cjn1"/>
    <w:autoRedefine/>
    <w:qFormat/>
    <w:uiPriority w:val="0"/>
    <w:rPr>
      <w:rFonts w:ascii="宋体" w:hAnsi="宋体" w:eastAsia="宋体"/>
      <w:spacing w:val="500"/>
      <w:sz w:val="22"/>
      <w:szCs w:val="22"/>
      <w:u w:val="none"/>
    </w:rPr>
  </w:style>
  <w:style w:type="character" w:customStyle="1" w:styleId="89">
    <w:name w:val="NormalCharacter"/>
    <w:autoRedefine/>
    <w:semiHidden/>
    <w:qFormat/>
    <w:uiPriority w:val="0"/>
  </w:style>
  <w:style w:type="character" w:customStyle="1" w:styleId="90">
    <w:name w:val="Footer Char"/>
    <w:autoRedefine/>
    <w:qFormat/>
    <w:uiPriority w:val="99"/>
    <w:rPr>
      <w:rFonts w:eastAsia="宋体"/>
      <w:kern w:val="2"/>
      <w:sz w:val="18"/>
      <w:szCs w:val="18"/>
      <w:lang w:val="en-US" w:eastAsia="zh-CN"/>
    </w:rPr>
  </w:style>
  <w:style w:type="character" w:customStyle="1" w:styleId="91">
    <w:name w:val="Comment Text Char"/>
    <w:autoRedefine/>
    <w:qFormat/>
    <w:uiPriority w:val="99"/>
    <w:rPr>
      <w:sz w:val="24"/>
      <w:szCs w:val="24"/>
    </w:rPr>
  </w:style>
  <w:style w:type="character" w:customStyle="1" w:styleId="92">
    <w:name w:val="Char Char20"/>
    <w:autoRedefine/>
    <w:qFormat/>
    <w:uiPriority w:val="99"/>
    <w:rPr>
      <w:rFonts w:ascii="Times New Roman" w:hAnsi="Times New Roman" w:eastAsia="宋体" w:cs="Times New Roman"/>
      <w:b/>
      <w:bCs/>
      <w:sz w:val="32"/>
      <w:szCs w:val="32"/>
    </w:rPr>
  </w:style>
  <w:style w:type="character" w:customStyle="1" w:styleId="93">
    <w:name w:val="Char Char18"/>
    <w:autoRedefine/>
    <w:qFormat/>
    <w:uiPriority w:val="99"/>
    <w:rPr>
      <w:rFonts w:ascii="Times New Roman" w:hAnsi="Times New Roman" w:eastAsia="宋体" w:cs="Times New Roman"/>
      <w:b/>
      <w:bCs/>
      <w:sz w:val="28"/>
      <w:szCs w:val="28"/>
    </w:rPr>
  </w:style>
  <w:style w:type="character" w:customStyle="1" w:styleId="94">
    <w:name w:val="Comment Text Char1"/>
    <w:autoRedefine/>
    <w:qFormat/>
    <w:uiPriority w:val="99"/>
    <w:rPr>
      <w:sz w:val="24"/>
      <w:szCs w:val="24"/>
    </w:rPr>
  </w:style>
  <w:style w:type="character" w:customStyle="1" w:styleId="95">
    <w:name w:val="textcontents"/>
    <w:autoRedefine/>
    <w:qFormat/>
    <w:uiPriority w:val="99"/>
  </w:style>
  <w:style w:type="character" w:customStyle="1" w:styleId="96">
    <w:name w:val="Char Char22"/>
    <w:autoRedefine/>
    <w:qFormat/>
    <w:uiPriority w:val="99"/>
    <w:rPr>
      <w:rFonts w:ascii="Times New Roman" w:hAnsi="Times New Roman" w:eastAsia="宋体" w:cs="Times New Roman"/>
      <w:b/>
      <w:bCs/>
      <w:kern w:val="44"/>
      <w:sz w:val="44"/>
      <w:szCs w:val="44"/>
    </w:rPr>
  </w:style>
  <w:style w:type="character" w:customStyle="1" w:styleId="97">
    <w:name w:val="Char Char181"/>
    <w:autoRedefine/>
    <w:qFormat/>
    <w:uiPriority w:val="99"/>
    <w:rPr>
      <w:b/>
      <w:bCs/>
      <w:kern w:val="44"/>
      <w:sz w:val="44"/>
      <w:szCs w:val="44"/>
    </w:rPr>
  </w:style>
  <w:style w:type="character" w:customStyle="1" w:styleId="98">
    <w:name w:val="Footnote Text Char"/>
    <w:autoRedefine/>
    <w:qFormat/>
    <w:uiPriority w:val="99"/>
    <w:rPr>
      <w:rFonts w:eastAsia="宋体"/>
      <w:sz w:val="18"/>
      <w:szCs w:val="18"/>
      <w:lang w:val="en-US" w:eastAsia="zh-CN"/>
    </w:rPr>
  </w:style>
  <w:style w:type="character" w:customStyle="1" w:styleId="99">
    <w:name w:val="批注文字 Char"/>
    <w:autoRedefine/>
    <w:qFormat/>
    <w:uiPriority w:val="0"/>
    <w:rPr>
      <w:kern w:val="2"/>
      <w:sz w:val="24"/>
      <w:szCs w:val="24"/>
    </w:rPr>
  </w:style>
  <w:style w:type="character" w:customStyle="1" w:styleId="100">
    <w:name w:val="Heading 4 Char"/>
    <w:autoRedefine/>
    <w:qFormat/>
    <w:uiPriority w:val="99"/>
    <w:rPr>
      <w:rFonts w:ascii="Arial" w:hAnsi="Arial" w:eastAsia="宋体" w:cs="Arial"/>
      <w:b/>
      <w:bCs/>
      <w:kern w:val="2"/>
      <w:sz w:val="28"/>
      <w:szCs w:val="28"/>
      <w:lang w:val="en-US" w:eastAsia="zh-CN"/>
    </w:rPr>
  </w:style>
  <w:style w:type="character" w:customStyle="1" w:styleId="101">
    <w:name w:val="批注框文本 Char1"/>
    <w:autoRedefine/>
    <w:qFormat/>
    <w:uiPriority w:val="99"/>
    <w:rPr>
      <w:rFonts w:ascii="Times New Roman" w:hAnsi="Times New Roman" w:eastAsia="宋体" w:cs="Times New Roman"/>
      <w:sz w:val="18"/>
      <w:szCs w:val="18"/>
    </w:rPr>
  </w:style>
  <w:style w:type="character" w:customStyle="1" w:styleId="102">
    <w:name w:val="Title Char"/>
    <w:autoRedefine/>
    <w:qFormat/>
    <w:uiPriority w:val="99"/>
    <w:rPr>
      <w:rFonts w:ascii="Cambria" w:hAnsi="Cambria" w:cs="Cambria"/>
      <w:b/>
      <w:bCs/>
      <w:sz w:val="32"/>
      <w:szCs w:val="32"/>
    </w:rPr>
  </w:style>
  <w:style w:type="character" w:customStyle="1" w:styleId="103">
    <w:name w:val="font161"/>
    <w:autoRedefine/>
    <w:qFormat/>
    <w:uiPriority w:val="0"/>
    <w:rPr>
      <w:rFonts w:ascii="Arial" w:hAnsi="Arial" w:eastAsia="黑体"/>
      <w:b/>
      <w:bCs/>
      <w:kern w:val="2"/>
      <w:sz w:val="32"/>
      <w:szCs w:val="32"/>
      <w:lang w:val="en-US" w:eastAsia="zh-CN" w:bidi="ar-SA"/>
    </w:rPr>
  </w:style>
  <w:style w:type="character" w:customStyle="1" w:styleId="104">
    <w:name w:val="明显引用 Char"/>
    <w:link w:val="105"/>
    <w:autoRedefine/>
    <w:qFormat/>
    <w:locked/>
    <w:uiPriority w:val="99"/>
    <w:rPr>
      <w:b/>
      <w:bCs/>
      <w:i/>
      <w:iCs/>
      <w:color w:val="4F81BD"/>
    </w:rPr>
  </w:style>
  <w:style w:type="paragraph" w:customStyle="1" w:styleId="105">
    <w:name w:val="明显引用1"/>
    <w:basedOn w:val="1"/>
    <w:next w:val="1"/>
    <w:link w:val="104"/>
    <w:autoRedefine/>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06">
    <w:name w:val="Header Char"/>
    <w:autoRedefine/>
    <w:qFormat/>
    <w:uiPriority w:val="99"/>
    <w:rPr>
      <w:rFonts w:eastAsia="宋体"/>
      <w:kern w:val="2"/>
      <w:sz w:val="18"/>
      <w:szCs w:val="18"/>
      <w:lang w:val="en-US" w:eastAsia="zh-CN"/>
    </w:rPr>
  </w:style>
  <w:style w:type="character" w:customStyle="1" w:styleId="107">
    <w:name w:val="Heading 3 Char"/>
    <w:autoRedefine/>
    <w:qFormat/>
    <w:uiPriority w:val="99"/>
    <w:rPr>
      <w:b/>
      <w:bCs/>
      <w:kern w:val="2"/>
      <w:sz w:val="32"/>
      <w:szCs w:val="32"/>
    </w:rPr>
  </w:style>
  <w:style w:type="character" w:customStyle="1" w:styleId="108">
    <w:name w:val="Heading 1 Char"/>
    <w:autoRedefine/>
    <w:qFormat/>
    <w:uiPriority w:val="99"/>
    <w:rPr>
      <w:rFonts w:eastAsia="宋体"/>
      <w:b/>
      <w:bCs/>
      <w:kern w:val="44"/>
      <w:sz w:val="44"/>
      <w:szCs w:val="44"/>
      <w:lang w:val="en-US" w:eastAsia="zh-CN"/>
    </w:rPr>
  </w:style>
  <w:style w:type="character" w:customStyle="1" w:styleId="109">
    <w:name w:val="标题 Char2"/>
    <w:autoRedefine/>
    <w:qFormat/>
    <w:uiPriority w:val="99"/>
    <w:rPr>
      <w:rFonts w:ascii="Cambria" w:hAnsi="Cambria" w:eastAsia="宋体" w:cs="Cambria"/>
      <w:b/>
      <w:bCs/>
      <w:sz w:val="32"/>
      <w:szCs w:val="32"/>
    </w:rPr>
  </w:style>
  <w:style w:type="character" w:customStyle="1" w:styleId="110">
    <w:name w:val="标题4 Char Char"/>
    <w:link w:val="111"/>
    <w:autoRedefine/>
    <w:qFormat/>
    <w:locked/>
    <w:uiPriority w:val="99"/>
    <w:rPr>
      <w:rFonts w:ascii="Arial" w:hAnsi="Arial" w:cs="Arial"/>
      <w:b/>
      <w:bCs/>
      <w:sz w:val="32"/>
      <w:szCs w:val="32"/>
    </w:rPr>
  </w:style>
  <w:style w:type="paragraph" w:customStyle="1" w:styleId="111">
    <w:name w:val="标题4"/>
    <w:basedOn w:val="4"/>
    <w:next w:val="21"/>
    <w:link w:val="110"/>
    <w:autoRedefine/>
    <w:qFormat/>
    <w:uiPriority w:val="99"/>
    <w:pPr>
      <w:spacing w:before="60" w:after="60" w:line="413" w:lineRule="auto"/>
    </w:pPr>
    <w:rPr>
      <w:rFonts w:eastAsia="宋体"/>
      <w:kern w:val="0"/>
    </w:rPr>
  </w:style>
  <w:style w:type="character" w:customStyle="1" w:styleId="112">
    <w:name w:val="标题 3 Char"/>
    <w:autoRedefine/>
    <w:qFormat/>
    <w:uiPriority w:val="99"/>
    <w:rPr>
      <w:rFonts w:ascii="宋体" w:eastAsia="宋体"/>
      <w:b/>
      <w:bCs/>
      <w:kern w:val="2"/>
      <w:sz w:val="24"/>
      <w:szCs w:val="24"/>
      <w:lang w:val="en-US" w:eastAsia="zh-CN" w:bidi="ar-SA"/>
    </w:rPr>
  </w:style>
  <w:style w:type="character" w:customStyle="1" w:styleId="113">
    <w:name w:val="明显强调1"/>
    <w:autoRedefine/>
    <w:qFormat/>
    <w:uiPriority w:val="99"/>
    <w:rPr>
      <w:b/>
      <w:bCs/>
      <w:i/>
      <w:iCs/>
      <w:color w:val="4F81BD"/>
    </w:rPr>
  </w:style>
  <w:style w:type="character" w:customStyle="1" w:styleId="114">
    <w:name w:val="正文文本 Char1"/>
    <w:autoRedefine/>
    <w:qFormat/>
    <w:uiPriority w:val="99"/>
    <w:rPr>
      <w:kern w:val="2"/>
      <w:sz w:val="22"/>
      <w:szCs w:val="22"/>
    </w:rPr>
  </w:style>
  <w:style w:type="character" w:customStyle="1" w:styleId="115">
    <w:name w:val="日期 Char1"/>
    <w:autoRedefine/>
    <w:qFormat/>
    <w:uiPriority w:val="99"/>
    <w:rPr>
      <w:rFonts w:ascii="Times New Roman" w:hAnsi="Times New Roman" w:eastAsia="宋体" w:cs="Times New Roman"/>
      <w:sz w:val="24"/>
      <w:szCs w:val="24"/>
    </w:rPr>
  </w:style>
  <w:style w:type="character" w:customStyle="1" w:styleId="116">
    <w:name w:val="普通文字 Char Char1"/>
    <w:autoRedefine/>
    <w:semiHidden/>
    <w:qFormat/>
    <w:uiPriority w:val="0"/>
    <w:rPr>
      <w:rFonts w:ascii="宋体" w:hAnsi="Courier New" w:eastAsia="宋体"/>
      <w:kern w:val="2"/>
      <w:sz w:val="21"/>
      <w:lang w:val="en-US" w:eastAsia="zh-CN" w:bidi="ar-SA"/>
    </w:rPr>
  </w:style>
  <w:style w:type="character" w:customStyle="1" w:styleId="117">
    <w:name w:val="col-icon8"/>
    <w:autoRedefine/>
    <w:qFormat/>
    <w:uiPriority w:val="0"/>
    <w:rPr>
      <w:shd w:val="clear" w:color="auto" w:fill="FFFFFF"/>
    </w:rPr>
  </w:style>
  <w:style w:type="character" w:customStyle="1" w:styleId="118">
    <w:name w:val="不明显强调1"/>
    <w:autoRedefine/>
    <w:qFormat/>
    <w:uiPriority w:val="99"/>
    <w:rPr>
      <w:i/>
      <w:iCs/>
      <w:color w:val="808080"/>
    </w:rPr>
  </w:style>
  <w:style w:type="character" w:customStyle="1" w:styleId="119">
    <w:name w:val="Char Char21"/>
    <w:autoRedefine/>
    <w:qFormat/>
    <w:uiPriority w:val="99"/>
    <w:rPr>
      <w:rFonts w:ascii="Arial" w:hAnsi="Arial" w:eastAsia="黑体" w:cs="Arial"/>
      <w:b/>
      <w:bCs/>
      <w:sz w:val="32"/>
      <w:szCs w:val="32"/>
    </w:rPr>
  </w:style>
  <w:style w:type="character" w:customStyle="1" w:styleId="120">
    <w:name w:val="Comment Subject Char"/>
    <w:autoRedefine/>
    <w:qFormat/>
    <w:uiPriority w:val="99"/>
    <w:rPr>
      <w:b/>
      <w:bCs/>
      <w:sz w:val="24"/>
      <w:szCs w:val="24"/>
    </w:rPr>
  </w:style>
  <w:style w:type="character" w:customStyle="1" w:styleId="121">
    <w:name w:val="Char Char"/>
    <w:autoRedefine/>
    <w:qFormat/>
    <w:uiPriority w:val="0"/>
    <w:rPr>
      <w:rFonts w:ascii="Arial" w:hAnsi="Arial" w:eastAsia="黑体"/>
      <w:b/>
      <w:bCs/>
      <w:kern w:val="2"/>
      <w:sz w:val="32"/>
      <w:szCs w:val="32"/>
      <w:lang w:val="en-US" w:eastAsia="zh-CN" w:bidi="ar-SA"/>
    </w:rPr>
  </w:style>
  <w:style w:type="character" w:customStyle="1" w:styleId="122">
    <w:name w:val="批注主题 Char1"/>
    <w:autoRedefine/>
    <w:qFormat/>
    <w:uiPriority w:val="99"/>
    <w:rPr>
      <w:rFonts w:ascii="Times New Roman" w:hAnsi="Times New Roman" w:eastAsia="宋体" w:cs="Times New Roman"/>
      <w:b/>
      <w:bCs/>
      <w:sz w:val="24"/>
      <w:szCs w:val="24"/>
    </w:rPr>
  </w:style>
  <w:style w:type="character" w:customStyle="1" w:styleId="123">
    <w:name w:val="Char Char9"/>
    <w:autoRedefine/>
    <w:qFormat/>
    <w:uiPriority w:val="99"/>
    <w:rPr>
      <w:rFonts w:eastAsia="宋体"/>
      <w:b/>
      <w:bCs/>
      <w:kern w:val="44"/>
      <w:sz w:val="44"/>
      <w:szCs w:val="44"/>
      <w:lang w:val="en-US" w:eastAsia="zh-CN"/>
    </w:rPr>
  </w:style>
  <w:style w:type="character" w:customStyle="1" w:styleId="124">
    <w:name w:val="Char Char6"/>
    <w:autoRedefine/>
    <w:qFormat/>
    <w:uiPriority w:val="99"/>
    <w:rPr>
      <w:rFonts w:eastAsia="宋体"/>
      <w:b/>
      <w:bCs/>
      <w:kern w:val="44"/>
      <w:sz w:val="44"/>
      <w:szCs w:val="44"/>
      <w:lang w:val="en-US" w:eastAsia="zh-CN"/>
    </w:rPr>
  </w:style>
  <w:style w:type="character" w:customStyle="1" w:styleId="125">
    <w:name w:val="纯文本 Char2"/>
    <w:autoRedefine/>
    <w:qFormat/>
    <w:uiPriority w:val="0"/>
    <w:rPr>
      <w:rFonts w:ascii="宋体" w:hAnsi="Courier New" w:cs="Courier New"/>
      <w:kern w:val="2"/>
      <w:sz w:val="21"/>
      <w:szCs w:val="21"/>
    </w:rPr>
  </w:style>
  <w:style w:type="character" w:customStyle="1" w:styleId="126">
    <w:name w:val="正文文本 Char"/>
    <w:autoRedefine/>
    <w:qFormat/>
    <w:uiPriority w:val="99"/>
    <w:rPr>
      <w:rFonts w:eastAsia="宋体"/>
      <w:kern w:val="2"/>
      <w:sz w:val="28"/>
      <w:lang w:val="en-US" w:eastAsia="zh-CN" w:bidi="ar-SA"/>
    </w:rPr>
  </w:style>
  <w:style w:type="character" w:customStyle="1" w:styleId="127">
    <w:name w:val="不明显参考1"/>
    <w:autoRedefine/>
    <w:qFormat/>
    <w:uiPriority w:val="99"/>
    <w:rPr>
      <w:smallCaps/>
      <w:color w:val="auto"/>
      <w:u w:val="single"/>
    </w:rPr>
  </w:style>
  <w:style w:type="character" w:customStyle="1" w:styleId="128">
    <w:name w:val="书籍标题1"/>
    <w:autoRedefine/>
    <w:qFormat/>
    <w:uiPriority w:val="99"/>
    <w:rPr>
      <w:b/>
      <w:bCs/>
      <w:smallCaps/>
      <w:spacing w:val="5"/>
    </w:rPr>
  </w:style>
  <w:style w:type="character" w:customStyle="1" w:styleId="129">
    <w:name w:val="Document Map Char"/>
    <w:autoRedefine/>
    <w:qFormat/>
    <w:uiPriority w:val="99"/>
    <w:rPr>
      <w:rFonts w:eastAsia="宋体"/>
      <w:kern w:val="2"/>
      <w:sz w:val="24"/>
      <w:szCs w:val="24"/>
      <w:lang w:val="en-US" w:eastAsia="zh-CN"/>
    </w:rPr>
  </w:style>
  <w:style w:type="character" w:customStyle="1" w:styleId="130">
    <w:name w:val="Balloon Text Char"/>
    <w:autoRedefine/>
    <w:qFormat/>
    <w:uiPriority w:val="99"/>
    <w:rPr>
      <w:sz w:val="18"/>
      <w:szCs w:val="18"/>
    </w:rPr>
  </w:style>
  <w:style w:type="character" w:customStyle="1" w:styleId="131">
    <w:name w:val="明显参考1"/>
    <w:autoRedefine/>
    <w:qFormat/>
    <w:uiPriority w:val="99"/>
    <w:rPr>
      <w:b/>
      <w:bCs/>
      <w:smallCaps/>
      <w:color w:val="auto"/>
      <w:spacing w:val="5"/>
      <w:u w:val="single"/>
    </w:rPr>
  </w:style>
  <w:style w:type="character" w:customStyle="1" w:styleId="132">
    <w:name w:val="纯文本 Char1"/>
    <w:autoRedefine/>
    <w:qFormat/>
    <w:uiPriority w:val="0"/>
    <w:rPr>
      <w:rFonts w:ascii="宋体" w:hAnsi="Courier New" w:eastAsia="宋体"/>
      <w:b/>
      <w:bCs/>
      <w:kern w:val="2"/>
      <w:sz w:val="21"/>
      <w:szCs w:val="32"/>
      <w:lang w:val="en-US" w:eastAsia="zh-CN" w:bidi="ar-SA"/>
    </w:rPr>
  </w:style>
  <w:style w:type="character" w:customStyle="1" w:styleId="133">
    <w:name w:val="Body Text Indent Char"/>
    <w:autoRedefine/>
    <w:qFormat/>
    <w:uiPriority w:val="99"/>
    <w:rPr>
      <w:rFonts w:ascii="宋体" w:hAnsi="宋体" w:eastAsia="宋体" w:cs="宋体"/>
      <w:kern w:val="2"/>
      <w:sz w:val="21"/>
      <w:szCs w:val="21"/>
      <w:lang w:val="en-US" w:eastAsia="zh-CN"/>
    </w:rPr>
  </w:style>
  <w:style w:type="character" w:customStyle="1" w:styleId="134">
    <w:name w:val="标题 1 Char"/>
    <w:autoRedefine/>
    <w:qFormat/>
    <w:uiPriority w:val="99"/>
    <w:rPr>
      <w:rFonts w:eastAsia="宋体"/>
      <w:b/>
      <w:bCs/>
      <w:kern w:val="44"/>
      <w:sz w:val="44"/>
      <w:szCs w:val="44"/>
      <w:lang w:val="en-US" w:eastAsia="zh-CN" w:bidi="ar-SA"/>
    </w:rPr>
  </w:style>
  <w:style w:type="character" w:customStyle="1" w:styleId="135">
    <w:name w:val="列表段落 字符"/>
    <w:link w:val="136"/>
    <w:autoRedefine/>
    <w:qFormat/>
    <w:uiPriority w:val="0"/>
    <w:rPr>
      <w:rFonts w:ascii="Calibri" w:hAnsi="Calibri"/>
      <w:kern w:val="2"/>
      <w:sz w:val="21"/>
      <w:szCs w:val="22"/>
    </w:rPr>
  </w:style>
  <w:style w:type="paragraph" w:styleId="136">
    <w:name w:val="List Paragraph"/>
    <w:basedOn w:val="1"/>
    <w:link w:val="135"/>
    <w:autoRedefine/>
    <w:qFormat/>
    <w:uiPriority w:val="0"/>
    <w:pPr>
      <w:ind w:firstLine="420" w:firstLineChars="200"/>
    </w:pPr>
    <w:rPr>
      <w:rFonts w:ascii="Calibri" w:hAnsi="Calibri"/>
      <w:szCs w:val="22"/>
    </w:rPr>
  </w:style>
  <w:style w:type="character" w:customStyle="1" w:styleId="137">
    <w:name w:val="文档结构图 Char1"/>
    <w:autoRedefine/>
    <w:qFormat/>
    <w:uiPriority w:val="99"/>
    <w:rPr>
      <w:rFonts w:ascii="宋体" w:hAnsi="Times New Roman" w:eastAsia="宋体" w:cs="宋体"/>
      <w:sz w:val="18"/>
      <w:szCs w:val="18"/>
    </w:rPr>
  </w:style>
  <w:style w:type="character" w:customStyle="1" w:styleId="138">
    <w:name w:val="批注文字 Char Char"/>
    <w:autoRedefine/>
    <w:qFormat/>
    <w:uiPriority w:val="99"/>
    <w:rPr>
      <w:rFonts w:ascii="宋体" w:hAnsi="Times New Roman" w:eastAsia="宋体" w:cs="宋体"/>
      <w:sz w:val="20"/>
      <w:szCs w:val="20"/>
    </w:rPr>
  </w:style>
  <w:style w:type="character" w:customStyle="1" w:styleId="139">
    <w:name w:val="Body Text Indent 2 Char"/>
    <w:autoRedefine/>
    <w:qFormat/>
    <w:uiPriority w:val="99"/>
    <w:rPr>
      <w:rFonts w:eastAsia="宋体"/>
      <w:kern w:val="2"/>
      <w:sz w:val="24"/>
      <w:szCs w:val="24"/>
      <w:lang w:val="en-US" w:eastAsia="zh-CN"/>
    </w:rPr>
  </w:style>
  <w:style w:type="character" w:customStyle="1" w:styleId="140">
    <w:name w:val="Char Char23"/>
    <w:autoRedefine/>
    <w:qFormat/>
    <w:uiPriority w:val="99"/>
    <w:rPr>
      <w:rFonts w:eastAsia="宋体"/>
      <w:b/>
      <w:bCs/>
      <w:kern w:val="44"/>
      <w:sz w:val="44"/>
      <w:szCs w:val="44"/>
      <w:lang w:val="en-US" w:eastAsia="zh-CN"/>
    </w:rPr>
  </w:style>
  <w:style w:type="character" w:customStyle="1" w:styleId="141">
    <w:name w:val="批注文字 Char1"/>
    <w:autoRedefine/>
    <w:qFormat/>
    <w:uiPriority w:val="99"/>
    <w:rPr>
      <w:rFonts w:ascii="Times New Roman" w:hAnsi="Times New Roman" w:eastAsia="宋体" w:cs="Times New Roman"/>
      <w:sz w:val="24"/>
      <w:szCs w:val="24"/>
    </w:rPr>
  </w:style>
  <w:style w:type="character" w:customStyle="1" w:styleId="142">
    <w:name w:val="引用 Char"/>
    <w:link w:val="143"/>
    <w:autoRedefine/>
    <w:qFormat/>
    <w:locked/>
    <w:uiPriority w:val="99"/>
    <w:rPr>
      <w:i/>
      <w:iCs/>
      <w:color w:val="000000"/>
    </w:rPr>
  </w:style>
  <w:style w:type="paragraph" w:customStyle="1" w:styleId="143">
    <w:name w:val="引用1"/>
    <w:basedOn w:val="1"/>
    <w:next w:val="1"/>
    <w:link w:val="142"/>
    <w:autoRedefine/>
    <w:qFormat/>
    <w:uiPriority w:val="99"/>
    <w:rPr>
      <w:i/>
      <w:iCs/>
      <w:color w:val="000000"/>
      <w:kern w:val="0"/>
      <w:sz w:val="20"/>
      <w:szCs w:val="20"/>
    </w:rPr>
  </w:style>
  <w:style w:type="character" w:customStyle="1" w:styleId="144">
    <w:name w:val="Date Char"/>
    <w:autoRedefine/>
    <w:qFormat/>
    <w:uiPriority w:val="99"/>
    <w:rPr>
      <w:rFonts w:eastAsia="宋体"/>
      <w:kern w:val="2"/>
      <w:sz w:val="24"/>
      <w:szCs w:val="24"/>
      <w:lang w:val="en-US" w:eastAsia="zh-CN"/>
    </w:rPr>
  </w:style>
  <w:style w:type="character" w:customStyle="1" w:styleId="145">
    <w:name w:val="Heading 2 Char"/>
    <w:autoRedefine/>
    <w:qFormat/>
    <w:uiPriority w:val="99"/>
    <w:rPr>
      <w:rFonts w:ascii="Arial" w:hAnsi="Arial" w:eastAsia="黑体" w:cs="Arial"/>
      <w:b/>
      <w:bCs/>
      <w:kern w:val="2"/>
      <w:sz w:val="32"/>
      <w:szCs w:val="32"/>
      <w:lang w:val="en-US" w:eastAsia="zh-CN"/>
    </w:rPr>
  </w:style>
  <w:style w:type="character" w:customStyle="1" w:styleId="146">
    <w:name w:val="正文文本 3 Char1"/>
    <w:autoRedefine/>
    <w:qFormat/>
    <w:uiPriority w:val="0"/>
    <w:rPr>
      <w:kern w:val="2"/>
      <w:sz w:val="16"/>
      <w:szCs w:val="16"/>
    </w:rPr>
  </w:style>
  <w:style w:type="character" w:customStyle="1" w:styleId="147">
    <w:name w:val="Char Char19"/>
    <w:autoRedefine/>
    <w:qFormat/>
    <w:uiPriority w:val="99"/>
    <w:rPr>
      <w:rFonts w:ascii="Arial" w:hAnsi="Arial" w:eastAsia="宋体" w:cs="Arial"/>
      <w:b/>
      <w:bCs/>
      <w:sz w:val="28"/>
      <w:szCs w:val="28"/>
    </w:rPr>
  </w:style>
  <w:style w:type="character" w:customStyle="1" w:styleId="148">
    <w:name w:val="font5 Char"/>
    <w:autoRedefine/>
    <w:qFormat/>
    <w:uiPriority w:val="0"/>
    <w:rPr>
      <w:rFonts w:ascii="宋体" w:hAnsi="宋体" w:eastAsia="宋体"/>
      <w:sz w:val="24"/>
      <w:szCs w:val="24"/>
      <w:lang w:val="en-US" w:eastAsia="zh-CN" w:bidi="ar-SA"/>
    </w:rPr>
  </w:style>
  <w:style w:type="character" w:customStyle="1" w:styleId="149">
    <w:name w:val="标题5 Char Char"/>
    <w:link w:val="150"/>
    <w:autoRedefine/>
    <w:qFormat/>
    <w:locked/>
    <w:uiPriority w:val="99"/>
    <w:rPr>
      <w:rFonts w:ascii="Arial" w:hAnsi="Arial" w:cs="Arial"/>
      <w:b/>
      <w:bCs/>
      <w:sz w:val="32"/>
      <w:szCs w:val="32"/>
    </w:rPr>
  </w:style>
  <w:style w:type="paragraph" w:customStyle="1" w:styleId="150">
    <w:name w:val="标题5"/>
    <w:basedOn w:val="5"/>
    <w:link w:val="149"/>
    <w:autoRedefine/>
    <w:qFormat/>
    <w:uiPriority w:val="99"/>
    <w:pPr>
      <w:spacing w:line="413" w:lineRule="auto"/>
    </w:pPr>
    <w:rPr>
      <w:rFonts w:ascii="Arial" w:hAnsi="Arial"/>
      <w:kern w:val="0"/>
    </w:rPr>
  </w:style>
  <w:style w:type="character" w:customStyle="1" w:styleId="151">
    <w:name w:val="Char Char24"/>
    <w:autoRedefine/>
    <w:qFormat/>
    <w:uiPriority w:val="99"/>
    <w:rPr>
      <w:rFonts w:eastAsia="宋体"/>
      <w:b/>
      <w:bCs/>
      <w:kern w:val="44"/>
      <w:sz w:val="44"/>
      <w:szCs w:val="44"/>
      <w:lang w:val="en-US" w:eastAsia="zh-CN"/>
    </w:rPr>
  </w:style>
  <w:style w:type="character" w:customStyle="1" w:styleId="152">
    <w:name w:val="Heading 3 Char1"/>
    <w:autoRedefine/>
    <w:qFormat/>
    <w:uiPriority w:val="99"/>
    <w:rPr>
      <w:rFonts w:eastAsia="宋体"/>
      <w:b/>
      <w:bCs/>
      <w:kern w:val="2"/>
      <w:sz w:val="32"/>
      <w:szCs w:val="32"/>
      <w:lang w:val="en-US" w:eastAsia="zh-CN"/>
    </w:rPr>
  </w:style>
  <w:style w:type="character" w:customStyle="1" w:styleId="153">
    <w:name w:val="标题 Char1"/>
    <w:autoRedefine/>
    <w:qFormat/>
    <w:uiPriority w:val="99"/>
    <w:rPr>
      <w:rFonts w:ascii="Cambria" w:hAnsi="Cambria" w:eastAsia="宋体" w:cs="Cambria"/>
      <w:b/>
      <w:bCs/>
      <w:sz w:val="32"/>
      <w:szCs w:val="32"/>
    </w:rPr>
  </w:style>
  <w:style w:type="character" w:customStyle="1" w:styleId="154">
    <w:name w:val="明显引用 Char1"/>
    <w:autoRedefine/>
    <w:qFormat/>
    <w:uiPriority w:val="99"/>
    <w:rPr>
      <w:rFonts w:ascii="Times New Roman" w:hAnsi="Times New Roman" w:eastAsia="宋体" w:cs="Times New Roman"/>
      <w:b/>
      <w:bCs/>
      <w:i/>
      <w:iCs/>
      <w:color w:val="4F81BD"/>
      <w:sz w:val="24"/>
      <w:szCs w:val="24"/>
    </w:rPr>
  </w:style>
  <w:style w:type="character" w:customStyle="1" w:styleId="155">
    <w:name w:val="Char Char91"/>
    <w:autoRedefine/>
    <w:qFormat/>
    <w:uiPriority w:val="99"/>
    <w:rPr>
      <w:rFonts w:eastAsia="宋体"/>
      <w:b/>
      <w:bCs/>
      <w:kern w:val="44"/>
      <w:sz w:val="44"/>
      <w:szCs w:val="44"/>
      <w:lang w:val="en-US" w:eastAsia="zh-CN"/>
    </w:rPr>
  </w:style>
  <w:style w:type="paragraph" w:customStyle="1" w:styleId="156">
    <w:name w:val="表头"/>
    <w:basedOn w:val="1"/>
    <w:autoRedefine/>
    <w:qFormat/>
    <w:uiPriority w:val="0"/>
    <w:pPr>
      <w:spacing w:line="300" w:lineRule="auto"/>
      <w:jc w:val="center"/>
    </w:pPr>
    <w:rPr>
      <w:rFonts w:eastAsia="黑体" w:cs="华文细黑"/>
      <w:color w:val="000000"/>
    </w:rPr>
  </w:style>
  <w:style w:type="paragraph" w:customStyle="1" w:styleId="157">
    <w:name w:val="Char Char Char Char Char Char Char"/>
    <w:basedOn w:val="1"/>
    <w:autoRedefine/>
    <w:qFormat/>
    <w:uiPriority w:val="0"/>
  </w:style>
  <w:style w:type="paragraph" w:customStyle="1" w:styleId="158">
    <w:name w:val="Normal_0"/>
    <w:basedOn w:val="159"/>
    <w:autoRedefine/>
    <w:qFormat/>
    <w:uiPriority w:val="0"/>
    <w:pPr>
      <w:widowControl/>
      <w:spacing w:line="384" w:lineRule="auto"/>
      <w:jc w:val="left"/>
    </w:pPr>
    <w:rPr>
      <w:rFonts w:ascii="宋体" w:hAnsi="宋体" w:cs="宋体"/>
      <w:kern w:val="0"/>
      <w:sz w:val="24"/>
      <w:szCs w:val="24"/>
    </w:rPr>
  </w:style>
  <w:style w:type="paragraph" w:customStyle="1" w:styleId="159">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0">
    <w:name w:val="xl34"/>
    <w:basedOn w:val="1"/>
    <w:autoRedefine/>
    <w:qFormat/>
    <w:uiPriority w:val="0"/>
    <w:pPr>
      <w:widowControl/>
      <w:pBdr>
        <w:left w:val="single" w:color="auto" w:sz="4" w:space="0"/>
        <w:right w:val="single" w:color="auto" w:sz="4" w:space="0"/>
      </w:pBdr>
      <w:spacing w:before="100" w:after="100"/>
      <w:jc w:val="center"/>
    </w:pPr>
    <w:rPr>
      <w:rFonts w:ascii="宋体" w:hAnsi="宋体"/>
      <w:kern w:val="0"/>
      <w:sz w:val="24"/>
      <w:szCs w:val="20"/>
    </w:rPr>
  </w:style>
  <w:style w:type="paragraph" w:customStyle="1" w:styleId="161">
    <w:name w:val="样式1"/>
    <w:basedOn w:val="1"/>
    <w:next w:val="6"/>
    <w:autoRedefine/>
    <w:qFormat/>
    <w:uiPriority w:val="99"/>
    <w:pPr>
      <w:spacing w:line="360" w:lineRule="auto"/>
      <w:ind w:firstLine="420" w:firstLineChars="200"/>
    </w:pPr>
    <w:rPr>
      <w:rFonts w:ascii="宋体" w:hAnsi="宋体" w:cs="宋体"/>
      <w:szCs w:val="21"/>
    </w:rPr>
  </w:style>
  <w:style w:type="paragraph" w:customStyle="1" w:styleId="162">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163">
    <w:name w:val="z-窗体顶端1"/>
    <w:basedOn w:val="1"/>
    <w:next w:val="1"/>
    <w:autoRedefine/>
    <w:qFormat/>
    <w:uiPriority w:val="0"/>
    <w:pPr>
      <w:widowControl/>
      <w:pBdr>
        <w:bottom w:val="single" w:color="auto" w:sz="6" w:space="1"/>
      </w:pBdr>
      <w:jc w:val="center"/>
    </w:pPr>
    <w:rPr>
      <w:rFonts w:ascii="Arial" w:hAnsi="Arial" w:cs="Arial"/>
      <w:vanish/>
      <w:color w:val="000000"/>
      <w:kern w:val="0"/>
      <w:sz w:val="16"/>
      <w:szCs w:val="16"/>
    </w:rPr>
  </w:style>
  <w:style w:type="paragraph" w:customStyle="1" w:styleId="164">
    <w:name w:val="空半行"/>
    <w:basedOn w:val="1"/>
    <w:autoRedefine/>
    <w:qFormat/>
    <w:uiPriority w:val="99"/>
    <w:pPr>
      <w:adjustRightInd w:val="0"/>
      <w:spacing w:line="120" w:lineRule="exact"/>
      <w:textAlignment w:val="baseline"/>
    </w:pPr>
    <w:rPr>
      <w:rFonts w:eastAsia="仿宋_GB2312"/>
      <w:color w:val="FFFFFF"/>
      <w:kern w:val="0"/>
      <w:sz w:val="30"/>
      <w:szCs w:val="30"/>
    </w:rPr>
  </w:style>
  <w:style w:type="paragraph" w:customStyle="1" w:styleId="165">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66">
    <w:name w:val="font0"/>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167">
    <w:name w:val="2-2ji"/>
    <w:basedOn w:val="4"/>
    <w:autoRedefine/>
    <w:qFormat/>
    <w:uiPriority w:val="99"/>
    <w:pPr>
      <w:spacing w:before="0" w:after="0" w:line="360" w:lineRule="auto"/>
      <w:jc w:val="center"/>
    </w:pPr>
    <w:rPr>
      <w:rFonts w:ascii="宋体" w:hAnsi="宋体" w:eastAsia="宋体" w:cs="宋体"/>
      <w:sz w:val="36"/>
      <w:szCs w:val="36"/>
      <w:lang w:val="zh-CN"/>
    </w:rPr>
  </w:style>
  <w:style w:type="paragraph" w:customStyle="1" w:styleId="168">
    <w:name w:val="Char Char Char2 Char"/>
    <w:basedOn w:val="1"/>
    <w:autoRedefine/>
    <w:qFormat/>
    <w:uiPriority w:val="0"/>
    <w:pPr>
      <w:tabs>
        <w:tab w:val="left" w:pos="815"/>
      </w:tabs>
      <w:ind w:left="815" w:hanging="360"/>
    </w:pPr>
  </w:style>
  <w:style w:type="paragraph" w:customStyle="1" w:styleId="169">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170">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171">
    <w:name w:val="Char Char Char Char"/>
    <w:basedOn w:val="1"/>
    <w:autoRedefine/>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72">
    <w:name w:val="head4"/>
    <w:basedOn w:val="1"/>
    <w:autoRedefine/>
    <w:qFormat/>
    <w:uiPriority w:val="0"/>
    <w:pPr>
      <w:widowControl/>
      <w:overflowPunct w:val="0"/>
      <w:autoSpaceDE w:val="0"/>
      <w:autoSpaceDN w:val="0"/>
      <w:adjustRightInd w:val="0"/>
      <w:spacing w:before="120" w:line="360" w:lineRule="auto"/>
      <w:textAlignment w:val="baseline"/>
    </w:pPr>
    <w:rPr>
      <w:rFonts w:ascii="¿¬Ìå" w:hAnsi="¿¬Ìå"/>
      <w:kern w:val="0"/>
      <w:sz w:val="24"/>
    </w:rPr>
  </w:style>
  <w:style w:type="paragraph" w:customStyle="1" w:styleId="173">
    <w:name w:val="简单回函地址"/>
    <w:basedOn w:val="1"/>
    <w:autoRedefine/>
    <w:qFormat/>
    <w:uiPriority w:val="0"/>
    <w:rPr>
      <w:rFonts w:ascii="仿宋_GB2312" w:hAnsi="宋体" w:eastAsia="仿宋_GB2312"/>
      <w:bCs/>
      <w:sz w:val="30"/>
      <w:szCs w:val="20"/>
    </w:rPr>
  </w:style>
  <w:style w:type="paragraph" w:customStyle="1" w:styleId="174">
    <w:name w:val="TOC 标题1"/>
    <w:basedOn w:val="3"/>
    <w:next w:val="1"/>
    <w:autoRedefine/>
    <w:qFormat/>
    <w:uiPriority w:val="99"/>
    <w:pPr>
      <w:spacing w:line="576" w:lineRule="auto"/>
      <w:outlineLvl w:val="9"/>
    </w:pPr>
    <w:rPr>
      <w:rFonts w:ascii="Calibri" w:hAnsi="Calibri" w:eastAsia="黑体" w:cs="Calibri"/>
      <w:lang w:val="zh-CN"/>
    </w:rPr>
  </w:style>
  <w:style w:type="paragraph" w:customStyle="1" w:styleId="175">
    <w:name w:val="font7"/>
    <w:basedOn w:val="1"/>
    <w:autoRedefine/>
    <w:qFormat/>
    <w:uiPriority w:val="0"/>
    <w:pPr>
      <w:widowControl/>
      <w:spacing w:before="100" w:beforeAutospacing="1" w:after="100" w:afterAutospacing="1"/>
      <w:jc w:val="left"/>
    </w:pPr>
    <w:rPr>
      <w:rFonts w:hint="eastAsia" w:ascii="宋体" w:hAnsi="宋体"/>
      <w:kern w:val="0"/>
      <w:sz w:val="28"/>
      <w:szCs w:val="28"/>
    </w:rPr>
  </w:style>
  <w:style w:type="paragraph" w:customStyle="1" w:styleId="176">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kern w:val="0"/>
      <w:sz w:val="28"/>
      <w:szCs w:val="28"/>
    </w:rPr>
  </w:style>
  <w:style w:type="paragraph" w:customStyle="1" w:styleId="177">
    <w:name w:val="font8"/>
    <w:basedOn w:val="1"/>
    <w:autoRedefine/>
    <w:qFormat/>
    <w:uiPriority w:val="0"/>
    <w:pPr>
      <w:widowControl/>
      <w:spacing w:before="100" w:beforeAutospacing="1" w:after="100" w:afterAutospacing="1"/>
      <w:jc w:val="left"/>
    </w:pPr>
    <w:rPr>
      <w:rFonts w:hint="eastAsia" w:ascii="宋体" w:hAnsi="宋体"/>
      <w:kern w:val="0"/>
      <w:sz w:val="40"/>
      <w:szCs w:val="40"/>
    </w:rPr>
  </w:style>
  <w:style w:type="paragraph" w:customStyle="1" w:styleId="178">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b/>
      <w:bCs/>
      <w:kern w:val="0"/>
      <w:sz w:val="24"/>
    </w:rPr>
  </w:style>
  <w:style w:type="paragraph" w:customStyle="1" w:styleId="179">
    <w:name w:val="xl44"/>
    <w:basedOn w:val="1"/>
    <w:autoRedefine/>
    <w:qFormat/>
    <w:uiPriority w:val="0"/>
    <w:pPr>
      <w:widowControl/>
      <w:pBdr>
        <w:bottom w:val="single" w:color="auto" w:sz="4" w:space="0"/>
      </w:pBdr>
      <w:spacing w:before="100" w:beforeAutospacing="1" w:after="100" w:afterAutospacing="1"/>
      <w:jc w:val="center"/>
    </w:pPr>
    <w:rPr>
      <w:rFonts w:ascii="Arial Unicode MS" w:hAnsi="Arial Unicode MS"/>
      <w:kern w:val="0"/>
      <w:sz w:val="24"/>
    </w:rPr>
  </w:style>
  <w:style w:type="paragraph" w:customStyle="1" w:styleId="180">
    <w:name w:val="正文_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81">
    <w:name w:val="无间隔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82">
    <w:name w:val="font6"/>
    <w:basedOn w:val="1"/>
    <w:autoRedefine/>
    <w:qFormat/>
    <w:uiPriority w:val="0"/>
    <w:pPr>
      <w:widowControl/>
      <w:spacing w:before="100" w:beforeAutospacing="1" w:after="100" w:afterAutospacing="1"/>
      <w:jc w:val="left"/>
    </w:pPr>
    <w:rPr>
      <w:kern w:val="0"/>
      <w:sz w:val="24"/>
    </w:rPr>
  </w:style>
  <w:style w:type="paragraph" w:customStyle="1" w:styleId="183">
    <w:name w:val="表"/>
    <w:basedOn w:val="1"/>
    <w:autoRedefine/>
    <w:qFormat/>
    <w:uiPriority w:val="0"/>
    <w:pPr>
      <w:spacing w:line="300" w:lineRule="auto"/>
    </w:pPr>
    <w:rPr>
      <w:color w:val="000000"/>
      <w:szCs w:val="21"/>
    </w:rPr>
  </w:style>
  <w:style w:type="paragraph" w:customStyle="1" w:styleId="184">
    <w:name w:val="font9"/>
    <w:basedOn w:val="1"/>
    <w:autoRedefine/>
    <w:qFormat/>
    <w:uiPriority w:val="0"/>
    <w:pPr>
      <w:widowControl/>
      <w:spacing w:before="100" w:beforeAutospacing="1" w:after="100" w:afterAutospacing="1"/>
      <w:jc w:val="left"/>
    </w:pPr>
    <w:rPr>
      <w:kern w:val="0"/>
      <w:sz w:val="40"/>
      <w:szCs w:val="40"/>
    </w:rPr>
  </w:style>
  <w:style w:type="paragraph" w:customStyle="1" w:styleId="185">
    <w:name w:val="修订1"/>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86">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87">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188">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89">
    <w:name w:val="样式 行距: 固定值 25 磅"/>
    <w:basedOn w:val="1"/>
    <w:autoRedefine/>
    <w:qFormat/>
    <w:uiPriority w:val="0"/>
    <w:pPr>
      <w:spacing w:line="500" w:lineRule="exact"/>
    </w:pPr>
    <w:rPr>
      <w:rFonts w:cs="宋体"/>
      <w:sz w:val="28"/>
      <w:szCs w:val="20"/>
    </w:rPr>
  </w:style>
  <w:style w:type="paragraph" w:customStyle="1" w:styleId="190">
    <w:name w:val="Char Char Char Char Char Char Char Char Char1 Char Char Char Char Char Char Char Char Char Char Char Char Char"/>
    <w:basedOn w:val="3"/>
    <w:autoRedefine/>
    <w:qFormat/>
    <w:uiPriority w:val="0"/>
    <w:pPr>
      <w:snapToGrid w:val="0"/>
      <w:spacing w:before="240" w:after="240" w:line="348" w:lineRule="auto"/>
    </w:pPr>
  </w:style>
  <w:style w:type="paragraph" w:customStyle="1" w:styleId="191">
    <w:name w:val="表格"/>
    <w:basedOn w:val="1"/>
    <w:autoRedefine/>
    <w:qFormat/>
    <w:uiPriority w:val="0"/>
    <w:pPr>
      <w:jc w:val="center"/>
      <w:textAlignment w:val="center"/>
    </w:pPr>
    <w:rPr>
      <w:rFonts w:ascii="华文细黑" w:hAnsi="华文细黑"/>
      <w:kern w:val="0"/>
      <w:szCs w:val="20"/>
    </w:rPr>
  </w:style>
  <w:style w:type="paragraph" w:customStyle="1" w:styleId="192">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93">
    <w:name w:val="标题2"/>
    <w:basedOn w:val="4"/>
    <w:next w:val="1"/>
    <w:autoRedefine/>
    <w:qFormat/>
    <w:uiPriority w:val="0"/>
    <w:pPr>
      <w:snapToGrid w:val="0"/>
      <w:spacing w:before="120" w:after="120" w:line="240" w:lineRule="auto"/>
      <w:jc w:val="left"/>
    </w:pPr>
    <w:rPr>
      <w:b w:val="0"/>
      <w:bCs w:val="0"/>
      <w:sz w:val="21"/>
      <w:szCs w:val="21"/>
    </w:rPr>
  </w:style>
  <w:style w:type="paragraph" w:customStyle="1" w:styleId="194">
    <w:name w:val="正文段"/>
    <w:basedOn w:val="1"/>
    <w:autoRedefine/>
    <w:qFormat/>
    <w:uiPriority w:val="0"/>
    <w:pPr>
      <w:widowControl/>
      <w:snapToGrid w:val="0"/>
      <w:spacing w:afterLines="50"/>
      <w:ind w:firstLine="200" w:firstLineChars="200"/>
    </w:pPr>
    <w:rPr>
      <w:kern w:val="0"/>
      <w:sz w:val="24"/>
      <w:szCs w:val="20"/>
    </w:rPr>
  </w:style>
  <w:style w:type="paragraph" w:customStyle="1" w:styleId="195">
    <w:name w:val="修订11"/>
    <w:autoRedefine/>
    <w:qFormat/>
    <w:uiPriority w:val="99"/>
    <w:rPr>
      <w:rFonts w:ascii="Times New Roman" w:hAnsi="Times New Roman" w:eastAsia="宋体" w:cs="Times New Roman"/>
      <w:kern w:val="2"/>
      <w:sz w:val="21"/>
      <w:szCs w:val="21"/>
      <w:lang w:val="en-US" w:eastAsia="zh-CN" w:bidi="ar-SA"/>
    </w:rPr>
  </w:style>
  <w:style w:type="paragraph" w:customStyle="1" w:styleId="196">
    <w:name w:val="p0"/>
    <w:basedOn w:val="1"/>
    <w:autoRedefine/>
    <w:qFormat/>
    <w:uiPriority w:val="99"/>
    <w:pPr>
      <w:widowControl/>
      <w:spacing w:before="100" w:beforeAutospacing="1" w:after="100" w:afterAutospacing="1" w:line="312" w:lineRule="auto"/>
      <w:jc w:val="left"/>
    </w:pPr>
    <w:rPr>
      <w:rFonts w:ascii="宋体" w:hAnsi="宋体" w:cs="宋体"/>
      <w:kern w:val="0"/>
      <w:sz w:val="24"/>
    </w:rPr>
  </w:style>
  <w:style w:type="paragraph" w:customStyle="1" w:styleId="197">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98">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4"/>
    </w:rPr>
  </w:style>
  <w:style w:type="paragraph" w:customStyle="1" w:styleId="199">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rPr>
  </w:style>
  <w:style w:type="paragraph" w:customStyle="1" w:styleId="200">
    <w:name w:val="1"/>
    <w:basedOn w:val="1"/>
    <w:next w:val="24"/>
    <w:autoRedefine/>
    <w:qFormat/>
    <w:uiPriority w:val="99"/>
    <w:rPr>
      <w:rFonts w:ascii="宋体" w:hAnsi="Courier New"/>
      <w:szCs w:val="20"/>
    </w:rPr>
  </w:style>
  <w:style w:type="paragraph" w:customStyle="1" w:styleId="201">
    <w:name w:val="文件目录"/>
    <w:basedOn w:val="1"/>
    <w:autoRedefine/>
    <w:qFormat/>
    <w:uiPriority w:val="0"/>
    <w:pPr>
      <w:spacing w:line="600" w:lineRule="exact"/>
      <w:jc w:val="left"/>
    </w:pPr>
    <w:rPr>
      <w:b/>
      <w:sz w:val="30"/>
      <w:szCs w:val="20"/>
    </w:rPr>
  </w:style>
  <w:style w:type="paragraph" w:customStyle="1" w:styleId="202">
    <w:name w:val="font5"/>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203">
    <w:name w:val="xl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4"/>
    </w:rPr>
  </w:style>
  <w:style w:type="paragraph" w:customStyle="1" w:styleId="204">
    <w:name w:val="Char Char1"/>
    <w:basedOn w:val="1"/>
    <w:autoRedefine/>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05">
    <w:name w:val="Char Char Char Char Char Char Char Char Char Char Char Char Char Char Char Char Char Char Char"/>
    <w:basedOn w:val="1"/>
    <w:autoRedefine/>
    <w:semiHidden/>
    <w:qFormat/>
    <w:uiPriority w:val="0"/>
  </w:style>
  <w:style w:type="paragraph" w:customStyle="1" w:styleId="206">
    <w:name w:val="_Style 37"/>
    <w:basedOn w:val="1"/>
    <w:next w:val="1"/>
    <w:autoRedefine/>
    <w:qFormat/>
    <w:uiPriority w:val="99"/>
    <w:rPr>
      <w:szCs w:val="21"/>
    </w:rPr>
  </w:style>
  <w:style w:type="paragraph" w:customStyle="1" w:styleId="207">
    <w:name w:val="正文文本 21"/>
    <w:basedOn w:val="1"/>
    <w:autoRedefine/>
    <w:qFormat/>
    <w:uiPriority w:val="0"/>
    <w:pPr>
      <w:adjustRightInd w:val="0"/>
      <w:spacing w:line="460" w:lineRule="exact"/>
      <w:ind w:firstLine="635"/>
      <w:jc w:val="left"/>
      <w:textAlignment w:val="baseline"/>
    </w:pPr>
    <w:rPr>
      <w:sz w:val="28"/>
      <w:szCs w:val="20"/>
    </w:rPr>
  </w:style>
  <w:style w:type="paragraph" w:customStyle="1" w:styleId="2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209">
    <w:name w:val="text"/>
    <w:basedOn w:val="1"/>
    <w:autoRedefine/>
    <w:qFormat/>
    <w:uiPriority w:val="0"/>
    <w:pPr>
      <w:overflowPunct w:val="0"/>
      <w:autoSpaceDE w:val="0"/>
      <w:autoSpaceDN w:val="0"/>
      <w:adjustRightInd w:val="0"/>
      <w:spacing w:before="120" w:after="120"/>
      <w:ind w:left="864"/>
      <w:textAlignment w:val="baseline"/>
    </w:pPr>
    <w:rPr>
      <w:rFonts w:ascii="宋体"/>
      <w:spacing w:val="-14"/>
      <w:kern w:val="0"/>
      <w:sz w:val="24"/>
    </w:rPr>
  </w:style>
  <w:style w:type="paragraph" w:customStyle="1" w:styleId="210">
    <w:name w:val="Char1"/>
    <w:basedOn w:val="1"/>
    <w:autoRedefine/>
    <w:qFormat/>
    <w:uiPriority w:val="99"/>
    <w:pPr>
      <w:widowControl/>
      <w:spacing w:after="160" w:line="240" w:lineRule="exact"/>
      <w:jc w:val="left"/>
    </w:pPr>
    <w:rPr>
      <w:szCs w:val="21"/>
    </w:rPr>
  </w:style>
  <w:style w:type="paragraph" w:customStyle="1" w:styleId="211">
    <w:name w:val="p17"/>
    <w:basedOn w:val="1"/>
    <w:autoRedefine/>
    <w:qFormat/>
    <w:uiPriority w:val="0"/>
    <w:pPr>
      <w:widowControl/>
      <w:spacing w:before="100" w:beforeAutospacing="1" w:after="100" w:afterAutospacing="1" w:line="312" w:lineRule="auto"/>
      <w:jc w:val="left"/>
    </w:pPr>
    <w:rPr>
      <w:rFonts w:ascii="宋体" w:hAnsi="宋体" w:cs="宋体"/>
      <w:kern w:val="0"/>
      <w:sz w:val="24"/>
    </w:rPr>
  </w:style>
  <w:style w:type="paragraph" w:customStyle="1" w:styleId="212">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kern w:val="0"/>
      <w:sz w:val="24"/>
    </w:rPr>
  </w:style>
  <w:style w:type="paragraph" w:customStyle="1" w:styleId="213">
    <w:name w:val="样式 标题 1 + 黑体 三号 非加粗 居中 段前: 6 磅 段后: 6 磅 行距: 固定值 20 磅"/>
    <w:basedOn w:val="3"/>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214">
    <w:name w:val="flNote"/>
    <w:basedOn w:val="1"/>
    <w:autoRedefine/>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15">
    <w:name w:val="文件标题"/>
    <w:basedOn w:val="1"/>
    <w:autoRedefine/>
    <w:qFormat/>
    <w:uiPriority w:val="0"/>
    <w:pPr>
      <w:jc w:val="center"/>
    </w:pPr>
    <w:rPr>
      <w:b/>
      <w:sz w:val="36"/>
      <w:szCs w:val="20"/>
    </w:rPr>
  </w:style>
  <w:style w:type="paragraph" w:customStyle="1" w:styleId="216">
    <w:name w:val="head1"/>
    <w:basedOn w:val="1"/>
    <w:autoRedefine/>
    <w:qFormat/>
    <w:uiPriority w:val="0"/>
    <w:pPr>
      <w:widowControl/>
      <w:tabs>
        <w:tab w:val="left" w:pos="1680"/>
      </w:tabs>
      <w:overflowPunct w:val="0"/>
      <w:autoSpaceDE w:val="0"/>
      <w:autoSpaceDN w:val="0"/>
      <w:adjustRightInd w:val="0"/>
      <w:spacing w:before="60" w:after="60"/>
      <w:ind w:left="1680"/>
      <w:jc w:val="left"/>
      <w:textAlignment w:val="baseline"/>
      <w:outlineLvl w:val="0"/>
    </w:pPr>
    <w:rPr>
      <w:rFonts w:ascii="黑体" w:hAnsi="¿¬Ìå" w:eastAsia="黑体"/>
      <w:kern w:val="0"/>
      <w:sz w:val="30"/>
      <w:szCs w:val="30"/>
    </w:rPr>
  </w:style>
  <w:style w:type="paragraph" w:customStyle="1" w:styleId="217">
    <w:name w:val="xl47"/>
    <w:basedOn w:val="1"/>
    <w:autoRedefine/>
    <w:qFormat/>
    <w:uiPriority w:val="0"/>
    <w:pPr>
      <w:widowControl/>
      <w:spacing w:before="100" w:beforeAutospacing="1" w:after="100" w:afterAutospacing="1"/>
      <w:jc w:val="center"/>
    </w:pPr>
    <w:rPr>
      <w:rFonts w:ascii="宋体" w:hAnsi="宋体"/>
      <w:kern w:val="0"/>
      <w:sz w:val="28"/>
      <w:szCs w:val="28"/>
    </w:rPr>
  </w:style>
  <w:style w:type="paragraph" w:customStyle="1" w:styleId="218">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19">
    <w:name w:val="xl31"/>
    <w:basedOn w:val="1"/>
    <w:autoRedefine/>
    <w:qFormat/>
    <w:uiPriority w:val="0"/>
    <w:pPr>
      <w:widowControl/>
      <w:spacing w:before="100" w:beforeAutospacing="1" w:after="100" w:afterAutospacing="1"/>
      <w:jc w:val="center"/>
    </w:pPr>
    <w:rPr>
      <w:rFonts w:ascii="宋体" w:hAnsi="宋体"/>
      <w:kern w:val="0"/>
      <w:sz w:val="24"/>
    </w:rPr>
  </w:style>
  <w:style w:type="paragraph" w:customStyle="1" w:styleId="220">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rPr>
  </w:style>
  <w:style w:type="paragraph" w:customStyle="1" w:styleId="221">
    <w:name w:val="reader-word-layer"/>
    <w:basedOn w:val="1"/>
    <w:autoRedefine/>
    <w:qFormat/>
    <w:uiPriority w:val="99"/>
    <w:pPr>
      <w:widowControl/>
      <w:spacing w:before="100" w:beforeAutospacing="1" w:after="100" w:afterAutospacing="1"/>
      <w:jc w:val="left"/>
    </w:pPr>
    <w:rPr>
      <w:rFonts w:ascii="宋体" w:hAnsi="宋体" w:cs="宋体"/>
      <w:kern w:val="0"/>
      <w:sz w:val="24"/>
    </w:rPr>
  </w:style>
  <w:style w:type="paragraph" w:customStyle="1" w:styleId="222">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223">
    <w:name w:val="表格2"/>
    <w:basedOn w:val="1"/>
    <w:autoRedefine/>
    <w:qFormat/>
    <w:uiPriority w:val="0"/>
    <w:pPr>
      <w:adjustRightInd w:val="0"/>
      <w:spacing w:before="60" w:after="60"/>
      <w:jc w:val="center"/>
    </w:pPr>
    <w:rPr>
      <w:rFonts w:ascii="宋体"/>
      <w:color w:val="000000"/>
      <w:kern w:val="0"/>
      <w:sz w:val="24"/>
      <w:szCs w:val="20"/>
    </w:rPr>
  </w:style>
  <w:style w:type="paragraph" w:customStyle="1" w:styleId="224">
    <w:name w:val="5 Char Char Char Char Char Char Char Char Char Char"/>
    <w:basedOn w:val="1"/>
    <w:autoRedefine/>
    <w:qFormat/>
    <w:uiPriority w:val="0"/>
  </w:style>
  <w:style w:type="paragraph" w:customStyle="1" w:styleId="225">
    <w:name w:val="合同正文"/>
    <w:basedOn w:val="1"/>
    <w:autoRedefine/>
    <w:qFormat/>
    <w:uiPriority w:val="0"/>
    <w:pPr>
      <w:adjustRightInd w:val="0"/>
      <w:spacing w:line="580" w:lineRule="exact"/>
    </w:pPr>
    <w:rPr>
      <w:b/>
      <w:sz w:val="24"/>
      <w:szCs w:val="20"/>
    </w:rPr>
  </w:style>
  <w:style w:type="paragraph" w:customStyle="1" w:styleId="226">
    <w:name w:val="Char"/>
    <w:basedOn w:val="1"/>
    <w:autoRedefine/>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227">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b/>
      <w:bCs/>
      <w:kern w:val="0"/>
      <w:sz w:val="24"/>
    </w:rPr>
  </w:style>
  <w:style w:type="paragraph" w:customStyle="1" w:styleId="228">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229">
    <w:name w:val="纯文本1"/>
    <w:basedOn w:val="1"/>
    <w:autoRedefine/>
    <w:qFormat/>
    <w:uiPriority w:val="0"/>
    <w:pPr>
      <w:adjustRightInd w:val="0"/>
      <w:jc w:val="left"/>
      <w:textAlignment w:val="baseline"/>
    </w:pPr>
    <w:rPr>
      <w:rFonts w:ascii="宋体" w:hAnsi="Courier New"/>
      <w:szCs w:val="20"/>
    </w:rPr>
  </w:style>
  <w:style w:type="paragraph" w:customStyle="1" w:styleId="230">
    <w:name w:val="列出段落1"/>
    <w:basedOn w:val="1"/>
    <w:autoRedefine/>
    <w:qFormat/>
    <w:uiPriority w:val="99"/>
    <w:pPr>
      <w:ind w:firstLine="420" w:firstLineChars="200"/>
    </w:pPr>
    <w:rPr>
      <w:rFonts w:ascii="Calibri" w:hAnsi="Calibri" w:cs="Calibri"/>
      <w:szCs w:val="21"/>
    </w:rPr>
  </w:style>
  <w:style w:type="paragraph" w:customStyle="1" w:styleId="231">
    <w:name w:val="xl45"/>
    <w:basedOn w:val="1"/>
    <w:autoRedefine/>
    <w:qFormat/>
    <w:uiPriority w:val="0"/>
    <w:pPr>
      <w:widowControl/>
      <w:pBdr>
        <w:bottom w:val="single" w:color="auto" w:sz="4" w:space="0"/>
      </w:pBdr>
      <w:spacing w:before="100" w:beforeAutospacing="1" w:after="100" w:afterAutospacing="1"/>
      <w:jc w:val="center"/>
    </w:pPr>
    <w:rPr>
      <w:kern w:val="0"/>
      <w:sz w:val="40"/>
      <w:szCs w:val="40"/>
    </w:rPr>
  </w:style>
  <w:style w:type="paragraph" w:customStyle="1" w:styleId="232">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kern w:val="0"/>
      <w:sz w:val="24"/>
    </w:rPr>
  </w:style>
  <w:style w:type="paragraph" w:customStyle="1" w:styleId="233">
    <w:name w:val="font10"/>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234">
    <w:name w:val="默认段落字体 Para Char Char Char Char Char Char Char"/>
    <w:basedOn w:val="1"/>
    <w:autoRedefine/>
    <w:qFormat/>
    <w:uiPriority w:val="0"/>
    <w:pPr>
      <w:adjustRightInd w:val="0"/>
      <w:spacing w:line="360" w:lineRule="auto"/>
      <w:ind w:left="200" w:hanging="200" w:hangingChars="200"/>
    </w:pPr>
    <w:rPr>
      <w:kern w:val="0"/>
      <w:sz w:val="24"/>
      <w:szCs w:val="20"/>
    </w:rPr>
  </w:style>
  <w:style w:type="paragraph" w:customStyle="1" w:styleId="235">
    <w:name w:val="样式 标题 2 + Times New Roman 四号 非加粗 段前: 5 磅 段后: 0 磅 行距: 固定值 20..."/>
    <w:basedOn w:val="4"/>
    <w:autoRedefine/>
    <w:qFormat/>
    <w:uiPriority w:val="99"/>
    <w:pPr>
      <w:spacing w:before="100" w:after="0" w:line="400" w:lineRule="exact"/>
    </w:pPr>
    <w:rPr>
      <w:rFonts w:ascii="Times New Roman" w:hAnsi="Times New Roman" w:cs="宋体"/>
      <w:b w:val="0"/>
      <w:bCs w:val="0"/>
      <w:sz w:val="28"/>
      <w:szCs w:val="20"/>
    </w:rPr>
  </w:style>
  <w:style w:type="paragraph" w:customStyle="1" w:styleId="236">
    <w:name w:val="Char2"/>
    <w:basedOn w:val="1"/>
    <w:autoRedefine/>
    <w:qFormat/>
    <w:uiPriority w:val="0"/>
    <w:pPr>
      <w:snapToGrid w:val="0"/>
      <w:spacing w:line="360" w:lineRule="auto"/>
      <w:ind w:firstLine="200" w:firstLineChars="200"/>
    </w:pPr>
    <w:rPr>
      <w:rFonts w:ascii="Arial" w:hAnsi="Arial" w:eastAsia="黑体"/>
      <w:szCs w:val="21"/>
    </w:rPr>
  </w:style>
  <w:style w:type="paragraph" w:customStyle="1" w:styleId="237">
    <w:name w:val="Char Char Char Char Char Char Char1"/>
    <w:basedOn w:val="1"/>
    <w:autoRedefine/>
    <w:qFormat/>
    <w:uiPriority w:val="99"/>
    <w:pPr>
      <w:widowControl/>
      <w:spacing w:after="160" w:line="240" w:lineRule="exact"/>
      <w:jc w:val="left"/>
    </w:pPr>
    <w:rPr>
      <w:szCs w:val="21"/>
    </w:rPr>
  </w:style>
  <w:style w:type="paragraph" w:customStyle="1" w:styleId="238">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8"/>
      <w:szCs w:val="28"/>
    </w:rPr>
  </w:style>
  <w:style w:type="paragraph" w:customStyle="1" w:styleId="239">
    <w:name w:val="无间隔1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40">
    <w:name w:val="列出段落2"/>
    <w:basedOn w:val="1"/>
    <w:autoRedefine/>
    <w:qFormat/>
    <w:uiPriority w:val="99"/>
    <w:pPr>
      <w:ind w:firstLine="420" w:firstLineChars="200"/>
    </w:pPr>
    <w:rPr>
      <w:rFonts w:ascii="Calibri" w:hAnsi="Calibri" w:cs="Calibri"/>
      <w:szCs w:val="21"/>
    </w:rPr>
  </w:style>
  <w:style w:type="paragraph" w:customStyle="1" w:styleId="241">
    <w:name w:val="样式 标题 3 + (中文) 黑体 小四 非加粗 段前: 7.8 磅 段后: 0 磅 行距: 固定值 20 磅"/>
    <w:basedOn w:val="5"/>
    <w:autoRedefine/>
    <w:qFormat/>
    <w:uiPriority w:val="99"/>
    <w:pPr>
      <w:spacing w:before="0" w:after="0" w:line="400" w:lineRule="exact"/>
      <w:jc w:val="center"/>
    </w:pPr>
    <w:rPr>
      <w:rFonts w:ascii="宋体" w:hAnsi="宋体" w:eastAsia="黑体" w:cs="宋体"/>
      <w:b w:val="0"/>
      <w:bCs w:val="0"/>
      <w:kern w:val="0"/>
      <w:sz w:val="24"/>
      <w:szCs w:val="20"/>
    </w:rPr>
  </w:style>
  <w:style w:type="paragraph" w:customStyle="1" w:styleId="242">
    <w:name w:val="正文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3">
    <w:name w:val="Char Char11"/>
    <w:basedOn w:val="1"/>
    <w:autoRedefine/>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44">
    <w:name w:val="Char Char Char Char Char Char Char Char Char Char"/>
    <w:basedOn w:val="1"/>
    <w:autoRedefine/>
    <w:qFormat/>
    <w:uiPriority w:val="0"/>
  </w:style>
  <w:style w:type="paragraph" w:customStyle="1" w:styleId="245">
    <w:name w:val="."/>
    <w:basedOn w:val="1"/>
    <w:autoRedefine/>
    <w:qFormat/>
    <w:uiPriority w:val="0"/>
    <w:pPr>
      <w:widowControl/>
      <w:numPr>
        <w:ilvl w:val="0"/>
        <w:numId w:val="1"/>
      </w:numPr>
      <w:overflowPunct w:val="0"/>
      <w:autoSpaceDE w:val="0"/>
      <w:autoSpaceDN w:val="0"/>
      <w:adjustRightInd w:val="0"/>
      <w:spacing w:before="60" w:after="60" w:line="264" w:lineRule="auto"/>
      <w:ind w:left="1135" w:hanging="284"/>
      <w:textAlignment w:val="baseline"/>
    </w:pPr>
    <w:rPr>
      <w:rFonts w:ascii="宋体"/>
      <w:kern w:val="0"/>
      <w:sz w:val="24"/>
      <w:szCs w:val="20"/>
    </w:rPr>
  </w:style>
  <w:style w:type="character" w:customStyle="1" w:styleId="246">
    <w:name w:val="bookmark-item"/>
    <w:autoRedefine/>
    <w:qFormat/>
    <w:uiPriority w:val="0"/>
  </w:style>
  <w:style w:type="paragraph" w:customStyle="1" w:styleId="247">
    <w:name w:val="Normal_17"/>
    <w:autoRedefine/>
    <w:qFormat/>
    <w:uiPriority w:val="0"/>
    <w:pPr>
      <w:spacing w:before="120" w:after="240"/>
      <w:jc w:val="both"/>
    </w:pPr>
    <w:rPr>
      <w:rFonts w:ascii="Calibri" w:hAnsi="Calibri" w:eastAsia="Calibri" w:cs="Times New Roman"/>
      <w:sz w:val="22"/>
      <w:szCs w:val="22"/>
      <w:lang w:val="ru-RU" w:eastAsia="en-US" w:bidi="ar-SA"/>
    </w:rPr>
  </w:style>
  <w:style w:type="character" w:customStyle="1" w:styleId="248">
    <w:name w:val="纯文本 Char3"/>
    <w:autoRedefine/>
    <w:qFormat/>
    <w:uiPriority w:val="0"/>
    <w:rPr>
      <w:rFonts w:ascii="宋体" w:hAnsi="Courier New" w:eastAsia="宋体" w:cs="Courier New"/>
      <w:kern w:val="2"/>
      <w:sz w:val="21"/>
      <w:szCs w:val="21"/>
      <w:lang w:val="en-US" w:eastAsia="zh-CN" w:bidi="ar-SA"/>
    </w:rPr>
  </w:style>
  <w:style w:type="paragraph" w:styleId="249">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0">
    <w:name w:val="Blockquote"/>
    <w:basedOn w:val="1"/>
    <w:autoRedefine/>
    <w:qFormat/>
    <w:uiPriority w:val="0"/>
    <w:pPr>
      <w:adjustRightInd w:val="0"/>
      <w:spacing w:before="100" w:after="100"/>
      <w:ind w:left="360" w:right="360"/>
    </w:pPr>
    <w:rPr>
      <w:sz w:val="24"/>
    </w:rPr>
  </w:style>
  <w:style w:type="paragraph" w:customStyle="1" w:styleId="251">
    <w:name w:val="Table Paragraph"/>
    <w:basedOn w:val="1"/>
    <w:autoRedefine/>
    <w:qFormat/>
    <w:uiPriority w:val="1"/>
  </w:style>
  <w:style w:type="paragraph" w:customStyle="1" w:styleId="252">
    <w:name w:val="纯文本_0"/>
    <w:basedOn w:val="180"/>
    <w:autoRedefine/>
    <w:qFormat/>
    <w:uiPriority w:val="0"/>
    <w:rPr>
      <w:rFonts w:ascii="宋体" w:hAnsi="Courier New"/>
    </w:rPr>
  </w:style>
  <w:style w:type="paragraph" w:customStyle="1" w:styleId="253">
    <w:name w:val="PlainText"/>
    <w:basedOn w:val="1"/>
    <w:autoRedefine/>
    <w:qFormat/>
    <w:uiPriority w:val="0"/>
    <w:rPr>
      <w:rFonts w:ascii="宋体" w:hAnsi="Courier New"/>
      <w:szCs w:val="20"/>
    </w:rPr>
  </w:style>
  <w:style w:type="character" w:customStyle="1" w:styleId="254">
    <w:name w:val="ant-radio+*"/>
    <w:basedOn w:val="47"/>
    <w:autoRedefine/>
    <w:qFormat/>
    <w:uiPriority w:val="0"/>
  </w:style>
  <w:style w:type="character" w:customStyle="1" w:styleId="255">
    <w:name w:val="ant-radio+*1"/>
    <w:basedOn w:val="47"/>
    <w:autoRedefine/>
    <w:qFormat/>
    <w:uiPriority w:val="0"/>
  </w:style>
  <w:style w:type="character" w:customStyle="1" w:styleId="256">
    <w:name w:val="first-child1"/>
    <w:basedOn w:val="47"/>
    <w:autoRedefine/>
    <w:qFormat/>
    <w:uiPriority w:val="0"/>
  </w:style>
  <w:style w:type="character" w:customStyle="1" w:styleId="257">
    <w:name w:val="ant-input28"/>
    <w:basedOn w:val="47"/>
    <w:autoRedefine/>
    <w:qFormat/>
    <w:uiPriority w:val="0"/>
  </w:style>
  <w:style w:type="character" w:customStyle="1" w:styleId="258">
    <w:name w:val="last-child"/>
    <w:basedOn w:val="47"/>
    <w:autoRedefine/>
    <w:qFormat/>
    <w:uiPriority w:val="0"/>
  </w:style>
  <w:style w:type="character" w:customStyle="1" w:styleId="259">
    <w:name w:val="ant-select-tree-checkbox"/>
    <w:basedOn w:val="47"/>
    <w:autoRedefine/>
    <w:qFormat/>
    <w:uiPriority w:val="0"/>
  </w:style>
  <w:style w:type="character" w:customStyle="1" w:styleId="260">
    <w:name w:val="ant-select-tree-switcher"/>
    <w:basedOn w:val="47"/>
    <w:autoRedefine/>
    <w:qFormat/>
    <w:uiPriority w:val="0"/>
  </w:style>
  <w:style w:type="character" w:customStyle="1" w:styleId="261">
    <w:name w:val="nc-lang-cnt"/>
    <w:basedOn w:val="47"/>
    <w:autoRedefine/>
    <w:qFormat/>
    <w:uiPriority w:val="0"/>
    <w:rPr>
      <w:rFonts w:hint="cs"/>
      <w:rtl/>
      <w:cs/>
    </w:rPr>
  </w:style>
  <w:style w:type="character" w:customStyle="1" w:styleId="262">
    <w:name w:val="nc-lang-cnt1"/>
    <w:basedOn w:val="47"/>
    <w:autoRedefine/>
    <w:qFormat/>
    <w:uiPriority w:val="0"/>
    <w:rPr>
      <w:rFonts w:hint="cs"/>
      <w:rtl/>
      <w:cs/>
    </w:rPr>
  </w:style>
  <w:style w:type="character" w:customStyle="1" w:styleId="263">
    <w:name w:val="nc-lang-cnt2"/>
    <w:basedOn w:val="47"/>
    <w:autoRedefine/>
    <w:qFormat/>
    <w:uiPriority w:val="0"/>
  </w:style>
  <w:style w:type="character" w:customStyle="1" w:styleId="264">
    <w:name w:val="nc-lang-cnt3"/>
    <w:basedOn w:val="47"/>
    <w:autoRedefine/>
    <w:qFormat/>
    <w:uiPriority w:val="0"/>
  </w:style>
  <w:style w:type="character" w:customStyle="1" w:styleId="265">
    <w:name w:val="nc-lang-cnt4"/>
    <w:basedOn w:val="47"/>
    <w:autoRedefine/>
    <w:qFormat/>
    <w:uiPriority w:val="0"/>
    <w:rPr>
      <w:rFonts w:hint="cs"/>
      <w:rtl/>
      <w:cs/>
    </w:rPr>
  </w:style>
  <w:style w:type="character" w:customStyle="1" w:styleId="266">
    <w:name w:val="nc-lang-cnt5"/>
    <w:basedOn w:val="47"/>
    <w:autoRedefine/>
    <w:qFormat/>
    <w:uiPriority w:val="0"/>
    <w:rPr>
      <w:rFonts w:hint="cs"/>
      <w:rtl/>
      <w:cs/>
    </w:rPr>
  </w:style>
  <w:style w:type="character" w:customStyle="1" w:styleId="267">
    <w:name w:val="nc-lang-cnt6"/>
    <w:basedOn w:val="47"/>
    <w:autoRedefine/>
    <w:qFormat/>
    <w:uiPriority w:val="0"/>
  </w:style>
  <w:style w:type="character" w:customStyle="1" w:styleId="268">
    <w:name w:val="ant-select-tree-iconele"/>
    <w:basedOn w:val="47"/>
    <w:autoRedefine/>
    <w:qFormat/>
    <w:uiPriority w:val="0"/>
  </w:style>
  <w:style w:type="character" w:customStyle="1" w:styleId="269">
    <w:name w:val="ant-table-tbody1"/>
    <w:basedOn w:val="47"/>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56</Pages>
  <Words>8784</Words>
  <Characters>9490</Characters>
  <Lines>391</Lines>
  <Paragraphs>110</Paragraphs>
  <TotalTime>99</TotalTime>
  <ScaleCrop>false</ScaleCrop>
  <LinksUpToDate>false</LinksUpToDate>
  <CharactersWithSpaces>9731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2022-03-23T01:58:00Z</dcterms:created>
  <dc:creator>USER</dc:creator>
  <cp:lastModifiedBy>蜗行马步</cp:lastModifiedBy>
  <cp:lastPrinted>2022-03-24T01:54:00Z</cp:lastPrinted>
  <dcterms:modified xsi:type="dcterms:W3CDTF">2026-09-21T07:49:54Z</dcterms:modified>
  <dc:title>第三章  项目需求</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EA1E2C47745F4BCA8DDD16FFAE4FAD05</vt:lpwstr>
  </property>
  <property fmtid="{D5CDD505-2E9C-101B-9397-08002B2CF9AE}" pid="4" name="KSOTemplateDocerSaveRecord">
    <vt:lpwstr>eyJoZGlkIjoiNDlkMjNmNGM5NGU1MzU5MTJlZmU4YTA3NzFkNDA0OWIiLCJ1c2VySWQiOiI5NDU1NTYzOTIifQ==</vt:lpwstr>
  </property>
</Properties>
</file>