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F3190">
      <w:pPr>
        <w:rPr>
          <w:rFonts w:hint="default" w:asciiTheme="majorEastAsia" w:hAnsiTheme="majorEastAsia" w:eastAsiaTheme="majorEastAsia" w:cstheme="majorEastAsia"/>
          <w:color w:val="auto"/>
          <w:highlight w:val="none"/>
          <w:lang w:val="en-US" w:eastAsia="zh-CN"/>
        </w:rPr>
      </w:pPr>
      <w:bookmarkStart w:id="1169" w:name="_GoBack"/>
      <w:bookmarkEnd w:id="1169"/>
      <w:r>
        <w:rPr>
          <w:rFonts w:hint="eastAsia" w:asciiTheme="majorEastAsia" w:hAnsiTheme="majorEastAsia" w:eastAsiaTheme="majorEastAsia" w:cstheme="majorEastAsia"/>
          <w:color w:val="auto"/>
          <w:highlight w:val="none"/>
          <w:lang w:val="en-US" w:eastAsia="zh-CN"/>
        </w:rPr>
        <w:t xml:space="preserve">                      </w:t>
      </w:r>
    </w:p>
    <w:p w14:paraId="332254FF">
      <w:pPr>
        <w:jc w:val="left"/>
        <w:outlineLvl w:val="0"/>
        <w:rPr>
          <w:rFonts w:hint="eastAsia" w:ascii="宋体" w:hAnsi="宋体" w:eastAsia="宋体" w:cs="宋体"/>
          <w:color w:val="auto"/>
          <w:highlight w:val="none"/>
        </w:rPr>
      </w:pPr>
    </w:p>
    <w:p w14:paraId="652178A6">
      <w:pPr>
        <w:jc w:val="center"/>
        <w:outlineLvl w:val="0"/>
        <w:rPr>
          <w:rFonts w:hint="eastAsia" w:asciiTheme="majorEastAsia" w:hAnsiTheme="majorEastAsia" w:eastAsiaTheme="majorEastAsia" w:cstheme="majorEastAsia"/>
          <w:b/>
          <w:bCs/>
          <w:color w:val="auto"/>
          <w:sz w:val="48"/>
          <w:szCs w:val="48"/>
          <w:lang w:eastAsia="zh-CN"/>
        </w:rPr>
      </w:pPr>
      <w:r>
        <w:rPr>
          <w:rFonts w:hint="eastAsia" w:asciiTheme="majorEastAsia" w:hAnsiTheme="majorEastAsia" w:eastAsiaTheme="majorEastAsia" w:cstheme="majorEastAsia"/>
          <w:b/>
          <w:bCs/>
          <w:color w:val="auto"/>
          <w:sz w:val="48"/>
          <w:szCs w:val="48"/>
          <w:lang w:eastAsia="zh-CN"/>
        </w:rPr>
        <w:t>广西冠博工程管理有限公司</w:t>
      </w:r>
    </w:p>
    <w:p w14:paraId="65D9E33C">
      <w:pPr>
        <w:pStyle w:val="3"/>
        <w:rPr>
          <w:rFonts w:hint="eastAsia"/>
          <w:color w:val="auto"/>
        </w:rPr>
      </w:pPr>
    </w:p>
    <w:p w14:paraId="0B75D27B">
      <w:pPr>
        <w:pStyle w:val="21"/>
        <w:rPr>
          <w:rFonts w:hint="eastAsia"/>
          <w:color w:val="auto"/>
        </w:rPr>
      </w:pPr>
    </w:p>
    <w:p w14:paraId="71FDC17E">
      <w:pPr>
        <w:rPr>
          <w:rFonts w:hint="eastAsia"/>
          <w:color w:val="auto"/>
        </w:rPr>
      </w:pPr>
    </w:p>
    <w:p w14:paraId="736EE0C3">
      <w:pPr>
        <w:rPr>
          <w:rFonts w:hint="eastAsia"/>
          <w:color w:val="auto"/>
        </w:rPr>
      </w:pPr>
    </w:p>
    <w:p w14:paraId="564E7AEF">
      <w:pPr>
        <w:jc w:val="center"/>
        <w:outlineLvl w:val="0"/>
        <w:rPr>
          <w:rFonts w:hint="eastAsia" w:asciiTheme="majorEastAsia" w:hAnsiTheme="majorEastAsia" w:eastAsiaTheme="majorEastAsia" w:cstheme="majorEastAsia"/>
          <w:color w:val="auto"/>
          <w:sz w:val="72"/>
          <w:szCs w:val="72"/>
        </w:rPr>
      </w:pPr>
      <w:bookmarkStart w:id="0" w:name="_Toc30928"/>
      <w:bookmarkStart w:id="1" w:name="_Toc2565"/>
      <w:r>
        <w:rPr>
          <w:rFonts w:hint="eastAsia" w:asciiTheme="majorEastAsia" w:hAnsiTheme="majorEastAsia" w:eastAsiaTheme="majorEastAsia" w:cstheme="majorEastAsia"/>
          <w:color w:val="auto"/>
          <w:sz w:val="72"/>
          <w:szCs w:val="72"/>
        </w:rPr>
        <w:t>竞争性</w:t>
      </w:r>
      <w:r>
        <w:rPr>
          <w:rFonts w:hint="eastAsia" w:asciiTheme="majorEastAsia" w:hAnsiTheme="majorEastAsia" w:eastAsiaTheme="majorEastAsia" w:cstheme="majorEastAsia"/>
          <w:color w:val="auto"/>
          <w:sz w:val="72"/>
          <w:szCs w:val="72"/>
          <w:lang w:eastAsia="zh-CN"/>
        </w:rPr>
        <w:t>磋商</w:t>
      </w:r>
      <w:r>
        <w:rPr>
          <w:rFonts w:hint="eastAsia" w:asciiTheme="majorEastAsia" w:hAnsiTheme="majorEastAsia" w:eastAsiaTheme="majorEastAsia" w:cstheme="majorEastAsia"/>
          <w:color w:val="auto"/>
          <w:sz w:val="72"/>
          <w:szCs w:val="72"/>
        </w:rPr>
        <w:t>文件</w:t>
      </w:r>
      <w:bookmarkEnd w:id="0"/>
      <w:bookmarkEnd w:id="1"/>
    </w:p>
    <w:p w14:paraId="63A574C8">
      <w:pPr>
        <w:snapToGrid w:val="0"/>
        <w:spacing w:before="120" w:beforeLines="50" w:line="360" w:lineRule="auto"/>
        <w:rPr>
          <w:rFonts w:hint="eastAsia" w:asciiTheme="majorEastAsia" w:hAnsiTheme="majorEastAsia" w:eastAsiaTheme="majorEastAsia" w:cstheme="majorEastAsia"/>
          <w:b/>
          <w:bCs/>
          <w:color w:val="auto"/>
          <w:sz w:val="84"/>
          <w:szCs w:val="84"/>
          <w:highlight w:val="none"/>
        </w:rPr>
      </w:pPr>
      <w:r>
        <w:rPr>
          <w:rFonts w:hint="eastAsia" w:asciiTheme="majorEastAsia" w:hAnsiTheme="majorEastAsia" w:eastAsiaTheme="majorEastAsia" w:cstheme="majorEastAsia"/>
          <w:b/>
          <w:bCs/>
          <w:color w:val="auto"/>
          <w:sz w:val="84"/>
          <w:szCs w:val="84"/>
          <w:highlight w:val="none"/>
        </w:rPr>
        <w:t xml:space="preserve"> </w:t>
      </w:r>
    </w:p>
    <w:p w14:paraId="0D67C0E6">
      <w:pPr>
        <w:pStyle w:val="34"/>
        <w:rPr>
          <w:rFonts w:hint="eastAsia"/>
          <w:color w:val="auto"/>
        </w:rPr>
      </w:pPr>
    </w:p>
    <w:p w14:paraId="6950D031">
      <w:pPr>
        <w:ind w:firstLine="1280" w:firstLineChars="400"/>
        <w:rPr>
          <w:rFonts w:hint="eastAsia" w:asciiTheme="majorEastAsia" w:hAnsiTheme="majorEastAsia" w:eastAsiaTheme="majorEastAsia" w:cstheme="majorEastAsia"/>
          <w:b/>
          <w:bCs/>
          <w:color w:val="auto"/>
          <w:sz w:val="32"/>
          <w:szCs w:val="32"/>
          <w:lang w:eastAsia="zh-CN"/>
        </w:rPr>
      </w:pPr>
      <w:r>
        <w:rPr>
          <w:rFonts w:hint="eastAsia" w:asciiTheme="majorEastAsia" w:hAnsiTheme="majorEastAsia" w:eastAsiaTheme="majorEastAsia" w:cstheme="majorEastAsia"/>
          <w:b/>
          <w:bCs/>
          <w:color w:val="auto"/>
          <w:sz w:val="32"/>
          <w:szCs w:val="32"/>
        </w:rPr>
        <w:t>项目名称</w:t>
      </w:r>
      <w:r>
        <w:rPr>
          <w:rFonts w:hint="eastAsia" w:asciiTheme="majorEastAsia" w:hAnsiTheme="majorEastAsia" w:eastAsiaTheme="majorEastAsia" w:cstheme="majorEastAsia"/>
          <w:b/>
          <w:bCs/>
          <w:color w:val="auto"/>
          <w:sz w:val="32"/>
          <w:szCs w:val="32"/>
          <w:lang w:eastAsia="zh-CN"/>
        </w:rPr>
        <w:t>：陆川县第三中学挡土墙项目</w:t>
      </w:r>
    </w:p>
    <w:p w14:paraId="13EAD9A6">
      <w:pPr>
        <w:ind w:firstLine="1280" w:firstLineChars="400"/>
        <w:rPr>
          <w:rFonts w:hint="eastAsia" w:asciiTheme="majorEastAsia" w:hAnsiTheme="majorEastAsia" w:eastAsiaTheme="majorEastAsia" w:cstheme="majorEastAsia"/>
          <w:b/>
          <w:bCs/>
          <w:color w:val="auto"/>
          <w:sz w:val="32"/>
          <w:szCs w:val="32"/>
          <w:lang w:eastAsia="zh-CN"/>
        </w:rPr>
      </w:pPr>
      <w:r>
        <w:rPr>
          <w:rFonts w:hint="eastAsia" w:asciiTheme="majorEastAsia" w:hAnsiTheme="majorEastAsia" w:eastAsiaTheme="majorEastAsia" w:cstheme="majorEastAsia"/>
          <w:b/>
          <w:bCs/>
          <w:color w:val="auto"/>
          <w:sz w:val="32"/>
          <w:szCs w:val="32"/>
        </w:rPr>
        <w:t>项目编号：</w:t>
      </w:r>
      <w:r>
        <w:rPr>
          <w:rFonts w:hint="eastAsia" w:asciiTheme="majorEastAsia" w:hAnsiTheme="majorEastAsia" w:eastAsiaTheme="majorEastAsia" w:cstheme="majorEastAsia"/>
          <w:b/>
          <w:bCs/>
          <w:color w:val="auto"/>
          <w:sz w:val="32"/>
          <w:szCs w:val="32"/>
          <w:lang w:eastAsia="zh-CN"/>
        </w:rPr>
        <w:t>YLZC2026-C2-220166-GXGB</w:t>
      </w:r>
    </w:p>
    <w:p w14:paraId="3364D0F3">
      <w:pPr>
        <w:ind w:firstLine="1280" w:firstLineChars="400"/>
        <w:rPr>
          <w:rFonts w:hint="eastAsia" w:asciiTheme="majorEastAsia" w:hAnsiTheme="majorEastAsia" w:eastAsiaTheme="majorEastAsia" w:cstheme="majorEastAsia"/>
          <w:b/>
          <w:bCs/>
          <w:color w:val="auto"/>
          <w:sz w:val="32"/>
          <w:szCs w:val="32"/>
          <w:lang w:val="en-US" w:eastAsia="zh-CN"/>
        </w:rPr>
      </w:pPr>
    </w:p>
    <w:p w14:paraId="52169170">
      <w:pPr>
        <w:ind w:firstLine="1400" w:firstLineChars="500"/>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bCs/>
          <w:color w:val="auto"/>
          <w:sz w:val="28"/>
          <w:szCs w:val="28"/>
        </w:rPr>
        <w:t xml:space="preserve">                                                                        </w:t>
      </w:r>
    </w:p>
    <w:p w14:paraId="555AE86C">
      <w:pPr>
        <w:ind w:firstLine="1400" w:firstLineChars="500"/>
        <w:rPr>
          <w:rFonts w:hint="eastAsia" w:asciiTheme="majorEastAsia" w:hAnsiTheme="majorEastAsia" w:eastAsiaTheme="majorEastAsia" w:cstheme="majorEastAsia"/>
          <w:b/>
          <w:bCs/>
          <w:color w:val="auto"/>
          <w:sz w:val="28"/>
          <w:szCs w:val="28"/>
          <w:lang w:val="en-US" w:eastAsia="zh-CN"/>
        </w:rPr>
      </w:pPr>
    </w:p>
    <w:p w14:paraId="5E6CB308">
      <w:pPr>
        <w:pStyle w:val="35"/>
        <w:rPr>
          <w:rFonts w:hint="eastAsia"/>
          <w:color w:val="auto"/>
          <w:lang w:val="en-US" w:eastAsia="zh-CN"/>
        </w:rPr>
      </w:pPr>
    </w:p>
    <w:p w14:paraId="48D2F1DD">
      <w:pPr>
        <w:pStyle w:val="35"/>
        <w:ind w:firstLine="1280" w:firstLineChars="400"/>
        <w:rPr>
          <w:rFonts w:hint="default" w:asciiTheme="majorEastAsia" w:hAnsiTheme="majorEastAsia" w:eastAsiaTheme="majorEastAsia" w:cstheme="majorEastAsia"/>
          <w:b/>
          <w:bCs/>
          <w:color w:val="auto"/>
          <w:kern w:val="0"/>
          <w:sz w:val="32"/>
          <w:szCs w:val="32"/>
          <w:lang w:val="en-US" w:eastAsia="zh-CN" w:bidi="ar-SA"/>
        </w:rPr>
      </w:pPr>
      <w:r>
        <w:rPr>
          <w:rFonts w:hint="eastAsia" w:asciiTheme="majorEastAsia" w:hAnsiTheme="majorEastAsia" w:eastAsiaTheme="majorEastAsia" w:cstheme="majorEastAsia"/>
          <w:b/>
          <w:bCs/>
          <w:color w:val="auto"/>
          <w:kern w:val="0"/>
          <w:sz w:val="32"/>
          <w:szCs w:val="32"/>
          <w:lang w:val="en-US" w:eastAsia="zh-CN" w:bidi="ar-SA"/>
        </w:rPr>
        <w:t>采购人：</w:t>
      </w:r>
      <w:r>
        <w:rPr>
          <w:rFonts w:hint="eastAsia" w:asciiTheme="majorEastAsia" w:hAnsiTheme="majorEastAsia" w:eastAsiaTheme="majorEastAsia" w:cstheme="majorEastAsia"/>
          <w:b/>
          <w:bCs/>
          <w:color w:val="auto"/>
          <w:sz w:val="32"/>
          <w:szCs w:val="32"/>
          <w:lang w:eastAsia="zh-CN"/>
        </w:rPr>
        <w:t xml:space="preserve"> 陆川县第三中学 </w:t>
      </w:r>
    </w:p>
    <w:p w14:paraId="0B262DE3">
      <w:pPr>
        <w:pStyle w:val="36"/>
        <w:rPr>
          <w:rFonts w:hint="eastAsia" w:asciiTheme="majorEastAsia" w:hAnsiTheme="majorEastAsia" w:eastAsiaTheme="majorEastAsia" w:cstheme="majorEastAsia"/>
          <w:b/>
          <w:bCs/>
          <w:color w:val="auto"/>
          <w:kern w:val="0"/>
          <w:sz w:val="32"/>
          <w:szCs w:val="32"/>
          <w:lang w:val="en-US" w:eastAsia="zh-CN" w:bidi="ar-SA"/>
        </w:rPr>
      </w:pPr>
    </w:p>
    <w:p w14:paraId="32BC6F6A">
      <w:pPr>
        <w:ind w:firstLine="1280" w:firstLineChars="400"/>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kern w:val="0"/>
          <w:sz w:val="32"/>
          <w:szCs w:val="32"/>
          <w:lang w:val="en-US" w:eastAsia="zh-CN" w:bidi="ar-SA"/>
        </w:rPr>
        <w:t>采购代理机构：广西冠博工程管理有限公司</w:t>
      </w:r>
    </w:p>
    <w:p w14:paraId="77E397FF">
      <w:pPr>
        <w:pStyle w:val="15"/>
        <w:spacing w:before="120" w:after="120" w:line="360" w:lineRule="auto"/>
        <w:ind w:firstLine="4480" w:firstLineChars="1400"/>
        <w:jc w:val="both"/>
        <w:rPr>
          <w:rFonts w:hint="eastAsia"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lang w:val="en-US" w:eastAsia="zh-CN"/>
        </w:rPr>
        <w:t>2026年8月</w:t>
      </w:r>
    </w:p>
    <w:p w14:paraId="4DF4155C">
      <w:pPr>
        <w:pStyle w:val="15"/>
        <w:spacing w:before="120" w:after="120" w:line="360" w:lineRule="auto"/>
        <w:jc w:val="both"/>
        <w:rPr>
          <w:rFonts w:hint="eastAsia" w:asciiTheme="majorEastAsia" w:hAnsiTheme="majorEastAsia" w:eastAsiaTheme="majorEastAsia" w:cstheme="majorEastAsia"/>
          <w:b/>
          <w:bCs/>
          <w:color w:val="auto"/>
          <w:sz w:val="28"/>
          <w:szCs w:val="28"/>
          <w:lang w:val="en-US" w:eastAsia="zh-CN"/>
        </w:rPr>
        <w:sectPr>
          <w:headerReference r:id="rId4" w:type="first"/>
          <w:footerReference r:id="rId5" w:type="first"/>
          <w:headerReference r:id="rId3" w:type="default"/>
          <w:pgSz w:w="11906" w:h="16838"/>
          <w:pgMar w:top="1440" w:right="1080" w:bottom="1440" w:left="1080" w:header="709" w:footer="709" w:gutter="0"/>
          <w:pgNumType w:fmt="decimal" w:start="1"/>
          <w:cols w:space="720" w:num="1"/>
          <w:titlePg/>
          <w:docGrid w:type="linesAndChars" w:linePitch="312" w:charSpace="0"/>
        </w:sectPr>
      </w:pPr>
    </w:p>
    <w:p w14:paraId="24BE9B7B">
      <w:pPr>
        <w:pStyle w:val="15"/>
        <w:spacing w:before="120" w:after="120" w:line="360" w:lineRule="auto"/>
        <w:jc w:val="both"/>
        <w:rPr>
          <w:rFonts w:hint="eastAsia" w:asciiTheme="majorEastAsia" w:hAnsiTheme="majorEastAsia" w:eastAsiaTheme="majorEastAsia" w:cstheme="majorEastAsia"/>
          <w:b/>
          <w:color w:val="auto"/>
          <w:sz w:val="44"/>
          <w:szCs w:val="44"/>
          <w:highlight w:val="none"/>
          <w:lang w:val="en-US" w:eastAsia="zh-CN"/>
        </w:rPr>
      </w:pPr>
    </w:p>
    <w:p w14:paraId="49A0BCD1">
      <w:pPr>
        <w:pStyle w:val="15"/>
        <w:spacing w:before="120" w:after="120" w:line="360" w:lineRule="auto"/>
        <w:ind w:firstLine="440" w:firstLineChars="100"/>
        <w:jc w:val="center"/>
        <w:rPr>
          <w:rFonts w:hint="eastAsia" w:asciiTheme="majorEastAsia" w:hAnsiTheme="majorEastAsia" w:eastAsiaTheme="majorEastAsia" w:cstheme="majorEastAsia"/>
          <w:b/>
          <w:color w:val="auto"/>
          <w:sz w:val="44"/>
          <w:szCs w:val="44"/>
          <w:highlight w:val="none"/>
          <w:lang w:val="en-US" w:eastAsia="zh-CN"/>
        </w:rPr>
      </w:pPr>
      <w:r>
        <w:rPr>
          <w:rFonts w:hint="eastAsia" w:asciiTheme="majorEastAsia" w:hAnsiTheme="majorEastAsia" w:eastAsiaTheme="majorEastAsia" w:cstheme="majorEastAsia"/>
          <w:b/>
          <w:color w:val="auto"/>
          <w:sz w:val="44"/>
          <w:szCs w:val="44"/>
          <w:highlight w:val="none"/>
          <w:lang w:val="en-US" w:eastAsia="zh-CN"/>
        </w:rPr>
        <w:t>目   录</w:t>
      </w:r>
    </w:p>
    <w:p w14:paraId="12BD04FF">
      <w:pPr>
        <w:pStyle w:val="7"/>
        <w:rPr>
          <w:rFonts w:hint="eastAsia"/>
          <w:color w:val="auto"/>
          <w:lang w:val="en-US" w:eastAsia="zh-CN"/>
        </w:rPr>
      </w:pPr>
    </w:p>
    <w:sdt>
      <w:sdtPr>
        <w:rPr>
          <w:rFonts w:ascii="宋体" w:hAnsi="宋体" w:eastAsia="宋体" w:cs="Times New Roman"/>
          <w:color w:val="auto"/>
          <w:kern w:val="2"/>
          <w:sz w:val="21"/>
          <w:szCs w:val="24"/>
          <w:lang w:val="en-US" w:eastAsia="zh-CN" w:bidi="ar-SA"/>
        </w:rPr>
        <w:id w:val="147456129"/>
        <w15:color w:val="DBDBDB"/>
        <w:docPartObj>
          <w:docPartGallery w:val="Table of Contents"/>
          <w:docPartUnique/>
        </w:docPartObj>
      </w:sdtPr>
      <w:sdtEndPr>
        <w:rPr>
          <w:rFonts w:hint="eastAsia" w:ascii="Times New Roman" w:hAnsi="Times New Roman" w:eastAsia="宋体" w:cs="Calibri"/>
          <w:color w:val="auto"/>
          <w:kern w:val="2"/>
          <w:sz w:val="36"/>
          <w:szCs w:val="36"/>
          <w:lang w:val="en-US" w:eastAsia="zh-CN" w:bidi="ar-SA"/>
        </w:rPr>
      </w:sdtEndPr>
      <w:sdtContent>
        <w:p w14:paraId="1D2C340C">
          <w:pPr>
            <w:spacing w:before="0" w:beforeLines="0" w:after="0" w:afterLines="0" w:line="240" w:lineRule="auto"/>
            <w:ind w:left="0" w:leftChars="0" w:right="0" w:rightChars="0" w:firstLine="0" w:firstLineChars="0"/>
            <w:jc w:val="center"/>
            <w:rPr>
              <w:color w:val="auto"/>
            </w:rPr>
          </w:pPr>
        </w:p>
        <w:p w14:paraId="675E3D2A">
          <w:pPr>
            <w:pStyle w:val="20"/>
            <w:tabs>
              <w:tab w:val="right" w:leader="dot" w:pos="9626"/>
              <w:tab w:val="clear" w:pos="8398"/>
            </w:tabs>
            <w:rPr>
              <w:color w:val="auto"/>
            </w:rPr>
          </w:pPr>
          <w:r>
            <w:rPr>
              <w:rFonts w:hint="eastAsia"/>
              <w:color w:val="auto"/>
              <w:sz w:val="24"/>
              <w:szCs w:val="24"/>
              <w:lang w:val="en-US" w:eastAsia="zh-CN"/>
            </w:rPr>
            <w:fldChar w:fldCharType="begin"/>
          </w:r>
          <w:r>
            <w:rPr>
              <w:rFonts w:hint="eastAsia"/>
              <w:color w:val="auto"/>
              <w:sz w:val="24"/>
              <w:szCs w:val="24"/>
              <w:lang w:val="en-US" w:eastAsia="zh-CN"/>
            </w:rPr>
            <w:instrText xml:space="preserve">TOC \o "1-1" \h \u </w:instrText>
          </w:r>
          <w:r>
            <w:rPr>
              <w:rFonts w:hint="eastAsia"/>
              <w:color w:val="auto"/>
              <w:sz w:val="24"/>
              <w:szCs w:val="24"/>
              <w:lang w:val="en-US" w:eastAsia="zh-CN"/>
            </w:rPr>
            <w:fldChar w:fldCharType="separate"/>
          </w:r>
        </w:p>
        <w:p w14:paraId="1E20C25B">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_Toc12628 </w:instrText>
          </w:r>
          <w:r>
            <w:rPr>
              <w:rFonts w:hint="eastAsia"/>
              <w:color w:val="auto"/>
              <w:szCs w:val="36"/>
              <w:lang w:val="en-US" w:eastAsia="zh-CN"/>
            </w:rPr>
            <w:fldChar w:fldCharType="separate"/>
          </w:r>
          <w:r>
            <w:rPr>
              <w:rFonts w:hint="eastAsia" w:asciiTheme="majorEastAsia" w:hAnsiTheme="majorEastAsia" w:eastAsiaTheme="majorEastAsia" w:cstheme="majorEastAsia"/>
              <w:bCs w:val="0"/>
              <w:color w:val="auto"/>
              <w:kern w:val="2"/>
              <w:szCs w:val="52"/>
              <w:lang w:val="en-US" w:eastAsia="zh-CN" w:bidi="ar-SA"/>
            </w:rPr>
            <w:t>第一章 竞争性磋商公告</w:t>
          </w:r>
          <w:r>
            <w:rPr>
              <w:color w:val="auto"/>
            </w:rPr>
            <w:tab/>
          </w:r>
          <w:r>
            <w:rPr>
              <w:color w:val="auto"/>
            </w:rPr>
            <w:fldChar w:fldCharType="begin"/>
          </w:r>
          <w:r>
            <w:rPr>
              <w:color w:val="auto"/>
            </w:rPr>
            <w:instrText xml:space="preserve"> PAGEREF _Toc12628 \h </w:instrText>
          </w:r>
          <w:r>
            <w:rPr>
              <w:color w:val="auto"/>
            </w:rPr>
            <w:fldChar w:fldCharType="separate"/>
          </w:r>
          <w:r>
            <w:rPr>
              <w:color w:val="auto"/>
            </w:rPr>
            <w:t>3</w:t>
          </w:r>
          <w:r>
            <w:rPr>
              <w:color w:val="auto"/>
            </w:rPr>
            <w:fldChar w:fldCharType="end"/>
          </w:r>
          <w:r>
            <w:rPr>
              <w:rFonts w:hint="eastAsia"/>
              <w:color w:val="auto"/>
              <w:szCs w:val="36"/>
              <w:lang w:val="en-US" w:eastAsia="zh-CN"/>
            </w:rPr>
            <w:fldChar w:fldCharType="end"/>
          </w:r>
        </w:p>
        <w:p w14:paraId="4D9A286A">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_Toc2599 </w:instrText>
          </w:r>
          <w:r>
            <w:rPr>
              <w:rFonts w:hint="eastAsia"/>
              <w:color w:val="auto"/>
              <w:szCs w:val="36"/>
              <w:lang w:val="en-US" w:eastAsia="zh-CN"/>
            </w:rPr>
            <w:fldChar w:fldCharType="separate"/>
          </w:r>
          <w:r>
            <w:rPr>
              <w:rFonts w:hint="eastAsia" w:asciiTheme="majorEastAsia" w:hAnsiTheme="majorEastAsia" w:eastAsiaTheme="majorEastAsia" w:cstheme="majorEastAsia"/>
              <w:color w:val="auto"/>
              <w:highlight w:val="none"/>
            </w:rPr>
            <w:t>第二章 供应商须知</w:t>
          </w:r>
          <w:r>
            <w:rPr>
              <w:color w:val="auto"/>
            </w:rPr>
            <w:tab/>
          </w:r>
          <w:r>
            <w:rPr>
              <w:color w:val="auto"/>
            </w:rPr>
            <w:fldChar w:fldCharType="begin"/>
          </w:r>
          <w:r>
            <w:rPr>
              <w:color w:val="auto"/>
            </w:rPr>
            <w:instrText xml:space="preserve"> PAGEREF _Toc2599 \h </w:instrText>
          </w:r>
          <w:r>
            <w:rPr>
              <w:color w:val="auto"/>
            </w:rPr>
            <w:fldChar w:fldCharType="separate"/>
          </w:r>
          <w:r>
            <w:rPr>
              <w:color w:val="auto"/>
            </w:rPr>
            <w:t>7</w:t>
          </w:r>
          <w:r>
            <w:rPr>
              <w:color w:val="auto"/>
            </w:rPr>
            <w:fldChar w:fldCharType="end"/>
          </w:r>
          <w:r>
            <w:rPr>
              <w:rFonts w:hint="eastAsia"/>
              <w:color w:val="auto"/>
              <w:szCs w:val="36"/>
              <w:lang w:val="en-US" w:eastAsia="zh-CN"/>
            </w:rPr>
            <w:fldChar w:fldCharType="end"/>
          </w:r>
        </w:p>
        <w:p w14:paraId="643E36F8">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_Toc10843 </w:instrText>
          </w:r>
          <w:r>
            <w:rPr>
              <w:rFonts w:hint="eastAsia"/>
              <w:color w:val="auto"/>
              <w:szCs w:val="36"/>
              <w:lang w:val="en-US" w:eastAsia="zh-CN"/>
            </w:rPr>
            <w:fldChar w:fldCharType="separate"/>
          </w:r>
          <w:r>
            <w:rPr>
              <w:rFonts w:hint="eastAsia" w:ascii="宋体" w:hAnsi="宋体"/>
              <w:bCs/>
              <w:color w:val="auto"/>
              <w:szCs w:val="32"/>
              <w:lang w:val="en-US" w:eastAsia="zh-CN"/>
            </w:rPr>
            <w:t>第三章</w:t>
          </w:r>
          <w:r>
            <w:rPr>
              <w:rFonts w:hint="eastAsia"/>
              <w:bCs/>
              <w:color w:val="auto"/>
              <w:szCs w:val="32"/>
              <w:lang w:val="en-US" w:eastAsia="zh-CN"/>
            </w:rPr>
            <w:t xml:space="preserve"> </w:t>
          </w:r>
          <w:r>
            <w:rPr>
              <w:rFonts w:hint="eastAsia" w:ascii="宋体" w:hAnsi="宋体"/>
              <w:bCs/>
              <w:color w:val="auto"/>
              <w:szCs w:val="32"/>
              <w:lang w:val="en-US" w:eastAsia="zh-CN"/>
            </w:rPr>
            <w:t>采购需求</w:t>
          </w:r>
          <w:r>
            <w:rPr>
              <w:color w:val="auto"/>
            </w:rPr>
            <w:tab/>
          </w:r>
          <w:r>
            <w:rPr>
              <w:color w:val="auto"/>
            </w:rPr>
            <w:fldChar w:fldCharType="begin"/>
          </w:r>
          <w:r>
            <w:rPr>
              <w:color w:val="auto"/>
            </w:rPr>
            <w:instrText xml:space="preserve"> PAGEREF _Toc10843 \h </w:instrText>
          </w:r>
          <w:r>
            <w:rPr>
              <w:color w:val="auto"/>
            </w:rPr>
            <w:fldChar w:fldCharType="separate"/>
          </w:r>
          <w:r>
            <w:rPr>
              <w:color w:val="auto"/>
            </w:rPr>
            <w:t>23</w:t>
          </w:r>
          <w:r>
            <w:rPr>
              <w:color w:val="auto"/>
            </w:rPr>
            <w:fldChar w:fldCharType="end"/>
          </w:r>
          <w:r>
            <w:rPr>
              <w:rFonts w:hint="eastAsia"/>
              <w:color w:val="auto"/>
              <w:szCs w:val="36"/>
              <w:lang w:val="en-US" w:eastAsia="zh-CN"/>
            </w:rPr>
            <w:fldChar w:fldCharType="end"/>
          </w:r>
        </w:p>
        <w:p w14:paraId="41E502E8">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_Toc18051 </w:instrText>
          </w:r>
          <w:r>
            <w:rPr>
              <w:rFonts w:hint="eastAsia"/>
              <w:color w:val="auto"/>
              <w:szCs w:val="36"/>
              <w:lang w:val="en-US" w:eastAsia="zh-CN"/>
            </w:rPr>
            <w:fldChar w:fldCharType="separate"/>
          </w:r>
          <w:r>
            <w:rPr>
              <w:rFonts w:hint="eastAsia" w:ascii="宋体" w:hAnsi="宋体"/>
              <w:bCs/>
              <w:color w:val="auto"/>
              <w:szCs w:val="44"/>
            </w:rPr>
            <w:t>第四章 评审程序、评审方法和评审标准</w:t>
          </w:r>
          <w:r>
            <w:rPr>
              <w:color w:val="auto"/>
            </w:rPr>
            <w:tab/>
          </w:r>
          <w:r>
            <w:rPr>
              <w:color w:val="auto"/>
            </w:rPr>
            <w:fldChar w:fldCharType="begin"/>
          </w:r>
          <w:r>
            <w:rPr>
              <w:color w:val="auto"/>
            </w:rPr>
            <w:instrText xml:space="preserve"> PAGEREF _Toc18051 \h </w:instrText>
          </w:r>
          <w:r>
            <w:rPr>
              <w:color w:val="auto"/>
            </w:rPr>
            <w:fldChar w:fldCharType="separate"/>
          </w:r>
          <w:r>
            <w:rPr>
              <w:color w:val="auto"/>
            </w:rPr>
            <w:t>25</w:t>
          </w:r>
          <w:r>
            <w:rPr>
              <w:color w:val="auto"/>
            </w:rPr>
            <w:fldChar w:fldCharType="end"/>
          </w:r>
          <w:r>
            <w:rPr>
              <w:rFonts w:hint="eastAsia"/>
              <w:color w:val="auto"/>
              <w:szCs w:val="36"/>
              <w:lang w:val="en-US" w:eastAsia="zh-CN"/>
            </w:rPr>
            <w:fldChar w:fldCharType="end"/>
          </w:r>
        </w:p>
        <w:p w14:paraId="76C5F49A">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_Toc19821 </w:instrText>
          </w:r>
          <w:r>
            <w:rPr>
              <w:rFonts w:hint="eastAsia"/>
              <w:color w:val="auto"/>
              <w:szCs w:val="36"/>
              <w:lang w:val="en-US" w:eastAsia="zh-CN"/>
            </w:rPr>
            <w:fldChar w:fldCharType="separate"/>
          </w:r>
          <w:r>
            <w:rPr>
              <w:rFonts w:hint="eastAsia"/>
              <w:color w:val="auto"/>
              <w:szCs w:val="36"/>
              <w:lang w:val="en-US" w:eastAsia="zh-CN"/>
            </w:rPr>
            <w:t>第五章 工程量清单及图纸</w:t>
          </w:r>
          <w:r>
            <w:rPr>
              <w:color w:val="auto"/>
            </w:rPr>
            <w:tab/>
          </w:r>
          <w:r>
            <w:rPr>
              <w:color w:val="auto"/>
            </w:rPr>
            <w:fldChar w:fldCharType="begin"/>
          </w:r>
          <w:r>
            <w:rPr>
              <w:color w:val="auto"/>
            </w:rPr>
            <w:instrText xml:space="preserve"> PAGEREF _Toc19821 \h </w:instrText>
          </w:r>
          <w:r>
            <w:rPr>
              <w:color w:val="auto"/>
            </w:rPr>
            <w:fldChar w:fldCharType="separate"/>
          </w:r>
          <w:r>
            <w:rPr>
              <w:color w:val="auto"/>
            </w:rPr>
            <w:t>35</w:t>
          </w:r>
          <w:r>
            <w:rPr>
              <w:color w:val="auto"/>
            </w:rPr>
            <w:fldChar w:fldCharType="end"/>
          </w:r>
          <w:r>
            <w:rPr>
              <w:rFonts w:hint="eastAsia"/>
              <w:color w:val="auto"/>
              <w:szCs w:val="36"/>
              <w:lang w:val="en-US" w:eastAsia="zh-CN"/>
            </w:rPr>
            <w:fldChar w:fldCharType="end"/>
          </w:r>
        </w:p>
        <w:p w14:paraId="5268599D">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_Toc26975 </w:instrText>
          </w:r>
          <w:r>
            <w:rPr>
              <w:rFonts w:hint="eastAsia"/>
              <w:color w:val="auto"/>
              <w:szCs w:val="36"/>
              <w:lang w:val="en-US" w:eastAsia="zh-CN"/>
            </w:rPr>
            <w:fldChar w:fldCharType="separate"/>
          </w:r>
          <w:r>
            <w:rPr>
              <w:rFonts w:hint="eastAsia" w:ascii="宋体" w:hAnsi="宋体" w:eastAsia="宋体" w:cs="Times New Roman"/>
              <w:bCs/>
              <w:color w:val="auto"/>
              <w:szCs w:val="44"/>
            </w:rPr>
            <w:t>第</w:t>
          </w:r>
          <w:r>
            <w:rPr>
              <w:rFonts w:hint="eastAsia" w:ascii="宋体" w:hAnsi="宋体" w:cs="Times New Roman"/>
              <w:bCs/>
              <w:color w:val="auto"/>
              <w:szCs w:val="44"/>
              <w:lang w:val="en-US" w:eastAsia="zh-CN"/>
            </w:rPr>
            <w:t>六</w:t>
          </w:r>
          <w:r>
            <w:rPr>
              <w:rFonts w:hint="eastAsia" w:ascii="宋体" w:hAnsi="宋体" w:eastAsia="宋体" w:cs="Times New Roman"/>
              <w:bCs/>
              <w:color w:val="auto"/>
              <w:szCs w:val="44"/>
            </w:rPr>
            <w:t>章 响应文件格式</w:t>
          </w:r>
          <w:r>
            <w:rPr>
              <w:color w:val="auto"/>
            </w:rPr>
            <w:tab/>
          </w:r>
          <w:r>
            <w:rPr>
              <w:color w:val="auto"/>
            </w:rPr>
            <w:fldChar w:fldCharType="begin"/>
          </w:r>
          <w:r>
            <w:rPr>
              <w:color w:val="auto"/>
            </w:rPr>
            <w:instrText xml:space="preserve"> PAGEREF _Toc26975 \h </w:instrText>
          </w:r>
          <w:r>
            <w:rPr>
              <w:color w:val="auto"/>
            </w:rPr>
            <w:fldChar w:fldCharType="separate"/>
          </w:r>
          <w:r>
            <w:rPr>
              <w:color w:val="auto"/>
            </w:rPr>
            <w:t>40</w:t>
          </w:r>
          <w:r>
            <w:rPr>
              <w:color w:val="auto"/>
            </w:rPr>
            <w:fldChar w:fldCharType="end"/>
          </w:r>
          <w:r>
            <w:rPr>
              <w:rFonts w:hint="eastAsia"/>
              <w:color w:val="auto"/>
              <w:szCs w:val="36"/>
              <w:lang w:val="en-US" w:eastAsia="zh-CN"/>
            </w:rPr>
            <w:fldChar w:fldCharType="end"/>
          </w:r>
        </w:p>
        <w:p w14:paraId="7D37B2C9">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_Toc26675 </w:instrText>
          </w:r>
          <w:r>
            <w:rPr>
              <w:rFonts w:hint="eastAsia"/>
              <w:color w:val="auto"/>
              <w:szCs w:val="36"/>
              <w:lang w:val="en-US" w:eastAsia="zh-CN"/>
            </w:rPr>
            <w:fldChar w:fldCharType="separate"/>
          </w:r>
          <w:r>
            <w:rPr>
              <w:rFonts w:hint="eastAsia" w:asciiTheme="majorEastAsia" w:hAnsiTheme="majorEastAsia" w:eastAsiaTheme="majorEastAsia" w:cstheme="majorEastAsia"/>
              <w:bCs w:val="0"/>
              <w:color w:val="auto"/>
              <w:kern w:val="2"/>
              <w:szCs w:val="52"/>
              <w:lang w:val="en-US" w:eastAsia="zh-CN" w:bidi="ar-SA"/>
            </w:rPr>
            <w:t>第七章 合同文本</w:t>
          </w:r>
          <w:r>
            <w:rPr>
              <w:color w:val="auto"/>
            </w:rPr>
            <w:tab/>
          </w:r>
          <w:r>
            <w:rPr>
              <w:color w:val="auto"/>
            </w:rPr>
            <w:fldChar w:fldCharType="begin"/>
          </w:r>
          <w:r>
            <w:rPr>
              <w:color w:val="auto"/>
            </w:rPr>
            <w:instrText xml:space="preserve"> PAGEREF _Toc26675 \h </w:instrText>
          </w:r>
          <w:r>
            <w:rPr>
              <w:color w:val="auto"/>
            </w:rPr>
            <w:fldChar w:fldCharType="separate"/>
          </w:r>
          <w:r>
            <w:rPr>
              <w:color w:val="auto"/>
            </w:rPr>
            <w:t>69</w:t>
          </w:r>
          <w:r>
            <w:rPr>
              <w:color w:val="auto"/>
            </w:rPr>
            <w:fldChar w:fldCharType="end"/>
          </w:r>
          <w:r>
            <w:rPr>
              <w:rFonts w:hint="eastAsia"/>
              <w:color w:val="auto"/>
              <w:szCs w:val="36"/>
              <w:lang w:val="en-US" w:eastAsia="zh-CN"/>
            </w:rPr>
            <w:fldChar w:fldCharType="end"/>
          </w:r>
        </w:p>
        <w:p w14:paraId="6C32F2F0">
          <w:pPr>
            <w:pStyle w:val="35"/>
            <w:keepNext w:val="0"/>
            <w:keepLines w:val="0"/>
            <w:pageBreakBefore w:val="0"/>
            <w:kinsoku/>
            <w:wordWrap/>
            <w:overflowPunct/>
            <w:topLinePunct w:val="0"/>
            <w:bidi w:val="0"/>
            <w:snapToGrid/>
            <w:spacing w:line="360" w:lineRule="auto"/>
            <w:textAlignment w:val="auto"/>
            <w:rPr>
              <w:rFonts w:hint="eastAsia"/>
              <w:color w:val="auto"/>
              <w:sz w:val="36"/>
              <w:szCs w:val="36"/>
              <w:lang w:val="en-US" w:eastAsia="zh-CN"/>
            </w:rPr>
          </w:pPr>
          <w:r>
            <w:rPr>
              <w:rFonts w:hint="eastAsia"/>
              <w:color w:val="auto"/>
              <w:szCs w:val="36"/>
              <w:lang w:val="en-US" w:eastAsia="zh-CN"/>
            </w:rPr>
            <w:fldChar w:fldCharType="end"/>
          </w:r>
        </w:p>
      </w:sdtContent>
    </w:sdt>
    <w:p w14:paraId="56C42AC8">
      <w:pPr>
        <w:pStyle w:val="20"/>
        <w:keepNext w:val="0"/>
        <w:keepLines w:val="0"/>
        <w:pageBreakBefore w:val="0"/>
        <w:tabs>
          <w:tab w:val="right" w:leader="dot" w:pos="9638"/>
          <w:tab w:val="clear" w:pos="8398"/>
        </w:tabs>
        <w:kinsoku/>
        <w:wordWrap/>
        <w:overflowPunct/>
        <w:topLinePunct w:val="0"/>
        <w:bidi w:val="0"/>
        <w:snapToGrid/>
        <w:spacing w:line="360" w:lineRule="auto"/>
        <w:ind w:firstLine="321"/>
        <w:textAlignment w:val="auto"/>
        <w:rPr>
          <w:rFonts w:hint="eastAsia" w:asciiTheme="majorEastAsia" w:hAnsiTheme="majorEastAsia" w:eastAsiaTheme="majorEastAsia" w:cstheme="majorEastAsia"/>
          <w:color w:val="auto"/>
          <w:sz w:val="36"/>
          <w:szCs w:val="36"/>
          <w:highlight w:val="none"/>
        </w:rPr>
      </w:pPr>
    </w:p>
    <w:p w14:paraId="29B036C4">
      <w:pPr>
        <w:pStyle w:val="15"/>
        <w:ind w:left="411" w:leftChars="196"/>
        <w:rPr>
          <w:rFonts w:hint="eastAsia" w:asciiTheme="majorEastAsia" w:hAnsiTheme="majorEastAsia" w:eastAsiaTheme="majorEastAsia" w:cstheme="majorEastAsia"/>
          <w:color w:val="auto"/>
          <w:sz w:val="32"/>
          <w:highlight w:val="none"/>
        </w:rPr>
      </w:pPr>
    </w:p>
    <w:p w14:paraId="234238FE">
      <w:pPr>
        <w:pStyle w:val="15"/>
        <w:ind w:left="411" w:leftChars="196"/>
        <w:rPr>
          <w:rFonts w:hint="eastAsia" w:asciiTheme="majorEastAsia" w:hAnsiTheme="majorEastAsia" w:eastAsiaTheme="majorEastAsia" w:cstheme="majorEastAsia"/>
          <w:color w:val="auto"/>
          <w:sz w:val="32"/>
          <w:highlight w:val="none"/>
        </w:rPr>
      </w:pPr>
    </w:p>
    <w:p w14:paraId="570B58FD">
      <w:pPr>
        <w:pStyle w:val="15"/>
        <w:ind w:left="411" w:leftChars="196"/>
        <w:rPr>
          <w:rFonts w:hint="eastAsia" w:asciiTheme="majorEastAsia" w:hAnsiTheme="majorEastAsia" w:eastAsiaTheme="majorEastAsia" w:cstheme="majorEastAsia"/>
          <w:color w:val="auto"/>
          <w:sz w:val="32"/>
          <w:highlight w:val="none"/>
        </w:rPr>
      </w:pPr>
    </w:p>
    <w:p w14:paraId="46E63234">
      <w:pPr>
        <w:pStyle w:val="15"/>
        <w:ind w:left="411" w:leftChars="196"/>
        <w:rPr>
          <w:rFonts w:hint="eastAsia" w:asciiTheme="majorEastAsia" w:hAnsiTheme="majorEastAsia" w:eastAsiaTheme="majorEastAsia" w:cstheme="majorEastAsia"/>
          <w:color w:val="auto"/>
          <w:sz w:val="32"/>
          <w:highlight w:val="none"/>
        </w:rPr>
      </w:pPr>
    </w:p>
    <w:p w14:paraId="0A6536D2">
      <w:pPr>
        <w:tabs>
          <w:tab w:val="center" w:pos="4535"/>
          <w:tab w:val="left" w:pos="6945"/>
        </w:tabs>
        <w:spacing w:line="400" w:lineRule="exact"/>
        <w:jc w:val="left"/>
        <w:rPr>
          <w:rFonts w:hint="eastAsia" w:asciiTheme="majorEastAsia" w:hAnsiTheme="majorEastAsia" w:eastAsiaTheme="majorEastAsia" w:cstheme="majorEastAsia"/>
          <w:color w:val="auto"/>
          <w:sz w:val="36"/>
          <w:szCs w:val="36"/>
          <w:highlight w:val="none"/>
        </w:rPr>
      </w:pPr>
      <w:r>
        <w:rPr>
          <w:rFonts w:hint="eastAsia" w:asciiTheme="majorEastAsia" w:hAnsiTheme="majorEastAsia" w:eastAsiaTheme="majorEastAsia" w:cstheme="majorEastAsia"/>
          <w:color w:val="auto"/>
          <w:sz w:val="36"/>
          <w:szCs w:val="36"/>
          <w:highlight w:val="none"/>
        </w:rPr>
        <w:tab/>
      </w:r>
    </w:p>
    <w:p w14:paraId="2E421DA1">
      <w:pPr>
        <w:pStyle w:val="15"/>
        <w:spacing w:line="500" w:lineRule="exact"/>
        <w:jc w:val="center"/>
        <w:rPr>
          <w:rFonts w:hint="eastAsia" w:asciiTheme="majorEastAsia" w:hAnsiTheme="majorEastAsia" w:eastAsiaTheme="majorEastAsia" w:cstheme="majorEastAsia"/>
          <w:color w:val="auto"/>
          <w:sz w:val="36"/>
          <w:szCs w:val="36"/>
          <w:highlight w:val="none"/>
        </w:rPr>
        <w:sectPr>
          <w:headerReference r:id="rId7" w:type="first"/>
          <w:footerReference r:id="rId9" w:type="first"/>
          <w:headerReference r:id="rId6" w:type="default"/>
          <w:footerReference r:id="rId8" w:type="default"/>
          <w:pgSz w:w="11906" w:h="16838"/>
          <w:pgMar w:top="1134" w:right="1140" w:bottom="1134" w:left="1140" w:header="709" w:footer="709" w:gutter="0"/>
          <w:pgNumType w:fmt="decimal" w:start="2"/>
          <w:cols w:space="720" w:num="1"/>
          <w:titlePg/>
          <w:docGrid w:type="linesAndChars" w:linePitch="312" w:charSpace="0"/>
        </w:sectPr>
      </w:pPr>
    </w:p>
    <w:p w14:paraId="3DB2376A">
      <w:pPr>
        <w:pStyle w:val="16"/>
        <w:rPr>
          <w:rFonts w:hint="eastAsia"/>
          <w:color w:val="auto"/>
        </w:rPr>
      </w:pPr>
    </w:p>
    <w:p w14:paraId="0845C295">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2A20A708">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213DF39D">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0C85B3AA">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04AE38AE">
      <w:pPr>
        <w:pStyle w:val="4"/>
        <w:keepLines/>
        <w:spacing w:before="340" w:after="330" w:line="578" w:lineRule="auto"/>
        <w:jc w:val="center"/>
        <w:rPr>
          <w:rFonts w:hint="eastAsia" w:asciiTheme="majorEastAsia" w:hAnsiTheme="majorEastAsia" w:eastAsiaTheme="majorEastAsia" w:cstheme="majorEastAsia"/>
          <w:b/>
          <w:bCs w:val="0"/>
          <w:color w:val="auto"/>
          <w:kern w:val="2"/>
          <w:sz w:val="40"/>
          <w:szCs w:val="52"/>
          <w:lang w:val="en-US" w:eastAsia="zh-CN" w:bidi="ar-SA"/>
        </w:rPr>
      </w:pPr>
      <w:bookmarkStart w:id="2" w:name="_Toc11271"/>
      <w:bookmarkStart w:id="3" w:name="_Toc12628"/>
      <w:r>
        <w:rPr>
          <w:rFonts w:hint="eastAsia" w:asciiTheme="majorEastAsia" w:hAnsiTheme="majorEastAsia" w:eastAsiaTheme="majorEastAsia" w:cstheme="majorEastAsia"/>
          <w:b/>
          <w:bCs w:val="0"/>
          <w:color w:val="auto"/>
          <w:kern w:val="2"/>
          <w:sz w:val="40"/>
          <w:szCs w:val="52"/>
          <w:lang w:val="en-US" w:eastAsia="zh-CN" w:bidi="ar-SA"/>
        </w:rPr>
        <w:t>第一章  竞争性磋商公告</w:t>
      </w:r>
      <w:bookmarkEnd w:id="2"/>
      <w:bookmarkEnd w:id="3"/>
    </w:p>
    <w:p w14:paraId="4533C620">
      <w:pPr>
        <w:pStyle w:val="15"/>
        <w:spacing w:line="400" w:lineRule="exact"/>
        <w:jc w:val="center"/>
        <w:rPr>
          <w:rFonts w:hint="eastAsia" w:asciiTheme="majorEastAsia" w:hAnsiTheme="majorEastAsia" w:eastAsiaTheme="majorEastAsia" w:cstheme="majorEastAsia"/>
          <w:b/>
          <w:color w:val="auto"/>
          <w:sz w:val="32"/>
          <w:szCs w:val="32"/>
          <w:highlight w:val="none"/>
        </w:rPr>
      </w:pPr>
    </w:p>
    <w:p w14:paraId="1A0714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color w:val="auto"/>
          <w:szCs w:val="21"/>
          <w:highlight w:val="none"/>
          <w:lang w:eastAsia="zh-CN"/>
        </w:rPr>
        <w:br w:type="page"/>
      </w:r>
      <w:r>
        <w:rPr>
          <w:rFonts w:hint="eastAsia" w:asciiTheme="majorEastAsia" w:hAnsiTheme="majorEastAsia" w:eastAsiaTheme="majorEastAsia" w:cstheme="majorEastAsia"/>
          <w:b/>
          <w:bCs/>
          <w:color w:val="auto"/>
          <w:sz w:val="28"/>
          <w:szCs w:val="28"/>
          <w:highlight w:val="none"/>
          <w:lang w:eastAsia="zh-CN"/>
        </w:rPr>
        <w:t>广西冠博工程管理有限公司</w:t>
      </w:r>
    </w:p>
    <w:p w14:paraId="1C2AFF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陆川县第三中学挡土墙项目</w:t>
      </w:r>
    </w:p>
    <w:p w14:paraId="057289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竞争性磋商公告</w:t>
      </w:r>
    </w:p>
    <w:p w14:paraId="54437628">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项目概况</w:t>
      </w:r>
    </w:p>
    <w:p w14:paraId="6030DD7B">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u w:val="single"/>
          <w:lang w:eastAsia="zh-CN"/>
        </w:rPr>
        <w:t>陆川县第三中学挡土墙项目</w:t>
      </w:r>
      <w:r>
        <w:rPr>
          <w:rFonts w:hint="eastAsia" w:asciiTheme="majorEastAsia" w:hAnsiTheme="majorEastAsia" w:eastAsiaTheme="majorEastAsia" w:cstheme="majorEastAsia"/>
          <w:color w:val="auto"/>
          <w:sz w:val="21"/>
          <w:szCs w:val="21"/>
          <w:highlight w:val="none"/>
          <w:u w:val="none"/>
          <w:lang w:eastAsia="zh-CN"/>
        </w:rPr>
        <w:t>采购项目</w:t>
      </w:r>
      <w:r>
        <w:rPr>
          <w:rFonts w:hint="eastAsia" w:asciiTheme="majorEastAsia" w:hAnsiTheme="majorEastAsia" w:eastAsiaTheme="majorEastAsia" w:cstheme="majorEastAsia"/>
          <w:color w:val="auto"/>
          <w:sz w:val="21"/>
          <w:szCs w:val="21"/>
          <w:highlight w:val="none"/>
          <w:u w:val="none"/>
        </w:rPr>
        <w:t>的</w:t>
      </w:r>
      <w:r>
        <w:rPr>
          <w:rFonts w:hint="eastAsia" w:asciiTheme="majorEastAsia" w:hAnsiTheme="majorEastAsia" w:eastAsiaTheme="majorEastAsia" w:cstheme="majorEastAsia"/>
          <w:color w:val="auto"/>
          <w:sz w:val="21"/>
          <w:szCs w:val="21"/>
          <w:highlight w:val="none"/>
        </w:rPr>
        <w:t>潜在供应商应在</w:t>
      </w:r>
      <w:r>
        <w:rPr>
          <w:rFonts w:hint="eastAsia" w:ascii="宋体" w:hAnsi="宋体"/>
          <w:color w:val="auto"/>
          <w:szCs w:val="21"/>
          <w:u w:val="single"/>
        </w:rPr>
        <w:t>广西政府采购云平台（</w:t>
      </w:r>
      <w:r>
        <w:rPr>
          <w:rFonts w:ascii="宋体" w:hAnsi="宋体"/>
          <w:color w:val="auto"/>
          <w:szCs w:val="21"/>
          <w:u w:val="single"/>
        </w:rPr>
        <w:t>https://www.gcy.zfcg.gxzf.gov.cn</w:t>
      </w:r>
      <w:r>
        <w:rPr>
          <w:rFonts w:hint="eastAsia" w:ascii="宋体" w:hAnsi="宋体"/>
          <w:color w:val="auto"/>
          <w:szCs w:val="21"/>
          <w:u w:val="single"/>
          <w:lang w:eastAsia="zh-CN"/>
        </w:rPr>
        <w:t>）</w:t>
      </w:r>
      <w:r>
        <w:rPr>
          <w:rFonts w:hint="eastAsia" w:asciiTheme="majorEastAsia" w:hAnsiTheme="majorEastAsia" w:eastAsiaTheme="majorEastAsia" w:cstheme="majorEastAsia"/>
          <w:color w:val="auto"/>
          <w:sz w:val="21"/>
          <w:szCs w:val="21"/>
          <w:highlight w:val="none"/>
        </w:rPr>
        <w:t>获取竞争性磋商文件，并于</w:t>
      </w:r>
      <w:r>
        <w:rPr>
          <w:rFonts w:hint="eastAsia" w:asciiTheme="majorEastAsia" w:hAnsiTheme="majorEastAsia" w:eastAsiaTheme="majorEastAsia" w:cstheme="majorEastAsia"/>
          <w:color w:val="auto"/>
          <w:sz w:val="21"/>
          <w:szCs w:val="21"/>
          <w:highlight w:val="none"/>
          <w:u w:val="single"/>
        </w:rPr>
        <w:t>202</w:t>
      </w:r>
      <w:r>
        <w:rPr>
          <w:rFonts w:hint="eastAsia" w:asciiTheme="majorEastAsia" w:hAnsiTheme="majorEastAsia" w:eastAsiaTheme="majorEastAsia" w:cstheme="majorEastAsia"/>
          <w:color w:val="auto"/>
          <w:sz w:val="21"/>
          <w:szCs w:val="21"/>
          <w:highlight w:val="none"/>
          <w:u w:val="single"/>
          <w:lang w:val="en-US" w:eastAsia="zh-CN"/>
        </w:rPr>
        <w:t>6</w:t>
      </w:r>
      <w:r>
        <w:rPr>
          <w:rFonts w:hint="eastAsia" w:asciiTheme="majorEastAsia" w:hAnsiTheme="majorEastAsia" w:eastAsiaTheme="majorEastAsia" w:cstheme="majorEastAsia"/>
          <w:color w:val="auto"/>
          <w:sz w:val="21"/>
          <w:szCs w:val="21"/>
          <w:highlight w:val="none"/>
          <w:u w:val="single"/>
        </w:rPr>
        <w:t>年</w:t>
      </w:r>
      <w:r>
        <w:rPr>
          <w:rFonts w:hint="eastAsia" w:asciiTheme="majorEastAsia" w:hAnsiTheme="majorEastAsia" w:eastAsiaTheme="majorEastAsia" w:cstheme="majorEastAsia"/>
          <w:color w:val="auto"/>
          <w:sz w:val="21"/>
          <w:szCs w:val="21"/>
          <w:highlight w:val="none"/>
          <w:u w:val="single"/>
          <w:lang w:val="en-US" w:eastAsia="zh-CN"/>
        </w:rPr>
        <w:t>8</w:t>
      </w:r>
      <w:r>
        <w:rPr>
          <w:rFonts w:hint="eastAsia" w:asciiTheme="majorEastAsia" w:hAnsiTheme="majorEastAsia" w:eastAsiaTheme="majorEastAsia" w:cstheme="majorEastAsia"/>
          <w:color w:val="auto"/>
          <w:sz w:val="21"/>
          <w:szCs w:val="21"/>
          <w:highlight w:val="none"/>
          <w:u w:val="single"/>
        </w:rPr>
        <w:t>月</w:t>
      </w:r>
      <w:r>
        <w:rPr>
          <w:rFonts w:hint="eastAsia" w:asciiTheme="majorEastAsia" w:hAnsiTheme="majorEastAsia" w:eastAsiaTheme="majorEastAsia" w:cstheme="majorEastAsia"/>
          <w:color w:val="auto"/>
          <w:sz w:val="21"/>
          <w:szCs w:val="21"/>
          <w:highlight w:val="none"/>
          <w:u w:val="single"/>
          <w:lang w:val="en-US" w:eastAsia="zh-CN"/>
        </w:rPr>
        <w:t>26</w:t>
      </w:r>
      <w:r>
        <w:rPr>
          <w:rFonts w:hint="eastAsia" w:asciiTheme="majorEastAsia" w:hAnsiTheme="majorEastAsia" w:eastAsiaTheme="majorEastAsia" w:cstheme="majorEastAsia"/>
          <w:color w:val="auto"/>
          <w:sz w:val="21"/>
          <w:szCs w:val="21"/>
          <w:highlight w:val="none"/>
          <w:u w:val="single"/>
        </w:rPr>
        <w:t>日</w:t>
      </w:r>
      <w:r>
        <w:rPr>
          <w:rFonts w:hint="eastAsia" w:asciiTheme="majorEastAsia" w:hAnsiTheme="majorEastAsia" w:eastAsiaTheme="majorEastAsia" w:cstheme="majorEastAsia"/>
          <w:color w:val="auto"/>
          <w:sz w:val="21"/>
          <w:szCs w:val="21"/>
          <w:highlight w:val="none"/>
          <w:u w:val="single"/>
          <w:lang w:val="en-US" w:eastAsia="zh-CN"/>
        </w:rPr>
        <w:t>09</w:t>
      </w:r>
      <w:r>
        <w:rPr>
          <w:rFonts w:hint="eastAsia" w:asciiTheme="majorEastAsia" w:hAnsiTheme="majorEastAsia" w:eastAsiaTheme="majorEastAsia" w:cstheme="majorEastAsia"/>
          <w:color w:val="auto"/>
          <w:sz w:val="21"/>
          <w:szCs w:val="21"/>
          <w:highlight w:val="none"/>
          <w:u w:val="single"/>
        </w:rPr>
        <w:t>时</w:t>
      </w:r>
      <w:r>
        <w:rPr>
          <w:rFonts w:hint="eastAsia" w:asciiTheme="majorEastAsia" w:hAnsiTheme="majorEastAsia" w:eastAsiaTheme="majorEastAsia" w:cstheme="majorEastAsia"/>
          <w:color w:val="auto"/>
          <w:sz w:val="21"/>
          <w:szCs w:val="21"/>
          <w:highlight w:val="none"/>
          <w:u w:val="single"/>
          <w:lang w:val="en-US" w:eastAsia="zh-CN"/>
        </w:rPr>
        <w:t>00</w:t>
      </w:r>
      <w:r>
        <w:rPr>
          <w:rFonts w:hint="eastAsia" w:asciiTheme="majorEastAsia" w:hAnsiTheme="majorEastAsia" w:eastAsiaTheme="majorEastAsia" w:cstheme="majorEastAsia"/>
          <w:color w:val="auto"/>
          <w:sz w:val="21"/>
          <w:szCs w:val="21"/>
          <w:highlight w:val="none"/>
          <w:u w:val="single"/>
        </w:rPr>
        <w:t>分</w:t>
      </w:r>
      <w:r>
        <w:rPr>
          <w:rFonts w:hint="eastAsia" w:asciiTheme="majorEastAsia" w:hAnsiTheme="majorEastAsia" w:eastAsiaTheme="majorEastAsia" w:cstheme="majorEastAsia"/>
          <w:color w:val="auto"/>
          <w:sz w:val="21"/>
          <w:szCs w:val="21"/>
          <w:highlight w:val="none"/>
        </w:rPr>
        <w:t>（北京时间）前提交响应文件。</w:t>
      </w:r>
    </w:p>
    <w:p w14:paraId="648AFD99">
      <w:pPr>
        <w:pageBreakBefore w:val="0"/>
        <w:tabs>
          <w:tab w:val="left" w:pos="284"/>
        </w:tabs>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rPr>
      </w:pPr>
      <w:bookmarkStart w:id="4" w:name="_Toc28359089"/>
      <w:bookmarkStart w:id="5" w:name="_Toc28359012"/>
      <w:bookmarkStart w:id="6" w:name="_Toc35393629"/>
      <w:bookmarkStart w:id="7" w:name="_Toc35393798"/>
      <w:r>
        <w:rPr>
          <w:rFonts w:hint="eastAsia" w:asciiTheme="majorEastAsia" w:hAnsiTheme="majorEastAsia" w:eastAsiaTheme="majorEastAsia" w:cstheme="majorEastAsia"/>
          <w:b/>
          <w:color w:val="auto"/>
          <w:sz w:val="24"/>
          <w:szCs w:val="24"/>
          <w:highlight w:val="none"/>
        </w:rPr>
        <w:t>一、项目基本情况</w:t>
      </w:r>
      <w:bookmarkEnd w:id="4"/>
      <w:bookmarkEnd w:id="5"/>
      <w:bookmarkEnd w:id="6"/>
      <w:bookmarkEnd w:id="7"/>
    </w:p>
    <w:p w14:paraId="03DA49A1">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1.项目编号：YLZC2026-C2-220166-GXGB</w:t>
      </w:r>
    </w:p>
    <w:p w14:paraId="20DC3C4E">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2.项目名称：陆川县第三中学挡土墙项目</w:t>
      </w:r>
    </w:p>
    <w:p w14:paraId="1DAA91C7">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3.采购方式：竞争性磋商</w:t>
      </w:r>
    </w:p>
    <w:p w14:paraId="52168FB8">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default"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4.预算总金额（元）：963076.98</w:t>
      </w:r>
    </w:p>
    <w:p w14:paraId="5AE5BCEA">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lang w:val="en-US" w:eastAsia="zh-CN"/>
        </w:rPr>
        <w:t>5.</w:t>
      </w:r>
      <w:r>
        <w:rPr>
          <w:rFonts w:hint="eastAsia" w:asciiTheme="majorEastAsia" w:hAnsiTheme="majorEastAsia" w:eastAsiaTheme="majorEastAsia" w:cstheme="majorEastAsia"/>
          <w:b w:val="0"/>
          <w:bCs/>
          <w:color w:val="auto"/>
          <w:sz w:val="21"/>
          <w:szCs w:val="21"/>
          <w:highlight w:val="none"/>
        </w:rPr>
        <w:t>采购需求：</w:t>
      </w:r>
    </w:p>
    <w:p w14:paraId="73487518">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标项名称：陆川县第三中学挡土墙项目</w:t>
      </w:r>
    </w:p>
    <w:p w14:paraId="50C35B90">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数量：1</w:t>
      </w:r>
    </w:p>
    <w:p w14:paraId="127AB9F8">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预算金额（元）：963076.98</w:t>
      </w:r>
    </w:p>
    <w:p w14:paraId="4BF4EAD6">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新宋体" w:hAnsi="新宋体" w:eastAsia="新宋体" w:cs="新宋体"/>
          <w:b w:val="0"/>
          <w:bCs w:val="0"/>
          <w:color w:val="auto"/>
          <w:sz w:val="21"/>
          <w:szCs w:val="21"/>
          <w:highlight w:val="none"/>
        </w:rPr>
      </w:pPr>
      <w:r>
        <w:rPr>
          <w:rFonts w:hint="eastAsia" w:ascii="宋体" w:hAnsi="宋体"/>
          <w:color w:val="auto"/>
          <w:sz w:val="21"/>
          <w:szCs w:val="21"/>
          <w:highlight w:val="none"/>
        </w:rPr>
        <w:t>简要规格描述或项目基本概况介绍、用途：</w:t>
      </w:r>
      <w:r>
        <w:rPr>
          <w:rFonts w:hint="eastAsia" w:ascii="宋体" w:hAnsi="宋体"/>
          <w:color w:val="auto"/>
          <w:sz w:val="21"/>
          <w:szCs w:val="21"/>
          <w:highlight w:val="none"/>
          <w:lang w:val="en-US" w:eastAsia="zh-CN"/>
        </w:rPr>
        <w:t>本项目为</w:t>
      </w:r>
      <w:r>
        <w:rPr>
          <w:rFonts w:hint="eastAsia" w:asciiTheme="majorEastAsia" w:hAnsiTheme="majorEastAsia" w:eastAsiaTheme="majorEastAsia" w:cstheme="majorEastAsia"/>
          <w:b w:val="0"/>
          <w:bCs/>
          <w:color w:val="auto"/>
          <w:sz w:val="21"/>
          <w:szCs w:val="21"/>
          <w:highlight w:val="none"/>
          <w:lang w:val="en-US" w:eastAsia="zh-CN"/>
        </w:rPr>
        <w:t>陆川县第三中学挡土墙项目，</w:t>
      </w:r>
      <w:r>
        <w:rPr>
          <w:rFonts w:hint="eastAsia" w:ascii="新宋体" w:hAnsi="新宋体" w:eastAsia="新宋体" w:cs="新宋体"/>
          <w:b w:val="0"/>
          <w:bCs w:val="0"/>
          <w:color w:val="auto"/>
          <w:sz w:val="21"/>
          <w:szCs w:val="21"/>
          <w:highlight w:val="none"/>
        </w:rPr>
        <w:t>具体内容详见施工图纸</w:t>
      </w:r>
      <w:r>
        <w:rPr>
          <w:rFonts w:hint="eastAsia" w:ascii="宋体" w:hAnsi="宋体" w:eastAsia="宋体" w:cs="宋体"/>
          <w:b w:val="0"/>
          <w:bCs/>
          <w:color w:val="auto"/>
          <w:sz w:val="21"/>
          <w:szCs w:val="21"/>
          <w:highlight w:val="none"/>
          <w:lang w:val="en-US" w:eastAsia="zh-CN"/>
        </w:rPr>
        <w:t>及工程建设相关资料</w:t>
      </w:r>
      <w:r>
        <w:rPr>
          <w:rFonts w:hint="eastAsia" w:ascii="新宋体" w:hAnsi="新宋体" w:eastAsia="新宋体" w:cs="新宋体"/>
          <w:b w:val="0"/>
          <w:bCs w:val="0"/>
          <w:color w:val="auto"/>
          <w:sz w:val="21"/>
          <w:szCs w:val="21"/>
          <w:highlight w:val="none"/>
        </w:rPr>
        <w:t>。</w:t>
      </w:r>
    </w:p>
    <w:p w14:paraId="2D17D0FE">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新宋体" w:hAnsi="新宋体" w:eastAsia="新宋体" w:cs="新宋体"/>
          <w:b w:val="0"/>
          <w:bCs w:val="0"/>
          <w:color w:val="auto"/>
          <w:sz w:val="21"/>
          <w:szCs w:val="21"/>
          <w:highlight w:val="none"/>
        </w:rPr>
      </w:pPr>
      <w:r>
        <w:rPr>
          <w:rFonts w:hint="eastAsia" w:ascii="宋体" w:hAnsi="宋体" w:eastAsia="宋体" w:cs="宋体"/>
          <w:b w:val="0"/>
          <w:bCs/>
          <w:color w:val="auto"/>
          <w:sz w:val="21"/>
          <w:szCs w:val="21"/>
          <w:highlight w:val="none"/>
          <w:lang w:val="en-US" w:eastAsia="zh-CN"/>
        </w:rPr>
        <w:t>最高限价：</w:t>
      </w:r>
      <w:r>
        <w:rPr>
          <w:rFonts w:hint="eastAsia" w:ascii="宋体" w:hAnsi="宋体" w:cs="宋体"/>
          <w:b w:val="0"/>
          <w:bCs/>
          <w:color w:val="auto"/>
          <w:sz w:val="21"/>
          <w:szCs w:val="21"/>
          <w:highlight w:val="none"/>
          <w:lang w:val="en-US" w:eastAsia="zh-CN"/>
        </w:rPr>
        <w:t>/</w:t>
      </w:r>
    </w:p>
    <w:p w14:paraId="35DC13BB">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yellow"/>
          <w:lang w:eastAsia="zh-CN"/>
        </w:rPr>
      </w:pPr>
      <w:r>
        <w:rPr>
          <w:rFonts w:hint="eastAsia" w:asciiTheme="majorEastAsia" w:hAnsiTheme="majorEastAsia" w:eastAsiaTheme="majorEastAsia" w:cstheme="majorEastAsia"/>
          <w:b w:val="0"/>
          <w:bCs/>
          <w:color w:val="auto"/>
          <w:sz w:val="21"/>
          <w:szCs w:val="21"/>
          <w:highlight w:val="none"/>
        </w:rPr>
        <w:t>合同</w:t>
      </w:r>
      <w:r>
        <w:rPr>
          <w:rFonts w:hint="eastAsia" w:ascii="宋体" w:hAnsi="宋体" w:eastAsia="宋体" w:cs="宋体"/>
          <w:color w:val="auto"/>
          <w:sz w:val="21"/>
          <w:szCs w:val="21"/>
          <w:highlight w:val="none"/>
        </w:rPr>
        <w:t>履行期限：</w:t>
      </w:r>
      <w:r>
        <w:rPr>
          <w:rFonts w:hint="eastAsia" w:ascii="宋体" w:hAnsi="宋体" w:eastAsia="宋体" w:cs="宋体"/>
          <w:color w:val="auto"/>
          <w:sz w:val="21"/>
          <w:szCs w:val="21"/>
          <w:highlight w:val="none"/>
          <w:lang w:eastAsia="zh-CN"/>
        </w:rPr>
        <w:t>工</w:t>
      </w:r>
      <w:r>
        <w:rPr>
          <w:rFonts w:hint="eastAsia" w:ascii="宋体" w:hAnsi="宋体"/>
          <w:color w:val="auto"/>
          <w:sz w:val="21"/>
          <w:szCs w:val="21"/>
          <w:highlight w:val="none"/>
          <w:lang w:eastAsia="zh-CN"/>
        </w:rPr>
        <w:t>期：</w:t>
      </w:r>
      <w:r>
        <w:rPr>
          <w:rFonts w:hint="eastAsia" w:ascii="宋体" w:hAnsi="宋体"/>
          <w:color w:val="auto"/>
          <w:sz w:val="21"/>
          <w:szCs w:val="21"/>
          <w:highlight w:val="none"/>
          <w:lang w:val="en-US" w:eastAsia="zh-CN"/>
        </w:rPr>
        <w:t>90日历天。</w:t>
      </w:r>
    </w:p>
    <w:p w14:paraId="54A8672F">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本标项（否）接受联合体。</w:t>
      </w:r>
    </w:p>
    <w:p w14:paraId="3B54611C">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备注：</w:t>
      </w:r>
    </w:p>
    <w:p w14:paraId="3C30E082">
      <w:pPr>
        <w:keepNext w:val="0"/>
        <w:keepLines w:val="0"/>
        <w:pageBreakBefore w:val="0"/>
        <w:widowControl w:val="0"/>
        <w:tabs>
          <w:tab w:val="left" w:pos="284"/>
        </w:tabs>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bookmarkStart w:id="8" w:name="_Toc28359090"/>
      <w:bookmarkStart w:id="9" w:name="_Toc28359013"/>
      <w:bookmarkStart w:id="10" w:name="_Toc35393630"/>
      <w:bookmarkStart w:id="11" w:name="_Toc35393799"/>
      <w:r>
        <w:rPr>
          <w:rFonts w:hint="eastAsia" w:asciiTheme="majorEastAsia" w:hAnsiTheme="majorEastAsia" w:eastAsiaTheme="majorEastAsia" w:cstheme="majorEastAsia"/>
          <w:b/>
          <w:color w:val="auto"/>
          <w:sz w:val="24"/>
          <w:szCs w:val="24"/>
          <w:highlight w:val="none"/>
          <w:lang w:eastAsia="zh-CN"/>
        </w:rPr>
        <w:t>二</w:t>
      </w:r>
      <w:r>
        <w:rPr>
          <w:rFonts w:hint="eastAsia" w:asciiTheme="majorEastAsia" w:hAnsiTheme="majorEastAsia" w:eastAsiaTheme="majorEastAsia" w:cstheme="majorEastAsia"/>
          <w:b/>
          <w:color w:val="auto"/>
          <w:sz w:val="24"/>
          <w:szCs w:val="24"/>
          <w:highlight w:val="none"/>
        </w:rPr>
        <w:t>、</w:t>
      </w:r>
      <w:bookmarkEnd w:id="8"/>
      <w:bookmarkEnd w:id="9"/>
      <w:bookmarkEnd w:id="10"/>
      <w:bookmarkEnd w:id="11"/>
      <w:r>
        <w:rPr>
          <w:rFonts w:hint="eastAsia" w:asciiTheme="majorEastAsia" w:hAnsiTheme="majorEastAsia" w:eastAsiaTheme="majorEastAsia" w:cstheme="majorEastAsia"/>
          <w:b/>
          <w:color w:val="auto"/>
          <w:sz w:val="24"/>
          <w:szCs w:val="24"/>
          <w:highlight w:val="none"/>
        </w:rPr>
        <w:t>申请人的资格要求</w:t>
      </w:r>
      <w:r>
        <w:rPr>
          <w:rFonts w:hint="eastAsia" w:asciiTheme="majorEastAsia" w:hAnsiTheme="majorEastAsia" w:eastAsiaTheme="majorEastAsia" w:cstheme="majorEastAsia"/>
          <w:b/>
          <w:color w:val="auto"/>
          <w:sz w:val="24"/>
          <w:szCs w:val="24"/>
          <w:highlight w:val="none"/>
          <w:lang w:eastAsia="zh-CN"/>
        </w:rPr>
        <w:t>：</w:t>
      </w:r>
    </w:p>
    <w:p w14:paraId="480E66A2">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rPr>
      </w:pPr>
      <w:bookmarkStart w:id="12" w:name="_Toc28359014"/>
      <w:bookmarkStart w:id="13" w:name="_Toc35393800"/>
      <w:bookmarkStart w:id="14" w:name="_Toc28359091"/>
      <w:bookmarkStart w:id="15" w:name="_Toc35393631"/>
      <w:r>
        <w:rPr>
          <w:rFonts w:hint="eastAsia" w:ascii="宋体" w:hAnsi="宋体" w:eastAsia="宋体" w:cs="宋体"/>
          <w:color w:val="auto"/>
          <w:sz w:val="21"/>
          <w:szCs w:val="21"/>
          <w:highlight w:val="none"/>
        </w:rPr>
        <w:t>1.满足《中华人民共和国政府采购法》第二十二条规定；</w:t>
      </w:r>
    </w:p>
    <w:p w14:paraId="39CBE59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w:t>
      </w:r>
      <w:r>
        <w:rPr>
          <w:rFonts w:hint="eastAsia" w:ascii="宋体" w:hAnsi="宋体" w:cs="宋体"/>
          <w:color w:val="auto"/>
          <w:sz w:val="21"/>
          <w:szCs w:val="21"/>
          <w:highlight w:val="none"/>
          <w:lang w:val="en-US" w:eastAsia="zh-CN"/>
        </w:rPr>
        <w:t>为</w:t>
      </w:r>
      <w:r>
        <w:rPr>
          <w:rFonts w:hint="eastAsia" w:ascii="宋体" w:hAnsi="宋体" w:eastAsia="宋体" w:cs="宋体"/>
          <w:color w:val="auto"/>
          <w:sz w:val="21"/>
          <w:szCs w:val="21"/>
          <w:highlight w:val="none"/>
        </w:rPr>
        <w:t>专门面向</w:t>
      </w:r>
      <w:r>
        <w:rPr>
          <w:rFonts w:hint="eastAsia" w:ascii="宋体" w:hAnsi="宋体" w:cs="宋体"/>
          <w:color w:val="auto"/>
          <w:sz w:val="21"/>
          <w:szCs w:val="21"/>
          <w:highlight w:val="none"/>
          <w:lang w:eastAsia="zh-CN"/>
        </w:rPr>
        <w:t>中</w:t>
      </w:r>
      <w:r>
        <w:rPr>
          <w:rFonts w:hint="eastAsia" w:ascii="宋体" w:hAnsi="宋体" w:eastAsia="宋体" w:cs="宋体"/>
          <w:color w:val="auto"/>
          <w:sz w:val="21"/>
          <w:szCs w:val="21"/>
          <w:highlight w:val="none"/>
        </w:rPr>
        <w:t>小企业采购的项目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为</w:t>
      </w:r>
      <w:r>
        <w:rPr>
          <w:rFonts w:hint="eastAsia" w:ascii="宋体" w:hAnsi="宋体" w:cs="宋体"/>
          <w:color w:val="auto"/>
          <w:sz w:val="21"/>
          <w:szCs w:val="21"/>
          <w:highlight w:val="none"/>
          <w:lang w:eastAsia="zh-CN"/>
        </w:rPr>
        <w:t>中</w:t>
      </w:r>
      <w:r>
        <w:rPr>
          <w:rFonts w:hint="eastAsia" w:ascii="宋体" w:hAnsi="宋体" w:eastAsia="宋体" w:cs="宋体"/>
          <w:color w:val="auto"/>
          <w:sz w:val="21"/>
          <w:szCs w:val="21"/>
          <w:highlight w:val="none"/>
        </w:rPr>
        <w:t>小微企业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监狱企业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残疾人福利</w:t>
      </w:r>
      <w:r>
        <w:rPr>
          <w:rFonts w:hint="eastAsia" w:ascii="宋体" w:hAnsi="宋体" w:cs="宋体"/>
          <w:color w:val="auto"/>
          <w:sz w:val="21"/>
          <w:szCs w:val="21"/>
          <w:highlight w:val="none"/>
          <w:lang w:eastAsia="zh-CN"/>
        </w:rPr>
        <w:t>单位</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 xml:space="preserve"> </w:t>
      </w:r>
    </w:p>
    <w:p w14:paraId="750AA29B">
      <w:pPr>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p>
    <w:p w14:paraId="0B07CF6A">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lang w:val="en-US" w:eastAsia="zh-CN"/>
        </w:rPr>
        <w:t>供应商须具备建筑工程施工总承包叁级以上（含叁级）资质</w:t>
      </w:r>
      <w:r>
        <w:rPr>
          <w:rFonts w:hint="eastAsia" w:ascii="宋体" w:hAnsi="宋体" w:eastAsia="宋体" w:cs="宋体"/>
          <w:color w:val="auto"/>
          <w:sz w:val="21"/>
          <w:szCs w:val="21"/>
          <w:rtl w:val="0"/>
          <w:lang w:val="en-US" w:eastAsia="zh-CN"/>
        </w:rPr>
        <w:t>，并具备有效的安全生产许可证，</w:t>
      </w:r>
      <w:r>
        <w:rPr>
          <w:rFonts w:hint="eastAsia" w:ascii="宋体" w:hAnsi="宋体" w:eastAsia="宋体" w:cs="宋体"/>
          <w:color w:val="auto"/>
          <w:sz w:val="21"/>
          <w:szCs w:val="21"/>
          <w:lang w:val="en-US" w:eastAsia="zh-CN"/>
        </w:rPr>
        <w:t>并在人员、设备、资金等方面具备相应的施工能力</w:t>
      </w:r>
      <w:r>
        <w:rPr>
          <w:rFonts w:hint="eastAsia" w:ascii="宋体" w:hAnsi="宋体" w:cs="宋体"/>
          <w:color w:val="auto"/>
          <w:sz w:val="21"/>
          <w:szCs w:val="21"/>
          <w:lang w:val="en-US" w:eastAsia="zh-CN"/>
        </w:rPr>
        <w:t>；</w:t>
      </w:r>
    </w:p>
    <w:p w14:paraId="2B31458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拟派项目经理须具备建筑工程专业二级以上（含二级）注册建造师执业资格，具备有效的安全生产考核合格证书（B类）</w:t>
      </w:r>
      <w:r>
        <w:rPr>
          <w:rFonts w:hint="eastAsia" w:ascii="宋体" w:hAnsi="宋体" w:cs="宋体"/>
          <w:color w:val="auto"/>
          <w:sz w:val="21"/>
          <w:szCs w:val="21"/>
          <w:lang w:val="en-US" w:eastAsia="zh-CN"/>
        </w:rPr>
        <w:t xml:space="preserve">。 </w:t>
      </w:r>
    </w:p>
    <w:p w14:paraId="5053935B">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（3）拟投入本项目的专职安全员具备安全生产考核合格证书（C 类）不少于1人。</w:t>
      </w:r>
    </w:p>
    <w:p w14:paraId="2773B1A6">
      <w:pPr>
        <w:pageBreakBefore w:val="0"/>
        <w:tabs>
          <w:tab w:val="left" w:pos="284"/>
        </w:tabs>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rPr>
        <w:t>三、获取采购文件</w:t>
      </w:r>
      <w:bookmarkEnd w:id="12"/>
      <w:bookmarkEnd w:id="13"/>
      <w:bookmarkEnd w:id="14"/>
      <w:bookmarkEnd w:id="15"/>
      <w:r>
        <w:rPr>
          <w:rFonts w:hint="eastAsia" w:asciiTheme="majorEastAsia" w:hAnsiTheme="majorEastAsia" w:eastAsiaTheme="majorEastAsia" w:cstheme="majorEastAsia"/>
          <w:b/>
          <w:color w:val="auto"/>
          <w:sz w:val="24"/>
          <w:szCs w:val="24"/>
          <w:highlight w:val="none"/>
          <w:lang w:eastAsia="zh-CN"/>
        </w:rPr>
        <w:t>：</w:t>
      </w:r>
    </w:p>
    <w:p w14:paraId="66BAEAAA">
      <w:pPr>
        <w:pageBreakBefore w:val="0"/>
        <w:tabs>
          <w:tab w:val="left" w:pos="284"/>
        </w:tabs>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bookmarkStart w:id="16" w:name="_Toc28359015"/>
      <w:bookmarkStart w:id="17" w:name="_Toc35393632"/>
      <w:bookmarkStart w:id="18" w:name="_Toc35393801"/>
      <w:bookmarkStart w:id="19" w:name="_Toc28359092"/>
      <w:r>
        <w:rPr>
          <w:rFonts w:hint="eastAsia" w:asciiTheme="majorEastAsia" w:hAnsiTheme="majorEastAsia" w:eastAsiaTheme="majorEastAsia" w:cstheme="majorEastAsia"/>
          <w:b w:val="0"/>
          <w:bCs/>
          <w:color w:val="auto"/>
          <w:sz w:val="21"/>
          <w:szCs w:val="21"/>
          <w:highlight w:val="none"/>
          <w:lang w:eastAsia="zh-CN"/>
        </w:rPr>
        <w:t>时间：</w:t>
      </w:r>
      <w:r>
        <w:rPr>
          <w:rFonts w:hint="eastAsia" w:asciiTheme="majorEastAsia" w:hAnsiTheme="majorEastAsia" w:eastAsiaTheme="majorEastAsia" w:cstheme="majorEastAsia"/>
          <w:b w:val="0"/>
          <w:bCs/>
          <w:color w:val="auto"/>
          <w:sz w:val="21"/>
          <w:szCs w:val="21"/>
          <w:highlight w:val="none"/>
          <w:lang w:val="en-US" w:eastAsia="zh-CN"/>
        </w:rPr>
        <w:t>2026年8月14日</w:t>
      </w:r>
      <w:r>
        <w:rPr>
          <w:rFonts w:hint="eastAsia" w:asciiTheme="majorEastAsia" w:hAnsiTheme="majorEastAsia" w:eastAsiaTheme="majorEastAsia" w:cstheme="majorEastAsia"/>
          <w:b w:val="0"/>
          <w:bCs/>
          <w:color w:val="auto"/>
          <w:sz w:val="21"/>
          <w:szCs w:val="21"/>
          <w:highlight w:val="none"/>
          <w:lang w:eastAsia="zh-CN"/>
        </w:rPr>
        <w:t>至202</w:t>
      </w:r>
      <w:r>
        <w:rPr>
          <w:rFonts w:hint="eastAsia" w:asciiTheme="majorEastAsia" w:hAnsiTheme="majorEastAsia" w:eastAsiaTheme="majorEastAsia" w:cstheme="majorEastAsia"/>
          <w:b w:val="0"/>
          <w:bCs/>
          <w:color w:val="auto"/>
          <w:sz w:val="21"/>
          <w:szCs w:val="21"/>
          <w:highlight w:val="none"/>
          <w:lang w:val="en-US" w:eastAsia="zh-CN"/>
        </w:rPr>
        <w:t>6</w:t>
      </w:r>
      <w:r>
        <w:rPr>
          <w:rFonts w:hint="eastAsia" w:asciiTheme="majorEastAsia" w:hAnsiTheme="majorEastAsia" w:eastAsiaTheme="majorEastAsia" w:cstheme="majorEastAsia"/>
          <w:b w:val="0"/>
          <w:bCs/>
          <w:color w:val="auto"/>
          <w:sz w:val="21"/>
          <w:szCs w:val="21"/>
          <w:highlight w:val="none"/>
          <w:lang w:eastAsia="zh-CN"/>
        </w:rPr>
        <w:t>年</w:t>
      </w:r>
      <w:r>
        <w:rPr>
          <w:rFonts w:hint="eastAsia" w:asciiTheme="majorEastAsia" w:hAnsiTheme="majorEastAsia" w:eastAsiaTheme="majorEastAsia" w:cstheme="majorEastAsia"/>
          <w:b w:val="0"/>
          <w:bCs/>
          <w:color w:val="auto"/>
          <w:sz w:val="21"/>
          <w:szCs w:val="21"/>
          <w:highlight w:val="none"/>
          <w:lang w:val="en-US" w:eastAsia="zh-CN"/>
        </w:rPr>
        <w:t>8</w:t>
      </w:r>
      <w:r>
        <w:rPr>
          <w:rFonts w:hint="eastAsia" w:asciiTheme="majorEastAsia" w:hAnsiTheme="majorEastAsia" w:eastAsiaTheme="majorEastAsia" w:cstheme="majorEastAsia"/>
          <w:b w:val="0"/>
          <w:bCs/>
          <w:color w:val="auto"/>
          <w:sz w:val="21"/>
          <w:szCs w:val="21"/>
          <w:highlight w:val="none"/>
          <w:lang w:eastAsia="zh-CN"/>
        </w:rPr>
        <w:t>月</w:t>
      </w:r>
      <w:r>
        <w:rPr>
          <w:rFonts w:hint="eastAsia" w:asciiTheme="majorEastAsia" w:hAnsiTheme="majorEastAsia" w:eastAsiaTheme="majorEastAsia" w:cstheme="majorEastAsia"/>
          <w:b w:val="0"/>
          <w:bCs/>
          <w:color w:val="auto"/>
          <w:sz w:val="21"/>
          <w:szCs w:val="21"/>
          <w:highlight w:val="none"/>
          <w:lang w:val="en-US" w:eastAsia="zh-CN"/>
        </w:rPr>
        <w:t>21</w:t>
      </w:r>
      <w:r>
        <w:rPr>
          <w:rFonts w:hint="eastAsia" w:asciiTheme="majorEastAsia" w:hAnsiTheme="majorEastAsia" w:eastAsiaTheme="majorEastAsia" w:cstheme="majorEastAsia"/>
          <w:b w:val="0"/>
          <w:bCs/>
          <w:color w:val="auto"/>
          <w:sz w:val="21"/>
          <w:szCs w:val="21"/>
          <w:highlight w:val="none"/>
          <w:lang w:eastAsia="zh-CN"/>
        </w:rPr>
        <w:t>日，每天上午08:00至12:00，下午</w:t>
      </w:r>
      <w:r>
        <w:rPr>
          <w:rFonts w:hint="eastAsia" w:asciiTheme="majorEastAsia" w:hAnsiTheme="majorEastAsia" w:eastAsiaTheme="majorEastAsia" w:cstheme="majorEastAsia"/>
          <w:b w:val="0"/>
          <w:bCs/>
          <w:color w:val="auto"/>
          <w:sz w:val="21"/>
          <w:szCs w:val="21"/>
          <w:highlight w:val="none"/>
          <w:lang w:val="en-US" w:eastAsia="zh-CN"/>
        </w:rPr>
        <w:t>3</w:t>
      </w:r>
      <w:r>
        <w:rPr>
          <w:rFonts w:hint="eastAsia" w:asciiTheme="majorEastAsia" w:hAnsiTheme="majorEastAsia" w:eastAsiaTheme="majorEastAsia" w:cstheme="majorEastAsia"/>
          <w:b w:val="0"/>
          <w:bCs/>
          <w:color w:val="auto"/>
          <w:sz w:val="21"/>
          <w:szCs w:val="21"/>
          <w:highlight w:val="none"/>
          <w:lang w:eastAsia="zh-CN"/>
        </w:rPr>
        <w:t>:00至</w:t>
      </w:r>
      <w:r>
        <w:rPr>
          <w:rFonts w:hint="eastAsia" w:asciiTheme="majorEastAsia" w:hAnsiTheme="majorEastAsia" w:eastAsiaTheme="majorEastAsia" w:cstheme="majorEastAsia"/>
          <w:b w:val="0"/>
          <w:bCs/>
          <w:color w:val="auto"/>
          <w:sz w:val="21"/>
          <w:szCs w:val="21"/>
          <w:highlight w:val="none"/>
          <w:lang w:val="en-US" w:eastAsia="zh-CN"/>
        </w:rPr>
        <w:t>6</w:t>
      </w:r>
      <w:r>
        <w:rPr>
          <w:rFonts w:hint="eastAsia" w:asciiTheme="majorEastAsia" w:hAnsiTheme="majorEastAsia" w:eastAsiaTheme="majorEastAsia" w:cstheme="majorEastAsia"/>
          <w:b w:val="0"/>
          <w:bCs/>
          <w:color w:val="auto"/>
          <w:sz w:val="21"/>
          <w:szCs w:val="21"/>
          <w:highlight w:val="none"/>
          <w:lang w:eastAsia="zh-CN"/>
        </w:rPr>
        <w:t>:00（北京时间，法定节假日除外）</w:t>
      </w:r>
    </w:p>
    <w:p w14:paraId="437580D5">
      <w:pPr>
        <w:pageBreakBefore w:val="0"/>
        <w:tabs>
          <w:tab w:val="left" w:pos="284"/>
        </w:tabs>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eastAsia="zh-CN"/>
        </w:rPr>
        <w:t>地点：</w:t>
      </w:r>
      <w:bookmarkEnd w:id="16"/>
      <w:bookmarkEnd w:id="17"/>
      <w:bookmarkEnd w:id="18"/>
      <w:bookmarkEnd w:id="19"/>
      <w:r>
        <w:rPr>
          <w:rFonts w:hint="eastAsia" w:ascii="宋体" w:hAnsi="宋体" w:eastAsia="宋体" w:cs="宋体"/>
          <w:b w:val="0"/>
          <w:bCs/>
          <w:color w:val="auto"/>
          <w:sz w:val="21"/>
          <w:szCs w:val="21"/>
          <w:highlight w:val="none"/>
          <w:lang w:val="en-US" w:eastAsia="zh-CN"/>
        </w:rPr>
        <w:t>广西政府采购云平台（https://www.gcy.zfcg.gxzf.gov.cn</w:t>
      </w:r>
      <w:r>
        <w:rPr>
          <w:rFonts w:hint="eastAsia" w:ascii="宋体" w:hAnsi="宋体" w:cs="宋体"/>
          <w:b w:val="0"/>
          <w:bCs/>
          <w:color w:val="auto"/>
          <w:sz w:val="21"/>
          <w:szCs w:val="21"/>
          <w:highlight w:val="none"/>
          <w:lang w:val="en-US" w:eastAsia="zh-CN"/>
        </w:rPr>
        <w:t>）</w:t>
      </w:r>
    </w:p>
    <w:p w14:paraId="7F7A2AB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firstLine="396" w:firstLineChars="200"/>
        <w:textAlignment w:val="auto"/>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方式：网上下载。本项目不提供纸质文件，潜在供应商需使用账号登录或者使用 CA 登录广西政府采购云平台（https://www.gcy.zfcg.gxzf.gov.cn</w:t>
      </w:r>
      <w:r>
        <w:rPr>
          <w:rFonts w:hint="eastAsia" w:ascii="宋体" w:hAnsi="宋体" w:cs="宋体"/>
          <w:color w:val="auto"/>
          <w:spacing w:val="-6"/>
          <w:kern w:val="2"/>
          <w:sz w:val="21"/>
          <w:szCs w:val="21"/>
          <w:highlight w:val="none"/>
          <w:lang w:val="en-US" w:eastAsia="zh-CN" w:bidi="ar-SA"/>
        </w:rPr>
        <w:t>）－</w:t>
      </w:r>
      <w:r>
        <w:rPr>
          <w:rFonts w:hint="eastAsia" w:ascii="宋体" w:hAnsi="宋体" w:eastAsia="宋体" w:cs="宋体"/>
          <w:color w:val="auto"/>
          <w:spacing w:val="-6"/>
          <w:kern w:val="2"/>
          <w:sz w:val="21"/>
          <w:szCs w:val="21"/>
          <w:highlight w:val="none"/>
          <w:lang w:val="en-US" w:eastAsia="zh-CN" w:bidi="ar-SA"/>
        </w:rPr>
        <w:t>进入“项目采购”应用，在获取采购文件菜单中选择项目，获取竞争性</w:t>
      </w:r>
      <w:r>
        <w:rPr>
          <w:rFonts w:hint="eastAsia" w:ascii="宋体" w:hAnsi="宋体" w:cs="宋体"/>
          <w:color w:val="auto"/>
          <w:spacing w:val="-6"/>
          <w:kern w:val="2"/>
          <w:sz w:val="21"/>
          <w:szCs w:val="21"/>
          <w:highlight w:val="none"/>
          <w:lang w:val="en-US" w:eastAsia="zh-CN" w:bidi="ar-SA"/>
        </w:rPr>
        <w:t>磋商</w:t>
      </w:r>
      <w:r>
        <w:rPr>
          <w:rFonts w:hint="eastAsia" w:ascii="宋体" w:hAnsi="宋体" w:eastAsia="宋体" w:cs="宋体"/>
          <w:color w:val="auto"/>
          <w:spacing w:val="-6"/>
          <w:kern w:val="2"/>
          <w:sz w:val="21"/>
          <w:szCs w:val="21"/>
          <w:highlight w:val="none"/>
          <w:lang w:val="en-US" w:eastAsia="zh-CN" w:bidi="ar-SA"/>
        </w:rPr>
        <w:t>文件。电子响应文件制作需要基于广西政府采购云平台获取的</w:t>
      </w:r>
      <w:r>
        <w:rPr>
          <w:rFonts w:hint="eastAsia" w:ascii="宋体" w:hAnsi="宋体" w:cs="宋体"/>
          <w:color w:val="auto"/>
          <w:spacing w:val="-6"/>
          <w:kern w:val="2"/>
          <w:sz w:val="21"/>
          <w:szCs w:val="21"/>
          <w:highlight w:val="none"/>
          <w:lang w:val="en-US" w:eastAsia="zh-CN" w:bidi="ar-SA"/>
        </w:rPr>
        <w:t>磋商</w:t>
      </w:r>
      <w:r>
        <w:rPr>
          <w:rFonts w:hint="eastAsia" w:ascii="宋体" w:hAnsi="宋体" w:eastAsia="宋体" w:cs="宋体"/>
          <w:color w:val="auto"/>
          <w:spacing w:val="-6"/>
          <w:kern w:val="2"/>
          <w:sz w:val="21"/>
          <w:szCs w:val="21"/>
          <w:highlight w:val="none"/>
          <w:lang w:val="en-US" w:eastAsia="zh-CN" w:bidi="ar-SA"/>
        </w:rPr>
        <w:t>文件编制，通过其他方式获取</w:t>
      </w:r>
      <w:r>
        <w:rPr>
          <w:rFonts w:hint="eastAsia" w:ascii="宋体" w:hAnsi="宋体" w:cs="宋体"/>
          <w:color w:val="auto"/>
          <w:spacing w:val="-6"/>
          <w:kern w:val="2"/>
          <w:sz w:val="21"/>
          <w:szCs w:val="21"/>
          <w:highlight w:val="none"/>
          <w:lang w:val="en-US" w:eastAsia="zh-CN" w:bidi="ar-SA"/>
        </w:rPr>
        <w:t>磋商</w:t>
      </w:r>
      <w:r>
        <w:rPr>
          <w:rFonts w:hint="eastAsia" w:ascii="宋体" w:hAnsi="宋体" w:eastAsia="宋体" w:cs="宋体"/>
          <w:color w:val="auto"/>
          <w:spacing w:val="-6"/>
          <w:kern w:val="2"/>
          <w:sz w:val="21"/>
          <w:szCs w:val="21"/>
          <w:highlight w:val="none"/>
          <w:lang w:val="en-US" w:eastAsia="zh-CN" w:bidi="ar-SA"/>
        </w:rPr>
        <w:t>文件的，将有可能导致供应商无法在广西政府采购云平台编制及上传响应文件。</w:t>
      </w:r>
    </w:p>
    <w:p w14:paraId="1DEC895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 </w:t>
      </w:r>
    </w:p>
    <w:p w14:paraId="4FF6BB90">
      <w:pPr>
        <w:pageBreakBefore w:val="0"/>
        <w:numPr>
          <w:ilvl w:val="0"/>
          <w:numId w:val="4"/>
        </w:numPr>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rPr>
        <w:t>响应文件提交</w:t>
      </w:r>
    </w:p>
    <w:p w14:paraId="7A1A6ACE">
      <w:pPr>
        <w:pageBreakBefore w:val="0"/>
        <w:numPr>
          <w:ilvl w:val="0"/>
          <w:numId w:val="0"/>
        </w:numPr>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bCs/>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highlight w:val="none"/>
        </w:rPr>
        <w:t>首次响应文件提交截止时间</w:t>
      </w:r>
      <w:r>
        <w:rPr>
          <w:rFonts w:hint="eastAsia" w:ascii="宋体" w:hAnsi="宋体"/>
          <w:color w:val="auto"/>
          <w:szCs w:val="21"/>
        </w:rPr>
        <w:t>：</w:t>
      </w:r>
      <w:r>
        <w:rPr>
          <w:rFonts w:hint="eastAsia" w:ascii="宋体" w:hAnsi="宋体"/>
          <w:bCs/>
          <w:color w:val="auto"/>
          <w:szCs w:val="21"/>
          <w:u w:val="single"/>
        </w:rPr>
        <w:t>202</w:t>
      </w:r>
      <w:r>
        <w:rPr>
          <w:rFonts w:hint="eastAsia" w:ascii="宋体" w:hAnsi="宋体"/>
          <w:bCs/>
          <w:color w:val="auto"/>
          <w:szCs w:val="21"/>
          <w:u w:val="single"/>
          <w:lang w:val="en-US" w:eastAsia="zh-CN"/>
        </w:rPr>
        <w:t>6</w:t>
      </w:r>
      <w:r>
        <w:rPr>
          <w:rFonts w:hint="eastAsia" w:ascii="宋体" w:hAnsi="宋体"/>
          <w:bCs/>
          <w:color w:val="auto"/>
          <w:szCs w:val="21"/>
          <w:u w:val="single"/>
        </w:rPr>
        <w:t>年</w:t>
      </w:r>
      <w:r>
        <w:rPr>
          <w:rFonts w:hint="eastAsia" w:ascii="宋体" w:hAnsi="宋体"/>
          <w:bCs/>
          <w:color w:val="auto"/>
          <w:szCs w:val="21"/>
          <w:u w:val="single"/>
          <w:lang w:val="en-US" w:eastAsia="zh-CN"/>
        </w:rPr>
        <w:t>8</w:t>
      </w:r>
      <w:r>
        <w:rPr>
          <w:rFonts w:hint="eastAsia" w:ascii="宋体" w:hAnsi="宋体"/>
          <w:bCs/>
          <w:color w:val="auto"/>
          <w:szCs w:val="21"/>
          <w:u w:val="single"/>
        </w:rPr>
        <w:t>月</w:t>
      </w:r>
      <w:r>
        <w:rPr>
          <w:rFonts w:hint="eastAsia" w:ascii="宋体" w:hAnsi="宋体"/>
          <w:bCs/>
          <w:color w:val="auto"/>
          <w:szCs w:val="21"/>
          <w:u w:val="single"/>
          <w:lang w:val="en-US" w:eastAsia="zh-CN"/>
        </w:rPr>
        <w:t>26</w:t>
      </w:r>
      <w:r>
        <w:rPr>
          <w:rFonts w:hint="eastAsia" w:ascii="宋体" w:hAnsi="宋体"/>
          <w:bCs/>
          <w:color w:val="auto"/>
          <w:szCs w:val="21"/>
          <w:u w:val="single"/>
        </w:rPr>
        <w:t>日</w:t>
      </w:r>
      <w:r>
        <w:rPr>
          <w:rFonts w:hint="eastAsia" w:ascii="宋体" w:hAnsi="宋体"/>
          <w:bCs/>
          <w:color w:val="auto"/>
          <w:szCs w:val="21"/>
          <w:u w:val="single"/>
          <w:lang w:val="en-US" w:eastAsia="zh-CN"/>
        </w:rPr>
        <w:t>09</w:t>
      </w:r>
      <w:r>
        <w:rPr>
          <w:rFonts w:hint="eastAsia" w:ascii="宋体" w:hAnsi="宋体"/>
          <w:bCs/>
          <w:color w:val="auto"/>
          <w:szCs w:val="21"/>
          <w:u w:val="single"/>
        </w:rPr>
        <w:t>时</w:t>
      </w:r>
      <w:r>
        <w:rPr>
          <w:rFonts w:hint="eastAsia" w:ascii="宋体" w:hAnsi="宋体"/>
          <w:bCs/>
          <w:color w:val="auto"/>
          <w:szCs w:val="21"/>
          <w:u w:val="single"/>
          <w:lang w:val="en-US" w:eastAsia="zh-CN"/>
        </w:rPr>
        <w:t>0</w:t>
      </w:r>
      <w:r>
        <w:rPr>
          <w:rFonts w:hint="eastAsia" w:ascii="宋体" w:hAnsi="宋体"/>
          <w:bCs/>
          <w:color w:val="auto"/>
          <w:szCs w:val="21"/>
          <w:u w:val="single"/>
        </w:rPr>
        <w:t>0分</w:t>
      </w:r>
      <w:r>
        <w:rPr>
          <w:rFonts w:hint="eastAsia" w:ascii="宋体" w:hAnsi="宋体"/>
          <w:bCs/>
          <w:color w:val="auto"/>
          <w:szCs w:val="21"/>
        </w:rPr>
        <w:t>（北京时间）</w:t>
      </w:r>
    </w:p>
    <w:p w14:paraId="7E01AD60">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bCs/>
          <w:color w:val="auto"/>
          <w:szCs w:val="21"/>
          <w:lang w:val="en-US" w:eastAsia="zh-CN"/>
        </w:rPr>
        <w:t>2.</w:t>
      </w:r>
      <w:r>
        <w:rPr>
          <w:rFonts w:hint="eastAsia" w:ascii="宋体" w:hAnsi="宋体" w:eastAsia="宋体" w:cs="宋体"/>
          <w:color w:val="auto"/>
          <w:szCs w:val="21"/>
          <w:highlight w:val="none"/>
        </w:rPr>
        <w:t>首次响应文件提交地点</w:t>
      </w:r>
      <w:r>
        <w:rPr>
          <w:rFonts w:hint="eastAsia" w:ascii="宋体" w:hAnsi="宋体" w:eastAsia="宋体" w:cs="宋体"/>
          <w:b w:val="0"/>
          <w:bCs w:val="0"/>
          <w:color w:val="auto"/>
          <w:sz w:val="21"/>
          <w:szCs w:val="21"/>
          <w:highlight w:val="none"/>
        </w:rPr>
        <w:t>：广西政府采购云平台（https://www.gcy.zfcg.gxzf.gov.cn</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w:t>
      </w:r>
    </w:p>
    <w:p w14:paraId="0B2E07F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firstLine="482" w:firstLineChars="200"/>
        <w:jc w:val="both"/>
        <w:textAlignment w:val="auto"/>
        <w:rPr>
          <w:rFonts w:hint="eastAsia" w:eastAsia="宋体"/>
          <w:color w:val="auto"/>
          <w:lang w:eastAsia="zh-CN"/>
        </w:rPr>
      </w:pPr>
      <w:r>
        <w:rPr>
          <w:rFonts w:hint="eastAsia" w:asciiTheme="majorEastAsia" w:hAnsiTheme="majorEastAsia" w:eastAsiaTheme="majorEastAsia" w:cstheme="majorEastAsia"/>
          <w:b/>
          <w:color w:val="auto"/>
          <w:kern w:val="2"/>
          <w:sz w:val="24"/>
          <w:szCs w:val="24"/>
          <w:highlight w:val="none"/>
          <w:lang w:val="en-US" w:eastAsia="zh-CN" w:bidi="ar-SA"/>
        </w:rPr>
        <w:t>五、响应文件开启</w:t>
      </w:r>
    </w:p>
    <w:p w14:paraId="3276C364">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ascii="宋体" w:hAnsi="宋体"/>
          <w:bCs/>
          <w:color w:val="auto"/>
          <w:szCs w:val="21"/>
          <w:u w:val="single"/>
        </w:rPr>
      </w:pPr>
      <w:r>
        <w:rPr>
          <w:rFonts w:hint="eastAsia" w:ascii="宋体" w:hAnsi="宋体"/>
          <w:bCs/>
          <w:color w:val="auto"/>
          <w:szCs w:val="21"/>
          <w:lang w:val="en-US" w:eastAsia="zh-CN"/>
        </w:rPr>
        <w:t>1</w:t>
      </w:r>
      <w:r>
        <w:rPr>
          <w:rFonts w:ascii="宋体" w:hAnsi="宋体"/>
          <w:bCs/>
          <w:color w:val="auto"/>
          <w:szCs w:val="21"/>
        </w:rPr>
        <w:t>.</w:t>
      </w:r>
      <w:r>
        <w:rPr>
          <w:rFonts w:hint="eastAsia" w:ascii="宋体" w:hAnsi="宋体"/>
          <w:bCs/>
          <w:color w:val="auto"/>
          <w:szCs w:val="21"/>
        </w:rPr>
        <w:t>开标时间</w:t>
      </w:r>
      <w:r>
        <w:rPr>
          <w:rFonts w:hint="eastAsia" w:ascii="宋体" w:hAnsi="宋体"/>
          <w:color w:val="auto"/>
          <w:szCs w:val="21"/>
        </w:rPr>
        <w:t>：</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bCs/>
          <w:color w:val="auto"/>
          <w:szCs w:val="21"/>
          <w:u w:val="single"/>
        </w:rPr>
        <w:t>年</w:t>
      </w:r>
      <w:r>
        <w:rPr>
          <w:rFonts w:hint="eastAsia" w:ascii="宋体" w:hAnsi="宋体"/>
          <w:bCs/>
          <w:color w:val="auto"/>
          <w:szCs w:val="21"/>
          <w:u w:val="single"/>
          <w:lang w:val="en-US" w:eastAsia="zh-CN"/>
        </w:rPr>
        <w:t>8</w:t>
      </w:r>
      <w:r>
        <w:rPr>
          <w:rFonts w:hint="eastAsia" w:ascii="宋体" w:hAnsi="宋体"/>
          <w:bCs/>
          <w:color w:val="auto"/>
          <w:szCs w:val="21"/>
          <w:u w:val="single"/>
        </w:rPr>
        <w:t>月</w:t>
      </w:r>
      <w:r>
        <w:rPr>
          <w:rFonts w:hint="eastAsia" w:ascii="宋体" w:hAnsi="宋体"/>
          <w:bCs/>
          <w:color w:val="auto"/>
          <w:szCs w:val="21"/>
          <w:u w:val="single"/>
          <w:lang w:val="en-US" w:eastAsia="zh-CN"/>
        </w:rPr>
        <w:t>26</w:t>
      </w:r>
      <w:r>
        <w:rPr>
          <w:rFonts w:hint="eastAsia" w:ascii="宋体" w:hAnsi="宋体"/>
          <w:bCs/>
          <w:color w:val="auto"/>
          <w:szCs w:val="21"/>
          <w:u w:val="single"/>
        </w:rPr>
        <w:t>日</w:t>
      </w:r>
      <w:r>
        <w:rPr>
          <w:rFonts w:hint="eastAsia" w:ascii="宋体" w:hAnsi="宋体"/>
          <w:bCs/>
          <w:color w:val="auto"/>
          <w:szCs w:val="21"/>
          <w:u w:val="single"/>
          <w:lang w:val="en-US" w:eastAsia="zh-CN"/>
        </w:rPr>
        <w:t>09</w:t>
      </w:r>
      <w:r>
        <w:rPr>
          <w:rFonts w:hint="eastAsia" w:ascii="宋体" w:hAnsi="宋体"/>
          <w:bCs/>
          <w:color w:val="auto"/>
          <w:szCs w:val="21"/>
          <w:u w:val="single"/>
        </w:rPr>
        <w:t>时</w:t>
      </w:r>
      <w:r>
        <w:rPr>
          <w:rFonts w:hint="eastAsia" w:ascii="宋体" w:hAnsi="宋体"/>
          <w:bCs/>
          <w:color w:val="auto"/>
          <w:szCs w:val="21"/>
          <w:u w:val="single"/>
          <w:lang w:val="en-US" w:eastAsia="zh-CN"/>
        </w:rPr>
        <w:t>0</w:t>
      </w:r>
      <w:r>
        <w:rPr>
          <w:rFonts w:hint="eastAsia" w:ascii="宋体" w:hAnsi="宋体"/>
          <w:bCs/>
          <w:color w:val="auto"/>
          <w:szCs w:val="21"/>
          <w:u w:val="single"/>
        </w:rPr>
        <w:t>0分</w:t>
      </w:r>
      <w:r>
        <w:rPr>
          <w:rFonts w:hint="eastAsia" w:ascii="宋体" w:hAnsi="宋体"/>
          <w:bCs/>
          <w:color w:val="auto"/>
          <w:szCs w:val="21"/>
        </w:rPr>
        <w:t>（北京时间）</w:t>
      </w:r>
    </w:p>
    <w:p w14:paraId="75A5E156">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ascii="宋体" w:hAnsi="宋体"/>
          <w:color w:val="auto"/>
          <w:szCs w:val="21"/>
        </w:rPr>
      </w:pPr>
      <w:r>
        <w:rPr>
          <w:rFonts w:hint="eastAsia" w:ascii="宋体" w:hAnsi="宋体"/>
          <w:color w:val="auto"/>
          <w:szCs w:val="21"/>
          <w:lang w:val="en-US" w:eastAsia="zh-CN"/>
        </w:rPr>
        <w:t>2</w:t>
      </w:r>
      <w:r>
        <w:rPr>
          <w:rFonts w:ascii="宋体" w:hAnsi="宋体"/>
          <w:color w:val="auto"/>
          <w:szCs w:val="21"/>
        </w:rPr>
        <w:t>.</w:t>
      </w:r>
      <w:r>
        <w:rPr>
          <w:rFonts w:hint="eastAsia" w:ascii="宋体" w:hAnsi="宋体"/>
          <w:color w:val="auto"/>
          <w:szCs w:val="21"/>
        </w:rPr>
        <w:t>开标地点：广西政府采购云平台（https://www.gcy.zfcg.gxzf.gov.cn</w:t>
      </w:r>
      <w:r>
        <w:rPr>
          <w:rFonts w:hint="eastAsia" w:ascii="宋体" w:hAnsi="宋体"/>
          <w:color w:val="auto"/>
          <w:szCs w:val="21"/>
          <w:lang w:eastAsia="zh-CN"/>
        </w:rPr>
        <w:t>）</w:t>
      </w:r>
      <w:r>
        <w:rPr>
          <w:rFonts w:hint="eastAsia" w:ascii="宋体" w:hAnsi="宋体"/>
          <w:color w:val="auto"/>
          <w:szCs w:val="21"/>
        </w:rPr>
        <w:t> </w:t>
      </w:r>
    </w:p>
    <w:p w14:paraId="48A97E5F">
      <w:pPr>
        <w:pStyle w:val="5"/>
        <w:pageBreakBefore w:val="0"/>
        <w:kinsoku/>
        <w:wordWrap/>
        <w:overflowPunct/>
        <w:topLinePunct w:val="0"/>
        <w:autoSpaceDE/>
        <w:autoSpaceDN/>
        <w:bidi w:val="0"/>
        <w:adjustRightInd/>
        <w:snapToGrid/>
        <w:spacing w:before="0" w:after="0" w:line="420" w:lineRule="exact"/>
        <w:ind w:left="0" w:leftChars="0" w:right="0" w:firstLine="482" w:firstLineChars="200"/>
        <w:textAlignment w:val="auto"/>
        <w:rPr>
          <w:rFonts w:ascii="宋体" w:hAnsi="宋体" w:cs="宋体"/>
          <w:bCs w:val="0"/>
          <w:color w:val="auto"/>
          <w:sz w:val="24"/>
          <w:szCs w:val="24"/>
        </w:rPr>
      </w:pPr>
      <w:bookmarkStart w:id="20" w:name="_Toc35393634"/>
      <w:bookmarkStart w:id="21" w:name="_Toc44229883"/>
      <w:bookmarkStart w:id="22" w:name="_Toc28359094"/>
      <w:bookmarkStart w:id="23" w:name="_Toc28359017"/>
      <w:bookmarkStart w:id="24" w:name="_Toc35393803"/>
      <w:r>
        <w:rPr>
          <w:rFonts w:hint="eastAsia" w:ascii="宋体" w:hAnsi="宋体" w:cs="宋体"/>
          <w:bCs w:val="0"/>
          <w:color w:val="auto"/>
          <w:sz w:val="24"/>
          <w:szCs w:val="24"/>
          <w:lang w:eastAsia="zh-CN"/>
        </w:rPr>
        <w:t>六</w:t>
      </w:r>
      <w:r>
        <w:rPr>
          <w:rFonts w:hint="eastAsia" w:ascii="宋体" w:hAnsi="宋体" w:cs="宋体"/>
          <w:bCs w:val="0"/>
          <w:color w:val="auto"/>
          <w:sz w:val="24"/>
          <w:szCs w:val="24"/>
        </w:rPr>
        <w:t>、公告期限</w:t>
      </w:r>
      <w:bookmarkEnd w:id="20"/>
      <w:bookmarkEnd w:id="21"/>
      <w:bookmarkEnd w:id="22"/>
      <w:bookmarkEnd w:id="23"/>
      <w:bookmarkEnd w:id="24"/>
    </w:p>
    <w:p w14:paraId="09BDF6B3">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ascii="宋体" w:hAns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5</w:t>
      </w:r>
      <w:r>
        <w:rPr>
          <w:rFonts w:hint="eastAsia" w:ascii="宋体" w:hAnsi="宋体" w:cs="宋体"/>
          <w:color w:val="auto"/>
          <w:kern w:val="0"/>
          <w:szCs w:val="21"/>
        </w:rPr>
        <w:t>个工作日。</w:t>
      </w:r>
    </w:p>
    <w:p w14:paraId="5719ED5E">
      <w:pPr>
        <w:pStyle w:val="5"/>
        <w:pageBreakBefore w:val="0"/>
        <w:kinsoku/>
        <w:wordWrap/>
        <w:overflowPunct/>
        <w:topLinePunct w:val="0"/>
        <w:autoSpaceDE/>
        <w:autoSpaceDN/>
        <w:bidi w:val="0"/>
        <w:adjustRightInd/>
        <w:snapToGrid/>
        <w:spacing w:before="0" w:after="0" w:line="420" w:lineRule="exact"/>
        <w:ind w:left="0" w:leftChars="0" w:right="0" w:firstLine="482" w:firstLineChars="200"/>
        <w:textAlignment w:val="auto"/>
        <w:rPr>
          <w:rFonts w:ascii="宋体" w:hAnsi="宋体" w:cs="宋体"/>
          <w:bCs w:val="0"/>
          <w:color w:val="auto"/>
          <w:sz w:val="24"/>
          <w:szCs w:val="24"/>
        </w:rPr>
      </w:pPr>
      <w:bookmarkStart w:id="25" w:name="_Toc35393635"/>
      <w:bookmarkStart w:id="26" w:name="_Toc35393804"/>
      <w:bookmarkStart w:id="27" w:name="_Toc44229884"/>
      <w:r>
        <w:rPr>
          <w:rFonts w:hint="eastAsia" w:ascii="宋体" w:hAnsi="宋体" w:cs="宋体"/>
          <w:bCs w:val="0"/>
          <w:color w:val="auto"/>
          <w:sz w:val="24"/>
          <w:szCs w:val="24"/>
          <w:lang w:eastAsia="zh-CN"/>
        </w:rPr>
        <w:t>七</w:t>
      </w:r>
      <w:r>
        <w:rPr>
          <w:rFonts w:hint="eastAsia" w:ascii="宋体" w:hAnsi="宋体" w:cs="宋体"/>
          <w:bCs w:val="0"/>
          <w:color w:val="auto"/>
          <w:sz w:val="24"/>
          <w:szCs w:val="24"/>
        </w:rPr>
        <w:t>、其他补充事宜</w:t>
      </w:r>
      <w:bookmarkEnd w:id="25"/>
      <w:bookmarkEnd w:id="26"/>
      <w:bookmarkEnd w:id="27"/>
    </w:p>
    <w:p w14:paraId="66E3CD6F">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eastAsia="zh-CN"/>
        </w:rPr>
      </w:pPr>
      <w:bookmarkStart w:id="28" w:name="_Toc35393636"/>
      <w:bookmarkStart w:id="29" w:name="_Toc44229885"/>
      <w:bookmarkStart w:id="30" w:name="_Toc28359018"/>
      <w:bookmarkStart w:id="31" w:name="_Toc35393805"/>
      <w:bookmarkStart w:id="32" w:name="_Toc28359095"/>
      <w:r>
        <w:rPr>
          <w:rFonts w:hint="eastAsia" w:ascii="宋体" w:hAnsi="宋体" w:eastAsia="宋体" w:cs="宋体"/>
          <w:color w:val="auto"/>
          <w:kern w:val="0"/>
          <w:sz w:val="21"/>
          <w:szCs w:val="21"/>
          <w:highlight w:val="none"/>
        </w:rPr>
        <w:t>1.</w:t>
      </w:r>
      <w:r>
        <w:rPr>
          <w:rFonts w:hint="eastAsia" w:ascii="宋体" w:hAnsi="宋体" w:cs="宋体"/>
          <w:color w:val="auto"/>
          <w:kern w:val="0"/>
          <w:szCs w:val="21"/>
          <w:highlight w:val="none"/>
        </w:rPr>
        <w:t>磋商保证金</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无</w:t>
      </w:r>
    </w:p>
    <w:p w14:paraId="05D2096D">
      <w:pPr>
        <w:pageBreakBefore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kern w:val="0"/>
          <w:sz w:val="21"/>
          <w:szCs w:val="21"/>
          <w:highlight w:val="none"/>
          <w:lang w:eastAsia="zh-CN"/>
        </w:rPr>
      </w:pPr>
      <w:bookmarkStart w:id="33" w:name="_Hlk37429585"/>
      <w:r>
        <w:rPr>
          <w:rFonts w:hint="eastAsia" w:ascii="宋体" w:hAnsi="宋体" w:eastAsia="宋体" w:cs="宋体"/>
          <w:color w:val="auto"/>
          <w:kern w:val="0"/>
          <w:sz w:val="21"/>
          <w:szCs w:val="21"/>
          <w:highlight w:val="none"/>
        </w:rPr>
        <w:t>2.</w:t>
      </w:r>
      <w:bookmarkStart w:id="34" w:name="_Hlk37429595"/>
      <w:r>
        <w:rPr>
          <w:rFonts w:hint="eastAsia" w:ascii="宋体" w:hAnsi="宋体" w:eastAsia="宋体" w:cs="宋体"/>
          <w:color w:val="auto"/>
          <w:kern w:val="0"/>
          <w:sz w:val="21"/>
          <w:szCs w:val="21"/>
          <w:highlight w:val="none"/>
        </w:rPr>
        <w:t>网上查询地址</w:t>
      </w:r>
      <w:bookmarkEnd w:id="33"/>
      <w:bookmarkEnd w:id="34"/>
      <w:r>
        <w:rPr>
          <w:rFonts w:hint="eastAsia" w:ascii="宋体" w:hAnsi="宋体" w:eastAsia="宋体" w:cs="宋体"/>
          <w:color w:val="auto"/>
          <w:kern w:val="0"/>
          <w:sz w:val="21"/>
          <w:szCs w:val="21"/>
          <w:highlight w:val="none"/>
          <w:lang w:eastAsia="zh-CN"/>
        </w:rPr>
        <w:t>：中国政府采购网（http://www.ccgp.gov.cn）、广西壮族自治区政府采购网（http://zfcg.gxzf.gov.cn）、 广 西 玉 林 陆 川 县 人 民 政 府 门 户 网 站（http://www.luchuan.gov.cn）、 全 国 公 共 资 源 交 易 平 台（广 西 · 陆 川）（http://ggzy.jgswj.gxzf.gov.cn/lcggzy/）</w:t>
      </w:r>
    </w:p>
    <w:p w14:paraId="03DC7A3E">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3.本项目需要落实的政府采购政策</w:t>
      </w:r>
    </w:p>
    <w:p w14:paraId="4C86A4BA">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（1）政府采购促进中小企业发展。</w:t>
      </w:r>
    </w:p>
    <w:p w14:paraId="17595020">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2）政府采购支持采用本国产品的政策。</w:t>
      </w:r>
    </w:p>
    <w:p w14:paraId="2BA42909">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（3）强制采购节能产品；优先采购节能产品、环境标志产品。</w:t>
      </w:r>
    </w:p>
    <w:p w14:paraId="31E3BBEE">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（4）政府采购促进残疾人就业政策。</w:t>
      </w:r>
    </w:p>
    <w:p w14:paraId="7FBCFB28">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（5）政府采购支持监狱企业发展。</w:t>
      </w:r>
    </w:p>
    <w:p w14:paraId="4E9F4BC0">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r>
        <w:rPr>
          <w:rFonts w:hint="eastAsia" w:ascii="宋体" w:hAnsi="宋体" w:cs="宋体"/>
          <w:color w:val="auto"/>
          <w:sz w:val="21"/>
          <w:szCs w:val="21"/>
          <w:highlight w:val="none"/>
          <w:lang w:eastAsia="zh-CN"/>
        </w:rPr>
        <w:t>。</w:t>
      </w:r>
    </w:p>
    <w:p w14:paraId="404600EE">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5.对在“信用中国”网站</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www.creditchina.gov.cn</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、中国政府采购网</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www.ccgp.gov.cn</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等渠道列入失信被执行人、</w:t>
      </w:r>
      <w:r>
        <w:rPr>
          <w:rFonts w:hint="eastAsia" w:ascii="宋体" w:hAnsi="宋体" w:cs="宋体"/>
          <w:color w:val="auto"/>
          <w:sz w:val="21"/>
          <w:szCs w:val="21"/>
          <w:highlight w:val="none"/>
          <w:lang w:val="en-US" w:eastAsia="zh-CN"/>
        </w:rPr>
        <w:t>税收违法黑名单</w:t>
      </w:r>
      <w:r>
        <w:rPr>
          <w:rFonts w:hint="eastAsia" w:ascii="宋体" w:hAnsi="宋体" w:eastAsia="宋体" w:cs="宋体"/>
          <w:color w:val="auto"/>
          <w:sz w:val="21"/>
          <w:szCs w:val="21"/>
          <w:highlight w:val="none"/>
          <w:lang w:val="en-US" w:eastAsia="zh-CN"/>
        </w:rPr>
        <w:t>、政府采购严重违法失信行为记录名单及其他不符合《中华人民共和国政府采购法》第二十二条规定条件的供应商，不得参与政府采购活动</w:t>
      </w:r>
      <w:r>
        <w:rPr>
          <w:rFonts w:hint="eastAsia" w:ascii="宋体" w:hAnsi="宋体" w:eastAsia="宋体" w:cs="宋体"/>
          <w:color w:val="auto"/>
          <w:sz w:val="21"/>
          <w:szCs w:val="21"/>
          <w:highlight w:val="none"/>
        </w:rPr>
        <w:t>。</w:t>
      </w:r>
    </w:p>
    <w:p w14:paraId="2E2F1C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exact"/>
        <w:ind w:left="0" w:leftChars="0" w:right="0" w:firstLine="420" w:firstLineChars="200"/>
        <w:jc w:val="left"/>
        <w:textAlignment w:val="auto"/>
        <w:rPr>
          <w:rFonts w:hint="default"/>
          <w:color w:val="auto"/>
          <w:lang w:val="en-US" w:eastAsia="zh-CN"/>
        </w:rPr>
      </w:pPr>
      <w:r>
        <w:rPr>
          <w:rFonts w:hint="eastAsia" w:ascii="宋体" w:hAnsi="宋体" w:cs="宋体"/>
          <w:color w:val="auto"/>
          <w:kern w:val="0"/>
          <w:sz w:val="21"/>
          <w:szCs w:val="21"/>
          <w:shd w:val="clear" w:fill="FFFFFF"/>
          <w:lang w:val="en-US" w:eastAsia="zh-CN" w:bidi="ar"/>
        </w:rPr>
        <w:t>6</w:t>
      </w:r>
      <w:r>
        <w:rPr>
          <w:rFonts w:hint="eastAsia" w:ascii="宋体" w:hAnsi="宋体" w:eastAsia="宋体" w:cs="宋体"/>
          <w:color w:val="auto"/>
          <w:kern w:val="0"/>
          <w:sz w:val="21"/>
          <w:szCs w:val="21"/>
          <w:shd w:val="clear" w:fill="FFFFFF"/>
          <w:lang w:val="en-US" w:eastAsia="zh-CN" w:bidi="ar"/>
        </w:rPr>
        <w:t>.监督部门：</w:t>
      </w:r>
      <w:r>
        <w:rPr>
          <w:rFonts w:hint="eastAsia" w:ascii="宋体" w:hAnsi="宋体" w:eastAsia="宋体" w:cs="宋体"/>
          <w:color w:val="auto"/>
          <w:kern w:val="0"/>
          <w:sz w:val="21"/>
          <w:szCs w:val="21"/>
          <w:highlight w:val="none"/>
          <w:lang w:val="en-US" w:eastAsia="zh-CN"/>
        </w:rPr>
        <w:t>陆川县财政局政府采购监督管理股</w:t>
      </w:r>
      <w:r>
        <w:rPr>
          <w:rFonts w:hint="eastAsia" w:ascii="宋体" w:hAnsi="宋体" w:eastAsia="宋体" w:cs="宋体"/>
          <w:color w:val="auto"/>
          <w:kern w:val="0"/>
          <w:sz w:val="21"/>
          <w:szCs w:val="21"/>
          <w:shd w:val="clear" w:fill="FFFFFF"/>
          <w:lang w:val="en-US" w:eastAsia="zh-CN" w:bidi="ar"/>
        </w:rPr>
        <w:t xml:space="preserve">  联系电话：</w:t>
      </w:r>
      <w:r>
        <w:rPr>
          <w:rFonts w:hint="eastAsia" w:ascii="宋体" w:hAnsi="宋体" w:eastAsia="宋体" w:cs="宋体"/>
          <w:color w:val="auto"/>
          <w:kern w:val="0"/>
          <w:sz w:val="21"/>
          <w:szCs w:val="21"/>
          <w:highlight w:val="none"/>
          <w:lang w:val="en-US" w:eastAsia="zh-CN"/>
        </w:rPr>
        <w:t>0775-7235528</w:t>
      </w:r>
    </w:p>
    <w:p w14:paraId="0E92D1EE">
      <w:pPr>
        <w:pStyle w:val="34"/>
        <w:keepNext w:val="0"/>
        <w:keepLines w:val="0"/>
        <w:pageBreakBefore w:val="0"/>
        <w:widowControl w:val="0"/>
        <w:kinsoku/>
        <w:wordWrap/>
        <w:overflowPunct/>
        <w:topLinePunct w:val="0"/>
        <w:autoSpaceDE/>
        <w:autoSpaceDN/>
        <w:bidi w:val="0"/>
        <w:adjustRightInd/>
        <w:snapToGrid/>
        <w:spacing w:before="0" w:after="0" w:line="420" w:lineRule="exact"/>
        <w:ind w:left="0" w:leftChars="0" w:firstLine="46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.若对项目采购电子交易系统操作有疑问，可登录广西政府采购云平台（https://www.gcy.zfcg.gxzf.gov.cn</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，点击右侧咨询小采，获取采小蜜智能服务管家帮助，或拨打广西政府采购云平台服务热线95763获取热线服务帮助。</w:t>
      </w:r>
    </w:p>
    <w:p w14:paraId="794FA306">
      <w:pPr>
        <w:pStyle w:val="34"/>
        <w:keepNext w:val="0"/>
        <w:keepLines w:val="0"/>
        <w:pageBreakBefore w:val="0"/>
        <w:widowControl w:val="0"/>
        <w:kinsoku/>
        <w:wordWrap/>
        <w:overflowPunct/>
        <w:topLinePunct w:val="0"/>
        <w:autoSpaceDE/>
        <w:autoSpaceDN/>
        <w:bidi w:val="0"/>
        <w:adjustRightInd/>
        <w:snapToGrid/>
        <w:spacing w:before="0" w:after="0" w:line="420" w:lineRule="exact"/>
        <w:ind w:left="0" w:leftChars="0" w:firstLine="460" w:firstLineChars="200"/>
        <w:jc w:val="both"/>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lang w:val="en-US" w:eastAsia="zh-CN" w:bidi="ar-SA"/>
        </w:rPr>
        <w:t>本项目为远程异地全流程电子评标。</w:t>
      </w:r>
    </w:p>
    <w:p w14:paraId="6A85B949">
      <w:pPr>
        <w:pStyle w:val="5"/>
        <w:pageBreakBefore w:val="0"/>
        <w:kinsoku/>
        <w:wordWrap/>
        <w:overflowPunct/>
        <w:topLinePunct w:val="0"/>
        <w:autoSpaceDE/>
        <w:autoSpaceDN/>
        <w:bidi w:val="0"/>
        <w:adjustRightInd/>
        <w:snapToGrid/>
        <w:spacing w:before="0" w:after="0" w:line="420" w:lineRule="exact"/>
        <w:ind w:right="0" w:firstLine="241" w:firstLineChars="100"/>
        <w:textAlignment w:val="auto"/>
        <w:rPr>
          <w:rFonts w:asciiTheme="minorEastAsia" w:hAnsiTheme="minorEastAsia" w:eastAsiaTheme="minorEastAsia" w:cstheme="minorEastAsia"/>
          <w:bCs w:val="0"/>
          <w:color w:val="auto"/>
          <w:sz w:val="24"/>
          <w:szCs w:val="24"/>
        </w:rPr>
      </w:pPr>
      <w:r>
        <w:rPr>
          <w:rFonts w:hint="eastAsia" w:asciiTheme="minorEastAsia" w:hAnsiTheme="minorEastAsia" w:eastAsiaTheme="minorEastAsia" w:cstheme="minorEastAsia"/>
          <w:bCs w:val="0"/>
          <w:color w:val="auto"/>
          <w:sz w:val="24"/>
          <w:szCs w:val="24"/>
          <w:lang w:eastAsia="zh-CN"/>
        </w:rPr>
        <w:t>八</w:t>
      </w:r>
      <w:r>
        <w:rPr>
          <w:rFonts w:hint="eastAsia" w:asciiTheme="minorEastAsia" w:hAnsiTheme="minorEastAsia" w:eastAsiaTheme="minorEastAsia" w:cstheme="minorEastAsia"/>
          <w:bCs w:val="0"/>
          <w:color w:val="auto"/>
          <w:sz w:val="24"/>
          <w:szCs w:val="24"/>
        </w:rPr>
        <w:t>、凡对本次采购提出询问，请按以下方式联系。</w:t>
      </w:r>
      <w:bookmarkEnd w:id="28"/>
      <w:bookmarkEnd w:id="29"/>
      <w:bookmarkEnd w:id="30"/>
      <w:bookmarkEnd w:id="31"/>
      <w:bookmarkEnd w:id="32"/>
    </w:p>
    <w:p w14:paraId="177814CF">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outlineLvl w:val="0"/>
        <w:rPr>
          <w:rFonts w:hint="eastAsia" w:ascii="宋体" w:hAnsi="宋体" w:eastAsia="宋体" w:cs="宋体"/>
          <w:color w:val="auto"/>
          <w:kern w:val="0"/>
          <w:sz w:val="21"/>
          <w:szCs w:val="21"/>
        </w:rPr>
      </w:pPr>
      <w:bookmarkStart w:id="35" w:name="_Toc35393637"/>
      <w:bookmarkStart w:id="36" w:name="_Toc35393806"/>
      <w:bookmarkStart w:id="37" w:name="_Toc28359096"/>
      <w:bookmarkStart w:id="38" w:name="_Toc24148"/>
      <w:bookmarkStart w:id="39" w:name="_Toc28359019"/>
      <w:bookmarkStart w:id="40" w:name="_Toc31414"/>
      <w:bookmarkStart w:id="41" w:name="_Toc32224"/>
      <w:bookmarkStart w:id="42" w:name="_Toc24954"/>
      <w:r>
        <w:rPr>
          <w:rFonts w:hint="eastAsia" w:ascii="宋体" w:hAnsi="宋体" w:eastAsia="宋体" w:cs="宋体"/>
          <w:color w:val="auto"/>
          <w:kern w:val="0"/>
          <w:sz w:val="21"/>
          <w:szCs w:val="21"/>
        </w:rPr>
        <w:t>1.采购人信息</w:t>
      </w:r>
      <w:bookmarkEnd w:id="35"/>
      <w:bookmarkEnd w:id="36"/>
      <w:bookmarkEnd w:id="37"/>
      <w:bookmarkEnd w:id="38"/>
      <w:bookmarkEnd w:id="39"/>
      <w:bookmarkEnd w:id="40"/>
      <w:bookmarkEnd w:id="41"/>
      <w:bookmarkEnd w:id="42"/>
    </w:p>
    <w:p w14:paraId="33B01D97">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rPr>
        <w:t>名称</w:t>
      </w:r>
      <w:r>
        <w:rPr>
          <w:rFonts w:hint="eastAsia" w:ascii="宋体" w:hAnsi="宋体" w:cs="宋体"/>
          <w:color w:val="auto"/>
          <w:sz w:val="21"/>
          <w:szCs w:val="21"/>
          <w:u w:val="none"/>
          <w:lang w:eastAsia="zh-CN"/>
        </w:rPr>
        <w:t xml:space="preserve">：陆川县第三中学 </w:t>
      </w:r>
    </w:p>
    <w:p w14:paraId="65CA20BD">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地址：</w:t>
      </w:r>
      <w:r>
        <w:rPr>
          <w:rFonts w:hint="eastAsia" w:ascii="宋体" w:hAnsi="宋体" w:cs="宋体"/>
          <w:color w:val="auto"/>
          <w:sz w:val="21"/>
          <w:szCs w:val="21"/>
          <w:u w:val="none"/>
          <w:lang w:val="en-US" w:eastAsia="zh-CN"/>
        </w:rPr>
        <w:t>陆川县温泉镇双龙路51号</w:t>
      </w:r>
      <w:r>
        <w:rPr>
          <w:rFonts w:hint="eastAsia" w:ascii="宋体" w:hAnsi="宋体" w:eastAsia="宋体" w:cs="宋体"/>
          <w:color w:val="auto"/>
          <w:sz w:val="21"/>
          <w:szCs w:val="21"/>
          <w:u w:val="none"/>
        </w:rPr>
        <w:t>　　　　　　　　</w:t>
      </w:r>
    </w:p>
    <w:p w14:paraId="4C0AE4A1">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default"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联系人：</w:t>
      </w:r>
      <w:r>
        <w:rPr>
          <w:rFonts w:hint="eastAsia" w:ascii="宋体" w:hAnsi="宋体" w:cs="宋体"/>
          <w:color w:val="auto"/>
          <w:sz w:val="21"/>
          <w:szCs w:val="21"/>
          <w:u w:val="none"/>
          <w:lang w:val="en-US" w:eastAsia="zh-CN"/>
        </w:rPr>
        <w:t>陈汉</w:t>
      </w:r>
    </w:p>
    <w:p w14:paraId="587C7068">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联系方式：</w:t>
      </w:r>
      <w:r>
        <w:rPr>
          <w:rFonts w:hint="eastAsia" w:ascii="宋体" w:hAnsi="宋体" w:cs="宋体"/>
          <w:color w:val="auto"/>
          <w:sz w:val="21"/>
          <w:szCs w:val="21"/>
          <w:u w:val="none"/>
          <w:lang w:eastAsia="zh-CN"/>
        </w:rPr>
        <w:t>0775-7333101</w:t>
      </w:r>
      <w:r>
        <w:rPr>
          <w:rFonts w:hint="eastAsia" w:ascii="宋体" w:hAnsi="宋体" w:eastAsia="宋体" w:cs="宋体"/>
          <w:color w:val="auto"/>
          <w:sz w:val="21"/>
          <w:szCs w:val="21"/>
          <w:u w:val="none"/>
        </w:rPr>
        <w:t xml:space="preserve">                     　 </w:t>
      </w:r>
    </w:p>
    <w:p w14:paraId="3AE02B3A">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outlineLvl w:val="0"/>
        <w:rPr>
          <w:rFonts w:hint="eastAsia" w:ascii="宋体" w:hAnsi="宋体" w:eastAsia="宋体" w:cs="宋体"/>
          <w:color w:val="auto"/>
          <w:kern w:val="0"/>
          <w:sz w:val="21"/>
          <w:szCs w:val="21"/>
          <w:u w:val="none"/>
        </w:rPr>
      </w:pPr>
      <w:bookmarkStart w:id="43" w:name="_Toc5007"/>
      <w:bookmarkStart w:id="44" w:name="_Toc17087"/>
      <w:bookmarkStart w:id="45" w:name="_Toc28359020"/>
      <w:bookmarkStart w:id="46" w:name="_Toc35393638"/>
      <w:bookmarkStart w:id="47" w:name="_Toc35393807"/>
      <w:bookmarkStart w:id="48" w:name="_Toc28359097"/>
      <w:bookmarkStart w:id="49" w:name="_Toc25561"/>
      <w:bookmarkStart w:id="50" w:name="_Toc3995"/>
      <w:r>
        <w:rPr>
          <w:rFonts w:hint="eastAsia" w:ascii="宋体" w:hAnsi="宋体" w:eastAsia="宋体" w:cs="宋体"/>
          <w:color w:val="auto"/>
          <w:kern w:val="0"/>
          <w:sz w:val="21"/>
          <w:szCs w:val="21"/>
          <w:u w:val="none"/>
        </w:rPr>
        <w:t>2.采购代理机构信息</w:t>
      </w:r>
      <w:bookmarkEnd w:id="43"/>
      <w:bookmarkEnd w:id="44"/>
      <w:bookmarkEnd w:id="45"/>
      <w:bookmarkEnd w:id="46"/>
      <w:bookmarkEnd w:id="47"/>
      <w:bookmarkEnd w:id="48"/>
      <w:bookmarkEnd w:id="49"/>
      <w:bookmarkEnd w:id="50"/>
    </w:p>
    <w:p w14:paraId="1CE0F958">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名称：</w:t>
      </w:r>
      <w:r>
        <w:rPr>
          <w:rFonts w:hint="eastAsia" w:ascii="宋体" w:hAnsi="宋体" w:cs="宋体"/>
          <w:color w:val="auto"/>
          <w:sz w:val="21"/>
          <w:szCs w:val="21"/>
          <w:u w:val="none"/>
          <w:lang w:eastAsia="zh-CN"/>
        </w:rPr>
        <w:t>广西冠博工程管理有限公司</w:t>
      </w:r>
      <w:r>
        <w:rPr>
          <w:rFonts w:hint="eastAsia" w:ascii="宋体" w:hAnsi="宋体" w:eastAsia="宋体" w:cs="宋体"/>
          <w:color w:val="auto"/>
          <w:sz w:val="21"/>
          <w:szCs w:val="21"/>
          <w:u w:val="none"/>
        </w:rPr>
        <w:t>　　　　　　　　　　　</w:t>
      </w:r>
    </w:p>
    <w:p w14:paraId="1A1AE753">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地址：</w:t>
      </w:r>
      <w:r>
        <w:rPr>
          <w:rFonts w:hint="eastAsia" w:ascii="宋体" w:hAnsi="宋体" w:cs="宋体"/>
          <w:color w:val="auto"/>
          <w:sz w:val="21"/>
          <w:szCs w:val="21"/>
          <w:highlight w:val="none"/>
          <w:u w:val="none"/>
          <w:lang w:val="en-US" w:eastAsia="zh-CN"/>
        </w:rPr>
        <w:t>玉林市玉州区桂园开发区西6幢2号二楼</w:t>
      </w:r>
      <w:r>
        <w:rPr>
          <w:rFonts w:hint="eastAsia" w:ascii="宋体" w:hAnsi="宋体" w:eastAsia="宋体" w:cs="宋体"/>
          <w:color w:val="auto"/>
          <w:sz w:val="21"/>
          <w:szCs w:val="21"/>
          <w:u w:val="none"/>
        </w:rPr>
        <w:t>　　　　　　　　　</w:t>
      </w:r>
    </w:p>
    <w:p w14:paraId="1EFA4D98">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联系方式：</w:t>
      </w:r>
      <w:r>
        <w:rPr>
          <w:rFonts w:hint="eastAsia" w:ascii="宋体" w:hAnsi="宋体" w:cs="宋体"/>
          <w:color w:val="auto"/>
          <w:sz w:val="21"/>
          <w:szCs w:val="21"/>
          <w:highlight w:val="none"/>
          <w:u w:val="none"/>
          <w:lang w:eastAsia="zh-CN"/>
        </w:rPr>
        <w:t>0775-2082865</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u w:val="none"/>
        </w:rPr>
        <w:t xml:space="preserve">                       </w:t>
      </w:r>
    </w:p>
    <w:p w14:paraId="3E76E72C">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outlineLvl w:val="0"/>
        <w:rPr>
          <w:rFonts w:hint="eastAsia" w:ascii="宋体" w:hAnsi="宋体" w:eastAsia="宋体" w:cs="宋体"/>
          <w:color w:val="auto"/>
          <w:kern w:val="0"/>
          <w:sz w:val="21"/>
          <w:szCs w:val="21"/>
          <w:u w:val="none"/>
        </w:rPr>
      </w:pPr>
      <w:bookmarkStart w:id="51" w:name="_Toc4404"/>
      <w:bookmarkStart w:id="52" w:name="_Toc28359021"/>
      <w:bookmarkStart w:id="53" w:name="_Toc30979"/>
      <w:bookmarkStart w:id="54" w:name="_Toc35393639"/>
      <w:bookmarkStart w:id="55" w:name="_Toc1192"/>
      <w:bookmarkStart w:id="56" w:name="_Toc20744"/>
      <w:bookmarkStart w:id="57" w:name="_Toc28359098"/>
      <w:bookmarkStart w:id="58" w:name="_Toc35393808"/>
      <w:r>
        <w:rPr>
          <w:rFonts w:hint="eastAsia" w:ascii="宋体" w:hAnsi="宋体" w:eastAsia="宋体" w:cs="宋体"/>
          <w:color w:val="auto"/>
          <w:kern w:val="0"/>
          <w:sz w:val="21"/>
          <w:szCs w:val="21"/>
          <w:u w:val="none"/>
        </w:rPr>
        <w:t>3.项目联系方式</w:t>
      </w:r>
      <w:bookmarkEnd w:id="51"/>
      <w:bookmarkEnd w:id="52"/>
      <w:bookmarkEnd w:id="53"/>
      <w:bookmarkEnd w:id="54"/>
      <w:bookmarkEnd w:id="55"/>
      <w:bookmarkEnd w:id="56"/>
      <w:bookmarkEnd w:id="57"/>
      <w:bookmarkEnd w:id="58"/>
    </w:p>
    <w:p w14:paraId="415821C3">
      <w:pPr>
        <w:pStyle w:val="15"/>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项目联系人：</w:t>
      </w:r>
      <w:r>
        <w:rPr>
          <w:rFonts w:hint="eastAsia" w:hAnsi="宋体" w:cs="宋体"/>
          <w:color w:val="auto"/>
          <w:sz w:val="21"/>
          <w:szCs w:val="21"/>
          <w:u w:val="none"/>
          <w:lang w:val="en-US" w:eastAsia="zh-CN"/>
        </w:rPr>
        <w:t>赖程鑫</w:t>
      </w:r>
      <w:r>
        <w:rPr>
          <w:rFonts w:hint="eastAsia" w:ascii="宋体" w:hAnsi="宋体" w:eastAsia="宋体" w:cs="宋体"/>
          <w:color w:val="auto"/>
          <w:sz w:val="21"/>
          <w:szCs w:val="21"/>
          <w:u w:val="none"/>
        </w:rPr>
        <w:t xml:space="preserve">                  </w:t>
      </w:r>
    </w:p>
    <w:p w14:paraId="0BFC5C2C">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u w:val="none"/>
        </w:rPr>
        <w:t>电话：</w:t>
      </w:r>
      <w:r>
        <w:rPr>
          <w:rFonts w:hint="eastAsia" w:ascii="宋体" w:hAnsi="宋体" w:cs="宋体"/>
          <w:color w:val="auto"/>
          <w:sz w:val="21"/>
          <w:szCs w:val="21"/>
          <w:highlight w:val="none"/>
          <w:u w:val="none"/>
          <w:lang w:eastAsia="zh-CN"/>
        </w:rPr>
        <w:t>0775-2082865</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shd w:val="clear" w:color="auto" w:fill="FFFFFF"/>
          <w:lang w:val="en-US" w:eastAsia="zh-CN"/>
        </w:rPr>
        <w:t xml:space="preserve">                           </w:t>
      </w:r>
    </w:p>
    <w:p w14:paraId="2E027674">
      <w:pPr>
        <w:pageBreakBefore w:val="0"/>
        <w:widowControl w:val="0"/>
        <w:kinsoku/>
        <w:wordWrap/>
        <w:overflowPunct/>
        <w:topLinePunct w:val="0"/>
        <w:autoSpaceDE/>
        <w:autoSpaceDN/>
        <w:bidi w:val="0"/>
        <w:adjustRightInd/>
        <w:snapToGrid/>
        <w:spacing w:line="400" w:lineRule="exact"/>
        <w:ind w:left="0" w:leftChars="0" w:right="0"/>
        <w:jc w:val="center"/>
        <w:textAlignment w:val="auto"/>
        <w:rPr>
          <w:rFonts w:hint="eastAsia" w:ascii="宋体" w:hAnsi="宋体" w:eastAsia="宋体" w:cs="宋体"/>
          <w:bCs/>
          <w:color w:val="auto"/>
          <w:sz w:val="21"/>
          <w:szCs w:val="21"/>
          <w:lang w:eastAsia="zh-CN"/>
        </w:rPr>
      </w:pPr>
      <w:r>
        <w:rPr>
          <w:rFonts w:hint="eastAsia" w:ascii="宋体" w:hAnsi="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lang w:val="en-US" w:eastAsia="zh-CN"/>
        </w:rPr>
        <w:t xml:space="preserve">  </w:t>
      </w:r>
      <w:r>
        <w:rPr>
          <w:rFonts w:hint="eastAsia" w:ascii="宋体" w:hAnsi="宋体" w:cs="宋体"/>
          <w:color w:val="auto"/>
          <w:sz w:val="21"/>
          <w:szCs w:val="21"/>
          <w:shd w:val="clear" w:color="auto" w:fill="FFFFFF"/>
          <w:lang w:val="en-US" w:eastAsia="zh-CN"/>
        </w:rPr>
        <w:t xml:space="preserve">          广西冠博工程管理有限公司</w:t>
      </w:r>
    </w:p>
    <w:p w14:paraId="632149FE">
      <w:pPr>
        <w:pageBreakBefore w:val="0"/>
        <w:kinsoku/>
        <w:wordWrap/>
        <w:overflowPunct/>
        <w:topLinePunct w:val="0"/>
        <w:autoSpaceDE/>
        <w:autoSpaceDN/>
        <w:bidi w:val="0"/>
        <w:adjustRightInd/>
        <w:snapToGrid/>
        <w:spacing w:line="400" w:lineRule="exact"/>
        <w:ind w:left="0" w:leftChars="0" w:right="0" w:firstLine="420" w:firstLineChars="200"/>
        <w:jc w:val="center"/>
        <w:textAlignment w:val="auto"/>
        <w:rPr>
          <w:rFonts w:hint="eastAsia"/>
          <w:color w:val="auto"/>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highlight w:val="none"/>
          <w:lang w:val="en-US" w:eastAsia="zh-CN"/>
        </w:rPr>
        <w:t xml:space="preserve"> 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14</w:t>
      </w:r>
      <w:r>
        <w:rPr>
          <w:rFonts w:hint="eastAsia" w:ascii="宋体" w:hAnsi="宋体" w:eastAsia="宋体" w:cs="宋体"/>
          <w:color w:val="auto"/>
          <w:sz w:val="21"/>
          <w:szCs w:val="21"/>
          <w:highlight w:val="none"/>
          <w:lang w:eastAsia="zh-CN"/>
        </w:rPr>
        <w:t>日</w:t>
      </w:r>
      <w:r>
        <w:rPr>
          <w:rFonts w:hint="eastAsia" w:ascii="宋体" w:hAnsi="宋体"/>
          <w:bCs/>
          <w:color w:val="auto"/>
          <w:szCs w:val="21"/>
        </w:rPr>
        <w:t xml:space="preserve">                           </w:t>
      </w:r>
      <w:r>
        <w:rPr>
          <w:rFonts w:hint="eastAsia" w:ascii="宋体" w:hAnsi="宋体"/>
          <w:bCs/>
          <w:color w:val="auto"/>
          <w:szCs w:val="21"/>
          <w:lang w:val="en-US" w:eastAsia="zh-CN"/>
        </w:rPr>
        <w:t xml:space="preserve">                                                               </w:t>
      </w:r>
      <w:bookmarkStart w:id="59" w:name="_Toc44229894"/>
      <w:bookmarkStart w:id="60" w:name="_Toc19097"/>
    </w:p>
    <w:p w14:paraId="594B0E82">
      <w:pPr>
        <w:jc w:val="both"/>
        <w:outlineLvl w:val="0"/>
        <w:rPr>
          <w:rFonts w:hint="eastAsia" w:asciiTheme="majorEastAsia" w:hAnsiTheme="majorEastAsia" w:eastAsiaTheme="majorEastAsia" w:cstheme="majorEastAsia"/>
          <w:b/>
          <w:color w:val="auto"/>
          <w:sz w:val="32"/>
          <w:highlight w:val="none"/>
        </w:rPr>
      </w:pPr>
      <w:bookmarkStart w:id="61" w:name="_Toc2599"/>
    </w:p>
    <w:p w14:paraId="21B0602D">
      <w:pPr>
        <w:jc w:val="both"/>
        <w:outlineLvl w:val="0"/>
        <w:rPr>
          <w:rFonts w:hint="eastAsia" w:asciiTheme="majorEastAsia" w:hAnsiTheme="majorEastAsia" w:eastAsiaTheme="majorEastAsia" w:cstheme="majorEastAsia"/>
          <w:b/>
          <w:color w:val="auto"/>
          <w:sz w:val="32"/>
          <w:highlight w:val="none"/>
        </w:rPr>
      </w:pPr>
    </w:p>
    <w:p w14:paraId="362A788E">
      <w:pPr>
        <w:jc w:val="both"/>
        <w:outlineLvl w:val="0"/>
        <w:rPr>
          <w:rFonts w:hint="eastAsia" w:asciiTheme="majorEastAsia" w:hAnsiTheme="majorEastAsia" w:eastAsiaTheme="majorEastAsia" w:cstheme="majorEastAsia"/>
          <w:b/>
          <w:color w:val="auto"/>
          <w:sz w:val="32"/>
          <w:highlight w:val="none"/>
        </w:rPr>
      </w:pPr>
    </w:p>
    <w:p w14:paraId="71EDACFC">
      <w:pPr>
        <w:jc w:val="both"/>
        <w:outlineLvl w:val="0"/>
        <w:rPr>
          <w:rFonts w:hint="eastAsia" w:asciiTheme="majorEastAsia" w:hAnsiTheme="majorEastAsia" w:eastAsiaTheme="majorEastAsia" w:cstheme="majorEastAsia"/>
          <w:b/>
          <w:color w:val="auto"/>
          <w:sz w:val="32"/>
          <w:highlight w:val="none"/>
        </w:rPr>
      </w:pPr>
    </w:p>
    <w:p w14:paraId="18CD7C52">
      <w:pPr>
        <w:jc w:val="both"/>
        <w:outlineLvl w:val="0"/>
        <w:rPr>
          <w:rFonts w:hint="eastAsia" w:asciiTheme="majorEastAsia" w:hAnsiTheme="majorEastAsia" w:eastAsiaTheme="majorEastAsia" w:cstheme="majorEastAsia"/>
          <w:b/>
          <w:color w:val="auto"/>
          <w:sz w:val="32"/>
          <w:highlight w:val="none"/>
        </w:rPr>
      </w:pPr>
    </w:p>
    <w:p w14:paraId="2FF114C2">
      <w:pPr>
        <w:jc w:val="both"/>
        <w:outlineLvl w:val="0"/>
        <w:rPr>
          <w:rFonts w:hint="eastAsia" w:asciiTheme="majorEastAsia" w:hAnsiTheme="majorEastAsia" w:eastAsiaTheme="majorEastAsia" w:cstheme="majorEastAsia"/>
          <w:b/>
          <w:color w:val="auto"/>
          <w:sz w:val="32"/>
          <w:highlight w:val="none"/>
        </w:rPr>
      </w:pPr>
    </w:p>
    <w:p w14:paraId="681C4E30">
      <w:pPr>
        <w:jc w:val="both"/>
        <w:outlineLvl w:val="0"/>
        <w:rPr>
          <w:rFonts w:hint="eastAsia" w:asciiTheme="majorEastAsia" w:hAnsiTheme="majorEastAsia" w:eastAsiaTheme="majorEastAsia" w:cstheme="majorEastAsia"/>
          <w:b/>
          <w:color w:val="auto"/>
          <w:sz w:val="32"/>
          <w:highlight w:val="none"/>
        </w:rPr>
      </w:pPr>
    </w:p>
    <w:p w14:paraId="3C60D0B5">
      <w:pPr>
        <w:jc w:val="both"/>
        <w:outlineLvl w:val="0"/>
        <w:rPr>
          <w:rFonts w:hint="eastAsia" w:asciiTheme="majorEastAsia" w:hAnsiTheme="majorEastAsia" w:eastAsiaTheme="majorEastAsia" w:cstheme="majorEastAsia"/>
          <w:b/>
          <w:color w:val="auto"/>
          <w:sz w:val="32"/>
          <w:highlight w:val="none"/>
        </w:rPr>
      </w:pPr>
    </w:p>
    <w:p w14:paraId="2A5D1320">
      <w:pPr>
        <w:jc w:val="both"/>
        <w:outlineLvl w:val="0"/>
        <w:rPr>
          <w:rFonts w:hint="eastAsia" w:asciiTheme="majorEastAsia" w:hAnsiTheme="majorEastAsia" w:eastAsiaTheme="majorEastAsia" w:cstheme="majorEastAsia"/>
          <w:b/>
          <w:color w:val="auto"/>
          <w:sz w:val="32"/>
          <w:highlight w:val="none"/>
        </w:rPr>
      </w:pPr>
    </w:p>
    <w:p w14:paraId="3DCE175F">
      <w:pPr>
        <w:jc w:val="both"/>
        <w:outlineLvl w:val="0"/>
        <w:rPr>
          <w:rFonts w:hint="eastAsia" w:asciiTheme="majorEastAsia" w:hAnsiTheme="majorEastAsia" w:eastAsiaTheme="majorEastAsia" w:cstheme="majorEastAsia"/>
          <w:b/>
          <w:color w:val="auto"/>
          <w:sz w:val="32"/>
          <w:highlight w:val="none"/>
        </w:rPr>
      </w:pPr>
    </w:p>
    <w:p w14:paraId="7D0CBEE5">
      <w:pPr>
        <w:jc w:val="center"/>
        <w:outlineLvl w:val="0"/>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第二章 供应商须知</w:t>
      </w:r>
      <w:bookmarkEnd w:id="59"/>
      <w:bookmarkEnd w:id="60"/>
      <w:bookmarkEnd w:id="61"/>
    </w:p>
    <w:p w14:paraId="41547C77">
      <w:pPr>
        <w:jc w:val="center"/>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供应商须知前附表</w:t>
      </w:r>
    </w:p>
    <w:p w14:paraId="20AA2AB9">
      <w:pPr>
        <w:jc w:val="center"/>
        <w:rPr>
          <w:rFonts w:hint="eastAsia" w:ascii="宋体" w:hAnsi="宋体" w:eastAsia="宋体" w:cs="宋体"/>
          <w:b/>
          <w:color w:val="auto"/>
          <w:sz w:val="21"/>
          <w:szCs w:val="21"/>
          <w:highlight w:val="none"/>
        </w:rPr>
      </w:pPr>
    </w:p>
    <w:tbl>
      <w:tblPr>
        <w:tblStyle w:val="25"/>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2"/>
        <w:gridCol w:w="7912"/>
      </w:tblGrid>
      <w:tr w14:paraId="23F1D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tcPr>
          <w:p w14:paraId="576D9062">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tcPr>
          <w:p w14:paraId="0D744C98">
            <w:pPr>
              <w:spacing w:line="360" w:lineRule="auto"/>
              <w:jc w:val="center"/>
              <w:rPr>
                <w:rFonts w:ascii="宋体" w:hAnsi="宋体" w:cs="宋体"/>
                <w:b/>
                <w:color w:val="auto"/>
                <w:szCs w:val="21"/>
              </w:rPr>
            </w:pPr>
            <w:r>
              <w:rPr>
                <w:rFonts w:hint="eastAsia" w:ascii="宋体" w:hAnsi="宋体" w:cs="宋体"/>
                <w:b/>
                <w:color w:val="auto"/>
                <w:szCs w:val="21"/>
              </w:rPr>
              <w:t>内    容</w:t>
            </w:r>
          </w:p>
        </w:tc>
      </w:tr>
      <w:tr w14:paraId="45520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8990580">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vAlign w:val="center"/>
          </w:tcPr>
          <w:p w14:paraId="13153725">
            <w:pPr>
              <w:spacing w:line="360" w:lineRule="auto"/>
              <w:rPr>
                <w:rFonts w:ascii="宋体" w:hAnsi="宋体" w:cs="宋体"/>
                <w:color w:val="auto"/>
                <w:szCs w:val="21"/>
              </w:rPr>
            </w:pPr>
            <w:r>
              <w:rPr>
                <w:rFonts w:hint="eastAsia" w:ascii="宋体" w:hAnsi="宋体" w:cs="宋体"/>
                <w:bCs/>
                <w:color w:val="auto"/>
                <w:szCs w:val="21"/>
              </w:rPr>
              <w:t>供应商的资格条件</w:t>
            </w:r>
            <w:r>
              <w:rPr>
                <w:rFonts w:hint="eastAsia" w:ascii="宋体" w:hAnsi="宋体" w:cs="宋体"/>
                <w:color w:val="auto"/>
                <w:szCs w:val="21"/>
              </w:rPr>
              <w:t>：详见竞争性磋商公告</w:t>
            </w:r>
          </w:p>
        </w:tc>
      </w:tr>
      <w:tr w14:paraId="50983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33854BD">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vAlign w:val="center"/>
          </w:tcPr>
          <w:p w14:paraId="69D028E4">
            <w:pPr>
              <w:spacing w:line="360" w:lineRule="auto"/>
              <w:rPr>
                <w:rFonts w:ascii="宋体" w:hAnsi="宋体" w:cs="宋体"/>
                <w:color w:val="auto"/>
                <w:szCs w:val="21"/>
              </w:rPr>
            </w:pPr>
            <w:r>
              <w:rPr>
                <w:rFonts w:hint="eastAsia" w:ascii="宋体" w:hAnsi="宋体" w:cs="宋体"/>
                <w:color w:val="auto"/>
                <w:szCs w:val="21"/>
              </w:rPr>
              <w:t>是否接受联合体竞标</w:t>
            </w:r>
            <w:r>
              <w:rPr>
                <w:rFonts w:hint="eastAsia" w:ascii="宋体" w:hAnsi="宋体" w:cs="宋体"/>
                <w:color w:val="auto"/>
                <w:szCs w:val="21"/>
                <w:lang w:eastAsia="zh-CN"/>
              </w:rPr>
              <w:t>：</w:t>
            </w:r>
            <w:r>
              <w:rPr>
                <w:rFonts w:hint="eastAsia" w:ascii="宋体" w:hAnsi="宋体" w:cs="宋体"/>
                <w:color w:val="auto"/>
                <w:szCs w:val="21"/>
              </w:rPr>
              <w:t xml:space="preserve"> </w:t>
            </w:r>
            <w:r>
              <w:rPr>
                <w:rFonts w:hint="eastAsia" w:asciiTheme="majorEastAsia" w:hAnsiTheme="majorEastAsia" w:eastAsiaTheme="majorEastAsia" w:cstheme="majorEastAsia"/>
                <w:b w:val="0"/>
                <w:bCs/>
                <w:color w:val="auto"/>
                <w:sz w:val="21"/>
                <w:szCs w:val="21"/>
                <w:highlight w:val="none"/>
              </w:rPr>
              <w:t>本项目不接受联合体</w:t>
            </w:r>
          </w:p>
        </w:tc>
      </w:tr>
      <w:tr w14:paraId="15124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jc w:val="center"/>
        </w:trPr>
        <w:tc>
          <w:tcPr>
            <w:tcW w:w="1152" w:type="dxa"/>
            <w:vAlign w:val="center"/>
          </w:tcPr>
          <w:p w14:paraId="2A4F33BB">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vAlign w:val="center"/>
          </w:tcPr>
          <w:p w14:paraId="0CF84471">
            <w:pPr>
              <w:spacing w:line="360" w:lineRule="auto"/>
              <w:rPr>
                <w:rFonts w:ascii="宋体" w:hAnsi="宋体" w:cs="宋体"/>
                <w:color w:val="auto"/>
                <w:szCs w:val="21"/>
              </w:rPr>
            </w:pPr>
            <w:r>
              <w:rPr>
                <w:rFonts w:hint="eastAsia" w:ascii="宋体" w:hAnsi="宋体"/>
                <w:color w:val="auto"/>
                <w:szCs w:val="21"/>
              </w:rPr>
              <w:t>如接受联合体竞标，联合体竞标要求如下：无</w:t>
            </w:r>
          </w:p>
        </w:tc>
      </w:tr>
      <w:tr w14:paraId="1B84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1F35FE9F">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vAlign w:val="center"/>
          </w:tcPr>
          <w:p w14:paraId="0593036E">
            <w:pPr>
              <w:pStyle w:val="11"/>
              <w:spacing w:line="360" w:lineRule="auto"/>
              <w:rPr>
                <w:rFonts w:ascii="宋体" w:hAnsi="宋体" w:cs="宋体"/>
                <w:color w:val="auto"/>
                <w:szCs w:val="21"/>
              </w:rPr>
            </w:pPr>
            <w:r>
              <w:rPr>
                <w:rFonts w:hint="eastAsia" w:ascii="宋体" w:hAnsi="宋体"/>
                <w:color w:val="auto"/>
                <w:szCs w:val="21"/>
              </w:rPr>
              <w:t>☑不允许分包</w:t>
            </w:r>
          </w:p>
        </w:tc>
      </w:tr>
      <w:tr w14:paraId="001C4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DD6EF3A">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vAlign w:val="center"/>
          </w:tcPr>
          <w:p w14:paraId="70C78E6A">
            <w:pPr>
              <w:keepNext w:val="0"/>
              <w:keepLines w:val="0"/>
              <w:widowControl/>
              <w:suppressLineNumbers w:val="0"/>
              <w:spacing w:line="360" w:lineRule="auto"/>
              <w:jc w:val="left"/>
              <w:rPr>
                <w:rFonts w:hint="eastAsia" w:ascii="宋体" w:hAnsi="宋体" w:eastAsia="宋体" w:cs="宋体"/>
                <w:b/>
                <w:color w:val="auto"/>
                <w:szCs w:val="21"/>
              </w:rPr>
            </w:pPr>
            <w:r>
              <w:rPr>
                <w:rFonts w:hint="eastAsia" w:ascii="宋体" w:hAnsi="宋体" w:eastAsia="宋体" w:cs="宋体"/>
                <w:b/>
                <w:color w:val="auto"/>
                <w:sz w:val="21"/>
                <w:szCs w:val="21"/>
              </w:rPr>
              <w:t>资格证明文件</w:t>
            </w:r>
            <w:r>
              <w:rPr>
                <w:rFonts w:hint="eastAsia" w:ascii="宋体" w:hAnsi="宋体" w:eastAsia="宋体" w:cs="宋体"/>
                <w:b/>
                <w:color w:val="auto"/>
                <w:sz w:val="21"/>
                <w:szCs w:val="21"/>
                <w:lang w:val="en-US" w:eastAsia="zh-CN"/>
              </w:rPr>
              <w:t xml:space="preserve"> </w:t>
            </w:r>
            <w:r>
              <w:rPr>
                <w:rFonts w:hint="eastAsia" w:ascii="宋体" w:hAnsi="宋体" w:eastAsia="宋体" w:cs="宋体"/>
                <w:b/>
                <w:bCs/>
                <w:color w:val="000000"/>
                <w:kern w:val="0"/>
                <w:sz w:val="21"/>
                <w:szCs w:val="21"/>
                <w:lang w:val="en-US" w:eastAsia="zh-CN" w:bidi="ar"/>
              </w:rPr>
              <w:t>（1-</w:t>
            </w:r>
            <w:r>
              <w:rPr>
                <w:rFonts w:hint="eastAsia" w:ascii="宋体" w:hAnsi="宋体" w:cs="宋体"/>
                <w:b/>
                <w:bCs/>
                <w:color w:val="000000"/>
                <w:kern w:val="0"/>
                <w:sz w:val="21"/>
                <w:szCs w:val="21"/>
                <w:lang w:val="en-US" w:eastAsia="zh-CN" w:bidi="ar"/>
              </w:rPr>
              <w:t>8</w:t>
            </w:r>
            <w:r>
              <w:rPr>
                <w:rFonts w:hint="eastAsia" w:ascii="宋体" w:hAnsi="宋体" w:eastAsia="宋体" w:cs="宋体"/>
                <w:b/>
                <w:bCs/>
                <w:color w:val="000000"/>
                <w:kern w:val="0"/>
                <w:sz w:val="21"/>
                <w:szCs w:val="21"/>
                <w:lang w:val="en-US" w:eastAsia="zh-CN" w:bidi="ar"/>
              </w:rPr>
              <w:t>项必须提供</w:t>
            </w:r>
            <w:r>
              <w:rPr>
                <w:rFonts w:hint="eastAsia" w:ascii="宋体" w:hAnsi="宋体" w:cs="宋体"/>
                <w:b/>
                <w:bCs/>
                <w:color w:val="000000"/>
                <w:kern w:val="0"/>
                <w:sz w:val="21"/>
                <w:szCs w:val="21"/>
                <w:lang w:val="en-US" w:eastAsia="zh-CN" w:bidi="ar"/>
              </w:rPr>
              <w:t>，否则响应文件按无效处理</w:t>
            </w:r>
            <w:r>
              <w:rPr>
                <w:rFonts w:hint="eastAsia" w:ascii="宋体" w:hAnsi="宋体" w:eastAsia="宋体" w:cs="宋体"/>
                <w:b/>
                <w:bCs/>
                <w:color w:val="000000"/>
                <w:kern w:val="0"/>
                <w:sz w:val="21"/>
                <w:szCs w:val="21"/>
                <w:lang w:val="en-US" w:eastAsia="zh-CN" w:bidi="ar"/>
              </w:rPr>
              <w:t>）</w:t>
            </w:r>
          </w:p>
          <w:p w14:paraId="4FFA7921">
            <w:pPr>
              <w:snapToGrid w:val="0"/>
              <w:spacing w:line="360" w:lineRule="auto"/>
              <w:jc w:val="left"/>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1.供应商为法人或者其他组织的提供其营业执照等证明文件复印件</w:t>
            </w:r>
            <w:r>
              <w:rPr>
                <w:rFonts w:hint="eastAsia" w:ascii="宋体" w:hAnsi="宋体" w:eastAsia="宋体" w:cs="宋体"/>
                <w:color w:val="auto"/>
                <w:sz w:val="21"/>
                <w:szCs w:val="21"/>
                <w:lang w:val="en-US" w:eastAsia="zh-CN"/>
              </w:rPr>
              <w:t>；</w:t>
            </w:r>
          </w:p>
          <w:p w14:paraId="3BDB7A5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lang w:val="en-US" w:eastAsia="zh-CN"/>
              </w:rPr>
            </w:pPr>
            <w:r>
              <w:rPr>
                <w:rFonts w:hint="eastAsia" w:ascii="宋体" w:hAnsi="宋体" w:cs="宋体"/>
                <w:b w:val="0"/>
                <w:bCs w:val="0"/>
                <w:color w:val="auto"/>
                <w:kern w:val="2"/>
                <w:sz w:val="21"/>
                <w:szCs w:val="21"/>
                <w:lang w:val="en-US" w:eastAsia="zh-CN" w:bidi="ar-SA"/>
              </w:rPr>
              <w:t>2.</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2</w:t>
            </w:r>
            <w:r>
              <w:rPr>
                <w:rFonts w:ascii="宋体" w:hAnsi="宋体" w:cs="宋体"/>
                <w:color w:val="auto"/>
                <w:szCs w:val="21"/>
                <w:highlight w:val="none"/>
                <w:u w:val="single"/>
              </w:rPr>
              <w:t>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月至响应</w:t>
            </w:r>
            <w:r>
              <w:rPr>
                <w:rFonts w:hint="eastAsia" w:cs="宋体" w:asciiTheme="minorEastAsia" w:hAnsiTheme="minorEastAsia" w:eastAsiaTheme="minorEastAsia"/>
                <w:color w:val="auto"/>
                <w:szCs w:val="21"/>
                <w:highlight w:val="none"/>
              </w:rPr>
              <w:t>文件提交截止时间前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个月的依法缴纳社会保障资金的缴费凭证复印件；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从取得营业执照时起到首次响应文件提交截止时间为止不足要求月数的只需提供从取得营业执照</w:t>
            </w:r>
            <w:r>
              <w:rPr>
                <w:rFonts w:hint="eastAsia" w:ascii="宋体" w:hAnsi="宋体" w:cs="宋体"/>
                <w:color w:val="auto"/>
                <w:szCs w:val="21"/>
                <w:highlight w:val="none"/>
                <w:lang w:val="en-US" w:eastAsia="zh-CN"/>
              </w:rPr>
              <w:t>时</w:t>
            </w:r>
            <w:r>
              <w:rPr>
                <w:rFonts w:hint="eastAsia" w:ascii="宋体" w:hAnsi="宋体" w:cs="宋体"/>
                <w:color w:val="auto"/>
                <w:szCs w:val="21"/>
                <w:highlight w:val="none"/>
              </w:rPr>
              <w:t>起的依法缴纳社会保障资金的</w:t>
            </w:r>
            <w:r>
              <w:rPr>
                <w:rFonts w:hint="eastAsia" w:ascii="宋体" w:hAnsi="宋体"/>
                <w:color w:val="auto"/>
                <w:szCs w:val="21"/>
                <w:highlight w:val="none"/>
              </w:rPr>
              <w:t>相应证明文件</w:t>
            </w:r>
            <w:r>
              <w:rPr>
                <w:rFonts w:hint="eastAsia" w:ascii="宋体" w:hAnsi="宋体"/>
                <w:color w:val="auto"/>
                <w:szCs w:val="21"/>
                <w:highlight w:val="none"/>
                <w:lang w:eastAsia="zh-CN"/>
              </w:rPr>
              <w:t>）</w:t>
            </w:r>
            <w:r>
              <w:rPr>
                <w:rFonts w:hint="eastAsia" w:ascii="宋体" w:hAnsi="宋体" w:cs="宋体"/>
                <w:color w:val="auto"/>
                <w:szCs w:val="21"/>
                <w:highlight w:val="none"/>
              </w:rPr>
              <w:t>；</w:t>
            </w:r>
          </w:p>
          <w:p w14:paraId="7D5CF07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w:t>
            </w:r>
            <w:r>
              <w:rPr>
                <w:rFonts w:ascii="宋体" w:hAnsi="宋体" w:cs="宋体"/>
                <w:color w:val="auto"/>
                <w:szCs w:val="21"/>
                <w:highlight w:val="none"/>
                <w:u w:val="single"/>
              </w:rPr>
              <w:t>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月至响应</w:t>
            </w:r>
            <w:r>
              <w:rPr>
                <w:rFonts w:hint="eastAsia" w:cs="宋体" w:asciiTheme="minorEastAsia" w:hAnsiTheme="minorEastAsia" w:eastAsiaTheme="minorEastAsia"/>
                <w:color w:val="auto"/>
                <w:szCs w:val="21"/>
                <w:highlight w:val="none"/>
              </w:rPr>
              <w:t>文件提交截止时间前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从取得营业执照时起到首次响应文件提交截止时间为止不足要求月数的，只需提供从取得营业执照起的依法缴纳税收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p>
          <w:p w14:paraId="547E44FD">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4.</w:t>
            </w:r>
            <w:r>
              <w:rPr>
                <w:rFonts w:hint="eastAsia" w:ascii="宋体" w:hAnsi="宋体" w:eastAsia="宋体" w:cs="宋体"/>
                <w:b w:val="0"/>
                <w:bCs w:val="0"/>
                <w:color w:val="auto"/>
                <w:kern w:val="2"/>
                <w:sz w:val="21"/>
                <w:szCs w:val="21"/>
                <w:lang w:val="en-US" w:eastAsia="zh-CN" w:bidi="ar-SA"/>
              </w:rPr>
              <w:t>供应商财务状况报告[</w:t>
            </w:r>
            <w:r>
              <w:rPr>
                <w:rFonts w:hint="eastAsia" w:ascii="宋体" w:hAnsi="宋体" w:cs="宋体"/>
                <w:b w:val="0"/>
                <w:bCs w:val="0"/>
                <w:color w:val="auto"/>
                <w:kern w:val="2"/>
                <w:sz w:val="21"/>
                <w:szCs w:val="21"/>
                <w:u w:val="single"/>
                <w:lang w:val="en-US" w:eastAsia="zh-CN" w:bidi="ar-SA"/>
              </w:rPr>
              <w:t>2025</w:t>
            </w:r>
            <w:r>
              <w:rPr>
                <w:rFonts w:hint="eastAsia" w:ascii="宋体" w:hAnsi="宋体" w:eastAsia="宋体" w:cs="宋体"/>
                <w:b w:val="0"/>
                <w:bCs w:val="0"/>
                <w:color w:val="auto"/>
                <w:kern w:val="2"/>
                <w:sz w:val="21"/>
                <w:szCs w:val="21"/>
                <w:u w:val="single"/>
                <w:lang w:val="en-US" w:eastAsia="zh-CN" w:bidi="ar-SA"/>
              </w:rPr>
              <w:t>年</w:t>
            </w:r>
            <w:r>
              <w:rPr>
                <w:rFonts w:hint="eastAsia" w:ascii="宋体" w:hAnsi="宋体" w:eastAsia="宋体" w:cs="宋体"/>
                <w:b w:val="0"/>
                <w:bCs w:val="0"/>
                <w:color w:val="auto"/>
                <w:kern w:val="2"/>
                <w:sz w:val="21"/>
                <w:szCs w:val="21"/>
                <w:lang w:val="en-US" w:eastAsia="zh-CN" w:bidi="ar-SA"/>
              </w:rPr>
              <w:t>度财务报表复印件（资产负债表、利润表和现金流量表）或者银行出具的资信证明或经第三方审计的财务报告；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p>
          <w:p w14:paraId="7E124D9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color w:val="auto"/>
                <w:szCs w:val="21"/>
                <w:highlight w:val="none"/>
                <w:lang w:eastAsia="zh-CN"/>
              </w:rPr>
            </w:pPr>
            <w:r>
              <w:rPr>
                <w:rFonts w:hint="eastAsia" w:ascii="宋体" w:hAnsi="宋体" w:cs="宋体"/>
                <w:b w:val="0"/>
                <w:bCs w:val="0"/>
                <w:color w:val="auto"/>
                <w:kern w:val="2"/>
                <w:sz w:val="21"/>
                <w:szCs w:val="21"/>
                <w:lang w:val="en-US" w:eastAsia="zh-CN" w:bidi="ar-SA"/>
              </w:rPr>
              <w:t>5.</w:t>
            </w:r>
            <w:r>
              <w:rPr>
                <w:rFonts w:hint="eastAsia" w:ascii="宋体" w:hAnsi="宋体" w:cs="宋体"/>
                <w:color w:val="auto"/>
                <w:szCs w:val="21"/>
                <w:highlight w:val="none"/>
              </w:rPr>
              <w:t>供应商直接控股、管理关系信息表（格式后附）</w:t>
            </w:r>
            <w:r>
              <w:rPr>
                <w:rFonts w:hint="eastAsia" w:ascii="宋体" w:hAnsi="宋体" w:cs="宋体"/>
                <w:color w:val="auto"/>
                <w:szCs w:val="21"/>
                <w:highlight w:val="none"/>
                <w:lang w:eastAsia="zh-CN"/>
              </w:rPr>
              <w:t>；</w:t>
            </w:r>
          </w:p>
          <w:p w14:paraId="35C8C74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6.本项目的特定资格要求：</w:t>
            </w:r>
          </w:p>
          <w:p w14:paraId="2C659ABD">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（1）供应商有效的资质证书</w:t>
            </w:r>
            <w:r>
              <w:rPr>
                <w:rFonts w:hint="eastAsia" w:ascii="宋体" w:hAnsi="宋体" w:eastAsia="宋体" w:cs="宋体"/>
                <w:b w:val="0"/>
                <w:bCs w:val="0"/>
                <w:color w:val="auto"/>
                <w:kern w:val="2"/>
                <w:sz w:val="21"/>
                <w:szCs w:val="21"/>
                <w:rtl w:val="0"/>
                <w:lang w:val="en-US" w:eastAsia="zh-CN" w:bidi="ar-SA"/>
              </w:rPr>
              <w:t>及有效的安全生产许可证</w:t>
            </w:r>
            <w:r>
              <w:rPr>
                <w:rFonts w:hint="eastAsia" w:ascii="宋体" w:hAnsi="宋体" w:eastAsia="宋体" w:cs="宋体"/>
                <w:b w:val="0"/>
                <w:bCs w:val="0"/>
                <w:color w:val="auto"/>
                <w:kern w:val="2"/>
                <w:sz w:val="21"/>
                <w:szCs w:val="21"/>
                <w:lang w:val="en-US" w:eastAsia="zh-CN" w:bidi="ar-SA"/>
              </w:rPr>
              <w:t xml:space="preserve">证书复印件； </w:t>
            </w:r>
          </w:p>
          <w:p w14:paraId="64DA3C5C">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 xml:space="preserve">（2）项目经理有效的注册建造师执业资格证书及安全生产考核合格证书（B 类）证书复印件； </w:t>
            </w:r>
          </w:p>
          <w:p w14:paraId="2A0CEF0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 拟投入本项目的专职安全员有效的安全生产考核合格证书（C 类）证书复印件。</w:t>
            </w:r>
          </w:p>
          <w:p w14:paraId="56B1DA8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7.竞标声明（格式后附）；</w:t>
            </w:r>
          </w:p>
          <w:p w14:paraId="0B61239A">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8.</w:t>
            </w:r>
            <w:r>
              <w:rPr>
                <w:rFonts w:hint="eastAsia" w:ascii="宋体" w:hAnsi="宋体" w:cs="宋体"/>
                <w:color w:val="auto"/>
                <w:szCs w:val="21"/>
                <w:lang w:val="en-US" w:eastAsia="zh-CN"/>
              </w:rPr>
              <w:t>供应商</w:t>
            </w:r>
            <w:r>
              <w:rPr>
                <w:rFonts w:hint="eastAsia" w:ascii="宋体" w:hAnsi="宋体" w:cs="宋体"/>
                <w:color w:val="auto"/>
                <w:szCs w:val="21"/>
              </w:rPr>
              <w:t>为中小微企业或者监狱企业或者残疾人福利性单位的资格证明材料【为中小微企业的应当提供《中小企业声明函》；为残疾人福利性单位的应当提供《残疾人福利性单位声明函》；为监狱企业的应当提供由省级以上监狱管理局、戒毒管理局（含新疆生产建设兵团）出具的属于监狱企业的证明文件】（声明函格式后附）</w:t>
            </w:r>
            <w:r>
              <w:rPr>
                <w:rFonts w:hint="eastAsia" w:ascii="宋体" w:hAnsi="宋体" w:eastAsia="宋体" w:cs="宋体"/>
                <w:b w:val="0"/>
                <w:bCs w:val="0"/>
                <w:color w:val="auto"/>
                <w:kern w:val="2"/>
                <w:sz w:val="21"/>
                <w:szCs w:val="21"/>
                <w:lang w:val="en-US" w:eastAsia="zh-CN" w:bidi="ar-SA"/>
              </w:rPr>
              <w:t>；</w:t>
            </w:r>
          </w:p>
          <w:p w14:paraId="164F9FA2">
            <w:pPr>
              <w:snapToGrid w:val="0"/>
              <w:spacing w:line="360" w:lineRule="auto"/>
              <w:jc w:val="left"/>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9.</w:t>
            </w:r>
            <w:r>
              <w:rPr>
                <w:rFonts w:hint="eastAsia" w:ascii="宋体" w:hAnsi="宋体" w:eastAsia="宋体" w:cs="宋体"/>
                <w:b w:val="0"/>
                <w:bCs w:val="0"/>
                <w:color w:val="auto"/>
                <w:kern w:val="2"/>
                <w:sz w:val="21"/>
                <w:szCs w:val="21"/>
                <w:lang w:val="en-US" w:eastAsia="zh-CN" w:bidi="ar-SA"/>
              </w:rPr>
              <w:t>除磋商文件规定必须提供以外，供应商认为需要提供的其他证明材料。</w:t>
            </w:r>
          </w:p>
          <w:p w14:paraId="76CF8529">
            <w:pPr>
              <w:snapToGrid w:val="0"/>
              <w:spacing w:line="360" w:lineRule="auto"/>
              <w:jc w:val="left"/>
              <w:rPr>
                <w:rFonts w:ascii="宋体" w:hAnsi="宋体" w:cs="宋体"/>
                <w:b/>
                <w:color w:val="auto"/>
                <w:szCs w:val="21"/>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cs="宋体"/>
                <w:b/>
                <w:bCs/>
                <w:color w:val="000000"/>
                <w:szCs w:val="21"/>
              </w:rPr>
              <w:t>以上标明“必须提供”的材料属于复印件的扫描件的</w:t>
            </w:r>
            <w:r>
              <w:rPr>
                <w:rFonts w:hint="eastAsia" w:ascii="宋体" w:hAnsi="宋体"/>
                <w:b/>
                <w:bCs/>
                <w:color w:val="auto"/>
                <w:szCs w:val="21"/>
                <w:highlight w:val="none"/>
              </w:rPr>
              <w:t>，</w:t>
            </w:r>
            <w:r>
              <w:rPr>
                <w:rFonts w:hint="eastAsia" w:ascii="宋体" w:hAnsi="宋体" w:eastAsia="宋体" w:cs="宋体"/>
                <w:b/>
                <w:bCs/>
                <w:color w:val="auto"/>
                <w:szCs w:val="21"/>
                <w:highlight w:val="none"/>
              </w:rPr>
              <w:t>必须加盖</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rPr>
              <w:t>电子公章</w:t>
            </w:r>
            <w:r>
              <w:rPr>
                <w:rFonts w:hint="eastAsia" w:ascii="宋体" w:hAnsi="宋体"/>
                <w:b/>
                <w:bCs/>
                <w:color w:val="auto"/>
                <w:szCs w:val="21"/>
                <w:highlight w:val="none"/>
              </w:rPr>
              <w:t>，否则</w:t>
            </w:r>
            <w:r>
              <w:rPr>
                <w:rFonts w:hint="eastAsia" w:ascii="宋体" w:hAnsi="宋体" w:cs="Courier New"/>
                <w:b/>
                <w:color w:val="auto"/>
                <w:szCs w:val="21"/>
                <w:highlight w:val="none"/>
              </w:rPr>
              <w:t>作无</w:t>
            </w:r>
            <w:r>
              <w:rPr>
                <w:rFonts w:hint="eastAsia" w:ascii="宋体" w:hAnsi="宋体"/>
                <w:b/>
                <w:bCs/>
                <w:color w:val="auto"/>
                <w:szCs w:val="21"/>
                <w:highlight w:val="none"/>
              </w:rPr>
              <w:t>效投标处理。</w:t>
            </w:r>
          </w:p>
        </w:tc>
      </w:tr>
      <w:tr w14:paraId="455F3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5" w:hRule="atLeast"/>
          <w:jc w:val="center"/>
        </w:trPr>
        <w:tc>
          <w:tcPr>
            <w:tcW w:w="1152" w:type="dxa"/>
            <w:vAlign w:val="center"/>
          </w:tcPr>
          <w:p w14:paraId="73157F29">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p>
        </w:tc>
        <w:tc>
          <w:tcPr>
            <w:tcW w:w="7912" w:type="dxa"/>
            <w:vAlign w:val="center"/>
          </w:tcPr>
          <w:p w14:paraId="46F99E34">
            <w:pPr>
              <w:spacing w:line="360" w:lineRule="auto"/>
              <w:rPr>
                <w:rFonts w:hint="eastAsia"/>
                <w:b/>
                <w:bCs/>
                <w:color w:val="auto"/>
              </w:rPr>
            </w:pPr>
            <w:r>
              <w:rPr>
                <w:rFonts w:hint="eastAsia"/>
                <w:b/>
                <w:bCs/>
                <w:color w:val="auto"/>
              </w:rPr>
              <w:t>报价文件</w:t>
            </w:r>
            <w:r>
              <w:rPr>
                <w:rFonts w:hint="eastAsia"/>
                <w:b/>
                <w:bCs/>
                <w:color w:val="auto"/>
                <w:lang w:val="en-US" w:eastAsia="zh-CN"/>
              </w:rPr>
              <w:t xml:space="preserve"> （1-4项必须提供）</w:t>
            </w:r>
          </w:p>
          <w:p w14:paraId="3542A4DF">
            <w:pPr>
              <w:spacing w:line="400" w:lineRule="exact"/>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cs="宋体"/>
                <w:b w:val="0"/>
                <w:bCs w:val="0"/>
                <w:color w:val="auto"/>
                <w:kern w:val="2"/>
                <w:sz w:val="21"/>
                <w:szCs w:val="21"/>
                <w:lang w:val="en-US" w:eastAsia="zh-CN" w:bidi="ar-SA"/>
              </w:rPr>
              <w:t>.</w:t>
            </w:r>
            <w:r>
              <w:rPr>
                <w:rFonts w:hint="eastAsia" w:ascii="宋体" w:hAnsi="宋体" w:eastAsia="宋体" w:cs="宋体"/>
                <w:color w:val="auto"/>
                <w:lang w:val="en-US" w:eastAsia="zh-CN"/>
              </w:rPr>
              <w:t>磋商</w:t>
            </w:r>
            <w:r>
              <w:rPr>
                <w:rFonts w:hint="eastAsia" w:ascii="宋体" w:hAnsi="宋体" w:eastAsia="宋体" w:cs="宋体"/>
                <w:color w:val="auto"/>
              </w:rPr>
              <w:t>函；</w:t>
            </w:r>
          </w:p>
          <w:p w14:paraId="725C03BB">
            <w:pPr>
              <w:spacing w:line="400" w:lineRule="exact"/>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cs="宋体"/>
                <w:b w:val="0"/>
                <w:bCs w:val="0"/>
                <w:color w:val="auto"/>
                <w:kern w:val="2"/>
                <w:sz w:val="21"/>
                <w:szCs w:val="21"/>
                <w:lang w:val="en-US" w:eastAsia="zh-CN" w:bidi="ar-SA"/>
              </w:rPr>
              <w:t>.</w:t>
            </w:r>
            <w:r>
              <w:rPr>
                <w:rFonts w:hint="eastAsia" w:ascii="宋体" w:hAnsi="宋体" w:eastAsia="宋体" w:cs="宋体"/>
                <w:color w:val="auto"/>
                <w:lang w:val="en-US" w:eastAsia="zh-CN"/>
              </w:rPr>
              <w:t>磋商函附录；</w:t>
            </w:r>
          </w:p>
          <w:p w14:paraId="7C2D2531">
            <w:pPr>
              <w:spacing w:line="400" w:lineRule="exact"/>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cs="宋体"/>
                <w:b w:val="0"/>
                <w:bCs w:val="0"/>
                <w:color w:val="auto"/>
                <w:kern w:val="2"/>
                <w:sz w:val="21"/>
                <w:szCs w:val="21"/>
                <w:lang w:val="en-US" w:eastAsia="zh-CN" w:bidi="ar-SA"/>
              </w:rPr>
              <w:t>.</w:t>
            </w:r>
            <w:r>
              <w:rPr>
                <w:rFonts w:hint="eastAsia" w:ascii="宋体" w:hAnsi="宋体" w:eastAsia="宋体" w:cs="宋体"/>
                <w:color w:val="auto"/>
                <w:lang w:eastAsia="zh-CN"/>
              </w:rPr>
              <w:t>竞标</w:t>
            </w:r>
            <w:r>
              <w:rPr>
                <w:rFonts w:hint="eastAsia" w:ascii="宋体" w:hAnsi="宋体" w:eastAsia="宋体" w:cs="宋体"/>
                <w:color w:val="auto"/>
              </w:rPr>
              <w:t>报价表；</w:t>
            </w:r>
          </w:p>
          <w:p w14:paraId="26C4A826">
            <w:pPr>
              <w:spacing w:line="400" w:lineRule="exact"/>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cs="宋体"/>
                <w:b w:val="0"/>
                <w:bCs w:val="0"/>
                <w:color w:val="auto"/>
                <w:kern w:val="2"/>
                <w:sz w:val="21"/>
                <w:szCs w:val="21"/>
                <w:lang w:val="en-US" w:eastAsia="zh-CN" w:bidi="ar-SA"/>
              </w:rPr>
              <w:t>.已</w:t>
            </w:r>
            <w:r>
              <w:rPr>
                <w:rFonts w:hint="eastAsia" w:ascii="宋体" w:hAnsi="宋体" w:eastAsia="宋体" w:cs="宋体"/>
                <w:color w:val="auto"/>
              </w:rPr>
              <w:t>标价工程量清单</w:t>
            </w:r>
            <w:r>
              <w:rPr>
                <w:rFonts w:hint="eastAsia" w:ascii="宋体" w:hAnsi="宋体" w:eastAsia="宋体" w:cs="宋体"/>
                <w:color w:val="auto"/>
                <w:lang w:eastAsia="zh-CN"/>
              </w:rPr>
              <w:t>；</w:t>
            </w:r>
          </w:p>
          <w:p w14:paraId="575CDD12">
            <w:pPr>
              <w:pStyle w:val="34"/>
              <w:rPr>
                <w:rFonts w:hint="eastAsia" w:eastAsia="宋体"/>
                <w:color w:val="auto"/>
                <w:lang w:val="en-US" w:eastAsia="zh-CN"/>
              </w:rPr>
            </w:pPr>
            <w:r>
              <w:rPr>
                <w:rFonts w:hint="eastAsia" w:ascii="宋体" w:hAnsi="宋体" w:cs="宋体"/>
                <w:bCs w:val="0"/>
                <w:color w:val="auto"/>
                <w:spacing w:val="0"/>
                <w:kern w:val="2"/>
                <w:sz w:val="21"/>
                <w:szCs w:val="24"/>
                <w:lang w:val="en-US" w:eastAsia="zh-CN" w:bidi="ar-SA"/>
              </w:rPr>
              <w:t>5.</w:t>
            </w:r>
            <w:r>
              <w:rPr>
                <w:rFonts w:hint="eastAsia" w:ascii="宋体" w:hAnsi="宋体" w:eastAsia="宋体" w:cs="宋体"/>
                <w:bCs w:val="0"/>
                <w:color w:val="auto"/>
                <w:spacing w:val="0"/>
                <w:kern w:val="2"/>
                <w:sz w:val="21"/>
                <w:szCs w:val="24"/>
                <w:lang w:val="en-US" w:eastAsia="zh-CN" w:bidi="ar-SA"/>
              </w:rPr>
              <w:t>供应商认为需要提供的其他有关资料。</w:t>
            </w:r>
          </w:p>
        </w:tc>
      </w:tr>
      <w:tr w14:paraId="055D7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3C8DDE6D">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p>
        </w:tc>
        <w:tc>
          <w:tcPr>
            <w:tcW w:w="7912" w:type="dxa"/>
            <w:vAlign w:val="center"/>
          </w:tcPr>
          <w:p w14:paraId="17856088">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b/>
                <w:bCs/>
                <w:color w:val="auto"/>
                <w:szCs w:val="21"/>
              </w:rPr>
            </w:pPr>
            <w:r>
              <w:rPr>
                <w:rFonts w:hint="eastAsia" w:ascii="宋体" w:hAnsi="宋体" w:cs="宋体"/>
                <w:b/>
                <w:bCs/>
                <w:color w:val="auto"/>
                <w:szCs w:val="21"/>
              </w:rPr>
              <w:t>商务技术文件</w:t>
            </w:r>
          </w:p>
          <w:p w14:paraId="69C3381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无串通竞标行为的承诺函（格式后附）；</w:t>
            </w:r>
            <w:r>
              <w:rPr>
                <w:rFonts w:hint="eastAsia" w:ascii="宋体" w:hAnsi="宋体" w:cs="宋体"/>
                <w:b/>
                <w:bCs/>
                <w:color w:val="auto"/>
                <w:szCs w:val="21"/>
              </w:rPr>
              <w:t>（必须提供，否则响应文件按无效响应处理）</w:t>
            </w:r>
          </w:p>
          <w:p w14:paraId="346784A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color w:val="auto"/>
                <w:szCs w:val="21"/>
              </w:rPr>
              <w:t>2.法定代表人身份证明书及法定代表人有效身份证正反面复印件（格式后附）；</w:t>
            </w:r>
            <w:r>
              <w:rPr>
                <w:rFonts w:hint="eastAsia" w:ascii="宋体" w:hAnsi="宋体" w:cs="宋体"/>
                <w:b/>
                <w:bCs/>
                <w:color w:val="auto"/>
                <w:szCs w:val="21"/>
              </w:rPr>
              <w:t>（除自然人竞标外必须提供，否则响应文件按无效响应处理）</w:t>
            </w:r>
          </w:p>
          <w:p w14:paraId="5923121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.法定代表人授权委托书及委托代理人有效身份证正反面复印件（格式后附）；</w:t>
            </w:r>
            <w:r>
              <w:rPr>
                <w:rFonts w:hint="eastAsia" w:ascii="宋体" w:hAnsi="宋体" w:cs="宋体"/>
                <w:b/>
                <w:bCs/>
                <w:color w:val="auto"/>
                <w:szCs w:val="21"/>
              </w:rPr>
              <w:t>（委托时必须提供，否则响应文件按无效响应处理）</w:t>
            </w:r>
          </w:p>
          <w:p w14:paraId="163F8D8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color w:val="auto"/>
                <w:szCs w:val="21"/>
                <w:lang w:val="en-US" w:eastAsia="zh-CN"/>
              </w:rPr>
            </w:pPr>
            <w:r>
              <w:rPr>
                <w:rFonts w:hint="eastAsia" w:ascii="宋体" w:hAnsi="宋体" w:cs="宋体"/>
                <w:b w:val="0"/>
                <w:bCs/>
                <w:color w:val="auto"/>
                <w:szCs w:val="21"/>
                <w:lang w:val="en-US" w:eastAsia="zh-CN"/>
              </w:rPr>
              <w:t>4.</w:t>
            </w:r>
            <w:r>
              <w:rPr>
                <w:rFonts w:hint="eastAsia" w:ascii="宋体" w:hAnsi="宋体" w:eastAsia="宋体" w:cs="宋体"/>
                <w:b w:val="0"/>
                <w:bCs/>
                <w:color w:val="auto"/>
                <w:szCs w:val="21"/>
                <w:lang w:eastAsia="zh-CN"/>
              </w:rPr>
              <w:t>施工组织设计；</w:t>
            </w:r>
            <w:r>
              <w:rPr>
                <w:rFonts w:hint="eastAsia" w:ascii="宋体" w:hAnsi="宋体" w:cs="宋体"/>
                <w:b/>
                <w:bCs/>
                <w:color w:val="auto"/>
                <w:szCs w:val="21"/>
              </w:rPr>
              <w:t>（必须提供，否则响应文件按无效响应处理）</w:t>
            </w:r>
          </w:p>
          <w:p w14:paraId="32FCA80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b w:val="0"/>
                <w:bCs/>
                <w:color w:val="auto"/>
                <w:szCs w:val="21"/>
                <w:lang w:val="en-US" w:eastAsia="zh-CN"/>
              </w:rPr>
              <w:t>5.</w:t>
            </w:r>
            <w:r>
              <w:rPr>
                <w:rFonts w:hint="eastAsia" w:ascii="宋体" w:hAnsi="宋体" w:eastAsia="宋体" w:cs="宋体"/>
                <w:b w:val="0"/>
                <w:bCs/>
                <w:color w:val="auto"/>
                <w:szCs w:val="21"/>
                <w:lang w:eastAsia="zh-CN"/>
              </w:rPr>
              <w:t>项目管理机构；</w:t>
            </w:r>
            <w:r>
              <w:rPr>
                <w:rFonts w:hint="eastAsia" w:ascii="宋体" w:hAnsi="宋体" w:cs="宋体"/>
                <w:b/>
                <w:bCs/>
                <w:color w:val="auto"/>
                <w:szCs w:val="21"/>
              </w:rPr>
              <w:t>（必须提供，否则响应文件按无效响应处理）</w:t>
            </w:r>
          </w:p>
          <w:p w14:paraId="70BDD63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color w:val="auto"/>
                <w:szCs w:val="21"/>
                <w:lang w:eastAsia="zh-CN"/>
              </w:rPr>
            </w:pPr>
            <w:r>
              <w:rPr>
                <w:rFonts w:hint="eastAsia" w:ascii="宋体" w:hAnsi="宋体" w:cs="宋体"/>
                <w:b w:val="0"/>
                <w:bCs/>
                <w:color w:val="auto"/>
                <w:szCs w:val="21"/>
                <w:lang w:val="en-US" w:eastAsia="zh-CN"/>
              </w:rPr>
              <w:t>6.</w:t>
            </w:r>
            <w:r>
              <w:rPr>
                <w:rFonts w:hint="eastAsia" w:ascii="宋体" w:hAnsi="宋体" w:eastAsia="宋体" w:cs="宋体"/>
                <w:b w:val="0"/>
                <w:bCs/>
                <w:color w:val="auto"/>
                <w:szCs w:val="21"/>
                <w:lang w:eastAsia="zh-CN"/>
              </w:rPr>
              <w:t>除竞争性磋商文件规定必须提供以外，供应商需要说明的其他文件和说明。</w:t>
            </w:r>
          </w:p>
          <w:p w14:paraId="2F28E96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b/>
                <w:bCs/>
                <w:color w:val="auto"/>
                <w:szCs w:val="21"/>
              </w:rPr>
              <w:t>注：1.法定代表人授权委托书必须由法定代表人或委托代理人签字，并加盖</w:t>
            </w:r>
            <w:r>
              <w:rPr>
                <w:rFonts w:hint="eastAsia" w:ascii="宋体" w:hAnsi="宋体" w:cs="宋体"/>
                <w:b/>
                <w:bCs/>
                <w:color w:val="auto"/>
                <w:szCs w:val="21"/>
                <w:lang w:eastAsia="zh-CN"/>
              </w:rPr>
              <w:t>供应商电子</w:t>
            </w:r>
            <w:r>
              <w:rPr>
                <w:rFonts w:hint="eastAsia" w:ascii="宋体" w:hAnsi="宋体" w:cs="宋体"/>
                <w:b/>
                <w:bCs/>
                <w:color w:val="auto"/>
                <w:szCs w:val="21"/>
              </w:rPr>
              <w:t>公章，</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rPr>
              <w:t>。</w:t>
            </w:r>
          </w:p>
          <w:p w14:paraId="317593A5">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color w:val="auto"/>
                <w:szCs w:val="21"/>
              </w:rPr>
            </w:pPr>
            <w:r>
              <w:rPr>
                <w:rFonts w:hint="eastAsia" w:ascii="宋体" w:hAnsi="宋体" w:cs="宋体"/>
                <w:b/>
                <w:bCs/>
                <w:color w:val="auto"/>
                <w:szCs w:val="21"/>
              </w:rPr>
              <w:t>2.以上标明“必须提供”的材料属于复印件的扫描件的，必须加盖</w:t>
            </w:r>
            <w:r>
              <w:rPr>
                <w:rFonts w:hint="eastAsia" w:ascii="宋体" w:hAnsi="宋体" w:cs="宋体"/>
                <w:b/>
                <w:bCs/>
                <w:color w:val="auto"/>
                <w:szCs w:val="21"/>
                <w:lang w:eastAsia="zh-CN"/>
              </w:rPr>
              <w:t>供应商</w:t>
            </w:r>
            <w:r>
              <w:rPr>
                <w:rFonts w:hint="eastAsia" w:ascii="宋体" w:hAnsi="宋体" w:cs="宋体"/>
                <w:b/>
                <w:bCs/>
                <w:color w:val="auto"/>
                <w:szCs w:val="21"/>
              </w:rPr>
              <w:t>电子公章，</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rPr>
              <w:t>。</w:t>
            </w:r>
          </w:p>
        </w:tc>
      </w:tr>
      <w:tr w14:paraId="3E0A4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4C15CE9">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2</w:t>
            </w:r>
          </w:p>
        </w:tc>
        <w:tc>
          <w:tcPr>
            <w:tcW w:w="7912" w:type="dxa"/>
            <w:vAlign w:val="center"/>
          </w:tcPr>
          <w:p w14:paraId="163E2A21">
            <w:pPr>
              <w:spacing w:line="360" w:lineRule="auto"/>
              <w:rPr>
                <w:rFonts w:hint="default" w:ascii="宋体" w:hAnsi="宋体" w:eastAsia="宋体" w:cs="宋体"/>
                <w:b/>
                <w:bCs/>
                <w:color w:val="auto"/>
                <w:szCs w:val="21"/>
                <w:lang w:val="en-US" w:eastAsia="zh-CN"/>
              </w:rPr>
            </w:pPr>
            <w:r>
              <w:rPr>
                <w:rFonts w:hint="eastAsia" w:ascii="宋体" w:hAnsi="宋体" w:cs="宋体"/>
                <w:color w:val="auto"/>
                <w:szCs w:val="21"/>
              </w:rPr>
              <w:t>响应文件电子版：</w:t>
            </w:r>
            <w:r>
              <w:rPr>
                <w:rFonts w:hint="eastAsia" w:ascii="宋体" w:hAnsi="宋体" w:cs="宋体"/>
                <w:color w:val="auto"/>
                <w:szCs w:val="21"/>
                <w:lang w:val="en-US" w:eastAsia="zh-CN"/>
              </w:rPr>
              <w:t>不需要提供。</w:t>
            </w:r>
          </w:p>
        </w:tc>
      </w:tr>
      <w:tr w14:paraId="0519D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FFF90B5">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vAlign w:val="center"/>
          </w:tcPr>
          <w:p w14:paraId="19ECC08A">
            <w:pPr>
              <w:pStyle w:val="10"/>
              <w:numPr>
                <w:ilvl w:val="0"/>
                <w:numId w:val="0"/>
              </w:numPr>
              <w:tabs>
                <w:tab w:val="left" w:pos="720"/>
                <w:tab w:val="left" w:pos="840"/>
                <w:tab w:val="clear" w:pos="360"/>
              </w:tabs>
              <w:snapToGrid w:val="0"/>
              <w:spacing w:line="360" w:lineRule="auto"/>
              <w:rPr>
                <w:rFonts w:ascii="宋体" w:hAnsi="宋体" w:cs="宋体"/>
                <w:color w:val="auto"/>
                <w:szCs w:val="21"/>
              </w:rPr>
            </w:pPr>
            <w:r>
              <w:rPr>
                <w:rFonts w:hint="eastAsia" w:ascii="宋体" w:hAnsi="宋体" w:cs="宋体"/>
                <w:color w:val="auto"/>
                <w:szCs w:val="21"/>
                <w:lang w:eastAsia="zh-CN"/>
              </w:rPr>
              <w:t>竞</w:t>
            </w:r>
            <w:r>
              <w:rPr>
                <w:rFonts w:hint="eastAsia" w:ascii="宋体" w:hAnsi="宋体" w:cs="宋体"/>
                <w:color w:val="auto"/>
                <w:szCs w:val="21"/>
              </w:rPr>
              <w:t>标有效期：自首次响应文件提交截止之日起</w:t>
            </w:r>
            <w:r>
              <w:rPr>
                <w:rFonts w:ascii="宋体" w:hAnsi="宋体" w:cs="宋体"/>
                <w:color w:val="auto"/>
                <w:szCs w:val="21"/>
                <w:u w:val="single"/>
              </w:rPr>
              <w:t xml:space="preserve"> </w:t>
            </w:r>
            <w:r>
              <w:rPr>
                <w:rFonts w:hint="eastAsia" w:ascii="宋体" w:hAnsi="宋体" w:cs="宋体"/>
                <w:color w:val="auto"/>
                <w:szCs w:val="21"/>
                <w:u w:val="single"/>
              </w:rPr>
              <w:t>60</w:t>
            </w:r>
            <w:r>
              <w:rPr>
                <w:rFonts w:ascii="宋体" w:hAnsi="宋体" w:cs="宋体"/>
                <w:color w:val="auto"/>
                <w:szCs w:val="21"/>
                <w:u w:val="single"/>
              </w:rPr>
              <w:t xml:space="preserve"> </w:t>
            </w:r>
            <w:r>
              <w:rPr>
                <w:rFonts w:hint="eastAsia" w:ascii="宋体" w:hAnsi="宋体" w:cs="宋体"/>
                <w:color w:val="auto"/>
                <w:szCs w:val="21"/>
              </w:rPr>
              <w:t>日。</w:t>
            </w:r>
          </w:p>
        </w:tc>
      </w:tr>
      <w:tr w14:paraId="51F83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2A8236DD">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vAlign w:val="center"/>
          </w:tcPr>
          <w:p w14:paraId="48BA88E8">
            <w:pPr>
              <w:snapToGrid w:val="0"/>
              <w:spacing w:line="360" w:lineRule="auto"/>
              <w:rPr>
                <w:rFonts w:ascii="宋体" w:hAnsi="宋体" w:cs="宋体"/>
                <w:color w:val="auto"/>
                <w:szCs w:val="21"/>
              </w:rPr>
            </w:pPr>
            <w:r>
              <w:rPr>
                <w:rFonts w:hint="eastAsia" w:ascii="宋体" w:hAnsi="宋体" w:cs="宋体"/>
                <w:color w:val="auto"/>
                <w:szCs w:val="21"/>
              </w:rPr>
              <w:t>磋商保证金：无</w:t>
            </w:r>
          </w:p>
        </w:tc>
      </w:tr>
      <w:tr w14:paraId="5B440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BA5267D">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vAlign w:val="center"/>
          </w:tcPr>
          <w:p w14:paraId="35265F10">
            <w:pPr>
              <w:snapToGrid w:val="0"/>
              <w:spacing w:line="360" w:lineRule="auto"/>
              <w:jc w:val="left"/>
              <w:rPr>
                <w:rFonts w:ascii="宋体" w:hAnsi="宋体" w:cs="宋体"/>
                <w:color w:val="auto"/>
                <w:szCs w:val="21"/>
                <w:u w:val="single"/>
              </w:rPr>
            </w:pPr>
            <w:r>
              <w:rPr>
                <w:rFonts w:hint="eastAsia" w:ascii="宋体" w:hAnsi="宋体" w:cs="宋体"/>
                <w:color w:val="auto"/>
                <w:szCs w:val="21"/>
              </w:rPr>
              <w:t>首次响应文件提交截止时间：详见竞争性磋商公告。</w:t>
            </w:r>
          </w:p>
          <w:p w14:paraId="0049ED89">
            <w:pPr>
              <w:snapToGrid w:val="0"/>
              <w:spacing w:line="360" w:lineRule="auto"/>
              <w:jc w:val="left"/>
              <w:rPr>
                <w:rFonts w:ascii="宋体" w:hAnsi="宋体" w:cs="宋体"/>
                <w:color w:val="auto"/>
                <w:szCs w:val="21"/>
              </w:rPr>
            </w:pPr>
            <w:r>
              <w:rPr>
                <w:rFonts w:hint="eastAsia" w:ascii="宋体" w:hAnsi="宋体" w:cs="宋体"/>
                <w:color w:val="auto"/>
                <w:szCs w:val="21"/>
              </w:rPr>
              <w:t>首次响应文件提交地点：详见竞争性磋商公告。</w:t>
            </w:r>
          </w:p>
        </w:tc>
      </w:tr>
      <w:tr w14:paraId="6E976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18625E9A">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vAlign w:val="center"/>
          </w:tcPr>
          <w:p w14:paraId="7922EBFF">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hint="eastAsia" w:ascii="宋体" w:hAnsi="宋体" w:cs="宋体"/>
                <w:color w:val="auto"/>
                <w:szCs w:val="21"/>
                <w:u w:val="single"/>
              </w:rPr>
              <w:t xml:space="preserve"> 3 </w:t>
            </w:r>
            <w:r>
              <w:rPr>
                <w:rFonts w:hint="eastAsia" w:ascii="宋体" w:hAnsi="宋体" w:cs="宋体"/>
                <w:color w:val="auto"/>
                <w:szCs w:val="21"/>
              </w:rPr>
              <w:t>人。</w:t>
            </w:r>
          </w:p>
        </w:tc>
      </w:tr>
      <w:tr w14:paraId="7BA79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1152" w:type="dxa"/>
            <w:vAlign w:val="center"/>
          </w:tcPr>
          <w:p w14:paraId="677B2C4F">
            <w:pPr>
              <w:spacing w:line="360" w:lineRule="auto"/>
              <w:jc w:val="center"/>
              <w:rPr>
                <w:rFonts w:ascii="宋体" w:hAnsi="宋体" w:cs="宋体"/>
                <w:color w:val="auto"/>
                <w:szCs w:val="21"/>
              </w:rPr>
            </w:pPr>
            <w:r>
              <w:rPr>
                <w:rFonts w:ascii="宋体" w:hAnsi="宋体" w:cs="宋体"/>
                <w:color w:val="auto"/>
                <w:szCs w:val="21"/>
              </w:rPr>
              <w:t>28.1</w:t>
            </w:r>
          </w:p>
        </w:tc>
        <w:tc>
          <w:tcPr>
            <w:tcW w:w="7912" w:type="dxa"/>
            <w:vAlign w:val="center"/>
          </w:tcPr>
          <w:p w14:paraId="3FDD9127">
            <w:pPr>
              <w:snapToGrid w:val="0"/>
              <w:spacing w:line="360" w:lineRule="auto"/>
              <w:rPr>
                <w:rFonts w:ascii="宋体" w:hAnsi="宋体" w:cs="宋体"/>
                <w:color w:val="auto"/>
                <w:szCs w:val="21"/>
              </w:rPr>
            </w:pPr>
            <w:r>
              <w:rPr>
                <w:rFonts w:hint="eastAsia" w:ascii="宋体" w:hAnsi="宋体" w:cs="宋体"/>
                <w:color w:val="auto"/>
                <w:szCs w:val="21"/>
              </w:rPr>
              <w:t>履约保证金金额：无</w:t>
            </w:r>
          </w:p>
        </w:tc>
      </w:tr>
      <w:tr w14:paraId="6F422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080908F0">
            <w:pPr>
              <w:spacing w:line="360" w:lineRule="auto"/>
              <w:jc w:val="center"/>
              <w:rPr>
                <w:rFonts w:ascii="宋体" w:hAnsi="宋体" w:cs="宋体"/>
                <w:color w:val="auto"/>
                <w:szCs w:val="21"/>
              </w:rPr>
            </w:pPr>
            <w:r>
              <w:rPr>
                <w:rFonts w:ascii="宋体" w:hAnsi="宋体" w:cs="宋体"/>
                <w:color w:val="auto"/>
                <w:szCs w:val="21"/>
              </w:rPr>
              <w:t>29.1</w:t>
            </w:r>
          </w:p>
        </w:tc>
        <w:tc>
          <w:tcPr>
            <w:tcW w:w="7912" w:type="dxa"/>
            <w:vAlign w:val="center"/>
          </w:tcPr>
          <w:p w14:paraId="01B6127D">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18C9888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45C0FE3B">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7746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7D37999E">
            <w:pPr>
              <w:spacing w:line="360" w:lineRule="auto"/>
              <w:jc w:val="center"/>
              <w:rPr>
                <w:rFonts w:ascii="宋体" w:hAnsi="宋体" w:cs="宋体"/>
                <w:color w:val="auto"/>
                <w:szCs w:val="21"/>
              </w:rPr>
            </w:pPr>
            <w:r>
              <w:rPr>
                <w:rFonts w:hint="eastAsia" w:ascii="宋体" w:hAnsi="宋体" w:cs="宋体"/>
                <w:color w:val="auto"/>
                <w:szCs w:val="21"/>
              </w:rPr>
              <w:t>30</w:t>
            </w:r>
          </w:p>
        </w:tc>
        <w:tc>
          <w:tcPr>
            <w:tcW w:w="7912" w:type="dxa"/>
            <w:vAlign w:val="center"/>
          </w:tcPr>
          <w:p w14:paraId="11DA1EF2">
            <w:pPr>
              <w:pStyle w:val="15"/>
              <w:snapToGrid w:val="0"/>
              <w:spacing w:line="360" w:lineRule="auto"/>
              <w:rPr>
                <w:rFonts w:hAnsi="宋体" w:cs="宋体"/>
                <w:color w:val="auto"/>
                <w:kern w:val="2"/>
                <w:sz w:val="21"/>
              </w:rPr>
            </w:pPr>
            <w:r>
              <w:rPr>
                <w:rFonts w:hint="eastAsia" w:hAnsi="宋体" w:cs="宋体"/>
                <w:color w:val="auto"/>
                <w:kern w:val="2"/>
                <w:sz w:val="21"/>
              </w:rPr>
              <w:t>政府采购合同公告。</w:t>
            </w:r>
          </w:p>
          <w:p w14:paraId="6AA794D0">
            <w:pPr>
              <w:snapToGrid w:val="0"/>
              <w:spacing w:line="360" w:lineRule="auto"/>
              <w:rPr>
                <w:rFonts w:ascii="宋体" w:hAnsi="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40A3C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1F836EF5">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vAlign w:val="center"/>
          </w:tcPr>
          <w:p w14:paraId="11446E9E">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接收质疑函方式：以书面形式。</w:t>
            </w:r>
          </w:p>
          <w:p w14:paraId="7A007C99">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质疑联系部门及联系方式：</w:t>
            </w:r>
            <w:r>
              <w:rPr>
                <w:rFonts w:hint="eastAsia" w:ascii="宋体" w:hAnsi="宋体" w:cs="宋体"/>
                <w:color w:val="auto"/>
                <w:szCs w:val="21"/>
                <w:lang w:eastAsia="zh-CN"/>
              </w:rPr>
              <w:t>广西冠博工程管理有限公司</w:t>
            </w:r>
            <w:r>
              <w:rPr>
                <w:rFonts w:hint="eastAsia" w:ascii="宋体" w:hAnsi="宋体" w:eastAsia="宋体" w:cs="宋体"/>
                <w:color w:val="auto"/>
                <w:szCs w:val="21"/>
              </w:rPr>
              <w:t>，联系电话：</w:t>
            </w:r>
            <w:r>
              <w:rPr>
                <w:rFonts w:hint="eastAsia" w:ascii="宋体" w:hAnsi="宋体" w:cs="宋体"/>
                <w:color w:val="auto"/>
                <w:sz w:val="21"/>
                <w:szCs w:val="21"/>
                <w:highlight w:val="none"/>
                <w:u w:val="none"/>
                <w:lang w:eastAsia="zh-CN"/>
              </w:rPr>
              <w:t>0775-2082865</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Cs w:val="21"/>
              </w:rPr>
              <w:t>，通讯地址：</w:t>
            </w:r>
            <w:r>
              <w:rPr>
                <w:rFonts w:hint="eastAsia" w:ascii="宋体" w:hAnsi="宋体" w:cs="宋体"/>
                <w:color w:val="auto"/>
                <w:sz w:val="21"/>
                <w:szCs w:val="21"/>
                <w:highlight w:val="none"/>
                <w:u w:val="none"/>
                <w:lang w:val="en-US" w:eastAsia="zh-CN"/>
              </w:rPr>
              <w:t>玉林市玉州区桂园开发区西6幢2号二楼</w:t>
            </w:r>
            <w:r>
              <w:rPr>
                <w:rFonts w:hint="eastAsia" w:ascii="宋体" w:hAnsi="宋体" w:eastAsia="宋体" w:cs="宋体"/>
                <w:color w:val="auto"/>
                <w:sz w:val="21"/>
                <w:szCs w:val="21"/>
                <w:highlight w:val="none"/>
                <w:u w:val="none"/>
              </w:rPr>
              <w:t>　</w:t>
            </w:r>
          </w:p>
          <w:p w14:paraId="72BF52C6">
            <w:pPr>
              <w:pStyle w:val="15"/>
              <w:snapToGrid w:val="0"/>
              <w:spacing w:line="360" w:lineRule="auto"/>
              <w:rPr>
                <w:rFonts w:hAnsi="宋体"/>
                <w:color w:val="auto"/>
              </w:rPr>
            </w:pPr>
            <w:r>
              <w:rPr>
                <w:rFonts w:hint="eastAsia" w:ascii="宋体" w:hAnsi="宋体" w:eastAsia="宋体" w:cs="宋体"/>
                <w:color w:val="auto"/>
                <w:szCs w:val="21"/>
              </w:rPr>
              <w:t>业务时间：上午8时00分到12时00分，下午</w:t>
            </w:r>
            <w:r>
              <w:rPr>
                <w:rFonts w:hint="eastAsia" w:hAnsi="宋体" w:cs="宋体"/>
                <w:color w:val="auto"/>
                <w:szCs w:val="21"/>
                <w:lang w:val="en-US" w:eastAsia="zh-CN"/>
              </w:rPr>
              <w:t>3</w:t>
            </w:r>
            <w:r>
              <w:rPr>
                <w:rFonts w:hint="eastAsia" w:ascii="宋体" w:hAnsi="宋体" w:eastAsia="宋体" w:cs="宋体"/>
                <w:color w:val="auto"/>
                <w:szCs w:val="21"/>
              </w:rPr>
              <w:t>时00分到</w:t>
            </w:r>
            <w:r>
              <w:rPr>
                <w:rFonts w:hint="eastAsia" w:hAnsi="宋体" w:cs="宋体"/>
                <w:color w:val="auto"/>
                <w:szCs w:val="21"/>
                <w:lang w:val="en-US" w:eastAsia="zh-CN"/>
              </w:rPr>
              <w:t>6</w:t>
            </w:r>
            <w:r>
              <w:rPr>
                <w:rFonts w:hint="eastAsia" w:ascii="宋体" w:hAnsi="宋体" w:eastAsia="宋体" w:cs="宋体"/>
                <w:color w:val="auto"/>
                <w:szCs w:val="21"/>
              </w:rPr>
              <w:t>时00分，业务时间以外、双休日和法定节假日不办理业务。</w:t>
            </w:r>
          </w:p>
        </w:tc>
      </w:tr>
      <w:tr w14:paraId="095BF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E66EA02">
            <w:pPr>
              <w:spacing w:line="360" w:lineRule="auto"/>
              <w:jc w:val="center"/>
              <w:rPr>
                <w:rFonts w:ascii="宋体" w:hAnsi="宋体" w:cs="宋体"/>
                <w:color w:val="auto"/>
                <w:szCs w:val="21"/>
              </w:rPr>
            </w:pPr>
            <w:r>
              <w:rPr>
                <w:rFonts w:ascii="宋体" w:hAnsi="宋体" w:cs="宋体"/>
                <w:color w:val="auto"/>
                <w:szCs w:val="21"/>
              </w:rPr>
              <w:t>32.1</w:t>
            </w:r>
          </w:p>
        </w:tc>
        <w:tc>
          <w:tcPr>
            <w:tcW w:w="7912" w:type="dxa"/>
            <w:vAlign w:val="center"/>
          </w:tcPr>
          <w:p w14:paraId="3CE5C70E">
            <w:pPr>
              <w:pStyle w:val="15"/>
              <w:snapToGrid w:val="0"/>
              <w:spacing w:line="360" w:lineRule="auto"/>
              <w:rPr>
                <w:rFonts w:hint="eastAsia" w:ascii="宋体" w:hAnsi="宋体" w:eastAsia="宋体" w:cs="宋体"/>
                <w:color w:val="auto"/>
                <w:sz w:val="21"/>
                <w:lang w:val="en-US" w:eastAsia="zh-CN"/>
              </w:rPr>
            </w:pPr>
            <w:r>
              <w:rPr>
                <w:rFonts w:hint="eastAsia" w:ascii="宋体" w:hAnsi="宋体" w:eastAsia="宋体" w:cs="宋体"/>
                <w:color w:val="auto"/>
                <w:sz w:val="21"/>
                <w:lang w:val="en-US" w:eastAsia="zh-CN"/>
              </w:rPr>
              <w:t>1.采购代理费支付方式：</w:t>
            </w:r>
          </w:p>
          <w:p w14:paraId="1591C8E6">
            <w:pPr>
              <w:pStyle w:val="15"/>
              <w:snapToGrid w:val="0"/>
              <w:spacing w:line="360" w:lineRule="auto"/>
              <w:rPr>
                <w:rFonts w:hint="eastAsia" w:ascii="宋体" w:hAnsi="宋体" w:eastAsia="宋体" w:cs="宋体"/>
                <w:color w:val="auto"/>
                <w:sz w:val="21"/>
                <w:lang w:val="en-US" w:eastAsia="zh-CN"/>
              </w:rPr>
            </w:pPr>
            <w:r>
              <w:rPr>
                <w:rFonts w:hint="eastAsia" w:ascii="宋体" w:hAnsi="宋体" w:eastAsia="宋体" w:cs="宋体"/>
                <w:color w:val="auto"/>
                <w:sz w:val="21"/>
                <w:lang w:val="en-US" w:eastAsia="zh-CN"/>
              </w:rPr>
              <w:t>本项目代理服务费由成交供应商领取成交通知书前，一次性向采购代理机构支付。</w:t>
            </w:r>
          </w:p>
          <w:p w14:paraId="79AC1C37">
            <w:pPr>
              <w:pStyle w:val="15"/>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lang w:val="en-US" w:eastAsia="zh-CN"/>
              </w:rPr>
              <w:t>2.</w:t>
            </w:r>
            <w:r>
              <w:rPr>
                <w:rFonts w:hint="eastAsia" w:ascii="宋体" w:hAnsi="宋体" w:eastAsia="宋体" w:cs="宋体"/>
                <w:color w:val="auto"/>
                <w:sz w:val="21"/>
                <w:lang w:val="en-US" w:eastAsia="zh-CN"/>
              </w:rPr>
              <w:t>采购代理费收取标准：以成交金额为计费额，参照桂价费〔2011〕55 号文的规定“工程类”标准计取</w:t>
            </w:r>
            <w:r>
              <w:rPr>
                <w:rFonts w:hint="eastAsia" w:ascii="宋体" w:hAnsi="宋体" w:eastAsia="宋体" w:cs="宋体"/>
                <w:color w:val="auto"/>
                <w:sz w:val="21"/>
                <w:highlight w:val="none"/>
                <w:u w:val="none"/>
                <w:lang w:val="en-US" w:eastAsia="zh-CN"/>
              </w:rPr>
              <w:t>。</w:t>
            </w:r>
          </w:p>
          <w:p w14:paraId="02DE4A49">
            <w:pPr>
              <w:pStyle w:val="15"/>
              <w:snapToGrid w:val="0"/>
              <w:spacing w:line="360" w:lineRule="auto"/>
              <w:rPr>
                <w:rFonts w:hint="default" w:ascii="宋体" w:hAnsi="宋体" w:eastAsia="宋体" w:cs="宋体"/>
                <w:color w:val="auto"/>
                <w:sz w:val="21"/>
                <w:highlight w:val="none"/>
                <w:u w:val="none"/>
                <w:lang w:val="en-US" w:eastAsia="zh-CN"/>
              </w:rPr>
            </w:pPr>
            <w:r>
              <w:rPr>
                <w:rFonts w:hint="default" w:ascii="宋体" w:hAnsi="宋体" w:eastAsia="宋体" w:cs="宋体"/>
                <w:color w:val="auto"/>
                <w:sz w:val="21"/>
                <w:highlight w:val="none"/>
                <w:u w:val="none"/>
                <w:lang w:val="en-US" w:eastAsia="zh-CN"/>
              </w:rPr>
              <w:t>开户名称：</w:t>
            </w:r>
            <w:r>
              <w:rPr>
                <w:rFonts w:hint="eastAsia" w:hAnsi="宋体" w:cs="宋体"/>
                <w:color w:val="auto"/>
                <w:sz w:val="21"/>
                <w:highlight w:val="none"/>
                <w:lang w:val="en-US" w:eastAsia="zh-CN"/>
              </w:rPr>
              <w:t>广西冠博工程管理有限公司玉林分公司</w:t>
            </w:r>
            <w:r>
              <w:rPr>
                <w:rFonts w:hint="default" w:ascii="宋体" w:hAnsi="宋体" w:eastAsia="宋体" w:cs="宋体"/>
                <w:color w:val="auto"/>
                <w:sz w:val="21"/>
                <w:highlight w:val="none"/>
                <w:u w:val="none"/>
                <w:lang w:val="en-US" w:eastAsia="zh-CN"/>
              </w:rPr>
              <w:t xml:space="preserve">   </w:t>
            </w:r>
          </w:p>
          <w:p w14:paraId="544E6961">
            <w:pPr>
              <w:pStyle w:val="15"/>
              <w:snapToGrid w:val="0"/>
              <w:spacing w:line="360" w:lineRule="auto"/>
              <w:rPr>
                <w:rFonts w:hint="default" w:ascii="宋体" w:hAnsi="宋体" w:eastAsia="宋体" w:cs="宋体"/>
                <w:color w:val="auto"/>
                <w:sz w:val="21"/>
                <w:highlight w:val="none"/>
                <w:u w:val="none"/>
                <w:lang w:val="en-US" w:eastAsia="zh-CN"/>
              </w:rPr>
            </w:pPr>
            <w:r>
              <w:rPr>
                <w:rFonts w:hint="default" w:ascii="宋体" w:hAnsi="宋体" w:eastAsia="宋体" w:cs="宋体"/>
                <w:color w:val="auto"/>
                <w:sz w:val="21"/>
                <w:highlight w:val="none"/>
                <w:u w:val="none"/>
                <w:lang w:val="en-US" w:eastAsia="zh-CN"/>
              </w:rPr>
              <w:t>开户银行：</w:t>
            </w:r>
            <w:r>
              <w:rPr>
                <w:rFonts w:hint="eastAsia" w:hAnsi="宋体" w:cs="宋体"/>
                <w:color w:val="auto"/>
                <w:sz w:val="21"/>
                <w:highlight w:val="none"/>
                <w:lang w:val="en-US" w:eastAsia="zh-CN"/>
              </w:rPr>
              <w:t>广西北部湾银行股份有限公司玉林市分行</w:t>
            </w:r>
            <w:r>
              <w:rPr>
                <w:rFonts w:hint="default" w:ascii="宋体" w:hAnsi="宋体" w:eastAsia="宋体" w:cs="宋体"/>
                <w:color w:val="auto"/>
                <w:sz w:val="21"/>
                <w:highlight w:val="none"/>
                <w:u w:val="none"/>
                <w:lang w:val="en-US" w:eastAsia="zh-CN"/>
              </w:rPr>
              <w:t xml:space="preserve">       </w:t>
            </w:r>
          </w:p>
          <w:p w14:paraId="01B0A791">
            <w:pPr>
              <w:numPr>
                <w:ilvl w:val="0"/>
                <w:numId w:val="0"/>
              </w:numPr>
              <w:rPr>
                <w:color w:val="auto"/>
              </w:rPr>
            </w:pPr>
            <w:r>
              <w:rPr>
                <w:rFonts w:hint="eastAsia" w:ascii="宋体" w:hAnsi="宋体" w:eastAsia="宋体" w:cs="宋体"/>
                <w:color w:val="auto"/>
                <w:sz w:val="21"/>
                <w:highlight w:val="none"/>
                <w:u w:val="none"/>
                <w:lang w:val="en-US" w:eastAsia="zh-CN"/>
              </w:rPr>
              <w:t>银行账号：</w:t>
            </w:r>
            <w:r>
              <w:rPr>
                <w:rFonts w:hint="eastAsia" w:hAnsi="宋体" w:cs="宋体"/>
                <w:color w:val="auto"/>
                <w:sz w:val="21"/>
                <w:highlight w:val="none"/>
                <w:lang w:val="en-US" w:eastAsia="zh-CN"/>
              </w:rPr>
              <w:t>805549774500001</w:t>
            </w:r>
          </w:p>
        </w:tc>
      </w:tr>
      <w:tr w14:paraId="63277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52" w:type="dxa"/>
            <w:vAlign w:val="center"/>
          </w:tcPr>
          <w:p w14:paraId="7F3BE476">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vAlign w:val="center"/>
          </w:tcPr>
          <w:p w14:paraId="2E72AA92">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kern w:val="2"/>
                <w:sz w:val="21"/>
              </w:rPr>
            </w:pPr>
            <w:r>
              <w:rPr>
                <w:rFonts w:hint="eastAsia" w:hAnsi="宋体" w:cs="宋体"/>
                <w:b/>
                <w:bCs/>
                <w:color w:val="auto"/>
                <w:kern w:val="2"/>
                <w:sz w:val="21"/>
              </w:rPr>
              <w:t>解释权：</w:t>
            </w:r>
            <w:r>
              <w:rPr>
                <w:rFonts w:hint="eastAsia" w:hAnsi="宋体" w:cs="宋体"/>
                <w:color w:val="auto"/>
                <w:kern w:val="2"/>
                <w:sz w:val="21"/>
              </w:rPr>
              <w:t>构成本</w:t>
            </w:r>
            <w:r>
              <w:rPr>
                <w:rFonts w:hint="eastAsia" w:hAnsi="宋体" w:cs="宋体"/>
                <w:color w:val="auto"/>
                <w:kern w:val="2"/>
                <w:sz w:val="21"/>
                <w:lang w:eastAsia="zh-CN"/>
              </w:rPr>
              <w:t>采购</w:t>
            </w:r>
            <w:r>
              <w:rPr>
                <w:rFonts w:hint="eastAsia" w:hAnsi="宋体" w:cs="宋体"/>
                <w:color w:val="auto"/>
                <w:kern w:val="2"/>
                <w:sz w:val="21"/>
              </w:rPr>
              <w:t>文件的各个组成文件应互为解释，互为说明；除</w:t>
            </w:r>
            <w:r>
              <w:rPr>
                <w:rFonts w:hint="eastAsia" w:hAnsi="宋体" w:cs="宋体"/>
                <w:color w:val="auto"/>
                <w:kern w:val="2"/>
                <w:sz w:val="21"/>
                <w:lang w:eastAsia="zh-CN"/>
              </w:rPr>
              <w:t>采购</w:t>
            </w:r>
            <w:r>
              <w:rPr>
                <w:rFonts w:hint="eastAsia" w:hAnsi="宋体" w:cs="宋体"/>
                <w:color w:val="auto"/>
                <w:kern w:val="2"/>
                <w:sz w:val="21"/>
              </w:rPr>
              <w:t>文件中有特别规定外，仅适用于招标投标阶段的规定，按更正公告（澄清公告）、</w:t>
            </w:r>
            <w:r>
              <w:rPr>
                <w:rFonts w:hint="eastAsia" w:hAnsi="宋体" w:cs="宋体"/>
                <w:color w:val="auto"/>
                <w:kern w:val="2"/>
                <w:sz w:val="21"/>
                <w:lang w:eastAsia="zh-CN"/>
              </w:rPr>
              <w:t>磋商</w:t>
            </w:r>
            <w:r>
              <w:rPr>
                <w:rFonts w:hint="eastAsia" w:hAnsi="宋体" w:cs="宋体"/>
                <w:color w:val="auto"/>
                <w:kern w:val="2"/>
                <w:sz w:val="21"/>
              </w:rPr>
              <w:t>公告、采购需求、</w:t>
            </w:r>
            <w:r>
              <w:rPr>
                <w:rFonts w:hint="eastAsia" w:hAnsi="宋体" w:cs="宋体"/>
                <w:color w:val="auto"/>
                <w:kern w:val="2"/>
                <w:sz w:val="21"/>
                <w:lang w:eastAsia="zh-CN"/>
              </w:rPr>
              <w:t>供应商</w:t>
            </w:r>
            <w:r>
              <w:rPr>
                <w:rFonts w:hint="eastAsia" w:hAnsi="宋体" w:cs="宋体"/>
                <w:color w:val="auto"/>
                <w:kern w:val="2"/>
                <w:sz w:val="21"/>
              </w:rPr>
              <w:t>须知、评标方法及评标标准、拟签订的合同文本、</w:t>
            </w:r>
            <w:r>
              <w:rPr>
                <w:rFonts w:hint="eastAsia" w:hAnsi="宋体" w:cs="宋体"/>
                <w:color w:val="auto"/>
                <w:kern w:val="2"/>
                <w:sz w:val="21"/>
                <w:lang w:eastAsia="zh-CN"/>
              </w:rPr>
              <w:t>响应</w:t>
            </w:r>
            <w:r>
              <w:rPr>
                <w:rFonts w:hint="eastAsia" w:hAnsi="宋体" w:cs="宋体"/>
                <w:color w:val="auto"/>
                <w:kern w:val="2"/>
                <w:sz w:val="21"/>
              </w:rPr>
              <w:t>文件格式的先后顺序解释；同一组成文件中就同一事项的规定或者约定不一致的，以编排顺序在后者为准；同一组成文件不同版本之间有不一致的，以形成时间在后者为准；更正公告（澄清公告）与同步更新的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hAnsi="宋体" w:cs="宋体"/>
                <w:color w:val="auto"/>
                <w:kern w:val="2"/>
                <w:sz w:val="21"/>
                <w:lang w:eastAsia="zh-CN"/>
              </w:rPr>
              <w:t>采购</w:t>
            </w:r>
            <w:r>
              <w:rPr>
                <w:rFonts w:hint="eastAsia" w:hAnsi="宋体" w:cs="宋体"/>
                <w:color w:val="auto"/>
                <w:kern w:val="2"/>
                <w:sz w:val="21"/>
              </w:rPr>
              <w:t>文件不一致时以更正公告（澄清公告）为准。按本款前述规定仍不能形成结论的，</w:t>
            </w:r>
            <w:r>
              <w:rPr>
                <w:rFonts w:hint="eastAsia" w:hAnsi="宋体" w:cs="宋体"/>
                <w:b/>
                <w:bCs/>
                <w:color w:val="auto"/>
                <w:kern w:val="2"/>
                <w:sz w:val="21"/>
              </w:rPr>
              <w:t>由采购人或者采购代理机构负责解释</w:t>
            </w:r>
            <w:r>
              <w:rPr>
                <w:rFonts w:hint="eastAsia" w:hAnsi="宋体" w:cs="宋体"/>
                <w:color w:val="auto"/>
                <w:kern w:val="2"/>
                <w:sz w:val="21"/>
              </w:rPr>
              <w:t>。</w:t>
            </w:r>
          </w:p>
          <w:p w14:paraId="037F03F3">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Ansi="宋体" w:cs="宋体"/>
                <w:color w:val="auto"/>
                <w:kern w:val="2"/>
                <w:sz w:val="21"/>
              </w:rPr>
            </w:pPr>
            <w:r>
              <w:rPr>
                <w:rFonts w:hint="eastAsia" w:hAnsi="宋体" w:cs="宋体"/>
                <w:b/>
                <w:bCs/>
                <w:color w:val="auto"/>
                <w:kern w:val="2"/>
                <w:sz w:val="21"/>
              </w:rPr>
              <w:t>法律责任：</w:t>
            </w:r>
            <w:r>
              <w:rPr>
                <w:rFonts w:hint="eastAsia" w:hAnsi="宋体" w:cs="宋体"/>
                <w:color w:val="auto"/>
                <w:kern w:val="2"/>
                <w:sz w:val="21"/>
              </w:rPr>
              <w:t>本采购文件根据《中华人民共和国政府采购法</w:t>
            </w:r>
            <w:r>
              <w:rPr>
                <w:rFonts w:hint="eastAsia" w:hAnsi="宋体" w:cs="宋体"/>
                <w:color w:val="auto"/>
                <w:kern w:val="2"/>
                <w:sz w:val="21"/>
                <w:lang w:eastAsia="zh-CN"/>
              </w:rPr>
              <w:t>》《</w:t>
            </w:r>
            <w:r>
              <w:rPr>
                <w:rFonts w:hint="eastAsia" w:hAnsi="宋体" w:cs="宋体"/>
                <w:color w:val="auto"/>
                <w:kern w:val="2"/>
                <w:sz w:val="21"/>
              </w:rPr>
              <w:t>中华人民共和国民法典》；《中华人民共和国政府采购法实施条例</w:t>
            </w:r>
            <w:r>
              <w:rPr>
                <w:rFonts w:hint="eastAsia" w:hAnsi="宋体" w:cs="宋体"/>
                <w:color w:val="auto"/>
                <w:kern w:val="2"/>
                <w:sz w:val="21"/>
                <w:lang w:eastAsia="zh-CN"/>
              </w:rPr>
              <w:t>》《</w:t>
            </w:r>
            <w:r>
              <w:rPr>
                <w:rFonts w:hint="eastAsia" w:hAnsi="宋体" w:cs="宋体"/>
                <w:color w:val="auto"/>
                <w:kern w:val="2"/>
                <w:sz w:val="21"/>
              </w:rPr>
              <w:t>政府采购非招标采购方式管理办法》等有关</w:t>
            </w:r>
            <w:r>
              <w:rPr>
                <w:rFonts w:hint="eastAsia" w:hAnsi="宋体" w:cs="宋体"/>
                <w:color w:val="auto"/>
                <w:kern w:val="2"/>
                <w:sz w:val="21"/>
                <w:lang w:eastAsia="zh-CN"/>
              </w:rPr>
              <w:t>法律法规</w:t>
            </w:r>
            <w:r>
              <w:rPr>
                <w:rFonts w:hint="eastAsia" w:hAnsi="宋体" w:cs="宋体"/>
                <w:color w:val="auto"/>
                <w:kern w:val="2"/>
                <w:sz w:val="21"/>
              </w:rPr>
              <w:t>编制，参与本项目的各政府采购当事人依法享有上述法律法规所赋予的权利与义务。</w:t>
            </w:r>
          </w:p>
        </w:tc>
      </w:tr>
      <w:tr w14:paraId="3D91C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D10080F">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3.2</w:t>
            </w:r>
          </w:p>
        </w:tc>
        <w:tc>
          <w:tcPr>
            <w:tcW w:w="7912" w:type="dxa"/>
            <w:vAlign w:val="center"/>
          </w:tcPr>
          <w:p w14:paraId="0F16A03D">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lang w:val="en-US" w:eastAsia="zh-CN"/>
              </w:rPr>
            </w:pPr>
            <w:r>
              <w:rPr>
                <w:rFonts w:hint="eastAsia"/>
                <w:color w:val="auto"/>
                <w:lang w:val="en-US" w:eastAsia="zh-CN"/>
              </w:rPr>
              <w:t>1.本采购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09BDDCF5">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rPr>
            </w:pPr>
            <w:r>
              <w:rPr>
                <w:rFonts w:hint="eastAsia"/>
                <w:color w:val="auto"/>
                <w:lang w:val="en-US" w:eastAsia="zh-CN"/>
              </w:rPr>
              <w:t>2</w:t>
            </w:r>
            <w:r>
              <w:rPr>
                <w:rFonts w:hint="eastAsia"/>
                <w:color w:val="auto"/>
              </w:rPr>
              <w:t>.本</w:t>
            </w:r>
            <w:r>
              <w:rPr>
                <w:rFonts w:hint="eastAsia"/>
                <w:color w:val="auto"/>
                <w:lang w:val="en-US" w:eastAsia="zh-CN"/>
              </w:rPr>
              <w:t>采购</w:t>
            </w:r>
            <w:r>
              <w:rPr>
                <w:rFonts w:hint="eastAsia"/>
                <w:color w:val="auto"/>
              </w:rPr>
              <w:t>文件中描述供应商的“签字”是指供应商通过指定电子化政府采购平台办理数字证书（CA认证）获得的以供应商法定代表人或者委托代理人姓名制作的电子印章或手写签字。</w:t>
            </w:r>
          </w:p>
          <w:p w14:paraId="457B54A7">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lang w:val="en-US" w:eastAsia="zh-CN"/>
              </w:rPr>
            </w:pPr>
            <w:r>
              <w:rPr>
                <w:rFonts w:hint="eastAsia"/>
                <w:color w:val="auto"/>
                <w:lang w:val="en-US" w:eastAsia="zh-CN"/>
              </w:rPr>
              <w:t>3.供应商为其他组织或者自然人时，本采购文件规定的法定代表人指负责人或者自然人。本采购文件所称负责人是指参加竞标的其他组织营业执照上的负责人，本采购文件所称自然人指参与竞标的自然人本人。</w:t>
            </w:r>
          </w:p>
          <w:p w14:paraId="62E7DCED">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color w:val="auto"/>
              </w:rPr>
            </w:pPr>
            <w:r>
              <w:rPr>
                <w:rFonts w:hint="eastAsia"/>
                <w:color w:val="auto"/>
                <w:lang w:val="en-US" w:eastAsia="zh-CN"/>
              </w:rPr>
              <w:t>4</w:t>
            </w:r>
            <w:r>
              <w:rPr>
                <w:color w:val="auto"/>
              </w:rPr>
              <w:t>.</w:t>
            </w:r>
            <w:r>
              <w:rPr>
                <w:rFonts w:hint="eastAsia"/>
                <w:color w:val="auto"/>
              </w:rPr>
              <w:t>自然人竞标的，</w:t>
            </w:r>
            <w:r>
              <w:rPr>
                <w:rFonts w:hint="eastAsia"/>
                <w:color w:val="auto"/>
                <w:lang w:val="en-US" w:eastAsia="zh-CN"/>
              </w:rPr>
              <w:t>采购</w:t>
            </w:r>
            <w:r>
              <w:rPr>
                <w:rFonts w:hint="eastAsia"/>
                <w:color w:val="auto"/>
              </w:rPr>
              <w:t>文件规定盖公章处由自然人摁手指指印。</w:t>
            </w:r>
          </w:p>
          <w:p w14:paraId="21C99A72">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rPr>
            </w:pPr>
            <w:r>
              <w:rPr>
                <w:rFonts w:hint="eastAsia"/>
                <w:color w:val="auto"/>
                <w:lang w:val="en-US" w:eastAsia="zh-CN"/>
              </w:rPr>
              <w:t>5</w:t>
            </w:r>
            <w:r>
              <w:rPr>
                <w:rFonts w:hint="eastAsia"/>
                <w:color w:val="auto"/>
              </w:rPr>
              <w:t>.本</w:t>
            </w:r>
            <w:r>
              <w:rPr>
                <w:rFonts w:hint="eastAsia"/>
                <w:color w:val="auto"/>
                <w:lang w:val="en-US" w:eastAsia="zh-CN"/>
              </w:rPr>
              <w:t>采购</w:t>
            </w:r>
            <w:r>
              <w:rPr>
                <w:rFonts w:hint="eastAsia"/>
                <w:color w:val="auto"/>
              </w:rPr>
              <w:t>文件所称的“以上”“以下”“以内”“届满”，包括本数；所称的“不满”“超过”“以外”，不包括本数。</w:t>
            </w:r>
          </w:p>
          <w:p w14:paraId="4FBF0C37">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color w:val="auto"/>
              </w:rPr>
            </w:pPr>
            <w:r>
              <w:rPr>
                <w:rFonts w:hint="eastAsia"/>
                <w:color w:val="auto"/>
                <w:lang w:val="en-US" w:eastAsia="zh-CN"/>
              </w:rPr>
              <w:t>6.</w:t>
            </w:r>
            <w:r>
              <w:rPr>
                <w:rFonts w:hint="eastAsia"/>
                <w:color w:val="auto"/>
              </w:rPr>
              <w:t>如果</w:t>
            </w:r>
            <w:r>
              <w:rPr>
                <w:rFonts w:hint="eastAsia"/>
                <w:color w:val="auto"/>
                <w:lang w:eastAsia="zh-CN"/>
              </w:rPr>
              <w:t>供应商</w:t>
            </w:r>
            <w:r>
              <w:rPr>
                <w:rFonts w:hint="eastAsia"/>
                <w:color w:val="auto"/>
              </w:rPr>
              <w:t>没办理有姓名制作的电子印章的，可在</w:t>
            </w:r>
            <w:r>
              <w:rPr>
                <w:rFonts w:hint="eastAsia"/>
                <w:color w:val="auto"/>
                <w:lang w:eastAsia="zh-CN"/>
              </w:rPr>
              <w:t>响应</w:t>
            </w:r>
            <w:r>
              <w:rPr>
                <w:rFonts w:hint="eastAsia"/>
                <w:color w:val="auto"/>
              </w:rPr>
              <w:t>文件中</w:t>
            </w:r>
            <w:r>
              <w:rPr>
                <w:rFonts w:hint="eastAsia"/>
                <w:color w:val="auto"/>
                <w:lang w:eastAsia="zh-CN"/>
              </w:rPr>
              <w:t>涉及</w:t>
            </w:r>
            <w:r>
              <w:rPr>
                <w:rFonts w:hint="eastAsia"/>
                <w:color w:val="auto"/>
              </w:rPr>
              <w:t>签字的位置线下签好字然后扫描做成PDF的格式即可。</w:t>
            </w:r>
          </w:p>
        </w:tc>
      </w:tr>
      <w:tr w14:paraId="10D6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jc w:val="center"/>
        </w:trPr>
        <w:tc>
          <w:tcPr>
            <w:tcW w:w="1152" w:type="dxa"/>
            <w:vAlign w:val="center"/>
          </w:tcPr>
          <w:p w14:paraId="30D38508">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33.2</w:t>
            </w:r>
          </w:p>
        </w:tc>
        <w:tc>
          <w:tcPr>
            <w:tcW w:w="7912" w:type="dxa"/>
            <w:vAlign w:val="center"/>
          </w:tcPr>
          <w:p w14:paraId="6FAA8F64">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lang w:val="en-US" w:eastAsia="zh-CN"/>
              </w:rPr>
            </w:pPr>
            <w:r>
              <w:rPr>
                <w:rFonts w:hint="eastAsia" w:hAnsi="宋体"/>
                <w:color w:val="auto"/>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68283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jc w:val="center"/>
        </w:trPr>
        <w:tc>
          <w:tcPr>
            <w:tcW w:w="1152" w:type="dxa"/>
            <w:vAlign w:val="center"/>
          </w:tcPr>
          <w:p w14:paraId="56050C45">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33.2</w:t>
            </w:r>
          </w:p>
        </w:tc>
        <w:tc>
          <w:tcPr>
            <w:tcW w:w="7912" w:type="dxa"/>
            <w:vAlign w:val="center"/>
          </w:tcPr>
          <w:p w14:paraId="7CDB5D0C">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本采购项目涉及中小企业采购，现明确以下内容：</w:t>
            </w:r>
          </w:p>
          <w:p w14:paraId="1932A949">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1.本项目属于专门面向中小企业采购的项目，供应商应为中小微企业或监狱企业或残疾人福利性单位，相关标的详见本竞争性</w:t>
            </w:r>
            <w:r>
              <w:rPr>
                <w:rFonts w:hint="eastAsia" w:ascii="宋体" w:hAnsi="宋体" w:cs="宋体"/>
                <w:color w:val="auto"/>
                <w:kern w:val="0"/>
                <w:szCs w:val="21"/>
                <w:lang w:val="en-US" w:eastAsia="zh-CN"/>
              </w:rPr>
              <w:t>磋商</w:t>
            </w:r>
            <w:r>
              <w:rPr>
                <w:rFonts w:hint="eastAsia" w:ascii="宋体" w:hAnsi="宋体" w:cs="宋体"/>
                <w:color w:val="auto"/>
                <w:kern w:val="0"/>
                <w:szCs w:val="21"/>
              </w:rPr>
              <w:t>文件“第三章《采购需求》”；</w:t>
            </w:r>
          </w:p>
          <w:p w14:paraId="381FC4DB">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rPr>
              <w:t>2.中</w:t>
            </w:r>
            <w:r>
              <w:rPr>
                <w:rFonts w:hint="eastAsia" w:ascii="宋体" w:hAnsi="宋体" w:cs="宋体"/>
                <w:color w:val="auto"/>
                <w:kern w:val="0"/>
                <w:szCs w:val="21"/>
                <w:highlight w:val="none"/>
              </w:rPr>
              <w:t>小企业预留预算金额：963076.98元；</w:t>
            </w:r>
            <w:bookmarkStart w:id="62" w:name="_Hlk193196347"/>
            <w:r>
              <w:rPr>
                <w:rFonts w:hint="eastAsia" w:ascii="宋体" w:hAnsi="宋体" w:cs="宋体"/>
                <w:color w:val="auto"/>
                <w:kern w:val="0"/>
                <w:szCs w:val="21"/>
                <w:highlight w:val="none"/>
              </w:rPr>
              <w:t>中小企业预留份额：100%</w:t>
            </w:r>
            <w:bookmarkEnd w:id="62"/>
            <w:r>
              <w:rPr>
                <w:rFonts w:hint="eastAsia" w:ascii="宋体" w:hAnsi="宋体" w:cs="宋体"/>
                <w:color w:val="auto"/>
                <w:kern w:val="0"/>
                <w:szCs w:val="21"/>
                <w:highlight w:val="none"/>
              </w:rPr>
              <w:t>；</w:t>
            </w:r>
          </w:p>
          <w:p w14:paraId="247B31DE">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3.本项目不接受联合体；本项目不允许分包；</w:t>
            </w:r>
          </w:p>
          <w:p w14:paraId="5D48F653">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4.本项目属于专门面向中小企业采购的项目，不再进行价格扣除及用扣除后的价格参加评审；</w:t>
            </w:r>
          </w:p>
          <w:p w14:paraId="20BC3C60">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5.因本项目属于专门面向中小企业采购的项目，规定依据《政府采购促进中小企业发展管理办法》规定享受扶持政策获得政府采购合同的，小微企业不得将合同分包给大中型企业，中型企业不得将合同分包给大型企业；</w:t>
            </w:r>
          </w:p>
          <w:p w14:paraId="548B328F">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olor w:val="auto"/>
                <w:sz w:val="21"/>
              </w:rPr>
            </w:pPr>
            <w:r>
              <w:rPr>
                <w:rFonts w:hint="eastAsia" w:ascii="宋体" w:hAnsi="宋体" w:cs="宋体"/>
                <w:color w:val="auto"/>
              </w:rPr>
              <w:t>6.本项目采购标的对应的中小企业划分标准所属行业：建筑业。</w:t>
            </w:r>
          </w:p>
        </w:tc>
      </w:tr>
    </w:tbl>
    <w:p w14:paraId="787EE44F">
      <w:pPr>
        <w:jc w:val="center"/>
        <w:rPr>
          <w:rFonts w:hint="eastAsia" w:asciiTheme="majorEastAsia" w:hAnsiTheme="majorEastAsia" w:eastAsiaTheme="majorEastAsia" w:cstheme="majorEastAsia"/>
          <w:b/>
          <w:color w:val="auto"/>
          <w:sz w:val="32"/>
          <w:highlight w:val="none"/>
        </w:rPr>
      </w:pPr>
    </w:p>
    <w:p w14:paraId="4B07CA28">
      <w:pPr>
        <w:jc w:val="both"/>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br w:type="page"/>
      </w:r>
    </w:p>
    <w:p w14:paraId="76F9A0C0">
      <w:pPr>
        <w:spacing w:line="400" w:lineRule="exact"/>
        <w:jc w:val="center"/>
        <w:rPr>
          <w:rFonts w:ascii="宋体" w:hAnsi="宋体"/>
          <w:b/>
          <w:color w:val="auto"/>
          <w:sz w:val="32"/>
          <w:szCs w:val="32"/>
        </w:rPr>
      </w:pPr>
      <w:r>
        <w:rPr>
          <w:rFonts w:hint="eastAsia" w:ascii="宋体" w:hAnsi="宋体"/>
          <w:b/>
          <w:color w:val="auto"/>
          <w:sz w:val="32"/>
          <w:szCs w:val="32"/>
        </w:rPr>
        <w:t>供应商须知正文</w:t>
      </w:r>
    </w:p>
    <w:p w14:paraId="032094A4">
      <w:pPr>
        <w:spacing w:line="400" w:lineRule="exact"/>
        <w:jc w:val="center"/>
        <w:rPr>
          <w:rFonts w:ascii="宋体" w:hAnsi="宋体"/>
          <w:b/>
          <w:color w:val="auto"/>
          <w:sz w:val="32"/>
          <w:szCs w:val="32"/>
        </w:rPr>
      </w:pPr>
    </w:p>
    <w:p w14:paraId="7E9309FA">
      <w:pPr>
        <w:spacing w:line="400" w:lineRule="exact"/>
        <w:jc w:val="center"/>
        <w:rPr>
          <w:rFonts w:ascii="宋体" w:hAnsi="宋体"/>
          <w:b/>
          <w:color w:val="auto"/>
          <w:sz w:val="32"/>
          <w:szCs w:val="32"/>
        </w:rPr>
      </w:pPr>
      <w:r>
        <w:rPr>
          <w:rFonts w:hint="eastAsia" w:ascii="宋体" w:hAnsi="宋体"/>
          <w:b/>
          <w:color w:val="auto"/>
          <w:sz w:val="32"/>
          <w:szCs w:val="32"/>
        </w:rPr>
        <w:t>一、总则</w:t>
      </w:r>
    </w:p>
    <w:p w14:paraId="0E97D1E4">
      <w:pPr>
        <w:spacing w:line="400" w:lineRule="exact"/>
        <w:rPr>
          <w:rFonts w:ascii="宋体" w:hAnsi="宋体"/>
          <w:color w:val="auto"/>
          <w:szCs w:val="21"/>
        </w:rPr>
      </w:pPr>
    </w:p>
    <w:p w14:paraId="6F6F9A63">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1.适用范围</w:t>
      </w:r>
    </w:p>
    <w:p w14:paraId="307CB67B">
      <w:pPr>
        <w:spacing w:line="360" w:lineRule="auto"/>
        <w:ind w:firstLine="420" w:firstLineChars="200"/>
        <w:rPr>
          <w:rFonts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14:paraId="7BA77D3C">
      <w:pPr>
        <w:spacing w:line="360" w:lineRule="auto"/>
        <w:ind w:firstLine="420" w:firstLineChars="200"/>
        <w:rPr>
          <w:rFonts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本竞争性磋商文件（以下简称磋商文件）适用于本项目的所有采购程序和环节（</w:t>
      </w:r>
      <w:r>
        <w:rPr>
          <w:rFonts w:hint="eastAsia" w:ascii="宋体" w:hAnsi="宋体" w:cs="宋体"/>
          <w:color w:val="auto"/>
          <w:spacing w:val="-6"/>
          <w:szCs w:val="21"/>
          <w:lang w:eastAsia="zh-CN"/>
        </w:rPr>
        <w:t>法律法规</w:t>
      </w:r>
      <w:r>
        <w:rPr>
          <w:rFonts w:hint="eastAsia" w:ascii="宋体" w:hAnsi="宋体" w:cs="宋体"/>
          <w:color w:val="auto"/>
          <w:spacing w:val="-6"/>
          <w:szCs w:val="21"/>
        </w:rPr>
        <w:t>另有规定的，从其规定）。</w:t>
      </w:r>
    </w:p>
    <w:p w14:paraId="62A1F049">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2.定义</w:t>
      </w:r>
    </w:p>
    <w:p w14:paraId="4EB00405">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2.1“采购人”是指依法进行政府采购的国家机关、事业单位、团体组织。</w:t>
      </w:r>
    </w:p>
    <w:p w14:paraId="7DBEAED1">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2.2“采购代理机构”是指政府采购代理机构（以下简称采购代理机构）是指集中采购机构以外、受采购人委托从事政府采购代理业务的社会中介机构。</w:t>
      </w:r>
    </w:p>
    <w:p w14:paraId="4590F78F">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31500D15">
      <w:pPr>
        <w:spacing w:line="360" w:lineRule="auto"/>
        <w:ind w:firstLine="420" w:firstLineChars="200"/>
        <w:rPr>
          <w:rFonts w:ascii="宋体" w:hAnsi="宋体" w:cs="宋体"/>
          <w:color w:val="auto"/>
          <w:szCs w:val="21"/>
        </w:rPr>
      </w:pPr>
      <w:r>
        <w:rPr>
          <w:rFonts w:hint="eastAsia" w:ascii="宋体" w:hAnsi="宋体"/>
          <w:color w:val="auto"/>
          <w:szCs w:val="21"/>
        </w:rPr>
        <w:t>2.4“服务”是指除货物和工程以外的其他政府采购对象。</w:t>
      </w:r>
    </w:p>
    <w:p w14:paraId="37C30719">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“竞标”是指供应商按照本项目竞争性磋商公告规定的方式获取磋商文件、提交响应文件并希望获得标的的行为。</w:t>
      </w:r>
    </w:p>
    <w:p w14:paraId="03EA85C8">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“响应文件”</w:t>
      </w:r>
      <w:r>
        <w:rPr>
          <w:rFonts w:hint="eastAsia" w:ascii="宋体" w:hAnsi="宋体" w:cs="宋体"/>
          <w:color w:val="auto"/>
          <w:spacing w:val="-6"/>
          <w:szCs w:val="21"/>
        </w:rPr>
        <w:t>是指：供应商根据本磋商文件要求，编制包含资格证明、报价商务技术等所有内容的文件。</w:t>
      </w:r>
    </w:p>
    <w:p w14:paraId="1ADA7C49">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7</w:t>
      </w:r>
      <w:r>
        <w:rPr>
          <w:rFonts w:hint="eastAsia" w:ascii="宋体" w:hAnsi="宋体" w:cs="宋体"/>
          <w:color w:val="auto"/>
          <w:szCs w:val="21"/>
        </w:rPr>
        <w:t>“实质性要求”是指磋商文件中已经指明不满足则响应文件按无效响应处理的条款，或者不能负偏离的条款，或者采购需求中带“▲”的条款。</w:t>
      </w:r>
    </w:p>
    <w:p w14:paraId="200C9D4A">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8</w:t>
      </w:r>
      <w:r>
        <w:rPr>
          <w:rFonts w:hint="eastAsia" w:ascii="宋体" w:hAnsi="宋体" w:cs="宋体"/>
          <w:color w:val="auto"/>
          <w:szCs w:val="21"/>
        </w:rPr>
        <w:t>“正偏离”，是指响应文件对磋商文件“采购需求”中有关条款作出的响应优于条款要求并有利于采购人的情形。</w:t>
      </w:r>
    </w:p>
    <w:p w14:paraId="4FC0499B">
      <w:pPr>
        <w:spacing w:line="360" w:lineRule="auto"/>
        <w:ind w:firstLine="420" w:firstLineChars="200"/>
        <w:rPr>
          <w:rFonts w:ascii="宋体" w:hAnsi="宋体" w:cs="宋体"/>
          <w:color w:val="auto"/>
          <w:szCs w:val="21"/>
        </w:rPr>
      </w:pPr>
      <w:r>
        <w:rPr>
          <w:rFonts w:ascii="宋体" w:hAnsi="宋体" w:cs="宋体"/>
          <w:color w:val="auto"/>
          <w:szCs w:val="21"/>
        </w:rPr>
        <w:t>2.9</w:t>
      </w:r>
      <w:r>
        <w:rPr>
          <w:rFonts w:hint="eastAsia" w:ascii="宋体" w:hAnsi="宋体" w:cs="宋体"/>
          <w:color w:val="auto"/>
          <w:szCs w:val="21"/>
        </w:rPr>
        <w:t>“负偏离”，是指响应文件对磋商文件“采购需求”中有关条款作出的响应不满足条款要求，导致采购人要求不能得到满足的情形。</w:t>
      </w:r>
    </w:p>
    <w:p w14:paraId="1548C447">
      <w:pPr>
        <w:spacing w:line="360" w:lineRule="auto"/>
        <w:ind w:firstLine="420" w:firstLineChars="200"/>
        <w:rPr>
          <w:rFonts w:ascii="宋体" w:hAnsi="宋体" w:cs="宋体"/>
          <w:color w:val="auto"/>
          <w:szCs w:val="21"/>
        </w:rPr>
      </w:pPr>
      <w:r>
        <w:rPr>
          <w:rFonts w:hint="eastAsia" w:ascii="宋体" w:hAnsi="宋体" w:cs="宋体"/>
          <w:color w:val="auto"/>
          <w:szCs w:val="21"/>
        </w:rPr>
        <w:t>2.10“允许负偏离的条款”是指采购需求中的不属于“实质性要求”的条款。</w:t>
      </w:r>
    </w:p>
    <w:p w14:paraId="71F3948D">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11</w:t>
      </w:r>
      <w:r>
        <w:rPr>
          <w:rFonts w:hint="eastAsia" w:ascii="宋体" w:hAnsi="宋体" w:cs="宋体"/>
          <w:color w:val="auto"/>
          <w:szCs w:val="21"/>
        </w:rPr>
        <w:t>“书面形式”是指合同书、信件和数据电文（包括电报、电传、传真、电子数据交换和电子邮件）等可以有形地表现所载内容的形式。</w:t>
      </w:r>
    </w:p>
    <w:p w14:paraId="0F2BCD97">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12</w:t>
      </w:r>
      <w:r>
        <w:rPr>
          <w:rFonts w:hint="eastAsia" w:ascii="宋体" w:hAnsi="宋体" w:cs="宋体"/>
          <w:color w:val="auto"/>
          <w:szCs w:val="21"/>
        </w:rPr>
        <w:t>“首次报价”是指供应商提交的首次响应文件中的报价。</w:t>
      </w:r>
    </w:p>
    <w:p w14:paraId="0B95856B">
      <w:pPr>
        <w:spacing w:line="360" w:lineRule="auto"/>
        <w:ind w:firstLine="420" w:firstLineChars="200"/>
        <w:rPr>
          <w:rFonts w:ascii="宋体" w:hAnsi="宋体" w:cs="宋体"/>
          <w:color w:val="auto"/>
          <w:szCs w:val="21"/>
        </w:rPr>
      </w:pPr>
      <w:r>
        <w:rPr>
          <w:rFonts w:hint="eastAsia" w:ascii="宋体" w:hAnsi="宋体" w:cs="宋体"/>
          <w:color w:val="auto"/>
          <w:szCs w:val="21"/>
        </w:rPr>
        <w:t>2.1</w:t>
      </w:r>
      <w:r>
        <w:rPr>
          <w:rFonts w:ascii="宋体" w:hAnsi="宋体" w:cs="宋体"/>
          <w:color w:val="auto"/>
          <w:szCs w:val="21"/>
        </w:rPr>
        <w:t>3</w:t>
      </w:r>
      <w:r>
        <w:rPr>
          <w:rFonts w:hint="eastAsia" w:ascii="宋体" w:hAnsi="宋体" w:cs="宋体"/>
          <w:color w:val="auto"/>
          <w:szCs w:val="21"/>
        </w:rPr>
        <w:t>“评审价”是指供应商提交的最后报价并经修正（如有）和政策功能价格扣除（如有）后的价格。</w:t>
      </w:r>
    </w:p>
    <w:p w14:paraId="653B3FE0">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3.供应商的资格条件</w:t>
      </w:r>
    </w:p>
    <w:p w14:paraId="2A1452D2">
      <w:pPr>
        <w:spacing w:line="360" w:lineRule="auto"/>
        <w:ind w:firstLine="420" w:firstLineChars="200"/>
        <w:rPr>
          <w:rFonts w:ascii="宋体" w:hAnsi="宋体" w:cs="宋体"/>
          <w:color w:val="auto"/>
          <w:szCs w:val="21"/>
        </w:rPr>
      </w:pPr>
      <w:r>
        <w:rPr>
          <w:rFonts w:hint="eastAsia" w:ascii="宋体" w:hAnsi="宋体" w:cs="宋体"/>
          <w:color w:val="auto"/>
          <w:szCs w:val="21"/>
        </w:rPr>
        <w:t>供应商的资格条件详见“供应商须知前附表”。</w:t>
      </w:r>
    </w:p>
    <w:p w14:paraId="63D242AB">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4.竞标费用</w:t>
      </w:r>
    </w:p>
    <w:p w14:paraId="56E4644A">
      <w:pPr>
        <w:spacing w:line="360" w:lineRule="auto"/>
        <w:ind w:firstLine="420" w:firstLineChars="200"/>
        <w:rPr>
          <w:rFonts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14:paraId="50C941A3">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5.联合体竞标</w:t>
      </w:r>
    </w:p>
    <w:p w14:paraId="0C6E8270">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14:paraId="1D17034E">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14:paraId="5C192940">
      <w:pPr>
        <w:spacing w:line="360" w:lineRule="auto"/>
        <w:ind w:firstLine="420" w:firstLineChars="200"/>
        <w:rPr>
          <w:rFonts w:ascii="宋体" w:hAnsi="宋体" w:cs="宋体"/>
          <w:color w:val="auto"/>
          <w:szCs w:val="21"/>
        </w:rPr>
      </w:pPr>
      <w:r>
        <w:rPr>
          <w:rFonts w:hint="eastAsia" w:ascii="宋体" w:hAnsi="宋体" w:cs="宋体"/>
          <w:color w:val="auto"/>
          <w:szCs w:val="21"/>
        </w:rPr>
        <w:t>5.3根据《政府采购促进中小企业发展暂行办法》第六条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2%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1932859C">
      <w:pPr>
        <w:spacing w:line="360" w:lineRule="auto"/>
        <w:ind w:firstLine="422" w:firstLineChars="200"/>
        <w:rPr>
          <w:rFonts w:ascii="黑体" w:hAnsi="黑体" w:eastAsia="黑体" w:cs="宋体"/>
          <w:b/>
          <w:bCs/>
          <w:color w:val="auto"/>
          <w:sz w:val="24"/>
        </w:rPr>
      </w:pPr>
      <w:r>
        <w:rPr>
          <w:rFonts w:hint="eastAsia" w:ascii="宋体" w:hAnsi="宋体" w:eastAsia="宋体" w:cs="宋体"/>
          <w:b/>
          <w:bCs/>
          <w:color w:val="auto"/>
          <w:kern w:val="2"/>
          <w:sz w:val="21"/>
          <w:szCs w:val="20"/>
          <w:lang w:val="en-US" w:eastAsia="zh-CN" w:bidi="ar-SA"/>
        </w:rPr>
        <w:t xml:space="preserve">6.转包与分包  </w:t>
      </w:r>
      <w:r>
        <w:rPr>
          <w:rFonts w:hint="eastAsia" w:ascii="黑体" w:hAnsi="黑体" w:eastAsia="黑体" w:cs="宋体"/>
          <w:b/>
          <w:bCs/>
          <w:color w:val="auto"/>
          <w:sz w:val="24"/>
        </w:rPr>
        <w:t xml:space="preserve">           </w:t>
      </w:r>
    </w:p>
    <w:p w14:paraId="3F08C0B2">
      <w:pPr>
        <w:spacing w:line="360" w:lineRule="auto"/>
        <w:ind w:firstLine="420" w:firstLineChars="200"/>
        <w:rPr>
          <w:rFonts w:ascii="宋体" w:hAnsi="宋体" w:cs="宋体"/>
          <w:color w:val="auto"/>
          <w:szCs w:val="21"/>
        </w:rPr>
      </w:pPr>
      <w:r>
        <w:rPr>
          <w:rFonts w:hint="eastAsia" w:ascii="宋体" w:hAnsi="宋体" w:cs="宋体"/>
          <w:color w:val="auto"/>
          <w:szCs w:val="21"/>
        </w:rPr>
        <w:t>6.1本项目不允许转包。</w:t>
      </w:r>
    </w:p>
    <w:p w14:paraId="1EB21EDB">
      <w:pPr>
        <w:spacing w:line="360" w:lineRule="auto"/>
        <w:ind w:firstLine="420" w:firstLineChars="200"/>
        <w:rPr>
          <w:rFonts w:ascii="宋体" w:hAnsi="宋体" w:cs="宋体"/>
          <w:color w:val="auto"/>
          <w:szCs w:val="21"/>
        </w:rPr>
      </w:pPr>
      <w:r>
        <w:rPr>
          <w:rFonts w:hint="eastAsia" w:ascii="宋体" w:hAnsi="宋体" w:cs="宋体"/>
          <w:color w:val="auto"/>
          <w:szCs w:val="21"/>
        </w:rPr>
        <w:t>6.2本项目是否允许分包详见“供应商须知前附表”，本项目不允许违法分包。</w:t>
      </w:r>
    </w:p>
    <w:p w14:paraId="04872DE1">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7.特别说明</w:t>
      </w:r>
    </w:p>
    <w:p w14:paraId="54FBB300">
      <w:pPr>
        <w:spacing w:line="360" w:lineRule="auto"/>
        <w:ind w:firstLine="420" w:firstLineChars="200"/>
        <w:rPr>
          <w:rFonts w:ascii="宋体" w:hAnsi="宋体" w:cs="宋体"/>
          <w:color w:val="auto"/>
          <w:szCs w:val="21"/>
        </w:rPr>
      </w:pPr>
      <w:bookmarkStart w:id="63" w:name="_8.1提供相同品牌产品且通过资格审查、符合性审查的不同投标人参加同一合"/>
      <w:bookmarkEnd w:id="63"/>
      <w:r>
        <w:rPr>
          <w:rFonts w:hint="eastAsia" w:ascii="宋体" w:hAnsi="宋体" w:cs="宋体"/>
          <w:color w:val="auto"/>
          <w:szCs w:val="21"/>
        </w:rPr>
        <w:t>7.</w:t>
      </w:r>
      <w:r>
        <w:rPr>
          <w:rFonts w:ascii="宋体" w:hAnsi="宋体" w:cs="宋体"/>
          <w:color w:val="auto"/>
          <w:szCs w:val="21"/>
        </w:rPr>
        <w:t>1</w:t>
      </w:r>
      <w:r>
        <w:rPr>
          <w:rFonts w:hint="eastAsia" w:ascii="宋体" w:hAnsi="宋体"/>
          <w:color w:val="auto"/>
          <w:szCs w:val="21"/>
        </w:rPr>
        <w:t>如果本磋商文件要求供应商提供资格、信誉、荣誉、业绩与企业认证等材料的，则供应商所提供的以上材料必须为供应商所拥有</w:t>
      </w:r>
      <w:r>
        <w:rPr>
          <w:rFonts w:hint="eastAsia" w:ascii="宋体" w:hAnsi="宋体" w:cs="宋体"/>
          <w:color w:val="auto"/>
          <w:szCs w:val="21"/>
        </w:rPr>
        <w:t>。</w:t>
      </w:r>
    </w:p>
    <w:p w14:paraId="710FACB4">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14:paraId="3D4B0093">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AAC633A">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77A06E1F">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4B1AB0D0">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17767603">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6C0CB397">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185D77D5">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68B5DCC8">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C54B58C">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14:paraId="12AA78A3">
      <w:pPr>
        <w:spacing w:line="360" w:lineRule="auto"/>
        <w:ind w:firstLine="420" w:firstLineChars="200"/>
        <w:rPr>
          <w:rFonts w:ascii="宋体" w:hAnsi="宋体" w:cs="宋体"/>
          <w:color w:val="auto"/>
          <w:szCs w:val="21"/>
        </w:rPr>
      </w:pPr>
      <w:r>
        <w:rPr>
          <w:rFonts w:hint="eastAsia" w:ascii="宋体" w:hAnsi="宋体" w:cs="宋体"/>
          <w:color w:val="auto"/>
          <w:szCs w:val="21"/>
        </w:rPr>
        <w:t>（1）不同供应商的响应文件由同一单位或者个人编制；或者不同供应商报名的IP地址一致的；</w:t>
      </w:r>
    </w:p>
    <w:p w14:paraId="3D3D9FCE">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14:paraId="2670D522">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14:paraId="47997752">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14:paraId="6F8CC44F">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1C543C20">
      <w:pPr>
        <w:tabs>
          <w:tab w:val="left" w:pos="6931"/>
        </w:tabs>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14:paraId="0C424591">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14:paraId="490C2020">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2E1629C7">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312DF9BD">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122A24F0">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4072A353">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59F15753">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7C3B7B14">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3BA6C0A3">
      <w:pPr>
        <w:jc w:val="center"/>
        <w:rPr>
          <w:rFonts w:hint="eastAsia" w:asciiTheme="majorEastAsia" w:hAnsiTheme="majorEastAsia" w:eastAsiaTheme="majorEastAsia" w:cstheme="majorEastAsia"/>
          <w:b/>
          <w:color w:val="auto"/>
          <w:sz w:val="32"/>
          <w:highlight w:val="none"/>
        </w:rPr>
      </w:pPr>
    </w:p>
    <w:p w14:paraId="47452CC5">
      <w:pPr>
        <w:pStyle w:val="15"/>
        <w:spacing w:line="240" w:lineRule="exact"/>
        <w:rPr>
          <w:rFonts w:hint="eastAsia" w:asciiTheme="majorEastAsia" w:hAnsiTheme="majorEastAsia" w:eastAsiaTheme="majorEastAsia" w:cstheme="majorEastAsia"/>
          <w:color w:val="auto"/>
          <w:highlight w:val="none"/>
        </w:rPr>
      </w:pPr>
    </w:p>
    <w:p w14:paraId="043AC21D">
      <w:pPr>
        <w:spacing w:line="360" w:lineRule="auto"/>
        <w:jc w:val="center"/>
        <w:rPr>
          <w:rFonts w:ascii="宋体" w:hAnsi="宋体"/>
          <w:b/>
          <w:bCs/>
          <w:color w:val="auto"/>
          <w:sz w:val="32"/>
          <w:szCs w:val="32"/>
        </w:rPr>
      </w:pPr>
      <w:r>
        <w:rPr>
          <w:rFonts w:hint="eastAsia" w:asciiTheme="majorEastAsia" w:hAnsiTheme="majorEastAsia" w:eastAsiaTheme="majorEastAsia" w:cstheme="majorEastAsia"/>
          <w:b/>
          <w:color w:val="auto"/>
          <w:sz w:val="32"/>
          <w:szCs w:val="32"/>
          <w:highlight w:val="none"/>
        </w:rPr>
        <w:br w:type="page"/>
      </w:r>
      <w:r>
        <w:rPr>
          <w:rFonts w:hint="eastAsia" w:ascii="宋体" w:hAnsi="宋体"/>
          <w:b/>
          <w:bCs/>
          <w:color w:val="auto"/>
          <w:sz w:val="32"/>
          <w:szCs w:val="32"/>
        </w:rPr>
        <w:t>二、磋商文件</w:t>
      </w:r>
    </w:p>
    <w:p w14:paraId="53655B02">
      <w:pPr>
        <w:spacing w:line="360" w:lineRule="auto"/>
        <w:jc w:val="center"/>
        <w:rPr>
          <w:rFonts w:ascii="宋体" w:hAnsi="宋体"/>
          <w:color w:val="auto"/>
          <w:szCs w:val="21"/>
        </w:rPr>
      </w:pPr>
    </w:p>
    <w:p w14:paraId="5A0543E2">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8.磋商文件的构成</w:t>
      </w:r>
    </w:p>
    <w:p w14:paraId="4F833CD0">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（1）竞争性磋商公告；</w:t>
      </w:r>
    </w:p>
    <w:p w14:paraId="60ADC9F2">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14:paraId="6E734A69">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（3）采购需求；</w:t>
      </w:r>
    </w:p>
    <w:p w14:paraId="70833C35">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（4）评审程序、评审方法和评审标准；</w:t>
      </w:r>
    </w:p>
    <w:p w14:paraId="202C172F">
      <w:pPr>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（5）工程量清单及图纸</w:t>
      </w:r>
    </w:p>
    <w:p w14:paraId="41459421">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）响应文件格式；</w:t>
      </w:r>
    </w:p>
    <w:p w14:paraId="525738BE">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）合同文本。</w:t>
      </w:r>
    </w:p>
    <w:p w14:paraId="47AF4C0C">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9.供应商的询问</w:t>
      </w:r>
    </w:p>
    <w:p w14:paraId="5CBA29C0">
      <w:pPr>
        <w:spacing w:line="360" w:lineRule="auto"/>
        <w:ind w:firstLine="420" w:firstLineChars="200"/>
        <w:rPr>
          <w:rFonts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144DB1BD">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10.磋商文件的澄清和修改</w:t>
      </w:r>
    </w:p>
    <w:p w14:paraId="730496FA">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14:paraId="1E8BB591">
      <w:pPr>
        <w:spacing w:line="360" w:lineRule="auto"/>
        <w:rPr>
          <w:rFonts w:ascii="宋体" w:hAnsi="宋体"/>
          <w:color w:val="auto"/>
          <w:szCs w:val="21"/>
        </w:rPr>
      </w:pPr>
    </w:p>
    <w:p w14:paraId="2F63A107">
      <w:pPr>
        <w:spacing w:line="360" w:lineRule="auto"/>
        <w:jc w:val="center"/>
        <w:rPr>
          <w:rFonts w:ascii="宋体" w:hAnsi="宋体"/>
          <w:b/>
          <w:bCs/>
          <w:color w:val="auto"/>
          <w:szCs w:val="21"/>
        </w:rPr>
      </w:pPr>
      <w:r>
        <w:rPr>
          <w:rFonts w:hint="eastAsia" w:ascii="宋体" w:hAnsi="宋体"/>
          <w:b/>
          <w:bCs/>
          <w:color w:val="auto"/>
          <w:sz w:val="32"/>
          <w:szCs w:val="32"/>
        </w:rPr>
        <w:t>三、响应文件的编制</w:t>
      </w:r>
    </w:p>
    <w:p w14:paraId="36EB40BC">
      <w:pPr>
        <w:spacing w:line="360" w:lineRule="auto"/>
        <w:rPr>
          <w:rFonts w:ascii="宋体" w:hAnsi="宋体"/>
          <w:color w:val="auto"/>
          <w:szCs w:val="21"/>
        </w:rPr>
      </w:pPr>
    </w:p>
    <w:p w14:paraId="2F3E33B2">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11.响应文件的编制原则</w:t>
      </w:r>
    </w:p>
    <w:p w14:paraId="2D97C169">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14:paraId="69549D98">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12.响应文件的组成</w:t>
      </w:r>
    </w:p>
    <w:p w14:paraId="469455A7">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w:t>
      </w:r>
      <w:r>
        <w:rPr>
          <w:rFonts w:hint="eastAsia" w:ascii="宋体" w:hAnsi="宋体" w:cs="宋体"/>
          <w:color w:val="auto"/>
          <w:szCs w:val="21"/>
          <w:lang w:eastAsia="zh-CN"/>
        </w:rPr>
        <w:t>文件、</w:t>
      </w:r>
      <w:r>
        <w:rPr>
          <w:rFonts w:hint="eastAsia" w:ascii="宋体" w:hAnsi="宋体" w:cs="宋体"/>
          <w:color w:val="auto"/>
          <w:szCs w:val="21"/>
        </w:rPr>
        <w:t>商务技术文件组成。</w:t>
      </w:r>
    </w:p>
    <w:p w14:paraId="256B1D19">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2.1.1</w:t>
      </w:r>
      <w:r>
        <w:rPr>
          <w:rFonts w:hint="eastAsia" w:ascii="宋体" w:hAnsi="宋体" w:cs="宋体"/>
          <w:color w:val="auto"/>
          <w:szCs w:val="21"/>
        </w:rPr>
        <w:t>资格证明文件：详见须知前附表</w:t>
      </w:r>
    </w:p>
    <w:p w14:paraId="4FFEF6BA">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2.1.2</w:t>
      </w:r>
      <w:r>
        <w:rPr>
          <w:rFonts w:hint="eastAsia" w:ascii="宋体" w:hAnsi="宋体" w:cs="宋体"/>
          <w:color w:val="auto"/>
          <w:szCs w:val="21"/>
        </w:rPr>
        <w:t>报价</w:t>
      </w:r>
      <w:r>
        <w:rPr>
          <w:rFonts w:hint="eastAsia" w:ascii="宋体" w:hAnsi="宋体" w:cs="宋体"/>
          <w:color w:val="auto"/>
          <w:szCs w:val="21"/>
          <w:lang w:eastAsia="zh-CN"/>
        </w:rPr>
        <w:t>文件、</w:t>
      </w:r>
      <w:r>
        <w:rPr>
          <w:rFonts w:hint="eastAsia" w:ascii="宋体" w:hAnsi="宋体" w:cs="宋体"/>
          <w:color w:val="auto"/>
          <w:szCs w:val="21"/>
        </w:rPr>
        <w:t>商务技术文件：详见须知前附表</w:t>
      </w:r>
    </w:p>
    <w:p w14:paraId="7034FA1E">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2</w:t>
      </w:r>
      <w:r>
        <w:rPr>
          <w:rFonts w:hint="eastAsia" w:ascii="宋体" w:hAnsi="宋体" w:cs="宋体"/>
          <w:color w:val="auto"/>
          <w:szCs w:val="21"/>
        </w:rPr>
        <w:t>响应文件电子版：详见须知前附表</w:t>
      </w:r>
    </w:p>
    <w:p w14:paraId="4DC6122E">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13.计量单位</w:t>
      </w:r>
    </w:p>
    <w:p w14:paraId="5328065A">
      <w:pPr>
        <w:spacing w:line="360" w:lineRule="auto"/>
        <w:ind w:firstLine="420" w:firstLineChars="200"/>
        <w:rPr>
          <w:rFonts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14:paraId="02C1BE50">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14.竞标的风险</w:t>
      </w:r>
    </w:p>
    <w:p w14:paraId="0275E6BA">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14:paraId="7A6E5B0C">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15.</w:t>
      </w:r>
      <w:bookmarkStart w:id="64" w:name="_Toc206525693"/>
      <w:bookmarkStart w:id="65" w:name="_Toc185702560"/>
      <w:bookmarkStart w:id="66" w:name="_Toc230578068"/>
      <w:bookmarkStart w:id="67" w:name="_Toc31759"/>
      <w:bookmarkStart w:id="68" w:name="_Toc207770846"/>
      <w:bookmarkStart w:id="69" w:name="_Toc486196150"/>
      <w:bookmarkStart w:id="70" w:name="_Toc239839874"/>
      <w:bookmarkStart w:id="71" w:name="_Toc486922967"/>
      <w:r>
        <w:rPr>
          <w:rFonts w:hint="eastAsia" w:ascii="宋体" w:hAnsi="宋体" w:eastAsia="宋体" w:cs="宋体"/>
          <w:b/>
          <w:bCs/>
          <w:color w:val="auto"/>
          <w:kern w:val="2"/>
          <w:sz w:val="21"/>
          <w:szCs w:val="20"/>
          <w:lang w:val="en-US" w:eastAsia="zh-CN" w:bidi="ar-SA"/>
        </w:rPr>
        <w:t>磋商报价</w:t>
      </w:r>
      <w:bookmarkEnd w:id="64"/>
      <w:bookmarkEnd w:id="65"/>
      <w:bookmarkEnd w:id="66"/>
      <w:bookmarkEnd w:id="67"/>
      <w:bookmarkEnd w:id="68"/>
      <w:bookmarkEnd w:id="69"/>
      <w:bookmarkEnd w:id="70"/>
      <w:bookmarkEnd w:id="71"/>
    </w:p>
    <w:p w14:paraId="0E20B7D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15.1 本项目磋商报价采用</w:t>
      </w:r>
      <w:r>
        <w:rPr>
          <w:rFonts w:hint="eastAsia"/>
          <w:b/>
          <w:bCs/>
          <w:color w:val="auto"/>
          <w:u w:val="single"/>
          <w:lang w:val="en-US" w:eastAsia="zh-CN"/>
        </w:rPr>
        <w:t xml:space="preserve"> 工程量清单 </w:t>
      </w:r>
      <w:r>
        <w:rPr>
          <w:rFonts w:hint="eastAsia"/>
          <w:color w:val="auto"/>
          <w:lang w:val="en-US" w:eastAsia="zh-CN"/>
        </w:rPr>
        <w:t xml:space="preserve">报价。 </w:t>
      </w:r>
    </w:p>
    <w:p w14:paraId="20F8B7C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lang w:val="en-US" w:eastAsia="zh-CN"/>
        </w:rPr>
      </w:pPr>
      <w:r>
        <w:rPr>
          <w:rFonts w:hint="eastAsia"/>
          <w:color w:val="auto"/>
          <w:lang w:val="en-US" w:eastAsia="zh-CN"/>
        </w:rPr>
        <w:t>15.2本项目磋商价格是</w:t>
      </w:r>
      <w:r>
        <w:rPr>
          <w:rFonts w:hint="eastAsia"/>
          <w:b/>
          <w:bCs/>
          <w:color w:val="auto"/>
          <w:u w:val="single"/>
          <w:lang w:val="en-US" w:eastAsia="zh-CN"/>
        </w:rPr>
        <w:t>综合单价</w:t>
      </w:r>
      <w:r>
        <w:rPr>
          <w:rFonts w:hint="eastAsia"/>
          <w:color w:val="auto"/>
          <w:lang w:val="en-US" w:eastAsia="zh-CN"/>
        </w:rPr>
        <w:t xml:space="preserve">。 </w:t>
      </w:r>
    </w:p>
    <w:p w14:paraId="0164D6A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 xml:space="preserve">15.3 供应商的磋商报价须按竞争性磋商文件及澄清答疑中所确认的工程量清单及清单各项的顺序进行报价，否则，将视为实质上不响应竞争性磋商文件的要求。 </w:t>
      </w:r>
    </w:p>
    <w:p w14:paraId="237388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 xml:space="preserve">15.4供应商在进行工程量清单报价时，应按照采购人的工程量清单进行报价。供应商对自己所填写的项目编码、项目名称及项目特征描述、计量单位、工程量负责。评标中，如项目编码、项目名称及项目特征描述、计量单位、工程量中的任何一项与招标工程量清单不一致的，磋商小组要求澄清、说明或补正，但供应商拒绝澄清、说明或补正的，或澄清、说明、补正不符合要求的，视为不响应竞争性磋商文件实质性内容，作废标处理。如是“工程量”与招标工程量不一致的澄清、说明或补正，必须在磋商小组规定的时间内（不超过 1 小时）以工程量清单的形式澄清、说明或补正，并修改磋商总报价，但修改后的总报价不能超过本项目的最高限价，否则磋商无效。 </w:t>
      </w:r>
    </w:p>
    <w:p w14:paraId="30F644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15.6本工程项目可再次报价，供应商的最终报价（可维持首次报价不变）与首次报价不同时，必须以工程量清单报价表的格式编制，不得以总价下浮的方式做最终报价，供应商须提前做好相关准备并按时递交最终报价文件。</w:t>
      </w:r>
    </w:p>
    <w:p w14:paraId="72E6F2D0">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16.竞标有效期</w:t>
      </w:r>
    </w:p>
    <w:p w14:paraId="40137E61">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45A8B197">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7280C3AB">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14:paraId="62911088">
      <w:pPr>
        <w:spacing w:line="360" w:lineRule="auto"/>
        <w:ind w:firstLine="422" w:firstLineChars="200"/>
        <w:rPr>
          <w:rFonts w:hint="eastAsia" w:ascii="宋体" w:hAnsi="宋体" w:eastAsia="宋体" w:cs="宋体"/>
          <w:b/>
          <w:bCs/>
          <w:color w:val="auto"/>
          <w:szCs w:val="21"/>
          <w:lang w:eastAsia="zh-CN"/>
        </w:rPr>
      </w:pPr>
      <w:r>
        <w:rPr>
          <w:rFonts w:hint="eastAsia" w:ascii="宋体" w:hAnsi="宋体" w:eastAsia="宋体" w:cs="宋体"/>
          <w:b/>
          <w:bCs/>
          <w:color w:val="auto"/>
          <w:szCs w:val="21"/>
        </w:rPr>
        <w:t>17.磋商保证金</w:t>
      </w:r>
      <w:r>
        <w:rPr>
          <w:rFonts w:hint="eastAsia" w:ascii="宋体" w:hAnsi="宋体" w:cs="宋体"/>
          <w:b/>
          <w:bCs/>
          <w:color w:val="auto"/>
          <w:szCs w:val="21"/>
          <w:lang w:eastAsia="zh-CN"/>
        </w:rPr>
        <w:t>：无</w:t>
      </w:r>
    </w:p>
    <w:p w14:paraId="1C7E94C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18.响应文件编制的要求</w:t>
      </w:r>
    </w:p>
    <w:p w14:paraId="1C29BCE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89C237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18.2为确保网上操作合法、有效和安全，供应商应当在提交响应文件截止时间前完成在广西政府采购云平台的身份认证，确保在电子竞标过程中能够对相关数据电文进行加密和使用电子签章。</w:t>
      </w:r>
    </w:p>
    <w:p w14:paraId="667D637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18.3响应文件须由供应商在规定位置签字、盖章（具体以供应商须知前附表或响应文件格式规定为准），否则按无效响应处理。</w:t>
      </w:r>
    </w:p>
    <w:p w14:paraId="7F7F7D3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5DC2F2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E6347F">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19.电子备份响应文件</w:t>
      </w:r>
    </w:p>
    <w:p w14:paraId="76A8012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电子备份响应文件是指通过“广西政府采购云电子投标客户端”在线编制生成且后缀名为 “bfbs”的文件，是否接受电子备份响应文件</w:t>
      </w:r>
      <w:r>
        <w:rPr>
          <w:rFonts w:hint="eastAsia" w:ascii="宋体" w:hAnsi="宋体" w:cs="宋体"/>
          <w:color w:val="auto"/>
          <w:szCs w:val="21"/>
          <w:lang w:val="en-US" w:eastAsia="zh-CN"/>
        </w:rPr>
        <w:t>详见</w:t>
      </w:r>
      <w:r>
        <w:rPr>
          <w:rFonts w:hint="eastAsia" w:ascii="宋体" w:hAnsi="宋体" w:eastAsia="宋体" w:cs="宋体"/>
          <w:color w:val="auto"/>
          <w:szCs w:val="21"/>
          <w:lang w:val="en-US" w:eastAsia="zh-CN"/>
        </w:rPr>
        <w:t>“供应商须知前附表”。</w:t>
      </w:r>
    </w:p>
    <w:p w14:paraId="37B43A08">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20.响应文件的</w:t>
      </w:r>
      <w:r>
        <w:rPr>
          <w:rFonts w:hint="eastAsia" w:ascii="宋体" w:hAnsi="宋体" w:eastAsia="宋体" w:cs="宋体"/>
          <w:b/>
          <w:bCs/>
          <w:color w:val="auto"/>
          <w:kern w:val="2"/>
          <w:sz w:val="21"/>
          <w:szCs w:val="20"/>
          <w:lang w:val="en-US" w:eastAsia="zh-CN" w:bidi="ar-SA"/>
        </w:rPr>
        <w:t>提交</w:t>
      </w:r>
    </w:p>
    <w:p w14:paraId="2332C1E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  </w:t>
      </w:r>
    </w:p>
    <w:p w14:paraId="751FFE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20.2未在规定时间内提交或者未按照磋商文件要求加密的电子响应文件，广西政府采购云平台将拒收。</w:t>
      </w:r>
    </w:p>
    <w:p w14:paraId="5136D8BB">
      <w:pPr>
        <w:snapToGrid w:val="0"/>
        <w:spacing w:line="360" w:lineRule="auto"/>
        <w:ind w:firstLine="420"/>
        <w:jc w:val="left"/>
        <w:rPr>
          <w:rFonts w:hint="eastAsia" w:ascii="宋体" w:hAnsi="宋体" w:eastAsia="宋体" w:cs="Times New Roman"/>
          <w:b/>
          <w:bCs w:val="0"/>
          <w:color w:val="auto"/>
          <w:szCs w:val="21"/>
          <w:highlight w:val="none"/>
        </w:rPr>
      </w:pPr>
      <w:r>
        <w:rPr>
          <w:rFonts w:hint="eastAsia" w:ascii="宋体" w:hAnsi="宋体" w:eastAsia="宋体" w:cs="Times New Roman"/>
          <w:b/>
          <w:bCs w:val="0"/>
          <w:color w:val="auto"/>
          <w:szCs w:val="21"/>
          <w:highlight w:val="none"/>
        </w:rPr>
        <w:t>21.首次响应文件的补充、修改与撤回</w:t>
      </w:r>
    </w:p>
    <w:p w14:paraId="19287E5F">
      <w:pPr>
        <w:snapToGrid w:val="0"/>
        <w:spacing w:line="360" w:lineRule="auto"/>
        <w:ind w:firstLine="420"/>
        <w:jc w:val="left"/>
        <w:rPr>
          <w:rFonts w:hint="eastAsia" w:ascii="宋体" w:hAnsi="宋体"/>
          <w:color w:val="auto"/>
          <w:szCs w:val="21"/>
          <w:highlight w:val="none"/>
        </w:rPr>
      </w:pPr>
      <w:bookmarkStart w:id="72" w:name="_Toc254970543"/>
      <w:bookmarkStart w:id="73"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ascii="宋体" w:hAnsi="宋体"/>
          <w:bCs/>
          <w:color w:val="auto"/>
          <w:szCs w:val="21"/>
          <w:highlight w:val="none"/>
          <w:lang w:eastAsia="zh-CN"/>
        </w:rPr>
        <w:t>，在</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s="宋体"/>
          <w:color w:val="auto"/>
          <w:szCs w:val="21"/>
          <w:highlight w:val="none"/>
          <w:lang w:eastAsia="zh-CN"/>
        </w:rPr>
        <w:t>登录</w:t>
      </w:r>
      <w:r>
        <w:rPr>
          <w:rFonts w:hint="eastAsia" w:ascii="宋体" w:hAnsi="宋体"/>
          <w:color w:val="auto"/>
          <w:szCs w:val="21"/>
          <w:highlight w:val="none"/>
        </w:rPr>
        <w:t>广西政府采购云</w:t>
      </w:r>
      <w:r>
        <w:rPr>
          <w:rFonts w:hint="eastAsia" w:ascii="宋体" w:hAnsi="宋体" w:cs="宋体"/>
          <w:color w:val="auto"/>
          <w:kern w:val="0"/>
          <w:szCs w:val="21"/>
          <w:highlight w:val="none"/>
        </w:rPr>
        <w:t>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p>
    <w:bookmarkEnd w:id="72"/>
    <w:bookmarkEnd w:id="73"/>
    <w:p w14:paraId="379BC232">
      <w:pPr>
        <w:pStyle w:val="38"/>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3B7D820">
      <w:pPr>
        <w:snapToGrid w:val="0"/>
        <w:spacing w:line="360" w:lineRule="auto"/>
        <w:ind w:firstLine="420"/>
        <w:jc w:val="left"/>
        <w:rPr>
          <w:rFonts w:hint="eastAsia" w:ascii="宋体" w:hAnsi="宋体" w:eastAsia="宋体" w:cs="Times New Roman"/>
          <w:b/>
          <w:bCs w:val="0"/>
          <w:color w:val="auto"/>
          <w:szCs w:val="21"/>
          <w:highlight w:val="none"/>
        </w:rPr>
      </w:pPr>
      <w:bookmarkStart w:id="74" w:name="_Hlk45702405"/>
      <w:r>
        <w:rPr>
          <w:rFonts w:hint="eastAsia" w:ascii="宋体" w:hAnsi="宋体" w:eastAsia="宋体" w:cs="Times New Roman"/>
          <w:b/>
          <w:bCs w:val="0"/>
          <w:color w:val="auto"/>
          <w:szCs w:val="21"/>
          <w:highlight w:val="none"/>
        </w:rPr>
        <w:t>22.响应文件的退回</w:t>
      </w:r>
    </w:p>
    <w:p w14:paraId="23BA9A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52DBF9A4">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23.截止时间后的撤回</w:t>
      </w:r>
    </w:p>
    <w:p w14:paraId="48E22782">
      <w:pPr>
        <w:spacing w:line="360" w:lineRule="auto"/>
        <w:ind w:firstLine="420" w:firstLineChars="200"/>
        <w:rPr>
          <w:rFonts w:hint="eastAsia" w:ascii="宋体" w:hAnsi="宋体"/>
          <w:b/>
          <w:bCs/>
          <w:color w:val="auto"/>
          <w:sz w:val="32"/>
          <w:szCs w:val="32"/>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74"/>
    </w:p>
    <w:p w14:paraId="1AB3CBA8">
      <w:pPr>
        <w:spacing w:line="360" w:lineRule="auto"/>
        <w:ind w:left="420" w:firstLine="420"/>
        <w:jc w:val="center"/>
        <w:rPr>
          <w:rFonts w:ascii="宋体" w:hAnsi="宋体"/>
          <w:b/>
          <w:bCs/>
          <w:color w:val="auto"/>
          <w:sz w:val="32"/>
          <w:szCs w:val="32"/>
        </w:rPr>
      </w:pPr>
      <w:r>
        <w:rPr>
          <w:rFonts w:hint="eastAsia" w:ascii="宋体" w:hAnsi="宋体"/>
          <w:b/>
          <w:bCs/>
          <w:color w:val="auto"/>
          <w:sz w:val="32"/>
          <w:szCs w:val="32"/>
        </w:rPr>
        <w:t>四、评审及磋商</w:t>
      </w:r>
    </w:p>
    <w:p w14:paraId="4234BBDB">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24.磋商小组成立</w:t>
      </w:r>
    </w:p>
    <w:p w14:paraId="618C73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D8E95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37FE6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B770E27">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25.首次响应文件的开启</w:t>
      </w:r>
    </w:p>
    <w:p w14:paraId="15BEA328">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4699DA0E">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26.评审程序、评审方法和评审标准</w:t>
      </w:r>
    </w:p>
    <w:p w14:paraId="10FD8ACF">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14:paraId="08F7891D">
      <w:pPr>
        <w:spacing w:line="360" w:lineRule="auto"/>
        <w:ind w:firstLine="420" w:firstLineChars="200"/>
        <w:rPr>
          <w:rFonts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p>
    <w:p w14:paraId="1D3C1E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w:t>
      </w:r>
      <w:r>
        <w:rPr>
          <w:rFonts w:hint="eastAsia" w:ascii="宋体" w:hAnsi="宋体"/>
          <w:color w:val="auto"/>
          <w:szCs w:val="21"/>
          <w:highlight w:val="none"/>
          <w:lang w:eastAsia="zh-CN"/>
        </w:rPr>
        <w:t>服务</w:t>
      </w:r>
      <w:r>
        <w:rPr>
          <w:rFonts w:hint="eastAsia" w:ascii="宋体" w:hAnsi="宋体"/>
          <w:color w:val="auto"/>
          <w:szCs w:val="21"/>
          <w:highlight w:val="none"/>
        </w:rPr>
        <w:t>要求允许负偏离的条款数详见“供应商须知前附表”。</w:t>
      </w:r>
    </w:p>
    <w:p w14:paraId="22374BFF">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w:t>
      </w:r>
      <w:r>
        <w:rPr>
          <w:rFonts w:hint="eastAsia" w:ascii="宋体" w:hAnsi="宋体" w:cs="宋体"/>
          <w:color w:val="auto"/>
          <w:highlight w:val="none"/>
          <w:lang w:eastAsia="zh-CN"/>
        </w:rPr>
        <w:t>作出</w:t>
      </w:r>
      <w:r>
        <w:rPr>
          <w:rFonts w:hint="eastAsia" w:ascii="宋体" w:hAnsi="宋体" w:cs="宋体"/>
          <w:color w:val="auto"/>
          <w:highlight w:val="none"/>
        </w:rPr>
        <w:t>结论。持不同意见的磋商小组成员应当在评审报告上签署不同意见并说明理由，否则视为同意。</w:t>
      </w:r>
    </w:p>
    <w:p w14:paraId="7AAFF200">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0EFC700">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412CC90D">
      <w:pPr>
        <w:spacing w:line="360" w:lineRule="auto"/>
        <w:ind w:firstLine="420" w:firstLineChars="200"/>
        <w:rPr>
          <w:rFonts w:hint="eastAsia" w:hAnsi="宋体"/>
          <w:color w:val="auto"/>
          <w:highlight w:val="none"/>
        </w:rPr>
      </w:pPr>
      <w:r>
        <w:rPr>
          <w:rFonts w:hint="eastAsia" w:ascii="宋体" w:hAnsi="宋体"/>
          <w:color w:val="auto"/>
          <w:highlight w:val="none"/>
        </w:rPr>
        <w:t>（2）</w:t>
      </w:r>
      <w:r>
        <w:rPr>
          <w:rFonts w:hint="eastAsia" w:hAnsi="宋体"/>
          <w:color w:val="auto"/>
          <w:highlight w:val="none"/>
        </w:rPr>
        <w:t>电子交易平台应用或数据库出现错误，不能进行正常操作的；</w:t>
      </w:r>
    </w:p>
    <w:p w14:paraId="56B202D8">
      <w:pPr>
        <w:spacing w:line="360" w:lineRule="auto"/>
        <w:ind w:firstLine="420" w:firstLineChars="200"/>
        <w:rPr>
          <w:rFonts w:hint="eastAsia" w:hAnsi="宋体"/>
          <w:color w:val="auto"/>
          <w:highlight w:val="none"/>
        </w:rPr>
      </w:pPr>
      <w:r>
        <w:rPr>
          <w:rFonts w:hint="eastAsia" w:ascii="宋体" w:hAnsi="宋体"/>
          <w:color w:val="auto"/>
          <w:highlight w:val="none"/>
        </w:rPr>
        <w:t>（3）</w:t>
      </w:r>
      <w:r>
        <w:rPr>
          <w:rFonts w:hint="eastAsia" w:hAnsi="宋体"/>
          <w:color w:val="auto"/>
          <w:highlight w:val="none"/>
        </w:rPr>
        <w:t>电子交易平台发现严重安全漏洞，有潜在泄密危险的；</w:t>
      </w:r>
    </w:p>
    <w:p w14:paraId="4183DA41">
      <w:pPr>
        <w:spacing w:line="360" w:lineRule="auto"/>
        <w:ind w:firstLine="420" w:firstLineChars="200"/>
        <w:rPr>
          <w:rFonts w:hint="eastAsia" w:hAnsi="宋体"/>
          <w:color w:val="auto"/>
          <w:highlight w:val="none"/>
        </w:rPr>
      </w:pPr>
      <w:r>
        <w:rPr>
          <w:rFonts w:hint="eastAsia" w:hAnsi="宋体"/>
          <w:color w:val="auto"/>
          <w:highlight w:val="none"/>
        </w:rPr>
        <w:t>（</w:t>
      </w:r>
      <w:r>
        <w:rPr>
          <w:rFonts w:hint="eastAsia" w:ascii="宋体" w:hAnsi="宋体"/>
          <w:color w:val="auto"/>
          <w:highlight w:val="none"/>
        </w:rPr>
        <w:t>4）</w:t>
      </w:r>
      <w:r>
        <w:rPr>
          <w:rFonts w:hint="eastAsia" w:hAnsi="宋体"/>
          <w:color w:val="auto"/>
          <w:highlight w:val="none"/>
        </w:rPr>
        <w:t xml:space="preserve">病毒发作导致不能进行正常操作的； </w:t>
      </w:r>
    </w:p>
    <w:p w14:paraId="6545E2D0">
      <w:pPr>
        <w:spacing w:line="360" w:lineRule="auto"/>
        <w:ind w:firstLine="420" w:firstLineChars="200"/>
        <w:rPr>
          <w:rFonts w:hint="eastAsia" w:hAnsi="宋体"/>
          <w:color w:val="auto"/>
          <w:highlight w:val="none"/>
        </w:rPr>
      </w:pPr>
      <w:r>
        <w:rPr>
          <w:rFonts w:hint="eastAsia" w:ascii="宋体" w:hAnsi="宋体"/>
          <w:color w:val="auto"/>
          <w:highlight w:val="none"/>
        </w:rPr>
        <w:t>（5）</w:t>
      </w:r>
      <w:r>
        <w:rPr>
          <w:rFonts w:hint="eastAsia" w:hAnsi="宋体"/>
          <w:color w:val="auto"/>
          <w:highlight w:val="none"/>
        </w:rPr>
        <w:t>其他无法保证电子交易的公平、公正和安全的情况。</w:t>
      </w:r>
    </w:p>
    <w:p w14:paraId="774ED1F8">
      <w:pPr>
        <w:spacing w:line="360" w:lineRule="auto"/>
        <w:ind w:firstLine="420" w:firstLineChars="200"/>
        <w:rPr>
          <w:color w:val="auto"/>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258757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27.确定成交供应商及结果公告</w:t>
      </w:r>
    </w:p>
    <w:p w14:paraId="12A5F028">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w:t>
      </w:r>
      <w:r>
        <w:rPr>
          <w:rFonts w:hint="eastAsia" w:ascii="宋体" w:hAnsi="宋体" w:cs="宋体"/>
          <w:color w:val="auto"/>
          <w:kern w:val="0"/>
          <w:szCs w:val="21"/>
        </w:rPr>
        <w:t xml:space="preserve"> </w:t>
      </w:r>
      <w:r>
        <w:rPr>
          <w:rFonts w:hint="eastAsia" w:ascii="宋体" w:hAnsi="宋体" w:cs="宋体"/>
          <w:color w:val="auto"/>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D28831C">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w:t>
      </w:r>
    </w:p>
    <w:p w14:paraId="25550305">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7.3</w:t>
      </w:r>
      <w:r>
        <w:rPr>
          <w:rFonts w:hint="eastAsia" w:ascii="宋体" w:hAnsi="宋体" w:cs="宋体"/>
          <w:color w:val="auto"/>
          <w:szCs w:val="21"/>
        </w:rPr>
        <w:t xml:space="preserve">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75E0CBC">
      <w:pPr>
        <w:spacing w:line="360" w:lineRule="auto"/>
        <w:ind w:firstLine="420" w:firstLineChars="200"/>
        <w:rPr>
          <w:rFonts w:ascii="宋体" w:hAnsi="宋体" w:cs="宋体"/>
          <w:color w:val="auto"/>
          <w:szCs w:val="21"/>
        </w:rPr>
      </w:pPr>
      <w:r>
        <w:rPr>
          <w:rFonts w:ascii="宋体" w:hAnsi="宋体"/>
          <w:bCs/>
          <w:color w:val="auto"/>
          <w:szCs w:val="21"/>
        </w:rPr>
        <w:t>27.4</w:t>
      </w:r>
      <w:r>
        <w:rPr>
          <w:rFonts w:hint="eastAsia" w:ascii="宋体" w:hAnsi="宋体"/>
          <w:bCs/>
          <w:color w:val="auto"/>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1055357">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28.履约保证金</w:t>
      </w:r>
    </w:p>
    <w:p w14:paraId="3F012DF0">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.1</w:t>
      </w:r>
      <w:r>
        <w:rPr>
          <w:rFonts w:ascii="宋体" w:hAnsi="宋体" w:cs="宋体"/>
          <w:color w:val="auto"/>
          <w:szCs w:val="21"/>
        </w:rPr>
        <w:t xml:space="preserve"> </w:t>
      </w:r>
      <w:r>
        <w:rPr>
          <w:rFonts w:hint="eastAsia" w:ascii="宋体" w:hAnsi="宋体" w:cs="宋体"/>
          <w:color w:val="auto"/>
          <w:szCs w:val="21"/>
        </w:rPr>
        <w:t>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签订合同，采购人可以按照评审报告推荐的成交候选人名单排序，确定下一候选人为成交供应商，也可以重新开展政府采购活动。</w:t>
      </w:r>
    </w:p>
    <w:p w14:paraId="74C368FA">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.2签订合同后，如成交供应商不按双方签订的合同规定履约，则没收其全部履约保证金，履约保证金不足以赔偿损失的，按实际损失赔偿。</w:t>
      </w:r>
    </w:p>
    <w:p w14:paraId="13C1FE92">
      <w:pPr>
        <w:spacing w:line="360" w:lineRule="auto"/>
        <w:ind w:firstLine="424" w:firstLineChars="202"/>
        <w:rPr>
          <w:rFonts w:hint="eastAsia" w:ascii="宋体" w:hAnsi="宋体" w:eastAsia="宋体" w:cs="宋体"/>
          <w:b/>
          <w:bCs/>
          <w:color w:val="auto"/>
          <w:szCs w:val="21"/>
        </w:rPr>
      </w:pPr>
      <w:r>
        <w:rPr>
          <w:rFonts w:ascii="宋体" w:hAnsi="宋体" w:cs="宋体"/>
          <w:color w:val="auto"/>
          <w:szCs w:val="21"/>
        </w:rPr>
        <w:t>28</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在履约保证金退还日期前，若成交供应商的开户名称、开户银行、</w:t>
      </w:r>
      <w:r>
        <w:rPr>
          <w:rFonts w:hint="eastAsia" w:ascii="宋体" w:hAnsi="宋体" w:cs="宋体"/>
          <w:color w:val="auto"/>
          <w:szCs w:val="21"/>
          <w:lang w:val="en-US" w:eastAsia="zh-CN"/>
        </w:rPr>
        <w:t>账</w:t>
      </w:r>
      <w:r>
        <w:rPr>
          <w:rFonts w:hint="eastAsia" w:ascii="宋体" w:hAnsi="宋体" w:cs="宋体"/>
          <w:color w:val="auto"/>
          <w:szCs w:val="21"/>
        </w:rPr>
        <w:t>号有变动的，请以书面形式通知履约保证金收取单位，否则</w:t>
      </w:r>
      <w:r>
        <w:rPr>
          <w:rFonts w:hint="eastAsia" w:ascii="宋体" w:hAnsi="宋体" w:eastAsia="宋体" w:cs="宋体"/>
          <w:b/>
          <w:bCs/>
          <w:color w:val="auto"/>
          <w:szCs w:val="21"/>
        </w:rPr>
        <w:t>由此产生的后果由成交供应商自行承担。</w:t>
      </w:r>
    </w:p>
    <w:p w14:paraId="3F0DA48E">
      <w:pPr>
        <w:spacing w:line="360" w:lineRule="auto"/>
        <w:ind w:firstLine="426" w:firstLineChars="202"/>
        <w:rPr>
          <w:rFonts w:hint="eastAsia" w:ascii="宋体" w:hAnsi="宋体" w:eastAsia="宋体" w:cs="宋体"/>
          <w:b/>
          <w:bCs/>
          <w:color w:val="auto"/>
          <w:szCs w:val="21"/>
        </w:rPr>
      </w:pPr>
      <w:r>
        <w:rPr>
          <w:rFonts w:hint="eastAsia" w:ascii="宋体" w:hAnsi="宋体" w:eastAsia="宋体" w:cs="宋体"/>
          <w:b/>
          <w:bCs/>
          <w:color w:val="auto"/>
          <w:szCs w:val="21"/>
        </w:rPr>
        <w:t>29.签订合同</w:t>
      </w:r>
    </w:p>
    <w:p w14:paraId="7D4FDED8">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65ACB96D">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0A9DAD9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3F43F005">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w:t>
      </w:r>
      <w:r>
        <w:rPr>
          <w:rFonts w:hint="eastAsia" w:ascii="宋体" w:hAnsi="宋体" w:eastAsia="宋体" w:cs="宋体"/>
          <w:b/>
          <w:bCs/>
          <w:color w:val="auto"/>
          <w:szCs w:val="21"/>
        </w:rPr>
        <w:t>供应商</w:t>
      </w:r>
      <w:r>
        <w:rPr>
          <w:rFonts w:hint="eastAsia" w:ascii="宋体" w:hAnsi="宋体" w:cs="宋体"/>
          <w:color w:val="auto"/>
          <w:szCs w:val="21"/>
          <w:highlight w:val="none"/>
        </w:rPr>
        <w:t>可追究采购人承担相应的法律责任。</w:t>
      </w:r>
    </w:p>
    <w:p w14:paraId="382FBFF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6B6476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1FCDA8F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1EBDACEA">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A92AFBF">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30.政府采购合同公告</w:t>
      </w:r>
    </w:p>
    <w:p w14:paraId="578975BD">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C26186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31. 询问、质疑和投诉</w:t>
      </w:r>
    </w:p>
    <w:p w14:paraId="033EDC9E">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p>
    <w:p w14:paraId="7E132198">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14:paraId="0FE63723">
      <w:pPr>
        <w:spacing w:line="360" w:lineRule="auto"/>
        <w:ind w:firstLine="420" w:firstLineChars="200"/>
        <w:rPr>
          <w:rFonts w:ascii="宋体" w:hAnsi="宋体" w:cs="宋体"/>
          <w:color w:val="auto"/>
        </w:rPr>
      </w:pPr>
      <w:r>
        <w:rPr>
          <w:rFonts w:hint="eastAsia" w:ascii="宋体" w:hAnsi="宋体" w:cs="宋体"/>
          <w:color w:val="auto"/>
        </w:rPr>
        <w:t>（1）对可以质疑的磋商文件提出质疑的，为收到磋商文件之日或者</w:t>
      </w:r>
      <w:r>
        <w:rPr>
          <w:rFonts w:hint="eastAsia" w:ascii="宋体" w:hAnsi="宋体"/>
          <w:color w:val="auto"/>
        </w:rPr>
        <w:t>竞争性磋商公告期限届满之日</w:t>
      </w:r>
      <w:r>
        <w:rPr>
          <w:rFonts w:hint="eastAsia" w:ascii="宋体" w:hAnsi="宋体" w:cs="宋体"/>
          <w:color w:val="auto"/>
        </w:rPr>
        <w:t>；</w:t>
      </w:r>
    </w:p>
    <w:p w14:paraId="6291AF5B">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0EF04C41">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14:paraId="7A4AE8D7">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68017BF">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41D0ACBB">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3B2AEC61">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6533A9AC">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0CCFCBDB">
      <w:pPr>
        <w:spacing w:line="360" w:lineRule="auto"/>
        <w:ind w:firstLine="420" w:firstLineChars="200"/>
        <w:rPr>
          <w:rFonts w:ascii="宋体" w:hAnsi="宋体" w:cs="宋体"/>
          <w:color w:val="auto"/>
        </w:rPr>
      </w:pPr>
      <w:r>
        <w:rPr>
          <w:rFonts w:hint="eastAsia" w:ascii="宋体" w:hAnsi="宋体" w:cs="宋体"/>
          <w:color w:val="auto"/>
        </w:rPr>
        <w:t>（4）事实依据；</w:t>
      </w:r>
    </w:p>
    <w:p w14:paraId="3DB8E806">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7E956BAA">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37133D19">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5DD23489">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6432BF87">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70C073EB">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0DD87422">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43312AD7">
      <w:pPr>
        <w:spacing w:line="360" w:lineRule="auto"/>
        <w:ind w:firstLine="420" w:firstLineChars="200"/>
        <w:rPr>
          <w:rFonts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F726F21">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32.其他内容</w:t>
      </w:r>
    </w:p>
    <w:p w14:paraId="45119390">
      <w:pPr>
        <w:spacing w:line="360" w:lineRule="auto"/>
        <w:ind w:firstLine="420" w:firstLineChars="200"/>
        <w:rPr>
          <w:rFonts w:ascii="宋体" w:hAnsi="宋体" w:cs="宋体"/>
          <w:color w:val="auto"/>
        </w:rPr>
      </w:pPr>
      <w:r>
        <w:rPr>
          <w:rFonts w:ascii="宋体" w:hAnsi="宋体" w:cs="宋体"/>
          <w:color w:val="auto"/>
          <w:szCs w:val="21"/>
        </w:rPr>
        <w:t>32</w:t>
      </w:r>
      <w:r>
        <w:rPr>
          <w:rFonts w:hint="eastAsia" w:ascii="宋体" w:hAnsi="宋体" w:cs="宋体"/>
          <w:color w:val="auto"/>
          <w:szCs w:val="21"/>
        </w:rPr>
        <w:t>.1代理服务收费标准详见“供应商须知前附表”。</w:t>
      </w:r>
    </w:p>
    <w:p w14:paraId="055170B8">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33.需要补充的其他内容</w:t>
      </w:r>
    </w:p>
    <w:p w14:paraId="6427617E">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ascii="宋体" w:hAnsi="宋体" w:cs="宋体"/>
          <w:color w:val="auto"/>
        </w:rPr>
      </w:pPr>
      <w:r>
        <w:rPr>
          <w:rFonts w:hint="eastAsia" w:ascii="宋体" w:hAnsi="宋体" w:cs="宋体"/>
          <w:color w:val="auto"/>
        </w:rPr>
        <w:t>3</w:t>
      </w:r>
      <w:r>
        <w:rPr>
          <w:rFonts w:ascii="宋体" w:hAnsi="宋体" w:cs="宋体"/>
          <w:color w:val="auto"/>
        </w:rPr>
        <w:t>3.1</w:t>
      </w:r>
      <w:r>
        <w:rPr>
          <w:rFonts w:hint="eastAsia" w:ascii="宋体" w:hAnsi="宋体" w:cs="宋体"/>
          <w:color w:val="auto"/>
        </w:rPr>
        <w:t>本磋商文件解释规则详见“供应商须知前附表”。</w:t>
      </w:r>
    </w:p>
    <w:p w14:paraId="1653AB20">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rPr>
      </w:pPr>
      <w:r>
        <w:rPr>
          <w:rFonts w:ascii="宋体" w:hAnsi="宋体" w:cs="宋体"/>
          <w:color w:val="auto"/>
        </w:rPr>
        <w:t>33.2</w:t>
      </w:r>
      <w:r>
        <w:rPr>
          <w:rFonts w:hint="eastAsia" w:ascii="宋体" w:hAnsi="宋体" w:cs="宋体"/>
          <w:color w:val="auto"/>
        </w:rPr>
        <w:t xml:space="preserve"> 其他事项详见“供应商须知前附表”。</w:t>
      </w:r>
    </w:p>
    <w:p w14:paraId="1B8FB98F">
      <w:pPr>
        <w:pStyle w:val="15"/>
        <w:keepNext w:val="0"/>
        <w:keepLines w:val="0"/>
        <w:pageBreakBefore w:val="0"/>
        <w:widowControl w:val="0"/>
        <w:kinsoku/>
        <w:wordWrap/>
        <w:overflowPunct/>
        <w:topLinePunct w:val="0"/>
        <w:autoSpaceDE/>
        <w:autoSpaceDN/>
        <w:bidi w:val="0"/>
        <w:adjustRightInd/>
        <w:snapToGrid/>
        <w:spacing w:line="480" w:lineRule="exact"/>
        <w:ind w:firstLine="420" w:firstLineChars="200"/>
        <w:contextualSpacing/>
        <w:textAlignment w:val="auto"/>
        <w:rPr>
          <w:rFonts w:hint="eastAsia" w:hAnsi="宋体" w:cs="宋体"/>
          <w:color w:val="auto"/>
          <w:sz w:val="21"/>
        </w:rPr>
      </w:pPr>
      <w:r>
        <w:rPr>
          <w:rFonts w:hint="eastAsia" w:hAnsi="宋体" w:cs="宋体"/>
          <w:color w:val="auto"/>
          <w:sz w:val="21"/>
          <w:lang w:val="en-US" w:eastAsia="zh-CN"/>
        </w:rPr>
        <w:t>33</w:t>
      </w:r>
      <w:r>
        <w:rPr>
          <w:rFonts w:hint="eastAsia" w:hAnsi="宋体" w:cs="宋体"/>
          <w:color w:val="auto"/>
          <w:sz w:val="21"/>
        </w:rPr>
        <w:t>.3</w:t>
      </w:r>
      <w:bookmarkStart w:id="75" w:name="_Hlk65857140"/>
      <w:r>
        <w:rPr>
          <w:rFonts w:hint="eastAsia" w:hAnsi="宋体" w:cs="宋体"/>
          <w:color w:val="auto"/>
          <w:sz w:val="21"/>
        </w:rPr>
        <w:t>本</w:t>
      </w:r>
      <w:r>
        <w:rPr>
          <w:rFonts w:hint="eastAsia" w:ascii="宋体" w:hAnsi="宋体" w:cs="宋体"/>
          <w:color w:val="auto"/>
        </w:rPr>
        <w:t>磋商</w:t>
      </w:r>
      <w:r>
        <w:rPr>
          <w:rFonts w:hint="eastAsia" w:hAnsi="宋体" w:cs="宋体"/>
          <w:color w:val="auto"/>
          <w:sz w:val="21"/>
        </w:rPr>
        <w:t>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bookmarkEnd w:id="75"/>
    </w:p>
    <w:p w14:paraId="079CEE48">
      <w:pPr>
        <w:pStyle w:val="21"/>
        <w:rPr>
          <w:rFonts w:hint="eastAsia"/>
          <w:color w:val="auto"/>
        </w:rPr>
      </w:pPr>
      <w:r>
        <w:rPr>
          <w:rFonts w:hAnsi="宋体"/>
          <w:b/>
          <w:color w:val="auto"/>
        </w:rPr>
        <w:br w:type="page"/>
      </w:r>
      <w:bookmarkStart w:id="76" w:name="_Toc30437"/>
      <w:bookmarkStart w:id="77" w:name="_Toc44229895"/>
    </w:p>
    <w:p w14:paraId="6619A920">
      <w:pPr>
        <w:spacing w:line="428" w:lineRule="exact"/>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p w14:paraId="20D1E5B3">
      <w:pPr>
        <w:spacing w:line="4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p w14:paraId="25755A5B">
      <w:pPr>
        <w:pStyle w:val="35"/>
        <w:rPr>
          <w:rFonts w:hint="eastAsia"/>
          <w:color w:val="auto"/>
          <w:lang w:eastAsia="zh-CN"/>
        </w:rPr>
      </w:pPr>
    </w:p>
    <w:tbl>
      <w:tblPr>
        <w:tblStyle w:val="25"/>
        <w:tblW w:w="9338" w:type="dxa"/>
        <w:tblInd w:w="250" w:type="dxa"/>
        <w:tblLayout w:type="fixed"/>
        <w:tblCellMar>
          <w:top w:w="0" w:type="dxa"/>
          <w:left w:w="108" w:type="dxa"/>
          <w:bottom w:w="0" w:type="dxa"/>
          <w:right w:w="108" w:type="dxa"/>
        </w:tblCellMar>
      </w:tblPr>
      <w:tblGrid>
        <w:gridCol w:w="1990"/>
        <w:gridCol w:w="1619"/>
        <w:gridCol w:w="1068"/>
        <w:gridCol w:w="1895"/>
        <w:gridCol w:w="1684"/>
        <w:gridCol w:w="1082"/>
      </w:tblGrid>
      <w:tr w14:paraId="24D3C7B2">
        <w:tblPrEx>
          <w:tblCellMar>
            <w:top w:w="0" w:type="dxa"/>
            <w:left w:w="108" w:type="dxa"/>
            <w:bottom w:w="0" w:type="dxa"/>
            <w:right w:w="108" w:type="dxa"/>
          </w:tblCellMar>
        </w:tblPrEx>
        <w:trPr>
          <w:trHeight w:val="285" w:hRule="atLeast"/>
        </w:trPr>
        <w:tc>
          <w:tcPr>
            <w:tcW w:w="1990" w:type="dxa"/>
            <w:tcBorders>
              <w:top w:val="single" w:color="auto" w:sz="4" w:space="0"/>
              <w:left w:val="single" w:color="auto" w:sz="4" w:space="0"/>
              <w:bottom w:val="single" w:color="auto" w:sz="4" w:space="0"/>
              <w:right w:val="single" w:color="auto" w:sz="4" w:space="0"/>
            </w:tcBorders>
            <w:noWrap w:val="0"/>
            <w:vAlign w:val="center"/>
          </w:tcPr>
          <w:p w14:paraId="67C5505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619" w:type="dxa"/>
            <w:tcBorders>
              <w:top w:val="single" w:color="auto" w:sz="4" w:space="0"/>
              <w:left w:val="nil"/>
              <w:bottom w:val="single" w:color="auto" w:sz="4" w:space="0"/>
              <w:right w:val="single" w:color="auto" w:sz="4" w:space="0"/>
            </w:tcBorders>
            <w:noWrap w:val="0"/>
            <w:vAlign w:val="center"/>
          </w:tcPr>
          <w:p w14:paraId="1C7A7C2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1068" w:type="dxa"/>
            <w:tcBorders>
              <w:top w:val="single" w:color="auto" w:sz="4" w:space="0"/>
              <w:left w:val="nil"/>
              <w:bottom w:val="single" w:color="auto" w:sz="4" w:space="0"/>
              <w:right w:val="single" w:color="auto" w:sz="4" w:space="0"/>
            </w:tcBorders>
            <w:noWrap w:val="0"/>
            <w:vAlign w:val="center"/>
          </w:tcPr>
          <w:p w14:paraId="3113DA3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95" w:type="dxa"/>
            <w:tcBorders>
              <w:top w:val="single" w:color="auto" w:sz="4" w:space="0"/>
              <w:left w:val="nil"/>
              <w:bottom w:val="single" w:color="auto" w:sz="4" w:space="0"/>
              <w:right w:val="single" w:color="auto" w:sz="4" w:space="0"/>
            </w:tcBorders>
            <w:noWrap w:val="0"/>
            <w:vAlign w:val="center"/>
          </w:tcPr>
          <w:p w14:paraId="03722D2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684" w:type="dxa"/>
            <w:tcBorders>
              <w:top w:val="single" w:color="auto" w:sz="4" w:space="0"/>
              <w:left w:val="nil"/>
              <w:bottom w:val="single" w:color="auto" w:sz="4" w:space="0"/>
              <w:right w:val="single" w:color="auto" w:sz="4" w:space="0"/>
            </w:tcBorders>
            <w:noWrap w:val="0"/>
            <w:vAlign w:val="center"/>
          </w:tcPr>
          <w:p w14:paraId="0A8F680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082" w:type="dxa"/>
            <w:tcBorders>
              <w:top w:val="single" w:color="auto" w:sz="4" w:space="0"/>
              <w:left w:val="nil"/>
              <w:bottom w:val="single" w:color="auto" w:sz="4" w:space="0"/>
              <w:right w:val="single" w:color="auto" w:sz="4" w:space="0"/>
            </w:tcBorders>
            <w:noWrap w:val="0"/>
            <w:vAlign w:val="center"/>
          </w:tcPr>
          <w:p w14:paraId="3CF096E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E9A5C27">
        <w:tblPrEx>
          <w:tblCellMar>
            <w:top w:w="0" w:type="dxa"/>
            <w:left w:w="108" w:type="dxa"/>
            <w:bottom w:w="0" w:type="dxa"/>
            <w:right w:w="108" w:type="dxa"/>
          </w:tblCellMar>
        </w:tblPrEx>
        <w:trPr>
          <w:trHeight w:val="225" w:hRule="atLeast"/>
        </w:trPr>
        <w:tc>
          <w:tcPr>
            <w:tcW w:w="1990" w:type="dxa"/>
            <w:tcBorders>
              <w:top w:val="nil"/>
              <w:left w:val="single" w:color="auto" w:sz="4" w:space="0"/>
              <w:bottom w:val="single" w:color="auto" w:sz="4" w:space="0"/>
              <w:right w:val="single" w:color="auto" w:sz="4" w:space="0"/>
            </w:tcBorders>
            <w:noWrap w:val="0"/>
            <w:vAlign w:val="bottom"/>
          </w:tcPr>
          <w:p w14:paraId="24CD220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619" w:type="dxa"/>
            <w:tcBorders>
              <w:top w:val="nil"/>
              <w:left w:val="nil"/>
              <w:bottom w:val="single" w:color="auto" w:sz="4" w:space="0"/>
              <w:right w:val="single" w:color="auto" w:sz="4" w:space="0"/>
            </w:tcBorders>
            <w:noWrap w:val="0"/>
            <w:vAlign w:val="center"/>
          </w:tcPr>
          <w:p w14:paraId="6D0FF2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2A0FBDA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241F2A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84" w:type="dxa"/>
            <w:tcBorders>
              <w:top w:val="nil"/>
              <w:left w:val="nil"/>
              <w:bottom w:val="single" w:color="auto" w:sz="4" w:space="0"/>
              <w:right w:val="single" w:color="auto" w:sz="4" w:space="0"/>
            </w:tcBorders>
            <w:noWrap w:val="0"/>
            <w:vAlign w:val="center"/>
          </w:tcPr>
          <w:p w14:paraId="25427E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082" w:type="dxa"/>
            <w:tcBorders>
              <w:top w:val="nil"/>
              <w:left w:val="nil"/>
              <w:bottom w:val="single" w:color="auto" w:sz="4" w:space="0"/>
              <w:right w:val="single" w:color="auto" w:sz="4" w:space="0"/>
            </w:tcBorders>
            <w:noWrap w:val="0"/>
            <w:vAlign w:val="center"/>
          </w:tcPr>
          <w:p w14:paraId="083353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0B949467">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7EBE49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619" w:type="dxa"/>
            <w:tcBorders>
              <w:top w:val="nil"/>
              <w:left w:val="nil"/>
              <w:bottom w:val="single" w:color="auto" w:sz="4" w:space="0"/>
              <w:right w:val="single" w:color="auto" w:sz="4" w:space="0"/>
            </w:tcBorders>
            <w:noWrap w:val="0"/>
            <w:vAlign w:val="center"/>
          </w:tcPr>
          <w:p w14:paraId="7A2040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3A0493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27C87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53F27B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noWrap w:val="0"/>
            <w:vAlign w:val="center"/>
          </w:tcPr>
          <w:p w14:paraId="18ED99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6A56C8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1EFC11EA">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11AB1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86CFD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3B0322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684" w:type="dxa"/>
            <w:tcBorders>
              <w:top w:val="nil"/>
              <w:left w:val="nil"/>
              <w:bottom w:val="single" w:color="auto" w:sz="4" w:space="0"/>
              <w:right w:val="single" w:color="auto" w:sz="4" w:space="0"/>
            </w:tcBorders>
            <w:noWrap w:val="0"/>
            <w:vAlign w:val="center"/>
          </w:tcPr>
          <w:p w14:paraId="553157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082" w:type="dxa"/>
            <w:tcBorders>
              <w:top w:val="nil"/>
              <w:left w:val="nil"/>
              <w:bottom w:val="single" w:color="auto" w:sz="4" w:space="0"/>
              <w:right w:val="single" w:color="auto" w:sz="4" w:space="0"/>
            </w:tcBorders>
            <w:noWrap w:val="0"/>
            <w:vAlign w:val="center"/>
          </w:tcPr>
          <w:p w14:paraId="492BA0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009DA9CF">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782D13A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619" w:type="dxa"/>
            <w:tcBorders>
              <w:top w:val="nil"/>
              <w:left w:val="nil"/>
              <w:bottom w:val="single" w:color="auto" w:sz="4" w:space="0"/>
              <w:right w:val="single" w:color="auto" w:sz="4" w:space="0"/>
            </w:tcBorders>
            <w:noWrap w:val="0"/>
            <w:vAlign w:val="center"/>
          </w:tcPr>
          <w:p w14:paraId="7E4501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00E7B3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4E1D93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684" w:type="dxa"/>
            <w:tcBorders>
              <w:top w:val="nil"/>
              <w:left w:val="nil"/>
              <w:bottom w:val="single" w:color="auto" w:sz="4" w:space="0"/>
              <w:right w:val="single" w:color="auto" w:sz="4" w:space="0"/>
            </w:tcBorders>
            <w:noWrap w:val="0"/>
            <w:vAlign w:val="center"/>
          </w:tcPr>
          <w:p w14:paraId="32E056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082" w:type="dxa"/>
            <w:tcBorders>
              <w:top w:val="nil"/>
              <w:left w:val="nil"/>
              <w:bottom w:val="single" w:color="auto" w:sz="4" w:space="0"/>
              <w:right w:val="single" w:color="auto" w:sz="4" w:space="0"/>
            </w:tcBorders>
            <w:noWrap w:val="0"/>
            <w:vAlign w:val="center"/>
          </w:tcPr>
          <w:p w14:paraId="51F39C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E9B6DA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602AAA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E95C2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noWrap w:val="0"/>
            <w:vAlign w:val="center"/>
          </w:tcPr>
          <w:p w14:paraId="1B1BC4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6B6D27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684" w:type="dxa"/>
            <w:tcBorders>
              <w:top w:val="nil"/>
              <w:left w:val="nil"/>
              <w:bottom w:val="single" w:color="auto" w:sz="4" w:space="0"/>
              <w:right w:val="single" w:color="auto" w:sz="4" w:space="0"/>
            </w:tcBorders>
            <w:noWrap w:val="0"/>
            <w:vAlign w:val="center"/>
          </w:tcPr>
          <w:p w14:paraId="142B88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082" w:type="dxa"/>
            <w:tcBorders>
              <w:top w:val="nil"/>
              <w:left w:val="nil"/>
              <w:bottom w:val="single" w:color="auto" w:sz="4" w:space="0"/>
              <w:right w:val="single" w:color="auto" w:sz="4" w:space="0"/>
            </w:tcBorders>
            <w:noWrap w:val="0"/>
            <w:vAlign w:val="center"/>
          </w:tcPr>
          <w:p w14:paraId="174F6C8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2D27777">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6F3F0AC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619" w:type="dxa"/>
            <w:tcBorders>
              <w:top w:val="nil"/>
              <w:left w:val="nil"/>
              <w:bottom w:val="single" w:color="auto" w:sz="4" w:space="0"/>
              <w:right w:val="single" w:color="auto" w:sz="4" w:space="0"/>
            </w:tcBorders>
            <w:noWrap w:val="0"/>
            <w:vAlign w:val="center"/>
          </w:tcPr>
          <w:p w14:paraId="7C94554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38FEFE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6FA448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684" w:type="dxa"/>
            <w:tcBorders>
              <w:top w:val="nil"/>
              <w:left w:val="nil"/>
              <w:bottom w:val="single" w:color="auto" w:sz="4" w:space="0"/>
              <w:right w:val="single" w:color="auto" w:sz="4" w:space="0"/>
            </w:tcBorders>
            <w:noWrap w:val="0"/>
            <w:vAlign w:val="center"/>
          </w:tcPr>
          <w:p w14:paraId="7F4C48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082" w:type="dxa"/>
            <w:tcBorders>
              <w:top w:val="nil"/>
              <w:left w:val="nil"/>
              <w:bottom w:val="single" w:color="auto" w:sz="4" w:space="0"/>
              <w:right w:val="single" w:color="auto" w:sz="4" w:space="0"/>
            </w:tcBorders>
            <w:noWrap w:val="0"/>
            <w:vAlign w:val="center"/>
          </w:tcPr>
          <w:p w14:paraId="59C66B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0292B25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4C6A0FD1">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274213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BE0EA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2AB6F9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684" w:type="dxa"/>
            <w:tcBorders>
              <w:top w:val="nil"/>
              <w:left w:val="nil"/>
              <w:bottom w:val="single" w:color="auto" w:sz="4" w:space="0"/>
              <w:right w:val="single" w:color="auto" w:sz="4" w:space="0"/>
            </w:tcBorders>
            <w:noWrap w:val="0"/>
            <w:vAlign w:val="center"/>
          </w:tcPr>
          <w:p w14:paraId="4CF1C3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082" w:type="dxa"/>
            <w:tcBorders>
              <w:top w:val="nil"/>
              <w:left w:val="nil"/>
              <w:bottom w:val="single" w:color="auto" w:sz="4" w:space="0"/>
              <w:right w:val="single" w:color="auto" w:sz="4" w:space="0"/>
            </w:tcBorders>
            <w:noWrap w:val="0"/>
            <w:vAlign w:val="center"/>
          </w:tcPr>
          <w:p w14:paraId="719C58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A4EA425">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41D6DA0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619" w:type="dxa"/>
            <w:tcBorders>
              <w:top w:val="nil"/>
              <w:left w:val="nil"/>
              <w:bottom w:val="single" w:color="auto" w:sz="4" w:space="0"/>
              <w:right w:val="single" w:color="auto" w:sz="4" w:space="0"/>
            </w:tcBorders>
            <w:noWrap w:val="0"/>
            <w:vAlign w:val="center"/>
          </w:tcPr>
          <w:p w14:paraId="1C99D0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4805BC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F2EE1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684" w:type="dxa"/>
            <w:tcBorders>
              <w:top w:val="nil"/>
              <w:left w:val="nil"/>
              <w:bottom w:val="single" w:color="auto" w:sz="4" w:space="0"/>
              <w:right w:val="single" w:color="auto" w:sz="4" w:space="0"/>
            </w:tcBorders>
            <w:noWrap w:val="0"/>
            <w:vAlign w:val="center"/>
          </w:tcPr>
          <w:p w14:paraId="23BC47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082" w:type="dxa"/>
            <w:tcBorders>
              <w:top w:val="nil"/>
              <w:left w:val="nil"/>
              <w:bottom w:val="single" w:color="auto" w:sz="4" w:space="0"/>
              <w:right w:val="single" w:color="auto" w:sz="4" w:space="0"/>
            </w:tcBorders>
            <w:noWrap w:val="0"/>
            <w:vAlign w:val="center"/>
          </w:tcPr>
          <w:p w14:paraId="5FAD8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5FBAB96">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6451BE3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96AC2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4FC03A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350C4E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84" w:type="dxa"/>
            <w:tcBorders>
              <w:top w:val="nil"/>
              <w:left w:val="nil"/>
              <w:bottom w:val="single" w:color="auto" w:sz="4" w:space="0"/>
              <w:right w:val="single" w:color="auto" w:sz="4" w:space="0"/>
            </w:tcBorders>
            <w:noWrap w:val="0"/>
            <w:vAlign w:val="center"/>
          </w:tcPr>
          <w:p w14:paraId="7A9D0F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082" w:type="dxa"/>
            <w:tcBorders>
              <w:top w:val="nil"/>
              <w:left w:val="nil"/>
              <w:bottom w:val="single" w:color="auto" w:sz="4" w:space="0"/>
              <w:right w:val="single" w:color="auto" w:sz="4" w:space="0"/>
            </w:tcBorders>
            <w:noWrap w:val="0"/>
            <w:vAlign w:val="center"/>
          </w:tcPr>
          <w:p w14:paraId="31F617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91D9B98">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034B457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619" w:type="dxa"/>
            <w:tcBorders>
              <w:top w:val="nil"/>
              <w:left w:val="nil"/>
              <w:bottom w:val="single" w:color="auto" w:sz="4" w:space="0"/>
              <w:right w:val="single" w:color="auto" w:sz="4" w:space="0"/>
            </w:tcBorders>
            <w:noWrap w:val="0"/>
            <w:vAlign w:val="center"/>
          </w:tcPr>
          <w:p w14:paraId="375CBA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3E65E5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31E0D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09ACA7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noWrap w:val="0"/>
            <w:vAlign w:val="center"/>
          </w:tcPr>
          <w:p w14:paraId="445976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AF79E45">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B0B2D44">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C5762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000B0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67EE44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684" w:type="dxa"/>
            <w:tcBorders>
              <w:top w:val="nil"/>
              <w:left w:val="nil"/>
              <w:bottom w:val="single" w:color="auto" w:sz="4" w:space="0"/>
              <w:right w:val="single" w:color="auto" w:sz="4" w:space="0"/>
            </w:tcBorders>
            <w:noWrap w:val="0"/>
            <w:vAlign w:val="center"/>
          </w:tcPr>
          <w:p w14:paraId="396F76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082" w:type="dxa"/>
            <w:tcBorders>
              <w:top w:val="nil"/>
              <w:left w:val="nil"/>
              <w:bottom w:val="single" w:color="auto" w:sz="4" w:space="0"/>
              <w:right w:val="single" w:color="auto" w:sz="4" w:space="0"/>
            </w:tcBorders>
            <w:noWrap w:val="0"/>
            <w:vAlign w:val="center"/>
          </w:tcPr>
          <w:p w14:paraId="7C6B2F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4343D3D2">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116F0BD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619" w:type="dxa"/>
            <w:tcBorders>
              <w:top w:val="nil"/>
              <w:left w:val="nil"/>
              <w:bottom w:val="single" w:color="auto" w:sz="4" w:space="0"/>
              <w:right w:val="single" w:color="auto" w:sz="4" w:space="0"/>
            </w:tcBorders>
            <w:noWrap w:val="0"/>
            <w:vAlign w:val="center"/>
          </w:tcPr>
          <w:p w14:paraId="30BDAF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41A33F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7436E2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684" w:type="dxa"/>
            <w:tcBorders>
              <w:top w:val="nil"/>
              <w:left w:val="nil"/>
              <w:bottom w:val="single" w:color="auto" w:sz="4" w:space="0"/>
              <w:right w:val="single" w:color="auto" w:sz="4" w:space="0"/>
            </w:tcBorders>
            <w:noWrap w:val="0"/>
            <w:vAlign w:val="center"/>
          </w:tcPr>
          <w:p w14:paraId="1BB836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082" w:type="dxa"/>
            <w:tcBorders>
              <w:top w:val="nil"/>
              <w:left w:val="nil"/>
              <w:bottom w:val="single" w:color="auto" w:sz="4" w:space="0"/>
              <w:right w:val="single" w:color="auto" w:sz="4" w:space="0"/>
            </w:tcBorders>
            <w:noWrap w:val="0"/>
            <w:vAlign w:val="center"/>
          </w:tcPr>
          <w:p w14:paraId="55C225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1A87BA2">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5D2CC9BD">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3DF0BB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40AE52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02E369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684" w:type="dxa"/>
            <w:tcBorders>
              <w:top w:val="nil"/>
              <w:left w:val="nil"/>
              <w:bottom w:val="single" w:color="auto" w:sz="4" w:space="0"/>
              <w:right w:val="single" w:color="auto" w:sz="4" w:space="0"/>
            </w:tcBorders>
            <w:noWrap w:val="0"/>
            <w:vAlign w:val="center"/>
          </w:tcPr>
          <w:p w14:paraId="4AF4D8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82" w:type="dxa"/>
            <w:tcBorders>
              <w:top w:val="nil"/>
              <w:left w:val="nil"/>
              <w:bottom w:val="single" w:color="auto" w:sz="4" w:space="0"/>
              <w:right w:val="single" w:color="auto" w:sz="4" w:space="0"/>
            </w:tcBorders>
            <w:noWrap w:val="0"/>
            <w:vAlign w:val="center"/>
          </w:tcPr>
          <w:p w14:paraId="71FE0A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CC308B5">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0746BD6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619" w:type="dxa"/>
            <w:tcBorders>
              <w:top w:val="nil"/>
              <w:left w:val="nil"/>
              <w:bottom w:val="single" w:color="auto" w:sz="4" w:space="0"/>
              <w:right w:val="single" w:color="auto" w:sz="4" w:space="0"/>
            </w:tcBorders>
            <w:noWrap w:val="0"/>
            <w:vAlign w:val="center"/>
          </w:tcPr>
          <w:p w14:paraId="3171EA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192DC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58E91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50ADA6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noWrap w:val="0"/>
            <w:vAlign w:val="center"/>
          </w:tcPr>
          <w:p w14:paraId="6E7B38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D0F00E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6C1E4B07">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684C62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0B7E52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3F585D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684" w:type="dxa"/>
            <w:tcBorders>
              <w:top w:val="nil"/>
              <w:left w:val="nil"/>
              <w:bottom w:val="single" w:color="auto" w:sz="4" w:space="0"/>
              <w:right w:val="single" w:color="auto" w:sz="4" w:space="0"/>
            </w:tcBorders>
            <w:noWrap w:val="0"/>
            <w:vAlign w:val="center"/>
          </w:tcPr>
          <w:p w14:paraId="367D8C2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noWrap w:val="0"/>
            <w:vAlign w:val="center"/>
          </w:tcPr>
          <w:p w14:paraId="2C302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9A31912">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3F62111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619" w:type="dxa"/>
            <w:tcBorders>
              <w:top w:val="nil"/>
              <w:left w:val="nil"/>
              <w:bottom w:val="single" w:color="auto" w:sz="4" w:space="0"/>
              <w:right w:val="single" w:color="auto" w:sz="4" w:space="0"/>
            </w:tcBorders>
            <w:noWrap w:val="0"/>
            <w:vAlign w:val="center"/>
          </w:tcPr>
          <w:p w14:paraId="07119C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23439B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E650B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50D197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494525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F65912E">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51D258FC">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11D005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FC145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43836A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84" w:type="dxa"/>
            <w:tcBorders>
              <w:top w:val="nil"/>
              <w:left w:val="nil"/>
              <w:bottom w:val="single" w:color="auto" w:sz="4" w:space="0"/>
              <w:right w:val="single" w:color="auto" w:sz="4" w:space="0"/>
            </w:tcBorders>
            <w:noWrap w:val="0"/>
            <w:vAlign w:val="center"/>
          </w:tcPr>
          <w:p w14:paraId="39290D4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noWrap w:val="0"/>
            <w:vAlign w:val="center"/>
          </w:tcPr>
          <w:p w14:paraId="53798E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E4BCB09">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6948FDB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619" w:type="dxa"/>
            <w:tcBorders>
              <w:top w:val="nil"/>
              <w:left w:val="nil"/>
              <w:bottom w:val="single" w:color="auto" w:sz="4" w:space="0"/>
              <w:right w:val="single" w:color="auto" w:sz="4" w:space="0"/>
            </w:tcBorders>
            <w:noWrap w:val="0"/>
            <w:vAlign w:val="center"/>
          </w:tcPr>
          <w:p w14:paraId="6F99BE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6D27E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7277E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0B88DE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6B6D8F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9B53B04">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501E546">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124377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490A0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0D3AE4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84" w:type="dxa"/>
            <w:tcBorders>
              <w:top w:val="nil"/>
              <w:left w:val="nil"/>
              <w:bottom w:val="single" w:color="auto" w:sz="4" w:space="0"/>
              <w:right w:val="single" w:color="auto" w:sz="4" w:space="0"/>
            </w:tcBorders>
            <w:noWrap w:val="0"/>
            <w:vAlign w:val="center"/>
          </w:tcPr>
          <w:p w14:paraId="785256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noWrap w:val="0"/>
            <w:vAlign w:val="center"/>
          </w:tcPr>
          <w:p w14:paraId="642803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A3CDCAB">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103306A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619" w:type="dxa"/>
            <w:tcBorders>
              <w:top w:val="nil"/>
              <w:left w:val="nil"/>
              <w:bottom w:val="single" w:color="auto" w:sz="4" w:space="0"/>
              <w:right w:val="single" w:color="auto" w:sz="4" w:space="0"/>
            </w:tcBorders>
            <w:noWrap w:val="0"/>
            <w:vAlign w:val="center"/>
          </w:tcPr>
          <w:p w14:paraId="6CB17C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852F9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31CF3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684" w:type="dxa"/>
            <w:tcBorders>
              <w:top w:val="nil"/>
              <w:left w:val="nil"/>
              <w:bottom w:val="single" w:color="auto" w:sz="4" w:space="0"/>
              <w:right w:val="single" w:color="auto" w:sz="4" w:space="0"/>
            </w:tcBorders>
            <w:noWrap w:val="0"/>
            <w:vAlign w:val="center"/>
          </w:tcPr>
          <w:p w14:paraId="60B381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0F6DD7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ABC5E56">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7FD0F444">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2D9BD4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E6F16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78EBBC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684" w:type="dxa"/>
            <w:tcBorders>
              <w:top w:val="nil"/>
              <w:left w:val="nil"/>
              <w:bottom w:val="single" w:color="auto" w:sz="4" w:space="0"/>
              <w:right w:val="single" w:color="auto" w:sz="4" w:space="0"/>
            </w:tcBorders>
            <w:noWrap w:val="0"/>
            <w:vAlign w:val="center"/>
          </w:tcPr>
          <w:p w14:paraId="3A6E95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82" w:type="dxa"/>
            <w:tcBorders>
              <w:top w:val="nil"/>
              <w:left w:val="nil"/>
              <w:bottom w:val="single" w:color="auto" w:sz="4" w:space="0"/>
              <w:right w:val="single" w:color="auto" w:sz="4" w:space="0"/>
            </w:tcBorders>
            <w:noWrap w:val="0"/>
            <w:vAlign w:val="center"/>
          </w:tcPr>
          <w:p w14:paraId="460C5E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273EA83">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048D414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619" w:type="dxa"/>
            <w:tcBorders>
              <w:top w:val="nil"/>
              <w:left w:val="nil"/>
              <w:bottom w:val="single" w:color="auto" w:sz="4" w:space="0"/>
              <w:right w:val="single" w:color="auto" w:sz="4" w:space="0"/>
            </w:tcBorders>
            <w:noWrap w:val="0"/>
            <w:vAlign w:val="center"/>
          </w:tcPr>
          <w:p w14:paraId="24A463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768D38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667E8A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17CACA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49BAA0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DAFF659">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7790C4F">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1B88AF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2B2D60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2D14BB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684" w:type="dxa"/>
            <w:tcBorders>
              <w:top w:val="nil"/>
              <w:left w:val="nil"/>
              <w:bottom w:val="single" w:color="auto" w:sz="4" w:space="0"/>
              <w:right w:val="single" w:color="auto" w:sz="4" w:space="0"/>
            </w:tcBorders>
            <w:noWrap w:val="0"/>
            <w:vAlign w:val="center"/>
          </w:tcPr>
          <w:p w14:paraId="7674AA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082" w:type="dxa"/>
            <w:tcBorders>
              <w:top w:val="nil"/>
              <w:left w:val="nil"/>
              <w:bottom w:val="single" w:color="auto" w:sz="4" w:space="0"/>
              <w:right w:val="single" w:color="auto" w:sz="4" w:space="0"/>
            </w:tcBorders>
            <w:noWrap w:val="0"/>
            <w:vAlign w:val="center"/>
          </w:tcPr>
          <w:p w14:paraId="608D8A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1E345A9">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7526504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619" w:type="dxa"/>
            <w:tcBorders>
              <w:top w:val="nil"/>
              <w:left w:val="nil"/>
              <w:bottom w:val="single" w:color="auto" w:sz="4" w:space="0"/>
              <w:right w:val="single" w:color="auto" w:sz="4" w:space="0"/>
            </w:tcBorders>
            <w:noWrap w:val="0"/>
            <w:vAlign w:val="center"/>
          </w:tcPr>
          <w:p w14:paraId="763846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1FE23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55C746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684" w:type="dxa"/>
            <w:tcBorders>
              <w:top w:val="nil"/>
              <w:left w:val="nil"/>
              <w:bottom w:val="single" w:color="auto" w:sz="4" w:space="0"/>
              <w:right w:val="single" w:color="auto" w:sz="4" w:space="0"/>
            </w:tcBorders>
            <w:noWrap w:val="0"/>
            <w:vAlign w:val="center"/>
          </w:tcPr>
          <w:p w14:paraId="5F7909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082" w:type="dxa"/>
            <w:tcBorders>
              <w:top w:val="nil"/>
              <w:left w:val="nil"/>
              <w:bottom w:val="single" w:color="auto" w:sz="4" w:space="0"/>
              <w:right w:val="single" w:color="auto" w:sz="4" w:space="0"/>
            </w:tcBorders>
            <w:noWrap w:val="0"/>
            <w:vAlign w:val="center"/>
          </w:tcPr>
          <w:p w14:paraId="49C507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54BE05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1163FEAC">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08ABFC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noWrap w:val="0"/>
            <w:vAlign w:val="center"/>
          </w:tcPr>
          <w:p w14:paraId="6FE0AC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1D00FF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684" w:type="dxa"/>
            <w:tcBorders>
              <w:top w:val="nil"/>
              <w:left w:val="nil"/>
              <w:bottom w:val="single" w:color="auto" w:sz="4" w:space="0"/>
              <w:right w:val="single" w:color="auto" w:sz="4" w:space="0"/>
            </w:tcBorders>
            <w:noWrap w:val="0"/>
            <w:vAlign w:val="center"/>
          </w:tcPr>
          <w:p w14:paraId="08561B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082" w:type="dxa"/>
            <w:tcBorders>
              <w:top w:val="nil"/>
              <w:left w:val="nil"/>
              <w:bottom w:val="single" w:color="auto" w:sz="4" w:space="0"/>
              <w:right w:val="single" w:color="auto" w:sz="4" w:space="0"/>
            </w:tcBorders>
            <w:noWrap w:val="0"/>
            <w:vAlign w:val="center"/>
          </w:tcPr>
          <w:p w14:paraId="76A464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477D8F74">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1A6C18E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619" w:type="dxa"/>
            <w:tcBorders>
              <w:top w:val="nil"/>
              <w:left w:val="nil"/>
              <w:bottom w:val="single" w:color="auto" w:sz="4" w:space="0"/>
              <w:right w:val="single" w:color="auto" w:sz="4" w:space="0"/>
            </w:tcBorders>
            <w:noWrap w:val="0"/>
            <w:vAlign w:val="center"/>
          </w:tcPr>
          <w:p w14:paraId="06CC43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60165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74EBAB1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5BB1C0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082" w:type="dxa"/>
            <w:tcBorders>
              <w:top w:val="nil"/>
              <w:left w:val="nil"/>
              <w:bottom w:val="single" w:color="auto" w:sz="4" w:space="0"/>
              <w:right w:val="single" w:color="auto" w:sz="4" w:space="0"/>
            </w:tcBorders>
            <w:noWrap w:val="0"/>
            <w:vAlign w:val="center"/>
          </w:tcPr>
          <w:p w14:paraId="0AA22D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071D67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45AA8FB7">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0AA9C4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F6EBC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70189B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684" w:type="dxa"/>
            <w:tcBorders>
              <w:top w:val="nil"/>
              <w:left w:val="nil"/>
              <w:bottom w:val="single" w:color="auto" w:sz="4" w:space="0"/>
              <w:right w:val="single" w:color="auto" w:sz="4" w:space="0"/>
            </w:tcBorders>
            <w:noWrap w:val="0"/>
            <w:vAlign w:val="center"/>
          </w:tcPr>
          <w:p w14:paraId="68FECA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082" w:type="dxa"/>
            <w:tcBorders>
              <w:top w:val="nil"/>
              <w:left w:val="nil"/>
              <w:bottom w:val="single" w:color="auto" w:sz="4" w:space="0"/>
              <w:right w:val="single" w:color="auto" w:sz="4" w:space="0"/>
            </w:tcBorders>
            <w:noWrap w:val="0"/>
            <w:vAlign w:val="center"/>
          </w:tcPr>
          <w:p w14:paraId="10F788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2A1CD6BA">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5D9E626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619" w:type="dxa"/>
            <w:tcBorders>
              <w:top w:val="nil"/>
              <w:left w:val="nil"/>
              <w:bottom w:val="single" w:color="auto" w:sz="4" w:space="0"/>
              <w:right w:val="single" w:color="auto" w:sz="4" w:space="0"/>
            </w:tcBorders>
            <w:noWrap w:val="0"/>
            <w:vAlign w:val="center"/>
          </w:tcPr>
          <w:p w14:paraId="2A5889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75BF0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66155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22713F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5A59CD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1D74A4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304FB4F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5EEFB1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noWrap w:val="0"/>
            <w:vAlign w:val="center"/>
          </w:tcPr>
          <w:p w14:paraId="79FB60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591AF0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684" w:type="dxa"/>
            <w:tcBorders>
              <w:top w:val="nil"/>
              <w:left w:val="nil"/>
              <w:bottom w:val="single" w:color="auto" w:sz="4" w:space="0"/>
              <w:right w:val="single" w:color="auto" w:sz="4" w:space="0"/>
            </w:tcBorders>
            <w:noWrap w:val="0"/>
            <w:vAlign w:val="center"/>
          </w:tcPr>
          <w:p w14:paraId="6EAF81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082" w:type="dxa"/>
            <w:tcBorders>
              <w:top w:val="nil"/>
              <w:left w:val="nil"/>
              <w:bottom w:val="single" w:color="auto" w:sz="4" w:space="0"/>
              <w:right w:val="single" w:color="auto" w:sz="4" w:space="0"/>
            </w:tcBorders>
            <w:noWrap w:val="0"/>
            <w:vAlign w:val="center"/>
          </w:tcPr>
          <w:p w14:paraId="4B38B9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B54510F">
        <w:tblPrEx>
          <w:tblCellMar>
            <w:top w:w="0" w:type="dxa"/>
            <w:left w:w="108" w:type="dxa"/>
            <w:bottom w:w="0" w:type="dxa"/>
            <w:right w:w="108" w:type="dxa"/>
          </w:tblCellMar>
        </w:tblPrEx>
        <w:trPr>
          <w:trHeight w:val="225" w:hRule="atLeast"/>
        </w:trPr>
        <w:tc>
          <w:tcPr>
            <w:tcW w:w="1990" w:type="dxa"/>
            <w:tcBorders>
              <w:top w:val="nil"/>
              <w:left w:val="single" w:color="auto" w:sz="4" w:space="0"/>
              <w:bottom w:val="single" w:color="auto" w:sz="4" w:space="0"/>
              <w:right w:val="single" w:color="auto" w:sz="4" w:space="0"/>
            </w:tcBorders>
            <w:noWrap w:val="0"/>
            <w:vAlign w:val="bottom"/>
          </w:tcPr>
          <w:p w14:paraId="56CC5C2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619" w:type="dxa"/>
            <w:tcBorders>
              <w:top w:val="nil"/>
              <w:left w:val="nil"/>
              <w:bottom w:val="single" w:color="auto" w:sz="4" w:space="0"/>
              <w:right w:val="single" w:color="auto" w:sz="4" w:space="0"/>
            </w:tcBorders>
            <w:noWrap w:val="0"/>
            <w:vAlign w:val="center"/>
          </w:tcPr>
          <w:p w14:paraId="0556A4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8E428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15881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041AC9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2AE991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51150045">
      <w:pPr>
        <w:rPr>
          <w:rFonts w:hint="eastAsia" w:ascii="宋体" w:hAnsi="宋体" w:cs="宋体"/>
          <w:color w:val="auto"/>
          <w:lang w:eastAsia="zh-CN"/>
        </w:rPr>
      </w:pPr>
    </w:p>
    <w:p w14:paraId="61796CEE">
      <w:pPr>
        <w:pStyle w:val="17"/>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说明：</w:t>
      </w:r>
    </w:p>
    <w:p w14:paraId="143CF621">
      <w:pPr>
        <w:pStyle w:val="17"/>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上述标准参照《关于印发中小企业划型标准规定的通知》（工信部联企业【2011】300 号），中型和小型企业必须同时满足所列指标的下限，否则下划一档；微型企业只须满足所列指标中的一项即可。</w:t>
      </w:r>
    </w:p>
    <w:p w14:paraId="009A8CE1">
      <w:pPr>
        <w:numPr>
          <w:ilvl w:val="0"/>
          <w:numId w:val="0"/>
        </w:numPr>
        <w:spacing w:line="360" w:lineRule="auto"/>
        <w:jc w:val="center"/>
        <w:outlineLvl w:val="0"/>
        <w:rPr>
          <w:rFonts w:hint="eastAsia" w:ascii="宋体" w:hAnsi="宋体"/>
          <w:b/>
          <w:bCs/>
          <w:color w:val="auto"/>
          <w:sz w:val="32"/>
          <w:szCs w:val="32"/>
          <w:lang w:val="en-US" w:eastAsia="zh-CN"/>
        </w:rPr>
      </w:pPr>
    </w:p>
    <w:p w14:paraId="2050E9D4">
      <w:pPr>
        <w:numPr>
          <w:ilvl w:val="0"/>
          <w:numId w:val="0"/>
        </w:numPr>
        <w:spacing w:line="360" w:lineRule="auto"/>
        <w:jc w:val="center"/>
        <w:outlineLvl w:val="0"/>
        <w:rPr>
          <w:rFonts w:hint="eastAsia" w:ascii="宋体" w:hAnsi="宋体"/>
          <w:b/>
          <w:bCs/>
          <w:color w:val="auto"/>
          <w:sz w:val="32"/>
          <w:szCs w:val="32"/>
          <w:lang w:val="en-US" w:eastAsia="zh-CN"/>
        </w:rPr>
      </w:pPr>
    </w:p>
    <w:p w14:paraId="6B461578">
      <w:pPr>
        <w:pStyle w:val="34"/>
        <w:rPr>
          <w:rFonts w:hint="eastAsia"/>
          <w:color w:val="auto"/>
          <w:lang w:val="en-US" w:eastAsia="zh-CN"/>
        </w:rPr>
      </w:pPr>
    </w:p>
    <w:p w14:paraId="28018E25">
      <w:pPr>
        <w:numPr>
          <w:ilvl w:val="0"/>
          <w:numId w:val="0"/>
        </w:numPr>
        <w:spacing w:line="360" w:lineRule="auto"/>
        <w:jc w:val="center"/>
        <w:outlineLvl w:val="0"/>
        <w:rPr>
          <w:rFonts w:hint="eastAsia" w:ascii="宋体" w:hAnsi="宋体"/>
          <w:b/>
          <w:bCs/>
          <w:color w:val="auto"/>
          <w:sz w:val="32"/>
          <w:szCs w:val="32"/>
          <w:lang w:val="en-US" w:eastAsia="zh-CN"/>
        </w:rPr>
      </w:pPr>
      <w:bookmarkStart w:id="78" w:name="_Toc10843"/>
      <w:r>
        <w:rPr>
          <w:rFonts w:hint="eastAsia" w:ascii="宋体" w:hAnsi="宋体"/>
          <w:b/>
          <w:bCs/>
          <w:color w:val="auto"/>
          <w:sz w:val="32"/>
          <w:szCs w:val="32"/>
          <w:lang w:val="en-US" w:eastAsia="zh-CN"/>
        </w:rPr>
        <w:t>第三章采购需求</w:t>
      </w:r>
      <w:bookmarkEnd w:id="76"/>
      <w:bookmarkEnd w:id="77"/>
      <w:bookmarkEnd w:id="78"/>
    </w:p>
    <w:p w14:paraId="79562DBF">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 为落实政府采购政策需满足的要求</w:t>
      </w:r>
    </w:p>
    <w:p w14:paraId="1E06EC4F">
      <w:pPr>
        <w:keepNext w:val="0"/>
        <w:keepLines w:val="0"/>
        <w:pageBreakBefore w:val="0"/>
        <w:widowControl w:val="0"/>
        <w:kinsoku/>
        <w:wordWrap/>
        <w:overflowPunct/>
        <w:topLinePunct w:val="0"/>
        <w:autoSpaceDE/>
        <w:autoSpaceDN/>
        <w:bidi w:val="0"/>
        <w:adjustRightInd/>
        <w:snapToGrid/>
        <w:spacing w:after="0" w:line="360" w:lineRule="auto"/>
        <w:ind w:firstLine="424" w:firstLineChars="202"/>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本竞争性</w:t>
      </w:r>
      <w:r>
        <w:rPr>
          <w:rFonts w:hint="eastAsia" w:ascii="宋体" w:hAnsi="宋体" w:eastAsia="宋体" w:cs="宋体"/>
          <w:color w:val="auto"/>
          <w:sz w:val="21"/>
          <w:szCs w:val="21"/>
          <w:lang w:val="en-US" w:eastAsia="zh-CN"/>
        </w:rPr>
        <w:t>磋商</w:t>
      </w:r>
      <w:r>
        <w:rPr>
          <w:rFonts w:hint="eastAsia" w:ascii="宋体" w:hAnsi="宋体" w:eastAsia="宋体" w:cs="宋体"/>
          <w:color w:val="auto"/>
          <w:sz w:val="21"/>
          <w:szCs w:val="21"/>
        </w:rPr>
        <w:t>采购文件所称中小企业必须符合《政府采购促进中小企业发展管理办法》（财库〔2020〕46号）的规定。</w:t>
      </w:r>
    </w:p>
    <w:p w14:paraId="578C88AF">
      <w:pPr>
        <w:keepNext w:val="0"/>
        <w:keepLines w:val="0"/>
        <w:pageBreakBefore w:val="0"/>
        <w:widowControl w:val="0"/>
        <w:kinsoku/>
        <w:wordWrap/>
        <w:overflowPunct/>
        <w:topLinePunct w:val="0"/>
        <w:autoSpaceDE/>
        <w:autoSpaceDN/>
        <w:bidi w:val="0"/>
        <w:adjustRightInd/>
        <w:snapToGrid/>
        <w:spacing w:after="0" w:line="360" w:lineRule="auto"/>
        <w:ind w:firstLine="424" w:firstLineChars="202"/>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 “实质性要求”是指采购需求中带“▲”的条款或者不能负偏离的条款或者已经指明不满足按响应文件按无效处理的条款。</w:t>
      </w:r>
    </w:p>
    <w:p w14:paraId="37F237A7">
      <w:pPr>
        <w:keepNext w:val="0"/>
        <w:keepLines w:val="0"/>
        <w:pageBreakBefore w:val="0"/>
        <w:widowControl w:val="0"/>
        <w:kinsoku/>
        <w:wordWrap/>
        <w:overflowPunct/>
        <w:topLinePunct w:val="0"/>
        <w:autoSpaceDE/>
        <w:autoSpaceDN/>
        <w:bidi w:val="0"/>
        <w:adjustRightInd/>
        <w:snapToGrid/>
        <w:spacing w:after="0" w:line="360" w:lineRule="auto"/>
        <w:ind w:firstLine="424" w:firstLineChars="202"/>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3.供应商必须自行为其竞标产品侵犯他人的知识产权或者专利成果的行为承担相应法律责任。</w:t>
      </w:r>
    </w:p>
    <w:p w14:paraId="4FE6EDBF">
      <w:pPr>
        <w:spacing w:line="360" w:lineRule="auto"/>
        <w:ind w:firstLine="424" w:firstLineChars="202"/>
        <w:contextualSpacing/>
        <w:jc w:val="left"/>
        <w:rPr>
          <w:rFonts w:hint="default" w:ascii="宋体" w:hAnsi="宋体" w:cs="宋体"/>
          <w:color w:val="auto"/>
          <w:sz w:val="21"/>
          <w:szCs w:val="21"/>
          <w:lang w:val="en-US" w:eastAsia="zh-CN"/>
        </w:rPr>
      </w:pPr>
      <w:r>
        <w:rPr>
          <w:rFonts w:hint="eastAsia" w:ascii="宋体" w:hAnsi="宋体" w:eastAsia="宋体" w:cs="宋体"/>
          <w:b w:val="0"/>
          <w:bCs w:val="0"/>
          <w:color w:val="auto"/>
          <w:szCs w:val="21"/>
          <w:highlight w:val="none"/>
          <w:lang w:val="en-US" w:eastAsia="zh-CN"/>
        </w:rPr>
        <w:t>4.预算金额（元）：</w:t>
      </w:r>
      <w:r>
        <w:rPr>
          <w:rFonts w:hint="eastAsia" w:ascii="宋体" w:hAnsi="宋体" w:cs="宋体"/>
          <w:b w:val="0"/>
          <w:bCs w:val="0"/>
          <w:color w:val="auto"/>
          <w:szCs w:val="21"/>
          <w:highlight w:val="none"/>
          <w:lang w:val="en-US" w:eastAsia="zh-CN"/>
        </w:rPr>
        <w:t>963076.98</w:t>
      </w:r>
    </w:p>
    <w:p w14:paraId="6C88B3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u w:val="single"/>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采购标的所属行业：</w:t>
      </w:r>
      <w:r>
        <w:rPr>
          <w:rFonts w:hint="eastAsia" w:ascii="宋体" w:hAnsi="宋体" w:eastAsia="宋体" w:cs="宋体"/>
          <w:color w:val="auto"/>
          <w:sz w:val="21"/>
          <w:szCs w:val="21"/>
          <w:u w:val="single"/>
        </w:rPr>
        <w:t>建筑业</w:t>
      </w:r>
    </w:p>
    <w:p w14:paraId="519266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u w:val="single"/>
        </w:rPr>
      </w:pPr>
    </w:p>
    <w:tbl>
      <w:tblPr>
        <w:tblStyle w:val="25"/>
        <w:tblW w:w="9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
        <w:gridCol w:w="1687"/>
        <w:gridCol w:w="31"/>
        <w:gridCol w:w="982"/>
        <w:gridCol w:w="1368"/>
        <w:gridCol w:w="4980"/>
      </w:tblGrid>
      <w:tr w14:paraId="1E808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650" w:type="dxa"/>
            <w:noWrap w:val="0"/>
            <w:vAlign w:val="center"/>
          </w:tcPr>
          <w:p w14:paraId="54C4E567">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718" w:type="dxa"/>
            <w:gridSpan w:val="2"/>
            <w:noWrap w:val="0"/>
            <w:vAlign w:val="center"/>
          </w:tcPr>
          <w:p w14:paraId="135F93A7">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982" w:type="dxa"/>
            <w:noWrap w:val="0"/>
            <w:vAlign w:val="center"/>
          </w:tcPr>
          <w:p w14:paraId="3B181DA1">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1368" w:type="dxa"/>
            <w:noWrap w:val="0"/>
            <w:vAlign w:val="center"/>
          </w:tcPr>
          <w:p w14:paraId="17BA3C2B">
            <w:pPr>
              <w:tabs>
                <w:tab w:val="left" w:pos="180"/>
                <w:tab w:val="left" w:pos="1620"/>
              </w:tabs>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预算金额（元）</w:t>
            </w:r>
          </w:p>
        </w:tc>
        <w:tc>
          <w:tcPr>
            <w:tcW w:w="4980" w:type="dxa"/>
            <w:noWrap w:val="0"/>
            <w:vAlign w:val="center"/>
          </w:tcPr>
          <w:p w14:paraId="10D06375">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63C6E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3" w:hRule="atLeast"/>
          <w:jc w:val="center"/>
        </w:trPr>
        <w:tc>
          <w:tcPr>
            <w:tcW w:w="650" w:type="dxa"/>
            <w:noWrap w:val="0"/>
            <w:vAlign w:val="center"/>
          </w:tcPr>
          <w:p w14:paraId="238E98C6">
            <w:pPr>
              <w:tabs>
                <w:tab w:val="left" w:pos="180"/>
                <w:tab w:val="left" w:pos="1620"/>
              </w:tabs>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lang w:val="en-US" w:eastAsia="zh-CN"/>
              </w:rPr>
              <w:t>1</w:t>
            </w:r>
          </w:p>
        </w:tc>
        <w:tc>
          <w:tcPr>
            <w:tcW w:w="1718" w:type="dxa"/>
            <w:gridSpan w:val="2"/>
            <w:noWrap w:val="0"/>
            <w:vAlign w:val="center"/>
          </w:tcPr>
          <w:p w14:paraId="3B0D1354">
            <w:pPr>
              <w:tabs>
                <w:tab w:val="left" w:pos="180"/>
                <w:tab w:val="left" w:pos="1620"/>
              </w:tabs>
              <w:spacing w:after="0"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lang w:eastAsia="zh-CN"/>
              </w:rPr>
              <w:t>陆川县第三中学挡土墙项目</w:t>
            </w:r>
          </w:p>
        </w:tc>
        <w:tc>
          <w:tcPr>
            <w:tcW w:w="982" w:type="dxa"/>
            <w:noWrap w:val="0"/>
            <w:vAlign w:val="center"/>
          </w:tcPr>
          <w:p w14:paraId="5D93C553">
            <w:pPr>
              <w:tabs>
                <w:tab w:val="left" w:pos="180"/>
                <w:tab w:val="left" w:pos="1620"/>
              </w:tabs>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1项</w:t>
            </w:r>
          </w:p>
        </w:tc>
        <w:tc>
          <w:tcPr>
            <w:tcW w:w="1368" w:type="dxa"/>
            <w:noWrap w:val="0"/>
            <w:vAlign w:val="center"/>
          </w:tcPr>
          <w:p w14:paraId="793904A9">
            <w:pPr>
              <w:tabs>
                <w:tab w:val="left" w:pos="180"/>
                <w:tab w:val="left" w:pos="1620"/>
              </w:tabs>
              <w:spacing w:after="0" w:line="360" w:lineRule="auto"/>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963076.98</w:t>
            </w:r>
          </w:p>
        </w:tc>
        <w:tc>
          <w:tcPr>
            <w:tcW w:w="4980" w:type="dxa"/>
            <w:noWrap w:val="0"/>
            <w:vAlign w:val="center"/>
          </w:tcPr>
          <w:p w14:paraId="604905F0">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1.工程概况：</w:t>
            </w:r>
            <w:r>
              <w:rPr>
                <w:rFonts w:hint="eastAsia" w:ascii="宋体" w:hAnsi="宋体" w:cs="宋体"/>
                <w:color w:val="auto"/>
                <w:sz w:val="21"/>
                <w:szCs w:val="21"/>
                <w:lang w:val="en-US" w:eastAsia="zh-CN"/>
              </w:rPr>
              <w:t>本项目为</w:t>
            </w:r>
            <w:r>
              <w:rPr>
                <w:rFonts w:hint="eastAsia" w:ascii="宋体" w:hAnsi="宋体" w:cs="宋体"/>
                <w:color w:val="auto"/>
                <w:sz w:val="21"/>
                <w:szCs w:val="21"/>
                <w:lang w:eastAsia="zh-CN"/>
              </w:rPr>
              <w:t>陆川县第三中学挡土墙项目，</w:t>
            </w:r>
            <w:r>
              <w:rPr>
                <w:rFonts w:hint="eastAsia" w:ascii="宋体" w:hAnsi="宋体" w:eastAsia="宋体" w:cs="宋体"/>
                <w:color w:val="auto"/>
                <w:sz w:val="21"/>
                <w:szCs w:val="21"/>
              </w:rPr>
              <w:t>具体内容详见施工图纸。</w:t>
            </w:r>
          </w:p>
          <w:p w14:paraId="48D50D5D">
            <w:pPr>
              <w:numPr>
                <w:ilvl w:val="0"/>
                <w:numId w:val="0"/>
              </w:numPr>
              <w:spacing w:after="0" w:line="360" w:lineRule="auto"/>
              <w:rPr>
                <w:rFonts w:hint="default" w:ascii="宋体" w:hAnsi="宋体" w:eastAsia="宋体" w:cs="宋体"/>
                <w:color w:val="auto"/>
                <w:sz w:val="21"/>
                <w:szCs w:val="21"/>
                <w:lang w:val="en-US"/>
              </w:rPr>
            </w:pPr>
            <w:r>
              <w:rPr>
                <w:rFonts w:hint="eastAsia" w:ascii="宋体" w:hAnsi="宋体" w:eastAsia="宋体" w:cs="宋体"/>
                <w:color w:val="auto"/>
                <w:sz w:val="21"/>
                <w:szCs w:val="21"/>
                <w:highlight w:val="none"/>
                <w:lang w:val="en-US" w:eastAsia="zh-CN"/>
              </w:rPr>
              <w:t>2.建设地点：</w:t>
            </w:r>
            <w:r>
              <w:rPr>
                <w:rFonts w:hint="eastAsia" w:ascii="宋体" w:hAnsi="宋体" w:cs="宋体"/>
                <w:color w:val="auto"/>
                <w:sz w:val="21"/>
                <w:szCs w:val="21"/>
                <w:lang w:eastAsia="zh-CN"/>
              </w:rPr>
              <w:t>陆川县第三中学</w:t>
            </w:r>
            <w:r>
              <w:rPr>
                <w:rFonts w:hint="eastAsia" w:ascii="宋体" w:hAnsi="宋体" w:cs="宋体"/>
                <w:color w:val="auto"/>
                <w:sz w:val="21"/>
                <w:szCs w:val="21"/>
                <w:lang w:val="en-US" w:eastAsia="zh-CN"/>
              </w:rPr>
              <w:t>内</w:t>
            </w:r>
          </w:p>
          <w:p w14:paraId="67BD3AED">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.质量：合格。</w:t>
            </w:r>
          </w:p>
          <w:p w14:paraId="5748BC3D">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.采购范围：以工程量清单、图纸所包含的内容为准。</w:t>
            </w:r>
          </w:p>
          <w:p w14:paraId="4DF02379">
            <w:pPr>
              <w:spacing w:after="0"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.发包方式：综合单价。</w:t>
            </w:r>
          </w:p>
        </w:tc>
      </w:tr>
      <w:tr w14:paraId="644D0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9698" w:type="dxa"/>
            <w:gridSpan w:val="6"/>
            <w:tcBorders>
              <w:top w:val="single" w:color="auto" w:sz="4" w:space="0"/>
              <w:left w:val="single" w:color="auto" w:sz="4" w:space="0"/>
              <w:bottom w:val="single" w:color="auto" w:sz="4" w:space="0"/>
              <w:right w:val="single" w:color="auto" w:sz="4" w:space="0"/>
            </w:tcBorders>
            <w:noWrap w:val="0"/>
            <w:vAlign w:val="top"/>
          </w:tcPr>
          <w:p w14:paraId="37800F74">
            <w:pPr>
              <w:spacing w:after="0" w:line="360" w:lineRule="auto"/>
              <w:jc w:val="both"/>
              <w:rPr>
                <w:rFonts w:ascii="宋体" w:hAnsi="宋体" w:eastAsia="宋体" w:cs="Times New Roman"/>
                <w:color w:val="auto"/>
                <w:sz w:val="21"/>
                <w:szCs w:val="21"/>
                <w:highlight w:val="none"/>
              </w:rPr>
            </w:pPr>
            <w:r>
              <w:rPr>
                <w:rFonts w:hint="eastAsia" w:ascii="宋体" w:hAnsi="宋体" w:eastAsia="宋体" w:cs="Times New Roman"/>
                <w:b/>
                <w:color w:val="auto"/>
                <w:sz w:val="21"/>
                <w:szCs w:val="21"/>
                <w:highlight w:val="none"/>
              </w:rPr>
              <w:t>一、商务要求</w:t>
            </w:r>
          </w:p>
        </w:tc>
      </w:tr>
      <w:tr w14:paraId="56D70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0448B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宋体"/>
                <w:color w:val="auto"/>
                <w:kern w:val="0"/>
                <w:sz w:val="21"/>
                <w:szCs w:val="21"/>
              </w:rPr>
              <w:t>报价要求</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493D8EF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Times New Roman"/>
                <w:color w:val="auto"/>
                <w:sz w:val="21"/>
                <w:szCs w:val="21"/>
                <w:highlight w:val="yellow"/>
                <w:lang w:val="en-US" w:eastAsia="zh-CN"/>
              </w:rPr>
            </w:pPr>
            <w:r>
              <w:rPr>
                <w:rFonts w:hint="eastAsia" w:ascii="宋体" w:hAnsi="宋体" w:eastAsia="宋体" w:cs="宋体"/>
                <w:color w:val="auto"/>
                <w:kern w:val="0"/>
                <w:sz w:val="21"/>
                <w:szCs w:val="21"/>
                <w:lang w:val="en-US" w:eastAsia="zh-CN"/>
              </w:rPr>
              <w:t>项目工程所需的材料采购、设备租赁、施工搭建、工程包装（如必要的防护包装）、材料及设备运输、工程保险、各项税费、工程安装调试、施工人员培训、技术服务（包括完整的技术资料）、质保期内的维护保障、工程验收等所有相关服务的费用。若施工单位认为有其他开展项目工程必需的费用未在本文件中列出，也应包含在总报价内。合同执行期间，建设单位将不支付未列入总报价的任何项目费用，且视为这些费用已包含在施工单位的响应报价中。</w:t>
            </w:r>
          </w:p>
        </w:tc>
      </w:tr>
      <w:tr w14:paraId="40406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15155026">
            <w:pPr>
              <w:spacing w:after="0" w:line="360" w:lineRule="auto"/>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工期</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2998AAB9">
            <w:pPr>
              <w:spacing w:after="0" w:line="360" w:lineRule="auto"/>
              <w:jc w:val="both"/>
              <w:rPr>
                <w:rFonts w:hint="eastAsia" w:ascii="宋体" w:hAnsi="宋体" w:eastAsia="宋体" w:cs="Times New Roman"/>
                <w:color w:val="auto"/>
                <w:sz w:val="21"/>
                <w:szCs w:val="21"/>
                <w:highlight w:val="none"/>
              </w:rPr>
            </w:pPr>
            <w:r>
              <w:rPr>
                <w:rFonts w:hint="eastAsia" w:ascii="宋体" w:hAnsi="宋体" w:eastAsia="宋体" w:cs="宋体"/>
                <w:color w:val="auto"/>
                <w:kern w:val="0"/>
                <w:sz w:val="21"/>
                <w:szCs w:val="21"/>
                <w:lang w:val="en-US" w:eastAsia="zh-CN"/>
              </w:rPr>
              <w:t>90日历天</w:t>
            </w:r>
          </w:p>
        </w:tc>
      </w:tr>
      <w:tr w14:paraId="54CF1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5FE3449D">
            <w:pPr>
              <w:spacing w:after="0" w:line="360" w:lineRule="auto"/>
              <w:jc w:val="center"/>
              <w:rPr>
                <w:rFonts w:ascii="宋体" w:hAnsi="宋体" w:eastAsia="宋体" w:cs="Times New Roman"/>
                <w:b/>
                <w:color w:val="auto"/>
                <w:sz w:val="21"/>
                <w:szCs w:val="21"/>
                <w:highlight w:val="none"/>
              </w:rPr>
            </w:pPr>
            <w:r>
              <w:rPr>
                <w:rFonts w:hint="eastAsia" w:ascii="宋体" w:hAnsi="宋体" w:eastAsia="宋体" w:cs="Times New Roman"/>
                <w:color w:val="auto"/>
                <w:sz w:val="21"/>
                <w:szCs w:val="21"/>
                <w:highlight w:val="none"/>
              </w:rPr>
              <w:t>合同签订时间</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21D46567">
            <w:pPr>
              <w:spacing w:after="0" w:line="360" w:lineRule="auto"/>
              <w:jc w:val="both"/>
              <w:rPr>
                <w:rFonts w:ascii="宋体" w:hAnsi="宋体" w:eastAsia="宋体" w:cs="Times New Roman"/>
                <w:b/>
                <w:color w:val="auto"/>
                <w:sz w:val="21"/>
                <w:szCs w:val="21"/>
                <w:highlight w:val="none"/>
              </w:rPr>
            </w:pPr>
            <w:r>
              <w:rPr>
                <w:rFonts w:hint="eastAsia" w:ascii="宋体" w:hAnsi="宋体" w:eastAsia="宋体" w:cs="Times New Roman"/>
                <w:color w:val="auto"/>
                <w:sz w:val="21"/>
                <w:szCs w:val="21"/>
                <w:highlight w:val="none"/>
              </w:rPr>
              <w:t>自成交通知书发出之日起</w:t>
            </w:r>
            <w:r>
              <w:rPr>
                <w:rFonts w:hint="eastAsia" w:ascii="宋体" w:hAnsi="宋体" w:eastAsia="宋体" w:cs="Times New Roman"/>
                <w:color w:val="auto"/>
                <w:sz w:val="21"/>
                <w:szCs w:val="21"/>
                <w:highlight w:val="none"/>
                <w:u w:val="single"/>
              </w:rPr>
              <w:t>25</w:t>
            </w:r>
            <w:r>
              <w:rPr>
                <w:rFonts w:hint="eastAsia" w:ascii="宋体" w:hAnsi="宋体" w:eastAsia="宋体" w:cs="Times New Roman"/>
                <w:color w:val="auto"/>
                <w:sz w:val="21"/>
                <w:szCs w:val="21"/>
                <w:highlight w:val="none"/>
              </w:rPr>
              <w:t>日内</w:t>
            </w:r>
          </w:p>
        </w:tc>
      </w:tr>
      <w:tr w14:paraId="7C929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504E6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Times New Roman"/>
                <w:b/>
                <w:color w:val="auto"/>
                <w:sz w:val="21"/>
                <w:szCs w:val="21"/>
                <w:highlight w:val="none"/>
              </w:rPr>
            </w:pPr>
            <w:r>
              <w:rPr>
                <w:rFonts w:hint="eastAsia" w:ascii="宋体" w:hAnsi="宋体" w:eastAsia="宋体" w:cs="宋体"/>
                <w:color w:val="auto"/>
                <w:kern w:val="0"/>
                <w:sz w:val="21"/>
                <w:szCs w:val="21"/>
                <w:highlight w:val="none"/>
              </w:rPr>
              <w:t>付款方式</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61444C5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Times New Roman"/>
                <w:b/>
                <w:color w:val="auto"/>
                <w:sz w:val="21"/>
                <w:szCs w:val="21"/>
                <w:highlight w:val="none"/>
                <w:lang w:val="en-US"/>
              </w:rPr>
            </w:pPr>
            <w:r>
              <w:rPr>
                <w:rFonts w:hint="eastAsia" w:ascii="宋体" w:hAnsi="宋体" w:eastAsia="宋体" w:cs="宋体"/>
                <w:color w:val="auto"/>
                <w:kern w:val="0"/>
                <w:sz w:val="21"/>
                <w:szCs w:val="21"/>
                <w:highlight w:val="none"/>
                <w:lang w:val="en-US" w:eastAsia="zh-CN"/>
              </w:rPr>
              <w:t>签订合同开工后15天内支付合同总额的</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 xml:space="preserve">0%；施工过程中发包人按规定的审批程序支付工程进度款，工程款原则上按月支付，支付方式为银行转账，支付的项目进度款限额不超过项目总工程量的 85%，工程变更部分进度款支付限额为已完成工程量的 70%；工程完工验收达到质量要求后，工程款支付至合同价款的 85%；结算价经审定后，工程款支付至结算总价的 97%；发包人按工程结算总价的 3%预留工程质量保修金， 待缺陷责任期满后返还(无息)；质量保修金的返还，并不能免除承包人按照合同约定应承担的质量保修责任和应履行的质量保修义务。 </w:t>
            </w:r>
          </w:p>
        </w:tc>
      </w:tr>
      <w:tr w14:paraId="54BA5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5DC46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lang w:val="en-US" w:eastAsia="zh-CN"/>
              </w:rPr>
              <w:t>缺陷责任期</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24A086D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lang w:val="en-US" w:eastAsia="zh-CN"/>
              </w:rPr>
              <w:t>12个月</w:t>
            </w:r>
          </w:p>
        </w:tc>
      </w:tr>
      <w:tr w14:paraId="4A4D0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0469A1C5">
            <w:pPr>
              <w:tabs>
                <w:tab w:val="left" w:pos="180"/>
                <w:tab w:val="left" w:pos="1620"/>
              </w:tabs>
              <w:spacing w:after="0" w:line="360" w:lineRule="auto"/>
              <w:jc w:val="both"/>
              <w:rPr>
                <w:rFonts w:ascii="宋体" w:hAnsi="宋体" w:eastAsia="宋体" w:cs="宋体"/>
                <w:bCs/>
                <w:color w:val="auto"/>
                <w:sz w:val="21"/>
                <w:szCs w:val="21"/>
                <w:highlight w:val="none"/>
              </w:rPr>
            </w:pPr>
            <w:r>
              <w:rPr>
                <w:rFonts w:hint="eastAsia" w:ascii="宋体" w:hAnsi="宋体" w:eastAsia="宋体" w:cs="宋体"/>
                <w:b/>
                <w:bCs/>
                <w:color w:val="auto"/>
                <w:kern w:val="0"/>
                <w:sz w:val="21"/>
                <w:szCs w:val="21"/>
                <w:lang w:val="en-US" w:eastAsia="zh-CN"/>
              </w:rPr>
              <w:t>其他说明：</w:t>
            </w:r>
            <w:r>
              <w:rPr>
                <w:rFonts w:hint="eastAsia" w:ascii="宋体" w:hAnsi="宋体" w:eastAsia="宋体" w:cs="宋体"/>
                <w:b/>
                <w:bCs/>
                <w:color w:val="auto"/>
                <w:sz w:val="21"/>
                <w:szCs w:val="21"/>
                <w:lang w:val="en-US" w:eastAsia="zh-CN"/>
              </w:rPr>
              <w:t>采购文件中的</w:t>
            </w:r>
            <w:r>
              <w:rPr>
                <w:rFonts w:hint="eastAsia" w:ascii="宋体" w:hAnsi="宋体" w:cs="宋体"/>
                <w:b/>
                <w:bCs/>
                <w:color w:val="auto"/>
                <w:sz w:val="21"/>
                <w:szCs w:val="21"/>
                <w:lang w:val="en-US" w:eastAsia="zh-CN"/>
              </w:rPr>
              <w:t>工程</w:t>
            </w:r>
            <w:r>
              <w:rPr>
                <w:rFonts w:hint="eastAsia" w:ascii="宋体" w:hAnsi="宋体" w:eastAsia="宋体" w:cs="宋体"/>
                <w:b/>
                <w:bCs/>
                <w:color w:val="auto"/>
                <w:sz w:val="21"/>
                <w:szCs w:val="21"/>
                <w:lang w:val="en-US" w:eastAsia="zh-CN"/>
              </w:rPr>
              <w:t>项目名称与预算价及图纸的工程名称不一致时，以采购文件的</w:t>
            </w:r>
            <w:r>
              <w:rPr>
                <w:rFonts w:hint="eastAsia" w:ascii="宋体" w:hAnsi="宋体" w:cs="宋体"/>
                <w:b/>
                <w:bCs/>
                <w:color w:val="auto"/>
                <w:sz w:val="21"/>
                <w:szCs w:val="21"/>
                <w:lang w:val="en-US" w:eastAsia="zh-CN"/>
              </w:rPr>
              <w:t>工程</w:t>
            </w:r>
            <w:r>
              <w:rPr>
                <w:rFonts w:hint="eastAsia" w:ascii="宋体" w:hAnsi="宋体" w:eastAsia="宋体" w:cs="宋体"/>
                <w:b/>
                <w:bCs/>
                <w:color w:val="auto"/>
                <w:sz w:val="21"/>
                <w:szCs w:val="21"/>
                <w:lang w:val="en-US" w:eastAsia="zh-CN"/>
              </w:rPr>
              <w:t>项目名称为准。</w:t>
            </w:r>
          </w:p>
        </w:tc>
      </w:tr>
    </w:tbl>
    <w:p w14:paraId="363B7D8F">
      <w:pPr>
        <w:pStyle w:val="36"/>
        <w:ind w:left="0" w:leftChars="0" w:firstLine="0" w:firstLineChars="0"/>
        <w:rPr>
          <w:rFonts w:hint="eastAsia"/>
          <w:color w:val="auto"/>
        </w:rPr>
      </w:pPr>
    </w:p>
    <w:p w14:paraId="203E063C">
      <w:pPr>
        <w:rPr>
          <w:rFonts w:hint="eastAsia"/>
          <w:color w:val="auto"/>
        </w:rPr>
      </w:pPr>
    </w:p>
    <w:p w14:paraId="48611765">
      <w:pPr>
        <w:pStyle w:val="33"/>
        <w:rPr>
          <w:rFonts w:hint="eastAsia"/>
        </w:rPr>
      </w:pPr>
    </w:p>
    <w:p w14:paraId="592B6CF2">
      <w:pPr>
        <w:pStyle w:val="35"/>
        <w:rPr>
          <w:rFonts w:hint="eastAsia" w:asciiTheme="majorEastAsia" w:hAnsiTheme="majorEastAsia" w:eastAsiaTheme="majorEastAsia" w:cstheme="majorEastAsia"/>
          <w:color w:val="auto"/>
          <w:szCs w:val="21"/>
          <w:highlight w:val="none"/>
        </w:rPr>
      </w:pPr>
    </w:p>
    <w:p w14:paraId="5021E22B">
      <w:pPr>
        <w:pStyle w:val="36"/>
        <w:rPr>
          <w:rFonts w:hint="eastAsia" w:asciiTheme="majorEastAsia" w:hAnsiTheme="majorEastAsia" w:eastAsiaTheme="majorEastAsia" w:cstheme="majorEastAsia"/>
          <w:color w:val="auto"/>
          <w:szCs w:val="21"/>
          <w:highlight w:val="none"/>
        </w:rPr>
      </w:pPr>
    </w:p>
    <w:p w14:paraId="403471A0">
      <w:pPr>
        <w:rPr>
          <w:rFonts w:hint="eastAsia" w:asciiTheme="majorEastAsia" w:hAnsiTheme="majorEastAsia" w:eastAsiaTheme="majorEastAsia" w:cstheme="majorEastAsia"/>
          <w:color w:val="auto"/>
          <w:szCs w:val="21"/>
          <w:highlight w:val="none"/>
        </w:rPr>
      </w:pPr>
    </w:p>
    <w:p w14:paraId="102E24DD">
      <w:pPr>
        <w:rPr>
          <w:rFonts w:hint="eastAsia" w:asciiTheme="majorEastAsia" w:hAnsiTheme="majorEastAsia" w:eastAsiaTheme="majorEastAsia" w:cstheme="majorEastAsia"/>
          <w:color w:val="auto"/>
          <w:szCs w:val="21"/>
          <w:highlight w:val="none"/>
        </w:rPr>
      </w:pPr>
    </w:p>
    <w:p w14:paraId="43C4BB0A">
      <w:pPr>
        <w:rPr>
          <w:rFonts w:hint="eastAsia" w:asciiTheme="majorEastAsia" w:hAnsiTheme="majorEastAsia" w:eastAsiaTheme="majorEastAsia" w:cstheme="majorEastAsia"/>
          <w:color w:val="auto"/>
          <w:szCs w:val="21"/>
          <w:highlight w:val="none"/>
        </w:rPr>
      </w:pPr>
    </w:p>
    <w:p w14:paraId="67813580">
      <w:pPr>
        <w:rPr>
          <w:rFonts w:hint="eastAsia" w:asciiTheme="majorEastAsia" w:hAnsiTheme="majorEastAsia" w:eastAsiaTheme="majorEastAsia" w:cstheme="majorEastAsia"/>
          <w:color w:val="auto"/>
          <w:szCs w:val="21"/>
          <w:highlight w:val="none"/>
        </w:rPr>
      </w:pPr>
    </w:p>
    <w:p w14:paraId="55B66EAD">
      <w:pPr>
        <w:rPr>
          <w:rFonts w:hint="eastAsia" w:asciiTheme="majorEastAsia" w:hAnsiTheme="majorEastAsia" w:eastAsiaTheme="majorEastAsia" w:cstheme="majorEastAsia"/>
          <w:color w:val="auto"/>
          <w:szCs w:val="21"/>
          <w:highlight w:val="none"/>
        </w:rPr>
      </w:pPr>
    </w:p>
    <w:p w14:paraId="585ACD82">
      <w:pPr>
        <w:rPr>
          <w:rFonts w:hint="eastAsia" w:asciiTheme="majorEastAsia" w:hAnsiTheme="majorEastAsia" w:eastAsiaTheme="majorEastAsia" w:cstheme="majorEastAsia"/>
          <w:color w:val="auto"/>
          <w:szCs w:val="21"/>
          <w:highlight w:val="none"/>
        </w:rPr>
      </w:pPr>
    </w:p>
    <w:p w14:paraId="151BDB84">
      <w:pPr>
        <w:rPr>
          <w:rFonts w:hint="eastAsia" w:asciiTheme="majorEastAsia" w:hAnsiTheme="majorEastAsia" w:eastAsiaTheme="majorEastAsia" w:cstheme="majorEastAsia"/>
          <w:color w:val="auto"/>
          <w:szCs w:val="21"/>
          <w:highlight w:val="none"/>
        </w:rPr>
      </w:pPr>
    </w:p>
    <w:p w14:paraId="4E85275D">
      <w:pPr>
        <w:rPr>
          <w:rFonts w:hint="eastAsia" w:asciiTheme="majorEastAsia" w:hAnsiTheme="majorEastAsia" w:eastAsiaTheme="majorEastAsia" w:cstheme="majorEastAsia"/>
          <w:color w:val="auto"/>
          <w:szCs w:val="21"/>
          <w:highlight w:val="none"/>
        </w:rPr>
      </w:pPr>
    </w:p>
    <w:p w14:paraId="28EA9582">
      <w:pPr>
        <w:rPr>
          <w:rFonts w:hint="eastAsia" w:asciiTheme="majorEastAsia" w:hAnsiTheme="majorEastAsia" w:eastAsiaTheme="majorEastAsia" w:cstheme="majorEastAsia"/>
          <w:color w:val="auto"/>
          <w:szCs w:val="21"/>
          <w:highlight w:val="none"/>
        </w:rPr>
      </w:pPr>
    </w:p>
    <w:p w14:paraId="744C8AA8">
      <w:pPr>
        <w:rPr>
          <w:rFonts w:hint="eastAsia" w:asciiTheme="majorEastAsia" w:hAnsiTheme="majorEastAsia" w:eastAsiaTheme="majorEastAsia" w:cstheme="majorEastAsia"/>
          <w:color w:val="auto"/>
          <w:szCs w:val="21"/>
          <w:highlight w:val="none"/>
        </w:rPr>
      </w:pPr>
    </w:p>
    <w:p w14:paraId="619A5EAB">
      <w:pPr>
        <w:rPr>
          <w:rFonts w:hint="eastAsia" w:asciiTheme="majorEastAsia" w:hAnsiTheme="majorEastAsia" w:eastAsiaTheme="majorEastAsia" w:cstheme="majorEastAsia"/>
          <w:color w:val="auto"/>
          <w:szCs w:val="21"/>
          <w:highlight w:val="none"/>
        </w:rPr>
      </w:pPr>
    </w:p>
    <w:p w14:paraId="413B8733">
      <w:pPr>
        <w:rPr>
          <w:rFonts w:hint="eastAsia" w:asciiTheme="majorEastAsia" w:hAnsiTheme="majorEastAsia" w:eastAsiaTheme="majorEastAsia" w:cstheme="majorEastAsia"/>
          <w:color w:val="auto"/>
          <w:szCs w:val="21"/>
          <w:highlight w:val="none"/>
        </w:rPr>
      </w:pPr>
    </w:p>
    <w:p w14:paraId="30FEE352">
      <w:pPr>
        <w:rPr>
          <w:rFonts w:hint="eastAsia" w:asciiTheme="majorEastAsia" w:hAnsiTheme="majorEastAsia" w:eastAsiaTheme="majorEastAsia" w:cstheme="majorEastAsia"/>
          <w:color w:val="auto"/>
          <w:szCs w:val="21"/>
          <w:highlight w:val="none"/>
        </w:rPr>
      </w:pPr>
    </w:p>
    <w:p w14:paraId="2C51526A">
      <w:pPr>
        <w:rPr>
          <w:rFonts w:hint="eastAsia" w:asciiTheme="majorEastAsia" w:hAnsiTheme="majorEastAsia" w:eastAsiaTheme="majorEastAsia" w:cstheme="majorEastAsia"/>
          <w:color w:val="auto"/>
          <w:szCs w:val="21"/>
          <w:highlight w:val="none"/>
        </w:rPr>
      </w:pPr>
    </w:p>
    <w:p w14:paraId="156C1436">
      <w:pPr>
        <w:rPr>
          <w:rFonts w:hint="eastAsia" w:asciiTheme="majorEastAsia" w:hAnsiTheme="majorEastAsia" w:eastAsiaTheme="majorEastAsia" w:cstheme="majorEastAsia"/>
          <w:color w:val="auto"/>
          <w:szCs w:val="21"/>
          <w:highlight w:val="none"/>
        </w:rPr>
      </w:pPr>
    </w:p>
    <w:p w14:paraId="2F67EE3F">
      <w:pPr>
        <w:rPr>
          <w:rFonts w:hint="eastAsia" w:asciiTheme="majorEastAsia" w:hAnsiTheme="majorEastAsia" w:eastAsiaTheme="majorEastAsia" w:cstheme="majorEastAsia"/>
          <w:color w:val="auto"/>
          <w:szCs w:val="21"/>
          <w:highlight w:val="none"/>
        </w:rPr>
      </w:pPr>
    </w:p>
    <w:p w14:paraId="4845CC1D">
      <w:pPr>
        <w:rPr>
          <w:rFonts w:hint="eastAsia" w:asciiTheme="majorEastAsia" w:hAnsiTheme="majorEastAsia" w:eastAsiaTheme="majorEastAsia" w:cstheme="majorEastAsia"/>
          <w:color w:val="auto"/>
          <w:szCs w:val="21"/>
          <w:highlight w:val="none"/>
        </w:rPr>
      </w:pPr>
    </w:p>
    <w:p w14:paraId="56097E6F">
      <w:pPr>
        <w:rPr>
          <w:rFonts w:hint="eastAsia" w:asciiTheme="majorEastAsia" w:hAnsiTheme="majorEastAsia" w:eastAsiaTheme="majorEastAsia" w:cstheme="majorEastAsia"/>
          <w:color w:val="auto"/>
          <w:szCs w:val="21"/>
          <w:highlight w:val="none"/>
        </w:rPr>
      </w:pPr>
    </w:p>
    <w:p w14:paraId="52254276">
      <w:pPr>
        <w:rPr>
          <w:rFonts w:hint="eastAsia" w:asciiTheme="majorEastAsia" w:hAnsiTheme="majorEastAsia" w:eastAsiaTheme="majorEastAsia" w:cstheme="majorEastAsia"/>
          <w:color w:val="auto"/>
          <w:szCs w:val="21"/>
          <w:highlight w:val="none"/>
        </w:rPr>
      </w:pPr>
    </w:p>
    <w:p w14:paraId="13497087">
      <w:pPr>
        <w:pStyle w:val="33"/>
        <w:ind w:left="0" w:leftChars="0" w:firstLine="0" w:firstLineChars="0"/>
        <w:rPr>
          <w:rFonts w:hint="eastAsia" w:asciiTheme="majorEastAsia" w:hAnsiTheme="majorEastAsia" w:eastAsiaTheme="majorEastAsia" w:cstheme="majorEastAsia"/>
          <w:color w:val="auto"/>
          <w:szCs w:val="21"/>
          <w:highlight w:val="none"/>
        </w:rPr>
      </w:pPr>
    </w:p>
    <w:p w14:paraId="4D911D7B">
      <w:pPr>
        <w:pStyle w:val="35"/>
        <w:rPr>
          <w:rFonts w:hint="eastAsia" w:asciiTheme="majorEastAsia" w:hAnsiTheme="majorEastAsia" w:eastAsiaTheme="majorEastAsia" w:cstheme="majorEastAsia"/>
          <w:color w:val="auto"/>
          <w:szCs w:val="21"/>
          <w:highlight w:val="none"/>
        </w:rPr>
      </w:pPr>
    </w:p>
    <w:p w14:paraId="0BA7FB3C">
      <w:pPr>
        <w:jc w:val="center"/>
        <w:outlineLvl w:val="0"/>
        <w:rPr>
          <w:rFonts w:ascii="宋体" w:hAnsi="宋体"/>
          <w:b/>
          <w:bCs/>
          <w:color w:val="auto"/>
          <w:sz w:val="36"/>
          <w:szCs w:val="44"/>
        </w:rPr>
      </w:pPr>
      <w:bookmarkStart w:id="79" w:name="_Toc18051"/>
      <w:r>
        <w:rPr>
          <w:rFonts w:hint="eastAsia" w:ascii="宋体" w:hAnsi="宋体"/>
          <w:b/>
          <w:bCs/>
          <w:color w:val="auto"/>
          <w:sz w:val="36"/>
          <w:szCs w:val="44"/>
        </w:rPr>
        <w:t>第四章 评审程序、评审方法和评审标准</w:t>
      </w:r>
      <w:bookmarkEnd w:id="79"/>
    </w:p>
    <w:p w14:paraId="6E279904">
      <w:pPr>
        <w:pStyle w:val="5"/>
        <w:spacing w:line="340" w:lineRule="exact"/>
        <w:jc w:val="center"/>
        <w:outlineLvl w:val="9"/>
        <w:rPr>
          <w:rFonts w:ascii="黑体" w:hAnsi="黑体" w:eastAsia="黑体" w:cs="宋体"/>
          <w:color w:val="auto"/>
          <w:sz w:val="24"/>
        </w:rPr>
      </w:pPr>
    </w:p>
    <w:p w14:paraId="525AA763">
      <w:pPr>
        <w:pStyle w:val="5"/>
        <w:spacing w:line="340" w:lineRule="exact"/>
        <w:jc w:val="center"/>
        <w:rPr>
          <w:rFonts w:ascii="宋体" w:hAnsi="宋体"/>
          <w:color w:val="auto"/>
        </w:rPr>
      </w:pPr>
      <w:r>
        <w:rPr>
          <w:rFonts w:hint="eastAsia" w:ascii="宋体" w:hAnsi="宋体"/>
          <w:color w:val="auto"/>
        </w:rPr>
        <w:t>一 、评审程序和评审方法</w:t>
      </w:r>
    </w:p>
    <w:p w14:paraId="6D631F92">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1.资格审查</w:t>
      </w:r>
    </w:p>
    <w:p w14:paraId="03915BF2">
      <w:pPr>
        <w:snapToGrid w:val="0"/>
        <w:spacing w:line="360" w:lineRule="auto"/>
        <w:ind w:firstLine="420" w:firstLineChars="200"/>
        <w:rPr>
          <w:rFonts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14:paraId="75D8162B">
      <w:pPr>
        <w:snapToGrid w:val="0"/>
        <w:spacing w:line="360" w:lineRule="auto"/>
        <w:rPr>
          <w:rFonts w:ascii="宋体" w:hAnsi="宋体" w:cs="宋体"/>
          <w:color w:val="auto"/>
          <w:szCs w:val="21"/>
        </w:rPr>
      </w:pPr>
      <w:r>
        <w:rPr>
          <w:rFonts w:hint="eastAsia" w:ascii="宋体" w:hAnsi="宋体" w:cs="宋体"/>
          <w:color w:val="auto"/>
          <w:szCs w:val="21"/>
        </w:rPr>
        <w:t>注：采购人或者采购代理机构在资格审查结束前，对供应商进行信用查询。</w:t>
      </w:r>
    </w:p>
    <w:p w14:paraId="45A2712E">
      <w:pPr>
        <w:snapToGrid w:val="0"/>
        <w:spacing w:line="360" w:lineRule="auto"/>
        <w:jc w:val="left"/>
        <w:rPr>
          <w:rFonts w:ascii="宋体" w:hAnsi="宋体" w:cs="宋体"/>
          <w:color w:val="auto"/>
          <w:szCs w:val="21"/>
        </w:rPr>
      </w:pPr>
      <w:r>
        <w:rPr>
          <w:rFonts w:hint="eastAsia" w:ascii="宋体" w:hAnsi="宋体" w:cs="宋体"/>
          <w:color w:val="auto"/>
          <w:szCs w:val="21"/>
        </w:rPr>
        <w:t>（1）查询渠道：广西政府采购云平台</w:t>
      </w:r>
      <w:r>
        <w:rPr>
          <w:rFonts w:hint="eastAsia" w:ascii="宋体" w:hAnsi="宋体" w:cs="宋体"/>
          <w:color w:val="auto"/>
          <w:szCs w:val="21"/>
          <w:lang w:eastAsia="zh-CN"/>
        </w:rPr>
        <w:t>、</w:t>
      </w:r>
      <w:r>
        <w:rPr>
          <w:rFonts w:hint="eastAsia" w:ascii="宋体" w:hAnsi="宋体" w:cs="宋体"/>
          <w:color w:val="auto"/>
          <w:szCs w:val="21"/>
        </w:rPr>
        <w:t>“信用中国”网站</w:t>
      </w:r>
      <w:r>
        <w:rPr>
          <w:rFonts w:hint="eastAsia" w:ascii="宋体" w:hAnsi="宋体" w:cs="宋体"/>
          <w:color w:val="auto"/>
          <w:szCs w:val="21"/>
          <w:lang w:eastAsia="zh-CN"/>
        </w:rPr>
        <w:t>（</w:t>
      </w:r>
      <w:r>
        <w:rPr>
          <w:rFonts w:hint="eastAsia" w:ascii="宋体" w:hAnsi="宋体" w:cs="宋体"/>
          <w:color w:val="auto"/>
          <w:szCs w:val="21"/>
        </w:rPr>
        <w:t>www.creditchina.gov.cn</w:t>
      </w:r>
      <w:r>
        <w:rPr>
          <w:rFonts w:hint="eastAsia" w:ascii="宋体" w:hAnsi="宋体" w:cs="宋体"/>
          <w:color w:val="auto"/>
          <w:szCs w:val="21"/>
          <w:lang w:eastAsia="zh-CN"/>
        </w:rPr>
        <w:t>）</w:t>
      </w:r>
      <w:r>
        <w:rPr>
          <w:rFonts w:hint="eastAsia" w:ascii="宋体" w:hAnsi="宋体" w:cs="宋体"/>
          <w:color w:val="auto"/>
          <w:szCs w:val="21"/>
        </w:rPr>
        <w:t>、中国政府采购网</w:t>
      </w:r>
      <w:r>
        <w:rPr>
          <w:rFonts w:hint="eastAsia" w:ascii="宋体" w:hAnsi="宋体" w:cs="宋体"/>
          <w:color w:val="auto"/>
          <w:szCs w:val="21"/>
          <w:lang w:eastAsia="zh-CN"/>
        </w:rPr>
        <w:t>（</w:t>
      </w:r>
      <w:r>
        <w:rPr>
          <w:rFonts w:hint="eastAsia" w:ascii="宋体" w:hAnsi="宋体" w:cs="宋体"/>
          <w:color w:val="auto"/>
          <w:szCs w:val="21"/>
        </w:rPr>
        <w:t>www.ccgp.gov.cn</w:t>
      </w:r>
      <w:r>
        <w:rPr>
          <w:rFonts w:hint="eastAsia" w:ascii="宋体" w:hAnsi="宋体" w:cs="宋体"/>
          <w:color w:val="auto"/>
          <w:szCs w:val="21"/>
          <w:lang w:eastAsia="zh-CN"/>
        </w:rPr>
        <w:t>）</w:t>
      </w:r>
      <w:r>
        <w:rPr>
          <w:rFonts w:hint="eastAsia" w:ascii="宋体" w:hAnsi="宋体" w:cs="宋体"/>
          <w:color w:val="auto"/>
          <w:szCs w:val="21"/>
        </w:rPr>
        <w:t>链接入口。</w:t>
      </w:r>
    </w:p>
    <w:p w14:paraId="572EA349">
      <w:pPr>
        <w:snapToGrid w:val="0"/>
        <w:spacing w:line="360" w:lineRule="auto"/>
        <w:rPr>
          <w:rFonts w:ascii="宋体" w:hAnsi="宋体" w:cs="宋体"/>
          <w:color w:val="auto"/>
          <w:szCs w:val="21"/>
        </w:rPr>
      </w:pPr>
      <w:r>
        <w:rPr>
          <w:rFonts w:hint="eastAsia" w:ascii="宋体" w:hAnsi="宋体" w:cs="宋体"/>
          <w:color w:val="auto"/>
          <w:szCs w:val="21"/>
        </w:rPr>
        <w:t>（2）信用查询截止时点：资格审查结束前。</w:t>
      </w:r>
    </w:p>
    <w:p w14:paraId="4FC069D8">
      <w:pPr>
        <w:spacing w:line="360" w:lineRule="auto"/>
        <w:rPr>
          <w:rFonts w:ascii="宋体" w:hAnsi="宋体" w:cs="宋体"/>
          <w:color w:val="auto"/>
          <w:szCs w:val="21"/>
        </w:rPr>
      </w:pPr>
      <w:r>
        <w:rPr>
          <w:rFonts w:hint="eastAsia" w:ascii="宋体" w:hAnsi="宋体" w:cs="宋体"/>
          <w:color w:val="auto"/>
          <w:szCs w:val="21"/>
        </w:rPr>
        <w:t>（3）信用信息使用规则：对在“信用中国”网站</w:t>
      </w:r>
      <w:r>
        <w:rPr>
          <w:rFonts w:hint="eastAsia" w:ascii="宋体" w:hAnsi="宋体" w:cs="宋体"/>
          <w:color w:val="auto"/>
          <w:szCs w:val="21"/>
          <w:lang w:eastAsia="zh-CN"/>
        </w:rPr>
        <w:t>（</w:t>
      </w:r>
      <w:r>
        <w:rPr>
          <w:rFonts w:hint="eastAsia" w:ascii="宋体" w:hAnsi="宋体" w:cs="宋体"/>
          <w:color w:val="auto"/>
          <w:szCs w:val="21"/>
        </w:rPr>
        <w:t>www.creditchina.gov.cn</w:t>
      </w:r>
      <w:r>
        <w:rPr>
          <w:rFonts w:hint="eastAsia" w:ascii="宋体" w:hAnsi="宋体" w:cs="宋体"/>
          <w:color w:val="auto"/>
          <w:szCs w:val="21"/>
          <w:lang w:eastAsia="zh-CN"/>
        </w:rPr>
        <w:t>）</w:t>
      </w:r>
      <w:r>
        <w:rPr>
          <w:rFonts w:hint="eastAsia" w:ascii="宋体" w:hAnsi="宋体" w:cs="宋体"/>
          <w:color w:val="auto"/>
          <w:szCs w:val="21"/>
        </w:rPr>
        <w:t xml:space="preserve"> 、中国政府采购网</w:t>
      </w:r>
      <w:r>
        <w:rPr>
          <w:rFonts w:hint="eastAsia" w:ascii="宋体" w:hAnsi="宋体" w:cs="宋体"/>
          <w:color w:val="auto"/>
          <w:szCs w:val="21"/>
          <w:lang w:eastAsia="zh-CN"/>
        </w:rPr>
        <w:t>（</w:t>
      </w:r>
      <w:r>
        <w:rPr>
          <w:rFonts w:hint="eastAsia" w:ascii="宋体" w:hAnsi="宋体" w:cs="宋体"/>
          <w:color w:val="auto"/>
          <w:szCs w:val="21"/>
        </w:rPr>
        <w:t>www.ccgp.gov.cn</w:t>
      </w:r>
      <w:r>
        <w:rPr>
          <w:rFonts w:hint="eastAsia" w:ascii="宋体" w:hAnsi="宋体" w:cs="宋体"/>
          <w:color w:val="auto"/>
          <w:szCs w:val="21"/>
          <w:lang w:eastAsia="zh-CN"/>
        </w:rPr>
        <w:t>）</w:t>
      </w:r>
      <w:r>
        <w:rPr>
          <w:rFonts w:hint="eastAsia" w:ascii="宋体" w:hAnsi="宋体" w:cs="宋体"/>
          <w:color w:val="auto"/>
          <w:szCs w:val="21"/>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CB777BD">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14:paraId="581AADF6">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.3供应商有下列情形之一的，资格审查不通过，其响应文件按无效响应处理：</w:t>
      </w:r>
    </w:p>
    <w:p w14:paraId="4B9925A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14:paraId="7919774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）响应文件未提供任一项“供应商须知前附表”资格证明文件规定的“必须提供”的文件资料的；</w:t>
      </w:r>
    </w:p>
    <w:p w14:paraId="40165AF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）响应文件提供的资格证明文件出现任一项不符合“供应商须知前附表”资格证明文件规定的“必须提供”的文件资料要求或者无效的。</w:t>
      </w:r>
    </w:p>
    <w:p w14:paraId="6BF17390">
      <w:pPr>
        <w:spacing w:line="360" w:lineRule="auto"/>
        <w:ind w:firstLine="420" w:firstLineChars="200"/>
        <w:rPr>
          <w:rFonts w:hint="eastAsia" w:ascii="宋体" w:hAnsi="宋体" w:cs="宋体"/>
          <w:color w:val="auto"/>
          <w:szCs w:val="21"/>
        </w:rPr>
      </w:pPr>
      <w:bookmarkStart w:id="80" w:name="_Hlk68601553"/>
      <w:r>
        <w:rPr>
          <w:rFonts w:hint="eastAsia" w:ascii="宋体" w:hAnsi="宋体" w:cs="宋体"/>
          <w:color w:val="auto"/>
          <w:szCs w:val="21"/>
        </w:rPr>
        <w:t>（4）同一合同项下的不同供应商，单位负责人为同一人或者存在直接控股、管理关系的；为本项目提供过整体设计、规范编制或者项目管理、监理、检测等服务的。</w:t>
      </w:r>
      <w:bookmarkEnd w:id="80"/>
    </w:p>
    <w:p w14:paraId="009A430D">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采购人或者采购代理机构应当重新开展采购活动。</w:t>
      </w:r>
    </w:p>
    <w:p w14:paraId="1A1479B1">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2.符合性审查</w:t>
      </w:r>
    </w:p>
    <w:p w14:paraId="4ADB7A6A">
      <w:pPr>
        <w:spacing w:line="360" w:lineRule="auto"/>
        <w:ind w:firstLine="420" w:firstLineChars="200"/>
        <w:rPr>
          <w:rFonts w:ascii="宋体" w:hAnsi="宋体" w:cs="宋体"/>
          <w:color w:val="auto"/>
          <w:szCs w:val="21"/>
        </w:rPr>
      </w:pPr>
      <w:bookmarkStart w:id="81" w:name="_Hlk42528882"/>
      <w:r>
        <w:rPr>
          <w:rFonts w:ascii="宋体" w:hAnsi="宋体" w:cs="宋体"/>
          <w:color w:val="auto"/>
          <w:szCs w:val="21"/>
        </w:rPr>
        <w:t>2.1</w:t>
      </w:r>
      <w:r>
        <w:rPr>
          <w:rFonts w:hint="eastAsia" w:ascii="宋体" w:hAnsi="宋体" w:cs="宋体"/>
          <w:color w:val="auto"/>
          <w:szCs w:val="21"/>
        </w:rPr>
        <w:t>由磋商小组对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81"/>
    <w:p w14:paraId="39B50CAE">
      <w:pPr>
        <w:spacing w:line="360" w:lineRule="auto"/>
        <w:ind w:firstLine="420" w:firstLineChars="200"/>
        <w:rPr>
          <w:rFonts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E66458B">
      <w:pPr>
        <w:spacing w:line="360" w:lineRule="auto"/>
        <w:ind w:firstLine="420" w:firstLineChars="200"/>
        <w:rPr>
          <w:rFonts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加盖公章。由委托代理人签字的，</w:t>
      </w:r>
      <w:r>
        <w:rPr>
          <w:rFonts w:hint="eastAsia" w:ascii="宋体" w:hAnsi="宋体" w:cs="宋体"/>
          <w:bCs/>
          <w:color w:val="auto"/>
          <w:szCs w:val="21"/>
        </w:rPr>
        <w:t>若委托代理人不是响应文件中授权的委托代理人时，必须同时出示有效的法定代表人授权委托书原件</w:t>
      </w:r>
      <w:r>
        <w:rPr>
          <w:rFonts w:hint="eastAsia" w:ascii="宋体" w:hAnsi="宋体" w:cs="宋体"/>
          <w:color w:val="auto"/>
          <w:spacing w:val="-6"/>
          <w:szCs w:val="21"/>
        </w:rPr>
        <w:t>。供应商为自然人的，必须由本人签字并附身份证明。</w:t>
      </w:r>
    </w:p>
    <w:p w14:paraId="4C638303">
      <w:pPr>
        <w:spacing w:line="360" w:lineRule="auto"/>
        <w:ind w:firstLine="396" w:firstLineChars="200"/>
        <w:rPr>
          <w:rFonts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14:paraId="41544B77">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5D4CBDFF">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14:paraId="0C75E213">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1130522E">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1EFAC153">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w:t>
      </w:r>
      <w:r>
        <w:rPr>
          <w:rFonts w:hint="eastAsia" w:ascii="宋体" w:hAnsi="宋体" w:cs="宋体"/>
          <w:color w:val="auto"/>
          <w:szCs w:val="21"/>
          <w:lang w:eastAsia="zh-CN"/>
        </w:rPr>
        <w:t>－</w:t>
      </w:r>
      <w:r>
        <w:rPr>
          <w:rFonts w:hint="eastAsia" w:ascii="宋体" w:hAnsi="宋体" w:cs="宋体"/>
          <w:color w:val="auto"/>
          <w:szCs w:val="21"/>
        </w:rPr>
        <w:t>（4）规定的顺序逐条进行修正。修正后的报价经供应商确认后产生约束力，供应商不确认的，其响应文件按无效响应处理。</w:t>
      </w:r>
    </w:p>
    <w:p w14:paraId="33ED636F">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13B712B8">
      <w:pPr>
        <w:spacing w:line="360" w:lineRule="auto"/>
        <w:ind w:firstLine="420" w:firstLineChars="200"/>
        <w:rPr>
          <w:rFonts w:ascii="宋体" w:hAnsi="宋体" w:cs="宋体"/>
          <w:color w:val="auto"/>
          <w:szCs w:val="21"/>
        </w:rPr>
      </w:pPr>
      <w:r>
        <w:rPr>
          <w:rFonts w:hint="eastAsia" w:ascii="宋体" w:hAnsi="宋体" w:cs="宋体"/>
          <w:color w:val="auto"/>
          <w:szCs w:val="21"/>
        </w:rPr>
        <w:t>在评审时，如发现下列情形之一的，将被视为响应文件无效处理：</w:t>
      </w:r>
    </w:p>
    <w:p w14:paraId="5342C8FE">
      <w:pPr>
        <w:spacing w:line="360" w:lineRule="auto"/>
        <w:ind w:firstLine="420" w:firstLineChars="200"/>
        <w:rPr>
          <w:rFonts w:ascii="宋体" w:hAnsi="宋体" w:cs="宋体"/>
          <w:color w:val="auto"/>
          <w:szCs w:val="21"/>
        </w:rPr>
      </w:pPr>
      <w:r>
        <w:rPr>
          <w:rFonts w:hint="eastAsia" w:ascii="宋体" w:hAnsi="宋体" w:cs="宋体"/>
          <w:color w:val="auto"/>
          <w:szCs w:val="21"/>
        </w:rPr>
        <w:t>（1）商务技术评审</w:t>
      </w:r>
    </w:p>
    <w:p w14:paraId="296E7EBA">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）响应文件未按磋商文件要求签署、盖章；</w:t>
      </w:r>
    </w:p>
    <w:p w14:paraId="2FCFE802">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 xml:space="preserve">）委托代理人未能出具有效身份证明或者出具的身份证明与授权委托书中的信息不符； </w:t>
      </w:r>
    </w:p>
    <w:p w14:paraId="59E263CF">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）提交的磋商保证金无效的或者未按照磋商文件的规定提交磋商保证金；</w:t>
      </w:r>
    </w:p>
    <w:p w14:paraId="24B68FDC">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704964D9">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）未对竞标有效期作出响应或者响应文件承诺的竞标有效期不满足磋商文件要求；</w:t>
      </w:r>
    </w:p>
    <w:p w14:paraId="36A47069">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）响应文件的实质性内容未使用中文表述、使用计量单位不符合磋商文件要求；</w:t>
      </w:r>
    </w:p>
    <w:p w14:paraId="60946D96">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）响应文件中的文件资料因填写不齐全或者内容虚假或者出现其他情形而导致被磋商小组认定无效；</w:t>
      </w:r>
    </w:p>
    <w:p w14:paraId="3D696869">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）响应文件含有采购人不能接受的附加条件；</w:t>
      </w:r>
    </w:p>
    <w:p w14:paraId="1D9DDEED">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9</w:t>
      </w:r>
      <w:r>
        <w:rPr>
          <w:rFonts w:hint="eastAsia" w:ascii="宋体" w:hAnsi="宋体" w:cs="宋体"/>
          <w:color w:val="auto"/>
          <w:szCs w:val="21"/>
        </w:rPr>
        <w:t>）属于“供应商须知正文”第7.</w:t>
      </w:r>
      <w:r>
        <w:rPr>
          <w:rFonts w:ascii="宋体" w:hAnsi="宋体" w:cs="宋体"/>
          <w:color w:val="auto"/>
          <w:szCs w:val="21"/>
        </w:rPr>
        <w:t>5</w:t>
      </w:r>
      <w:r>
        <w:rPr>
          <w:rFonts w:hint="eastAsia" w:ascii="宋体" w:hAnsi="宋体" w:cs="宋体"/>
          <w:color w:val="auto"/>
          <w:szCs w:val="21"/>
        </w:rPr>
        <w:t>条情形；</w:t>
      </w:r>
    </w:p>
    <w:p w14:paraId="0A73F0B4">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0</w:t>
      </w:r>
      <w:r>
        <w:rPr>
          <w:rFonts w:hint="eastAsia" w:ascii="宋体" w:hAnsi="宋体" w:cs="宋体"/>
          <w:color w:val="auto"/>
          <w:szCs w:val="21"/>
        </w:rPr>
        <w:t>）虚假竞标，或者出现其他情形而导致被磋商小组认定无效；</w:t>
      </w:r>
    </w:p>
    <w:p w14:paraId="4BD2EBF5">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1</w:t>
      </w:r>
      <w:r>
        <w:rPr>
          <w:rFonts w:hint="eastAsia" w:ascii="宋体" w:hAnsi="宋体" w:cs="宋体"/>
          <w:color w:val="auto"/>
          <w:szCs w:val="21"/>
        </w:rPr>
        <w:t>）竞标技术方案不明确，磋商文件未允许</w:t>
      </w:r>
      <w:r>
        <w:rPr>
          <w:rFonts w:hint="eastAsia" w:ascii="宋体" w:hAnsi="宋体"/>
          <w:color w:val="auto"/>
          <w:szCs w:val="21"/>
        </w:rPr>
        <w:t>但响应文件中</w:t>
      </w:r>
      <w:r>
        <w:rPr>
          <w:rFonts w:hint="eastAsia" w:ascii="宋体" w:hAnsi="宋体" w:cs="宋体"/>
          <w:color w:val="auto"/>
          <w:szCs w:val="21"/>
        </w:rPr>
        <w:t>存在一个或者一个以上备选（替代）竞标方案；</w:t>
      </w:r>
    </w:p>
    <w:p w14:paraId="0CEB2493">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2</w:t>
      </w:r>
      <w:r>
        <w:rPr>
          <w:rFonts w:hint="eastAsia" w:ascii="宋体" w:hAnsi="宋体" w:cs="宋体"/>
          <w:color w:val="auto"/>
          <w:szCs w:val="21"/>
        </w:rPr>
        <w:t>）未响应磋商文件实质性要求；</w:t>
      </w:r>
    </w:p>
    <w:p w14:paraId="4117E9D1">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lang w:eastAsia="zh-CN"/>
        </w:rPr>
        <w:t>法律法规</w:t>
      </w:r>
      <w:r>
        <w:rPr>
          <w:rFonts w:hint="eastAsia" w:ascii="宋体" w:hAnsi="宋体" w:cs="宋体"/>
          <w:color w:val="auto"/>
          <w:szCs w:val="21"/>
        </w:rPr>
        <w:t>和磋商文件规定的其他无效情形。</w:t>
      </w:r>
    </w:p>
    <w:p w14:paraId="09C2B1B9">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）报价评审</w:t>
      </w:r>
    </w:p>
    <w:p w14:paraId="7E569071">
      <w:pPr>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1）</w:t>
      </w:r>
      <w:r>
        <w:rPr>
          <w:rFonts w:ascii="宋体" w:hAnsi="宋体" w:cs="宋体"/>
          <w:color w:val="auto"/>
          <w:szCs w:val="21"/>
        </w:rPr>
        <w:t xml:space="preserve"> </w:t>
      </w:r>
      <w:r>
        <w:rPr>
          <w:rFonts w:hint="eastAsia" w:ascii="宋体" w:hAnsi="宋体" w:cs="宋体"/>
          <w:color w:val="auto"/>
          <w:szCs w:val="21"/>
        </w:rPr>
        <w:t>响应文件未提供“供应商须知前附表” 报价商务技术文件中规定的“竞标报价表”；</w:t>
      </w:r>
    </w:p>
    <w:p w14:paraId="03F2CA3B">
      <w:pPr>
        <w:spacing w:line="360" w:lineRule="auto"/>
        <w:ind w:firstLine="420" w:firstLineChars="200"/>
        <w:rPr>
          <w:rFonts w:ascii="宋体" w:hAnsi="宋体" w:cs="宋体"/>
          <w:color w:val="auto"/>
          <w:szCs w:val="21"/>
        </w:rPr>
      </w:pPr>
      <w:r>
        <w:rPr>
          <w:rFonts w:hint="eastAsia" w:ascii="宋体" w:hAnsi="宋体" w:cs="宋体"/>
          <w:color w:val="auto"/>
          <w:szCs w:val="21"/>
        </w:rPr>
        <w:t>2）未采用人民币报价或者未按照磋商文件标明的币种报价；</w:t>
      </w:r>
    </w:p>
    <w:p w14:paraId="33C4DD9E">
      <w:pPr>
        <w:spacing w:line="360" w:lineRule="auto"/>
        <w:ind w:firstLine="420" w:firstLineChars="200"/>
        <w:rPr>
          <w:rFonts w:ascii="宋体" w:hAnsi="宋体" w:cs="宋体"/>
          <w:color w:val="auto"/>
          <w:szCs w:val="21"/>
        </w:rPr>
      </w:pPr>
      <w:r>
        <w:rPr>
          <w:rFonts w:hint="eastAsia" w:ascii="宋体" w:hAnsi="宋体" w:cs="宋体"/>
          <w:color w:val="auto"/>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3A0BE20">
      <w:pPr>
        <w:spacing w:line="360" w:lineRule="auto"/>
        <w:ind w:firstLine="420" w:firstLineChars="200"/>
        <w:rPr>
          <w:rFonts w:ascii="宋体" w:hAnsi="宋体" w:cs="宋体"/>
          <w:color w:val="auto"/>
          <w:szCs w:val="21"/>
        </w:rPr>
      </w:pPr>
      <w:r>
        <w:rPr>
          <w:rFonts w:hint="eastAsia" w:ascii="宋体" w:hAnsi="宋体" w:cs="宋体"/>
          <w:color w:val="auto"/>
          <w:szCs w:val="21"/>
        </w:rPr>
        <w:t>4）竞标报价（包含首次报价、最后报价）超过所竞标分标规定的采购预算金额或者最高限价的（如本项目公布了最高限价）；</w:t>
      </w:r>
      <w:bookmarkStart w:id="82" w:name="_Hlk42596405"/>
      <w:r>
        <w:rPr>
          <w:rFonts w:hint="eastAsia" w:ascii="宋体" w:hAnsi="宋体" w:cs="宋体"/>
          <w:color w:val="auto"/>
          <w:szCs w:val="21"/>
        </w:rPr>
        <w:t>竞标报价（包含首次报价、最后报价）</w:t>
      </w:r>
      <w:bookmarkEnd w:id="82"/>
      <w:bookmarkStart w:id="83" w:name="_Hlk42596276"/>
      <w:r>
        <w:rPr>
          <w:rFonts w:hint="eastAsia" w:ascii="宋体" w:hAnsi="宋体" w:cs="宋体"/>
          <w:color w:val="auto"/>
          <w:szCs w:val="21"/>
        </w:rPr>
        <w:t>超过磋商文件分项采购预算金额或者最高限价的</w:t>
      </w:r>
      <w:bookmarkEnd w:id="83"/>
      <w:r>
        <w:rPr>
          <w:rFonts w:hint="eastAsia" w:ascii="宋体" w:hAnsi="宋体" w:cs="宋体"/>
          <w:color w:val="auto"/>
          <w:szCs w:val="21"/>
        </w:rPr>
        <w:t>（如本项目公布了最高限价）；</w:t>
      </w:r>
    </w:p>
    <w:p w14:paraId="32B1BEDA">
      <w:pPr>
        <w:spacing w:line="360" w:lineRule="auto"/>
        <w:ind w:firstLine="420" w:firstLineChars="200"/>
        <w:rPr>
          <w:rFonts w:ascii="宋体" w:hAnsi="宋体" w:cs="宋体"/>
          <w:color w:val="auto"/>
          <w:szCs w:val="21"/>
        </w:rPr>
      </w:pPr>
      <w:r>
        <w:rPr>
          <w:rFonts w:hint="eastAsia" w:ascii="宋体" w:hAnsi="宋体" w:cs="宋体"/>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164700A1">
      <w:pPr>
        <w:spacing w:line="360" w:lineRule="auto"/>
        <w:ind w:firstLine="420" w:firstLineChars="200"/>
        <w:rPr>
          <w:rFonts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磋商小组对响应文件进行评审，未实质性响应磋商文件的响应文件按无效处理，由磋商小组告知有关供应商。磋商小组从符合磋商文件规定的相应资格条件的供应商名单中确定不少于3家的供应商参加磋商。</w:t>
      </w:r>
    </w:p>
    <w:p w14:paraId="2EC30F62">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通过符合性审查的合格供应商不足3家的，不得进入磋商环节，采购人或者采购代理机构应当重新开展采购活动。</w:t>
      </w:r>
    </w:p>
    <w:p w14:paraId="0C5CCB9F">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3.磋商</w:t>
      </w:r>
    </w:p>
    <w:p w14:paraId="18170408">
      <w:pPr>
        <w:spacing w:line="360" w:lineRule="auto"/>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.磋商的程序</w:t>
      </w:r>
    </w:p>
    <w:p w14:paraId="3F0DC207">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磋商小组按照“供应商须知前附表”</w:t>
      </w:r>
      <w:r>
        <w:rPr>
          <w:rFonts w:hint="eastAsia" w:ascii="宋体" w:hAnsi="宋体" w:cs="宋体"/>
          <w:color w:val="auto"/>
          <w:szCs w:val="21"/>
        </w:rPr>
        <w:t xml:space="preserve"> </w:t>
      </w:r>
      <w:r>
        <w:rPr>
          <w:rFonts w:hint="eastAsia" w:ascii="宋体" w:hAnsi="宋体" w:cs="宋体"/>
          <w:color w:val="auto"/>
          <w:kern w:val="0"/>
          <w:szCs w:val="21"/>
        </w:rPr>
        <w:t>确定的</w:t>
      </w:r>
      <w:r>
        <w:rPr>
          <w:rFonts w:hint="eastAsia" w:ascii="宋体" w:hAnsi="宋体" w:cs="宋体"/>
          <w:color w:val="auto"/>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D707603">
      <w:pPr>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D8D3A4C">
      <w:pPr>
        <w:spacing w:line="360" w:lineRule="auto"/>
        <w:ind w:firstLine="420" w:firstLineChars="200"/>
        <w:rPr>
          <w:rFonts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对磋商文件作出的实质性变动是磋商文件的有效组成部分，由磋商小组及时以书面形式同时通知所有参加磋商的供应商。</w:t>
      </w:r>
    </w:p>
    <w:p w14:paraId="604405C0">
      <w:pPr>
        <w:spacing w:line="360" w:lineRule="auto"/>
        <w:ind w:firstLine="420" w:firstLineChars="200"/>
        <w:rPr>
          <w:rFonts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供应商必须按照磋商文件的变动情况和磋商小组的要求重新提交响应文件，并由其法定代表人或者授权代表签字或者加盖公章。由委托代理人签字的，</w:t>
      </w:r>
      <w:r>
        <w:rPr>
          <w:rFonts w:hint="eastAsia" w:ascii="宋体" w:hAnsi="宋体" w:cs="宋体"/>
          <w:bCs/>
          <w:color w:val="auto"/>
          <w:szCs w:val="21"/>
        </w:rPr>
        <w:t>若委托代理人不是响应文件中授权的委托代理人时，必须同时出示有效的法定代表人授权委托书原件</w:t>
      </w:r>
      <w:r>
        <w:rPr>
          <w:rFonts w:hint="eastAsia" w:ascii="宋体" w:hAnsi="宋体" w:cs="宋体"/>
          <w:color w:val="auto"/>
          <w:szCs w:val="21"/>
        </w:rPr>
        <w:t>。供应商为自然人的，必须由本人签字并附身份证明。参加磋商的供应商未在规定时间内重新提交响应文件的，视同</w:t>
      </w:r>
      <w:bookmarkStart w:id="84" w:name="_Hlk55814495"/>
      <w:r>
        <w:rPr>
          <w:rFonts w:hint="eastAsia" w:ascii="宋体" w:hAnsi="宋体" w:cs="宋体"/>
          <w:color w:val="auto"/>
          <w:szCs w:val="21"/>
        </w:rPr>
        <w:t>退出磋商</w:t>
      </w:r>
      <w:bookmarkEnd w:id="84"/>
      <w:r>
        <w:rPr>
          <w:rFonts w:hint="eastAsia" w:ascii="宋体" w:hAnsi="宋体" w:cs="宋体"/>
          <w:color w:val="auto"/>
          <w:szCs w:val="21"/>
        </w:rPr>
        <w:t>，其响应文件作无效处理。</w:t>
      </w:r>
    </w:p>
    <w:p w14:paraId="33D107FE">
      <w:pPr>
        <w:spacing w:line="360" w:lineRule="auto"/>
        <w:ind w:firstLine="420" w:firstLineChars="200"/>
        <w:rPr>
          <w:rFonts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w:t>
      </w:r>
      <w:r>
        <w:rPr>
          <w:rFonts w:hint="eastAsia" w:ascii="宋体" w:hAnsi="宋体" w:cs="宋体"/>
          <w:color w:val="auto"/>
          <w:spacing w:val="-6"/>
          <w:szCs w:val="21"/>
        </w:rPr>
        <w:t>磋商的任何一方不得透露与磋商有关的其他供应商的技术资料、价格和其他信息。</w:t>
      </w:r>
    </w:p>
    <w:p w14:paraId="63076FC7">
      <w:pPr>
        <w:widowControl/>
        <w:tabs>
          <w:tab w:val="left" w:pos="540"/>
        </w:tabs>
        <w:spacing w:line="360" w:lineRule="auto"/>
        <w:ind w:firstLine="420" w:firstLineChars="200"/>
        <w:jc w:val="left"/>
        <w:rPr>
          <w:rFonts w:hint="eastAsia" w:ascii="宋体" w:hAnsi="宋体" w:cs="宋体"/>
          <w:color w:val="auto"/>
          <w:spacing w:val="-6"/>
          <w:szCs w:val="21"/>
        </w:rPr>
      </w:pPr>
      <w:r>
        <w:rPr>
          <w:rFonts w:ascii="宋体" w:hAnsi="宋体" w:cs="宋体"/>
          <w:color w:val="auto"/>
          <w:szCs w:val="21"/>
        </w:rPr>
        <w:t>3.6</w:t>
      </w:r>
      <w:r>
        <w:rPr>
          <w:rFonts w:hint="eastAsia" w:ascii="宋体" w:hAnsi="宋体" w:cs="宋体"/>
          <w:color w:val="auto"/>
          <w:szCs w:val="21"/>
        </w:rPr>
        <w:t>磋商小组应对磋商过程和重要磋商内容进行记录，作为评标报告一部分，磋商小组在记录上签字确认。</w:t>
      </w:r>
      <w:r>
        <w:rPr>
          <w:rFonts w:hint="eastAsia" w:ascii="宋体" w:hAnsi="宋体" w:cs="宋体"/>
          <w:color w:val="auto"/>
          <w:spacing w:val="-6"/>
          <w:szCs w:val="21"/>
        </w:rPr>
        <w:t>主要内容包括：</w:t>
      </w:r>
    </w:p>
    <w:p w14:paraId="19B69947">
      <w:pPr>
        <w:pStyle w:val="38"/>
        <w:spacing w:before="0"/>
        <w:ind w:firstLine="396"/>
        <w:rPr>
          <w:rFonts w:ascii="宋体" w:hAnsi="宋体" w:cs="宋体"/>
          <w:color w:val="auto"/>
          <w:spacing w:val="-6"/>
          <w:kern w:val="2"/>
          <w:sz w:val="21"/>
          <w:szCs w:val="21"/>
        </w:rPr>
      </w:pPr>
      <w:r>
        <w:rPr>
          <w:rFonts w:hint="eastAsia" w:ascii="宋体" w:hAnsi="宋体" w:cs="宋体"/>
          <w:color w:val="auto"/>
          <w:spacing w:val="-6"/>
          <w:kern w:val="2"/>
          <w:sz w:val="21"/>
          <w:szCs w:val="21"/>
        </w:rPr>
        <w:t>（1）按照相关规定进行公示的，公示情况说明；</w:t>
      </w:r>
    </w:p>
    <w:p w14:paraId="4124CB67">
      <w:pPr>
        <w:pStyle w:val="38"/>
        <w:spacing w:before="0"/>
        <w:ind w:firstLine="396"/>
        <w:rPr>
          <w:rFonts w:ascii="宋体" w:hAnsi="宋体" w:cs="宋体"/>
          <w:color w:val="auto"/>
          <w:spacing w:val="-6"/>
          <w:kern w:val="2"/>
          <w:sz w:val="21"/>
          <w:szCs w:val="21"/>
        </w:rPr>
      </w:pPr>
      <w:r>
        <w:rPr>
          <w:rFonts w:hint="eastAsia" w:ascii="宋体" w:hAnsi="宋体" w:cs="宋体"/>
          <w:color w:val="auto"/>
          <w:spacing w:val="-6"/>
          <w:kern w:val="2"/>
          <w:sz w:val="21"/>
          <w:szCs w:val="21"/>
        </w:rPr>
        <w:t>（2）磋商日期和地点，磋商人员名单；</w:t>
      </w:r>
    </w:p>
    <w:p w14:paraId="69EDAD79">
      <w:pPr>
        <w:pStyle w:val="38"/>
        <w:spacing w:before="0"/>
        <w:ind w:firstLine="396"/>
        <w:rPr>
          <w:rFonts w:hint="eastAsia" w:ascii="宋体" w:hAnsi="宋体" w:cs="宋体"/>
          <w:color w:val="auto"/>
          <w:spacing w:val="-6"/>
          <w:kern w:val="2"/>
          <w:sz w:val="21"/>
          <w:szCs w:val="21"/>
        </w:rPr>
      </w:pPr>
      <w:r>
        <w:rPr>
          <w:rFonts w:hint="eastAsia" w:ascii="宋体" w:hAnsi="宋体" w:cs="宋体"/>
          <w:color w:val="auto"/>
          <w:spacing w:val="-6"/>
          <w:kern w:val="2"/>
          <w:sz w:val="21"/>
          <w:szCs w:val="21"/>
        </w:rPr>
        <w:t>（3）合同主要条款及价格商定情况。</w:t>
      </w:r>
    </w:p>
    <w:p w14:paraId="383ED714">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3.7</w:t>
      </w:r>
      <w:r>
        <w:rPr>
          <w:rFonts w:hint="eastAsia" w:ascii="宋体" w:hAnsi="宋体" w:cs="宋体"/>
          <w:color w:val="auto"/>
          <w:szCs w:val="21"/>
        </w:rPr>
        <w:t>磋商过程中重新提交的响应文件，供应商可以在开启前补充、修改。</w:t>
      </w:r>
    </w:p>
    <w:p w14:paraId="61F4CBC9">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3.8</w:t>
      </w:r>
      <w:r>
        <w:rPr>
          <w:rFonts w:ascii="宋体" w:hAnsi="宋体"/>
          <w:color w:val="auto"/>
          <w:szCs w:val="21"/>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54A54B7">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3.9</w:t>
      </w:r>
      <w:r>
        <w:rPr>
          <w:rFonts w:hint="eastAsia" w:ascii="宋体" w:hAnsi="宋体"/>
          <w:color w:val="auto"/>
          <w:szCs w:val="21"/>
        </w:rPr>
        <w:t>对磋商过程提交的响应文件进行有效性、完整性和响应程度审查，通过审查的合格供应商不足3家的，除本章第</w:t>
      </w:r>
      <w:r>
        <w:rPr>
          <w:rFonts w:ascii="宋体" w:hAnsi="宋体"/>
          <w:color w:val="auto"/>
          <w:szCs w:val="21"/>
        </w:rPr>
        <w:t>3.8</w:t>
      </w:r>
      <w:r>
        <w:rPr>
          <w:rFonts w:hint="eastAsia" w:ascii="宋体" w:hAnsi="宋体"/>
          <w:color w:val="auto"/>
          <w:szCs w:val="21"/>
        </w:rPr>
        <w:t>条的情形外，采购人或者采购代理机构应当重新开展采购活动。</w:t>
      </w:r>
    </w:p>
    <w:p w14:paraId="64706385">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4. 最后报价</w:t>
      </w:r>
    </w:p>
    <w:p w14:paraId="3D4949CE">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磋商文件能够详细列明采购标的的技术、服务要求的，磋商结束后，由磋商小组要求所有继续参加磋商的供应商在规定时间内密封提交最后报价，提交最后报价的供应商不得少于3家，除本章第</w:t>
      </w:r>
      <w:r>
        <w:rPr>
          <w:rFonts w:ascii="宋体" w:hAnsi="宋体" w:cs="宋体"/>
          <w:color w:val="auto"/>
          <w:szCs w:val="21"/>
        </w:rPr>
        <w:t>4.3</w:t>
      </w:r>
      <w:r>
        <w:rPr>
          <w:rFonts w:hint="eastAsia" w:ascii="宋体" w:hAnsi="宋体" w:cs="宋体"/>
          <w:color w:val="auto"/>
          <w:szCs w:val="21"/>
        </w:rPr>
        <w:t>条外，否则必须重新采购。</w:t>
      </w:r>
    </w:p>
    <w:p w14:paraId="5BD790EE">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F42A87F">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最后报价是供应商响应文件的有效组成部分。符合《政府采购竞争性磋商采购方式管理暂行办法》（财库〔2014〕214号）第三条第四项“市场竞争不充分的科研项目，以及需要扶持的科技成果转化项目”和本章第</w:t>
      </w:r>
      <w:r>
        <w:rPr>
          <w:rFonts w:ascii="宋体" w:hAnsi="宋体" w:cs="宋体"/>
          <w:color w:val="auto"/>
          <w:szCs w:val="21"/>
        </w:rPr>
        <w:t>3.8</w:t>
      </w:r>
      <w:r>
        <w:rPr>
          <w:rFonts w:hint="eastAsia" w:ascii="宋体" w:hAnsi="宋体" w:cs="宋体"/>
          <w:color w:val="auto"/>
          <w:szCs w:val="21"/>
        </w:rPr>
        <w:t>条情形的，提交最后报价的供应商可以为2家。</w:t>
      </w:r>
    </w:p>
    <w:p w14:paraId="56404091">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已经提交响应文件的供应商，在提交最后报价之前，可以根据磋商情况退出磋商，退出磋商的供应商的响应文件按无效响应处理。采购人、采购代理机构将退还退出磋商的供应商的保证金。</w:t>
      </w:r>
    </w:p>
    <w:p w14:paraId="5A3D3684">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供应商未在规定时间内提交最后报价的，视为退出磋商，其响应文件作无效处理。</w:t>
      </w:r>
    </w:p>
    <w:p w14:paraId="149F0857">
      <w:pPr>
        <w:spacing w:line="360" w:lineRule="auto"/>
        <w:ind w:firstLine="420" w:firstLineChars="200"/>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磋商小组收齐某一分标最后报价后统一开启，磋商小组对最后报价进行有效性、完整性和响应程度的审查。</w:t>
      </w:r>
    </w:p>
    <w:p w14:paraId="23378FA7">
      <w:pPr>
        <w:spacing w:line="360" w:lineRule="auto"/>
        <w:ind w:firstLine="420" w:firstLineChars="200"/>
        <w:rPr>
          <w:rFonts w:ascii="宋体" w:hAnsi="宋体" w:cs="宋体"/>
          <w:color w:val="auto"/>
          <w:szCs w:val="21"/>
        </w:rPr>
      </w:pPr>
      <w:r>
        <w:rPr>
          <w:rFonts w:ascii="宋体" w:hAnsi="宋体" w:cs="宋体"/>
          <w:color w:val="auto"/>
          <w:szCs w:val="21"/>
        </w:rPr>
        <w:t>4.7</w:t>
      </w:r>
      <w:r>
        <w:rPr>
          <w:rFonts w:hint="eastAsia" w:ascii="宋体" w:hAnsi="宋体" w:cs="宋体"/>
          <w:color w:val="auto"/>
          <w:szCs w:val="21"/>
        </w:rPr>
        <w:t>响应文件最后报价出现前后不一致的，按照本章第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14:paraId="3D38C5E9">
      <w:pPr>
        <w:spacing w:line="360" w:lineRule="auto"/>
        <w:ind w:firstLine="420" w:firstLineChars="200"/>
        <w:rPr>
          <w:rFonts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14:paraId="742B9A18">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w:t>
      </w:r>
    </w:p>
    <w:p w14:paraId="7C8F017F">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14:paraId="779BE855">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56984092">
      <w:pPr>
        <w:spacing w:line="360" w:lineRule="auto"/>
        <w:ind w:firstLine="420" w:firstLineChars="200"/>
        <w:rPr>
          <w:rFonts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14:paraId="34942A90">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4.10 异常低价响应审查 </w:t>
      </w:r>
    </w:p>
    <w:p w14:paraId="3C91433E">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（1）磋商小组在评审中发现下列情形之一的，应当启动异常低价响应审查程序： </w:t>
      </w:r>
    </w:p>
    <w:p w14:paraId="48AE287C">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①响应报价低于全部通过符合性审查供应商响应报价平均值50%的，即响应报价＜全部通过符合性审查供应商响应报价平均值×50%； </w:t>
      </w:r>
    </w:p>
    <w:p w14:paraId="367F301A">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②响应报价低于通过符合性审查的次低报价供应商响应报价50%的，即响应报价＜通过符合性审查的次低报价供应商响应报价×50% ； </w:t>
      </w:r>
    </w:p>
    <w:p w14:paraId="30096E89">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③响应报价低于采购项目最高限价65%的，即响应报价＜采购项目最高限价×65%； </w:t>
      </w:r>
    </w:p>
    <w:p w14:paraId="36BB182B">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④磋商小组基于专业判断，认为供应商报价过低，有可能影响产品质量或者不能诚信履约的其他情形。 </w:t>
      </w:r>
    </w:p>
    <w:p w14:paraId="16AB3BB1">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 </w:t>
      </w:r>
    </w:p>
    <w:p w14:paraId="2F84C3B6">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磋商小组依据专业经验，参考同类项目中标（成交）价格、类似产品市场价格水平、行业人工费用标准、国家有关部门指导行业协会发布的行业平均成本等情况，对报价合理性进行判断。 </w:t>
      </w:r>
    </w:p>
    <w:p w14:paraId="79A1B02E">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相关供应商不能提供书面说明、证明材料，或者提供的书面说明、证明材料不能证明其报价合理性的，磋商小组应当将其作为无效响应处理。 </w:t>
      </w:r>
    </w:p>
    <w:p w14:paraId="4EB483E6">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0AD6BFD9">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异常低价响应审查的启动原因、审查意见和审查结果应当在评审报告中记录，并随供应商提供的相关书面说明及证明材料，以及磋商小组有关互联网浏览、查询历史一并归档。 </w:t>
      </w:r>
    </w:p>
    <w:p w14:paraId="309B11F1">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4.11 供应商出现最后报价按无效响应处理或者响应文件按无效处理时，磋商小组应当告知有关供应商。</w:t>
      </w:r>
    </w:p>
    <w:p w14:paraId="3F59669B">
      <w:pPr>
        <w:spacing w:line="360" w:lineRule="auto"/>
        <w:ind w:firstLine="420" w:firstLineChars="200"/>
        <w:rPr>
          <w:rFonts w:hint="eastAsia" w:ascii="宋体" w:hAnsi="宋体" w:eastAsia="宋体" w:cs="宋体"/>
          <w:b/>
          <w:bCs/>
          <w:color w:val="auto"/>
          <w:sz w:val="21"/>
          <w:szCs w:val="21"/>
        </w:rPr>
      </w:pPr>
      <w:r>
        <w:rPr>
          <w:rFonts w:ascii="宋体" w:hAnsi="宋体" w:cs="宋体"/>
          <w:color w:val="000000"/>
          <w:szCs w:val="21"/>
        </w:rPr>
        <w:t>4.1</w:t>
      </w:r>
      <w:r>
        <w:rPr>
          <w:rFonts w:hint="eastAsia" w:ascii="宋体" w:hAnsi="宋体" w:cs="宋体"/>
          <w:color w:val="000000"/>
          <w:szCs w:val="21"/>
          <w:lang w:val="en-US" w:eastAsia="zh-CN"/>
        </w:rPr>
        <w:t>2</w:t>
      </w:r>
      <w:r>
        <w:rPr>
          <w:rFonts w:hint="eastAsia" w:ascii="宋体" w:hAnsi="宋体" w:cs="宋体"/>
          <w:color w:val="000000"/>
          <w:szCs w:val="21"/>
        </w:rPr>
        <w:t>最后报价结束后，磋商小组不得再与供应商进行任何形式的商谈。</w:t>
      </w:r>
    </w:p>
    <w:p w14:paraId="7FC5EBF2">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5.比较与评价</w:t>
      </w:r>
    </w:p>
    <w:p w14:paraId="119F500D">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14:paraId="06EE1340">
      <w:pPr>
        <w:spacing w:line="360" w:lineRule="auto"/>
        <w:ind w:firstLine="420" w:firstLineChars="200"/>
        <w:rPr>
          <w:rFonts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14:paraId="27BB5929">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14:paraId="6E75BF0F">
      <w:pPr>
        <w:spacing w:line="360" w:lineRule="auto"/>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08CA9D55">
      <w:pPr>
        <w:spacing w:line="360" w:lineRule="auto"/>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108E82C7">
      <w:pPr>
        <w:spacing w:line="360" w:lineRule="auto"/>
        <w:ind w:firstLine="420"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2B220D55">
      <w:pPr>
        <w:spacing w:line="360" w:lineRule="auto"/>
        <w:ind w:firstLine="420" w:firstLineChars="200"/>
        <w:rPr>
          <w:rFonts w:ascii="宋体" w:hAnsi="宋体"/>
          <w:color w:val="auto"/>
          <w:kern w:val="0"/>
          <w:szCs w:val="21"/>
        </w:rPr>
      </w:pPr>
      <w:r>
        <w:rPr>
          <w:rFonts w:ascii="宋体" w:hAnsi="宋体" w:cs="宋体"/>
          <w:color w:val="auto"/>
          <w:szCs w:val="21"/>
        </w:rPr>
        <w:t>5.5</w:t>
      </w:r>
      <w:r>
        <w:rPr>
          <w:rFonts w:hint="eastAsia" w:ascii="宋体" w:hAnsi="宋体" w:cs="宋体"/>
          <w:color w:val="auto"/>
          <w:szCs w:val="21"/>
        </w:rPr>
        <w:t>由磋商小组根据综合评分情况，按照评审得分由高到低顺序推荐3名以上成交候选供应商，并编写评</w:t>
      </w:r>
      <w:r>
        <w:rPr>
          <w:rFonts w:hint="eastAsia" w:ascii="宋体" w:hAnsi="宋体"/>
          <w:color w:val="auto"/>
          <w:kern w:val="0"/>
          <w:szCs w:val="21"/>
        </w:rPr>
        <w:t>审报告。符合本章第</w:t>
      </w:r>
      <w:r>
        <w:rPr>
          <w:rFonts w:ascii="宋体" w:hAnsi="宋体"/>
          <w:color w:val="auto"/>
          <w:kern w:val="0"/>
          <w:szCs w:val="21"/>
        </w:rPr>
        <w:t>4.3</w:t>
      </w:r>
      <w:r>
        <w:rPr>
          <w:rFonts w:hint="eastAsia" w:ascii="宋体" w:hAnsi="宋体"/>
          <w:color w:val="auto"/>
          <w:kern w:val="0"/>
          <w:szCs w:val="21"/>
        </w:rPr>
        <w:t>条情形的，可以推荐2家成交候选供应商。评审得分相同的，按照最后报价由低到高的顺序推荐。评审得分且最后报价相同的，按照技术指标优劣顺序推荐。</w:t>
      </w:r>
    </w:p>
    <w:p w14:paraId="49DC23B3">
      <w:pPr>
        <w:spacing w:line="360" w:lineRule="auto"/>
        <w:ind w:firstLine="420" w:firstLineChars="200"/>
        <w:rPr>
          <w:rFonts w:ascii="宋体" w:hAnsi="宋体" w:cs="宋体"/>
          <w:color w:val="auto"/>
          <w:szCs w:val="21"/>
        </w:rPr>
      </w:pPr>
      <w:r>
        <w:rPr>
          <w:rFonts w:ascii="宋体" w:hAnsi="宋体"/>
          <w:color w:val="auto"/>
          <w:kern w:val="0"/>
          <w:szCs w:val="21"/>
        </w:rPr>
        <w:t>5.6</w:t>
      </w:r>
      <w:r>
        <w:rPr>
          <w:rFonts w:hint="eastAsia" w:ascii="宋体" w:hAnsi="宋体"/>
          <w:color w:val="auto"/>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17DE9D3">
      <w:pPr>
        <w:spacing w:line="360" w:lineRule="auto"/>
        <w:jc w:val="center"/>
        <w:rPr>
          <w:rFonts w:ascii="宋体" w:hAnsi="宋体"/>
          <w:b/>
          <w:color w:val="auto"/>
          <w:sz w:val="32"/>
          <w:szCs w:val="32"/>
        </w:rPr>
      </w:pPr>
      <w:r>
        <w:rPr>
          <w:rFonts w:hint="eastAsia" w:ascii="宋体" w:hAnsi="宋体"/>
          <w:b/>
          <w:color w:val="auto"/>
          <w:sz w:val="32"/>
          <w:szCs w:val="32"/>
        </w:rPr>
        <w:t>二、评审标准</w:t>
      </w:r>
    </w:p>
    <w:p w14:paraId="0BFE6A89">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宋体" w:hAnsi="宋体"/>
          <w:bCs/>
          <w:color w:val="auto"/>
          <w:szCs w:val="21"/>
        </w:rPr>
      </w:pPr>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评审依据：磋商小组将以磋商响应文件为评审依据，对供应商的响应文件内容按百分制打分。（计分方法按四舍五入取至百分位）</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16"/>
        <w:gridCol w:w="6810"/>
      </w:tblGrid>
      <w:tr w14:paraId="175E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14" w:type="dxa"/>
            <w:noWrap w:val="0"/>
            <w:vAlign w:val="center"/>
          </w:tcPr>
          <w:p w14:paraId="311A740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序号</w:t>
            </w:r>
          </w:p>
        </w:tc>
        <w:tc>
          <w:tcPr>
            <w:tcW w:w="1816" w:type="dxa"/>
            <w:noWrap w:val="0"/>
            <w:vAlign w:val="center"/>
          </w:tcPr>
          <w:p w14:paraId="3118A6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810" w:type="dxa"/>
            <w:noWrap w:val="0"/>
            <w:vAlign w:val="center"/>
          </w:tcPr>
          <w:p w14:paraId="50BF92D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评审因素具体内容</w:t>
            </w:r>
          </w:p>
        </w:tc>
      </w:tr>
      <w:tr w14:paraId="5581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noWrap w:val="0"/>
            <w:vAlign w:val="center"/>
          </w:tcPr>
          <w:p w14:paraId="03E9FDB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1</w:t>
            </w:r>
          </w:p>
        </w:tc>
        <w:tc>
          <w:tcPr>
            <w:tcW w:w="1816" w:type="dxa"/>
            <w:noWrap w:val="0"/>
            <w:vAlign w:val="center"/>
          </w:tcPr>
          <w:p w14:paraId="2D2A9B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价格分</w:t>
            </w:r>
          </w:p>
          <w:p w14:paraId="516060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lang w:eastAsia="zh-CN"/>
              </w:rPr>
              <w:t>（</w:t>
            </w:r>
            <w:r>
              <w:rPr>
                <w:rFonts w:hint="eastAsia" w:ascii="宋体" w:hAnsi="宋体" w:cs="Tahoma"/>
                <w:b/>
                <w:bCs/>
                <w:color w:val="auto"/>
                <w:kern w:val="0"/>
                <w:szCs w:val="21"/>
                <w:highlight w:val="none"/>
                <w:lang w:val="en-US" w:eastAsia="zh-CN"/>
              </w:rPr>
              <w:t>20</w:t>
            </w:r>
            <w:r>
              <w:rPr>
                <w:rFonts w:hint="eastAsia" w:hAnsi="宋体" w:cs="Courier New"/>
                <w:b/>
                <w:bCs/>
                <w:color w:val="auto"/>
                <w:kern w:val="2"/>
                <w:sz w:val="21"/>
                <w:highlight w:val="none"/>
                <w:lang w:val="en-US" w:eastAsia="zh-CN"/>
              </w:rPr>
              <w:t>分）</w:t>
            </w:r>
          </w:p>
          <w:p w14:paraId="2809A5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p>
        </w:tc>
        <w:tc>
          <w:tcPr>
            <w:tcW w:w="6810" w:type="dxa"/>
            <w:noWrap w:val="0"/>
            <w:vAlign w:val="top"/>
          </w:tcPr>
          <w:p w14:paraId="2943E2E3">
            <w:pPr>
              <w:pStyle w:val="15"/>
              <w:keepNext w:val="0"/>
              <w:keepLines w:val="0"/>
              <w:pageBreakBefore w:val="0"/>
              <w:numPr>
                <w:ilvl w:val="0"/>
                <w:numId w:val="5"/>
              </w:numPr>
              <w:kinsoku/>
              <w:wordWrap/>
              <w:overflowPunct/>
              <w:topLinePunct w:val="0"/>
              <w:autoSpaceDE/>
              <w:autoSpaceDN/>
              <w:bidi w:val="0"/>
              <w:adjustRightInd/>
              <w:snapToGrid/>
              <w:spacing w:line="400" w:lineRule="exact"/>
              <w:textAlignment w:val="auto"/>
              <w:rPr>
                <w:rFonts w:hint="eastAsia" w:hAnsi="宋体" w:cs="Courier New"/>
                <w:b/>
                <w:bCs/>
                <w:color w:val="auto"/>
                <w:kern w:val="2"/>
                <w:sz w:val="21"/>
                <w:szCs w:val="21"/>
                <w:highlight w:val="none"/>
                <w:lang w:val="en-US" w:eastAsia="zh-CN"/>
              </w:rPr>
            </w:pPr>
            <w:r>
              <w:rPr>
                <w:rFonts w:hint="eastAsia" w:hAnsi="宋体" w:cs="Courier New"/>
                <w:b/>
                <w:bCs/>
                <w:color w:val="auto"/>
                <w:kern w:val="2"/>
                <w:sz w:val="21"/>
                <w:szCs w:val="21"/>
                <w:highlight w:val="none"/>
                <w:lang w:val="en-US" w:eastAsia="zh-CN"/>
              </w:rPr>
              <w:t>政府采购政策扣除</w:t>
            </w:r>
          </w:p>
          <w:p w14:paraId="0F1E0480">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color w:val="auto"/>
                <w:highlight w:val="none"/>
                <w:lang w:val="en-US" w:eastAsia="zh-CN"/>
              </w:rPr>
            </w:pPr>
            <w:r>
              <w:rPr>
                <w:rFonts w:hint="eastAsia" w:ascii="宋体" w:hAnsi="宋体" w:eastAsia="宋体" w:cs="宋体"/>
                <w:bCs/>
                <w:color w:val="auto"/>
                <w:sz w:val="21"/>
                <w:szCs w:val="21"/>
                <w:highlight w:val="none"/>
                <w:lang w:val="en-US" w:eastAsia="zh-CN"/>
              </w:rPr>
              <w:t>本项目为专门面向中小企业采购的项目（供应商应为中小微企业、监狱企业、残疾人福利单位），因此不享受政府采购政策扣除。</w:t>
            </w:r>
          </w:p>
          <w:p w14:paraId="7493BE0E">
            <w:pPr>
              <w:pStyle w:val="15"/>
              <w:keepNext w:val="0"/>
              <w:keepLines w:val="0"/>
              <w:pageBreakBefore w:val="0"/>
              <w:kinsoku/>
              <w:wordWrap/>
              <w:overflowPunct/>
              <w:topLinePunct w:val="0"/>
              <w:autoSpaceDE/>
              <w:autoSpaceDN/>
              <w:bidi w:val="0"/>
              <w:adjustRightInd/>
              <w:snapToGrid/>
              <w:spacing w:line="400" w:lineRule="exact"/>
              <w:textAlignment w:val="auto"/>
              <w:outlineLvl w:val="0"/>
              <w:rPr>
                <w:rFonts w:hint="eastAsia" w:hAnsi="宋体"/>
                <w:b/>
                <w:color w:val="auto"/>
                <w:sz w:val="21"/>
                <w:szCs w:val="21"/>
                <w:highlight w:val="none"/>
                <w:lang w:val="en-US" w:eastAsia="zh-CN"/>
              </w:rPr>
            </w:pPr>
            <w:bookmarkStart w:id="85" w:name="_Toc25072"/>
            <w:r>
              <w:rPr>
                <w:rFonts w:hint="eastAsia" w:hAnsi="宋体"/>
                <w:b/>
                <w:color w:val="auto"/>
                <w:sz w:val="21"/>
                <w:szCs w:val="21"/>
                <w:highlight w:val="none"/>
                <w:lang w:val="en-US" w:eastAsia="zh-CN"/>
              </w:rPr>
              <w:t>二、</w:t>
            </w:r>
            <w:r>
              <w:rPr>
                <w:rFonts w:hint="eastAsia" w:hAnsi="宋体"/>
                <w:b/>
                <w:color w:val="auto"/>
                <w:sz w:val="21"/>
                <w:szCs w:val="21"/>
                <w:highlight w:val="none"/>
              </w:rPr>
              <w:t>报价</w:t>
            </w:r>
            <w:r>
              <w:rPr>
                <w:rFonts w:hint="eastAsia" w:hAnsi="宋体"/>
                <w:b/>
                <w:color w:val="auto"/>
                <w:sz w:val="21"/>
                <w:szCs w:val="21"/>
                <w:highlight w:val="none"/>
                <w:lang w:val="en-US" w:eastAsia="zh-CN"/>
              </w:rPr>
              <w:t>分（满分20分）</w:t>
            </w:r>
            <w:bookmarkEnd w:id="85"/>
          </w:p>
          <w:p w14:paraId="0A0EF5B2">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Cs/>
                <w:color w:val="auto"/>
                <w:sz w:val="21"/>
                <w:szCs w:val="21"/>
                <w:highlight w:val="none"/>
                <w:lang w:val="en-US" w:eastAsia="zh-CN"/>
              </w:rPr>
              <w:t>报价分采用低价优先法计算，满足采购文件要求且评标价最低的有效供应商的评标价为评标基准价，其报价分为满分。</w:t>
            </w:r>
          </w:p>
          <w:p w14:paraId="09881B0D">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2.其他供应商的价格分统一按照下列公式计算：</w:t>
            </w:r>
          </w:p>
          <w:p w14:paraId="776D6B6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hAnsi="宋体" w:eastAsia="宋体" w:cs="Courier New"/>
                <w:bCs/>
                <w:color w:val="auto"/>
                <w:kern w:val="2"/>
                <w:sz w:val="21"/>
                <w:highlight w:val="none"/>
                <w:lang w:val="en-US" w:eastAsia="zh-CN"/>
              </w:rPr>
            </w:pPr>
            <w:r>
              <w:rPr>
                <w:rFonts w:hint="eastAsia" w:ascii="宋体" w:hAnsi="宋体" w:eastAsia="宋体" w:cs="宋体"/>
                <w:bCs/>
                <w:color w:val="auto"/>
                <w:sz w:val="21"/>
                <w:szCs w:val="21"/>
                <w:highlight w:val="none"/>
                <w:lang w:val="en-US" w:eastAsia="zh-CN"/>
              </w:rPr>
              <w:t>某有效供应商的报价分=（评标基准价／某有效供应商评标价）×</w:t>
            </w:r>
            <w:r>
              <w:rPr>
                <w:rFonts w:hint="eastAsia"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lang w:val="en-US" w:eastAsia="zh-CN"/>
              </w:rPr>
              <w:t>分</w:t>
            </w:r>
          </w:p>
        </w:tc>
      </w:tr>
      <w:tr w14:paraId="43DF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4" w:type="dxa"/>
            <w:noWrap w:val="0"/>
            <w:vAlign w:val="center"/>
          </w:tcPr>
          <w:p w14:paraId="5A9F44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2</w:t>
            </w:r>
          </w:p>
        </w:tc>
        <w:tc>
          <w:tcPr>
            <w:tcW w:w="1816" w:type="dxa"/>
            <w:noWrap w:val="0"/>
            <w:vAlign w:val="center"/>
          </w:tcPr>
          <w:p w14:paraId="5932FE48">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ascii="宋体" w:hAnsi="宋体" w:cs="Tahoma"/>
                <w:b/>
                <w:bCs/>
                <w:color w:val="auto"/>
                <w:kern w:val="0"/>
                <w:szCs w:val="21"/>
                <w:highlight w:val="none"/>
              </w:rPr>
            </w:pPr>
            <w:r>
              <w:rPr>
                <w:rFonts w:hint="eastAsia" w:ascii="宋体" w:hAnsi="宋体" w:cs="Courier New"/>
                <w:b/>
                <w:bCs/>
                <w:color w:val="auto"/>
                <w:szCs w:val="21"/>
                <w:highlight w:val="none"/>
              </w:rPr>
              <w:t>技术分</w:t>
            </w:r>
            <w:r>
              <w:rPr>
                <w:rFonts w:hint="eastAsia" w:ascii="宋体" w:hAnsi="宋体" w:cs="Tahoma"/>
                <w:b/>
                <w:bCs/>
                <w:color w:val="auto"/>
                <w:kern w:val="0"/>
                <w:szCs w:val="21"/>
                <w:highlight w:val="none"/>
                <w:lang w:eastAsia="zh-CN"/>
              </w:rPr>
              <w:t>（</w:t>
            </w:r>
            <w:r>
              <w:rPr>
                <w:rFonts w:hint="eastAsia" w:ascii="宋体" w:hAnsi="宋体" w:cs="Tahoma"/>
                <w:b/>
                <w:bCs/>
                <w:color w:val="auto"/>
                <w:kern w:val="0"/>
                <w:szCs w:val="21"/>
                <w:highlight w:val="none"/>
                <w:lang w:val="en-US" w:eastAsia="zh-CN"/>
              </w:rPr>
              <w:t>70</w:t>
            </w:r>
            <w:r>
              <w:rPr>
                <w:rFonts w:hint="eastAsia" w:hAnsi="宋体" w:cs="Courier New"/>
                <w:b/>
                <w:bCs/>
                <w:color w:val="auto"/>
                <w:kern w:val="2"/>
                <w:sz w:val="21"/>
                <w:highlight w:val="none"/>
                <w:lang w:val="en-US" w:eastAsia="zh-CN"/>
              </w:rPr>
              <w:t>分）</w:t>
            </w:r>
          </w:p>
        </w:tc>
        <w:tc>
          <w:tcPr>
            <w:tcW w:w="6810" w:type="dxa"/>
            <w:noWrap w:val="0"/>
            <w:vAlign w:val="center"/>
          </w:tcPr>
          <w:p w14:paraId="5998F2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r>
      <w:tr w14:paraId="4570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714" w:type="dxa"/>
            <w:noWrap w:val="0"/>
            <w:vAlign w:val="center"/>
          </w:tcPr>
          <w:p w14:paraId="5F6B67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bCs/>
                <w:color w:val="auto"/>
                <w:kern w:val="0"/>
                <w:szCs w:val="21"/>
                <w:highlight w:val="none"/>
                <w:lang w:val="en-US" w:eastAsia="zh-CN"/>
              </w:rPr>
              <w:t>2.1</w:t>
            </w:r>
          </w:p>
        </w:tc>
        <w:tc>
          <w:tcPr>
            <w:tcW w:w="1816" w:type="dxa"/>
            <w:noWrap w:val="0"/>
            <w:vAlign w:val="center"/>
          </w:tcPr>
          <w:p w14:paraId="518451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主要施工方法</w:t>
            </w:r>
          </w:p>
          <w:p w14:paraId="432824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Cs/>
                <w:color w:val="auto"/>
                <w:kern w:val="0"/>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810" w:type="dxa"/>
            <w:noWrap w:val="0"/>
            <w:vAlign w:val="center"/>
          </w:tcPr>
          <w:p w14:paraId="07265DD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优（</w:t>
            </w:r>
            <w:r>
              <w:rPr>
                <w:rFonts w:hint="eastAsia" w:ascii="宋体" w:hAnsi="宋体" w:cs="宋体"/>
                <w:bCs/>
                <w:color w:val="auto"/>
                <w:kern w:val="0"/>
                <w:sz w:val="21"/>
                <w:szCs w:val="21"/>
                <w:highlight w:val="none"/>
                <w:lang w:val="en-US" w:eastAsia="zh-CN"/>
              </w:rPr>
              <w:t>10</w:t>
            </w:r>
            <w:r>
              <w:rPr>
                <w:rFonts w:hint="eastAsia" w:ascii="宋体" w:hAnsi="宋体" w:eastAsia="宋体" w:cs="宋体"/>
                <w:bCs/>
                <w:color w:val="auto"/>
                <w:kern w:val="0"/>
                <w:sz w:val="21"/>
                <w:szCs w:val="21"/>
                <w:highlight w:val="none"/>
              </w:rPr>
              <w:t>分）：各主要分部施工方法符合项目实际，有详尽的施工技术方案，工艺先进，方法科学合理、可行，能指导具体施工并确保安全。</w:t>
            </w:r>
          </w:p>
          <w:p w14:paraId="2311480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良（</w:t>
            </w:r>
            <w:r>
              <w:rPr>
                <w:rFonts w:hint="eastAsia" w:ascii="宋体" w:hAnsi="宋体" w:cs="宋体"/>
                <w:bCs/>
                <w:color w:val="auto"/>
                <w:kern w:val="0"/>
                <w:sz w:val="21"/>
                <w:szCs w:val="21"/>
                <w:highlight w:val="none"/>
                <w:lang w:val="en-US" w:eastAsia="zh-CN"/>
              </w:rPr>
              <w:t>7</w:t>
            </w:r>
            <w:r>
              <w:rPr>
                <w:rFonts w:hint="eastAsia" w:ascii="宋体" w:hAnsi="宋体" w:eastAsia="宋体" w:cs="宋体"/>
                <w:bCs/>
                <w:color w:val="auto"/>
                <w:kern w:val="0"/>
                <w:sz w:val="21"/>
                <w:szCs w:val="21"/>
                <w:highlight w:val="none"/>
              </w:rPr>
              <w:t>分</w:t>
            </w:r>
            <w:r>
              <w:rPr>
                <w:rFonts w:hint="eastAsia" w:ascii="宋体" w:hAnsi="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 xml:space="preserve"> 各主要分部施工方法较符合项目实际，有较详细的施工技术方案，施工工艺和方法合理、可行，能指导一般施工并确保安全等。</w:t>
            </w:r>
          </w:p>
          <w:p w14:paraId="3EA84F2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中</w:t>
            </w:r>
            <w:r>
              <w:rPr>
                <w:rFonts w:hint="eastAsia" w:ascii="宋体" w:hAnsi="宋体" w:cs="宋体"/>
                <w:bCs/>
                <w:color w:val="auto"/>
                <w:kern w:val="0"/>
                <w:sz w:val="21"/>
                <w:szCs w:val="21"/>
                <w:highlight w:val="none"/>
                <w:lang w:eastAsia="zh-CN"/>
              </w:rPr>
              <w:t>（</w:t>
            </w:r>
            <w:r>
              <w:rPr>
                <w:rFonts w:hint="eastAsia" w:ascii="宋体" w:hAnsi="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分</w:t>
            </w:r>
            <w:r>
              <w:rPr>
                <w:rFonts w:hint="eastAsia" w:ascii="宋体" w:hAnsi="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 xml:space="preserve"> 各主要分部施工方法基本符合项目实际，施工技术方案一般，施工工艺和方法基本可行，能指导一般施工。</w:t>
            </w:r>
          </w:p>
          <w:p w14:paraId="5BE65645">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kern w:val="0"/>
                <w:sz w:val="21"/>
                <w:szCs w:val="21"/>
                <w:highlight w:val="none"/>
              </w:rPr>
              <w:t>差（</w:t>
            </w:r>
            <w:r>
              <w:rPr>
                <w:rFonts w:hint="eastAsia" w:hAnsi="宋体" w:eastAsia="宋体" w:cs="宋体"/>
                <w:bCs/>
                <w:color w:val="auto"/>
                <w:kern w:val="0"/>
                <w:sz w:val="21"/>
                <w:szCs w:val="21"/>
                <w:highlight w:val="none"/>
                <w:lang w:val="en-US" w:eastAsia="zh-CN"/>
              </w:rPr>
              <w:t>0</w:t>
            </w:r>
            <w:r>
              <w:rPr>
                <w:rFonts w:hint="eastAsia" w:ascii="宋体" w:hAnsi="宋体" w:eastAsia="宋体" w:cs="宋体"/>
                <w:bCs/>
                <w:color w:val="auto"/>
                <w:kern w:val="0"/>
                <w:sz w:val="21"/>
                <w:szCs w:val="21"/>
                <w:highlight w:val="none"/>
              </w:rPr>
              <w:t>分）：无施工方法或各主要分部施工方法不符合项目实际，施工技术方案差，施工工艺和方法不合理、不可行，不能确保安全。</w:t>
            </w:r>
          </w:p>
        </w:tc>
      </w:tr>
      <w:tr w14:paraId="6011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noWrap w:val="0"/>
            <w:vAlign w:val="center"/>
          </w:tcPr>
          <w:p w14:paraId="4DBC90B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2.2</w:t>
            </w:r>
          </w:p>
        </w:tc>
        <w:tc>
          <w:tcPr>
            <w:tcW w:w="1816" w:type="dxa"/>
            <w:noWrap w:val="0"/>
            <w:vAlign w:val="center"/>
          </w:tcPr>
          <w:p w14:paraId="0E668B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拟投入的主要物资计划（</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6810" w:type="dxa"/>
            <w:noWrap w:val="0"/>
            <w:vAlign w:val="center"/>
          </w:tcPr>
          <w:p w14:paraId="664BA436">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分）：投入的施工材料有比较详细的组织计划且计划周密，数量、选型配置、进场时间安排非常合理，满足施工需要。</w:t>
            </w:r>
          </w:p>
          <w:p w14:paraId="430D964F">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分）：投入的施工材料有详细的组织计划且计划周密，数量、选型配置、进场时间安排合理，满足施工需要。</w:t>
            </w:r>
          </w:p>
          <w:p w14:paraId="095FBA4A">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中</w:t>
            </w:r>
            <w:r>
              <w:rPr>
                <w:rFonts w:hint="eastAsia" w:hAnsi="宋体" w:cs="宋体"/>
                <w:bCs/>
                <w:color w:val="auto"/>
                <w:sz w:val="21"/>
                <w:szCs w:val="21"/>
                <w:highlight w:val="none"/>
                <w:lang w:eastAsia="zh-CN"/>
              </w:rPr>
              <w:t>（</w:t>
            </w:r>
            <w:r>
              <w:rPr>
                <w:rFonts w:hint="eastAsia"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分）：投入的施工材料有基本的组织计划，数量、选型配置、进场时间安排基本合理，基本能满足施工需要。</w:t>
            </w:r>
          </w:p>
          <w:p w14:paraId="4FD5764A">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分）：投入的施工材料无组织计划或计划不周密，数量、选型配置、进场时间安排不合理，不能满足施工需要。</w:t>
            </w:r>
          </w:p>
        </w:tc>
      </w:tr>
      <w:tr w14:paraId="1020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714" w:type="dxa"/>
            <w:noWrap w:val="0"/>
            <w:vAlign w:val="center"/>
          </w:tcPr>
          <w:p w14:paraId="66AF0F3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2.3</w:t>
            </w:r>
          </w:p>
        </w:tc>
        <w:tc>
          <w:tcPr>
            <w:tcW w:w="1816" w:type="dxa"/>
            <w:noWrap w:val="0"/>
            <w:vAlign w:val="center"/>
          </w:tcPr>
          <w:p w14:paraId="155C5F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拟投入的主要施工机械、设备计划（</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6810" w:type="dxa"/>
            <w:noWrap w:val="0"/>
            <w:vAlign w:val="center"/>
          </w:tcPr>
          <w:p w14:paraId="454256AA">
            <w:pPr>
              <w:keepNext w:val="0"/>
              <w:keepLines w:val="0"/>
              <w:pageBreakBefore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优（</w:t>
            </w:r>
            <w:r>
              <w:rPr>
                <w:rFonts w:hint="eastAsia" w:ascii="宋体" w:hAnsi="宋体" w:cs="宋体"/>
                <w:bCs/>
                <w:color w:val="auto"/>
                <w:kern w:val="0"/>
                <w:sz w:val="21"/>
                <w:szCs w:val="21"/>
                <w:highlight w:val="none"/>
                <w:lang w:val="en-US" w:eastAsia="zh-CN"/>
              </w:rPr>
              <w:t>9</w:t>
            </w:r>
            <w:r>
              <w:rPr>
                <w:rFonts w:hint="eastAsia" w:ascii="宋体" w:hAnsi="宋体" w:eastAsia="宋体" w:cs="宋体"/>
                <w:bCs/>
                <w:color w:val="auto"/>
                <w:kern w:val="0"/>
                <w:sz w:val="21"/>
                <w:szCs w:val="21"/>
                <w:highlight w:val="none"/>
              </w:rPr>
              <w:t>分）：投入的施工机械、设备、</w:t>
            </w:r>
            <w:r>
              <w:rPr>
                <w:rFonts w:hint="eastAsia" w:ascii="宋体" w:hAnsi="宋体" w:cs="宋体"/>
                <w:bCs/>
                <w:color w:val="auto"/>
                <w:kern w:val="0"/>
                <w:sz w:val="21"/>
                <w:szCs w:val="21"/>
                <w:highlight w:val="none"/>
                <w:lang w:eastAsia="zh-CN"/>
              </w:rPr>
              <w:t>机</w:t>
            </w:r>
            <w:r>
              <w:rPr>
                <w:rFonts w:hint="eastAsia" w:ascii="宋体" w:hAnsi="宋体" w:eastAsia="宋体" w:cs="宋体"/>
                <w:bCs/>
                <w:color w:val="auto"/>
                <w:kern w:val="0"/>
                <w:sz w:val="21"/>
                <w:szCs w:val="21"/>
                <w:highlight w:val="none"/>
              </w:rPr>
              <w:t>具有较详细的组织计划且计划周密，设备数量、选型配置、进场时间安排非常合理，满足施工需要。</w:t>
            </w:r>
          </w:p>
          <w:p w14:paraId="758D663A">
            <w:pPr>
              <w:keepNext w:val="0"/>
              <w:keepLines w:val="0"/>
              <w:pageBreakBefore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良（</w:t>
            </w:r>
            <w:r>
              <w:rPr>
                <w:rFonts w:hint="eastAsia" w:ascii="宋体" w:hAnsi="宋体" w:cs="宋体"/>
                <w:bCs/>
                <w:color w:val="auto"/>
                <w:kern w:val="0"/>
                <w:sz w:val="21"/>
                <w:szCs w:val="21"/>
                <w:highlight w:val="none"/>
                <w:lang w:val="en-US" w:eastAsia="zh-CN"/>
              </w:rPr>
              <w:t>6</w:t>
            </w:r>
            <w:r>
              <w:rPr>
                <w:rFonts w:hint="eastAsia" w:ascii="宋体" w:hAnsi="宋体" w:eastAsia="宋体" w:cs="宋体"/>
                <w:bCs/>
                <w:color w:val="auto"/>
                <w:kern w:val="0"/>
                <w:sz w:val="21"/>
                <w:szCs w:val="21"/>
                <w:highlight w:val="none"/>
              </w:rPr>
              <w:t>分）：投入的施工机械、设备、</w:t>
            </w:r>
            <w:r>
              <w:rPr>
                <w:rFonts w:hint="eastAsia" w:ascii="宋体" w:hAnsi="宋体" w:cs="宋体"/>
                <w:bCs/>
                <w:color w:val="auto"/>
                <w:kern w:val="0"/>
                <w:sz w:val="21"/>
                <w:szCs w:val="21"/>
                <w:highlight w:val="none"/>
                <w:lang w:eastAsia="zh-CN"/>
              </w:rPr>
              <w:t>机</w:t>
            </w:r>
            <w:r>
              <w:rPr>
                <w:rFonts w:hint="eastAsia" w:ascii="宋体" w:hAnsi="宋体" w:eastAsia="宋体" w:cs="宋体"/>
                <w:bCs/>
                <w:color w:val="auto"/>
                <w:kern w:val="0"/>
                <w:sz w:val="21"/>
                <w:szCs w:val="21"/>
                <w:highlight w:val="none"/>
              </w:rPr>
              <w:t>具有详细的组织计划且计划周密，设备数量、选型配置、进场时间安排合理，满足施工需要。</w:t>
            </w:r>
          </w:p>
          <w:p w14:paraId="72B0C464">
            <w:pPr>
              <w:keepNext w:val="0"/>
              <w:keepLines w:val="0"/>
              <w:pageBreakBefore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中</w:t>
            </w:r>
            <w:r>
              <w:rPr>
                <w:rFonts w:hint="eastAsia" w:ascii="宋体" w:hAnsi="宋体" w:cs="宋体"/>
                <w:bCs/>
                <w:color w:val="auto"/>
                <w:kern w:val="0"/>
                <w:sz w:val="21"/>
                <w:szCs w:val="21"/>
                <w:highlight w:val="none"/>
                <w:lang w:eastAsia="zh-CN"/>
              </w:rPr>
              <w:t>（</w:t>
            </w:r>
            <w:r>
              <w:rPr>
                <w:rFonts w:hint="eastAsia" w:ascii="宋体" w:hAnsi="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分）：投入的施工机械、设备、</w:t>
            </w:r>
            <w:r>
              <w:rPr>
                <w:rFonts w:hint="eastAsia" w:ascii="宋体" w:hAnsi="宋体" w:cs="宋体"/>
                <w:bCs/>
                <w:color w:val="auto"/>
                <w:kern w:val="0"/>
                <w:sz w:val="21"/>
                <w:szCs w:val="21"/>
                <w:highlight w:val="none"/>
                <w:lang w:eastAsia="zh-CN"/>
              </w:rPr>
              <w:t>机</w:t>
            </w:r>
            <w:r>
              <w:rPr>
                <w:rFonts w:hint="eastAsia" w:ascii="宋体" w:hAnsi="宋体" w:eastAsia="宋体" w:cs="宋体"/>
                <w:bCs/>
                <w:color w:val="auto"/>
                <w:kern w:val="0"/>
                <w:sz w:val="21"/>
                <w:szCs w:val="21"/>
                <w:highlight w:val="none"/>
              </w:rPr>
              <w:t>具有基本详细的组织计划且计划周密，设备数量、选型配置、进场时间安排基本合理，基本满足施工需要。</w:t>
            </w:r>
          </w:p>
          <w:p w14:paraId="5393CD09">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kern w:val="0"/>
                <w:sz w:val="21"/>
                <w:szCs w:val="21"/>
                <w:highlight w:val="none"/>
              </w:rPr>
              <w:t>差（</w:t>
            </w:r>
            <w:r>
              <w:rPr>
                <w:rFonts w:hint="eastAsia" w:hAnsi="宋体" w:eastAsia="宋体" w:cs="宋体"/>
                <w:bCs/>
                <w:color w:val="auto"/>
                <w:kern w:val="0"/>
                <w:sz w:val="21"/>
                <w:szCs w:val="21"/>
                <w:highlight w:val="none"/>
                <w:lang w:val="en-US" w:eastAsia="zh-CN"/>
              </w:rPr>
              <w:t>0</w:t>
            </w:r>
            <w:r>
              <w:rPr>
                <w:rFonts w:hint="eastAsia" w:ascii="宋体" w:hAnsi="宋体" w:eastAsia="宋体" w:cs="宋体"/>
                <w:bCs/>
                <w:color w:val="auto"/>
                <w:kern w:val="0"/>
                <w:sz w:val="21"/>
                <w:szCs w:val="21"/>
                <w:highlight w:val="none"/>
              </w:rPr>
              <w:t>分）：投入的施工机械、设备、机具无组织计划或计划差，设备数量、选型配置、进场时间安排不合理，不能满足施工需要。</w:t>
            </w:r>
          </w:p>
        </w:tc>
      </w:tr>
      <w:tr w14:paraId="1933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714" w:type="dxa"/>
            <w:noWrap w:val="0"/>
            <w:vAlign w:val="center"/>
          </w:tcPr>
          <w:p w14:paraId="7527A75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2.4</w:t>
            </w:r>
          </w:p>
        </w:tc>
        <w:tc>
          <w:tcPr>
            <w:tcW w:w="1816" w:type="dxa"/>
            <w:noWrap w:val="0"/>
            <w:vAlign w:val="center"/>
          </w:tcPr>
          <w:p w14:paraId="2EF4ED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auto"/>
              </w:rPr>
              <w:t>劳动力安排计划</w:t>
            </w:r>
            <w:r>
              <w:rPr>
                <w:rFonts w:hint="eastAsia" w:ascii="宋体" w:hAnsi="宋体" w:eastAsia="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rPr>
              <w:t>分）</w:t>
            </w:r>
          </w:p>
        </w:tc>
        <w:tc>
          <w:tcPr>
            <w:tcW w:w="6810" w:type="dxa"/>
            <w:noWrap w:val="0"/>
            <w:vAlign w:val="center"/>
          </w:tcPr>
          <w:p w14:paraId="1C8A3CA2">
            <w:pPr>
              <w:keepNext w:val="0"/>
              <w:keepLines w:val="0"/>
              <w:widowControl/>
              <w:suppressLineNumbers w:val="0"/>
              <w:spacing w:before="0" w:beforeAutospacing="0" w:after="0" w:afterAutospacing="0" w:line="400" w:lineRule="exact"/>
              <w:ind w:left="0" w:right="0" w:firstLine="420" w:firstLineChars="200"/>
              <w:jc w:val="left"/>
              <w:rPr>
                <w:rFonts w:hint="default"/>
                <w:color w:val="auto"/>
              </w:rPr>
            </w:pPr>
            <w:r>
              <w:rPr>
                <w:rFonts w:hint="eastAsia" w:ascii="宋体" w:hAnsi="宋体" w:eastAsia="宋体" w:cs="宋体"/>
                <w:color w:val="auto"/>
                <w:kern w:val="0"/>
                <w:sz w:val="21"/>
                <w:szCs w:val="21"/>
                <w:lang w:val="en-US" w:eastAsia="zh-CN" w:bidi="ar"/>
              </w:rPr>
              <w:t xml:space="preserve">优（9分）：针对项目施工要求和时间进度，各主要施工工序有详细周密的劳动力安排计划，有各工种劳动力安排计划且详细，各工种劳动力投入非常合理，满足施工进度和施工质量需要，符合本项目施工实际要求。 </w:t>
            </w:r>
          </w:p>
          <w:p w14:paraId="54916C4E">
            <w:pPr>
              <w:keepNext w:val="0"/>
              <w:keepLines w:val="0"/>
              <w:widowControl/>
              <w:suppressLineNumbers w:val="0"/>
              <w:spacing w:before="0" w:beforeAutospacing="0" w:after="0" w:afterAutospacing="0" w:line="400" w:lineRule="exact"/>
              <w:ind w:left="0" w:right="0" w:firstLine="420" w:firstLineChars="200"/>
              <w:jc w:val="left"/>
              <w:rPr>
                <w:rFonts w:hint="default"/>
                <w:color w:val="auto"/>
              </w:rPr>
            </w:pPr>
            <w:r>
              <w:rPr>
                <w:rFonts w:hint="eastAsia" w:ascii="宋体" w:hAnsi="宋体" w:eastAsia="宋体" w:cs="宋体"/>
                <w:color w:val="auto"/>
                <w:kern w:val="0"/>
                <w:sz w:val="21"/>
                <w:szCs w:val="21"/>
                <w:lang w:val="en-US" w:eastAsia="zh-CN" w:bidi="ar"/>
              </w:rPr>
              <w:t xml:space="preserve">良（6分）：各主要施工工序有详细劳动力安排计划，有各工种劳动力安排计划，劳动力投入合理，满足施工需要。 </w:t>
            </w:r>
          </w:p>
          <w:p w14:paraId="3706D775">
            <w:pPr>
              <w:keepNext w:val="0"/>
              <w:keepLines w:val="0"/>
              <w:widowControl/>
              <w:suppressLineNumbers w:val="0"/>
              <w:spacing w:before="0" w:beforeAutospacing="0" w:after="0" w:afterAutospacing="0" w:line="400" w:lineRule="exact"/>
              <w:ind w:left="0" w:right="0" w:firstLine="420" w:firstLineChars="200"/>
              <w:jc w:val="left"/>
              <w:rPr>
                <w:rFonts w:hint="default"/>
                <w:color w:val="auto"/>
              </w:rPr>
            </w:pPr>
            <w:r>
              <w:rPr>
                <w:rFonts w:hint="eastAsia" w:ascii="宋体" w:hAnsi="宋体" w:eastAsia="宋体" w:cs="宋体"/>
                <w:color w:val="auto"/>
                <w:kern w:val="0"/>
                <w:sz w:val="21"/>
                <w:szCs w:val="21"/>
                <w:lang w:val="en-US" w:eastAsia="zh-CN" w:bidi="ar"/>
              </w:rPr>
              <w:t xml:space="preserve">中（3分）：各主要施工工序有劳动力安排计划，各工种劳动力投入且比较合理，能较好满足施工需要。  </w:t>
            </w:r>
          </w:p>
          <w:p w14:paraId="2CDCDEF3">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lang w:val="en-US" w:eastAsia="zh-CN" w:bidi="ar"/>
              </w:rPr>
              <w:t xml:space="preserve">差（0分）：各主要施工工序有劳动力安排计划，但各工种劳动力投入不合理，不能满足施工需求。 </w:t>
            </w:r>
          </w:p>
        </w:tc>
      </w:tr>
      <w:tr w14:paraId="74E3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noWrap w:val="0"/>
            <w:vAlign w:val="center"/>
          </w:tcPr>
          <w:p w14:paraId="4FE6A5F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2.5</w:t>
            </w:r>
          </w:p>
        </w:tc>
        <w:tc>
          <w:tcPr>
            <w:tcW w:w="1816" w:type="dxa"/>
            <w:noWrap w:val="0"/>
            <w:vAlign w:val="center"/>
          </w:tcPr>
          <w:p w14:paraId="5B40BA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确保工程质量的技术组织措施</w:t>
            </w:r>
          </w:p>
          <w:p w14:paraId="428678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6810" w:type="dxa"/>
            <w:noWrap w:val="0"/>
            <w:vAlign w:val="center"/>
          </w:tcPr>
          <w:p w14:paraId="5A705307">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分）：有专门的质量技术管理班子和制度，且人员配备比较合理，制度非常健全。主要工序有详细的质量技术保证措施和手段，自控体系比较完整，能有效保证技术质量，达到承诺的质量标准。</w:t>
            </w:r>
          </w:p>
          <w:p w14:paraId="32E0E135">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分）：有专门的质量技术管理班子和制度，且人员配备合理，制度比较健全。主要工序有质量技术保证措施和手段，自控体系比较完整，能有效保证技术质量，达到承诺的质量标准。</w:t>
            </w:r>
          </w:p>
          <w:p w14:paraId="248288FC">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中</w:t>
            </w:r>
            <w:r>
              <w:rPr>
                <w:rFonts w:hint="eastAsia" w:hAnsi="宋体" w:cs="宋体"/>
                <w:bCs/>
                <w:color w:val="auto"/>
                <w:sz w:val="21"/>
                <w:szCs w:val="21"/>
                <w:highlight w:val="none"/>
                <w:lang w:eastAsia="zh-CN"/>
              </w:rPr>
              <w:t>（</w:t>
            </w:r>
            <w:r>
              <w:rPr>
                <w:rFonts w:hint="eastAsia"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分）：有专门的质量技术管理班子和制度，且人员配备基本合理，制度基本健全。主要工序有质量技术保证措施和手段，自控体系比较完整，能有效保证技术质量，基本达到承诺的质量标准。</w:t>
            </w:r>
          </w:p>
          <w:p w14:paraId="1A9FEF1A">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分）：无专门的质量技术管理班子和制度或质量技术管理班子人员配备缺失不合理，制度不健全。主要工序无质量技术保证措施和手段，不能有效保证技术质量，不能达到承诺的质量标准。</w:t>
            </w:r>
          </w:p>
        </w:tc>
      </w:tr>
      <w:tr w14:paraId="7C9F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14" w:type="dxa"/>
            <w:noWrap w:val="0"/>
            <w:vAlign w:val="center"/>
          </w:tcPr>
          <w:p w14:paraId="30F7A62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2.6</w:t>
            </w:r>
          </w:p>
        </w:tc>
        <w:tc>
          <w:tcPr>
            <w:tcW w:w="1816" w:type="dxa"/>
            <w:noWrap w:val="0"/>
            <w:vAlign w:val="center"/>
          </w:tcPr>
          <w:p w14:paraId="7D9BA4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确保安全生产的技术组织措施</w:t>
            </w:r>
          </w:p>
          <w:p w14:paraId="7163A7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810" w:type="dxa"/>
            <w:noWrap w:val="0"/>
            <w:vAlign w:val="center"/>
          </w:tcPr>
          <w:p w14:paraId="67C081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分）：有专门的安全管理人员和制度，且人员配备合理，制度健全，各道工序安全技术措施针对性强，完全符合实际且能满足有关安全技术标准要求。现场防火、应急救援、社会治安等安全措施得力。 </w:t>
            </w:r>
          </w:p>
          <w:p w14:paraId="27BA2B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分）：有安全管理制度且制度健全，安全管理人员配备较合理，各道工序安全技术措施针对性较符合实际，能满足有关安全技术标准要求。有各种现场安全措施。</w:t>
            </w:r>
          </w:p>
          <w:p w14:paraId="263B1F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中</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分）：有安全管理制度，安全管理人员配备一般，各道工序安全技术措施针对性基本符合实际，基本满足有关安全技术标准要求。有基本的现场安全措施。</w:t>
            </w:r>
          </w:p>
          <w:p w14:paraId="0A35C2D6">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 xml:space="preserve"> 分）：安全管理制度简单不健全，安全管理人员配备不合理，各道工序安全技术措施不适应实际需求，不能满足有关安全技术标准要求。没有现场安全措施或者不全。</w:t>
            </w:r>
          </w:p>
        </w:tc>
      </w:tr>
      <w:tr w14:paraId="575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8" w:hRule="atLeast"/>
          <w:jc w:val="center"/>
        </w:trPr>
        <w:tc>
          <w:tcPr>
            <w:tcW w:w="714" w:type="dxa"/>
            <w:noWrap w:val="0"/>
            <w:vAlign w:val="center"/>
          </w:tcPr>
          <w:p w14:paraId="0FF7D29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2.7</w:t>
            </w:r>
          </w:p>
        </w:tc>
        <w:tc>
          <w:tcPr>
            <w:tcW w:w="1816" w:type="dxa"/>
            <w:noWrap w:val="0"/>
            <w:vAlign w:val="center"/>
          </w:tcPr>
          <w:p w14:paraId="51A34ED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确保工期的技术组织措施</w:t>
            </w:r>
          </w:p>
          <w:p w14:paraId="533839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810" w:type="dxa"/>
            <w:noWrap w:val="0"/>
            <w:vAlign w:val="center"/>
          </w:tcPr>
          <w:p w14:paraId="3DE3BAA1">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在施工工艺、施工方法、材料选用、劳动力安排、技术等方面有保证工期的非常具体措施且措施得当。有控制工期的施工进度计划。有施工总进度表或施工网络图，各项计划图表编制非常完善，安排科学合理，符合本项目施工实际要求。</w:t>
            </w:r>
          </w:p>
          <w:p w14:paraId="4C63D183">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10E781DE">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中</w:t>
            </w:r>
            <w:r>
              <w:rPr>
                <w:rFonts w:hint="eastAsia" w:hAnsi="宋体" w:cs="宋体"/>
                <w:bCs/>
                <w:color w:val="auto"/>
                <w:sz w:val="21"/>
                <w:szCs w:val="21"/>
                <w:highlight w:val="none"/>
                <w:lang w:eastAsia="zh-CN"/>
              </w:rPr>
              <w:t>（</w:t>
            </w:r>
            <w:r>
              <w:rPr>
                <w:rFonts w:hint="eastAsia"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在施工工艺、施工方法、材料选用、劳动力安排、技术等方面有保证工期的基本措施且措施基本得当。有控制工期的施工进度计划。施工总进度表或施工网络图，各项计划图表编制基本完善，安排基本合理，基本符合本项目施工实际要求。</w:t>
            </w:r>
          </w:p>
          <w:p w14:paraId="293BF306">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在施工工艺、施工方法、材料选用、劳动力安排、技术等方面无保证工期的具体措施或措施差。无控制工期的施工进度计划或施工进度计划差。无施工总进度表或施工网络图，各项计划图表编制不完善，安排不合理，不符合本项目施工实际要求。</w:t>
            </w:r>
          </w:p>
        </w:tc>
      </w:tr>
      <w:tr w14:paraId="6DBB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14" w:type="dxa"/>
            <w:noWrap w:val="0"/>
            <w:vAlign w:val="center"/>
          </w:tcPr>
          <w:p w14:paraId="71D16DB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2.8</w:t>
            </w:r>
          </w:p>
        </w:tc>
        <w:tc>
          <w:tcPr>
            <w:tcW w:w="1816" w:type="dxa"/>
            <w:noWrap w:val="0"/>
            <w:vAlign w:val="center"/>
          </w:tcPr>
          <w:p w14:paraId="16DAAC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确保文明施工的技术组织措施</w:t>
            </w:r>
          </w:p>
          <w:p w14:paraId="779A9F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810" w:type="dxa"/>
            <w:noWrap w:val="0"/>
            <w:vAlign w:val="center"/>
          </w:tcPr>
          <w:p w14:paraId="027CFE3B">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优（</w:t>
            </w:r>
            <w:r>
              <w:rPr>
                <w:rFonts w:hint="eastAsia"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US" w:eastAsia="zh-CN"/>
              </w:rPr>
              <w:t xml:space="preserve"> 分）：针对本工程项目特点， 有详细的现场文明施工、环境保护措施，且措施内容应达到 《建筑施工安全生产检查标准》 （JGJ59-2011）合格标准并符合《广西壮族自治区建筑工程文明 施工导则》要求。各项措施周全、具体、有效。有很具体实现现场文明施工目标的承诺。 </w:t>
            </w:r>
          </w:p>
          <w:p w14:paraId="5EE55FD5">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良（</w:t>
            </w:r>
            <w:r>
              <w:rPr>
                <w:rFonts w:hint="eastAsia"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en-US" w:eastAsia="zh-CN"/>
              </w:rPr>
              <w:t xml:space="preserve"> 分）：针对本工程项目特点，有较详细现场文明施工、环境保护措施，且措施内容应达到《建筑施工安全生产检查标准》 （JGJ59-2011）合格标准并符合 《广西壮族自治区建筑工程文明施工导则》要求。各项措施周全、具体、有效。有具体实现现场文明施工目标的承诺。 </w:t>
            </w:r>
          </w:p>
          <w:p w14:paraId="3769E31A">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中（</w:t>
            </w:r>
            <w:r>
              <w:rPr>
                <w:rFonts w:hint="eastAsia"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 xml:space="preserve">分）：针对本工程项目特点，有基本的现场文明施工、环境保护措施，且措施内容应达到《建筑施工安全生产检查标准》 （JGJ59-2011）合格标准并基本符合《广西壮族自治区建筑工程文明施工导则》要求。各项措施有效。有具体实现现场文明施工目标的承诺。 </w:t>
            </w:r>
          </w:p>
          <w:p w14:paraId="0CA890F4">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差（</w:t>
            </w:r>
            <w:r>
              <w:rPr>
                <w:rFonts w:hint="eastAsia" w:hAnsi="宋体" w:cs="宋体"/>
                <w:bCs/>
                <w:color w:val="auto"/>
                <w:sz w:val="21"/>
                <w:szCs w:val="21"/>
                <w:highlight w:val="none"/>
                <w:lang w:val="en-US" w:eastAsia="zh-CN"/>
              </w:rPr>
              <w:t>0</w:t>
            </w:r>
            <w:r>
              <w:rPr>
                <w:rFonts w:hint="eastAsia" w:ascii="宋体" w:hAnsi="宋体" w:eastAsia="宋体" w:cs="宋体"/>
                <w:bCs/>
                <w:color w:val="auto"/>
                <w:sz w:val="21"/>
                <w:szCs w:val="21"/>
                <w:highlight w:val="none"/>
                <w:lang w:val="en-US" w:eastAsia="zh-CN"/>
              </w:rPr>
              <w:t>分）：针对本工程项目特点，没有现场文明施工、环境保护措施，且措施内容不达到《建筑施工安全生产检查标准》（JGJ59-2011） 合格标准并不符合《广西壮族自治区建筑工程文明施工导则》要求。各项措施无效。没有实现现场文明施工目标的承诺。</w:t>
            </w:r>
          </w:p>
        </w:tc>
      </w:tr>
      <w:tr w14:paraId="42AE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14" w:type="dxa"/>
            <w:noWrap w:val="0"/>
            <w:vAlign w:val="center"/>
          </w:tcPr>
          <w:p w14:paraId="1A1B4416">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p>
        </w:tc>
        <w:tc>
          <w:tcPr>
            <w:tcW w:w="1816" w:type="dxa"/>
            <w:noWrap w:val="0"/>
            <w:vAlign w:val="center"/>
          </w:tcPr>
          <w:p w14:paraId="52694A9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商务分（</w:t>
            </w:r>
            <w:r>
              <w:rPr>
                <w:rFonts w:hint="eastAsia" w:hAnsi="宋体" w:cs="宋体"/>
                <w:b/>
                <w:bCs/>
                <w:color w:val="auto"/>
                <w:kern w:val="0"/>
                <w:sz w:val="21"/>
                <w:szCs w:val="21"/>
                <w:highlight w:val="none"/>
                <w:lang w:val="en-US" w:eastAsia="zh-CN"/>
              </w:rPr>
              <w:t>10</w:t>
            </w:r>
            <w:r>
              <w:rPr>
                <w:rFonts w:hint="eastAsia" w:ascii="宋体" w:hAnsi="宋体" w:eastAsia="宋体" w:cs="宋体"/>
                <w:b/>
                <w:bCs/>
                <w:color w:val="auto"/>
                <w:kern w:val="0"/>
                <w:sz w:val="21"/>
                <w:szCs w:val="21"/>
                <w:highlight w:val="none"/>
                <w:lang w:val="en-US" w:eastAsia="zh-CN"/>
              </w:rPr>
              <w:t>分）</w:t>
            </w:r>
          </w:p>
        </w:tc>
        <w:tc>
          <w:tcPr>
            <w:tcW w:w="6810" w:type="dxa"/>
            <w:noWrap w:val="0"/>
            <w:vAlign w:val="center"/>
          </w:tcPr>
          <w:p w14:paraId="49D75D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Tahoma"/>
                <w:b/>
                <w:bCs/>
                <w:color w:val="auto"/>
                <w:kern w:val="0"/>
                <w:szCs w:val="21"/>
                <w:highlight w:val="none"/>
              </w:rPr>
              <w:t>评审因素</w:t>
            </w:r>
          </w:p>
        </w:tc>
      </w:tr>
      <w:tr w14:paraId="45DE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noWrap w:val="0"/>
            <w:vAlign w:val="center"/>
          </w:tcPr>
          <w:p w14:paraId="03B49C4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3.1</w:t>
            </w:r>
          </w:p>
        </w:tc>
        <w:tc>
          <w:tcPr>
            <w:tcW w:w="1816" w:type="dxa"/>
            <w:noWrap w:val="0"/>
            <w:vAlign w:val="center"/>
          </w:tcPr>
          <w:p w14:paraId="7FB4E4E8">
            <w:pPr>
              <w:pStyle w:val="15"/>
              <w:keepNext w:val="0"/>
              <w:keepLines w:val="0"/>
              <w:pageBreakBefore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其他主要人员</w:t>
            </w:r>
          </w:p>
          <w:p w14:paraId="1980F2C2">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分）</w:t>
            </w:r>
          </w:p>
        </w:tc>
        <w:tc>
          <w:tcPr>
            <w:tcW w:w="6810" w:type="dxa"/>
            <w:noWrap w:val="0"/>
            <w:vAlign w:val="center"/>
          </w:tcPr>
          <w:p w14:paraId="7832D8F3">
            <w:pPr>
              <w:pStyle w:val="15"/>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1.技术负责人（满分</w:t>
            </w:r>
            <w:r>
              <w:rPr>
                <w:rFonts w:hint="eastAsia" w:hAnsi="宋体" w:cs="宋体"/>
                <w:b w:val="0"/>
                <w:bCs w:val="0"/>
                <w:color w:val="auto"/>
                <w:kern w:val="2"/>
                <w:sz w:val="21"/>
                <w:szCs w:val="21"/>
                <w:lang w:val="en-US" w:eastAsia="zh-CN" w:bidi="ar-SA"/>
              </w:rPr>
              <w:t>4</w:t>
            </w:r>
            <w:r>
              <w:rPr>
                <w:rFonts w:hint="eastAsia" w:ascii="宋体" w:hAnsi="宋体" w:eastAsia="宋体" w:cs="宋体"/>
                <w:b w:val="0"/>
                <w:bCs w:val="0"/>
                <w:color w:val="auto"/>
                <w:kern w:val="2"/>
                <w:sz w:val="21"/>
                <w:szCs w:val="21"/>
                <w:lang w:val="en-US" w:eastAsia="zh-CN" w:bidi="ar-SA"/>
              </w:rPr>
              <w:t>分）</w:t>
            </w:r>
          </w:p>
          <w:p w14:paraId="1387DAE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拟投入本项目的技术负责人具有</w:t>
            </w:r>
            <w:r>
              <w:rPr>
                <w:rFonts w:hint="eastAsia" w:hAnsi="宋体" w:cs="宋体"/>
                <w:b w:val="0"/>
                <w:bCs w:val="0"/>
                <w:color w:val="auto"/>
                <w:kern w:val="2"/>
                <w:sz w:val="21"/>
                <w:szCs w:val="21"/>
                <w:highlight w:val="none"/>
                <w:lang w:val="en-US" w:eastAsia="zh-CN"/>
              </w:rPr>
              <w:t>中级</w:t>
            </w:r>
            <w:r>
              <w:rPr>
                <w:rFonts w:hint="eastAsia" w:ascii="宋体" w:hAnsi="宋体" w:eastAsia="宋体" w:cs="宋体"/>
                <w:b w:val="0"/>
                <w:bCs w:val="0"/>
                <w:color w:val="auto"/>
                <w:kern w:val="2"/>
                <w:sz w:val="21"/>
                <w:szCs w:val="21"/>
                <w:highlight w:val="none"/>
                <w:lang w:val="en-US" w:eastAsia="zh-CN"/>
              </w:rPr>
              <w:t>以上（含</w:t>
            </w:r>
            <w:r>
              <w:rPr>
                <w:rFonts w:hint="eastAsia" w:hAnsi="宋体" w:cs="宋体"/>
                <w:b w:val="0"/>
                <w:bCs w:val="0"/>
                <w:color w:val="auto"/>
                <w:kern w:val="2"/>
                <w:sz w:val="21"/>
                <w:szCs w:val="21"/>
                <w:highlight w:val="none"/>
                <w:lang w:val="en-US" w:eastAsia="zh-CN"/>
              </w:rPr>
              <w:t>中</w:t>
            </w:r>
            <w:r>
              <w:rPr>
                <w:rFonts w:hint="eastAsia" w:ascii="宋体" w:hAnsi="宋体" w:eastAsia="宋体" w:cs="宋体"/>
                <w:b w:val="0"/>
                <w:bCs w:val="0"/>
                <w:color w:val="auto"/>
                <w:kern w:val="2"/>
                <w:sz w:val="21"/>
                <w:szCs w:val="21"/>
                <w:highlight w:val="none"/>
                <w:lang w:val="en-US" w:eastAsia="zh-CN"/>
              </w:rPr>
              <w:t>级）职称得</w:t>
            </w:r>
            <w:r>
              <w:rPr>
                <w:rFonts w:hint="eastAsia"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US" w:eastAsia="zh-CN"/>
              </w:rPr>
              <w:t>分。</w:t>
            </w:r>
          </w:p>
          <w:p w14:paraId="4533E59B">
            <w:pPr>
              <w:pStyle w:val="1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2.其他人员（</w:t>
            </w:r>
            <w:r>
              <w:rPr>
                <w:rFonts w:hint="eastAsia" w:ascii="宋体" w:hAnsi="宋体" w:eastAsia="宋体" w:cs="宋体"/>
                <w:b w:val="0"/>
                <w:bCs w:val="0"/>
                <w:color w:val="auto"/>
                <w:kern w:val="2"/>
                <w:sz w:val="21"/>
                <w:szCs w:val="21"/>
                <w:lang w:val="en-US" w:eastAsia="zh-CN" w:bidi="ar-SA"/>
              </w:rPr>
              <w:t>满分</w:t>
            </w:r>
            <w:r>
              <w:rPr>
                <w:rFonts w:hint="eastAsia" w:hAnsi="宋体" w:cs="宋体"/>
                <w:b w:val="0"/>
                <w:bCs w:val="0"/>
                <w:color w:val="auto"/>
                <w:kern w:val="2"/>
                <w:sz w:val="21"/>
                <w:szCs w:val="21"/>
                <w:lang w:val="en-US" w:eastAsia="zh-CN" w:bidi="ar-SA"/>
              </w:rPr>
              <w:t>4</w:t>
            </w:r>
            <w:r>
              <w:rPr>
                <w:rFonts w:hint="eastAsia" w:ascii="宋体" w:hAnsi="宋体" w:eastAsia="宋体" w:cs="宋体"/>
                <w:b w:val="0"/>
                <w:bCs w:val="0"/>
                <w:color w:val="auto"/>
                <w:kern w:val="2"/>
                <w:sz w:val="21"/>
                <w:szCs w:val="21"/>
                <w:highlight w:val="none"/>
                <w:lang w:val="en-US" w:eastAsia="zh-CN"/>
              </w:rPr>
              <w:t>分）</w:t>
            </w:r>
          </w:p>
          <w:p w14:paraId="029612A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textAlignment w:val="auto"/>
              <w:rPr>
                <w:rFonts w:hint="default"/>
                <w:lang w:val="en-US" w:eastAsia="zh-CN"/>
              </w:rPr>
            </w:pPr>
            <w:r>
              <w:rPr>
                <w:rFonts w:hint="eastAsia" w:ascii="宋体" w:hAnsi="宋体" w:eastAsia="宋体" w:cs="宋体"/>
                <w:b w:val="0"/>
                <w:bCs w:val="0"/>
                <w:color w:val="auto"/>
                <w:kern w:val="2"/>
                <w:sz w:val="21"/>
                <w:szCs w:val="21"/>
                <w:highlight w:val="none"/>
                <w:lang w:val="en-US" w:eastAsia="zh-CN"/>
              </w:rPr>
              <w:t>拟投入本项目的安全员、施工员、质量员、材料员具有相应岗位资格证书的，每人得</w:t>
            </w:r>
            <w:r>
              <w:rPr>
                <w:rFonts w:hint="eastAsia" w:hAnsi="宋体" w:cs="宋体"/>
                <w:b w:val="0"/>
                <w:bCs w:val="0"/>
                <w:color w:val="auto"/>
                <w:kern w:val="2"/>
                <w:sz w:val="21"/>
                <w:szCs w:val="21"/>
                <w:highlight w:val="none"/>
                <w:lang w:val="en-US" w:eastAsia="zh-CN"/>
              </w:rPr>
              <w:t>1</w:t>
            </w:r>
            <w:r>
              <w:rPr>
                <w:rFonts w:hint="eastAsia" w:ascii="宋体" w:hAnsi="宋体" w:eastAsia="宋体" w:cs="宋体"/>
                <w:b w:val="0"/>
                <w:bCs w:val="0"/>
                <w:color w:val="auto"/>
                <w:kern w:val="2"/>
                <w:sz w:val="21"/>
                <w:szCs w:val="21"/>
                <w:highlight w:val="none"/>
                <w:lang w:val="en-US" w:eastAsia="zh-CN"/>
              </w:rPr>
              <w:t>分，满分</w:t>
            </w:r>
            <w:r>
              <w:rPr>
                <w:rFonts w:hint="eastAsia"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US" w:eastAsia="zh-CN"/>
              </w:rPr>
              <w:t>分。</w:t>
            </w:r>
          </w:p>
          <w:p w14:paraId="1E3399C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sz w:val="21"/>
                <w:szCs w:val="21"/>
                <w:lang w:val="en-US"/>
              </w:rPr>
            </w:pPr>
            <w:r>
              <w:rPr>
                <w:rFonts w:hint="eastAsia" w:ascii="宋体" w:hAnsi="宋体" w:eastAsia="宋体" w:cs="宋体"/>
                <w:b w:val="0"/>
                <w:bCs/>
                <w:color w:val="auto"/>
                <w:sz w:val="21"/>
                <w:szCs w:val="21"/>
                <w:highlight w:val="none"/>
              </w:rPr>
              <w:t>注：</w:t>
            </w:r>
            <w:r>
              <w:rPr>
                <w:rFonts w:hint="eastAsia" w:ascii="宋体" w:hAnsi="宋体" w:eastAsia="宋体" w:cs="宋体"/>
                <w:b w:val="0"/>
                <w:bCs/>
                <w:color w:val="auto"/>
                <w:sz w:val="21"/>
                <w:szCs w:val="21"/>
                <w:highlight w:val="none"/>
                <w:lang w:val="en-US" w:eastAsia="zh-CN"/>
              </w:rPr>
              <w:t>以上人员</w:t>
            </w:r>
            <w:r>
              <w:rPr>
                <w:rFonts w:hint="eastAsia" w:ascii="宋体" w:hAnsi="宋体" w:eastAsia="宋体" w:cs="宋体"/>
                <w:color w:val="auto"/>
                <w:sz w:val="21"/>
                <w:szCs w:val="21"/>
                <w:highlight w:val="none"/>
                <w:lang w:val="en-US" w:eastAsia="zh-CN"/>
              </w:rPr>
              <w:t>需提供</w:t>
            </w:r>
            <w:r>
              <w:rPr>
                <w:rFonts w:hint="eastAsia" w:ascii="宋体" w:hAnsi="宋体" w:cs="宋体"/>
                <w:color w:val="auto"/>
                <w:sz w:val="21"/>
                <w:szCs w:val="21"/>
                <w:highlight w:val="none"/>
              </w:rPr>
              <w:t>首次响应文件提交截止时间</w:t>
            </w:r>
            <w:r>
              <w:rPr>
                <w:rFonts w:hint="eastAsia" w:ascii="宋体" w:hAnsi="宋体" w:cs="宋体"/>
                <w:color w:val="auto"/>
                <w:sz w:val="21"/>
                <w:szCs w:val="21"/>
                <w:highlight w:val="none"/>
                <w:lang w:val="en-US" w:eastAsia="zh-CN"/>
              </w:rPr>
              <w:t>的近1个月(2026年5月至响应文件提交截止时间任意一个月)在现任职单位依法缴纳社会保险的证明材料或者劳动合同的复印件(新入职的人员或新成立的公司按实际情况提供)，</w:t>
            </w:r>
            <w:r>
              <w:rPr>
                <w:rFonts w:hint="eastAsia" w:ascii="宋体" w:hAnsi="宋体" w:eastAsia="宋体" w:cs="宋体"/>
                <w:color w:val="auto"/>
                <w:sz w:val="21"/>
                <w:szCs w:val="21"/>
                <w:highlight w:val="none"/>
                <w:lang w:val="en-US" w:eastAsia="zh-CN"/>
              </w:rPr>
              <w:t>否则不得分。</w:t>
            </w:r>
          </w:p>
        </w:tc>
      </w:tr>
      <w:tr w14:paraId="77FC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4" w:type="dxa"/>
            <w:noWrap w:val="0"/>
            <w:vAlign w:val="center"/>
          </w:tcPr>
          <w:p w14:paraId="58C84DE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3.2</w:t>
            </w:r>
          </w:p>
        </w:tc>
        <w:tc>
          <w:tcPr>
            <w:tcW w:w="1816" w:type="dxa"/>
            <w:noWrap w:val="0"/>
            <w:vAlign w:val="center"/>
          </w:tcPr>
          <w:p w14:paraId="28C326EF">
            <w:pPr>
              <w:pStyle w:val="15"/>
              <w:keepNext w:val="0"/>
              <w:keepLines w:val="0"/>
              <w:pageBreakBefore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业绩分</w:t>
            </w:r>
          </w:p>
          <w:p w14:paraId="16D3BB1E">
            <w:pPr>
              <w:pStyle w:val="15"/>
              <w:keepNext w:val="0"/>
              <w:keepLines w:val="0"/>
              <w:pageBreakBefore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p>
        </w:tc>
        <w:tc>
          <w:tcPr>
            <w:tcW w:w="6810" w:type="dxa"/>
            <w:noWrap w:val="0"/>
            <w:vAlign w:val="center"/>
          </w:tcPr>
          <w:p w14:paraId="40A0B74D">
            <w:pPr>
              <w:pStyle w:val="15"/>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2023年1月1日以来至响应文件递交截止日期止，供应商承接过同类项目业绩的每个得</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w:t>
            </w:r>
          </w:p>
          <w:p w14:paraId="39A79CD1">
            <w:pPr>
              <w:pStyle w:val="15"/>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附以上类似工程的中标</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通知书（如有）</w:t>
            </w:r>
            <w:r>
              <w:rPr>
                <w:rFonts w:hint="eastAsia" w:hAnsi="宋体" w:cs="宋体"/>
                <w:color w:val="auto"/>
                <w:sz w:val="21"/>
                <w:szCs w:val="21"/>
                <w:highlight w:val="none"/>
                <w:lang w:val="en-US" w:eastAsia="zh-CN"/>
              </w:rPr>
              <w:t>或</w:t>
            </w:r>
            <w:r>
              <w:rPr>
                <w:rFonts w:hint="eastAsia" w:ascii="宋体" w:hAnsi="宋体" w:eastAsia="宋体" w:cs="宋体"/>
                <w:color w:val="auto"/>
                <w:sz w:val="21"/>
                <w:szCs w:val="21"/>
                <w:highlight w:val="none"/>
              </w:rPr>
              <w:t>工程合同协议书</w:t>
            </w:r>
            <w:r>
              <w:rPr>
                <w:rFonts w:hint="eastAsia" w:hAnsi="宋体" w:cs="宋体"/>
                <w:color w:val="auto"/>
                <w:sz w:val="21"/>
                <w:szCs w:val="21"/>
                <w:highlight w:val="none"/>
                <w:lang w:val="en-US" w:eastAsia="zh-CN"/>
              </w:rPr>
              <w:t>或</w:t>
            </w:r>
            <w:r>
              <w:rPr>
                <w:rFonts w:hint="eastAsia" w:ascii="宋体" w:hAnsi="宋体" w:eastAsia="宋体" w:cs="宋体"/>
                <w:color w:val="auto"/>
                <w:sz w:val="21"/>
                <w:szCs w:val="21"/>
                <w:highlight w:val="none"/>
              </w:rPr>
              <w:t>工程竣工验收证明材料</w:t>
            </w:r>
            <w:r>
              <w:rPr>
                <w:rFonts w:hint="eastAsia" w:ascii="宋体" w:hAnsi="宋体" w:eastAsia="宋体" w:cs="宋体"/>
                <w:color w:val="auto"/>
                <w:sz w:val="21"/>
                <w:szCs w:val="21"/>
                <w:highlight w:val="none"/>
                <w:lang w:val="en-US" w:eastAsia="zh-CN"/>
              </w:rPr>
              <w:t>复印件并加盖公章，否则不得分。</w:t>
            </w:r>
          </w:p>
        </w:tc>
      </w:tr>
      <w:tr w14:paraId="048B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40" w:type="dxa"/>
            <w:gridSpan w:val="3"/>
            <w:noWrap w:val="0"/>
            <w:vAlign w:val="top"/>
          </w:tcPr>
          <w:p w14:paraId="725AD76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Ansi="宋体" w:eastAsia="宋体" w:cs="Courier New"/>
                <w:bCs/>
                <w:color w:val="auto"/>
                <w:highlight w:val="none"/>
                <w:lang w:val="en-US" w:eastAsia="zh-CN"/>
              </w:rPr>
            </w:pPr>
            <w:r>
              <w:rPr>
                <w:rFonts w:hint="eastAsia" w:ascii="宋体" w:hAnsi="宋体" w:cs="宋体"/>
                <w:color w:val="auto"/>
                <w:szCs w:val="21"/>
                <w:highlight w:val="none"/>
                <w:lang w:val="en-US" w:eastAsia="zh-CN"/>
              </w:rPr>
              <w:t>供应商总</w:t>
            </w:r>
            <w:r>
              <w:rPr>
                <w:rFonts w:hint="eastAsia" w:ascii="宋体" w:hAnsi="宋体" w:cs="宋体"/>
                <w:color w:val="auto"/>
                <w:szCs w:val="21"/>
                <w:highlight w:val="none"/>
              </w:rPr>
              <w:t>得分</w:t>
            </w:r>
            <w:r>
              <w:rPr>
                <w:rFonts w:hint="eastAsia"/>
                <w:color w:val="auto"/>
                <w:highlight w:val="none"/>
              </w:rPr>
              <w:t xml:space="preserve">= </w:t>
            </w:r>
            <w:r>
              <w:rPr>
                <w:rFonts w:hint="eastAsia"/>
                <w:color w:val="auto"/>
                <w:highlight w:val="none"/>
                <w:lang w:eastAsia="zh-CN"/>
              </w:rPr>
              <w:t>价格分</w:t>
            </w:r>
            <w:r>
              <w:rPr>
                <w:rFonts w:hint="eastAsia"/>
                <w:color w:val="auto"/>
                <w:highlight w:val="none"/>
              </w:rPr>
              <w:t>得分</w:t>
            </w:r>
            <w:r>
              <w:rPr>
                <w:rFonts w:hint="eastAsia"/>
                <w:color w:val="auto"/>
                <w:highlight w:val="none"/>
                <w:lang w:val="en-US" w:eastAsia="zh-CN"/>
              </w:rPr>
              <w:t>+</w:t>
            </w:r>
            <w:r>
              <w:rPr>
                <w:rFonts w:hint="eastAsia"/>
                <w:color w:val="auto"/>
                <w:highlight w:val="none"/>
              </w:rPr>
              <w:t>技术</w:t>
            </w:r>
            <w:r>
              <w:rPr>
                <w:rFonts w:hint="eastAsia"/>
                <w:color w:val="auto"/>
                <w:highlight w:val="none"/>
                <w:lang w:val="en-US" w:eastAsia="zh-CN"/>
              </w:rPr>
              <w:t>分</w:t>
            </w:r>
            <w:r>
              <w:rPr>
                <w:rFonts w:hint="eastAsia"/>
                <w:color w:val="auto"/>
                <w:highlight w:val="none"/>
              </w:rPr>
              <w:t>得分+</w:t>
            </w:r>
            <w:r>
              <w:rPr>
                <w:rFonts w:hint="eastAsia"/>
                <w:color w:val="auto"/>
                <w:highlight w:val="none"/>
                <w:lang w:val="en-US" w:eastAsia="zh-CN"/>
              </w:rPr>
              <w:t>商务分得分</w:t>
            </w:r>
          </w:p>
        </w:tc>
      </w:tr>
    </w:tbl>
    <w:p w14:paraId="6F21759E">
      <w:pPr>
        <w:spacing w:line="360" w:lineRule="auto"/>
        <w:rPr>
          <w:rFonts w:ascii="宋体" w:hAnsi="宋体"/>
          <w:bCs/>
          <w:color w:val="auto"/>
          <w:szCs w:val="21"/>
        </w:rPr>
      </w:pPr>
    </w:p>
    <w:p w14:paraId="799C9CB7">
      <w:pPr>
        <w:spacing w:line="360" w:lineRule="auto"/>
        <w:rPr>
          <w:rFonts w:ascii="宋体" w:hAnsi="宋体"/>
          <w:b/>
          <w:color w:val="auto"/>
          <w:szCs w:val="21"/>
        </w:rPr>
      </w:pPr>
      <w:r>
        <w:rPr>
          <w:rFonts w:hint="eastAsia" w:ascii="宋体" w:hAnsi="宋体"/>
          <w:b/>
          <w:color w:val="auto"/>
          <w:szCs w:val="21"/>
        </w:rPr>
        <w:t>三、成交候选供应商推荐原则</w:t>
      </w:r>
    </w:p>
    <w:p w14:paraId="03F64C11">
      <w:pPr>
        <w:spacing w:line="360" w:lineRule="auto"/>
        <w:ind w:firstLine="420" w:firstLineChars="200"/>
        <w:rPr>
          <w:rFonts w:ascii="宋体" w:hAnsi="宋体"/>
          <w:color w:val="auto"/>
          <w:szCs w:val="21"/>
        </w:rPr>
      </w:pPr>
      <w:r>
        <w:rPr>
          <w:rFonts w:hint="eastAsia" w:ascii="宋体" w:hAnsi="宋体"/>
          <w:bCs/>
          <w:color w:val="auto"/>
          <w:szCs w:val="21"/>
        </w:rPr>
        <w:t>由磋商小组根据综合评分情况，按照评审得分由高到低顺序推荐3名以上成交候选供应商，并编写评审报告。符合本章第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p>
    <w:p w14:paraId="5895289B">
      <w:pPr>
        <w:jc w:val="both"/>
        <w:outlineLvl w:val="0"/>
        <w:rPr>
          <w:rFonts w:hint="eastAsia" w:ascii="宋体" w:hAnsi="宋体" w:cs="Times New Roman"/>
          <w:b/>
          <w:bCs/>
          <w:color w:val="auto"/>
          <w:sz w:val="36"/>
          <w:szCs w:val="44"/>
          <w:lang w:val="en-US" w:eastAsia="zh-CN"/>
        </w:rPr>
      </w:pPr>
      <w:bookmarkStart w:id="86" w:name="_Toc44229897"/>
    </w:p>
    <w:p w14:paraId="072A0F52">
      <w:pPr>
        <w:pStyle w:val="4"/>
        <w:keepNext/>
        <w:keepLines w:val="0"/>
        <w:pageBreakBefore w:val="0"/>
        <w:widowControl w:val="0"/>
        <w:numPr>
          <w:ilvl w:val="0"/>
          <w:numId w:val="6"/>
        </w:numPr>
        <w:kinsoku/>
        <w:wordWrap/>
        <w:overflowPunct/>
        <w:topLinePunct w:val="0"/>
        <w:autoSpaceDE/>
        <w:autoSpaceDN/>
        <w:bidi w:val="0"/>
        <w:adjustRightInd/>
        <w:snapToGrid/>
        <w:spacing w:line="520" w:lineRule="exact"/>
        <w:ind w:firstLine="1807" w:firstLineChars="500"/>
        <w:textAlignment w:val="auto"/>
        <w:rPr>
          <w:rFonts w:hint="eastAsia"/>
          <w:color w:val="auto"/>
          <w:sz w:val="36"/>
          <w:szCs w:val="36"/>
          <w:lang w:val="en-US" w:eastAsia="zh-CN"/>
        </w:rPr>
      </w:pPr>
      <w:bookmarkStart w:id="87" w:name="_Toc19821"/>
      <w:r>
        <w:rPr>
          <w:rFonts w:hint="eastAsia"/>
          <w:color w:val="auto"/>
          <w:sz w:val="36"/>
          <w:szCs w:val="36"/>
          <w:lang w:val="en-US" w:eastAsia="zh-CN"/>
        </w:rPr>
        <w:t xml:space="preserve"> 工程量清单及图纸</w:t>
      </w:r>
      <w:bookmarkEnd w:id="87"/>
    </w:p>
    <w:p w14:paraId="7EF88DCC">
      <w:pPr>
        <w:rPr>
          <w:rFonts w:hint="eastAsia"/>
          <w:color w:val="auto"/>
          <w:lang w:val="en-US" w:eastAsia="zh-CN"/>
        </w:rPr>
      </w:pPr>
    </w:p>
    <w:p w14:paraId="6D3E72DE">
      <w:pPr>
        <w:pStyle w:val="5"/>
        <w:spacing w:before="0" w:after="0" w:line="360" w:lineRule="auto"/>
        <w:rPr>
          <w:color w:val="auto"/>
          <w:kern w:val="44"/>
        </w:rPr>
      </w:pPr>
      <w:bookmarkStart w:id="88" w:name="_Toc407135284"/>
      <w:bookmarkStart w:id="89" w:name="_Toc1392571603"/>
      <w:bookmarkStart w:id="90" w:name="_Toc1386396751"/>
      <w:bookmarkStart w:id="91" w:name="_Toc122424493"/>
      <w:bookmarkStart w:id="92" w:name="_Toc78449869"/>
      <w:r>
        <w:rPr>
          <w:color w:val="auto"/>
        </w:rPr>
        <w:t>1</w:t>
      </w:r>
      <w:r>
        <w:rPr>
          <w:rFonts w:hint="eastAsia"/>
          <w:color w:val="auto"/>
        </w:rPr>
        <w:t>.</w:t>
      </w:r>
      <w:r>
        <w:rPr>
          <w:rFonts w:hint="eastAsia" w:cs="黑体"/>
          <w:color w:val="auto"/>
        </w:rPr>
        <w:t>工程量清单编制说明</w:t>
      </w:r>
      <w:bookmarkEnd w:id="88"/>
      <w:bookmarkEnd w:id="89"/>
      <w:bookmarkEnd w:id="90"/>
      <w:bookmarkEnd w:id="91"/>
      <w:bookmarkEnd w:id="92"/>
    </w:p>
    <w:p w14:paraId="6D727F17">
      <w:pPr>
        <w:spacing w:line="360" w:lineRule="auto"/>
        <w:ind w:firstLine="420" w:firstLineChars="200"/>
        <w:rPr>
          <w:color w:val="auto"/>
          <w:highlight w:val="none"/>
        </w:rPr>
      </w:pPr>
      <w:r>
        <w:rPr>
          <w:color w:val="auto"/>
          <w:highlight w:val="none"/>
        </w:rPr>
        <w:t>1.1工程量清单依据《建设工程工程量清单计价规范》（GB50500-2013）</w:t>
      </w:r>
      <w:r>
        <w:rPr>
          <w:rFonts w:hint="eastAsia"/>
          <w:color w:val="auto"/>
          <w:highlight w:val="none"/>
          <w:lang w:eastAsia="zh-CN"/>
        </w:rPr>
        <w:t>、</w:t>
      </w:r>
      <w:r>
        <w:rPr>
          <w:color w:val="auto"/>
          <w:highlight w:val="none"/>
        </w:rPr>
        <w:t>《建设工程工程量清单计价规范（GB50500-2013）广西壮族自治区实施细则</w:t>
      </w:r>
      <w:r>
        <w:rPr>
          <w:rFonts w:hint="eastAsia"/>
          <w:color w:val="auto"/>
          <w:highlight w:val="none"/>
          <w:lang w:eastAsia="zh-CN"/>
        </w:rPr>
        <w:t>》《</w:t>
      </w:r>
      <w:r>
        <w:rPr>
          <w:color w:val="auto"/>
          <w:highlight w:val="none"/>
        </w:rPr>
        <w:t>建设工程工程量清单计算规范》（GB50854~50862-2013）</w:t>
      </w:r>
      <w:r>
        <w:rPr>
          <w:rFonts w:hint="eastAsia"/>
          <w:color w:val="auto"/>
          <w:highlight w:val="none"/>
          <w:lang w:eastAsia="zh-CN"/>
        </w:rPr>
        <w:t>、</w:t>
      </w:r>
      <w:r>
        <w:rPr>
          <w:color w:val="auto"/>
          <w:highlight w:val="none"/>
        </w:rPr>
        <w:t>《建设工程工程量清单计算规范（GB50854~50862-2013）》及广西实施细则（修订本）、 《关于建筑业实施营业税改征增值税后广西壮族自治区建设工程计价依据调整的通知》（桂建标〔2016〕17号）、</w:t>
      </w:r>
      <w:r>
        <w:rPr>
          <w:rFonts w:hint="eastAsia"/>
          <w:color w:val="auto"/>
          <w:highlight w:val="none"/>
          <w:lang w:val="en-US" w:eastAsia="zh-CN"/>
        </w:rPr>
        <w:t>磋商</w:t>
      </w:r>
      <w:r>
        <w:rPr>
          <w:color w:val="auto"/>
          <w:highlight w:val="none"/>
        </w:rPr>
        <w:t>文件、施工图等编制。计算规范中没有的清单项目，应在本章第1.4款约定。</w:t>
      </w:r>
    </w:p>
    <w:p w14:paraId="6AFE6848">
      <w:pPr>
        <w:spacing w:line="360" w:lineRule="auto"/>
        <w:ind w:firstLine="420" w:firstLineChars="200"/>
        <w:rPr>
          <w:color w:val="auto"/>
        </w:rPr>
      </w:pPr>
      <w:r>
        <w:rPr>
          <w:color w:val="auto"/>
        </w:rPr>
        <w:t xml:space="preserve">1.2 </w:t>
      </w:r>
      <w:r>
        <w:rPr>
          <w:rFonts w:hint="eastAsia"/>
          <w:color w:val="auto"/>
        </w:rPr>
        <w:t>工程量清单应与供应商须知、合同协议条款、合同的通用条款、合同专用条款、技术规范及图纸等文件一起结合使用。</w:t>
      </w:r>
    </w:p>
    <w:p w14:paraId="532F833F">
      <w:pPr>
        <w:spacing w:line="360" w:lineRule="auto"/>
        <w:ind w:firstLine="420" w:firstLineChars="200"/>
        <w:rPr>
          <w:color w:val="auto"/>
        </w:rPr>
      </w:pPr>
      <w:r>
        <w:rPr>
          <w:color w:val="auto"/>
        </w:rPr>
        <w:t xml:space="preserve">1.3 </w:t>
      </w:r>
      <w:r>
        <w:rPr>
          <w:rFonts w:hint="eastAsia" w:cs="宋体"/>
          <w:color w:val="auto"/>
        </w:rPr>
        <w:t>工程量清单是</w:t>
      </w:r>
      <w:r>
        <w:rPr>
          <w:rFonts w:hint="eastAsia" w:cs="宋体"/>
          <w:color w:val="auto"/>
          <w:lang w:val="en-US" w:eastAsia="zh-CN"/>
        </w:rPr>
        <w:t>磋商</w:t>
      </w:r>
      <w:r>
        <w:rPr>
          <w:rFonts w:hint="eastAsia" w:cs="宋体"/>
          <w:color w:val="auto"/>
        </w:rPr>
        <w:t>文件的组成部分，是工程量清单计价的基础，作为编制招标控制价、竞标报价、计算或调整工程量、索赔等的依据之一。</w:t>
      </w:r>
    </w:p>
    <w:p w14:paraId="2BC2F797">
      <w:pPr>
        <w:spacing w:line="360" w:lineRule="auto"/>
        <w:ind w:firstLine="420" w:firstLineChars="200"/>
        <w:rPr>
          <w:color w:val="auto"/>
        </w:rPr>
      </w:pPr>
      <w:r>
        <w:rPr>
          <w:color w:val="auto"/>
        </w:rPr>
        <w:t xml:space="preserve">1.4 </w:t>
      </w:r>
      <w:r>
        <w:rPr>
          <w:rFonts w:hint="eastAsia" w:cs="宋体"/>
          <w:color w:val="auto"/>
        </w:rPr>
        <w:t>补充清单项目的特征、计量单位、工程量计算规则及工作内容说明如下：/。</w:t>
      </w:r>
    </w:p>
    <w:p w14:paraId="352F2AE5">
      <w:pPr>
        <w:spacing w:line="360" w:lineRule="auto"/>
        <w:ind w:left="2"/>
        <w:rPr>
          <w:color w:val="auto"/>
        </w:rPr>
      </w:pPr>
      <w:r>
        <w:rPr>
          <w:color w:val="auto"/>
        </w:rPr>
        <w:t xml:space="preserve">  </w:t>
      </w:r>
      <w:r>
        <w:rPr>
          <w:rFonts w:hint="eastAsia"/>
          <w:color w:val="auto"/>
        </w:rPr>
        <w:t xml:space="preserve"> </w:t>
      </w:r>
      <w:r>
        <w:rPr>
          <w:rFonts w:hint="eastAsia"/>
          <w:color w:val="auto"/>
          <w:lang w:val="en-US" w:eastAsia="zh-CN"/>
        </w:rPr>
        <w:t xml:space="preserve"> </w:t>
      </w:r>
      <w:r>
        <w:rPr>
          <w:color w:val="auto"/>
        </w:rPr>
        <w:t xml:space="preserve">1.5 </w:t>
      </w:r>
      <w:r>
        <w:rPr>
          <w:rFonts w:hint="eastAsia"/>
          <w:color w:val="auto"/>
        </w:rPr>
        <w:t>《允许调整主要材料和工程设备一览表》（表</w:t>
      </w:r>
      <w:r>
        <w:rPr>
          <w:color w:val="auto"/>
        </w:rPr>
        <w:t>-22</w:t>
      </w:r>
      <w:r>
        <w:rPr>
          <w:rFonts w:hint="eastAsia"/>
          <w:color w:val="auto"/>
        </w:rPr>
        <w:t>，表格编号为计价规范相应表格编号，下同）作为项目实施过程中材料和设备价格风险调整依据。</w:t>
      </w:r>
    </w:p>
    <w:p w14:paraId="0B34A664">
      <w:pPr>
        <w:pStyle w:val="15"/>
        <w:spacing w:line="360" w:lineRule="auto"/>
        <w:ind w:firstLine="420" w:firstLineChars="200"/>
        <w:rPr>
          <w:rFonts w:ascii="Times New Roman" w:hAnsi="Times New Roman"/>
          <w:color w:val="auto"/>
          <w:sz w:val="21"/>
        </w:rPr>
      </w:pPr>
      <w:r>
        <w:rPr>
          <w:rFonts w:ascii="Times New Roman" w:hAnsi="Times New Roman"/>
          <w:color w:val="auto"/>
          <w:sz w:val="21"/>
        </w:rPr>
        <w:t xml:space="preserve">1.6 </w:t>
      </w:r>
      <w:r>
        <w:rPr>
          <w:rFonts w:hint="eastAsia" w:ascii="Times New Roman" w:hAnsi="Times New Roman"/>
          <w:color w:val="auto"/>
          <w:sz w:val="21"/>
        </w:rPr>
        <w:t>本工程暂列金额（约按合同造价</w:t>
      </w:r>
      <w:r>
        <w:rPr>
          <w:rFonts w:ascii="Times New Roman" w:hAnsi="Times New Roman"/>
          <w:color w:val="auto"/>
          <w:sz w:val="21"/>
          <w:u w:val="single"/>
        </w:rPr>
        <w:t xml:space="preserve">  </w:t>
      </w:r>
      <w:r>
        <w:rPr>
          <w:rFonts w:hint="eastAsia" w:ascii="Times New Roman" w:hAnsi="Times New Roman"/>
          <w:color w:val="auto"/>
          <w:sz w:val="21"/>
          <w:u w:val="single"/>
        </w:rPr>
        <w:t>/</w:t>
      </w:r>
      <w:r>
        <w:rPr>
          <w:rFonts w:ascii="Times New Roman" w:hAnsi="Times New Roman"/>
          <w:color w:val="auto"/>
          <w:sz w:val="21"/>
          <w:u w:val="single"/>
        </w:rPr>
        <w:t xml:space="preserve">   </w:t>
      </w:r>
      <w:r>
        <w:rPr>
          <w:rFonts w:ascii="Times New Roman" w:hAnsi="Times New Roman"/>
          <w:color w:val="auto"/>
          <w:sz w:val="21"/>
        </w:rPr>
        <w:t>%</w:t>
      </w:r>
      <w:r>
        <w:rPr>
          <w:rFonts w:hint="eastAsia" w:ascii="Times New Roman" w:hAnsi="Times New Roman"/>
          <w:color w:val="auto"/>
          <w:sz w:val="21"/>
        </w:rPr>
        <w:t>计算），共</w:t>
      </w:r>
      <w:r>
        <w:rPr>
          <w:rFonts w:ascii="Times New Roman" w:hAnsi="Times New Roman"/>
          <w:color w:val="auto"/>
          <w:sz w:val="21"/>
          <w:u w:val="single"/>
        </w:rPr>
        <w:t xml:space="preserve">  </w:t>
      </w:r>
      <w:r>
        <w:rPr>
          <w:rFonts w:hint="eastAsia" w:ascii="Times New Roman" w:hAnsi="Times New Roman"/>
          <w:color w:val="auto"/>
          <w:sz w:val="21"/>
          <w:u w:val="single"/>
        </w:rPr>
        <w:t>/</w:t>
      </w:r>
      <w:r>
        <w:rPr>
          <w:rFonts w:ascii="Times New Roman" w:hAnsi="Times New Roman"/>
          <w:color w:val="auto"/>
          <w:sz w:val="21"/>
          <w:u w:val="single"/>
        </w:rPr>
        <w:t xml:space="preserve">  </w:t>
      </w:r>
      <w:r>
        <w:rPr>
          <w:rFonts w:hint="eastAsia" w:ascii="Times New Roman" w:hAnsi="Times New Roman"/>
          <w:color w:val="auto"/>
          <w:sz w:val="21"/>
        </w:rPr>
        <w:t>元，作为合同签订时尚未确定或者不可预见但施工中可能发生的费用。</w:t>
      </w:r>
    </w:p>
    <w:p w14:paraId="33A71204">
      <w:pPr>
        <w:pStyle w:val="15"/>
        <w:spacing w:line="360" w:lineRule="auto"/>
        <w:ind w:firstLine="420" w:firstLineChars="200"/>
        <w:rPr>
          <w:rFonts w:ascii="Times New Roman" w:hAnsi="Times New Roman"/>
          <w:color w:val="auto"/>
          <w:sz w:val="21"/>
        </w:rPr>
      </w:pPr>
      <w:r>
        <w:rPr>
          <w:rFonts w:ascii="Times New Roman" w:hAnsi="Times New Roman"/>
          <w:color w:val="auto"/>
          <w:sz w:val="21"/>
        </w:rPr>
        <w:t xml:space="preserve">1.7 </w:t>
      </w:r>
      <w:r>
        <w:rPr>
          <w:rFonts w:hint="eastAsia" w:ascii="Times New Roman" w:hAnsi="Times New Roman"/>
          <w:color w:val="auto"/>
          <w:sz w:val="21"/>
        </w:rPr>
        <w:t>本工程发包人提供的材料和设备详见《发包人提供的主要材料和工程设备一览表》（表</w:t>
      </w:r>
      <w:r>
        <w:rPr>
          <w:rFonts w:ascii="Times New Roman" w:hAnsi="Times New Roman"/>
          <w:color w:val="auto"/>
          <w:sz w:val="21"/>
        </w:rPr>
        <w:t>-21</w:t>
      </w:r>
      <w:r>
        <w:rPr>
          <w:rFonts w:hint="eastAsia" w:ascii="Times New Roman" w:hAnsi="Times New Roman"/>
          <w:color w:val="auto"/>
          <w:sz w:val="21"/>
        </w:rPr>
        <w:t>）。</w:t>
      </w:r>
    </w:p>
    <w:p w14:paraId="3559F7A1">
      <w:pPr>
        <w:spacing w:line="360" w:lineRule="auto"/>
        <w:ind w:firstLine="420" w:firstLineChars="200"/>
        <w:rPr>
          <w:color w:val="auto"/>
        </w:rPr>
      </w:pPr>
      <w:r>
        <w:rPr>
          <w:color w:val="auto"/>
        </w:rPr>
        <w:t xml:space="preserve">1.8 </w:t>
      </w:r>
      <w:r>
        <w:rPr>
          <w:rFonts w:hint="eastAsia" w:cs="宋体"/>
          <w:color w:val="auto"/>
        </w:rPr>
        <w:t>本工程部分材料和设备在招标时作为暂估价计列，结算按实调整，具体内容详见《材料（工程设备）暂估单价及调整表》（表</w:t>
      </w:r>
      <w:r>
        <w:rPr>
          <w:color w:val="auto"/>
        </w:rPr>
        <w:t>12-2</w:t>
      </w:r>
      <w:r>
        <w:rPr>
          <w:rFonts w:hint="eastAsia" w:cs="宋体"/>
          <w:color w:val="auto"/>
        </w:rPr>
        <w:t>）。</w:t>
      </w:r>
    </w:p>
    <w:p w14:paraId="4D5E4B2C">
      <w:pPr>
        <w:spacing w:line="360" w:lineRule="auto"/>
        <w:ind w:firstLine="420" w:firstLineChars="200"/>
        <w:rPr>
          <w:color w:val="auto"/>
        </w:rPr>
      </w:pPr>
      <w:r>
        <w:rPr>
          <w:color w:val="auto"/>
        </w:rPr>
        <w:t xml:space="preserve">1.9 </w:t>
      </w:r>
      <w:r>
        <w:rPr>
          <w:rFonts w:hint="eastAsia" w:cs="宋体"/>
          <w:color w:val="auto"/>
        </w:rPr>
        <w:t>招标时暂估专业工程的价款属于暂估价，结算按实调整，具体内容详见《专业工程暂估价及结算价表》（表</w:t>
      </w:r>
      <w:r>
        <w:rPr>
          <w:color w:val="auto"/>
        </w:rPr>
        <w:t>12-3</w:t>
      </w:r>
      <w:r>
        <w:rPr>
          <w:rFonts w:hint="eastAsia" w:cs="宋体"/>
          <w:color w:val="auto"/>
        </w:rPr>
        <w:t>）。</w:t>
      </w:r>
    </w:p>
    <w:p w14:paraId="6B3C076B">
      <w:pPr>
        <w:spacing w:line="360" w:lineRule="auto"/>
        <w:ind w:firstLine="420" w:firstLineChars="200"/>
        <w:rPr>
          <w:color w:val="auto"/>
        </w:rPr>
      </w:pPr>
      <w:r>
        <w:rPr>
          <w:color w:val="auto"/>
        </w:rPr>
        <w:t xml:space="preserve">1.10 </w:t>
      </w:r>
      <w:r>
        <w:rPr>
          <w:rFonts w:hint="eastAsia" w:cs="宋体"/>
          <w:color w:val="auto"/>
        </w:rPr>
        <w:t>本工程量清单编码处标注</w:t>
      </w:r>
      <w:r>
        <w:rPr>
          <w:color w:val="auto"/>
        </w:rPr>
        <w:t>“*”</w:t>
      </w:r>
      <w:r>
        <w:rPr>
          <w:rFonts w:hint="eastAsia" w:cs="宋体"/>
          <w:color w:val="auto"/>
        </w:rPr>
        <w:t>号的清单项目作为主要清单项目，需要供应商提供</w:t>
      </w:r>
      <w:r>
        <w:rPr>
          <w:rFonts w:hint="eastAsia" w:hAnsi="宋体" w:cs="宋体"/>
          <w:color w:val="auto"/>
        </w:rPr>
        <w:t>《主要清单项目工料机分析表》（表</w:t>
      </w:r>
      <w:r>
        <w:rPr>
          <w:color w:val="auto"/>
        </w:rPr>
        <w:t>-10</w:t>
      </w:r>
      <w:r>
        <w:rPr>
          <w:rFonts w:hint="eastAsia" w:hAnsi="宋体" w:cs="宋体"/>
          <w:color w:val="auto"/>
        </w:rPr>
        <w:t>）</w:t>
      </w:r>
      <w:r>
        <w:rPr>
          <w:rFonts w:hint="eastAsia" w:cs="宋体"/>
          <w:color w:val="auto"/>
        </w:rPr>
        <w:t>。</w:t>
      </w:r>
    </w:p>
    <w:p w14:paraId="0F0894D3">
      <w:pPr>
        <w:spacing w:line="360" w:lineRule="auto"/>
        <w:ind w:firstLine="420" w:firstLineChars="200"/>
        <w:rPr>
          <w:color w:val="auto"/>
          <w:u w:val="single"/>
        </w:rPr>
      </w:pPr>
      <w:r>
        <w:rPr>
          <w:color w:val="auto"/>
        </w:rPr>
        <w:t xml:space="preserve">1.11 </w:t>
      </w:r>
      <w:r>
        <w:rPr>
          <w:rFonts w:hint="eastAsia" w:cs="宋体"/>
          <w:color w:val="auto"/>
        </w:rPr>
        <w:t>其他需要说明的问题：</w:t>
      </w:r>
      <w:r>
        <w:rPr>
          <w:color w:val="auto"/>
          <w:u w:val="single"/>
        </w:rPr>
        <w:t xml:space="preserve">   </w:t>
      </w:r>
      <w:r>
        <w:rPr>
          <w:rFonts w:hint="eastAsia"/>
          <w:color w:val="auto"/>
          <w:u w:val="single"/>
        </w:rPr>
        <w:t>/</w:t>
      </w:r>
      <w:r>
        <w:rPr>
          <w:color w:val="auto"/>
          <w:u w:val="single"/>
        </w:rPr>
        <w:t xml:space="preserve">                                              </w:t>
      </w:r>
    </w:p>
    <w:p w14:paraId="08FB040B">
      <w:pPr>
        <w:spacing w:line="360" w:lineRule="auto"/>
        <w:rPr>
          <w:color w:val="auto"/>
        </w:rPr>
      </w:pPr>
      <w:r>
        <w:rPr>
          <w:color w:val="auto"/>
          <w:u w:val="single"/>
        </w:rPr>
        <w:t xml:space="preserve">                                                                     </w:t>
      </w:r>
      <w:r>
        <w:rPr>
          <w:rFonts w:hint="eastAsia" w:cs="宋体"/>
          <w:color w:val="auto"/>
        </w:rPr>
        <w:t>。</w:t>
      </w:r>
    </w:p>
    <w:p w14:paraId="7AA5C070">
      <w:pPr>
        <w:spacing w:line="360" w:lineRule="auto"/>
        <w:ind w:firstLine="420" w:firstLineChars="200"/>
        <w:jc w:val="left"/>
        <w:rPr>
          <w:rFonts w:hint="eastAsia" w:cs="宋体"/>
          <w:color w:val="auto"/>
        </w:rPr>
      </w:pPr>
      <w:r>
        <w:rPr>
          <w:color w:val="auto"/>
        </w:rPr>
        <w:t xml:space="preserve">1.12 </w:t>
      </w:r>
      <w:r>
        <w:rPr>
          <w:rFonts w:hint="eastAsia" w:cs="宋体"/>
          <w:color w:val="auto"/>
        </w:rPr>
        <w:t>工程量清单与</w:t>
      </w:r>
      <w:r>
        <w:rPr>
          <w:rFonts w:hint="eastAsia" w:cs="宋体"/>
          <w:color w:val="auto"/>
          <w:lang w:val="en-US" w:eastAsia="zh-CN"/>
        </w:rPr>
        <w:t>磋商</w:t>
      </w:r>
      <w:r>
        <w:rPr>
          <w:rFonts w:hint="eastAsia" w:cs="宋体"/>
          <w:color w:val="auto"/>
        </w:rPr>
        <w:t>文件同时发布。</w:t>
      </w:r>
      <w:r>
        <w:rPr>
          <w:color w:val="auto"/>
        </w:rPr>
        <w:t xml:space="preserve"> </w:t>
      </w:r>
      <w:r>
        <w:rPr>
          <w:rFonts w:hint="eastAsia" w:cs="宋体"/>
          <w:color w:val="auto"/>
        </w:rPr>
        <w:t>一般计税法建设工程的工程量清单表格按</w:t>
      </w:r>
      <w:r>
        <w:rPr>
          <w:rFonts w:hint="eastAsia" w:hAnsi="宋体" w:cs="宋体"/>
          <w:color w:val="auto"/>
          <w:kern w:val="0"/>
        </w:rPr>
        <w:t>《关于建筑业实施营业税改征增值税后广西壮族自治区建设工程计价依据调整的通知》（桂建标〔</w:t>
      </w:r>
      <w:r>
        <w:rPr>
          <w:rFonts w:hAnsi="宋体"/>
          <w:color w:val="auto"/>
          <w:kern w:val="0"/>
        </w:rPr>
        <w:t>2016</w:t>
      </w:r>
      <w:r>
        <w:rPr>
          <w:rFonts w:hint="eastAsia" w:hAnsi="宋体" w:cs="宋体"/>
          <w:color w:val="auto"/>
          <w:kern w:val="0"/>
        </w:rPr>
        <w:t>〕</w:t>
      </w:r>
      <w:r>
        <w:rPr>
          <w:rFonts w:hAnsi="宋体"/>
          <w:color w:val="auto"/>
          <w:kern w:val="0"/>
        </w:rPr>
        <w:t>17</w:t>
      </w:r>
      <w:r>
        <w:rPr>
          <w:rFonts w:hint="eastAsia" w:hAnsi="宋体" w:cs="宋体"/>
          <w:color w:val="auto"/>
          <w:kern w:val="0"/>
        </w:rPr>
        <w:t>号）</w:t>
      </w:r>
      <w:r>
        <w:rPr>
          <w:rFonts w:hint="eastAsia" w:ascii="宋体" w:hAnsi="宋体" w:cs="宋体"/>
          <w:color w:val="auto"/>
        </w:rPr>
        <w:t>附件“增值税一般计税方法工程计价表”要求提供；简易计税法建设工程按照《计价规范》要求的</w:t>
      </w:r>
      <w:r>
        <w:rPr>
          <w:rFonts w:hint="eastAsia" w:cs="宋体"/>
          <w:color w:val="auto"/>
        </w:rPr>
        <w:t>表格提供，但规费和税费要按照《关于建筑业实施营业税改征增值税后广西壮族自治区建设工程计价依据调整的通知》（桂建标〔</w:t>
      </w:r>
      <w:r>
        <w:rPr>
          <w:color w:val="auto"/>
        </w:rPr>
        <w:t>2016</w:t>
      </w:r>
      <w:r>
        <w:rPr>
          <w:rFonts w:hint="eastAsia" w:cs="宋体"/>
          <w:color w:val="auto"/>
        </w:rPr>
        <w:t>〕</w:t>
      </w:r>
      <w:r>
        <w:rPr>
          <w:color w:val="auto"/>
        </w:rPr>
        <w:t>17</w:t>
      </w:r>
      <w:r>
        <w:rPr>
          <w:rFonts w:hint="eastAsia" w:cs="宋体"/>
          <w:color w:val="auto"/>
        </w:rPr>
        <w:t>号）</w:t>
      </w:r>
      <w:r>
        <w:rPr>
          <w:rFonts w:hint="eastAsia" w:ascii="宋体" w:hAnsi="宋体" w:cs="宋体"/>
          <w:color w:val="auto"/>
        </w:rPr>
        <w:t>要求调整，具体</w:t>
      </w:r>
      <w:r>
        <w:rPr>
          <w:rFonts w:hint="eastAsia" w:cs="宋体"/>
          <w:color w:val="auto"/>
        </w:rPr>
        <w:t>包括：</w:t>
      </w:r>
      <w:bookmarkStart w:id="93" w:name="_Toc407135285"/>
      <w:bookmarkStart w:id="94" w:name="_Toc122424494"/>
      <w:bookmarkStart w:id="95" w:name="_Toc347872619"/>
      <w:bookmarkStart w:id="96" w:name="_Toc990933621"/>
      <w:bookmarkStart w:id="97" w:name="_Toc78449870"/>
    </w:p>
    <w:p w14:paraId="371CD4DB">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 招标工程量清单（封-1）</w:t>
      </w:r>
    </w:p>
    <w:p w14:paraId="7BBBCEB5">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1.2 招标工程量清单（封扉-1）</w:t>
      </w:r>
    </w:p>
    <w:p w14:paraId="746215E3">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1.3 总说明（表-01）</w:t>
      </w:r>
    </w:p>
    <w:p w14:paraId="5DE61835">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1.4 建设项目投标报价汇总表（表-02）</w:t>
      </w:r>
    </w:p>
    <w:p w14:paraId="1667B981">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1.5 单项工程投标报价汇总表（表-03）</w:t>
      </w:r>
    </w:p>
    <w:p w14:paraId="2ACC6A64">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1.6 单位工程投标报价汇总表（表-04） </w:t>
      </w:r>
    </w:p>
    <w:p w14:paraId="58898EE7">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1.7 分部分项工程和单价措施项目清单与计价表（表-08）</w:t>
      </w:r>
    </w:p>
    <w:p w14:paraId="0E2273F0">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1.8 总价措施项目清单与计价表（表-11）</w:t>
      </w:r>
    </w:p>
    <w:p w14:paraId="2FDFBF0E">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1.9 其他项目清单与计价汇总表（表-12）</w:t>
      </w:r>
    </w:p>
    <w:p w14:paraId="0202C2EB">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1.10 暂列金额明细表（表12-1）</w:t>
      </w:r>
    </w:p>
    <w:p w14:paraId="3E244EDB">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1.11 材料（工程设备）暂估单价及调整表（表12-2）</w:t>
      </w:r>
    </w:p>
    <w:p w14:paraId="78A8C67F">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1.12 专业工程暂估价及结算价表（表12-3）</w:t>
      </w:r>
    </w:p>
    <w:p w14:paraId="0C816DA3">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1.13 计日工表（表12-4）</w:t>
      </w:r>
    </w:p>
    <w:p w14:paraId="2F7B6892">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1.14 总承包服务费计价表（表12-5） </w:t>
      </w:r>
    </w:p>
    <w:p w14:paraId="57F7F5AF">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1.15 税前项目清单与计价表（表-14）</w:t>
      </w:r>
    </w:p>
    <w:p w14:paraId="7C482F1F">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1.16 规费、增值税计价表（表-15）</w:t>
      </w:r>
    </w:p>
    <w:p w14:paraId="09590702">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1.17 发包人提供主要材料和工程设备一览表（表-21）</w:t>
      </w:r>
    </w:p>
    <w:p w14:paraId="7BA7020A">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1.18 允许调整主要材料和工程设备一览表（适用于造价信息差额调整法）（表-22） </w:t>
      </w:r>
    </w:p>
    <w:p w14:paraId="042DD143">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1.19 允许调整主要材料和工程设备一览表（适用于价格指数差额调整法）（表-23）</w:t>
      </w:r>
    </w:p>
    <w:p w14:paraId="198EEBB6">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1.20 本工程材料和工程设备一览表（表-24）</w:t>
      </w:r>
    </w:p>
    <w:p w14:paraId="670417FE">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注：如本工程在合同中约定采用造价信息价差调整法，1.18 允许调整主要材料和工程设备一览 表（适用于造价信息差额调整法）（表-22）载明的主要材料和工程设备为本工程允许调整材料 和工程设备，招标工程量清单必须提供该表格，并应载明允许调整材料和工程设备名称型号规 格、单位、风险系数、基准单价等内容，且不能提供空白表。</w:t>
      </w:r>
    </w:p>
    <w:p w14:paraId="54133385">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以下表格视工程实际需要选用，如该工程不发生如下表格相关项目和费用，所编制招标工程量清单则不需列入相应表格： </w:t>
      </w:r>
    </w:p>
    <w:p w14:paraId="6B1316EB">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①建设项目投标报价汇总表（表-02）</w:t>
      </w:r>
    </w:p>
    <w:p w14:paraId="622EFE3C">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②暂列金额明细表（表12-1）</w:t>
      </w:r>
    </w:p>
    <w:p w14:paraId="0CC59AD6">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③材料（工程设备）暂估单价及调整表（表12-2）</w:t>
      </w:r>
    </w:p>
    <w:p w14:paraId="368D3721">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 xml:space="preserve">   </w:t>
      </w:r>
      <w:r>
        <w:rPr>
          <w:rFonts w:ascii="宋体" w:hAnsi="宋体" w:eastAsia="宋体" w:cs="宋体"/>
          <w:b w:val="0"/>
          <w:bCs w:val="0"/>
          <w:color w:val="auto"/>
          <w:sz w:val="21"/>
          <w:szCs w:val="21"/>
        </w:rPr>
        <w:t>④专业工程暂估价表（表12-3）</w:t>
      </w:r>
    </w:p>
    <w:p w14:paraId="3C85B72B">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⑤计日工表（表12-4） </w:t>
      </w:r>
    </w:p>
    <w:p w14:paraId="554A0959">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⑥总承包服务费计价表（表12-5）</w:t>
      </w:r>
    </w:p>
    <w:p w14:paraId="1D956A17">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⑦税前项目清单与计价表（表-14）</w:t>
      </w:r>
    </w:p>
    <w:p w14:paraId="0004F820">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⑧ 允许调整主要材料和工程设备一览表（适用于价格指数差额调整法）（表-23）</w:t>
      </w:r>
    </w:p>
    <w:p w14:paraId="403C0FFD">
      <w:pPr>
        <w:pStyle w:val="5"/>
        <w:spacing w:before="0" w:after="0" w:line="360" w:lineRule="auto"/>
        <w:rPr>
          <w:color w:val="auto"/>
        </w:rPr>
      </w:pPr>
      <w:r>
        <w:rPr>
          <w:color w:val="auto"/>
        </w:rPr>
        <w:t>2</w:t>
      </w:r>
      <w:r>
        <w:rPr>
          <w:rFonts w:hint="eastAsia"/>
          <w:color w:val="auto"/>
        </w:rPr>
        <w:t>.</w:t>
      </w:r>
      <w:r>
        <w:rPr>
          <w:rFonts w:hint="eastAsia"/>
          <w:color w:val="auto"/>
          <w:lang w:val="en-US" w:eastAsia="zh-CN"/>
        </w:rPr>
        <w:t>预算</w:t>
      </w:r>
      <w:r>
        <w:rPr>
          <w:rFonts w:hint="eastAsia" w:cs="黑体"/>
          <w:color w:val="auto"/>
        </w:rPr>
        <w:t>价编制说明</w:t>
      </w:r>
      <w:bookmarkEnd w:id="93"/>
      <w:bookmarkEnd w:id="94"/>
      <w:bookmarkEnd w:id="95"/>
      <w:bookmarkEnd w:id="96"/>
      <w:bookmarkEnd w:id="97"/>
    </w:p>
    <w:p w14:paraId="575B4029">
      <w:pPr>
        <w:spacing w:line="360" w:lineRule="auto"/>
        <w:ind w:firstLine="420" w:firstLineChars="200"/>
        <w:rPr>
          <w:color w:val="auto"/>
        </w:rPr>
      </w:pPr>
      <w:r>
        <w:rPr>
          <w:color w:val="auto"/>
        </w:rPr>
        <w:t xml:space="preserve">2.1 </w:t>
      </w:r>
      <w:r>
        <w:rPr>
          <w:rFonts w:hint="eastAsia" w:hAnsi="宋体" w:cs="宋体"/>
          <w:color w:val="auto"/>
        </w:rPr>
        <w:t>编制依据：</w:t>
      </w:r>
    </w:p>
    <w:p w14:paraId="2D55AFC0">
      <w:pPr>
        <w:spacing w:line="360" w:lineRule="auto"/>
        <w:ind w:firstLine="420" w:firstLineChars="200"/>
        <w:rPr>
          <w:rFonts w:hint="default"/>
          <w:color w:val="auto"/>
          <w:lang w:val="en-US" w:eastAsia="zh-CN"/>
        </w:rPr>
      </w:pPr>
      <w:r>
        <w:rPr>
          <w:rFonts w:hint="eastAsia"/>
          <w:color w:val="auto"/>
          <w:lang w:val="en-US" w:eastAsia="zh-CN"/>
        </w:rPr>
        <w:t>详见工程量清单。</w:t>
      </w:r>
    </w:p>
    <w:p w14:paraId="11D50E05">
      <w:pPr>
        <w:spacing w:line="360" w:lineRule="auto"/>
        <w:ind w:firstLine="420" w:firstLineChars="200"/>
        <w:rPr>
          <w:color w:val="auto"/>
        </w:rPr>
      </w:pPr>
      <w:r>
        <w:rPr>
          <w:color w:val="auto"/>
        </w:rPr>
        <w:t xml:space="preserve">2.2 </w:t>
      </w:r>
      <w:r>
        <w:rPr>
          <w:rFonts w:hint="eastAsia" w:hAnsi="宋体" w:cs="宋体"/>
          <w:color w:val="auto"/>
        </w:rPr>
        <w:t>分部分项及单价措施项目综合单价应包括</w:t>
      </w:r>
      <w:r>
        <w:rPr>
          <w:rFonts w:hint="eastAsia" w:hAnsi="宋体" w:cs="宋体"/>
          <w:color w:val="auto"/>
          <w:lang w:val="en-US" w:eastAsia="zh-CN"/>
        </w:rPr>
        <w:t>磋商</w:t>
      </w:r>
      <w:r>
        <w:rPr>
          <w:rFonts w:hint="eastAsia" w:hAnsi="宋体" w:cs="宋体"/>
          <w:color w:val="auto"/>
        </w:rPr>
        <w:t>文件中采购人要求供应商所承担的风险内容及其范围（幅度）产生的风险费用。</w:t>
      </w:r>
    </w:p>
    <w:p w14:paraId="35FCD715">
      <w:pPr>
        <w:spacing w:line="360" w:lineRule="auto"/>
        <w:ind w:firstLine="420"/>
        <w:rPr>
          <w:color w:val="auto"/>
        </w:rPr>
      </w:pPr>
      <w:r>
        <w:rPr>
          <w:color w:val="auto"/>
        </w:rPr>
        <w:t xml:space="preserve">2.3 </w:t>
      </w:r>
      <w:r>
        <w:rPr>
          <w:rFonts w:hint="eastAsia" w:hAnsi="宋体" w:cs="宋体"/>
          <w:color w:val="auto"/>
        </w:rPr>
        <w:t>总价措施项目应根据拟定的</w:t>
      </w:r>
      <w:r>
        <w:rPr>
          <w:rFonts w:hint="eastAsia" w:hAnsi="宋体" w:cs="宋体"/>
          <w:color w:val="auto"/>
          <w:lang w:val="en-US" w:eastAsia="zh-CN"/>
        </w:rPr>
        <w:t>磋商</w:t>
      </w:r>
      <w:r>
        <w:rPr>
          <w:rFonts w:hint="eastAsia" w:hAnsi="宋体" w:cs="宋体"/>
          <w:color w:val="auto"/>
        </w:rPr>
        <w:t>文件和常规施工方案按《计价规范》和《计算规范》规定编制。</w:t>
      </w:r>
    </w:p>
    <w:p w14:paraId="5D44A37C">
      <w:pPr>
        <w:spacing w:line="360" w:lineRule="auto"/>
        <w:ind w:firstLine="420" w:firstLineChars="200"/>
        <w:rPr>
          <w:color w:val="auto"/>
        </w:rPr>
      </w:pPr>
      <w:r>
        <w:rPr>
          <w:color w:val="auto"/>
        </w:rPr>
        <w:t xml:space="preserve">2.4 </w:t>
      </w:r>
      <w:r>
        <w:rPr>
          <w:rFonts w:hint="eastAsia" w:cs="宋体"/>
          <w:color w:val="auto"/>
        </w:rPr>
        <w:t>其他项目费应按下列规定报价：</w:t>
      </w:r>
    </w:p>
    <w:p w14:paraId="71833829">
      <w:pPr>
        <w:spacing w:line="360" w:lineRule="auto"/>
        <w:ind w:firstLine="420" w:firstLineChars="200"/>
        <w:rPr>
          <w:color w:val="auto"/>
        </w:rPr>
      </w:pPr>
      <w:r>
        <w:rPr>
          <w:rFonts w:hint="eastAsia" w:cs="宋体"/>
          <w:color w:val="auto"/>
        </w:rPr>
        <w:t>（</w:t>
      </w:r>
      <w:r>
        <w:rPr>
          <w:color w:val="auto"/>
        </w:rPr>
        <w:t>1</w:t>
      </w:r>
      <w:r>
        <w:rPr>
          <w:rFonts w:hint="eastAsia" w:cs="宋体"/>
          <w:color w:val="auto"/>
        </w:rPr>
        <w:t>）暂列金额应按工程量清单中列出的金额填写；</w:t>
      </w:r>
    </w:p>
    <w:p w14:paraId="270AF2A1">
      <w:pPr>
        <w:pStyle w:val="47"/>
        <w:spacing w:line="360" w:lineRule="auto"/>
        <w:ind w:firstLine="420" w:firstLineChars="200"/>
        <w:rPr>
          <w:color w:val="auto"/>
        </w:rPr>
      </w:pPr>
      <w:r>
        <w:rPr>
          <w:rFonts w:hint="eastAsia" w:cs="宋体"/>
          <w:color w:val="auto"/>
        </w:rPr>
        <w:t>（</w:t>
      </w:r>
      <w:r>
        <w:rPr>
          <w:color w:val="auto"/>
        </w:rPr>
        <w:t>2</w:t>
      </w:r>
      <w:r>
        <w:rPr>
          <w:rFonts w:hint="eastAsia" w:cs="宋体"/>
          <w:color w:val="auto"/>
        </w:rPr>
        <w:t>）材料、工程设备暂估价应按工程量清单中列出的单价计入综合单价；</w:t>
      </w:r>
    </w:p>
    <w:p w14:paraId="0B04E6FF">
      <w:pPr>
        <w:spacing w:line="360" w:lineRule="auto"/>
        <w:ind w:firstLine="420" w:firstLineChars="200"/>
        <w:rPr>
          <w:color w:val="auto"/>
        </w:rPr>
      </w:pPr>
      <w:r>
        <w:rPr>
          <w:rFonts w:hint="eastAsia" w:cs="宋体"/>
          <w:color w:val="auto"/>
        </w:rPr>
        <w:t>（</w:t>
      </w:r>
      <w:r>
        <w:rPr>
          <w:color w:val="auto"/>
        </w:rPr>
        <w:t>3</w:t>
      </w:r>
      <w:r>
        <w:rPr>
          <w:rFonts w:hint="eastAsia" w:cs="宋体"/>
          <w:color w:val="auto"/>
        </w:rPr>
        <w:t>）专业工程暂估价应按工程量清单中列出的金额填写；</w:t>
      </w:r>
    </w:p>
    <w:p w14:paraId="4152AE30">
      <w:pPr>
        <w:spacing w:line="360" w:lineRule="auto"/>
        <w:ind w:firstLine="420" w:firstLineChars="200"/>
        <w:rPr>
          <w:color w:val="auto"/>
        </w:rPr>
      </w:pPr>
      <w:r>
        <w:rPr>
          <w:rFonts w:hint="eastAsia" w:cs="宋体"/>
          <w:color w:val="auto"/>
        </w:rPr>
        <w:t>（</w:t>
      </w:r>
      <w:r>
        <w:rPr>
          <w:color w:val="auto"/>
        </w:rPr>
        <w:t>4</w:t>
      </w:r>
      <w:r>
        <w:rPr>
          <w:rFonts w:hint="eastAsia" w:cs="宋体"/>
          <w:color w:val="auto"/>
        </w:rPr>
        <w:t>）计日工应按工程量清单中列出的项目和数量，根据工程特点和有关计价依据确定的综合单价计算；</w:t>
      </w:r>
    </w:p>
    <w:p w14:paraId="6D7A61D8">
      <w:pPr>
        <w:spacing w:line="360" w:lineRule="auto"/>
        <w:ind w:firstLine="420" w:firstLineChars="200"/>
        <w:rPr>
          <w:rFonts w:cs="宋体"/>
          <w:color w:val="auto"/>
        </w:rPr>
      </w:pPr>
      <w:r>
        <w:rPr>
          <w:rFonts w:hint="eastAsia" w:cs="宋体"/>
          <w:color w:val="auto"/>
        </w:rPr>
        <w:t>（</w:t>
      </w:r>
      <w:r>
        <w:rPr>
          <w:color w:val="auto"/>
        </w:rPr>
        <w:t>5</w:t>
      </w:r>
      <w:r>
        <w:rPr>
          <w:rFonts w:hint="eastAsia" w:cs="宋体"/>
          <w:color w:val="auto"/>
        </w:rPr>
        <w:t>）总承包服务费应根据工程量清单列出的内容</w:t>
      </w:r>
      <w:r>
        <w:rPr>
          <w:rFonts w:hint="eastAsia" w:hAnsi="宋体" w:cs="宋体"/>
          <w:color w:val="auto"/>
        </w:rPr>
        <w:t>和要求，按自治区住</w:t>
      </w:r>
      <w:r>
        <w:rPr>
          <w:rFonts w:hint="eastAsia" w:hAnsi="宋体" w:cs="宋体"/>
          <w:color w:val="auto"/>
          <w:lang w:eastAsia="zh-CN"/>
        </w:rPr>
        <w:t>房和</w:t>
      </w:r>
      <w:r>
        <w:rPr>
          <w:rFonts w:hint="eastAsia" w:hAnsi="宋体" w:cs="宋体"/>
          <w:color w:val="auto"/>
        </w:rPr>
        <w:t>城乡建设行政主管部门颁发的计价定额及有关规定计算</w:t>
      </w:r>
      <w:r>
        <w:rPr>
          <w:rFonts w:hint="eastAsia" w:cs="宋体"/>
          <w:color w:val="auto"/>
        </w:rPr>
        <w:t>。</w:t>
      </w:r>
    </w:p>
    <w:p w14:paraId="2DAB70F5">
      <w:pPr>
        <w:spacing w:line="360" w:lineRule="auto"/>
        <w:ind w:firstLine="420" w:firstLineChars="200"/>
        <w:rPr>
          <w:rFonts w:hint="eastAsia"/>
          <w:color w:val="auto"/>
        </w:rPr>
      </w:pPr>
      <w:r>
        <w:rPr>
          <w:rFonts w:hint="eastAsia"/>
          <w:color w:val="auto"/>
        </w:rPr>
        <w:t>（6）对建设单位创建优质工程的，鼓励在招标控制价和预算中按广西区工程建设定额规定计列工程优质费，并明确工程优质费不可竞争。</w:t>
      </w:r>
    </w:p>
    <w:p w14:paraId="2AEE36F8">
      <w:pPr>
        <w:spacing w:line="360" w:lineRule="auto"/>
        <w:ind w:firstLine="420" w:firstLineChars="200"/>
        <w:rPr>
          <w:color w:val="auto"/>
        </w:rPr>
      </w:pPr>
      <w:r>
        <w:rPr>
          <w:color w:val="auto"/>
        </w:rPr>
        <w:t xml:space="preserve">2.5 </w:t>
      </w:r>
      <w:r>
        <w:rPr>
          <w:rFonts w:hint="eastAsia" w:cs="宋体"/>
          <w:color w:val="auto"/>
        </w:rPr>
        <w:t>规费和增值税应按规定确定，作为不可竞争费用。</w:t>
      </w:r>
    </w:p>
    <w:p w14:paraId="3D5E0414">
      <w:pPr>
        <w:spacing w:line="360" w:lineRule="auto"/>
        <w:ind w:firstLine="420"/>
        <w:rPr>
          <w:rFonts w:hAnsi="宋体"/>
          <w:color w:val="auto"/>
        </w:rPr>
      </w:pPr>
      <w:r>
        <w:rPr>
          <w:color w:val="auto"/>
        </w:rPr>
        <w:t xml:space="preserve">2.6 </w:t>
      </w:r>
      <w:r>
        <w:rPr>
          <w:rFonts w:hint="eastAsia" w:hAnsi="宋体" w:cs="宋体"/>
          <w:color w:val="auto"/>
        </w:rPr>
        <w:t>其他需要说明的问题：</w:t>
      </w:r>
      <w:r>
        <w:rPr>
          <w:color w:val="auto"/>
          <w:u w:val="single"/>
        </w:rPr>
        <w:t xml:space="preserve">   </w:t>
      </w:r>
      <w:r>
        <w:rPr>
          <w:rFonts w:hint="eastAsia"/>
          <w:color w:val="auto"/>
          <w:u w:val="single"/>
        </w:rPr>
        <w:t>/</w:t>
      </w:r>
      <w:r>
        <w:rPr>
          <w:color w:val="auto"/>
          <w:u w:val="single"/>
        </w:rPr>
        <w:t xml:space="preserve">                                   </w:t>
      </w:r>
      <w:r>
        <w:rPr>
          <w:rFonts w:hint="eastAsia" w:hAnsi="宋体" w:cs="宋体"/>
          <w:color w:val="auto"/>
        </w:rPr>
        <w:t>。</w:t>
      </w:r>
    </w:p>
    <w:p w14:paraId="3B697DCE">
      <w:pPr>
        <w:pStyle w:val="5"/>
        <w:spacing w:before="0" w:after="0" w:line="360" w:lineRule="auto"/>
        <w:rPr>
          <w:color w:val="auto"/>
        </w:rPr>
      </w:pPr>
      <w:bookmarkStart w:id="98" w:name="_Toc78449871"/>
      <w:bookmarkStart w:id="99" w:name="_Toc879821176"/>
      <w:bookmarkStart w:id="100" w:name="_Toc407135286"/>
      <w:bookmarkStart w:id="101" w:name="_Toc378483916"/>
      <w:bookmarkStart w:id="102" w:name="_Toc122424495"/>
      <w:r>
        <w:rPr>
          <w:color w:val="auto"/>
        </w:rPr>
        <w:t>3</w:t>
      </w:r>
      <w:r>
        <w:rPr>
          <w:rFonts w:hint="eastAsia"/>
          <w:color w:val="auto"/>
        </w:rPr>
        <w:t>.</w:t>
      </w:r>
      <w:r>
        <w:rPr>
          <w:rFonts w:hint="eastAsia" w:cs="黑体"/>
          <w:color w:val="auto"/>
        </w:rPr>
        <w:t>竞标报价（已标价工程量清单）编制说明</w:t>
      </w:r>
      <w:bookmarkEnd w:id="98"/>
      <w:bookmarkEnd w:id="99"/>
      <w:bookmarkEnd w:id="100"/>
      <w:bookmarkEnd w:id="101"/>
      <w:bookmarkEnd w:id="102"/>
    </w:p>
    <w:p w14:paraId="4C902F33">
      <w:pPr>
        <w:spacing w:line="360" w:lineRule="auto"/>
        <w:ind w:firstLine="420" w:firstLineChars="200"/>
        <w:rPr>
          <w:color w:val="auto"/>
        </w:rPr>
      </w:pPr>
      <w:r>
        <w:rPr>
          <w:color w:val="auto"/>
        </w:rPr>
        <w:t xml:space="preserve">3.1 </w:t>
      </w:r>
      <w:r>
        <w:rPr>
          <w:rFonts w:hint="eastAsia" w:cs="宋体"/>
          <w:color w:val="auto"/>
        </w:rPr>
        <w:t>供应商应依据</w:t>
      </w:r>
      <w:r>
        <w:rPr>
          <w:rFonts w:hint="eastAsia" w:cs="宋体"/>
          <w:color w:val="auto"/>
          <w:lang w:val="en-US" w:eastAsia="zh-CN"/>
        </w:rPr>
        <w:t>磋商</w:t>
      </w:r>
      <w:r>
        <w:rPr>
          <w:rFonts w:hint="eastAsia" w:cs="宋体"/>
          <w:color w:val="auto"/>
        </w:rPr>
        <w:t>文件、工程量清单以及《计价规范</w:t>
      </w:r>
      <w:r>
        <w:rPr>
          <w:rFonts w:hint="eastAsia" w:cs="宋体"/>
          <w:color w:val="auto"/>
          <w:lang w:eastAsia="zh-CN"/>
        </w:rPr>
        <w:t>》《</w:t>
      </w:r>
      <w:r>
        <w:rPr>
          <w:rFonts w:hint="eastAsia" w:cs="宋体"/>
          <w:color w:val="auto"/>
        </w:rPr>
        <w:t>计算规范》自主报价，自主报价</w:t>
      </w:r>
      <w:r>
        <w:rPr>
          <w:rFonts w:hint="eastAsia" w:hAnsi="宋体" w:cs="宋体"/>
          <w:color w:val="auto"/>
        </w:rPr>
        <w:t>不得违反计价规范强制性条文规定。</w:t>
      </w:r>
      <w:r>
        <w:rPr>
          <w:rFonts w:hint="eastAsia" w:cs="宋体"/>
          <w:color w:val="auto"/>
        </w:rPr>
        <w:t>供应商不得采用总价让利或以百分比让利等形式进行报价，任何优惠（或降价、让利）均应反映在相应清单项目的综合单价中。同时，不得出现任意一项单价重大让利，</w:t>
      </w:r>
      <w:r>
        <w:rPr>
          <w:rFonts w:hint="eastAsia" w:hAnsi="宋体" w:cs="宋体"/>
          <w:color w:val="auto"/>
        </w:rPr>
        <w:t>不得以自有机械闲置、自有材料等不计成本为由</w:t>
      </w:r>
      <w:r>
        <w:rPr>
          <w:rFonts w:hint="eastAsia" w:cs="宋体"/>
          <w:color w:val="auto"/>
        </w:rPr>
        <w:t>低于工程成本报价。</w:t>
      </w:r>
    </w:p>
    <w:p w14:paraId="581584A9">
      <w:pPr>
        <w:spacing w:line="360" w:lineRule="auto"/>
        <w:ind w:firstLine="420" w:firstLineChars="200"/>
        <w:rPr>
          <w:rFonts w:hAnsi="宋体"/>
          <w:color w:val="auto"/>
        </w:rPr>
      </w:pPr>
      <w:r>
        <w:rPr>
          <w:color w:val="auto"/>
        </w:rPr>
        <w:t xml:space="preserve">3.2 </w:t>
      </w:r>
      <w:r>
        <w:rPr>
          <w:rFonts w:hint="eastAsia" w:cs="宋体"/>
          <w:color w:val="auto"/>
        </w:rPr>
        <w:t>供应商应按工程量清单填报价格。项目编码、项目名称、项目特征、计量单位、工程量必须与工程量清单一致，</w:t>
      </w:r>
      <w:r>
        <w:rPr>
          <w:rFonts w:hint="eastAsia" w:hAnsi="宋体" w:cs="宋体"/>
          <w:color w:val="auto"/>
        </w:rPr>
        <w:t>供应商不得对工程量清单项目进行增减调整。</w:t>
      </w:r>
    </w:p>
    <w:p w14:paraId="291A306C">
      <w:pPr>
        <w:spacing w:line="360" w:lineRule="auto"/>
        <w:ind w:firstLine="420" w:firstLineChars="200"/>
        <w:rPr>
          <w:color w:val="auto"/>
        </w:rPr>
      </w:pPr>
      <w:r>
        <w:rPr>
          <w:color w:val="auto"/>
        </w:rPr>
        <w:t xml:space="preserve">3.3 </w:t>
      </w:r>
      <w:r>
        <w:rPr>
          <w:rFonts w:hint="eastAsia" w:cs="宋体"/>
          <w:color w:val="auto"/>
        </w:rPr>
        <w:t>综合单价中应包含</w:t>
      </w:r>
      <w:r>
        <w:rPr>
          <w:rFonts w:hint="eastAsia" w:cs="宋体"/>
          <w:color w:val="auto"/>
          <w:lang w:val="en-US" w:eastAsia="zh-CN"/>
        </w:rPr>
        <w:t>磋商</w:t>
      </w:r>
      <w:r>
        <w:rPr>
          <w:rFonts w:hint="eastAsia" w:cs="宋体"/>
          <w:color w:val="auto"/>
        </w:rPr>
        <w:t>文件中划分的应由供应商承担的风险范围及其费用。</w:t>
      </w:r>
    </w:p>
    <w:p w14:paraId="0A6FBC26">
      <w:pPr>
        <w:spacing w:line="360" w:lineRule="auto"/>
        <w:ind w:firstLine="420" w:firstLineChars="200"/>
        <w:rPr>
          <w:rFonts w:hAnsi="宋体"/>
          <w:color w:val="auto"/>
        </w:rPr>
      </w:pPr>
      <w:r>
        <w:rPr>
          <w:color w:val="auto"/>
        </w:rPr>
        <w:t xml:space="preserve">3.4 </w:t>
      </w:r>
      <w:r>
        <w:rPr>
          <w:rFonts w:hint="eastAsia" w:hAnsi="宋体" w:cs="宋体"/>
          <w:color w:val="auto"/>
        </w:rPr>
        <w:t>分部分项工程项目和单价措施项目，应根据</w:t>
      </w:r>
      <w:r>
        <w:rPr>
          <w:rFonts w:hint="eastAsia" w:hAnsi="宋体" w:cs="宋体"/>
          <w:color w:val="auto"/>
          <w:lang w:val="en-US" w:eastAsia="zh-CN"/>
        </w:rPr>
        <w:t>磋商</w:t>
      </w:r>
      <w:r>
        <w:rPr>
          <w:rFonts w:hint="eastAsia" w:hAnsi="宋体" w:cs="宋体"/>
          <w:color w:val="auto"/>
        </w:rPr>
        <w:t>文件和工程量清单项目中的特征描述确定综合单价计算。如出现工程量清单特征描述与设计图纸不符时，供应商应以工程量清单的项目特征描述为准，确定竞标报价的综合单价。</w:t>
      </w:r>
    </w:p>
    <w:p w14:paraId="5F012B56">
      <w:pPr>
        <w:spacing w:line="360" w:lineRule="auto"/>
        <w:ind w:firstLine="420" w:firstLineChars="200"/>
        <w:rPr>
          <w:color w:val="auto"/>
        </w:rPr>
      </w:pPr>
      <w:r>
        <w:rPr>
          <w:color w:val="auto"/>
        </w:rPr>
        <w:t xml:space="preserve">3.5 </w:t>
      </w:r>
      <w:r>
        <w:rPr>
          <w:rFonts w:hint="eastAsia" w:hAnsi="宋体" w:cs="宋体"/>
          <w:color w:val="auto"/>
        </w:rPr>
        <w:t>总价措施项目的金额应根据</w:t>
      </w:r>
      <w:r>
        <w:rPr>
          <w:rFonts w:hint="eastAsia" w:hAnsi="宋体" w:cs="宋体"/>
          <w:color w:val="auto"/>
          <w:lang w:val="en-US" w:eastAsia="zh-CN"/>
        </w:rPr>
        <w:t>磋商</w:t>
      </w:r>
      <w:r>
        <w:rPr>
          <w:rFonts w:hint="eastAsia" w:hAnsi="宋体" w:cs="宋体"/>
          <w:color w:val="auto"/>
        </w:rPr>
        <w:t>文件及竞标时拟定的施工组织设计或施工方案，按计价规范的规定自主确定。但</w:t>
      </w:r>
      <w:r>
        <w:rPr>
          <w:rFonts w:hint="eastAsia" w:cs="宋体"/>
          <w:color w:val="auto"/>
        </w:rPr>
        <w:t>安全文明施工费按国家、省级或行业建设主管部门的有关规定执行，作为不竞争费用单列。</w:t>
      </w:r>
    </w:p>
    <w:p w14:paraId="6B6EA57D">
      <w:pPr>
        <w:spacing w:line="360" w:lineRule="auto"/>
        <w:ind w:firstLine="420" w:firstLineChars="200"/>
        <w:rPr>
          <w:color w:val="auto"/>
        </w:rPr>
      </w:pPr>
      <w:r>
        <w:rPr>
          <w:color w:val="auto"/>
        </w:rPr>
        <w:t xml:space="preserve">3.6 </w:t>
      </w:r>
      <w:r>
        <w:rPr>
          <w:rFonts w:hint="eastAsia" w:cs="宋体"/>
          <w:color w:val="auto"/>
        </w:rPr>
        <w:t>其他项目费应按下列规定报价：</w:t>
      </w:r>
    </w:p>
    <w:p w14:paraId="34F99BCD">
      <w:pPr>
        <w:spacing w:line="360" w:lineRule="auto"/>
        <w:ind w:firstLine="420" w:firstLineChars="200"/>
        <w:rPr>
          <w:color w:val="auto"/>
        </w:rPr>
      </w:pPr>
      <w:r>
        <w:rPr>
          <w:rFonts w:hint="eastAsia" w:cs="宋体"/>
          <w:color w:val="auto"/>
        </w:rPr>
        <w:t>（</w:t>
      </w:r>
      <w:r>
        <w:rPr>
          <w:color w:val="auto"/>
        </w:rPr>
        <w:t>1</w:t>
      </w:r>
      <w:r>
        <w:rPr>
          <w:rFonts w:hint="eastAsia" w:cs="宋体"/>
          <w:color w:val="auto"/>
        </w:rPr>
        <w:t>）暂列金额应按工程量清单中列出的金额填写；</w:t>
      </w:r>
    </w:p>
    <w:p w14:paraId="311BA09F">
      <w:pPr>
        <w:pStyle w:val="47"/>
        <w:spacing w:line="360" w:lineRule="auto"/>
        <w:ind w:firstLine="420" w:firstLineChars="200"/>
        <w:rPr>
          <w:color w:val="auto"/>
        </w:rPr>
      </w:pPr>
      <w:r>
        <w:rPr>
          <w:rFonts w:hint="eastAsia" w:cs="宋体"/>
          <w:color w:val="auto"/>
        </w:rPr>
        <w:t>（</w:t>
      </w:r>
      <w:r>
        <w:rPr>
          <w:color w:val="auto"/>
        </w:rPr>
        <w:t>2</w:t>
      </w:r>
      <w:r>
        <w:rPr>
          <w:rFonts w:hint="eastAsia" w:cs="宋体"/>
          <w:color w:val="auto"/>
        </w:rPr>
        <w:t>）材料、工程设备暂估价应按工程量清单中列出的单价计入综合单价；</w:t>
      </w:r>
    </w:p>
    <w:p w14:paraId="6426B38C">
      <w:pPr>
        <w:spacing w:line="360" w:lineRule="auto"/>
        <w:ind w:firstLine="420" w:firstLineChars="200"/>
        <w:rPr>
          <w:color w:val="auto"/>
        </w:rPr>
      </w:pPr>
      <w:r>
        <w:rPr>
          <w:rFonts w:hint="eastAsia" w:cs="宋体"/>
          <w:color w:val="auto"/>
        </w:rPr>
        <w:t>（</w:t>
      </w:r>
      <w:r>
        <w:rPr>
          <w:color w:val="auto"/>
        </w:rPr>
        <w:t>3</w:t>
      </w:r>
      <w:r>
        <w:rPr>
          <w:rFonts w:hint="eastAsia" w:cs="宋体"/>
          <w:color w:val="auto"/>
        </w:rPr>
        <w:t>）专业工程暂估价应按工程量清单中列出的金额填写；</w:t>
      </w:r>
    </w:p>
    <w:p w14:paraId="0DB2D1F0">
      <w:pPr>
        <w:spacing w:line="360" w:lineRule="auto"/>
        <w:ind w:firstLine="420" w:firstLineChars="200"/>
        <w:rPr>
          <w:color w:val="auto"/>
        </w:rPr>
      </w:pPr>
      <w:r>
        <w:rPr>
          <w:rFonts w:hint="eastAsia" w:cs="宋体"/>
          <w:color w:val="auto"/>
        </w:rPr>
        <w:t>（</w:t>
      </w:r>
      <w:r>
        <w:rPr>
          <w:color w:val="auto"/>
        </w:rPr>
        <w:t>4</w:t>
      </w:r>
      <w:r>
        <w:rPr>
          <w:rFonts w:hint="eastAsia" w:cs="宋体"/>
          <w:color w:val="auto"/>
        </w:rPr>
        <w:t>）计日工应按工程量清单中列出的项目和估算数量，自主确定综合单价并计算计日工总额；计日工单价均不含规费和税金；</w:t>
      </w:r>
    </w:p>
    <w:p w14:paraId="72FB9DD3">
      <w:pPr>
        <w:spacing w:line="360" w:lineRule="auto"/>
        <w:ind w:firstLine="420" w:firstLineChars="200"/>
        <w:rPr>
          <w:rFonts w:cs="宋体"/>
          <w:color w:val="auto"/>
        </w:rPr>
      </w:pPr>
      <w:r>
        <w:rPr>
          <w:rFonts w:hint="eastAsia" w:cs="宋体"/>
          <w:color w:val="auto"/>
        </w:rPr>
        <w:t>（</w:t>
      </w:r>
      <w:r>
        <w:rPr>
          <w:color w:val="auto"/>
        </w:rPr>
        <w:t>5</w:t>
      </w:r>
      <w:r>
        <w:rPr>
          <w:rFonts w:hint="eastAsia" w:cs="宋体"/>
          <w:color w:val="auto"/>
        </w:rPr>
        <w:t>）总承包服务费应根据工程量清单中列出的内容</w:t>
      </w:r>
      <w:r>
        <w:rPr>
          <w:rFonts w:hint="eastAsia" w:hAnsi="宋体" w:cs="宋体"/>
          <w:color w:val="auto"/>
        </w:rPr>
        <w:t>和供应材料、设备情况，按照采购人提出的协调、配合与服务要求和施工现场管理需要</w:t>
      </w:r>
      <w:r>
        <w:rPr>
          <w:rFonts w:hint="eastAsia" w:cs="宋体"/>
          <w:color w:val="auto"/>
        </w:rPr>
        <w:t>自主确定。</w:t>
      </w:r>
    </w:p>
    <w:p w14:paraId="607CC7CA">
      <w:pPr>
        <w:spacing w:line="360" w:lineRule="auto"/>
        <w:ind w:firstLine="420" w:firstLineChars="200"/>
        <w:rPr>
          <w:rFonts w:hint="eastAsia"/>
          <w:color w:val="auto"/>
        </w:rPr>
      </w:pPr>
      <w:r>
        <w:rPr>
          <w:rFonts w:hint="eastAsia"/>
          <w:color w:val="auto"/>
        </w:rPr>
        <w:t>（6）对建设单位创建优质工程的，鼓励在招标控制价和预算中按我区工程建设定额规定计列工程优质费，并明确工程优质费不可竞争。</w:t>
      </w:r>
    </w:p>
    <w:p w14:paraId="468AF7F2">
      <w:pPr>
        <w:spacing w:line="360" w:lineRule="auto"/>
        <w:ind w:firstLine="420" w:firstLineChars="200"/>
        <w:rPr>
          <w:color w:val="auto"/>
        </w:rPr>
      </w:pPr>
      <w:r>
        <w:rPr>
          <w:color w:val="auto"/>
        </w:rPr>
        <w:t xml:space="preserve">3.7 </w:t>
      </w:r>
      <w:r>
        <w:rPr>
          <w:rFonts w:hint="eastAsia" w:cs="宋体"/>
          <w:color w:val="auto"/>
        </w:rPr>
        <w:t>规费和增值税应按规定确定，作为不可竞争费用。</w:t>
      </w:r>
    </w:p>
    <w:p w14:paraId="0D3DC993">
      <w:pPr>
        <w:spacing w:line="360" w:lineRule="auto"/>
        <w:ind w:firstLine="420" w:firstLineChars="200"/>
        <w:rPr>
          <w:color w:val="auto"/>
        </w:rPr>
      </w:pPr>
      <w:r>
        <w:rPr>
          <w:color w:val="auto"/>
        </w:rPr>
        <w:t xml:space="preserve">3.8 </w:t>
      </w:r>
      <w:r>
        <w:rPr>
          <w:rFonts w:hint="eastAsia" w:cs="宋体"/>
          <w:color w:val="auto"/>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461D0E0B">
      <w:pPr>
        <w:spacing w:line="360" w:lineRule="auto"/>
        <w:ind w:firstLine="420" w:firstLineChars="200"/>
        <w:rPr>
          <w:color w:val="auto"/>
        </w:rPr>
      </w:pPr>
      <w:r>
        <w:rPr>
          <w:color w:val="auto"/>
        </w:rPr>
        <w:t xml:space="preserve">3.9 </w:t>
      </w:r>
      <w:r>
        <w:rPr>
          <w:rFonts w:hint="eastAsia" w:cs="宋体"/>
          <w:color w:val="auto"/>
        </w:rPr>
        <w:t>投标总价应当与分部分项工程费、措施项目费、其他项目费和规费、增值税的合计金额一致。</w:t>
      </w:r>
    </w:p>
    <w:p w14:paraId="6F9966A0">
      <w:pPr>
        <w:spacing w:line="360" w:lineRule="auto"/>
        <w:ind w:firstLine="420" w:firstLineChars="200"/>
        <w:rPr>
          <w:color w:val="auto"/>
        </w:rPr>
      </w:pPr>
      <w:r>
        <w:rPr>
          <w:color w:val="auto"/>
        </w:rPr>
        <w:t>3.1</w:t>
      </w:r>
      <w:r>
        <w:rPr>
          <w:rFonts w:hint="eastAsia"/>
          <w:color w:val="auto"/>
        </w:rPr>
        <w:t>0</w:t>
      </w:r>
      <w:r>
        <w:rPr>
          <w:color w:val="auto"/>
        </w:rPr>
        <w:t xml:space="preserve"> </w:t>
      </w:r>
      <w:r>
        <w:rPr>
          <w:rFonts w:hint="eastAsia" w:cs="宋体"/>
          <w:color w:val="auto"/>
        </w:rPr>
        <w:t>供应商应按《允许调整主要材料和工程设备一览表》的内容填报，不得擅自调整材料和设备名称型号规格、单位、风险系数、基准单价。</w:t>
      </w:r>
    </w:p>
    <w:p w14:paraId="45D0602E">
      <w:pPr>
        <w:spacing w:line="360" w:lineRule="auto"/>
        <w:ind w:firstLine="420" w:firstLineChars="200"/>
        <w:rPr>
          <w:rFonts w:hAnsi="宋体"/>
          <w:color w:val="auto"/>
        </w:rPr>
      </w:pPr>
      <w:r>
        <w:rPr>
          <w:color w:val="auto"/>
        </w:rPr>
        <w:t>3.1</w:t>
      </w:r>
      <w:r>
        <w:rPr>
          <w:rFonts w:hint="eastAsia"/>
          <w:color w:val="auto"/>
        </w:rPr>
        <w:t>1</w:t>
      </w:r>
      <w:r>
        <w:rPr>
          <w:rFonts w:hint="eastAsia" w:hAnsi="宋体" w:cs="宋体"/>
          <w:color w:val="auto"/>
        </w:rPr>
        <w:t>竞标报价</w:t>
      </w:r>
      <w:r>
        <w:rPr>
          <w:rFonts w:hint="eastAsia" w:cs="宋体"/>
          <w:color w:val="auto"/>
        </w:rPr>
        <w:t>表格按本工程工程量清单表格要求填写，并</w:t>
      </w:r>
      <w:r>
        <w:rPr>
          <w:rFonts w:hint="eastAsia" w:hAnsi="宋体" w:cs="宋体"/>
          <w:color w:val="auto"/>
        </w:rPr>
        <w:t>应按</w:t>
      </w:r>
      <w:r>
        <w:rPr>
          <w:rFonts w:hint="eastAsia" w:hAnsi="宋体" w:cs="宋体"/>
          <w:color w:val="auto"/>
          <w:lang w:val="en-US" w:eastAsia="zh-CN"/>
        </w:rPr>
        <w:t>磋商</w:t>
      </w:r>
      <w:r>
        <w:rPr>
          <w:rFonts w:hint="eastAsia" w:hAnsi="宋体" w:cs="宋体"/>
          <w:color w:val="auto"/>
        </w:rPr>
        <w:t>文件的要求，附上《工程量清单综合单价分析表》（表</w:t>
      </w:r>
      <w:r>
        <w:rPr>
          <w:color w:val="auto"/>
        </w:rPr>
        <w:t>-09</w:t>
      </w:r>
      <w:r>
        <w:rPr>
          <w:rFonts w:hint="eastAsia" w:hAnsi="宋体" w:cs="宋体"/>
          <w:color w:val="auto"/>
        </w:rPr>
        <w:t>）和《主要清单项目工料机分析表》（表</w:t>
      </w:r>
      <w:r>
        <w:rPr>
          <w:color w:val="auto"/>
        </w:rPr>
        <w:t>-10</w:t>
      </w:r>
      <w:r>
        <w:rPr>
          <w:rFonts w:hint="eastAsia" w:hAnsi="宋体" w:cs="宋体"/>
          <w:color w:val="auto"/>
        </w:rPr>
        <w:t>）。</w:t>
      </w:r>
    </w:p>
    <w:p w14:paraId="39BDD251">
      <w:pPr>
        <w:spacing w:line="360" w:lineRule="auto"/>
        <w:ind w:firstLine="420" w:firstLineChars="200"/>
        <w:rPr>
          <w:rFonts w:hint="eastAsia" w:cs="宋体"/>
          <w:color w:val="auto"/>
        </w:rPr>
      </w:pPr>
      <w:r>
        <w:rPr>
          <w:rFonts w:hint="eastAsia" w:cs="宋体"/>
          <w:color w:val="auto"/>
        </w:rPr>
        <w:t>未尽事宜详见本工程工程量清单、招标控制价编制说明以及现行《计价规范》等有关规定执行。</w:t>
      </w:r>
    </w:p>
    <w:p w14:paraId="0F8F586F">
      <w:pPr>
        <w:spacing w:line="360" w:lineRule="auto"/>
        <w:ind w:firstLine="420" w:firstLineChars="200"/>
        <w:rPr>
          <w:rFonts w:hint="eastAsia" w:cs="宋体"/>
          <w:color w:val="auto"/>
        </w:rPr>
      </w:pPr>
      <w:r>
        <w:rPr>
          <w:rFonts w:hint="eastAsia" w:cs="宋体"/>
          <w:color w:val="auto"/>
          <w:lang w:val="en-US" w:eastAsia="zh-CN"/>
        </w:rPr>
        <w:t xml:space="preserve">注：因 </w:t>
      </w:r>
      <w:r>
        <w:rPr>
          <w:rFonts w:hint="default" w:cs="宋体"/>
          <w:color w:val="auto"/>
          <w:lang w:val="en-US" w:eastAsia="zh-CN"/>
        </w:rPr>
        <w:t xml:space="preserve">2021 </w:t>
      </w:r>
      <w:r>
        <w:rPr>
          <w:rFonts w:hint="eastAsia" w:cs="宋体"/>
          <w:color w:val="auto"/>
          <w:lang w:val="en-US" w:eastAsia="zh-CN"/>
        </w:rPr>
        <w:t>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w:t>
      </w:r>
      <w:r>
        <w:rPr>
          <w:rFonts w:hint="default" w:cs="宋体"/>
          <w:color w:val="auto"/>
          <w:lang w:val="en-US" w:eastAsia="zh-CN"/>
        </w:rPr>
        <w:t>2021</w:t>
      </w:r>
      <w:r>
        <w:rPr>
          <w:rFonts w:hint="eastAsia" w:cs="宋体"/>
          <w:color w:val="auto"/>
          <w:lang w:val="en-US" w:eastAsia="zh-CN"/>
        </w:rPr>
        <w:t>〕</w:t>
      </w:r>
      <w:r>
        <w:rPr>
          <w:rFonts w:hint="default" w:cs="宋体"/>
          <w:color w:val="auto"/>
          <w:lang w:val="en-US" w:eastAsia="zh-CN"/>
        </w:rPr>
        <w:t xml:space="preserve">6 </w:t>
      </w:r>
      <w:r>
        <w:rPr>
          <w:rFonts w:hint="eastAsia" w:cs="宋体"/>
          <w:color w:val="auto"/>
          <w:lang w:val="en-US" w:eastAsia="zh-CN"/>
        </w:rPr>
        <w:t xml:space="preserve">号）中附件 </w:t>
      </w:r>
      <w:r>
        <w:rPr>
          <w:rFonts w:hint="default" w:cs="宋体"/>
          <w:color w:val="auto"/>
          <w:lang w:val="en-US" w:eastAsia="zh-CN"/>
        </w:rPr>
        <w:t>1</w:t>
      </w:r>
      <w:r>
        <w:rPr>
          <w:rFonts w:hint="eastAsia" w:cs="宋体"/>
          <w:color w:val="auto"/>
          <w:lang w:val="en-US" w:eastAsia="zh-CN"/>
        </w:rPr>
        <w:t>《建设工程工程量清单计价规范（</w:t>
      </w:r>
      <w:r>
        <w:rPr>
          <w:rFonts w:hint="default" w:cs="宋体"/>
          <w:color w:val="auto"/>
          <w:lang w:val="en-US" w:eastAsia="zh-CN"/>
        </w:rPr>
        <w:t>GB50500-2013</w:t>
      </w:r>
      <w:r>
        <w:rPr>
          <w:rFonts w:hint="eastAsia" w:cs="宋体"/>
          <w:color w:val="auto"/>
          <w:lang w:val="en-US" w:eastAsia="zh-CN"/>
        </w:rPr>
        <w:t>）广西壮族自治区实施细则》（适用于工程造价改革试点项目）相关表格，具体以采购人另册发放的工程量清单及相关说明为准。</w:t>
      </w:r>
    </w:p>
    <w:p w14:paraId="250042C4">
      <w:pPr>
        <w:pStyle w:val="34"/>
        <w:rPr>
          <w:color w:val="auto"/>
        </w:rPr>
      </w:pPr>
    </w:p>
    <w:p w14:paraId="5CA4AD7F">
      <w:pPr>
        <w:pStyle w:val="5"/>
        <w:spacing w:before="0" w:after="0" w:line="360" w:lineRule="auto"/>
        <w:rPr>
          <w:rFonts w:hint="eastAsia" w:cs="黑体"/>
          <w:color w:val="auto"/>
        </w:rPr>
      </w:pPr>
      <w:bookmarkStart w:id="103" w:name="_Toc122424496"/>
      <w:r>
        <w:rPr>
          <w:rFonts w:hint="eastAsia" w:cs="黑体"/>
          <w:color w:val="auto"/>
        </w:rPr>
        <w:t>4.图纸（另册）</w:t>
      </w:r>
      <w:bookmarkEnd w:id="103"/>
    </w:p>
    <w:p w14:paraId="632607B5">
      <w:pPr>
        <w:pStyle w:val="5"/>
        <w:spacing w:before="0" w:after="0" w:line="360" w:lineRule="auto"/>
        <w:jc w:val="both"/>
        <w:rPr>
          <w:rFonts w:hint="eastAsia"/>
          <w:color w:val="auto"/>
        </w:rPr>
      </w:pPr>
    </w:p>
    <w:p w14:paraId="1142FC8E">
      <w:pPr>
        <w:rPr>
          <w:rFonts w:hint="eastAsia"/>
          <w:color w:val="auto"/>
        </w:rPr>
      </w:pPr>
    </w:p>
    <w:p w14:paraId="18523E41">
      <w:pPr>
        <w:pStyle w:val="34"/>
        <w:rPr>
          <w:rFonts w:hint="eastAsia"/>
          <w:color w:val="auto"/>
        </w:rPr>
      </w:pPr>
    </w:p>
    <w:p w14:paraId="74D191E1">
      <w:pPr>
        <w:pStyle w:val="3"/>
        <w:rPr>
          <w:rFonts w:hint="eastAsia"/>
          <w:color w:val="auto"/>
        </w:rPr>
      </w:pPr>
    </w:p>
    <w:p w14:paraId="23822530">
      <w:pPr>
        <w:rPr>
          <w:rFonts w:hint="eastAsia"/>
          <w:color w:val="auto"/>
        </w:rPr>
      </w:pPr>
    </w:p>
    <w:p w14:paraId="37488622">
      <w:pPr>
        <w:pStyle w:val="34"/>
        <w:rPr>
          <w:rFonts w:hint="eastAsia"/>
          <w:color w:val="auto"/>
        </w:rPr>
      </w:pPr>
    </w:p>
    <w:p w14:paraId="53104224">
      <w:pPr>
        <w:pStyle w:val="34"/>
        <w:rPr>
          <w:rFonts w:hint="eastAsia"/>
          <w:color w:val="auto"/>
        </w:rPr>
      </w:pPr>
    </w:p>
    <w:p w14:paraId="5D5942DC">
      <w:pPr>
        <w:pStyle w:val="34"/>
        <w:rPr>
          <w:rFonts w:hint="eastAsia"/>
          <w:color w:val="auto"/>
        </w:rPr>
      </w:pPr>
    </w:p>
    <w:p w14:paraId="406829F8">
      <w:pPr>
        <w:pStyle w:val="34"/>
        <w:rPr>
          <w:rFonts w:hint="eastAsia"/>
          <w:color w:val="auto"/>
        </w:rPr>
      </w:pPr>
    </w:p>
    <w:p w14:paraId="2C072576">
      <w:pPr>
        <w:pStyle w:val="34"/>
        <w:rPr>
          <w:rFonts w:hint="eastAsia"/>
          <w:color w:val="auto"/>
        </w:rPr>
      </w:pPr>
    </w:p>
    <w:p w14:paraId="7E308C80">
      <w:pPr>
        <w:pStyle w:val="34"/>
        <w:rPr>
          <w:rFonts w:hint="eastAsia"/>
          <w:color w:val="auto"/>
        </w:rPr>
      </w:pPr>
    </w:p>
    <w:p w14:paraId="029CAE61">
      <w:pPr>
        <w:pStyle w:val="34"/>
        <w:rPr>
          <w:rFonts w:hint="eastAsia"/>
          <w:color w:val="auto"/>
        </w:rPr>
      </w:pPr>
    </w:p>
    <w:p w14:paraId="3E8D6CCE">
      <w:pPr>
        <w:pStyle w:val="34"/>
        <w:rPr>
          <w:rFonts w:hint="eastAsia"/>
          <w:color w:val="auto"/>
        </w:rPr>
      </w:pPr>
    </w:p>
    <w:p w14:paraId="17FF6DDA">
      <w:pPr>
        <w:pStyle w:val="34"/>
        <w:rPr>
          <w:rFonts w:hint="eastAsia"/>
          <w:color w:val="auto"/>
        </w:rPr>
      </w:pPr>
    </w:p>
    <w:p w14:paraId="631E2B70">
      <w:pPr>
        <w:pStyle w:val="34"/>
        <w:rPr>
          <w:rFonts w:hint="eastAsia"/>
          <w:color w:val="auto"/>
        </w:rPr>
      </w:pPr>
    </w:p>
    <w:p w14:paraId="56A97A74">
      <w:pPr>
        <w:pStyle w:val="34"/>
        <w:rPr>
          <w:rFonts w:hint="eastAsia"/>
          <w:color w:val="auto"/>
        </w:rPr>
      </w:pPr>
    </w:p>
    <w:p w14:paraId="7E90D6C4">
      <w:pPr>
        <w:pStyle w:val="34"/>
        <w:rPr>
          <w:rFonts w:hint="eastAsia"/>
          <w:color w:val="auto"/>
        </w:rPr>
      </w:pPr>
    </w:p>
    <w:p w14:paraId="38F5AD06">
      <w:pPr>
        <w:pStyle w:val="34"/>
        <w:rPr>
          <w:rFonts w:hint="eastAsia"/>
          <w:color w:val="auto"/>
        </w:rPr>
      </w:pPr>
    </w:p>
    <w:p w14:paraId="3BF15BD0">
      <w:pPr>
        <w:pStyle w:val="34"/>
        <w:rPr>
          <w:rFonts w:hint="eastAsia"/>
          <w:color w:val="auto"/>
        </w:rPr>
      </w:pPr>
    </w:p>
    <w:p w14:paraId="591D4038">
      <w:pPr>
        <w:pStyle w:val="34"/>
        <w:rPr>
          <w:rFonts w:hint="eastAsia"/>
          <w:color w:val="auto"/>
        </w:rPr>
      </w:pPr>
    </w:p>
    <w:p w14:paraId="00386B59">
      <w:pPr>
        <w:pStyle w:val="34"/>
        <w:rPr>
          <w:rFonts w:hint="eastAsia"/>
          <w:color w:val="auto"/>
        </w:rPr>
      </w:pPr>
    </w:p>
    <w:p w14:paraId="11FE77D8">
      <w:pPr>
        <w:pStyle w:val="34"/>
        <w:rPr>
          <w:rFonts w:hint="eastAsia"/>
          <w:color w:val="auto"/>
        </w:rPr>
      </w:pPr>
    </w:p>
    <w:p w14:paraId="2B08EA5C">
      <w:pPr>
        <w:pStyle w:val="34"/>
        <w:rPr>
          <w:rFonts w:hint="eastAsia"/>
          <w:color w:val="auto"/>
        </w:rPr>
      </w:pPr>
    </w:p>
    <w:p w14:paraId="0664F4D1">
      <w:pPr>
        <w:pStyle w:val="34"/>
        <w:rPr>
          <w:rFonts w:hint="eastAsia"/>
          <w:color w:val="auto"/>
        </w:rPr>
      </w:pPr>
    </w:p>
    <w:p w14:paraId="0A64CD65">
      <w:pPr>
        <w:pStyle w:val="3"/>
        <w:rPr>
          <w:rFonts w:hint="eastAsia"/>
          <w:color w:val="auto"/>
        </w:rPr>
      </w:pPr>
    </w:p>
    <w:p w14:paraId="6B97008B">
      <w:pPr>
        <w:jc w:val="both"/>
        <w:outlineLvl w:val="0"/>
        <w:rPr>
          <w:rFonts w:hint="default" w:ascii="宋体" w:hAnsi="宋体" w:cs="Times New Roman"/>
          <w:b/>
          <w:bCs/>
          <w:color w:val="auto"/>
          <w:sz w:val="36"/>
          <w:szCs w:val="44"/>
          <w:lang w:val="en-US" w:eastAsia="zh-CN"/>
        </w:rPr>
      </w:pPr>
    </w:p>
    <w:p w14:paraId="39FFB840">
      <w:pPr>
        <w:jc w:val="center"/>
        <w:outlineLvl w:val="0"/>
        <w:rPr>
          <w:rFonts w:hint="eastAsia" w:ascii="宋体" w:hAnsi="宋体" w:eastAsia="宋体" w:cs="Times New Roman"/>
          <w:b/>
          <w:bCs/>
          <w:color w:val="auto"/>
          <w:sz w:val="36"/>
          <w:szCs w:val="44"/>
        </w:rPr>
      </w:pPr>
      <w:bookmarkStart w:id="104" w:name="_Toc26975"/>
      <w:r>
        <w:rPr>
          <w:rFonts w:hint="eastAsia" w:ascii="宋体" w:hAnsi="宋体" w:eastAsia="宋体" w:cs="Times New Roman"/>
          <w:b/>
          <w:bCs/>
          <w:color w:val="auto"/>
          <w:sz w:val="36"/>
          <w:szCs w:val="44"/>
        </w:rPr>
        <w:t>第</w:t>
      </w:r>
      <w:r>
        <w:rPr>
          <w:rFonts w:hint="eastAsia" w:ascii="宋体" w:hAnsi="宋体" w:cs="Times New Roman"/>
          <w:b/>
          <w:bCs/>
          <w:color w:val="auto"/>
          <w:sz w:val="36"/>
          <w:szCs w:val="44"/>
          <w:lang w:val="en-US" w:eastAsia="zh-CN"/>
        </w:rPr>
        <w:t>六</w:t>
      </w:r>
      <w:r>
        <w:rPr>
          <w:rFonts w:hint="eastAsia" w:ascii="宋体" w:hAnsi="宋体" w:eastAsia="宋体" w:cs="Times New Roman"/>
          <w:b/>
          <w:bCs/>
          <w:color w:val="auto"/>
          <w:sz w:val="36"/>
          <w:szCs w:val="44"/>
        </w:rPr>
        <w:t>章 响应文件格式</w:t>
      </w:r>
      <w:bookmarkEnd w:id="86"/>
      <w:bookmarkEnd w:id="104"/>
    </w:p>
    <w:p w14:paraId="61B86AA8">
      <w:pPr>
        <w:snapToGrid w:val="0"/>
        <w:spacing w:before="156" w:beforeLines="50" w:after="50"/>
        <w:jc w:val="center"/>
        <w:rPr>
          <w:rFonts w:hint="eastAsia" w:ascii="宋体" w:hAnsi="宋体" w:eastAsia="宋体" w:cs="宋体"/>
          <w:bCs/>
          <w:color w:val="auto"/>
          <w:sz w:val="44"/>
          <w:szCs w:val="44"/>
          <w:highlight w:val="none"/>
        </w:rPr>
      </w:pPr>
      <w:bookmarkStart w:id="105" w:name="_Toc22189"/>
    </w:p>
    <w:p w14:paraId="66DAF42A">
      <w:pPr>
        <w:snapToGrid w:val="0"/>
        <w:spacing w:before="156" w:beforeLines="50" w:after="50"/>
        <w:jc w:val="center"/>
        <w:rPr>
          <w:rFonts w:hint="eastAsia" w:ascii="宋体" w:hAnsi="宋体" w:eastAsia="宋体" w:cs="宋体"/>
          <w:bCs/>
          <w:color w:val="auto"/>
          <w:sz w:val="44"/>
          <w:szCs w:val="44"/>
          <w:highlight w:val="none"/>
        </w:rPr>
      </w:pPr>
    </w:p>
    <w:p w14:paraId="6BDA40CA">
      <w:pPr>
        <w:snapToGrid w:val="0"/>
        <w:spacing w:before="156"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58A2A41B">
      <w:pPr>
        <w:snapToGrid w:val="0"/>
        <w:spacing w:before="156" w:beforeLines="50" w:after="50"/>
        <w:rPr>
          <w:rFonts w:hint="eastAsia" w:ascii="宋体" w:hAnsi="宋体" w:eastAsia="宋体" w:cs="宋体"/>
          <w:bCs/>
          <w:color w:val="auto"/>
          <w:sz w:val="24"/>
          <w:szCs w:val="20"/>
          <w:highlight w:val="none"/>
        </w:rPr>
      </w:pPr>
    </w:p>
    <w:p w14:paraId="5D2494BF">
      <w:pPr>
        <w:snapToGrid w:val="0"/>
        <w:spacing w:before="156" w:beforeLines="50" w:after="50"/>
        <w:rPr>
          <w:rFonts w:hint="eastAsia" w:ascii="宋体" w:hAnsi="宋体" w:eastAsia="宋体" w:cs="宋体"/>
          <w:bCs/>
          <w:color w:val="auto"/>
          <w:sz w:val="24"/>
          <w:szCs w:val="20"/>
          <w:highlight w:val="none"/>
        </w:rPr>
      </w:pPr>
    </w:p>
    <w:p w14:paraId="4D7CE9B1">
      <w:pPr>
        <w:snapToGrid w:val="0"/>
        <w:spacing w:before="156" w:beforeLines="50" w:after="50"/>
        <w:rPr>
          <w:rFonts w:hint="eastAsia" w:ascii="宋体" w:hAnsi="宋体" w:eastAsia="宋体" w:cs="宋体"/>
          <w:bCs/>
          <w:color w:val="auto"/>
          <w:sz w:val="32"/>
          <w:szCs w:val="32"/>
          <w:highlight w:val="none"/>
        </w:rPr>
      </w:pPr>
    </w:p>
    <w:p w14:paraId="75994BD6">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013C50B">
      <w:pPr>
        <w:snapToGrid w:val="0"/>
        <w:spacing w:before="156" w:beforeLines="50" w:after="50"/>
        <w:ind w:firstLine="480" w:firstLineChars="150"/>
        <w:rPr>
          <w:rFonts w:hint="eastAsia" w:ascii="宋体" w:hAnsi="宋体" w:eastAsia="宋体" w:cs="宋体"/>
          <w:bCs/>
          <w:color w:val="auto"/>
          <w:sz w:val="32"/>
          <w:szCs w:val="32"/>
          <w:highlight w:val="none"/>
        </w:rPr>
      </w:pPr>
    </w:p>
    <w:p w14:paraId="74FCAF2A">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42A6251">
      <w:pPr>
        <w:snapToGrid w:val="0"/>
        <w:spacing w:before="156" w:beforeLines="50" w:after="50"/>
        <w:ind w:firstLine="480" w:firstLineChars="150"/>
        <w:rPr>
          <w:rFonts w:hint="eastAsia" w:ascii="宋体" w:hAnsi="宋体" w:eastAsia="宋体" w:cs="宋体"/>
          <w:bCs/>
          <w:color w:val="auto"/>
          <w:sz w:val="32"/>
          <w:szCs w:val="32"/>
          <w:highlight w:val="none"/>
        </w:rPr>
      </w:pPr>
    </w:p>
    <w:p w14:paraId="66E95BE6">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C13C6B2">
      <w:pPr>
        <w:snapToGrid w:val="0"/>
        <w:spacing w:before="156" w:beforeLines="50" w:after="50"/>
        <w:rPr>
          <w:rFonts w:hint="eastAsia" w:ascii="宋体" w:hAnsi="宋体" w:eastAsia="宋体" w:cs="宋体"/>
          <w:bCs/>
          <w:color w:val="auto"/>
          <w:sz w:val="32"/>
          <w:szCs w:val="32"/>
          <w:highlight w:val="none"/>
        </w:rPr>
      </w:pPr>
    </w:p>
    <w:p w14:paraId="4E58AE82">
      <w:pPr>
        <w:snapToGrid w:val="0"/>
        <w:spacing w:before="156" w:beforeLines="50" w:after="50"/>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首次响应文件提交截止时间前不得启封</w:t>
      </w:r>
    </w:p>
    <w:p w14:paraId="5F945CED">
      <w:pPr>
        <w:snapToGrid w:val="0"/>
        <w:spacing w:before="156" w:beforeLines="50" w:after="50"/>
        <w:ind w:firstLine="5440" w:firstLineChars="1700"/>
        <w:jc w:val="center"/>
        <w:rPr>
          <w:rFonts w:hint="eastAsia" w:ascii="宋体" w:hAnsi="宋体" w:eastAsia="宋体" w:cs="宋体"/>
          <w:bCs/>
          <w:color w:val="auto"/>
          <w:sz w:val="32"/>
          <w:szCs w:val="32"/>
          <w:highlight w:val="none"/>
        </w:rPr>
      </w:pPr>
    </w:p>
    <w:p w14:paraId="6E802731">
      <w:pPr>
        <w:snapToGrid w:val="0"/>
        <w:spacing w:before="156" w:beforeLines="50" w:after="50"/>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06F32FB">
      <w:pPr>
        <w:rPr>
          <w:rFonts w:hint="eastAsia"/>
          <w:b/>
          <w:color w:val="auto"/>
          <w:sz w:val="28"/>
          <w:szCs w:val="28"/>
          <w:highlight w:val="none"/>
        </w:rPr>
      </w:pPr>
      <w:r>
        <w:rPr>
          <w:rFonts w:hint="eastAsia" w:ascii="宋体" w:hAnsi="宋体" w:eastAsia="宋体" w:cs="宋体"/>
          <w:bCs/>
          <w:color w:val="auto"/>
          <w:sz w:val="24"/>
          <w:highlight w:val="none"/>
        </w:rPr>
        <w:br w:type="page"/>
      </w:r>
      <w:bookmarkStart w:id="106" w:name="_Toc44229899"/>
      <w:bookmarkStart w:id="107" w:name="_Toc31728084"/>
      <w:bookmarkStart w:id="108" w:name="_Toc71366186"/>
      <w:bookmarkStart w:id="109" w:name="_Toc35611516"/>
      <w:bookmarkStart w:id="110" w:name="_Toc35611438"/>
      <w:bookmarkStart w:id="111" w:name="_Toc31723070"/>
      <w:r>
        <w:rPr>
          <w:rFonts w:hint="eastAsia"/>
          <w:b/>
          <w:color w:val="auto"/>
          <w:sz w:val="28"/>
          <w:szCs w:val="28"/>
          <w:highlight w:val="none"/>
        </w:rPr>
        <w:t>一、资格证明文件格式</w:t>
      </w:r>
      <w:bookmarkEnd w:id="106"/>
      <w:bookmarkEnd w:id="107"/>
      <w:bookmarkEnd w:id="108"/>
      <w:bookmarkEnd w:id="109"/>
      <w:bookmarkEnd w:id="110"/>
      <w:bookmarkEnd w:id="111"/>
    </w:p>
    <w:p w14:paraId="697033A4">
      <w:pPr>
        <w:snapToGrid w:val="0"/>
        <w:spacing w:before="156" w:beforeLines="50" w:after="50" w:line="360" w:lineRule="auto"/>
        <w:jc w:val="left"/>
        <w:rPr>
          <w:rFonts w:hint="eastAsia" w:ascii="宋体" w:hAnsi="宋体"/>
          <w:b/>
          <w:color w:val="auto"/>
          <w:sz w:val="22"/>
          <w:szCs w:val="22"/>
          <w:highlight w:val="none"/>
        </w:rPr>
      </w:pPr>
      <w:r>
        <w:rPr>
          <w:rFonts w:hint="eastAsia" w:ascii="宋体" w:hAnsi="宋体"/>
          <w:b/>
          <w:color w:val="auto"/>
          <w:sz w:val="28"/>
          <w:szCs w:val="28"/>
          <w:highlight w:val="none"/>
        </w:rPr>
        <w:t>1.资格证明文件封面格式：</w:t>
      </w:r>
      <w:r>
        <w:rPr>
          <w:rFonts w:hint="eastAsia" w:ascii="宋体" w:hAnsi="宋体"/>
          <w:b/>
          <w:color w:val="auto"/>
          <w:sz w:val="22"/>
          <w:szCs w:val="22"/>
          <w:highlight w:val="none"/>
        </w:rPr>
        <w:t xml:space="preserve"> </w:t>
      </w:r>
    </w:p>
    <w:p w14:paraId="1B5BEAE8">
      <w:pPr>
        <w:snapToGrid w:val="0"/>
        <w:spacing w:before="156" w:beforeLines="50" w:after="50"/>
        <w:jc w:val="center"/>
        <w:rPr>
          <w:rFonts w:ascii="宋体" w:hAnsi="宋体"/>
          <w:color w:val="auto"/>
          <w:sz w:val="40"/>
          <w:szCs w:val="40"/>
          <w:highlight w:val="none"/>
        </w:rPr>
      </w:pPr>
    </w:p>
    <w:p w14:paraId="46B14BD5">
      <w:pPr>
        <w:snapToGrid w:val="0"/>
        <w:spacing w:before="156" w:beforeLines="50" w:after="50"/>
        <w:jc w:val="center"/>
        <w:rPr>
          <w:rFonts w:ascii="宋体" w:hAnsi="宋体"/>
          <w:color w:val="auto"/>
          <w:sz w:val="40"/>
          <w:szCs w:val="40"/>
          <w:highlight w:val="none"/>
        </w:rPr>
      </w:pPr>
      <w:r>
        <w:rPr>
          <w:rFonts w:hint="eastAsia" w:ascii="宋体" w:hAnsi="宋体"/>
          <w:color w:val="auto"/>
          <w:sz w:val="40"/>
          <w:szCs w:val="40"/>
          <w:highlight w:val="none"/>
        </w:rPr>
        <w:t>电 子 响 应 文 件</w:t>
      </w:r>
    </w:p>
    <w:p w14:paraId="481BAC14">
      <w:pPr>
        <w:snapToGrid w:val="0"/>
        <w:spacing w:before="156" w:beforeLines="50" w:after="50"/>
        <w:rPr>
          <w:rFonts w:hint="eastAsia" w:ascii="宋体" w:hAnsi="宋体"/>
          <w:color w:val="auto"/>
          <w:sz w:val="22"/>
          <w:szCs w:val="18"/>
          <w:highlight w:val="none"/>
        </w:rPr>
      </w:pPr>
    </w:p>
    <w:p w14:paraId="0E3CE61A">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资  格  证  明  文  件</w:t>
      </w:r>
    </w:p>
    <w:p w14:paraId="758CBB21">
      <w:pPr>
        <w:snapToGrid w:val="0"/>
        <w:spacing w:before="156" w:beforeLines="50" w:after="50"/>
        <w:rPr>
          <w:rFonts w:hint="eastAsia" w:ascii="宋体" w:hAnsi="宋体"/>
          <w:bCs/>
          <w:color w:val="auto"/>
          <w:sz w:val="22"/>
          <w:szCs w:val="18"/>
          <w:highlight w:val="none"/>
        </w:rPr>
      </w:pPr>
    </w:p>
    <w:p w14:paraId="3A3AD9B1">
      <w:pPr>
        <w:snapToGrid w:val="0"/>
        <w:spacing w:before="156" w:beforeLines="50" w:after="50"/>
        <w:rPr>
          <w:rFonts w:hint="eastAsia" w:ascii="宋体" w:hAnsi="宋体"/>
          <w:bCs/>
          <w:color w:val="auto"/>
          <w:sz w:val="22"/>
          <w:szCs w:val="18"/>
          <w:highlight w:val="none"/>
        </w:rPr>
      </w:pPr>
    </w:p>
    <w:p w14:paraId="578A6B65">
      <w:pPr>
        <w:snapToGrid w:val="0"/>
        <w:spacing w:before="156" w:beforeLines="50" w:after="50"/>
        <w:rPr>
          <w:rFonts w:hint="eastAsia" w:ascii="宋体" w:hAnsi="宋体"/>
          <w:bCs/>
          <w:color w:val="auto"/>
          <w:sz w:val="22"/>
          <w:szCs w:val="18"/>
          <w:highlight w:val="none"/>
        </w:rPr>
      </w:pPr>
    </w:p>
    <w:p w14:paraId="149AD0E6">
      <w:pPr>
        <w:snapToGrid w:val="0"/>
        <w:spacing w:before="156" w:beforeLines="50" w:after="50"/>
        <w:rPr>
          <w:rFonts w:hint="eastAsia" w:ascii="宋体" w:hAnsi="宋体"/>
          <w:bCs/>
          <w:color w:val="auto"/>
          <w:sz w:val="22"/>
          <w:szCs w:val="18"/>
          <w:highlight w:val="none"/>
        </w:rPr>
      </w:pPr>
    </w:p>
    <w:p w14:paraId="0C5A8994">
      <w:pPr>
        <w:snapToGrid w:val="0"/>
        <w:spacing w:before="156" w:beforeLines="50" w:after="50"/>
        <w:rPr>
          <w:rFonts w:hint="eastAsia" w:ascii="宋体" w:hAnsi="宋体"/>
          <w:bCs/>
          <w:color w:val="auto"/>
          <w:sz w:val="22"/>
          <w:szCs w:val="18"/>
          <w:highlight w:val="none"/>
        </w:rPr>
      </w:pPr>
    </w:p>
    <w:p w14:paraId="5DB34BDC">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656FDC1E">
      <w:pPr>
        <w:snapToGrid w:val="0"/>
        <w:spacing w:before="156" w:beforeLines="50" w:after="50"/>
        <w:ind w:firstLine="630" w:firstLineChars="225"/>
        <w:rPr>
          <w:rFonts w:hint="eastAsia" w:ascii="宋体" w:hAnsi="宋体" w:cs="仿宋_GB2312"/>
          <w:bCs/>
          <w:color w:val="auto"/>
          <w:sz w:val="28"/>
          <w:szCs w:val="28"/>
          <w:highlight w:val="none"/>
        </w:rPr>
      </w:pPr>
    </w:p>
    <w:p w14:paraId="109E08B2">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1A8256FB">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68C1A212">
      <w:pPr>
        <w:pStyle w:val="9"/>
        <w:snapToGrid w:val="0"/>
        <w:spacing w:before="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3AD84E5F">
      <w:pPr>
        <w:snapToGrid w:val="0"/>
        <w:spacing w:before="156" w:beforeLines="50" w:after="50"/>
        <w:ind w:firstLine="560" w:firstLineChars="200"/>
        <w:rPr>
          <w:rFonts w:hint="eastAsia" w:ascii="宋体" w:hAnsi="宋体" w:cs="仿宋_GB2312"/>
          <w:bCs/>
          <w:color w:val="auto"/>
          <w:sz w:val="28"/>
          <w:szCs w:val="28"/>
          <w:highlight w:val="none"/>
        </w:rPr>
      </w:pPr>
    </w:p>
    <w:p w14:paraId="53A8BC5D">
      <w:pPr>
        <w:pStyle w:val="9"/>
        <w:snapToGrid w:val="0"/>
        <w:spacing w:before="50" w:after="50"/>
        <w:ind w:firstLine="630" w:firstLineChars="225"/>
        <w:rPr>
          <w:rFonts w:hint="eastAsia" w:ascii="宋体" w:hAnsi="宋体" w:cs="仿宋_GB2312"/>
          <w:bCs/>
          <w:color w:val="auto"/>
          <w:sz w:val="28"/>
          <w:szCs w:val="28"/>
          <w:highlight w:val="none"/>
        </w:rPr>
      </w:pPr>
    </w:p>
    <w:p w14:paraId="398BE2AC">
      <w:pPr>
        <w:pStyle w:val="9"/>
        <w:snapToGrid w:val="0"/>
        <w:spacing w:before="50" w:after="50"/>
        <w:ind w:firstLine="630" w:firstLineChars="225"/>
        <w:rPr>
          <w:rFonts w:hint="eastAsia" w:ascii="宋体" w:hAnsi="宋体" w:cs="仿宋_GB2312"/>
          <w:bCs/>
          <w:color w:val="auto"/>
          <w:sz w:val="28"/>
          <w:szCs w:val="28"/>
          <w:highlight w:val="none"/>
        </w:rPr>
      </w:pPr>
    </w:p>
    <w:p w14:paraId="10E386B5">
      <w:pPr>
        <w:pStyle w:val="9"/>
        <w:snapToGrid w:val="0"/>
        <w:spacing w:before="50" w:after="50"/>
        <w:ind w:firstLine="1120" w:firstLineChars="400"/>
        <w:rPr>
          <w:rFonts w:hint="eastAsia" w:ascii="宋体" w:hAnsi="宋体" w:cs="仿宋_GB2312"/>
          <w:bCs/>
          <w:color w:val="auto"/>
          <w:sz w:val="28"/>
          <w:szCs w:val="28"/>
          <w:highlight w:val="none"/>
        </w:rPr>
      </w:pPr>
    </w:p>
    <w:p w14:paraId="16C93F8F">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0F70F3C3">
      <w:pPr>
        <w:snapToGrid w:val="0"/>
        <w:spacing w:before="156" w:beforeLines="50" w:after="50" w:line="360" w:lineRule="auto"/>
        <w:ind w:left="142"/>
        <w:jc w:val="left"/>
        <w:rPr>
          <w:rFonts w:hint="eastAsia" w:ascii="宋体" w:hAnsi="宋体"/>
          <w:b/>
          <w:bCs/>
          <w:color w:val="auto"/>
          <w:sz w:val="28"/>
          <w:szCs w:val="28"/>
          <w:highlight w:val="none"/>
        </w:rPr>
      </w:pPr>
      <w:r>
        <w:rPr>
          <w:rFonts w:ascii="宋体" w:hAnsi="宋体"/>
          <w:color w:val="auto"/>
          <w:sz w:val="22"/>
          <w:szCs w:val="22"/>
          <w:highlight w:val="none"/>
        </w:rPr>
        <w:br w:type="page"/>
      </w:r>
      <w:r>
        <w:rPr>
          <w:rFonts w:hint="eastAsia" w:ascii="宋体" w:hAnsi="宋体"/>
          <w:b/>
          <w:bCs/>
          <w:color w:val="auto"/>
          <w:sz w:val="28"/>
          <w:szCs w:val="28"/>
          <w:highlight w:val="none"/>
        </w:rPr>
        <w:t>2.资格证明文件目录</w:t>
      </w:r>
    </w:p>
    <w:p w14:paraId="51F26B2F">
      <w:pPr>
        <w:pStyle w:val="35"/>
        <w:numPr>
          <w:ilvl w:val="0"/>
          <w:numId w:val="0"/>
        </w:numPr>
        <w:rPr>
          <w:rFonts w:hint="default"/>
          <w:color w:val="auto"/>
          <w:lang w:val="en-US" w:eastAsia="zh-CN"/>
        </w:rPr>
      </w:pPr>
      <w:r>
        <w:rPr>
          <w:rFonts w:hint="eastAsia"/>
          <w:color w:val="auto"/>
          <w:lang w:val="en-US" w:eastAsia="zh-CN"/>
        </w:rPr>
        <w:t>根据《供应商须知前附表》第12.1.1要求编制</w:t>
      </w:r>
    </w:p>
    <w:p w14:paraId="630B9983">
      <w:pPr>
        <w:snapToGrid w:val="0"/>
        <w:spacing w:before="156" w:beforeLines="50" w:after="50"/>
        <w:rPr>
          <w:rFonts w:ascii="宋体" w:hAnsi="宋体"/>
          <w:color w:val="auto"/>
          <w:sz w:val="22"/>
          <w:szCs w:val="18"/>
          <w:highlight w:val="none"/>
        </w:rPr>
      </w:pPr>
      <w:r>
        <w:rPr>
          <w:rFonts w:ascii="宋体" w:hAnsi="宋体"/>
          <w:color w:val="auto"/>
          <w:sz w:val="22"/>
          <w:szCs w:val="18"/>
          <w:highlight w:val="none"/>
        </w:rPr>
        <w:t xml:space="preserve"> </w:t>
      </w:r>
    </w:p>
    <w:p w14:paraId="6AFEE8A0">
      <w:pPr>
        <w:spacing w:line="300" w:lineRule="auto"/>
        <w:rPr>
          <w:rFonts w:hint="eastAsia" w:ascii="宋体" w:hAnsi="宋体"/>
          <w:color w:val="auto"/>
          <w:sz w:val="20"/>
          <w:szCs w:val="20"/>
          <w:highlight w:val="none"/>
        </w:rPr>
      </w:pPr>
    </w:p>
    <w:p w14:paraId="6E47C6EA">
      <w:pPr>
        <w:spacing w:line="300" w:lineRule="auto"/>
        <w:rPr>
          <w:rFonts w:hint="eastAsia" w:ascii="宋体" w:hAnsi="宋体"/>
          <w:color w:val="auto"/>
          <w:sz w:val="20"/>
          <w:szCs w:val="20"/>
          <w:highlight w:val="none"/>
        </w:rPr>
      </w:pPr>
    </w:p>
    <w:p w14:paraId="246311DC">
      <w:pPr>
        <w:spacing w:line="300" w:lineRule="auto"/>
        <w:rPr>
          <w:rFonts w:hint="eastAsia" w:ascii="宋体" w:hAnsi="宋体"/>
          <w:color w:val="auto"/>
          <w:sz w:val="20"/>
          <w:szCs w:val="20"/>
          <w:highlight w:val="none"/>
        </w:rPr>
      </w:pPr>
    </w:p>
    <w:p w14:paraId="6CA58525">
      <w:pPr>
        <w:spacing w:line="300" w:lineRule="auto"/>
        <w:rPr>
          <w:rFonts w:hint="eastAsia" w:ascii="宋体" w:hAnsi="宋体"/>
          <w:color w:val="auto"/>
          <w:sz w:val="20"/>
          <w:szCs w:val="20"/>
          <w:highlight w:val="none"/>
        </w:rPr>
      </w:pPr>
    </w:p>
    <w:p w14:paraId="0D925EF6">
      <w:pPr>
        <w:spacing w:line="300" w:lineRule="auto"/>
        <w:rPr>
          <w:rFonts w:hint="eastAsia" w:ascii="宋体" w:hAnsi="宋体"/>
          <w:color w:val="auto"/>
          <w:sz w:val="20"/>
          <w:szCs w:val="20"/>
          <w:highlight w:val="none"/>
        </w:rPr>
      </w:pPr>
    </w:p>
    <w:p w14:paraId="051FBDF8">
      <w:pPr>
        <w:spacing w:line="300" w:lineRule="auto"/>
        <w:rPr>
          <w:rFonts w:hint="eastAsia" w:ascii="宋体" w:hAnsi="宋体"/>
          <w:color w:val="auto"/>
          <w:sz w:val="20"/>
          <w:szCs w:val="20"/>
          <w:highlight w:val="none"/>
        </w:rPr>
      </w:pPr>
    </w:p>
    <w:p w14:paraId="3F2CCA7C">
      <w:pPr>
        <w:spacing w:line="300" w:lineRule="auto"/>
        <w:rPr>
          <w:rFonts w:hint="eastAsia" w:ascii="宋体" w:hAnsi="宋体"/>
          <w:color w:val="auto"/>
          <w:sz w:val="20"/>
          <w:szCs w:val="20"/>
          <w:highlight w:val="none"/>
        </w:rPr>
      </w:pPr>
    </w:p>
    <w:p w14:paraId="31559CD1">
      <w:pPr>
        <w:spacing w:line="300" w:lineRule="auto"/>
        <w:rPr>
          <w:rFonts w:hint="eastAsia" w:ascii="宋体" w:hAnsi="宋体"/>
          <w:color w:val="auto"/>
          <w:sz w:val="20"/>
          <w:szCs w:val="20"/>
          <w:highlight w:val="none"/>
        </w:rPr>
      </w:pPr>
    </w:p>
    <w:p w14:paraId="0F8DAFC4">
      <w:pPr>
        <w:spacing w:line="300" w:lineRule="auto"/>
        <w:rPr>
          <w:rFonts w:hint="eastAsia" w:ascii="宋体" w:hAnsi="宋体"/>
          <w:color w:val="auto"/>
          <w:sz w:val="20"/>
          <w:szCs w:val="20"/>
          <w:highlight w:val="none"/>
        </w:rPr>
      </w:pPr>
    </w:p>
    <w:p w14:paraId="3B29F491">
      <w:pPr>
        <w:spacing w:line="300" w:lineRule="auto"/>
        <w:rPr>
          <w:rFonts w:hint="eastAsia" w:ascii="宋体" w:hAnsi="宋体"/>
          <w:color w:val="auto"/>
          <w:sz w:val="20"/>
          <w:szCs w:val="20"/>
          <w:highlight w:val="none"/>
        </w:rPr>
      </w:pPr>
    </w:p>
    <w:p w14:paraId="2F8DC939">
      <w:pPr>
        <w:spacing w:line="300" w:lineRule="auto"/>
        <w:rPr>
          <w:rFonts w:hint="eastAsia" w:ascii="宋体" w:hAnsi="宋体"/>
          <w:color w:val="auto"/>
          <w:sz w:val="20"/>
          <w:szCs w:val="20"/>
          <w:highlight w:val="none"/>
        </w:rPr>
      </w:pPr>
    </w:p>
    <w:p w14:paraId="54EAB9ED">
      <w:pPr>
        <w:spacing w:line="300" w:lineRule="auto"/>
        <w:rPr>
          <w:rFonts w:hint="eastAsia" w:ascii="宋体" w:hAnsi="宋体"/>
          <w:color w:val="auto"/>
          <w:sz w:val="20"/>
          <w:szCs w:val="20"/>
          <w:highlight w:val="none"/>
        </w:rPr>
      </w:pPr>
    </w:p>
    <w:p w14:paraId="46AE13E3">
      <w:pPr>
        <w:spacing w:line="300" w:lineRule="auto"/>
        <w:rPr>
          <w:rFonts w:hint="eastAsia" w:ascii="宋体" w:hAnsi="宋体"/>
          <w:color w:val="auto"/>
          <w:sz w:val="20"/>
          <w:szCs w:val="20"/>
          <w:highlight w:val="none"/>
        </w:rPr>
      </w:pPr>
    </w:p>
    <w:p w14:paraId="429274F2">
      <w:pPr>
        <w:spacing w:line="300" w:lineRule="auto"/>
        <w:rPr>
          <w:rFonts w:hint="eastAsia" w:ascii="宋体" w:hAnsi="宋体"/>
          <w:color w:val="auto"/>
          <w:sz w:val="20"/>
          <w:szCs w:val="20"/>
          <w:highlight w:val="none"/>
        </w:rPr>
      </w:pPr>
    </w:p>
    <w:p w14:paraId="763BEA47">
      <w:pPr>
        <w:spacing w:line="300" w:lineRule="auto"/>
        <w:rPr>
          <w:rFonts w:hint="eastAsia" w:ascii="宋体" w:hAnsi="宋体"/>
          <w:color w:val="auto"/>
          <w:sz w:val="20"/>
          <w:szCs w:val="20"/>
          <w:highlight w:val="none"/>
        </w:rPr>
      </w:pPr>
    </w:p>
    <w:p w14:paraId="765DE655">
      <w:pPr>
        <w:spacing w:line="320" w:lineRule="exact"/>
        <w:jc w:val="left"/>
        <w:rPr>
          <w:rFonts w:hint="eastAsia" w:ascii="宋体" w:hAnsi="宋体"/>
          <w:color w:val="auto"/>
          <w:sz w:val="20"/>
          <w:szCs w:val="20"/>
          <w:highlight w:val="none"/>
        </w:rPr>
      </w:pPr>
      <w:r>
        <w:rPr>
          <w:rFonts w:ascii="宋体" w:hAnsi="宋体"/>
          <w:color w:val="auto"/>
          <w:sz w:val="20"/>
          <w:szCs w:val="20"/>
          <w:highlight w:val="none"/>
        </w:rPr>
        <w:br w:type="page"/>
      </w:r>
      <w:r>
        <w:rPr>
          <w:rFonts w:hint="eastAsia" w:ascii="宋体" w:hAnsi="宋体"/>
          <w:color w:val="auto"/>
          <w:sz w:val="20"/>
          <w:szCs w:val="20"/>
          <w:highlight w:val="none"/>
        </w:rPr>
        <w:t xml:space="preserve"> </w:t>
      </w:r>
    </w:p>
    <w:p w14:paraId="7C62E8AE">
      <w:pPr>
        <w:spacing w:line="320" w:lineRule="exact"/>
        <w:jc w:val="left"/>
        <w:rPr>
          <w:rFonts w:hint="eastAsia" w:ascii="宋体" w:hAnsi="宋体"/>
          <w:color w:val="auto"/>
          <w:sz w:val="20"/>
          <w:szCs w:val="20"/>
          <w:highlight w:val="none"/>
        </w:rPr>
      </w:pPr>
    </w:p>
    <w:p w14:paraId="3B311716">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供应商直接控股、管理关系信息表</w:t>
      </w:r>
    </w:p>
    <w:p w14:paraId="042A5FBE">
      <w:pPr>
        <w:snapToGrid w:val="0"/>
        <w:spacing w:before="156" w:beforeLines="50" w:after="50" w:line="360" w:lineRule="auto"/>
        <w:jc w:val="center"/>
        <w:rPr>
          <w:rFonts w:hint="eastAsia" w:ascii="宋体" w:hAnsi="宋体"/>
          <w:b/>
          <w:color w:val="auto"/>
          <w:sz w:val="22"/>
          <w:szCs w:val="22"/>
          <w:highlight w:val="none"/>
        </w:rPr>
      </w:pPr>
    </w:p>
    <w:p w14:paraId="76AD0805">
      <w:pPr>
        <w:spacing w:line="360" w:lineRule="auto"/>
        <w:contextualSpacing/>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供应商直接控股股东信息表</w:t>
      </w:r>
    </w:p>
    <w:p w14:paraId="233278FA">
      <w:pPr>
        <w:spacing w:line="360" w:lineRule="auto"/>
        <w:contextualSpacing/>
        <w:jc w:val="center"/>
        <w:rPr>
          <w:rFonts w:hint="eastAsia" w:ascii="宋体" w:hAnsi="宋体"/>
          <w:b/>
          <w:color w:val="auto"/>
          <w:sz w:val="22"/>
          <w:szCs w:val="22"/>
          <w:highlight w:val="none"/>
        </w:rPr>
      </w:pPr>
    </w:p>
    <w:tbl>
      <w:tblPr>
        <w:tblStyle w:val="2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6E88EB">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60BCF2">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16A809">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810CA7">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B54AF0">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679899">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6791EBD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5AD4FA">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FF647D">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0F38D5">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35742C">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A8C1B1">
            <w:pPr>
              <w:widowControl/>
              <w:spacing w:line="360" w:lineRule="auto"/>
              <w:contextualSpacing/>
              <w:jc w:val="center"/>
              <w:rPr>
                <w:rFonts w:hint="eastAsia" w:ascii="宋体" w:hAnsi="宋体" w:cs="宋体"/>
                <w:color w:val="auto"/>
                <w:kern w:val="0"/>
                <w:sz w:val="22"/>
                <w:szCs w:val="22"/>
                <w:highlight w:val="none"/>
              </w:rPr>
            </w:pPr>
          </w:p>
        </w:tc>
      </w:tr>
      <w:tr w14:paraId="0F4B7F5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1C4D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E5CC3">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F19C7">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E8B8EC">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8C569">
            <w:pPr>
              <w:widowControl/>
              <w:spacing w:line="360" w:lineRule="auto"/>
              <w:contextualSpacing/>
              <w:jc w:val="center"/>
              <w:rPr>
                <w:rFonts w:hint="eastAsia" w:ascii="宋体" w:hAnsi="宋体" w:cs="宋体"/>
                <w:color w:val="auto"/>
                <w:kern w:val="0"/>
                <w:sz w:val="22"/>
                <w:szCs w:val="22"/>
                <w:highlight w:val="none"/>
              </w:rPr>
            </w:pPr>
          </w:p>
        </w:tc>
      </w:tr>
      <w:tr w14:paraId="78B1508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7CC0C3">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D04872">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8FE916">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F9D0EA">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A6ED69">
            <w:pPr>
              <w:widowControl/>
              <w:spacing w:line="360" w:lineRule="auto"/>
              <w:contextualSpacing/>
              <w:jc w:val="center"/>
              <w:rPr>
                <w:rFonts w:hint="eastAsia" w:ascii="宋体" w:hAnsi="宋体" w:cs="宋体"/>
                <w:color w:val="auto"/>
                <w:kern w:val="0"/>
                <w:sz w:val="22"/>
                <w:szCs w:val="22"/>
                <w:highlight w:val="none"/>
              </w:rPr>
            </w:pPr>
          </w:p>
        </w:tc>
      </w:tr>
      <w:tr w14:paraId="1DEC761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B552BA">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1A2110">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135D09">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6A4AA0">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1A238F">
            <w:pPr>
              <w:widowControl/>
              <w:spacing w:line="360" w:lineRule="auto"/>
              <w:contextualSpacing/>
              <w:jc w:val="center"/>
              <w:rPr>
                <w:rFonts w:hint="eastAsia" w:ascii="宋体" w:hAnsi="宋体" w:cs="宋体"/>
                <w:color w:val="auto"/>
                <w:kern w:val="0"/>
                <w:sz w:val="22"/>
                <w:szCs w:val="22"/>
                <w:highlight w:val="none"/>
              </w:rPr>
            </w:pPr>
          </w:p>
        </w:tc>
      </w:tr>
    </w:tbl>
    <w:p w14:paraId="09FB07EF">
      <w:pPr>
        <w:spacing w:line="360" w:lineRule="auto"/>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7EE035C7">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8064C6">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546799E2">
      <w:pPr>
        <w:spacing w:line="360" w:lineRule="auto"/>
        <w:ind w:firstLine="420" w:firstLineChars="20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w:t>
      </w:r>
      <w:r>
        <w:rPr>
          <w:rFonts w:hint="eastAsia" w:ascii="宋体" w:hAnsi="宋体"/>
          <w:color w:val="auto"/>
          <w:sz w:val="21"/>
          <w:szCs w:val="21"/>
          <w:highlight w:val="none"/>
        </w:rPr>
        <w:t>则在“直接控股股东名称”填“无”</w:t>
      </w:r>
      <w:r>
        <w:rPr>
          <w:rFonts w:hint="eastAsia" w:ascii="宋体" w:hAnsi="宋体" w:cs="宋体"/>
          <w:color w:val="auto"/>
          <w:sz w:val="21"/>
          <w:szCs w:val="21"/>
          <w:highlight w:val="none"/>
        </w:rPr>
        <w:t>。</w:t>
      </w:r>
    </w:p>
    <w:p w14:paraId="7C4CC4CA">
      <w:pPr>
        <w:spacing w:line="360" w:lineRule="auto"/>
        <w:ind w:firstLine="420" w:firstLineChars="200"/>
        <w:contextualSpacing/>
        <w:jc w:val="left"/>
        <w:rPr>
          <w:rFonts w:ascii="宋体" w:hAnsi="宋体" w:cs="宋体"/>
          <w:color w:val="auto"/>
          <w:sz w:val="21"/>
          <w:szCs w:val="21"/>
          <w:highlight w:val="none"/>
        </w:rPr>
      </w:pPr>
    </w:p>
    <w:p w14:paraId="1609A2F2">
      <w:pPr>
        <w:spacing w:line="360" w:lineRule="auto"/>
        <w:ind w:firstLine="420" w:firstLineChars="200"/>
        <w:contextualSpacing/>
        <w:jc w:val="left"/>
        <w:rPr>
          <w:rFonts w:hint="eastAsia" w:ascii="宋体" w:hAnsi="宋体" w:cs="宋体"/>
          <w:color w:val="auto"/>
          <w:sz w:val="21"/>
          <w:szCs w:val="21"/>
          <w:highlight w:val="none"/>
        </w:rPr>
      </w:pPr>
    </w:p>
    <w:p w14:paraId="72BBB080">
      <w:pPr>
        <w:spacing w:line="360" w:lineRule="auto"/>
        <w:ind w:firstLine="4200" w:firstLineChars="2000"/>
        <w:jc w:val="left"/>
        <w:rPr>
          <w:rFonts w:hint="eastAsia" w:ascii="宋体" w:hAnsi="宋体" w:eastAsia="宋体" w:cs="宋体"/>
          <w:color w:val="auto"/>
          <w:u w:val="single"/>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2136AEAF">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pacing w:val="0"/>
          <w:w w:val="100"/>
          <w:position w:val="0"/>
          <w:sz w:val="21"/>
          <w:szCs w:val="21"/>
          <w:lang w:eastAsia="zh-CN"/>
        </w:rPr>
        <w:sectPr>
          <w:footnotePr>
            <w:numFmt w:val="decimal"/>
          </w:footnotePr>
          <w:pgSz w:w="11905" w:h="16838"/>
          <w:pgMar w:top="1134" w:right="1134" w:bottom="1134" w:left="1134" w:header="720" w:footer="720" w:gutter="0"/>
          <w:pgNumType w:fmt="decimal"/>
          <w:cols w:space="720" w:num="1"/>
          <w:rtlGutter w:val="0"/>
          <w:docGrid w:type="lines" w:linePitch="332" w:charSpace="0"/>
        </w:sect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4E5343D7">
      <w:pPr>
        <w:spacing w:line="360" w:lineRule="auto"/>
        <w:ind w:firstLine="420" w:firstLineChars="200"/>
        <w:contextualSpacing/>
        <w:jc w:val="center"/>
        <w:rPr>
          <w:rFonts w:hint="eastAsia" w:ascii="宋体" w:hAnsi="宋体" w:cs="宋体"/>
          <w:color w:val="auto"/>
          <w:sz w:val="21"/>
          <w:szCs w:val="21"/>
          <w:highlight w:val="none"/>
        </w:rPr>
      </w:pPr>
    </w:p>
    <w:p w14:paraId="704BE56B">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供应商直接管理关系信息表</w:t>
      </w:r>
    </w:p>
    <w:p w14:paraId="042C569F">
      <w:pPr>
        <w:snapToGrid w:val="0"/>
        <w:spacing w:line="360" w:lineRule="auto"/>
        <w:jc w:val="center"/>
        <w:rPr>
          <w:rFonts w:hint="eastAsia" w:ascii="宋体" w:hAnsi="宋体"/>
          <w:b/>
          <w:color w:val="auto"/>
          <w:sz w:val="22"/>
          <w:szCs w:val="22"/>
          <w:highlight w:val="none"/>
        </w:rPr>
      </w:pPr>
    </w:p>
    <w:tbl>
      <w:tblPr>
        <w:tblStyle w:val="2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249A4E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756824">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5AE520">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146AF4">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43D1E7">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0180921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56619A">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D7AC2B">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2D3D2B">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76EB5C">
            <w:pPr>
              <w:widowControl/>
              <w:spacing w:line="360" w:lineRule="auto"/>
              <w:contextualSpacing/>
              <w:jc w:val="center"/>
              <w:rPr>
                <w:rFonts w:ascii="宋体" w:hAnsi="宋体" w:cs="宋体"/>
                <w:color w:val="auto"/>
                <w:kern w:val="0"/>
                <w:sz w:val="22"/>
                <w:szCs w:val="22"/>
                <w:highlight w:val="none"/>
              </w:rPr>
            </w:pPr>
          </w:p>
        </w:tc>
      </w:tr>
      <w:tr w14:paraId="4159817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2EF2C3">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12030C">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193090">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3FE21F">
            <w:pPr>
              <w:widowControl/>
              <w:spacing w:line="360" w:lineRule="auto"/>
              <w:contextualSpacing/>
              <w:jc w:val="center"/>
              <w:rPr>
                <w:rFonts w:ascii="宋体" w:hAnsi="宋体" w:cs="宋体"/>
                <w:color w:val="auto"/>
                <w:kern w:val="0"/>
                <w:sz w:val="22"/>
                <w:szCs w:val="22"/>
                <w:highlight w:val="none"/>
              </w:rPr>
            </w:pPr>
          </w:p>
        </w:tc>
      </w:tr>
      <w:tr w14:paraId="1C19C94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DA59FD">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FC0C75">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B86DBC">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FAEA52">
            <w:pPr>
              <w:widowControl/>
              <w:spacing w:line="360" w:lineRule="auto"/>
              <w:contextualSpacing/>
              <w:jc w:val="center"/>
              <w:rPr>
                <w:rFonts w:ascii="宋体" w:hAnsi="宋体" w:cs="宋体"/>
                <w:color w:val="auto"/>
                <w:kern w:val="0"/>
                <w:sz w:val="22"/>
                <w:szCs w:val="22"/>
                <w:highlight w:val="none"/>
              </w:rPr>
            </w:pPr>
          </w:p>
        </w:tc>
      </w:tr>
      <w:tr w14:paraId="72005A1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551FC2">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1F5627">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CBE26E">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EA9E83">
            <w:pPr>
              <w:widowControl/>
              <w:spacing w:line="360" w:lineRule="auto"/>
              <w:contextualSpacing/>
              <w:jc w:val="center"/>
              <w:rPr>
                <w:rFonts w:ascii="宋体" w:hAnsi="宋体" w:cs="宋体"/>
                <w:color w:val="auto"/>
                <w:kern w:val="0"/>
                <w:sz w:val="22"/>
                <w:szCs w:val="22"/>
                <w:highlight w:val="none"/>
              </w:rPr>
            </w:pPr>
          </w:p>
        </w:tc>
      </w:tr>
    </w:tbl>
    <w:p w14:paraId="6EB63650">
      <w:pPr>
        <w:spacing w:line="360" w:lineRule="auto"/>
        <w:contextualSpacing/>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70EDA657">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0AC3852A">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2888CF44">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3.供应商不存在直接管理关系的，则在“直接管理关系单位名称”填“无”。</w:t>
      </w:r>
    </w:p>
    <w:p w14:paraId="06E8CAE0">
      <w:pPr>
        <w:spacing w:line="360" w:lineRule="auto"/>
        <w:contextualSpacing/>
        <w:jc w:val="left"/>
        <w:rPr>
          <w:rFonts w:hint="eastAsia" w:ascii="宋体" w:hAnsi="宋体"/>
          <w:color w:val="auto"/>
          <w:sz w:val="21"/>
          <w:szCs w:val="21"/>
          <w:highlight w:val="none"/>
        </w:rPr>
      </w:pPr>
    </w:p>
    <w:p w14:paraId="78362237">
      <w:pPr>
        <w:spacing w:line="360" w:lineRule="auto"/>
        <w:contextualSpacing/>
        <w:jc w:val="left"/>
        <w:rPr>
          <w:rFonts w:hint="eastAsia" w:ascii="宋体" w:hAnsi="宋体"/>
          <w:color w:val="auto"/>
          <w:sz w:val="21"/>
          <w:szCs w:val="21"/>
          <w:highlight w:val="none"/>
        </w:rPr>
      </w:pPr>
    </w:p>
    <w:p w14:paraId="5AB780D4">
      <w:pPr>
        <w:spacing w:line="360" w:lineRule="auto"/>
        <w:contextualSpacing/>
        <w:jc w:val="left"/>
        <w:rPr>
          <w:rFonts w:hint="eastAsia"/>
          <w:color w:val="auto"/>
          <w:sz w:val="21"/>
          <w:szCs w:val="21"/>
          <w:highlight w:val="none"/>
        </w:rPr>
      </w:pPr>
    </w:p>
    <w:p w14:paraId="5F13D33D">
      <w:pPr>
        <w:spacing w:line="360" w:lineRule="auto"/>
        <w:contextualSpacing/>
        <w:jc w:val="left"/>
        <w:rPr>
          <w:rFonts w:hint="eastAsia" w:ascii="宋体" w:hAnsi="宋体"/>
          <w:color w:val="auto"/>
          <w:sz w:val="21"/>
          <w:szCs w:val="21"/>
          <w:highlight w:val="none"/>
        </w:rPr>
      </w:pPr>
    </w:p>
    <w:p w14:paraId="05C701D6">
      <w:pPr>
        <w:spacing w:line="360" w:lineRule="auto"/>
        <w:ind w:firstLine="4200" w:firstLineChars="2000"/>
        <w:jc w:val="left"/>
        <w:rPr>
          <w:rFonts w:hint="eastAsia" w:ascii="宋体" w:hAnsi="宋体" w:eastAsia="宋体" w:cs="宋体"/>
          <w:color w:val="auto"/>
          <w:u w:val="single"/>
        </w:rPr>
      </w:pPr>
      <w:r>
        <w:rPr>
          <w:rFonts w:hint="eastAsia" w:ascii="宋体" w:hAnsi="宋体"/>
          <w:color w:val="auto"/>
          <w:sz w:val="21"/>
          <w:szCs w:val="21"/>
          <w:highlight w:val="none"/>
        </w:rPr>
        <w:t xml:space="preserve"> </w:t>
      </w:r>
      <w:r>
        <w:rPr>
          <w:rFonts w:ascii="宋体" w:hAnsi="宋体"/>
          <w:color w:val="auto"/>
          <w:sz w:val="21"/>
          <w:szCs w:val="21"/>
          <w:highlight w:val="none"/>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6B80EAA4">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pacing w:val="0"/>
          <w:w w:val="100"/>
          <w:position w:val="0"/>
          <w:sz w:val="21"/>
          <w:szCs w:val="21"/>
          <w:lang w:eastAsia="zh-CN"/>
        </w:rPr>
        <w:sectPr>
          <w:footnotePr>
            <w:numFmt w:val="decimal"/>
          </w:footnotePr>
          <w:pgSz w:w="11905" w:h="16838"/>
          <w:pgMar w:top="1134" w:right="1134" w:bottom="1134" w:left="1134" w:header="720" w:footer="720" w:gutter="0"/>
          <w:pgNumType w:fmt="decimal"/>
          <w:cols w:space="720" w:num="1"/>
          <w:rtlGutter w:val="0"/>
          <w:docGrid w:type="lines" w:linePitch="332" w:charSpace="0"/>
        </w:sect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615BFDDD">
      <w:pPr>
        <w:spacing w:line="320" w:lineRule="exact"/>
        <w:jc w:val="center"/>
        <w:rPr>
          <w:rFonts w:hint="eastAsia" w:ascii="宋体" w:hAnsi="宋体"/>
          <w:b/>
          <w:color w:val="auto"/>
          <w:sz w:val="28"/>
          <w:szCs w:val="28"/>
          <w:highlight w:val="none"/>
        </w:rPr>
      </w:pPr>
    </w:p>
    <w:p w14:paraId="323A5927">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竞标声明</w:t>
      </w:r>
    </w:p>
    <w:p w14:paraId="45D58E14">
      <w:pPr>
        <w:spacing w:line="320" w:lineRule="exact"/>
        <w:jc w:val="center"/>
        <w:rPr>
          <w:rFonts w:hint="eastAsia" w:ascii="宋体" w:hAnsi="宋体"/>
          <w:color w:val="auto"/>
          <w:sz w:val="22"/>
          <w:szCs w:val="18"/>
          <w:highlight w:val="none"/>
        </w:rPr>
      </w:pPr>
    </w:p>
    <w:p w14:paraId="752AE70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（采购人名称）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w:t>
      </w:r>
    </w:p>
    <w:p w14:paraId="4C06FE4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u w:val="single"/>
        </w:rPr>
        <w:t>（供应商名称）</w:t>
      </w:r>
      <w:r>
        <w:rPr>
          <w:rFonts w:hint="eastAsia" w:ascii="宋体" w:hAnsi="宋体" w:eastAsia="宋体" w:cs="Times New Roman"/>
          <w:color w:val="auto"/>
          <w:sz w:val="21"/>
          <w:szCs w:val="21"/>
          <w:highlight w:val="none"/>
        </w:rPr>
        <w:t>系中华人民共和国合法供应商，经营地址</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1378024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我方愿意参加贵方组织的</w:t>
      </w:r>
      <w:r>
        <w:rPr>
          <w:rFonts w:hint="eastAsia" w:ascii="宋体" w:hAnsi="宋体" w:eastAsia="宋体" w:cs="Times New Roman"/>
          <w:color w:val="auto"/>
          <w:sz w:val="21"/>
          <w:szCs w:val="21"/>
          <w:highlight w:val="none"/>
          <w:u w:val="single"/>
        </w:rPr>
        <w:t>（项目名称）</w:t>
      </w:r>
      <w:r>
        <w:rPr>
          <w:rFonts w:hint="eastAsia" w:ascii="宋体" w:hAnsi="宋体" w:eastAsia="宋体" w:cs="Times New Roman"/>
          <w:color w:val="auto"/>
          <w:sz w:val="21"/>
          <w:szCs w:val="21"/>
          <w:highlight w:val="none"/>
        </w:rPr>
        <w:t>项目的竞标，为便于贵方公正、择优地确定成交供应商及其竞标产品和服务，我方就本次竞标有关事项郑重声明如下：</w:t>
      </w:r>
    </w:p>
    <w:p w14:paraId="219721F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1.我方向贵方提交的所有响应文件、资料都是准确的和真实的。</w:t>
      </w:r>
    </w:p>
    <w:p w14:paraId="001CC11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2.我方不是为本次采购项目提供整体设计、规范编制或者项目管理、监理、检测等服务的供应商。</w:t>
      </w:r>
    </w:p>
    <w:p w14:paraId="418DE2B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3.在此，我方宣布同意如下：</w:t>
      </w:r>
    </w:p>
    <w:p w14:paraId="1C28972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（1）将按磋商文件的约定履行合同责任和义务；</w:t>
      </w:r>
    </w:p>
    <w:p w14:paraId="5E57FD81">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（2）已详细审查全部磋商文件，包括澄清或者更正公告（如有）；</w:t>
      </w:r>
    </w:p>
    <w:p w14:paraId="7BD2DB2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（3）同意提供按照贵方可能要求的与磋商有关的一切数据或者资料；</w:t>
      </w:r>
    </w:p>
    <w:p w14:paraId="4155743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（4）响应磋商文件规定的竞标有效期。</w:t>
      </w:r>
    </w:p>
    <w:p w14:paraId="6342CD8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4.我方承诺符合《中华人民共和国政府采购法》第二十二条规定：</w:t>
      </w:r>
    </w:p>
    <w:p w14:paraId="3594BA8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（1）具有独立承担民事责任的能力；</w:t>
      </w:r>
    </w:p>
    <w:p w14:paraId="18B8F05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（2）具有良好的商业信誉和健全的财务会计制度；</w:t>
      </w:r>
    </w:p>
    <w:p w14:paraId="2205BE7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（3）具有履行合同所必需的设备和专业技术能力；</w:t>
      </w:r>
    </w:p>
    <w:p w14:paraId="7CC9F38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（4）有依法缴纳税收和社会保障资金的良好记录；</w:t>
      </w:r>
    </w:p>
    <w:p w14:paraId="1705474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（5）参加政府采购活动前三年内，在经营活动中没有重大违法记录；</w:t>
      </w:r>
    </w:p>
    <w:p w14:paraId="564B4E8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（6）法律、行政法规规定的其他条件。</w:t>
      </w:r>
    </w:p>
    <w:p w14:paraId="3F05520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C4CDAB1">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8D6AF8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□我方本次响应文件内容中未涉及商业秘密；</w:t>
      </w:r>
    </w:p>
    <w:p w14:paraId="2601366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□我方本次响应文件涉及商业秘密的内容有：</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025ABE68">
      <w:pPr>
        <w:spacing w:line="360" w:lineRule="auto"/>
        <w:ind w:firstLine="420" w:firstLineChars="200"/>
        <w:contextualSpacing/>
        <w:jc w:val="left"/>
        <w:rPr>
          <w:rFonts w:hint="eastAsia" w:ascii="宋体" w:hAnsi="宋体" w:eastAsia="宋体" w:cs="Times New Roman"/>
          <w:color w:val="auto"/>
          <w:sz w:val="21"/>
          <w:szCs w:val="21"/>
          <w:highlight w:val="none"/>
          <w:u w:val="single"/>
        </w:rPr>
      </w:pPr>
      <w:r>
        <w:rPr>
          <w:rFonts w:hint="eastAsia" w:ascii="宋体" w:hAnsi="宋体" w:eastAsia="宋体" w:cs="Times New Roman"/>
          <w:color w:val="auto"/>
          <w:sz w:val="21"/>
          <w:szCs w:val="21"/>
          <w:highlight w:val="none"/>
        </w:rPr>
        <w:t xml:space="preserve">7.与本磋商有关的一切正式往来信函请寄：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邮政编号： </w:t>
      </w:r>
      <w:r>
        <w:rPr>
          <w:rFonts w:hint="eastAsia" w:ascii="宋体" w:hAnsi="宋体" w:eastAsia="宋体" w:cs="Times New Roman"/>
          <w:color w:val="auto"/>
          <w:sz w:val="21"/>
          <w:szCs w:val="21"/>
          <w:highlight w:val="none"/>
          <w:u w:val="single"/>
        </w:rPr>
        <w:t xml:space="preserve">       </w:t>
      </w:r>
    </w:p>
    <w:p w14:paraId="0F62712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电话/传真：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电子</w:t>
      </w:r>
      <w:r>
        <w:rPr>
          <w:rFonts w:hint="eastAsia" w:ascii="宋体" w:hAnsi="宋体" w:eastAsia="宋体" w:cs="Times New Roman"/>
          <w:color w:val="auto"/>
          <w:sz w:val="21"/>
          <w:szCs w:val="21"/>
          <w:highlight w:val="none"/>
          <w:lang w:eastAsia="zh-CN"/>
        </w:rPr>
        <w:t>邮箱</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70DC24A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开户银行：</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r>
        <w:rPr>
          <w:rFonts w:hint="eastAsia" w:ascii="宋体" w:hAnsi="宋体" w:cs="Times New Roman"/>
          <w:color w:val="auto"/>
          <w:sz w:val="21"/>
          <w:szCs w:val="21"/>
          <w:highlight w:val="none"/>
          <w:lang w:val="en-US" w:eastAsia="zh-CN"/>
        </w:rPr>
        <w:t>账</w:t>
      </w:r>
      <w:r>
        <w:rPr>
          <w:rFonts w:hint="eastAsia" w:ascii="宋体" w:hAnsi="宋体" w:eastAsia="宋体" w:cs="Times New Roman"/>
          <w:color w:val="auto"/>
          <w:sz w:val="21"/>
          <w:szCs w:val="21"/>
          <w:highlight w:val="none"/>
        </w:rPr>
        <w:t xml:space="preserve">号：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66D01A5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8.以上事项如有虚假或者隐瞒，我方愿意承担一切后果，并不再寻求任何旨在减轻或者免除法律责任的辩解。</w:t>
      </w:r>
    </w:p>
    <w:p w14:paraId="321FDE2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特此承诺。</w:t>
      </w:r>
    </w:p>
    <w:p w14:paraId="20BCAE35">
      <w:pPr>
        <w:spacing w:line="360" w:lineRule="auto"/>
        <w:contextualSpacing/>
        <w:jc w:val="left"/>
        <w:rPr>
          <w:rFonts w:hint="eastAsia" w:ascii="宋体" w:hAnsi="宋体"/>
          <w:b/>
          <w:color w:val="auto"/>
          <w:sz w:val="22"/>
          <w:szCs w:val="22"/>
          <w:highlight w:val="none"/>
        </w:rPr>
      </w:pPr>
      <w:r>
        <w:rPr>
          <w:rFonts w:hint="eastAsia" w:ascii="宋体" w:hAnsi="宋体" w:cs="宋体"/>
          <w:b/>
          <w:color w:val="auto"/>
          <w:sz w:val="22"/>
          <w:szCs w:val="22"/>
          <w:highlight w:val="none"/>
        </w:rPr>
        <w:t>注：</w:t>
      </w:r>
      <w:r>
        <w:rPr>
          <w:rFonts w:hint="eastAsia" w:ascii="宋体" w:hAnsi="宋体"/>
          <w:b/>
          <w:color w:val="auto"/>
          <w:sz w:val="22"/>
          <w:szCs w:val="22"/>
          <w:highlight w:val="none"/>
        </w:rPr>
        <w:t>如为联合体竞标，盖章处须加盖联合体牵头人电子签章并由联合体牵头人法定代表人分别签字或者盖章或者电子签名，否则响应文件按无效处理。</w:t>
      </w:r>
    </w:p>
    <w:p w14:paraId="04CF17B7">
      <w:pPr>
        <w:spacing w:line="360" w:lineRule="auto"/>
        <w:contextualSpacing/>
        <w:jc w:val="left"/>
        <w:rPr>
          <w:rFonts w:hint="eastAsia" w:ascii="宋体" w:hAnsi="宋体" w:cs="宋体"/>
          <w:color w:val="auto"/>
          <w:sz w:val="20"/>
          <w:szCs w:val="20"/>
          <w:highlight w:val="none"/>
        </w:rPr>
      </w:pPr>
    </w:p>
    <w:p w14:paraId="6BB37476">
      <w:pPr>
        <w:spacing w:line="360" w:lineRule="auto"/>
        <w:ind w:firstLine="3990" w:firstLineChars="19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法定代表人（签字或者盖章或者电子签名）：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4F96FD59">
      <w:pPr>
        <w:spacing w:line="360" w:lineRule="auto"/>
        <w:ind w:firstLine="3990" w:firstLineChars="190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名称</w:t>
      </w:r>
      <w:r>
        <w:rPr>
          <w:rFonts w:hint="eastAsia" w:ascii="宋体" w:hAnsi="宋体" w:eastAsia="宋体" w:cs="宋体"/>
          <w:color w:val="auto"/>
          <w:sz w:val="21"/>
          <w:szCs w:val="21"/>
          <w:highlight w:val="none"/>
        </w:rPr>
        <w:t>（电子签章）：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54F5C38">
      <w:pPr>
        <w:pStyle w:val="14"/>
        <w:tabs>
          <w:tab w:val="left" w:pos="939"/>
        </w:tabs>
        <w:spacing w:line="360" w:lineRule="auto"/>
        <w:ind w:left="0" w:leftChars="0" w:firstLine="420" w:firstLineChars="200"/>
        <w:rPr>
          <w:rFonts w:hint="default" w:eastAsia="宋体"/>
          <w:color w:val="auto"/>
          <w:sz w:val="22"/>
          <w:szCs w:val="22"/>
          <w:highlight w:val="none"/>
          <w:lang w:val="en-US"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r>
        <w:rPr>
          <w:rFonts w:hint="eastAsia" w:ascii="宋体" w:hAnsi="宋体" w:cs="宋体"/>
          <w:color w:val="auto"/>
          <w:sz w:val="20"/>
          <w:szCs w:val="20"/>
          <w:highlight w:val="none"/>
        </w:rPr>
        <w:t xml:space="preserve">        </w:t>
      </w:r>
    </w:p>
    <w:p w14:paraId="735B8455">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21548DD6">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5CB1F8DB">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5B793CD7">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35488A82">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538A93E">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6F866E84">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1E5EC95B">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2C2EE9A">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102FF1CA">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0DDAA3D">
      <w:pPr>
        <w:pStyle w:val="35"/>
        <w:rPr>
          <w:rFonts w:hint="eastAsia" w:ascii="宋体" w:hAnsi="宋体" w:eastAsia="宋体" w:cs="宋体"/>
          <w:b/>
          <w:bCs/>
          <w:color w:val="auto"/>
          <w:sz w:val="28"/>
          <w:szCs w:val="28"/>
          <w:highlight w:val="none"/>
        </w:rPr>
      </w:pPr>
    </w:p>
    <w:p w14:paraId="1C8D3778">
      <w:pPr>
        <w:pStyle w:val="36"/>
        <w:rPr>
          <w:rFonts w:hint="eastAsia" w:ascii="宋体" w:hAnsi="宋体" w:eastAsia="宋体" w:cs="宋体"/>
          <w:b/>
          <w:bCs/>
          <w:color w:val="auto"/>
          <w:sz w:val="28"/>
          <w:szCs w:val="28"/>
          <w:highlight w:val="none"/>
        </w:rPr>
      </w:pPr>
    </w:p>
    <w:p w14:paraId="50A87772">
      <w:pPr>
        <w:rPr>
          <w:rFonts w:hint="eastAsia"/>
          <w:color w:val="auto"/>
        </w:rPr>
      </w:pPr>
    </w:p>
    <w:p w14:paraId="5168B2E6">
      <w:pPr>
        <w:pStyle w:val="35"/>
        <w:rPr>
          <w:rFonts w:hint="eastAsia"/>
          <w:color w:val="auto"/>
        </w:rPr>
      </w:pPr>
    </w:p>
    <w:p w14:paraId="516C2E09">
      <w:pPr>
        <w:pStyle w:val="36"/>
        <w:rPr>
          <w:rFonts w:hint="eastAsia"/>
          <w:color w:val="auto"/>
        </w:rPr>
      </w:pPr>
    </w:p>
    <w:p w14:paraId="504C2129">
      <w:pPr>
        <w:rPr>
          <w:rFonts w:hint="eastAsia"/>
          <w:color w:val="auto"/>
        </w:rPr>
      </w:pPr>
    </w:p>
    <w:p w14:paraId="4858666B">
      <w:pPr>
        <w:snapToGrid w:val="0"/>
        <w:spacing w:before="156" w:beforeLines="50" w:after="50"/>
        <w:ind w:right="480"/>
        <w:rPr>
          <w:rFonts w:hint="eastAsia" w:ascii="宋体" w:hAnsi="宋体" w:eastAsia="宋体" w:cs="宋体"/>
          <w:b/>
          <w:bCs/>
          <w:color w:val="auto"/>
          <w:sz w:val="28"/>
          <w:szCs w:val="28"/>
          <w:highlight w:val="none"/>
        </w:rPr>
      </w:pPr>
    </w:p>
    <w:p w14:paraId="51550A96">
      <w:pPr>
        <w:spacing w:line="520" w:lineRule="exact"/>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中小企业声明函</w:t>
      </w:r>
    </w:p>
    <w:p w14:paraId="4A9948F3">
      <w:pPr>
        <w:pStyle w:val="34"/>
        <w:rPr>
          <w:rFonts w:hint="eastAsia"/>
          <w:color w:val="auto"/>
        </w:rPr>
      </w:pPr>
    </w:p>
    <w:p w14:paraId="1E1A388D">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本公司郑重声明，根据《政府采购促进中小企业发展管理办法》（财库﹝2020﹞46 号）的规定，本公司参加</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（单位名称）</w:t>
      </w:r>
      <w:r>
        <w:rPr>
          <w:rFonts w:hint="eastAsia" w:ascii="宋体" w:hAnsi="宋体" w:eastAsia="宋体" w:cs="宋体"/>
          <w:color w:val="auto"/>
          <w:kern w:val="0"/>
          <w:sz w:val="21"/>
          <w:szCs w:val="21"/>
        </w:rPr>
        <w:t>的</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（项目名称）</w:t>
      </w:r>
      <w:r>
        <w:rPr>
          <w:rFonts w:hint="eastAsia" w:ascii="宋体" w:hAnsi="宋体" w:eastAsia="宋体" w:cs="宋体"/>
          <w:color w:val="auto"/>
          <w:kern w:val="0"/>
          <w:sz w:val="21"/>
          <w:szCs w:val="21"/>
        </w:rPr>
        <w:t>采购活动，</w:t>
      </w:r>
      <w:r>
        <w:rPr>
          <w:rFonts w:hint="eastAsia" w:ascii="宋体" w:hAnsi="宋体" w:cs="宋体"/>
          <w:color w:val="auto"/>
          <w:kern w:val="0"/>
          <w:sz w:val="21"/>
          <w:szCs w:val="21"/>
          <w:lang w:val="en-US" w:eastAsia="zh-CN"/>
        </w:rPr>
        <w:t>工程</w:t>
      </w:r>
      <w:r>
        <w:rPr>
          <w:rFonts w:hint="eastAsia" w:ascii="宋体" w:hAnsi="宋体" w:eastAsia="宋体" w:cs="宋体"/>
          <w:color w:val="auto"/>
          <w:kern w:val="0"/>
          <w:sz w:val="21"/>
          <w:szCs w:val="21"/>
        </w:rPr>
        <w:t>全部由符合政策要求的中小企业承接）。相关企业的具体情况如下：</w:t>
      </w:r>
    </w:p>
    <w:p w14:paraId="1190DEBA">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（标的名称） </w:t>
      </w:r>
      <w:r>
        <w:rPr>
          <w:rFonts w:hint="eastAsia" w:ascii="宋体" w:hAnsi="宋体" w:eastAsia="宋体" w:cs="宋体"/>
          <w:color w:val="auto"/>
          <w:kern w:val="0"/>
          <w:sz w:val="21"/>
          <w:szCs w:val="21"/>
        </w:rPr>
        <w:t>，属于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（采购文件中明确的所属行业）</w:t>
      </w:r>
      <w:r>
        <w:rPr>
          <w:rFonts w:hint="eastAsia" w:ascii="宋体" w:hAnsi="宋体" w:eastAsia="宋体" w:cs="宋体"/>
          <w:color w:val="auto"/>
          <w:kern w:val="0"/>
          <w:sz w:val="21"/>
          <w:szCs w:val="21"/>
        </w:rPr>
        <w:t>；承建（承接）企业为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（企业名称）</w:t>
      </w:r>
      <w:r>
        <w:rPr>
          <w:rFonts w:hint="eastAsia" w:ascii="宋体" w:hAnsi="宋体" w:eastAsia="宋体" w:cs="宋体"/>
          <w:color w:val="auto"/>
          <w:kern w:val="0"/>
          <w:sz w:val="21"/>
          <w:szCs w:val="21"/>
        </w:rPr>
        <w:t>，从业人员</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人，营业收入为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万元，资产总额为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万元</w:t>
      </w:r>
      <w:r>
        <w:rPr>
          <w:rFonts w:hint="eastAsia" w:ascii="宋体" w:hAnsi="宋体" w:eastAsia="宋体" w:cs="宋体"/>
          <w:color w:val="auto"/>
          <w:kern w:val="0"/>
          <w:sz w:val="21"/>
          <w:szCs w:val="21"/>
          <w:vertAlign w:val="superscript"/>
        </w:rPr>
        <w:t>1</w:t>
      </w:r>
      <w:r>
        <w:rPr>
          <w:rFonts w:hint="eastAsia" w:ascii="宋体" w:hAnsi="宋体" w:eastAsia="宋体" w:cs="宋体"/>
          <w:color w:val="auto"/>
          <w:kern w:val="0"/>
          <w:sz w:val="21"/>
          <w:szCs w:val="21"/>
        </w:rPr>
        <w:t>，属于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（中型企业、小型企业、微型企业）</w:t>
      </w:r>
      <w:r>
        <w:rPr>
          <w:rFonts w:hint="eastAsia" w:ascii="宋体" w:hAnsi="宋体" w:eastAsia="宋体" w:cs="宋体"/>
          <w:color w:val="auto"/>
          <w:kern w:val="0"/>
          <w:sz w:val="21"/>
          <w:szCs w:val="21"/>
        </w:rPr>
        <w:t>；</w:t>
      </w:r>
    </w:p>
    <w:p w14:paraId="651F1096">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（标的名称）</w:t>
      </w:r>
      <w:r>
        <w:rPr>
          <w:rFonts w:hint="eastAsia" w:ascii="宋体" w:hAnsi="宋体" w:eastAsia="宋体" w:cs="宋体"/>
          <w:color w:val="auto"/>
          <w:kern w:val="0"/>
          <w:sz w:val="21"/>
          <w:szCs w:val="21"/>
        </w:rPr>
        <w:t xml:space="preserve"> ，属于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（采购文件中明确的所属行业）</w:t>
      </w:r>
      <w:r>
        <w:rPr>
          <w:rFonts w:hint="eastAsia" w:ascii="宋体" w:hAnsi="宋体" w:eastAsia="宋体" w:cs="宋体"/>
          <w:color w:val="auto"/>
          <w:kern w:val="0"/>
          <w:sz w:val="21"/>
          <w:szCs w:val="21"/>
        </w:rPr>
        <w:t>；承建（承接）企业为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（企业名称）</w:t>
      </w:r>
      <w:r>
        <w:rPr>
          <w:rFonts w:hint="eastAsia" w:ascii="宋体" w:hAnsi="宋体" w:eastAsia="宋体" w:cs="宋体"/>
          <w:color w:val="auto"/>
          <w:kern w:val="0"/>
          <w:sz w:val="21"/>
          <w:szCs w:val="21"/>
        </w:rPr>
        <w:t>，从业人员</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人，营业收入为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万元，资产总额为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万元，属于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（中型企业、小型企业、微型企业）</w:t>
      </w:r>
      <w:r>
        <w:rPr>
          <w:rFonts w:hint="eastAsia" w:ascii="宋体" w:hAnsi="宋体" w:eastAsia="宋体" w:cs="宋体"/>
          <w:color w:val="auto"/>
          <w:kern w:val="0"/>
          <w:sz w:val="21"/>
          <w:szCs w:val="21"/>
        </w:rPr>
        <w:t>；</w:t>
      </w:r>
    </w:p>
    <w:p w14:paraId="6F64FCDD">
      <w:pPr>
        <w:pStyle w:val="34"/>
        <w:rPr>
          <w:rFonts w:hint="eastAsia"/>
          <w:color w:val="auto"/>
        </w:rPr>
      </w:pPr>
    </w:p>
    <w:p w14:paraId="3D233064">
      <w:pPr>
        <w:keepNext w:val="0"/>
        <w:keepLines w:val="0"/>
        <w:pageBreakBefore w:val="0"/>
        <w:widowControl/>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以上企业，不属于大企业的分支机构，不存在控股股东为大企业的情形，也不存在与大企业的负责人为同一人的情形。</w:t>
      </w:r>
    </w:p>
    <w:p w14:paraId="282EF38A">
      <w:pPr>
        <w:keepNext w:val="0"/>
        <w:keepLines w:val="0"/>
        <w:pageBreakBefore w:val="0"/>
        <w:widowControl/>
        <w:kinsoku/>
        <w:wordWrap/>
        <w:overflowPunct/>
        <w:topLinePunct w:val="0"/>
        <w:autoSpaceDE/>
        <w:autoSpaceDN/>
        <w:bidi w:val="0"/>
        <w:adjustRightInd/>
        <w:snapToGrid/>
        <w:spacing w:line="500" w:lineRule="exact"/>
        <w:ind w:firstLine="420"/>
        <w:textAlignment w:val="auto"/>
        <w:rPr>
          <w:rFonts w:hint="eastAsia"/>
          <w:color w:val="auto"/>
        </w:rPr>
      </w:pPr>
      <w:r>
        <w:rPr>
          <w:rFonts w:hint="eastAsia" w:ascii="宋体" w:hAnsi="宋体" w:eastAsia="宋体" w:cs="宋体"/>
          <w:color w:val="auto"/>
          <w:kern w:val="0"/>
          <w:szCs w:val="21"/>
        </w:rPr>
        <w:t xml:space="preserve">本企业对上述声明内容的真实性负责。如有虚假，将依法承担相应责任。  </w:t>
      </w:r>
    </w:p>
    <w:p w14:paraId="3D0504EB">
      <w:pPr>
        <w:widowControl/>
        <w:spacing w:line="400" w:lineRule="atLeast"/>
        <w:ind w:firstLine="420"/>
        <w:rPr>
          <w:rFonts w:hint="eastAsia" w:ascii="宋体" w:hAnsi="宋体" w:eastAsia="宋体" w:cs="宋体"/>
          <w:color w:val="auto"/>
          <w:kern w:val="0"/>
          <w:szCs w:val="21"/>
        </w:rPr>
      </w:pPr>
      <w:r>
        <w:rPr>
          <w:rFonts w:hint="eastAsia" w:ascii="宋体" w:hAnsi="宋体" w:eastAsia="宋体" w:cs="宋体"/>
          <w:color w:val="auto"/>
          <w:kern w:val="0"/>
          <w:szCs w:val="21"/>
        </w:rPr>
        <w:t> </w:t>
      </w:r>
      <w:r>
        <w:rPr>
          <w:rFonts w:hint="eastAsia" w:ascii="宋体" w:hAnsi="宋体" w:cs="宋体"/>
          <w:color w:val="auto"/>
          <w:kern w:val="0"/>
          <w:szCs w:val="21"/>
          <w:lang w:eastAsia="zh-CN"/>
        </w:rPr>
        <w:t>注</w:t>
      </w:r>
      <w:r>
        <w:rPr>
          <w:rFonts w:hint="eastAsia" w:ascii="宋体" w:hAnsi="宋体" w:eastAsia="宋体" w:cs="宋体"/>
          <w:color w:val="auto"/>
          <w:kern w:val="0"/>
          <w:szCs w:val="21"/>
        </w:rPr>
        <w:t>1</w:t>
      </w:r>
      <w:r>
        <w:rPr>
          <w:rFonts w:hint="eastAsia" w:ascii="宋体" w:hAnsi="宋体" w:cs="宋体"/>
          <w:color w:val="auto"/>
          <w:kern w:val="0"/>
          <w:szCs w:val="21"/>
          <w:lang w:eastAsia="zh-CN"/>
        </w:rPr>
        <w:t>：</w:t>
      </w:r>
      <w:r>
        <w:rPr>
          <w:rFonts w:hint="eastAsia" w:ascii="宋体" w:hAnsi="宋体" w:eastAsia="宋体" w:cs="宋体"/>
          <w:color w:val="auto"/>
          <w:kern w:val="0"/>
          <w:szCs w:val="21"/>
        </w:rPr>
        <w:t>从业人员、营业收入、资产总额填报上一年度数据，无上一年度数据的新成立企业可不填报。</w:t>
      </w:r>
    </w:p>
    <w:p w14:paraId="0ADF51A6">
      <w:pPr>
        <w:pStyle w:val="13"/>
        <w:spacing w:line="360" w:lineRule="auto"/>
        <w:ind w:firstLine="0" w:firstLineChars="0"/>
        <w:jc w:val="both"/>
        <w:rPr>
          <w:rFonts w:hint="eastAsia" w:asciiTheme="minorEastAsia" w:hAnsiTheme="minorEastAsia" w:eastAsiaTheme="minorEastAsia" w:cstheme="minorEastAsia"/>
          <w:color w:val="auto"/>
          <w:kern w:val="2"/>
          <w:sz w:val="21"/>
          <w:szCs w:val="21"/>
          <w:lang w:val="en-US" w:eastAsia="zh-CN"/>
        </w:rPr>
      </w:pPr>
    </w:p>
    <w:p w14:paraId="22520787">
      <w:pPr>
        <w:spacing w:line="360" w:lineRule="auto"/>
        <w:ind w:firstLine="4200" w:firstLineChars="2000"/>
        <w:jc w:val="left"/>
        <w:rPr>
          <w:rFonts w:hint="eastAsia" w:ascii="宋体" w:hAnsi="宋体" w:eastAsia="宋体" w:cs="宋体"/>
          <w:color w:val="auto"/>
          <w:u w:val="single"/>
        </w:rPr>
      </w:pPr>
      <w:r>
        <w:rPr>
          <w:rFonts w:hint="eastAsia" w:asciiTheme="minorEastAsia" w:hAnsiTheme="minorEastAsia" w:eastAsiaTheme="minorEastAsia" w:cstheme="minorEastAsia"/>
          <w:color w:val="auto"/>
          <w:kern w:val="2"/>
          <w:sz w:val="21"/>
          <w:szCs w:val="21"/>
          <w:lang w:val="en-US" w:eastAsia="zh-CN"/>
        </w:rPr>
        <w:t xml:space="preserve">   </w:t>
      </w:r>
      <w:r>
        <w:rPr>
          <w:rFonts w:ascii="宋体" w:hAnsi="宋体"/>
          <w:color w:val="auto"/>
          <w:sz w:val="21"/>
          <w:szCs w:val="21"/>
          <w:highlight w:val="none"/>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6461276B">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30AD833B">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p>
    <w:p w14:paraId="0405920F">
      <w:pPr>
        <w:spacing w:line="360" w:lineRule="auto"/>
        <w:rPr>
          <w:rFonts w:hint="eastAsia" w:ascii="宋体" w:hAnsi="宋体" w:cs="仿宋_GB2312"/>
          <w:color w:val="auto"/>
          <w:sz w:val="24"/>
        </w:rPr>
      </w:pPr>
    </w:p>
    <w:p w14:paraId="1284D275">
      <w:pPr>
        <w:spacing w:line="360" w:lineRule="auto"/>
        <w:rPr>
          <w:rFonts w:hint="eastAsia" w:ascii="仿宋_GB2312" w:hAnsi="仿宋_GB2312" w:eastAsia="仿宋_GB2312" w:cs="仿宋_GB2312"/>
          <w:color w:val="auto"/>
          <w:sz w:val="21"/>
          <w:szCs w:val="21"/>
        </w:rPr>
      </w:pPr>
      <w:r>
        <w:rPr>
          <w:rFonts w:hint="eastAsia" w:ascii="宋体" w:hAnsi="宋体" w:cs="仿宋_GB2312"/>
          <w:color w:val="auto"/>
          <w:sz w:val="21"/>
          <w:szCs w:val="21"/>
        </w:rPr>
        <w:t>注：请根据自己的真实情况出具《中小企业声明函》。依法享受中小企业优惠政策的，采购人或者采购代理机构在公告</w:t>
      </w:r>
      <w:r>
        <w:rPr>
          <w:rFonts w:hint="eastAsia" w:ascii="宋体" w:hAnsi="宋体" w:cs="仿宋_GB2312"/>
          <w:color w:val="auto"/>
          <w:sz w:val="21"/>
          <w:szCs w:val="21"/>
          <w:lang w:eastAsia="zh-CN"/>
        </w:rPr>
        <w:t>成交</w:t>
      </w:r>
      <w:r>
        <w:rPr>
          <w:rFonts w:hint="eastAsia" w:ascii="宋体" w:hAnsi="宋体" w:cs="仿宋_GB2312"/>
          <w:color w:val="auto"/>
          <w:sz w:val="21"/>
          <w:szCs w:val="21"/>
        </w:rPr>
        <w:t>结果时，同时公告其《中小企业声明函》，接受社会监督。</w:t>
      </w:r>
    </w:p>
    <w:p w14:paraId="002BB56B">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sectPr>
          <w:footnotePr>
            <w:numFmt w:val="decimal"/>
          </w:footnotePr>
          <w:pgSz w:w="11905" w:h="16838"/>
          <w:pgMar w:top="1134" w:right="1134" w:bottom="1134" w:left="1134" w:header="720" w:footer="720" w:gutter="0"/>
          <w:pgNumType w:fmt="decimal"/>
          <w:cols w:space="720" w:num="1"/>
          <w:rtlGutter w:val="0"/>
          <w:docGrid w:type="lines" w:linePitch="332" w:charSpace="0"/>
        </w:sectPr>
      </w:pPr>
    </w:p>
    <w:p w14:paraId="4E040D3A">
      <w:pPr>
        <w:pStyle w:val="13"/>
        <w:spacing w:line="360" w:lineRule="auto"/>
        <w:ind w:firstLine="0" w:firstLineChars="0"/>
        <w:jc w:val="both"/>
        <w:rPr>
          <w:rFonts w:hint="eastAsia" w:asciiTheme="minorEastAsia" w:hAnsiTheme="minorEastAsia" w:eastAsiaTheme="minorEastAsia" w:cstheme="minorEastAsia"/>
          <w:color w:val="auto"/>
          <w:kern w:val="2"/>
          <w:sz w:val="21"/>
          <w:szCs w:val="21"/>
          <w:lang w:val="en-US" w:eastAsia="zh-CN"/>
        </w:rPr>
      </w:pPr>
    </w:p>
    <w:p w14:paraId="0B7AEC1E">
      <w:pPr>
        <w:spacing w:line="520" w:lineRule="exact"/>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残疾人福利性单位声明函</w:t>
      </w:r>
    </w:p>
    <w:p w14:paraId="30F5FD4F">
      <w:pPr>
        <w:spacing w:line="520" w:lineRule="exact"/>
        <w:rPr>
          <w:rFonts w:hint="eastAsia" w:ascii="仿宋_GB2312" w:hAnsi="仿宋_GB2312" w:eastAsia="仿宋_GB2312" w:cs="仿宋_GB2312"/>
          <w:color w:val="auto"/>
          <w:sz w:val="32"/>
          <w:szCs w:val="32"/>
        </w:rPr>
      </w:pPr>
    </w:p>
    <w:p w14:paraId="1BDAC280">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单位的</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项目采购活动提供本单位制造的货物（由本单位承担工程/提供服务），或者提供其他残疾人福利性单位制造的货物（不包括使用非残疾人福利性单位注册商标的货物）。</w:t>
      </w:r>
    </w:p>
    <w:p w14:paraId="7CD35CF3">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本单位对上述声明的真实性负责。如有虚假，将依法承担相应责任。</w:t>
      </w:r>
    </w:p>
    <w:p w14:paraId="66454C86">
      <w:pPr>
        <w:spacing w:line="360" w:lineRule="auto"/>
        <w:rPr>
          <w:rFonts w:hint="eastAsia" w:asciiTheme="minorEastAsia" w:hAnsiTheme="minorEastAsia" w:eastAsiaTheme="minorEastAsia" w:cstheme="minorEastAsia"/>
          <w:color w:val="auto"/>
          <w:sz w:val="21"/>
          <w:szCs w:val="21"/>
        </w:rPr>
      </w:pPr>
    </w:p>
    <w:p w14:paraId="724F2DB7">
      <w:pPr>
        <w:spacing w:line="360" w:lineRule="auto"/>
        <w:rPr>
          <w:rFonts w:hint="eastAsia" w:asciiTheme="minorEastAsia" w:hAnsiTheme="minorEastAsia" w:eastAsiaTheme="minorEastAsia" w:cstheme="minorEastAsia"/>
          <w:color w:val="auto"/>
          <w:sz w:val="21"/>
          <w:szCs w:val="21"/>
        </w:rPr>
      </w:pPr>
    </w:p>
    <w:p w14:paraId="656E9842">
      <w:pPr>
        <w:spacing w:line="360" w:lineRule="auto"/>
        <w:rPr>
          <w:rFonts w:hint="eastAsia" w:asciiTheme="minorEastAsia" w:hAnsiTheme="minorEastAsia" w:eastAsiaTheme="minorEastAsia" w:cstheme="minorEastAsia"/>
          <w:color w:val="auto"/>
          <w:sz w:val="21"/>
          <w:szCs w:val="21"/>
        </w:rPr>
      </w:pPr>
    </w:p>
    <w:p w14:paraId="43DD1D06">
      <w:pPr>
        <w:spacing w:line="360" w:lineRule="auto"/>
        <w:ind w:firstLine="4200" w:firstLineChars="2000"/>
        <w:jc w:val="left"/>
        <w:rPr>
          <w:rFonts w:hint="eastAsia" w:ascii="宋体" w:hAnsi="宋体" w:eastAsia="宋体" w:cs="宋体"/>
          <w:color w:val="auto"/>
          <w:u w:val="single"/>
        </w:rPr>
      </w:pP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234463FF">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12994726">
      <w:pPr>
        <w:pStyle w:val="13"/>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p w14:paraId="548984D3">
      <w:pPr>
        <w:spacing w:line="360" w:lineRule="auto"/>
        <w:rPr>
          <w:rFonts w:hint="eastAsia" w:asciiTheme="minorEastAsia" w:hAnsiTheme="minorEastAsia" w:eastAsiaTheme="minorEastAsia" w:cstheme="minorEastAsia"/>
          <w:color w:val="auto"/>
          <w:sz w:val="21"/>
          <w:szCs w:val="21"/>
        </w:rPr>
      </w:pPr>
    </w:p>
    <w:p w14:paraId="66329661">
      <w:pPr>
        <w:spacing w:line="360" w:lineRule="auto"/>
        <w:rPr>
          <w:rFonts w:hint="eastAsia" w:asciiTheme="minorEastAsia" w:hAnsiTheme="minorEastAsia" w:eastAsiaTheme="minorEastAsia" w:cstheme="minorEastAsia"/>
          <w:color w:val="auto"/>
          <w:sz w:val="21"/>
          <w:szCs w:val="21"/>
        </w:rPr>
      </w:pPr>
    </w:p>
    <w:p w14:paraId="57EE05F4">
      <w:p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注：请根据自己的真实情况出具《残疾人福利性单位声明函》。依法享受中小企业优惠政策的，采购人或者采购代理机构在公告中标结果时，同时公告其《残疾人福利性单位声明函》，接受社会监督。</w:t>
      </w:r>
    </w:p>
    <w:p w14:paraId="59F1C6B8">
      <w:pPr>
        <w:pStyle w:val="22"/>
        <w:rPr>
          <w:rFonts w:hint="eastAsia" w:ascii="宋体" w:hAnsi="宋体" w:eastAsia="宋体" w:cs="宋体"/>
          <w:bCs/>
          <w:color w:val="auto"/>
          <w:sz w:val="40"/>
          <w:szCs w:val="40"/>
          <w:highlight w:val="none"/>
        </w:rPr>
      </w:pPr>
      <w:r>
        <w:rPr>
          <w:rFonts w:hint="eastAsia" w:asciiTheme="minorEastAsia" w:hAnsiTheme="minorEastAsia" w:eastAsiaTheme="minorEastAsia" w:cstheme="minorEastAsia"/>
          <w:color w:val="auto"/>
          <w:sz w:val="21"/>
          <w:szCs w:val="21"/>
        </w:rPr>
        <w:br w:type="page"/>
      </w:r>
    </w:p>
    <w:p w14:paraId="74D2C3AC">
      <w:pPr>
        <w:spacing w:line="360" w:lineRule="auto"/>
        <w:ind w:right="420"/>
        <w:contextualSpacing/>
        <w:jc w:val="left"/>
        <w:rPr>
          <w:rFonts w:hint="eastAsia" w:ascii="宋体" w:hAnsi="宋体"/>
          <w:b/>
          <w:bCs/>
          <w:color w:val="auto"/>
          <w:sz w:val="28"/>
          <w:szCs w:val="28"/>
          <w:highlight w:val="none"/>
        </w:rPr>
      </w:pPr>
    </w:p>
    <w:p w14:paraId="37AE6B76">
      <w:pPr>
        <w:spacing w:line="360" w:lineRule="auto"/>
        <w:ind w:right="420"/>
        <w:contextualSpacing/>
        <w:jc w:val="left"/>
        <w:rPr>
          <w:rFonts w:ascii="宋体" w:hAnsi="宋体"/>
          <w:b/>
          <w:color w:val="auto"/>
          <w:sz w:val="28"/>
          <w:szCs w:val="28"/>
          <w:highlight w:val="none"/>
        </w:rPr>
      </w:pPr>
      <w:r>
        <w:rPr>
          <w:rFonts w:hint="eastAsia" w:ascii="宋体" w:hAnsi="宋体"/>
          <w:b/>
          <w:bCs/>
          <w:color w:val="auto"/>
          <w:sz w:val="28"/>
          <w:szCs w:val="28"/>
          <w:highlight w:val="none"/>
        </w:rPr>
        <w:t>二、</w:t>
      </w:r>
      <w:r>
        <w:rPr>
          <w:rFonts w:hint="eastAsia" w:ascii="宋体" w:hAnsi="宋体"/>
          <w:b/>
          <w:color w:val="auto"/>
          <w:sz w:val="28"/>
          <w:szCs w:val="28"/>
          <w:highlight w:val="none"/>
        </w:rPr>
        <w:t xml:space="preserve">报价文件格式 </w:t>
      </w:r>
    </w:p>
    <w:p w14:paraId="0426920C">
      <w:pPr>
        <w:spacing w:line="360" w:lineRule="auto"/>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1.报价文件封面格式</w:t>
      </w:r>
    </w:p>
    <w:p w14:paraId="06B574C3">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15F03370">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74F936FA">
      <w:pPr>
        <w:snapToGrid w:val="0"/>
        <w:spacing w:before="156" w:beforeLines="50" w:after="50"/>
        <w:rPr>
          <w:rFonts w:hint="eastAsia" w:ascii="宋体" w:hAnsi="宋体"/>
          <w:color w:val="auto"/>
          <w:sz w:val="22"/>
          <w:szCs w:val="18"/>
          <w:highlight w:val="none"/>
        </w:rPr>
      </w:pPr>
    </w:p>
    <w:p w14:paraId="389DF715">
      <w:pPr>
        <w:snapToGrid w:val="0"/>
        <w:spacing w:before="156" w:beforeLines="50" w:after="50"/>
        <w:rPr>
          <w:rFonts w:hint="eastAsia" w:ascii="宋体" w:hAnsi="宋体"/>
          <w:color w:val="auto"/>
          <w:sz w:val="22"/>
          <w:szCs w:val="18"/>
          <w:highlight w:val="none"/>
        </w:rPr>
      </w:pPr>
    </w:p>
    <w:p w14:paraId="27A876EC">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报  价  文  件</w:t>
      </w:r>
    </w:p>
    <w:p w14:paraId="18F132EF">
      <w:pPr>
        <w:snapToGrid w:val="0"/>
        <w:spacing w:before="156" w:beforeLines="50" w:after="50"/>
        <w:rPr>
          <w:rFonts w:hint="eastAsia" w:ascii="宋体" w:hAnsi="宋体"/>
          <w:bCs/>
          <w:color w:val="auto"/>
          <w:sz w:val="22"/>
          <w:szCs w:val="18"/>
          <w:highlight w:val="none"/>
        </w:rPr>
      </w:pPr>
    </w:p>
    <w:p w14:paraId="2BB6426B">
      <w:pPr>
        <w:snapToGrid w:val="0"/>
        <w:spacing w:before="156" w:beforeLines="50" w:after="50"/>
        <w:rPr>
          <w:rFonts w:hint="eastAsia" w:ascii="宋体" w:hAnsi="宋体"/>
          <w:bCs/>
          <w:color w:val="auto"/>
          <w:sz w:val="22"/>
          <w:szCs w:val="18"/>
          <w:highlight w:val="none"/>
        </w:rPr>
      </w:pPr>
    </w:p>
    <w:p w14:paraId="7E3EA3B8">
      <w:pPr>
        <w:snapToGrid w:val="0"/>
        <w:spacing w:before="156" w:beforeLines="50" w:after="50"/>
        <w:rPr>
          <w:rFonts w:hint="eastAsia" w:ascii="宋体" w:hAnsi="宋体"/>
          <w:bCs/>
          <w:color w:val="auto"/>
          <w:sz w:val="22"/>
          <w:szCs w:val="18"/>
          <w:highlight w:val="none"/>
        </w:rPr>
      </w:pPr>
    </w:p>
    <w:p w14:paraId="1FC2C5CA">
      <w:pPr>
        <w:snapToGrid w:val="0"/>
        <w:spacing w:before="156" w:beforeLines="50" w:after="50"/>
        <w:rPr>
          <w:rFonts w:hint="eastAsia" w:ascii="宋体" w:hAnsi="宋体"/>
          <w:bCs/>
          <w:color w:val="auto"/>
          <w:sz w:val="22"/>
          <w:szCs w:val="18"/>
          <w:highlight w:val="none"/>
        </w:rPr>
      </w:pPr>
    </w:p>
    <w:p w14:paraId="35547FA7">
      <w:pPr>
        <w:snapToGrid w:val="0"/>
        <w:spacing w:before="156" w:beforeLines="50" w:after="50"/>
        <w:rPr>
          <w:rFonts w:hint="eastAsia" w:ascii="宋体" w:hAnsi="宋体"/>
          <w:bCs/>
          <w:color w:val="auto"/>
          <w:sz w:val="22"/>
          <w:szCs w:val="18"/>
          <w:highlight w:val="none"/>
        </w:rPr>
      </w:pPr>
    </w:p>
    <w:p w14:paraId="5839181B">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DB33BD6">
      <w:pPr>
        <w:snapToGrid w:val="0"/>
        <w:spacing w:before="156" w:beforeLines="50" w:after="50"/>
        <w:ind w:firstLine="630" w:firstLineChars="225"/>
        <w:rPr>
          <w:rFonts w:hint="eastAsia" w:ascii="宋体" w:hAnsi="宋体" w:cs="仿宋_GB2312"/>
          <w:bCs/>
          <w:color w:val="auto"/>
          <w:sz w:val="28"/>
          <w:szCs w:val="28"/>
          <w:highlight w:val="none"/>
        </w:rPr>
      </w:pPr>
    </w:p>
    <w:p w14:paraId="24AAF9D1">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3184DA12">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3D75638A">
      <w:pPr>
        <w:pStyle w:val="9"/>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584449C8">
      <w:pPr>
        <w:pStyle w:val="9"/>
        <w:snapToGrid w:val="0"/>
        <w:spacing w:before="50" w:after="50"/>
        <w:ind w:firstLine="560" w:firstLineChars="200"/>
        <w:rPr>
          <w:rFonts w:hint="eastAsia" w:ascii="宋体" w:hAnsi="宋体" w:cs="仿宋_GB2312"/>
          <w:bCs/>
          <w:color w:val="auto"/>
          <w:sz w:val="28"/>
          <w:szCs w:val="28"/>
          <w:highlight w:val="none"/>
        </w:rPr>
      </w:pPr>
    </w:p>
    <w:p w14:paraId="5FE4E99C">
      <w:pPr>
        <w:pStyle w:val="9"/>
        <w:snapToGrid w:val="0"/>
        <w:spacing w:before="50" w:after="50"/>
        <w:ind w:firstLine="630" w:firstLineChars="225"/>
        <w:rPr>
          <w:rFonts w:hint="eastAsia" w:ascii="宋体" w:hAnsi="宋体" w:cs="仿宋_GB2312"/>
          <w:bCs/>
          <w:color w:val="auto"/>
          <w:sz w:val="28"/>
          <w:szCs w:val="28"/>
          <w:highlight w:val="none"/>
        </w:rPr>
      </w:pPr>
    </w:p>
    <w:p w14:paraId="5B5302A8">
      <w:pPr>
        <w:pStyle w:val="9"/>
        <w:snapToGrid w:val="0"/>
        <w:spacing w:before="50" w:after="50"/>
        <w:ind w:firstLine="0"/>
        <w:rPr>
          <w:rFonts w:hint="eastAsia" w:ascii="宋体" w:hAnsi="宋体" w:cs="仿宋_GB2312"/>
          <w:bCs/>
          <w:color w:val="auto"/>
          <w:sz w:val="28"/>
          <w:szCs w:val="28"/>
          <w:highlight w:val="none"/>
        </w:rPr>
      </w:pPr>
    </w:p>
    <w:p w14:paraId="3AD9259A">
      <w:pPr>
        <w:pStyle w:val="9"/>
        <w:snapToGrid w:val="0"/>
        <w:spacing w:before="50" w:after="50"/>
        <w:ind w:firstLine="1120" w:firstLineChars="400"/>
        <w:rPr>
          <w:rFonts w:hint="eastAsia" w:ascii="宋体" w:hAnsi="宋体" w:cs="仿宋_GB2312"/>
          <w:bCs/>
          <w:color w:val="auto"/>
          <w:sz w:val="28"/>
          <w:szCs w:val="28"/>
          <w:highlight w:val="none"/>
        </w:rPr>
      </w:pPr>
    </w:p>
    <w:p w14:paraId="3DEA8B38">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5A052F25">
      <w:pPr>
        <w:snapToGrid w:val="0"/>
        <w:spacing w:before="156" w:beforeLines="50" w:after="50" w:line="360" w:lineRule="auto"/>
        <w:ind w:left="142"/>
        <w:jc w:val="left"/>
        <w:rPr>
          <w:rFonts w:hint="eastAsia" w:ascii="宋体" w:hAnsi="宋体"/>
          <w:b/>
          <w:bCs/>
          <w:color w:val="auto"/>
          <w:sz w:val="22"/>
          <w:szCs w:val="22"/>
          <w:highlight w:val="none"/>
        </w:rPr>
      </w:pPr>
      <w:r>
        <w:rPr>
          <w:rFonts w:hint="eastAsia" w:ascii="宋体" w:hAnsi="宋体"/>
          <w:color w:val="auto"/>
          <w:sz w:val="20"/>
          <w:szCs w:val="20"/>
          <w:highlight w:val="none"/>
        </w:rPr>
        <w:br w:type="page"/>
      </w:r>
      <w:r>
        <w:rPr>
          <w:rFonts w:hint="eastAsia" w:ascii="宋体" w:hAnsi="宋体"/>
          <w:b/>
          <w:bCs/>
          <w:color w:val="auto"/>
          <w:sz w:val="28"/>
          <w:szCs w:val="28"/>
          <w:highlight w:val="none"/>
        </w:rPr>
        <w:t>2.报价文件目录</w:t>
      </w:r>
    </w:p>
    <w:p w14:paraId="0A1D2600">
      <w:pPr>
        <w:pStyle w:val="35"/>
        <w:numPr>
          <w:ilvl w:val="0"/>
          <w:numId w:val="0"/>
        </w:numPr>
        <w:rPr>
          <w:rFonts w:hint="default"/>
          <w:color w:val="auto"/>
          <w:lang w:val="en-US" w:eastAsia="zh-CN"/>
        </w:rPr>
      </w:pPr>
      <w:r>
        <w:rPr>
          <w:rFonts w:hint="eastAsia"/>
          <w:color w:val="auto"/>
          <w:lang w:val="en-US" w:eastAsia="zh-CN"/>
        </w:rPr>
        <w:t>根据《供应商须知前附表》第12.1.2要求编制</w:t>
      </w:r>
    </w:p>
    <w:p w14:paraId="2B520C3C">
      <w:pPr>
        <w:spacing w:line="520" w:lineRule="exact"/>
        <w:jc w:val="center"/>
        <w:rPr>
          <w:rFonts w:hint="eastAsia" w:ascii="方正小标宋简体" w:hAnsi="方正小标宋简体" w:eastAsia="方正小标宋简体" w:cs="方正小标宋简体"/>
          <w:color w:val="auto"/>
          <w:sz w:val="44"/>
          <w:szCs w:val="44"/>
          <w:highlight w:val="none"/>
        </w:rPr>
      </w:pPr>
    </w:p>
    <w:p w14:paraId="7C04D23C">
      <w:pPr>
        <w:spacing w:line="520" w:lineRule="exact"/>
        <w:jc w:val="center"/>
        <w:rPr>
          <w:rFonts w:hint="eastAsia" w:ascii="方正小标宋简体" w:hAnsi="方正小标宋简体" w:eastAsia="方正小标宋简体" w:cs="方正小标宋简体"/>
          <w:color w:val="auto"/>
          <w:sz w:val="44"/>
          <w:szCs w:val="44"/>
          <w:highlight w:val="none"/>
        </w:rPr>
      </w:pPr>
    </w:p>
    <w:p w14:paraId="44069FED">
      <w:pPr>
        <w:spacing w:line="520" w:lineRule="exact"/>
        <w:jc w:val="center"/>
        <w:rPr>
          <w:rFonts w:hint="eastAsia" w:ascii="方正小标宋简体" w:hAnsi="方正小标宋简体" w:eastAsia="方正小标宋简体" w:cs="方正小标宋简体"/>
          <w:color w:val="auto"/>
          <w:sz w:val="44"/>
          <w:szCs w:val="44"/>
          <w:highlight w:val="none"/>
        </w:rPr>
      </w:pPr>
    </w:p>
    <w:p w14:paraId="28ECACE3">
      <w:pPr>
        <w:spacing w:line="520" w:lineRule="exact"/>
        <w:jc w:val="center"/>
        <w:rPr>
          <w:rFonts w:hint="eastAsia" w:ascii="方正小标宋简体" w:hAnsi="方正小标宋简体" w:eastAsia="方正小标宋简体" w:cs="方正小标宋简体"/>
          <w:color w:val="auto"/>
          <w:sz w:val="44"/>
          <w:szCs w:val="44"/>
          <w:highlight w:val="none"/>
        </w:rPr>
      </w:pPr>
    </w:p>
    <w:p w14:paraId="7210A5E8">
      <w:pPr>
        <w:spacing w:line="520" w:lineRule="exact"/>
        <w:jc w:val="center"/>
        <w:rPr>
          <w:rFonts w:hint="eastAsia" w:ascii="方正小标宋简体" w:hAnsi="方正小标宋简体" w:eastAsia="方正小标宋简体" w:cs="方正小标宋简体"/>
          <w:color w:val="auto"/>
          <w:sz w:val="44"/>
          <w:szCs w:val="44"/>
          <w:highlight w:val="none"/>
        </w:rPr>
      </w:pPr>
    </w:p>
    <w:p w14:paraId="57A751F7">
      <w:pPr>
        <w:spacing w:line="520" w:lineRule="exact"/>
        <w:jc w:val="center"/>
        <w:rPr>
          <w:rFonts w:hint="eastAsia" w:ascii="方正小标宋简体" w:hAnsi="方正小标宋简体" w:eastAsia="方正小标宋简体" w:cs="方正小标宋简体"/>
          <w:color w:val="auto"/>
          <w:sz w:val="44"/>
          <w:szCs w:val="44"/>
          <w:highlight w:val="none"/>
        </w:rPr>
      </w:pPr>
    </w:p>
    <w:p w14:paraId="6A1D4248">
      <w:pPr>
        <w:spacing w:line="520" w:lineRule="exact"/>
        <w:jc w:val="center"/>
        <w:rPr>
          <w:rFonts w:hint="eastAsia" w:ascii="方正小标宋简体" w:hAnsi="方正小标宋简体" w:eastAsia="方正小标宋简体" w:cs="方正小标宋简体"/>
          <w:color w:val="auto"/>
          <w:sz w:val="44"/>
          <w:szCs w:val="44"/>
          <w:highlight w:val="none"/>
        </w:rPr>
      </w:pPr>
    </w:p>
    <w:p w14:paraId="48EA5F3B">
      <w:pPr>
        <w:spacing w:line="520" w:lineRule="exact"/>
        <w:jc w:val="center"/>
        <w:rPr>
          <w:rFonts w:hint="eastAsia" w:ascii="方正小标宋简体" w:hAnsi="方正小标宋简体" w:eastAsia="方正小标宋简体" w:cs="方正小标宋简体"/>
          <w:color w:val="auto"/>
          <w:sz w:val="44"/>
          <w:szCs w:val="44"/>
          <w:highlight w:val="none"/>
        </w:rPr>
      </w:pPr>
    </w:p>
    <w:p w14:paraId="26DE5D78">
      <w:pPr>
        <w:spacing w:line="520" w:lineRule="exact"/>
        <w:jc w:val="center"/>
        <w:rPr>
          <w:rFonts w:hint="eastAsia" w:ascii="方正小标宋简体" w:hAnsi="方正小标宋简体" w:eastAsia="方正小标宋简体" w:cs="方正小标宋简体"/>
          <w:color w:val="auto"/>
          <w:sz w:val="44"/>
          <w:szCs w:val="44"/>
          <w:highlight w:val="none"/>
        </w:rPr>
      </w:pPr>
    </w:p>
    <w:p w14:paraId="103DF9CA">
      <w:pPr>
        <w:spacing w:line="520" w:lineRule="exact"/>
        <w:jc w:val="center"/>
        <w:rPr>
          <w:rFonts w:hint="eastAsia" w:ascii="方正小标宋简体" w:hAnsi="方正小标宋简体" w:eastAsia="方正小标宋简体" w:cs="方正小标宋简体"/>
          <w:color w:val="auto"/>
          <w:sz w:val="44"/>
          <w:szCs w:val="44"/>
          <w:highlight w:val="none"/>
        </w:rPr>
      </w:pPr>
    </w:p>
    <w:p w14:paraId="0E2F5463">
      <w:pPr>
        <w:spacing w:line="520" w:lineRule="exact"/>
        <w:jc w:val="center"/>
        <w:rPr>
          <w:rFonts w:hint="eastAsia" w:ascii="方正小标宋简体" w:hAnsi="方正小标宋简体" w:eastAsia="方正小标宋简体" w:cs="方正小标宋简体"/>
          <w:color w:val="auto"/>
          <w:sz w:val="44"/>
          <w:szCs w:val="44"/>
          <w:highlight w:val="none"/>
        </w:rPr>
      </w:pPr>
    </w:p>
    <w:p w14:paraId="4FCCC995">
      <w:pPr>
        <w:spacing w:line="520" w:lineRule="exact"/>
        <w:jc w:val="center"/>
        <w:rPr>
          <w:rFonts w:hint="eastAsia" w:ascii="方正小标宋简体" w:hAnsi="方正小标宋简体" w:eastAsia="方正小标宋简体" w:cs="方正小标宋简体"/>
          <w:color w:val="auto"/>
          <w:sz w:val="44"/>
          <w:szCs w:val="44"/>
          <w:highlight w:val="none"/>
        </w:rPr>
      </w:pPr>
    </w:p>
    <w:p w14:paraId="3FC05123">
      <w:pPr>
        <w:spacing w:line="520" w:lineRule="exact"/>
        <w:jc w:val="center"/>
        <w:rPr>
          <w:rFonts w:hint="eastAsia" w:ascii="方正小标宋简体" w:hAnsi="方正小标宋简体" w:eastAsia="方正小标宋简体" w:cs="方正小标宋简体"/>
          <w:color w:val="auto"/>
          <w:sz w:val="44"/>
          <w:szCs w:val="44"/>
          <w:highlight w:val="none"/>
        </w:rPr>
      </w:pPr>
    </w:p>
    <w:p w14:paraId="549FABA7">
      <w:pPr>
        <w:spacing w:line="520" w:lineRule="exact"/>
        <w:jc w:val="center"/>
        <w:rPr>
          <w:rFonts w:hint="eastAsia" w:ascii="方正小标宋简体" w:hAnsi="方正小标宋简体" w:eastAsia="方正小标宋简体" w:cs="方正小标宋简体"/>
          <w:color w:val="auto"/>
          <w:sz w:val="44"/>
          <w:szCs w:val="44"/>
          <w:highlight w:val="none"/>
        </w:rPr>
      </w:pPr>
    </w:p>
    <w:p w14:paraId="35ABCE0C">
      <w:pPr>
        <w:spacing w:line="520" w:lineRule="exact"/>
        <w:jc w:val="center"/>
        <w:rPr>
          <w:rFonts w:hint="eastAsia" w:ascii="方正小标宋简体" w:hAnsi="方正小标宋简体" w:eastAsia="方正小标宋简体" w:cs="方正小标宋简体"/>
          <w:color w:val="auto"/>
          <w:sz w:val="44"/>
          <w:szCs w:val="44"/>
          <w:highlight w:val="none"/>
        </w:rPr>
      </w:pPr>
    </w:p>
    <w:p w14:paraId="0BC1DA52">
      <w:pPr>
        <w:spacing w:line="520" w:lineRule="exact"/>
        <w:jc w:val="center"/>
        <w:rPr>
          <w:rFonts w:hint="eastAsia" w:ascii="方正小标宋简体" w:hAnsi="方正小标宋简体" w:eastAsia="方正小标宋简体" w:cs="方正小标宋简体"/>
          <w:color w:val="auto"/>
          <w:sz w:val="44"/>
          <w:szCs w:val="44"/>
          <w:highlight w:val="none"/>
        </w:rPr>
      </w:pPr>
    </w:p>
    <w:p w14:paraId="360CEDFE">
      <w:pPr>
        <w:spacing w:line="520" w:lineRule="exact"/>
        <w:jc w:val="center"/>
        <w:rPr>
          <w:rFonts w:hint="eastAsia" w:ascii="方正小标宋简体" w:hAnsi="方正小标宋简体" w:eastAsia="方正小标宋简体" w:cs="方正小标宋简体"/>
          <w:color w:val="auto"/>
          <w:sz w:val="44"/>
          <w:szCs w:val="44"/>
          <w:highlight w:val="none"/>
        </w:rPr>
      </w:pPr>
    </w:p>
    <w:p w14:paraId="0B41A511">
      <w:pPr>
        <w:spacing w:line="520" w:lineRule="exact"/>
        <w:jc w:val="center"/>
        <w:rPr>
          <w:rFonts w:hint="eastAsia" w:ascii="方正小标宋简体" w:hAnsi="方正小标宋简体" w:eastAsia="方正小标宋简体" w:cs="方正小标宋简体"/>
          <w:color w:val="auto"/>
          <w:sz w:val="44"/>
          <w:szCs w:val="44"/>
          <w:highlight w:val="none"/>
        </w:rPr>
      </w:pPr>
    </w:p>
    <w:p w14:paraId="4ECF2AF6">
      <w:pPr>
        <w:spacing w:line="520" w:lineRule="exact"/>
        <w:jc w:val="center"/>
        <w:rPr>
          <w:rFonts w:hint="eastAsia" w:ascii="方正小标宋简体" w:hAnsi="方正小标宋简体" w:eastAsia="方正小标宋简体" w:cs="方正小标宋简体"/>
          <w:color w:val="auto"/>
          <w:sz w:val="44"/>
          <w:szCs w:val="44"/>
          <w:highlight w:val="none"/>
        </w:rPr>
      </w:pPr>
    </w:p>
    <w:p w14:paraId="6ED589D2">
      <w:pPr>
        <w:spacing w:line="520" w:lineRule="exact"/>
        <w:jc w:val="center"/>
        <w:rPr>
          <w:rFonts w:hint="eastAsia" w:ascii="方正小标宋简体" w:hAnsi="方正小标宋简体" w:eastAsia="方正小标宋简体" w:cs="方正小标宋简体"/>
          <w:color w:val="auto"/>
          <w:sz w:val="44"/>
          <w:szCs w:val="44"/>
          <w:highlight w:val="none"/>
        </w:rPr>
      </w:pPr>
    </w:p>
    <w:p w14:paraId="40BCB994">
      <w:pPr>
        <w:spacing w:line="520" w:lineRule="exact"/>
        <w:jc w:val="center"/>
        <w:rPr>
          <w:rFonts w:hint="eastAsia" w:ascii="方正小标宋简体" w:hAnsi="方正小标宋简体" w:eastAsia="方正小标宋简体" w:cs="方正小标宋简体"/>
          <w:color w:val="auto"/>
          <w:sz w:val="44"/>
          <w:szCs w:val="44"/>
          <w:highlight w:val="none"/>
        </w:rPr>
      </w:pPr>
    </w:p>
    <w:p w14:paraId="39E5BFD4">
      <w:pPr>
        <w:spacing w:line="520" w:lineRule="exact"/>
        <w:jc w:val="center"/>
        <w:rPr>
          <w:rFonts w:hint="eastAsia" w:ascii="方正小标宋简体" w:hAnsi="方正小标宋简体" w:eastAsia="方正小标宋简体" w:cs="方正小标宋简体"/>
          <w:color w:val="auto"/>
          <w:sz w:val="44"/>
          <w:szCs w:val="44"/>
          <w:highlight w:val="none"/>
        </w:rPr>
      </w:pPr>
    </w:p>
    <w:p w14:paraId="2687D59E">
      <w:pPr>
        <w:spacing w:line="520" w:lineRule="exact"/>
        <w:jc w:val="center"/>
        <w:rPr>
          <w:rFonts w:hint="eastAsia" w:ascii="方正小标宋简体" w:hAnsi="方正小标宋简体" w:eastAsia="方正小标宋简体" w:cs="方正小标宋简体"/>
          <w:color w:val="auto"/>
          <w:sz w:val="44"/>
          <w:szCs w:val="44"/>
          <w:highlight w:val="none"/>
        </w:rPr>
      </w:pPr>
    </w:p>
    <w:p w14:paraId="54884B90">
      <w:pPr>
        <w:pStyle w:val="21"/>
        <w:jc w:val="both"/>
        <w:rPr>
          <w:rFonts w:hint="eastAsia"/>
          <w:color w:val="auto"/>
        </w:rPr>
      </w:pPr>
    </w:p>
    <w:p w14:paraId="7D4C8600">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both"/>
        <w:textAlignment w:val="auto"/>
        <w:outlineLvl w:val="1"/>
        <w:rPr>
          <w:rFonts w:hint="eastAsia" w:ascii="宋体" w:hAnsi="宋体" w:eastAsia="宋体" w:cs="宋体"/>
          <w:b/>
          <w:bCs w:val="0"/>
          <w:color w:val="auto"/>
          <w:spacing w:val="0"/>
          <w:sz w:val="28"/>
          <w:szCs w:val="28"/>
          <w:lang w:val="en-US" w:eastAsia="zh-CN"/>
        </w:rPr>
      </w:pPr>
    </w:p>
    <w:p w14:paraId="2F418D01">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center"/>
        <w:textAlignment w:val="auto"/>
        <w:outlineLvl w:val="1"/>
        <w:rPr>
          <w:rFonts w:hint="eastAsia" w:ascii="宋体" w:hAnsi="宋体" w:eastAsia="宋体" w:cs="宋体"/>
          <w:b/>
          <w:bCs w:val="0"/>
          <w:color w:val="auto"/>
          <w:spacing w:val="0"/>
          <w:sz w:val="28"/>
          <w:szCs w:val="28"/>
          <w:lang w:val="en-US" w:eastAsia="zh-CN"/>
        </w:rPr>
      </w:pPr>
      <w:r>
        <w:rPr>
          <w:rFonts w:hint="eastAsia" w:ascii="宋体" w:hAnsi="宋体" w:cs="宋体"/>
          <w:b/>
          <w:bCs w:val="0"/>
          <w:color w:val="auto"/>
          <w:spacing w:val="0"/>
          <w:sz w:val="28"/>
          <w:szCs w:val="28"/>
          <w:lang w:val="en-US" w:eastAsia="zh-CN"/>
        </w:rPr>
        <w:t>磋商</w:t>
      </w:r>
      <w:r>
        <w:rPr>
          <w:rFonts w:hint="eastAsia" w:ascii="宋体" w:hAnsi="宋体" w:eastAsia="宋体" w:cs="宋体"/>
          <w:b/>
          <w:bCs w:val="0"/>
          <w:color w:val="auto"/>
          <w:spacing w:val="0"/>
          <w:sz w:val="28"/>
          <w:szCs w:val="28"/>
          <w:lang w:val="en-US" w:eastAsia="zh-CN"/>
        </w:rPr>
        <w:t>函</w:t>
      </w:r>
    </w:p>
    <w:p w14:paraId="053A0F1A">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left"/>
        <w:textAlignment w:val="auto"/>
        <w:rPr>
          <w:rFonts w:hint="eastAsia" w:ascii="宋体" w:hAnsi="宋体" w:eastAsia="宋体" w:cs="宋体"/>
          <w:bCs/>
          <w:color w:val="auto"/>
          <w:spacing w:val="0"/>
          <w:sz w:val="21"/>
          <w:szCs w:val="21"/>
          <w:lang w:val="en-US" w:eastAsia="zh-CN"/>
        </w:rPr>
      </w:pPr>
    </w:p>
    <w:p w14:paraId="5D867B7A">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left"/>
        <w:textAlignment w:val="auto"/>
        <w:rPr>
          <w:rFonts w:hint="eastAsia" w:ascii="宋体" w:hAnsi="宋体" w:eastAsia="宋体" w:cs="宋体"/>
          <w:bCs/>
          <w:color w:val="auto"/>
          <w:spacing w:val="0"/>
          <w:sz w:val="21"/>
          <w:szCs w:val="21"/>
          <w:lang w:val="en-US" w:eastAsia="zh-CN"/>
        </w:rPr>
      </w:pPr>
      <w:r>
        <w:rPr>
          <w:rFonts w:hint="eastAsia" w:ascii="宋体" w:hAnsi="宋体" w:eastAsia="宋体" w:cs="宋体"/>
          <w:bCs/>
          <w:color w:val="auto"/>
          <w:spacing w:val="0"/>
          <w:sz w:val="21"/>
          <w:szCs w:val="21"/>
          <w:lang w:val="en-US" w:eastAsia="zh-CN"/>
        </w:rPr>
        <w:t>致：</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（采购人全称）：</w:t>
      </w:r>
    </w:p>
    <w:p w14:paraId="7035C9DC">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1.</w:t>
      </w:r>
      <w:r>
        <w:rPr>
          <w:rFonts w:hint="eastAsia" w:ascii="宋体" w:hAnsi="宋体" w:eastAsia="宋体" w:cs="宋体"/>
          <w:bCs/>
          <w:color w:val="auto"/>
          <w:spacing w:val="0"/>
          <w:sz w:val="21"/>
          <w:szCs w:val="21"/>
          <w:lang w:val="en-US" w:eastAsia="zh-CN"/>
        </w:rPr>
        <w:t>根据已收到的</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（项目名称）项目的竞争性磋商文件，我方经考察现场和研究贵方的竞争性磋商文件后，我方愿以人民币</w:t>
      </w:r>
      <w:r>
        <w:rPr>
          <w:rFonts w:hint="eastAsia" w:ascii="宋体" w:hAnsi="宋体" w:cs="宋体"/>
          <w:bCs/>
          <w:color w:val="auto"/>
          <w:spacing w:val="0"/>
          <w:sz w:val="21"/>
          <w:szCs w:val="21"/>
          <w:lang w:val="en-US" w:eastAsia="zh-CN"/>
        </w:rPr>
        <w:t>（</w:t>
      </w:r>
      <w:r>
        <w:rPr>
          <w:rFonts w:hint="eastAsia" w:ascii="宋体" w:hAnsi="宋体" w:eastAsia="宋体" w:cs="宋体"/>
          <w:bCs/>
          <w:color w:val="auto"/>
          <w:spacing w:val="0"/>
          <w:sz w:val="21"/>
          <w:szCs w:val="21"/>
          <w:lang w:val="en-US" w:eastAsia="zh-CN"/>
        </w:rPr>
        <w:t>大写</w:t>
      </w:r>
      <w:r>
        <w:rPr>
          <w:rFonts w:hint="eastAsia" w:ascii="宋体" w:hAnsi="宋体" w:cs="宋体"/>
          <w:bCs/>
          <w:color w:val="auto"/>
          <w:spacing w:val="0"/>
          <w:sz w:val="21"/>
          <w:szCs w:val="21"/>
          <w:lang w:val="en-US" w:eastAsia="zh-CN"/>
        </w:rPr>
        <w:t>）</w:t>
      </w:r>
      <w:r>
        <w:rPr>
          <w:rFonts w:hint="eastAsia" w:ascii="宋体" w:hAnsi="宋体" w:eastAsia="宋体" w:cs="宋体"/>
          <w:bCs/>
          <w:color w:val="auto"/>
          <w:spacing w:val="0"/>
          <w:sz w:val="21"/>
          <w:szCs w:val="21"/>
          <w:lang w:val="en-US" w:eastAsia="zh-CN"/>
        </w:rPr>
        <w:t xml:space="preserve"> </w:t>
      </w:r>
      <w:r>
        <w:rPr>
          <w:rFonts w:hint="eastAsia" w:ascii="宋体" w:hAnsi="宋体" w:eastAsia="宋体" w:cs="宋体"/>
          <w:bCs/>
          <w:color w:val="auto"/>
          <w:spacing w:val="0"/>
          <w:sz w:val="21"/>
          <w:szCs w:val="21"/>
          <w:u w:val="single"/>
          <w:lang w:val="en-US" w:eastAsia="zh-CN"/>
        </w:rPr>
        <w:t xml:space="preserve">            </w:t>
      </w:r>
      <w:r>
        <w:rPr>
          <w:rFonts w:hint="eastAsia" w:ascii="宋体" w:hAnsi="宋体" w:cs="宋体"/>
          <w:bCs/>
          <w:color w:val="auto"/>
          <w:spacing w:val="0"/>
          <w:sz w:val="21"/>
          <w:szCs w:val="21"/>
          <w:u w:val="single"/>
          <w:lang w:val="en-US" w:eastAsia="zh-CN"/>
        </w:rPr>
        <w:t>（</w:t>
      </w:r>
      <w:r>
        <w:rPr>
          <w:rFonts w:hint="default" w:ascii="Arial" w:hAnsi="Arial" w:eastAsia="宋体" w:cs="Arial"/>
          <w:bCs/>
          <w:color w:val="auto"/>
          <w:spacing w:val="0"/>
          <w:sz w:val="21"/>
          <w:szCs w:val="21"/>
          <w:u w:val="single"/>
          <w:lang w:val="en-US" w:eastAsia="zh-CN"/>
        </w:rPr>
        <w:t>¥</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w:t>
      </w:r>
      <w:r>
        <w:rPr>
          <w:rFonts w:hint="eastAsia" w:ascii="宋体" w:hAnsi="宋体" w:cs="宋体"/>
          <w:bCs/>
          <w:color w:val="auto"/>
          <w:spacing w:val="0"/>
          <w:sz w:val="21"/>
          <w:szCs w:val="21"/>
          <w:lang w:val="en-US" w:eastAsia="zh-CN"/>
        </w:rPr>
        <w:t>）</w:t>
      </w:r>
      <w:r>
        <w:rPr>
          <w:rFonts w:hint="eastAsia" w:ascii="宋体" w:hAnsi="宋体" w:eastAsia="宋体" w:cs="宋体"/>
          <w:bCs/>
          <w:color w:val="auto"/>
          <w:spacing w:val="0"/>
          <w:sz w:val="21"/>
          <w:szCs w:val="21"/>
          <w:lang w:val="en-US" w:eastAsia="zh-CN"/>
        </w:rPr>
        <w:t>的磋商报价并按上述合同条款、工程建设标准的条件要求承包上述工程的施工、竣工，并承担任何质量缺陷保修责任。我方保证工程质量达到</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等级。</w:t>
      </w:r>
    </w:p>
    <w:p w14:paraId="064C204C">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2.</w:t>
      </w:r>
      <w:r>
        <w:rPr>
          <w:rFonts w:hint="eastAsia" w:ascii="宋体" w:hAnsi="宋体" w:eastAsia="宋体" w:cs="宋体"/>
          <w:bCs/>
          <w:color w:val="auto"/>
          <w:spacing w:val="0"/>
          <w:sz w:val="21"/>
          <w:szCs w:val="21"/>
          <w:lang w:val="en-US" w:eastAsia="zh-CN"/>
        </w:rPr>
        <w:t>我方已详细审核全部竞争性磋商文件，包括修改文件（如有时）及有关附件。</w:t>
      </w:r>
    </w:p>
    <w:p w14:paraId="7EBFC30A">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3.</w:t>
      </w:r>
      <w:r>
        <w:rPr>
          <w:rFonts w:hint="eastAsia" w:ascii="宋体" w:hAnsi="宋体" w:eastAsia="宋体" w:cs="宋体"/>
          <w:bCs/>
          <w:color w:val="auto"/>
          <w:spacing w:val="0"/>
          <w:sz w:val="21"/>
          <w:szCs w:val="21"/>
          <w:lang w:val="en-US" w:eastAsia="zh-CN"/>
        </w:rPr>
        <w:t>一旦我方成交，我方保证按合同协议书中规定的工期</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u w:val="none"/>
          <w:lang w:val="en-US" w:eastAsia="zh-CN"/>
        </w:rPr>
        <w:t>日历天</w:t>
      </w:r>
      <w:r>
        <w:rPr>
          <w:rFonts w:hint="eastAsia" w:ascii="宋体" w:hAnsi="宋体" w:eastAsia="宋体" w:cs="宋体"/>
          <w:bCs/>
          <w:color w:val="auto"/>
          <w:spacing w:val="0"/>
          <w:sz w:val="21"/>
          <w:szCs w:val="21"/>
          <w:lang w:val="en-US" w:eastAsia="zh-CN"/>
        </w:rPr>
        <w:t>内完成并移交全部工程。</w:t>
      </w:r>
    </w:p>
    <w:p w14:paraId="10A5D896">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4.</w:t>
      </w:r>
      <w:r>
        <w:rPr>
          <w:rFonts w:hint="eastAsia" w:ascii="宋体" w:hAnsi="宋体" w:eastAsia="宋体" w:cs="宋体"/>
          <w:bCs/>
          <w:color w:val="auto"/>
          <w:spacing w:val="0"/>
          <w:sz w:val="21"/>
          <w:szCs w:val="21"/>
          <w:lang w:val="en-US" w:eastAsia="zh-CN"/>
        </w:rPr>
        <w:t>如果我方成交，我方将按照竞争性磋商文件规定提交履约担保。</w:t>
      </w:r>
    </w:p>
    <w:p w14:paraId="363D7C6D">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5.</w:t>
      </w:r>
      <w:r>
        <w:rPr>
          <w:rFonts w:hint="eastAsia" w:ascii="宋体" w:hAnsi="宋体" w:eastAsia="宋体" w:cs="宋体"/>
          <w:bCs/>
          <w:color w:val="auto"/>
          <w:spacing w:val="0"/>
          <w:sz w:val="21"/>
          <w:szCs w:val="21"/>
          <w:lang w:val="en-US" w:eastAsia="zh-CN"/>
        </w:rPr>
        <w:t>我方同意所提交的响应文件在竞争性磋商文件的磋商须知规定的磋商有效期内有效，在此期间内如果成交，我方将受此约束。</w:t>
      </w:r>
    </w:p>
    <w:p w14:paraId="007D79B6">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6.</w:t>
      </w:r>
      <w:r>
        <w:rPr>
          <w:rFonts w:hint="eastAsia" w:ascii="宋体" w:hAnsi="宋体" w:eastAsia="宋体" w:cs="宋体"/>
          <w:bCs/>
          <w:color w:val="auto"/>
          <w:spacing w:val="0"/>
          <w:sz w:val="21"/>
          <w:szCs w:val="21"/>
          <w:lang w:val="en-US" w:eastAsia="zh-CN"/>
        </w:rPr>
        <w:t>除非另外达成协议并生效，你方的成交通知书和本响应文件将成为约束双方的合同文件的组成部分。</w:t>
      </w:r>
    </w:p>
    <w:p w14:paraId="6F3C512C">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p>
    <w:p w14:paraId="5A9B0EF7">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p>
    <w:p w14:paraId="0668B9F3">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p>
    <w:p w14:paraId="4ABD98C7">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供应商</w:t>
      </w:r>
      <w:r>
        <w:rPr>
          <w:rFonts w:hint="eastAsia" w:ascii="宋体" w:hAnsi="宋体" w:cs="宋体"/>
          <w:bCs/>
          <w:color w:val="auto"/>
          <w:spacing w:val="0"/>
          <w:sz w:val="21"/>
          <w:szCs w:val="21"/>
          <w:lang w:val="en-US" w:eastAsia="zh-CN"/>
        </w:rPr>
        <w:t>名称</w:t>
      </w:r>
      <w:r>
        <w:rPr>
          <w:rFonts w:hint="eastAsia" w:ascii="宋体" w:hAnsi="宋体" w:eastAsia="宋体" w:cs="宋体"/>
          <w:bCs/>
          <w:color w:val="auto"/>
          <w:spacing w:val="0"/>
          <w:sz w:val="21"/>
          <w:szCs w:val="21"/>
          <w:lang w:val="en-US" w:eastAsia="zh-CN"/>
        </w:rPr>
        <w:t>（电子签章）：</w:t>
      </w:r>
      <w:r>
        <w:rPr>
          <w:rFonts w:hint="eastAsia" w:ascii="宋体" w:hAnsi="宋体" w:eastAsia="宋体" w:cs="宋体"/>
          <w:bCs/>
          <w:color w:val="auto"/>
          <w:spacing w:val="0"/>
          <w:sz w:val="21"/>
          <w:szCs w:val="21"/>
          <w:u w:val="single"/>
          <w:lang w:val="en-US" w:eastAsia="zh-CN"/>
        </w:rPr>
        <w:t xml:space="preserve">                                       </w:t>
      </w:r>
    </w:p>
    <w:p w14:paraId="19E6183E">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法定代表人或委托代理人</w:t>
      </w:r>
      <w:r>
        <w:rPr>
          <w:rFonts w:hint="eastAsia" w:ascii="宋体" w:hAnsi="宋体" w:cs="宋体"/>
          <w:bCs/>
          <w:color w:val="auto"/>
          <w:spacing w:val="0"/>
          <w:sz w:val="21"/>
          <w:szCs w:val="21"/>
          <w:lang w:val="en-US" w:eastAsia="zh-CN"/>
        </w:rPr>
        <w:t>（签字或者盖章或者电子签名）</w:t>
      </w:r>
      <w:r>
        <w:rPr>
          <w:rFonts w:hint="eastAsia" w:ascii="宋体" w:hAnsi="宋体" w:eastAsia="宋体" w:cs="宋体"/>
          <w:bCs/>
          <w:color w:val="auto"/>
          <w:spacing w:val="0"/>
          <w:sz w:val="21"/>
          <w:szCs w:val="21"/>
          <w:lang w:val="en-US" w:eastAsia="zh-CN"/>
        </w:rPr>
        <w:t>：</w:t>
      </w:r>
      <w:r>
        <w:rPr>
          <w:rFonts w:hint="eastAsia" w:ascii="宋体" w:hAnsi="宋体" w:eastAsia="宋体" w:cs="宋体"/>
          <w:bCs/>
          <w:color w:val="auto"/>
          <w:spacing w:val="0"/>
          <w:sz w:val="21"/>
          <w:szCs w:val="21"/>
          <w:u w:val="single"/>
          <w:lang w:val="en-US" w:eastAsia="zh-CN"/>
        </w:rPr>
        <w:t xml:space="preserve">                 </w:t>
      </w:r>
    </w:p>
    <w:p w14:paraId="0D2F5F27">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单位地址：</w:t>
      </w:r>
      <w:r>
        <w:rPr>
          <w:rFonts w:hint="eastAsia" w:ascii="宋体" w:hAnsi="宋体" w:eastAsia="宋体" w:cs="宋体"/>
          <w:bCs/>
          <w:color w:val="auto"/>
          <w:spacing w:val="0"/>
          <w:sz w:val="21"/>
          <w:szCs w:val="21"/>
          <w:u w:val="single"/>
          <w:lang w:val="en-US" w:eastAsia="zh-CN"/>
        </w:rPr>
        <w:t xml:space="preserve">                                           </w:t>
      </w:r>
    </w:p>
    <w:p w14:paraId="79869899">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 xml:space="preserve">邮政编码： </w:t>
      </w:r>
      <w:r>
        <w:rPr>
          <w:rFonts w:hint="eastAsia" w:ascii="宋体" w:hAnsi="宋体" w:eastAsia="宋体" w:cs="宋体"/>
          <w:bCs/>
          <w:color w:val="auto"/>
          <w:spacing w:val="0"/>
          <w:sz w:val="21"/>
          <w:szCs w:val="21"/>
          <w:u w:val="single"/>
          <w:lang w:val="en-US" w:eastAsia="zh-CN"/>
        </w:rPr>
        <w:t xml:space="preserve">                                          </w:t>
      </w:r>
    </w:p>
    <w:p w14:paraId="0BCAB1FE">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电 话：</w:t>
      </w:r>
      <w:r>
        <w:rPr>
          <w:rFonts w:hint="eastAsia" w:ascii="宋体" w:hAnsi="宋体" w:eastAsia="宋体" w:cs="宋体"/>
          <w:bCs/>
          <w:color w:val="auto"/>
          <w:spacing w:val="0"/>
          <w:sz w:val="21"/>
          <w:szCs w:val="21"/>
          <w:u w:val="single"/>
          <w:lang w:val="en-US" w:eastAsia="zh-CN"/>
        </w:rPr>
        <w:t xml:space="preserve">                                              </w:t>
      </w:r>
    </w:p>
    <w:p w14:paraId="36DA7DEB">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lang w:val="en-US" w:eastAsia="zh-CN"/>
        </w:rPr>
      </w:pPr>
      <w:r>
        <w:rPr>
          <w:rFonts w:hint="eastAsia" w:ascii="宋体" w:hAnsi="宋体" w:eastAsia="宋体" w:cs="宋体"/>
          <w:bCs/>
          <w:color w:val="auto"/>
          <w:spacing w:val="0"/>
          <w:sz w:val="21"/>
          <w:szCs w:val="21"/>
          <w:lang w:val="en-US" w:eastAsia="zh-CN"/>
        </w:rPr>
        <w:t>日 期：</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年</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月</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日</w:t>
      </w:r>
    </w:p>
    <w:p w14:paraId="5315BBDD">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lang w:val="en-US" w:eastAsia="zh-CN"/>
        </w:rPr>
      </w:pPr>
    </w:p>
    <w:p w14:paraId="68B1D4CF">
      <w:pPr>
        <w:pStyle w:val="3"/>
        <w:rPr>
          <w:rFonts w:hint="eastAsia" w:ascii="宋体" w:hAnsi="宋体" w:eastAsia="宋体" w:cs="宋体"/>
          <w:bCs/>
          <w:color w:val="auto"/>
          <w:spacing w:val="0"/>
          <w:sz w:val="21"/>
          <w:szCs w:val="21"/>
          <w:lang w:val="en-US" w:eastAsia="zh-CN"/>
        </w:rPr>
      </w:pPr>
    </w:p>
    <w:p w14:paraId="56E14F3F">
      <w:pPr>
        <w:pStyle w:val="21"/>
        <w:outlineLvl w:val="9"/>
        <w:rPr>
          <w:rFonts w:hint="eastAsia" w:ascii="宋体" w:hAnsi="宋体" w:eastAsia="宋体" w:cs="宋体"/>
          <w:bCs/>
          <w:color w:val="auto"/>
          <w:spacing w:val="0"/>
          <w:sz w:val="21"/>
          <w:szCs w:val="21"/>
          <w:lang w:val="en-US" w:eastAsia="zh-CN"/>
        </w:rPr>
      </w:pPr>
    </w:p>
    <w:p w14:paraId="4D61400E">
      <w:pPr>
        <w:rPr>
          <w:rFonts w:hint="eastAsia" w:ascii="宋体" w:hAnsi="宋体" w:eastAsia="宋体" w:cs="宋体"/>
          <w:bCs/>
          <w:color w:val="auto"/>
          <w:spacing w:val="0"/>
          <w:sz w:val="21"/>
          <w:szCs w:val="21"/>
          <w:lang w:val="en-US" w:eastAsia="zh-CN"/>
        </w:rPr>
      </w:pPr>
    </w:p>
    <w:p w14:paraId="2E6BBBC5">
      <w:pPr>
        <w:pStyle w:val="7"/>
        <w:rPr>
          <w:rFonts w:hint="eastAsia" w:ascii="宋体" w:hAnsi="宋体" w:eastAsia="宋体" w:cs="宋体"/>
          <w:color w:val="auto"/>
          <w:lang w:val="en-US" w:eastAsia="zh-CN"/>
        </w:rPr>
      </w:pPr>
    </w:p>
    <w:p w14:paraId="2AE75E6C">
      <w:pPr>
        <w:pStyle w:val="34"/>
        <w:rPr>
          <w:rFonts w:hint="eastAsia" w:ascii="宋体" w:hAnsi="宋体" w:eastAsia="宋体" w:cs="宋体"/>
          <w:b/>
          <w:bCs/>
          <w:color w:val="auto"/>
          <w:sz w:val="21"/>
          <w:szCs w:val="21"/>
          <w:highlight w:val="none"/>
        </w:rPr>
      </w:pPr>
    </w:p>
    <w:p w14:paraId="7CB4C93A">
      <w:pPr>
        <w:pStyle w:val="34"/>
        <w:rPr>
          <w:rFonts w:hint="eastAsia" w:ascii="宋体" w:hAnsi="宋体" w:eastAsia="宋体" w:cs="宋体"/>
          <w:b/>
          <w:bCs/>
          <w:color w:val="auto"/>
          <w:sz w:val="21"/>
          <w:szCs w:val="21"/>
          <w:highlight w:val="none"/>
        </w:rPr>
      </w:pPr>
    </w:p>
    <w:p w14:paraId="19B731DD">
      <w:pPr>
        <w:pStyle w:val="3"/>
        <w:rPr>
          <w:rFonts w:hint="eastAsia"/>
          <w:color w:val="auto"/>
        </w:rPr>
      </w:pPr>
    </w:p>
    <w:p w14:paraId="12C4EE96">
      <w:pPr>
        <w:pStyle w:val="34"/>
        <w:rPr>
          <w:rFonts w:hint="eastAsia" w:ascii="宋体" w:hAnsi="宋体" w:eastAsia="宋体" w:cs="宋体"/>
          <w:b/>
          <w:bCs/>
          <w:color w:val="auto"/>
          <w:sz w:val="21"/>
          <w:szCs w:val="21"/>
          <w:highlight w:val="none"/>
        </w:rPr>
      </w:pPr>
    </w:p>
    <w:p w14:paraId="6FAD65AA">
      <w:pPr>
        <w:pStyle w:val="47"/>
        <w:jc w:val="center"/>
        <w:outlineLvl w:val="0"/>
        <w:rPr>
          <w:b/>
          <w:bCs/>
          <w:color w:val="auto"/>
          <w:sz w:val="30"/>
          <w:szCs w:val="30"/>
        </w:rPr>
      </w:pPr>
      <w:bookmarkStart w:id="112" w:name="_Toc28896"/>
      <w:bookmarkStart w:id="113" w:name="_Toc29501"/>
      <w:r>
        <w:rPr>
          <w:rFonts w:hint="eastAsia" w:cs="宋体"/>
          <w:b/>
          <w:bCs/>
          <w:color w:val="auto"/>
          <w:sz w:val="30"/>
          <w:szCs w:val="30"/>
          <w:lang w:val="en-US" w:eastAsia="zh-CN"/>
        </w:rPr>
        <w:t>磋商</w:t>
      </w:r>
      <w:r>
        <w:rPr>
          <w:rFonts w:hint="eastAsia" w:cs="宋体"/>
          <w:b/>
          <w:bCs/>
          <w:color w:val="auto"/>
          <w:sz w:val="30"/>
          <w:szCs w:val="30"/>
        </w:rPr>
        <w:t>函附录</w:t>
      </w:r>
      <w:bookmarkEnd w:id="112"/>
      <w:bookmarkEnd w:id="113"/>
    </w:p>
    <w:p w14:paraId="37DFC01D">
      <w:pPr>
        <w:pStyle w:val="47"/>
        <w:jc w:val="center"/>
        <w:rPr>
          <w:color w:val="auto"/>
          <w:sz w:val="28"/>
          <w:szCs w:val="28"/>
        </w:rPr>
      </w:pPr>
    </w:p>
    <w:p w14:paraId="11BE36CB">
      <w:pPr>
        <w:ind w:firstLine="514" w:firstLineChars="245"/>
        <w:rPr>
          <w:color w:val="auto"/>
        </w:rPr>
      </w:pPr>
      <w:r>
        <w:rPr>
          <w:rFonts w:hint="eastAsia" w:cs="宋体"/>
          <w:color w:val="auto"/>
        </w:rPr>
        <w:t>项目名称：</w:t>
      </w:r>
      <w:r>
        <w:rPr>
          <w:color w:val="auto"/>
          <w:u w:val="single"/>
        </w:rPr>
        <w:t xml:space="preserve">                                </w:t>
      </w:r>
    </w:p>
    <w:tbl>
      <w:tblPr>
        <w:tblStyle w:val="25"/>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21CC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6488E48">
            <w:pPr>
              <w:jc w:val="center"/>
              <w:rPr>
                <w:color w:val="auto"/>
              </w:rPr>
            </w:pPr>
            <w:r>
              <w:rPr>
                <w:rFonts w:hint="eastAsia" w:cs="宋体"/>
                <w:color w:val="auto"/>
              </w:rPr>
              <w:t>序</w:t>
            </w:r>
            <w:r>
              <w:rPr>
                <w:color w:val="auto"/>
              </w:rPr>
              <w:t xml:space="preserve"> </w:t>
            </w:r>
            <w:r>
              <w:rPr>
                <w:rFonts w:hint="eastAsia" w:cs="宋体"/>
                <w:color w:val="auto"/>
              </w:rPr>
              <w:t>号</w:t>
            </w:r>
          </w:p>
        </w:tc>
        <w:tc>
          <w:tcPr>
            <w:tcW w:w="1985" w:type="dxa"/>
            <w:noWrap w:val="0"/>
            <w:vAlign w:val="center"/>
          </w:tcPr>
          <w:p w14:paraId="142EFE5F">
            <w:pPr>
              <w:jc w:val="center"/>
              <w:rPr>
                <w:color w:val="auto"/>
              </w:rPr>
            </w:pPr>
            <w:r>
              <w:rPr>
                <w:rFonts w:hint="eastAsia" w:cs="宋体"/>
                <w:color w:val="auto"/>
              </w:rPr>
              <w:t>条款内容</w:t>
            </w:r>
          </w:p>
        </w:tc>
        <w:tc>
          <w:tcPr>
            <w:tcW w:w="2126" w:type="dxa"/>
            <w:noWrap w:val="0"/>
            <w:vAlign w:val="center"/>
          </w:tcPr>
          <w:p w14:paraId="204700C5">
            <w:pPr>
              <w:jc w:val="center"/>
              <w:rPr>
                <w:color w:val="auto"/>
              </w:rPr>
            </w:pPr>
            <w:r>
              <w:rPr>
                <w:rFonts w:hint="eastAsia" w:cs="宋体"/>
                <w:color w:val="auto"/>
              </w:rPr>
              <w:t>合同条款号</w:t>
            </w:r>
          </w:p>
        </w:tc>
        <w:tc>
          <w:tcPr>
            <w:tcW w:w="1984" w:type="dxa"/>
            <w:noWrap w:val="0"/>
            <w:vAlign w:val="center"/>
          </w:tcPr>
          <w:p w14:paraId="2951182D">
            <w:pPr>
              <w:jc w:val="center"/>
              <w:rPr>
                <w:color w:val="auto"/>
              </w:rPr>
            </w:pPr>
            <w:r>
              <w:rPr>
                <w:rFonts w:hint="eastAsia" w:cs="宋体"/>
                <w:color w:val="auto"/>
              </w:rPr>
              <w:t>约定内容</w:t>
            </w:r>
          </w:p>
        </w:tc>
        <w:tc>
          <w:tcPr>
            <w:tcW w:w="1843" w:type="dxa"/>
            <w:noWrap w:val="0"/>
            <w:vAlign w:val="center"/>
          </w:tcPr>
          <w:p w14:paraId="49B5B315">
            <w:pPr>
              <w:jc w:val="center"/>
              <w:rPr>
                <w:color w:val="auto"/>
              </w:rPr>
            </w:pPr>
            <w:r>
              <w:rPr>
                <w:rFonts w:hint="eastAsia" w:cs="宋体"/>
                <w:color w:val="auto"/>
                <w:lang w:val="en-US" w:eastAsia="zh-CN"/>
              </w:rPr>
              <w:t>供应商</w:t>
            </w:r>
            <w:r>
              <w:rPr>
                <w:rFonts w:hint="eastAsia" w:cs="宋体"/>
                <w:color w:val="auto"/>
              </w:rPr>
              <w:t>响应情况</w:t>
            </w:r>
          </w:p>
        </w:tc>
      </w:tr>
      <w:tr w14:paraId="74E5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859FB4A">
            <w:pPr>
              <w:jc w:val="center"/>
              <w:rPr>
                <w:color w:val="auto"/>
              </w:rPr>
            </w:pPr>
            <w:r>
              <w:rPr>
                <w:color w:val="auto"/>
              </w:rPr>
              <w:t>1</w:t>
            </w:r>
          </w:p>
        </w:tc>
        <w:tc>
          <w:tcPr>
            <w:tcW w:w="1985" w:type="dxa"/>
            <w:noWrap w:val="0"/>
            <w:vAlign w:val="center"/>
          </w:tcPr>
          <w:p w14:paraId="1DDBB2BF">
            <w:pPr>
              <w:rPr>
                <w:color w:val="auto"/>
              </w:rPr>
            </w:pPr>
            <w:r>
              <w:rPr>
                <w:rFonts w:hint="eastAsia" w:cs="宋体"/>
                <w:color w:val="auto"/>
              </w:rPr>
              <w:t>项目经理</w:t>
            </w:r>
          </w:p>
        </w:tc>
        <w:tc>
          <w:tcPr>
            <w:tcW w:w="2126" w:type="dxa"/>
            <w:noWrap w:val="0"/>
            <w:tcMar>
              <w:left w:w="170" w:type="dxa"/>
            </w:tcMar>
            <w:vAlign w:val="center"/>
          </w:tcPr>
          <w:p w14:paraId="776E5D8B">
            <w:pPr>
              <w:jc w:val="center"/>
              <w:rPr>
                <w:color w:val="auto"/>
              </w:rPr>
            </w:pPr>
            <w:r>
              <w:rPr>
                <w:rFonts w:hint="eastAsia" w:cs="宋体"/>
                <w:color w:val="auto"/>
              </w:rPr>
              <w:t>专用条款</w:t>
            </w:r>
          </w:p>
        </w:tc>
        <w:tc>
          <w:tcPr>
            <w:tcW w:w="1984" w:type="dxa"/>
            <w:noWrap w:val="0"/>
            <w:vAlign w:val="center"/>
          </w:tcPr>
          <w:p w14:paraId="270BAC95">
            <w:pPr>
              <w:rPr>
                <w:color w:val="auto"/>
              </w:rPr>
            </w:pPr>
            <w:r>
              <w:rPr>
                <w:rFonts w:hint="eastAsia" w:cs="宋体"/>
                <w:color w:val="auto"/>
              </w:rPr>
              <w:t>姓名：</w:t>
            </w:r>
            <w:r>
              <w:rPr>
                <w:color w:val="auto"/>
                <w:u w:val="single"/>
              </w:rPr>
              <w:t xml:space="preserve">          </w:t>
            </w:r>
          </w:p>
        </w:tc>
        <w:tc>
          <w:tcPr>
            <w:tcW w:w="1843" w:type="dxa"/>
            <w:noWrap w:val="0"/>
            <w:vAlign w:val="center"/>
          </w:tcPr>
          <w:p w14:paraId="7A23CDEB">
            <w:pPr>
              <w:jc w:val="center"/>
              <w:rPr>
                <w:color w:val="auto"/>
              </w:rPr>
            </w:pPr>
          </w:p>
        </w:tc>
      </w:tr>
      <w:tr w14:paraId="1FB1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8419BAF">
            <w:pPr>
              <w:jc w:val="center"/>
              <w:rPr>
                <w:color w:val="auto"/>
              </w:rPr>
            </w:pPr>
            <w:r>
              <w:rPr>
                <w:color w:val="auto"/>
              </w:rPr>
              <w:t>2</w:t>
            </w:r>
          </w:p>
        </w:tc>
        <w:tc>
          <w:tcPr>
            <w:tcW w:w="1985" w:type="dxa"/>
            <w:noWrap w:val="0"/>
            <w:vAlign w:val="center"/>
          </w:tcPr>
          <w:p w14:paraId="5B95F76C">
            <w:pPr>
              <w:rPr>
                <w:color w:val="auto"/>
              </w:rPr>
            </w:pPr>
            <w:r>
              <w:rPr>
                <w:rFonts w:hint="eastAsia" w:cs="宋体"/>
                <w:color w:val="auto"/>
                <w:lang w:val="en-US" w:eastAsia="zh-CN"/>
              </w:rPr>
              <w:t>竞标</w:t>
            </w:r>
            <w:r>
              <w:rPr>
                <w:rFonts w:hint="eastAsia" w:cs="宋体"/>
                <w:color w:val="auto"/>
              </w:rPr>
              <w:t>有效期</w:t>
            </w:r>
          </w:p>
        </w:tc>
        <w:tc>
          <w:tcPr>
            <w:tcW w:w="2126" w:type="dxa"/>
            <w:noWrap w:val="0"/>
            <w:tcMar>
              <w:left w:w="170" w:type="dxa"/>
            </w:tcMar>
            <w:vAlign w:val="center"/>
          </w:tcPr>
          <w:p w14:paraId="1938D4F7">
            <w:pPr>
              <w:rPr>
                <w:color w:val="auto"/>
              </w:rPr>
            </w:pPr>
          </w:p>
        </w:tc>
        <w:tc>
          <w:tcPr>
            <w:tcW w:w="1984" w:type="dxa"/>
            <w:noWrap w:val="0"/>
            <w:vAlign w:val="center"/>
          </w:tcPr>
          <w:p w14:paraId="7379F4E9">
            <w:pPr>
              <w:jc w:val="center"/>
              <w:rPr>
                <w:color w:val="auto"/>
                <w:u w:val="single"/>
              </w:rPr>
            </w:pPr>
            <w:r>
              <w:rPr>
                <w:color w:val="auto"/>
                <w:u w:val="single"/>
              </w:rPr>
              <w:t xml:space="preserve">          </w:t>
            </w:r>
            <w:r>
              <w:rPr>
                <w:rFonts w:hint="eastAsia" w:cs="宋体"/>
                <w:color w:val="auto"/>
              </w:rPr>
              <w:t>日历天</w:t>
            </w:r>
          </w:p>
        </w:tc>
        <w:tc>
          <w:tcPr>
            <w:tcW w:w="1843" w:type="dxa"/>
            <w:noWrap w:val="0"/>
            <w:vAlign w:val="center"/>
          </w:tcPr>
          <w:p w14:paraId="2DE4949A">
            <w:pPr>
              <w:jc w:val="center"/>
              <w:rPr>
                <w:color w:val="auto"/>
              </w:rPr>
            </w:pPr>
          </w:p>
        </w:tc>
      </w:tr>
      <w:tr w14:paraId="4DC1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B294E9F">
            <w:pPr>
              <w:jc w:val="center"/>
              <w:rPr>
                <w:color w:val="auto"/>
              </w:rPr>
            </w:pPr>
            <w:r>
              <w:rPr>
                <w:color w:val="auto"/>
              </w:rPr>
              <w:t>3</w:t>
            </w:r>
          </w:p>
        </w:tc>
        <w:tc>
          <w:tcPr>
            <w:tcW w:w="1985" w:type="dxa"/>
            <w:noWrap w:val="0"/>
            <w:vAlign w:val="center"/>
          </w:tcPr>
          <w:p w14:paraId="239974F7">
            <w:pPr>
              <w:rPr>
                <w:color w:val="auto"/>
              </w:rPr>
            </w:pPr>
            <w:r>
              <w:rPr>
                <w:rFonts w:hint="eastAsia" w:cs="宋体"/>
                <w:color w:val="auto"/>
              </w:rPr>
              <w:t>工期</w:t>
            </w:r>
          </w:p>
        </w:tc>
        <w:tc>
          <w:tcPr>
            <w:tcW w:w="2126" w:type="dxa"/>
            <w:noWrap w:val="0"/>
            <w:tcMar>
              <w:left w:w="170" w:type="dxa"/>
            </w:tcMar>
            <w:vAlign w:val="center"/>
          </w:tcPr>
          <w:p w14:paraId="6E6AEF8A">
            <w:pPr>
              <w:jc w:val="center"/>
              <w:rPr>
                <w:color w:val="auto"/>
              </w:rPr>
            </w:pPr>
            <w:r>
              <w:rPr>
                <w:rFonts w:hint="eastAsia" w:cs="宋体"/>
                <w:color w:val="auto"/>
              </w:rPr>
              <w:t>专用条款</w:t>
            </w:r>
          </w:p>
        </w:tc>
        <w:tc>
          <w:tcPr>
            <w:tcW w:w="1984" w:type="dxa"/>
            <w:noWrap w:val="0"/>
            <w:vAlign w:val="center"/>
          </w:tcPr>
          <w:p w14:paraId="7600C10B">
            <w:pPr>
              <w:jc w:val="center"/>
              <w:rPr>
                <w:color w:val="auto"/>
              </w:rPr>
            </w:pPr>
            <w:r>
              <w:rPr>
                <w:color w:val="auto"/>
                <w:u w:val="single"/>
              </w:rPr>
              <w:t xml:space="preserve">          </w:t>
            </w:r>
            <w:r>
              <w:rPr>
                <w:rFonts w:hint="eastAsia" w:cs="宋体"/>
                <w:color w:val="auto"/>
              </w:rPr>
              <w:t>日历天</w:t>
            </w:r>
          </w:p>
        </w:tc>
        <w:tc>
          <w:tcPr>
            <w:tcW w:w="1843" w:type="dxa"/>
            <w:noWrap w:val="0"/>
            <w:vAlign w:val="center"/>
          </w:tcPr>
          <w:p w14:paraId="4FEF199B">
            <w:pPr>
              <w:jc w:val="center"/>
              <w:rPr>
                <w:color w:val="auto"/>
              </w:rPr>
            </w:pPr>
          </w:p>
        </w:tc>
      </w:tr>
      <w:tr w14:paraId="69DC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7FBCC2">
            <w:pPr>
              <w:jc w:val="center"/>
              <w:rPr>
                <w:color w:val="auto"/>
              </w:rPr>
            </w:pPr>
            <w:r>
              <w:rPr>
                <w:color w:val="auto"/>
              </w:rPr>
              <w:t>4</w:t>
            </w:r>
          </w:p>
        </w:tc>
        <w:tc>
          <w:tcPr>
            <w:tcW w:w="1985" w:type="dxa"/>
            <w:noWrap w:val="0"/>
            <w:vAlign w:val="center"/>
          </w:tcPr>
          <w:p w14:paraId="60B6FC4F">
            <w:pPr>
              <w:rPr>
                <w:color w:val="auto"/>
              </w:rPr>
            </w:pPr>
            <w:r>
              <w:rPr>
                <w:rFonts w:hint="eastAsia" w:cs="宋体"/>
                <w:color w:val="auto"/>
              </w:rPr>
              <w:t>缺陷责任期</w:t>
            </w:r>
          </w:p>
        </w:tc>
        <w:tc>
          <w:tcPr>
            <w:tcW w:w="2126" w:type="dxa"/>
            <w:noWrap w:val="0"/>
            <w:tcMar>
              <w:left w:w="170" w:type="dxa"/>
            </w:tcMar>
            <w:vAlign w:val="center"/>
          </w:tcPr>
          <w:p w14:paraId="4D462544">
            <w:pPr>
              <w:jc w:val="center"/>
              <w:rPr>
                <w:color w:val="auto"/>
              </w:rPr>
            </w:pPr>
            <w:r>
              <w:rPr>
                <w:rFonts w:hint="eastAsia" w:cs="宋体"/>
                <w:color w:val="auto"/>
              </w:rPr>
              <w:t>专用条款</w:t>
            </w:r>
          </w:p>
        </w:tc>
        <w:tc>
          <w:tcPr>
            <w:tcW w:w="1984" w:type="dxa"/>
            <w:noWrap w:val="0"/>
            <w:vAlign w:val="center"/>
          </w:tcPr>
          <w:p w14:paraId="0FAD41D8">
            <w:pPr>
              <w:jc w:val="center"/>
              <w:rPr>
                <w:color w:val="auto"/>
              </w:rPr>
            </w:pPr>
          </w:p>
        </w:tc>
        <w:tc>
          <w:tcPr>
            <w:tcW w:w="1843" w:type="dxa"/>
            <w:noWrap w:val="0"/>
            <w:vAlign w:val="center"/>
          </w:tcPr>
          <w:p w14:paraId="79844D50">
            <w:pPr>
              <w:jc w:val="center"/>
              <w:rPr>
                <w:color w:val="auto"/>
              </w:rPr>
            </w:pPr>
          </w:p>
        </w:tc>
      </w:tr>
      <w:tr w14:paraId="1915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05EFD8E">
            <w:pPr>
              <w:jc w:val="center"/>
              <w:rPr>
                <w:color w:val="auto"/>
              </w:rPr>
            </w:pPr>
            <w:r>
              <w:rPr>
                <w:color w:val="auto"/>
              </w:rPr>
              <w:t>5</w:t>
            </w:r>
          </w:p>
        </w:tc>
        <w:tc>
          <w:tcPr>
            <w:tcW w:w="1985" w:type="dxa"/>
            <w:noWrap w:val="0"/>
            <w:vAlign w:val="center"/>
          </w:tcPr>
          <w:p w14:paraId="0C81A82C">
            <w:pPr>
              <w:rPr>
                <w:color w:val="auto"/>
              </w:rPr>
            </w:pPr>
            <w:r>
              <w:rPr>
                <w:rFonts w:hint="eastAsia" w:cs="宋体"/>
                <w:color w:val="auto"/>
              </w:rPr>
              <w:t>发包人支付担保</w:t>
            </w:r>
          </w:p>
        </w:tc>
        <w:tc>
          <w:tcPr>
            <w:tcW w:w="2126" w:type="dxa"/>
            <w:noWrap w:val="0"/>
            <w:tcMar>
              <w:left w:w="170" w:type="dxa"/>
            </w:tcMar>
            <w:vAlign w:val="center"/>
          </w:tcPr>
          <w:p w14:paraId="53DEF48E">
            <w:pPr>
              <w:jc w:val="center"/>
              <w:rPr>
                <w:color w:val="auto"/>
              </w:rPr>
            </w:pPr>
            <w:r>
              <w:rPr>
                <w:rFonts w:hint="eastAsia" w:cs="宋体"/>
                <w:color w:val="auto"/>
              </w:rPr>
              <w:t>专用条款</w:t>
            </w:r>
          </w:p>
        </w:tc>
        <w:tc>
          <w:tcPr>
            <w:tcW w:w="1984" w:type="dxa"/>
            <w:noWrap w:val="0"/>
            <w:vAlign w:val="center"/>
          </w:tcPr>
          <w:p w14:paraId="417E5562">
            <w:pPr>
              <w:jc w:val="center"/>
              <w:rPr>
                <w:color w:val="auto"/>
              </w:rPr>
            </w:pPr>
          </w:p>
        </w:tc>
        <w:tc>
          <w:tcPr>
            <w:tcW w:w="1843" w:type="dxa"/>
            <w:noWrap w:val="0"/>
            <w:vAlign w:val="center"/>
          </w:tcPr>
          <w:p w14:paraId="608C5E37">
            <w:pPr>
              <w:jc w:val="center"/>
              <w:rPr>
                <w:color w:val="auto"/>
              </w:rPr>
            </w:pPr>
          </w:p>
        </w:tc>
      </w:tr>
      <w:tr w14:paraId="4466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F302C81">
            <w:pPr>
              <w:jc w:val="center"/>
              <w:rPr>
                <w:color w:val="auto"/>
              </w:rPr>
            </w:pPr>
            <w:r>
              <w:rPr>
                <w:color w:val="auto"/>
              </w:rPr>
              <w:t>6</w:t>
            </w:r>
          </w:p>
        </w:tc>
        <w:tc>
          <w:tcPr>
            <w:tcW w:w="1985" w:type="dxa"/>
            <w:noWrap w:val="0"/>
            <w:vAlign w:val="center"/>
          </w:tcPr>
          <w:p w14:paraId="59041F11">
            <w:pPr>
              <w:rPr>
                <w:color w:val="auto"/>
              </w:rPr>
            </w:pPr>
            <w:r>
              <w:rPr>
                <w:rFonts w:hint="eastAsia" w:cs="宋体"/>
                <w:color w:val="auto"/>
              </w:rPr>
              <w:t>承包人履约担保金额</w:t>
            </w:r>
          </w:p>
        </w:tc>
        <w:tc>
          <w:tcPr>
            <w:tcW w:w="2126" w:type="dxa"/>
            <w:noWrap w:val="0"/>
            <w:tcMar>
              <w:left w:w="170" w:type="dxa"/>
            </w:tcMar>
            <w:vAlign w:val="center"/>
          </w:tcPr>
          <w:p w14:paraId="0F4588ED">
            <w:pPr>
              <w:jc w:val="center"/>
              <w:rPr>
                <w:color w:val="auto"/>
              </w:rPr>
            </w:pPr>
            <w:r>
              <w:rPr>
                <w:rFonts w:hint="eastAsia" w:cs="宋体"/>
                <w:color w:val="auto"/>
              </w:rPr>
              <w:t>专用条款</w:t>
            </w:r>
          </w:p>
        </w:tc>
        <w:tc>
          <w:tcPr>
            <w:tcW w:w="1984" w:type="dxa"/>
            <w:noWrap w:val="0"/>
            <w:vAlign w:val="center"/>
          </w:tcPr>
          <w:p w14:paraId="26E4C0CC">
            <w:pPr>
              <w:jc w:val="center"/>
              <w:rPr>
                <w:color w:val="auto"/>
              </w:rPr>
            </w:pPr>
          </w:p>
        </w:tc>
        <w:tc>
          <w:tcPr>
            <w:tcW w:w="1843" w:type="dxa"/>
            <w:noWrap w:val="0"/>
            <w:vAlign w:val="center"/>
          </w:tcPr>
          <w:p w14:paraId="40BFEBC7">
            <w:pPr>
              <w:jc w:val="center"/>
              <w:rPr>
                <w:color w:val="auto"/>
              </w:rPr>
            </w:pPr>
          </w:p>
        </w:tc>
      </w:tr>
      <w:tr w14:paraId="187D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E96A066">
            <w:pPr>
              <w:jc w:val="center"/>
              <w:rPr>
                <w:color w:val="auto"/>
              </w:rPr>
            </w:pPr>
            <w:r>
              <w:rPr>
                <w:color w:val="auto"/>
              </w:rPr>
              <w:t>7</w:t>
            </w:r>
          </w:p>
        </w:tc>
        <w:tc>
          <w:tcPr>
            <w:tcW w:w="1985" w:type="dxa"/>
            <w:noWrap w:val="0"/>
            <w:vAlign w:val="center"/>
          </w:tcPr>
          <w:p w14:paraId="03C70284">
            <w:pPr>
              <w:rPr>
                <w:color w:val="auto"/>
              </w:rPr>
            </w:pPr>
            <w:r>
              <w:rPr>
                <w:rFonts w:hint="eastAsia" w:cs="宋体"/>
                <w:color w:val="auto"/>
              </w:rPr>
              <w:t>分包</w:t>
            </w:r>
          </w:p>
        </w:tc>
        <w:tc>
          <w:tcPr>
            <w:tcW w:w="2126" w:type="dxa"/>
            <w:noWrap w:val="0"/>
            <w:tcMar>
              <w:left w:w="170" w:type="dxa"/>
            </w:tcMar>
            <w:vAlign w:val="center"/>
          </w:tcPr>
          <w:p w14:paraId="0A5080AB">
            <w:pPr>
              <w:jc w:val="center"/>
              <w:rPr>
                <w:color w:val="auto"/>
              </w:rPr>
            </w:pPr>
            <w:r>
              <w:rPr>
                <w:rFonts w:hint="eastAsia" w:cs="宋体"/>
                <w:color w:val="auto"/>
              </w:rPr>
              <w:t>专用条款</w:t>
            </w:r>
          </w:p>
        </w:tc>
        <w:tc>
          <w:tcPr>
            <w:tcW w:w="1984" w:type="dxa"/>
            <w:noWrap w:val="0"/>
            <w:vAlign w:val="center"/>
          </w:tcPr>
          <w:p w14:paraId="3B1CA196">
            <w:pPr>
              <w:jc w:val="center"/>
              <w:rPr>
                <w:color w:val="auto"/>
              </w:rPr>
            </w:pPr>
            <w:r>
              <w:rPr>
                <w:rFonts w:hint="eastAsia" w:cs="宋体"/>
                <w:color w:val="auto"/>
              </w:rPr>
              <w:t>见分包项目情况表</w:t>
            </w:r>
          </w:p>
        </w:tc>
        <w:tc>
          <w:tcPr>
            <w:tcW w:w="1843" w:type="dxa"/>
            <w:noWrap w:val="0"/>
            <w:vAlign w:val="center"/>
          </w:tcPr>
          <w:p w14:paraId="7CFD2CBB">
            <w:pPr>
              <w:jc w:val="center"/>
              <w:rPr>
                <w:color w:val="auto"/>
              </w:rPr>
            </w:pPr>
          </w:p>
        </w:tc>
      </w:tr>
      <w:tr w14:paraId="488A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4585474">
            <w:pPr>
              <w:jc w:val="center"/>
              <w:rPr>
                <w:color w:val="auto"/>
              </w:rPr>
            </w:pPr>
            <w:r>
              <w:rPr>
                <w:color w:val="auto"/>
              </w:rPr>
              <w:t>8</w:t>
            </w:r>
          </w:p>
        </w:tc>
        <w:tc>
          <w:tcPr>
            <w:tcW w:w="1985" w:type="dxa"/>
            <w:noWrap w:val="0"/>
            <w:vAlign w:val="center"/>
          </w:tcPr>
          <w:p w14:paraId="56A17797">
            <w:pPr>
              <w:rPr>
                <w:color w:val="auto"/>
              </w:rPr>
            </w:pPr>
            <w:r>
              <w:rPr>
                <w:rFonts w:hint="eastAsia" w:cs="宋体"/>
                <w:color w:val="auto"/>
              </w:rPr>
              <w:t>逾期竣工违约金</w:t>
            </w:r>
          </w:p>
        </w:tc>
        <w:tc>
          <w:tcPr>
            <w:tcW w:w="2126" w:type="dxa"/>
            <w:noWrap w:val="0"/>
            <w:tcMar>
              <w:left w:w="170" w:type="dxa"/>
            </w:tcMar>
            <w:vAlign w:val="center"/>
          </w:tcPr>
          <w:p w14:paraId="67770C5F">
            <w:pPr>
              <w:jc w:val="center"/>
              <w:rPr>
                <w:color w:val="auto"/>
              </w:rPr>
            </w:pPr>
            <w:r>
              <w:rPr>
                <w:rFonts w:hint="eastAsia" w:cs="宋体"/>
                <w:color w:val="auto"/>
              </w:rPr>
              <w:t>专用条款</w:t>
            </w:r>
          </w:p>
        </w:tc>
        <w:tc>
          <w:tcPr>
            <w:tcW w:w="1984" w:type="dxa"/>
            <w:noWrap w:val="0"/>
            <w:vAlign w:val="center"/>
          </w:tcPr>
          <w:p w14:paraId="589C6C44">
            <w:pPr>
              <w:rPr>
                <w:color w:val="auto"/>
              </w:rPr>
            </w:pPr>
          </w:p>
        </w:tc>
        <w:tc>
          <w:tcPr>
            <w:tcW w:w="1843" w:type="dxa"/>
            <w:noWrap w:val="0"/>
            <w:vAlign w:val="center"/>
          </w:tcPr>
          <w:p w14:paraId="7689317F">
            <w:pPr>
              <w:jc w:val="center"/>
              <w:rPr>
                <w:color w:val="auto"/>
              </w:rPr>
            </w:pPr>
          </w:p>
        </w:tc>
      </w:tr>
      <w:tr w14:paraId="3A43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FC13E52">
            <w:pPr>
              <w:jc w:val="center"/>
              <w:rPr>
                <w:color w:val="auto"/>
              </w:rPr>
            </w:pPr>
            <w:r>
              <w:rPr>
                <w:color w:val="auto"/>
              </w:rPr>
              <w:t>9</w:t>
            </w:r>
          </w:p>
        </w:tc>
        <w:tc>
          <w:tcPr>
            <w:tcW w:w="1985" w:type="dxa"/>
            <w:noWrap w:val="0"/>
            <w:vAlign w:val="center"/>
          </w:tcPr>
          <w:p w14:paraId="39345825">
            <w:pPr>
              <w:rPr>
                <w:color w:val="auto"/>
              </w:rPr>
            </w:pPr>
            <w:r>
              <w:rPr>
                <w:rFonts w:hint="eastAsia" w:cs="宋体"/>
                <w:color w:val="auto"/>
              </w:rPr>
              <w:t>逾期竣工违约金最高限额</w:t>
            </w:r>
          </w:p>
        </w:tc>
        <w:tc>
          <w:tcPr>
            <w:tcW w:w="2126" w:type="dxa"/>
            <w:noWrap w:val="0"/>
            <w:tcMar>
              <w:left w:w="170" w:type="dxa"/>
            </w:tcMar>
            <w:vAlign w:val="center"/>
          </w:tcPr>
          <w:p w14:paraId="257112CC">
            <w:pPr>
              <w:jc w:val="center"/>
              <w:rPr>
                <w:color w:val="auto"/>
              </w:rPr>
            </w:pPr>
            <w:r>
              <w:rPr>
                <w:rFonts w:hint="eastAsia" w:cs="宋体"/>
                <w:color w:val="auto"/>
              </w:rPr>
              <w:t>专用条款</w:t>
            </w:r>
          </w:p>
        </w:tc>
        <w:tc>
          <w:tcPr>
            <w:tcW w:w="1984" w:type="dxa"/>
            <w:noWrap w:val="0"/>
            <w:vAlign w:val="center"/>
          </w:tcPr>
          <w:p w14:paraId="5EE1B977">
            <w:pPr>
              <w:rPr>
                <w:color w:val="auto"/>
              </w:rPr>
            </w:pPr>
          </w:p>
        </w:tc>
        <w:tc>
          <w:tcPr>
            <w:tcW w:w="1843" w:type="dxa"/>
            <w:noWrap w:val="0"/>
            <w:vAlign w:val="center"/>
          </w:tcPr>
          <w:p w14:paraId="13D96670">
            <w:pPr>
              <w:jc w:val="center"/>
              <w:rPr>
                <w:color w:val="auto"/>
              </w:rPr>
            </w:pPr>
          </w:p>
        </w:tc>
      </w:tr>
      <w:tr w14:paraId="5D4C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0D64723">
            <w:pPr>
              <w:jc w:val="center"/>
              <w:rPr>
                <w:color w:val="auto"/>
              </w:rPr>
            </w:pPr>
            <w:r>
              <w:rPr>
                <w:color w:val="auto"/>
              </w:rPr>
              <w:t>10</w:t>
            </w:r>
          </w:p>
        </w:tc>
        <w:tc>
          <w:tcPr>
            <w:tcW w:w="1985" w:type="dxa"/>
            <w:noWrap w:val="0"/>
            <w:vAlign w:val="center"/>
          </w:tcPr>
          <w:p w14:paraId="25A04F03">
            <w:pPr>
              <w:rPr>
                <w:color w:val="auto"/>
              </w:rPr>
            </w:pPr>
            <w:r>
              <w:rPr>
                <w:rFonts w:hint="eastAsia" w:cs="宋体"/>
                <w:color w:val="auto"/>
              </w:rPr>
              <w:t>质量标准</w:t>
            </w:r>
          </w:p>
        </w:tc>
        <w:tc>
          <w:tcPr>
            <w:tcW w:w="2126" w:type="dxa"/>
            <w:noWrap w:val="0"/>
            <w:tcMar>
              <w:left w:w="170" w:type="dxa"/>
            </w:tcMar>
            <w:vAlign w:val="center"/>
          </w:tcPr>
          <w:p w14:paraId="397436EC">
            <w:pPr>
              <w:jc w:val="center"/>
              <w:rPr>
                <w:color w:val="auto"/>
              </w:rPr>
            </w:pPr>
            <w:r>
              <w:rPr>
                <w:rFonts w:hint="eastAsia" w:cs="宋体"/>
                <w:color w:val="auto"/>
              </w:rPr>
              <w:t>专用条款</w:t>
            </w:r>
          </w:p>
        </w:tc>
        <w:tc>
          <w:tcPr>
            <w:tcW w:w="1984" w:type="dxa"/>
            <w:noWrap w:val="0"/>
            <w:vAlign w:val="center"/>
          </w:tcPr>
          <w:p w14:paraId="5CFC65D9">
            <w:pPr>
              <w:jc w:val="center"/>
              <w:rPr>
                <w:color w:val="auto"/>
              </w:rPr>
            </w:pPr>
          </w:p>
        </w:tc>
        <w:tc>
          <w:tcPr>
            <w:tcW w:w="1843" w:type="dxa"/>
            <w:noWrap w:val="0"/>
            <w:vAlign w:val="center"/>
          </w:tcPr>
          <w:p w14:paraId="084F2EBB">
            <w:pPr>
              <w:jc w:val="center"/>
              <w:rPr>
                <w:color w:val="auto"/>
              </w:rPr>
            </w:pPr>
          </w:p>
        </w:tc>
      </w:tr>
      <w:tr w14:paraId="1A41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378C64D">
            <w:pPr>
              <w:jc w:val="center"/>
              <w:rPr>
                <w:color w:val="auto"/>
              </w:rPr>
            </w:pPr>
            <w:r>
              <w:rPr>
                <w:color w:val="auto"/>
              </w:rPr>
              <w:t>11</w:t>
            </w:r>
          </w:p>
        </w:tc>
        <w:tc>
          <w:tcPr>
            <w:tcW w:w="1985" w:type="dxa"/>
            <w:noWrap w:val="0"/>
            <w:vAlign w:val="center"/>
          </w:tcPr>
          <w:p w14:paraId="4880CF3A">
            <w:pPr>
              <w:rPr>
                <w:color w:val="auto"/>
              </w:rPr>
            </w:pPr>
            <w:r>
              <w:rPr>
                <w:rFonts w:hint="eastAsia" w:cs="宋体"/>
                <w:color w:val="auto"/>
              </w:rPr>
              <w:t>预付款额度</w:t>
            </w:r>
          </w:p>
        </w:tc>
        <w:tc>
          <w:tcPr>
            <w:tcW w:w="2126" w:type="dxa"/>
            <w:noWrap w:val="0"/>
            <w:tcMar>
              <w:left w:w="170" w:type="dxa"/>
            </w:tcMar>
            <w:vAlign w:val="center"/>
          </w:tcPr>
          <w:p w14:paraId="2ECBFC1F">
            <w:pPr>
              <w:jc w:val="center"/>
              <w:rPr>
                <w:color w:val="auto"/>
              </w:rPr>
            </w:pPr>
            <w:r>
              <w:rPr>
                <w:rFonts w:hint="eastAsia" w:cs="宋体"/>
                <w:color w:val="auto"/>
              </w:rPr>
              <w:t>专用条款</w:t>
            </w:r>
          </w:p>
        </w:tc>
        <w:tc>
          <w:tcPr>
            <w:tcW w:w="1984" w:type="dxa"/>
            <w:noWrap w:val="0"/>
            <w:vAlign w:val="center"/>
          </w:tcPr>
          <w:p w14:paraId="2A972DF6">
            <w:pPr>
              <w:jc w:val="center"/>
              <w:rPr>
                <w:color w:val="auto"/>
              </w:rPr>
            </w:pPr>
          </w:p>
        </w:tc>
        <w:tc>
          <w:tcPr>
            <w:tcW w:w="1843" w:type="dxa"/>
            <w:noWrap w:val="0"/>
            <w:vAlign w:val="center"/>
          </w:tcPr>
          <w:p w14:paraId="639FF75F">
            <w:pPr>
              <w:jc w:val="center"/>
              <w:rPr>
                <w:color w:val="auto"/>
              </w:rPr>
            </w:pPr>
          </w:p>
        </w:tc>
      </w:tr>
      <w:tr w14:paraId="0E13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C1457B6">
            <w:pPr>
              <w:jc w:val="center"/>
              <w:rPr>
                <w:color w:val="auto"/>
              </w:rPr>
            </w:pPr>
            <w:r>
              <w:rPr>
                <w:color w:val="auto"/>
              </w:rPr>
              <w:t>12</w:t>
            </w:r>
          </w:p>
        </w:tc>
        <w:tc>
          <w:tcPr>
            <w:tcW w:w="1985" w:type="dxa"/>
            <w:noWrap w:val="0"/>
            <w:vAlign w:val="center"/>
          </w:tcPr>
          <w:p w14:paraId="4EBAB2ED">
            <w:pPr>
              <w:rPr>
                <w:color w:val="auto"/>
              </w:rPr>
            </w:pPr>
            <w:r>
              <w:rPr>
                <w:rFonts w:hint="eastAsia" w:cs="宋体"/>
                <w:color w:val="auto"/>
              </w:rPr>
              <w:t>预付款保函金额</w:t>
            </w:r>
          </w:p>
        </w:tc>
        <w:tc>
          <w:tcPr>
            <w:tcW w:w="2126" w:type="dxa"/>
            <w:noWrap w:val="0"/>
            <w:tcMar>
              <w:left w:w="170" w:type="dxa"/>
            </w:tcMar>
            <w:vAlign w:val="center"/>
          </w:tcPr>
          <w:p w14:paraId="365AE7B6">
            <w:pPr>
              <w:jc w:val="center"/>
              <w:rPr>
                <w:color w:val="auto"/>
              </w:rPr>
            </w:pPr>
            <w:r>
              <w:rPr>
                <w:rFonts w:hint="eastAsia" w:cs="宋体"/>
                <w:color w:val="auto"/>
              </w:rPr>
              <w:t>专用条款</w:t>
            </w:r>
          </w:p>
        </w:tc>
        <w:tc>
          <w:tcPr>
            <w:tcW w:w="1984" w:type="dxa"/>
            <w:noWrap w:val="0"/>
            <w:vAlign w:val="center"/>
          </w:tcPr>
          <w:p w14:paraId="28777558">
            <w:pPr>
              <w:jc w:val="center"/>
              <w:rPr>
                <w:color w:val="auto"/>
              </w:rPr>
            </w:pPr>
          </w:p>
        </w:tc>
        <w:tc>
          <w:tcPr>
            <w:tcW w:w="1843" w:type="dxa"/>
            <w:noWrap w:val="0"/>
            <w:vAlign w:val="center"/>
          </w:tcPr>
          <w:p w14:paraId="05B8098D">
            <w:pPr>
              <w:jc w:val="center"/>
              <w:rPr>
                <w:color w:val="auto"/>
              </w:rPr>
            </w:pPr>
          </w:p>
        </w:tc>
      </w:tr>
      <w:tr w14:paraId="1D94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424D735">
            <w:pPr>
              <w:jc w:val="center"/>
              <w:rPr>
                <w:color w:val="auto"/>
              </w:rPr>
            </w:pPr>
            <w:r>
              <w:rPr>
                <w:color w:val="auto"/>
              </w:rPr>
              <w:t>13</w:t>
            </w:r>
          </w:p>
        </w:tc>
        <w:tc>
          <w:tcPr>
            <w:tcW w:w="1985" w:type="dxa"/>
            <w:noWrap w:val="0"/>
            <w:vAlign w:val="center"/>
          </w:tcPr>
          <w:p w14:paraId="141B0F10">
            <w:pPr>
              <w:rPr>
                <w:color w:val="auto"/>
              </w:rPr>
            </w:pPr>
            <w:r>
              <w:rPr>
                <w:rFonts w:hint="eastAsia" w:cs="宋体"/>
                <w:color w:val="auto"/>
              </w:rPr>
              <w:t>质量保证金额度</w:t>
            </w:r>
          </w:p>
        </w:tc>
        <w:tc>
          <w:tcPr>
            <w:tcW w:w="2126" w:type="dxa"/>
            <w:noWrap w:val="0"/>
            <w:tcMar>
              <w:left w:w="170" w:type="dxa"/>
            </w:tcMar>
            <w:vAlign w:val="center"/>
          </w:tcPr>
          <w:p w14:paraId="2FEC2AB9">
            <w:pPr>
              <w:jc w:val="center"/>
              <w:rPr>
                <w:color w:val="auto"/>
              </w:rPr>
            </w:pPr>
            <w:r>
              <w:rPr>
                <w:rFonts w:hint="eastAsia" w:cs="宋体"/>
                <w:color w:val="auto"/>
              </w:rPr>
              <w:t>专用条款</w:t>
            </w:r>
          </w:p>
        </w:tc>
        <w:tc>
          <w:tcPr>
            <w:tcW w:w="1984" w:type="dxa"/>
            <w:noWrap w:val="0"/>
            <w:vAlign w:val="center"/>
          </w:tcPr>
          <w:p w14:paraId="2F977AF0">
            <w:pPr>
              <w:jc w:val="center"/>
              <w:rPr>
                <w:color w:val="auto"/>
              </w:rPr>
            </w:pPr>
            <w:r>
              <w:rPr>
                <w:rFonts w:hint="eastAsia" w:cs="宋体"/>
                <w:color w:val="auto"/>
              </w:rPr>
              <w:t>结算价的</w:t>
            </w:r>
            <w:r>
              <w:rPr>
                <w:color w:val="auto"/>
                <w:u w:val="single"/>
              </w:rPr>
              <w:t xml:space="preserve">     </w:t>
            </w:r>
            <w:r>
              <w:rPr>
                <w:color w:val="auto"/>
              </w:rPr>
              <w:t xml:space="preserve">% </w:t>
            </w:r>
            <w:r>
              <w:rPr>
                <w:color w:val="auto"/>
                <w:u w:val="single"/>
              </w:rPr>
              <w:t xml:space="preserve"> </w:t>
            </w:r>
          </w:p>
        </w:tc>
        <w:tc>
          <w:tcPr>
            <w:tcW w:w="1843" w:type="dxa"/>
            <w:noWrap w:val="0"/>
            <w:vAlign w:val="center"/>
          </w:tcPr>
          <w:p w14:paraId="0AD9EDB0">
            <w:pPr>
              <w:jc w:val="center"/>
              <w:rPr>
                <w:color w:val="auto"/>
              </w:rPr>
            </w:pPr>
          </w:p>
        </w:tc>
      </w:tr>
      <w:tr w14:paraId="446B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C54A85C">
            <w:pPr>
              <w:jc w:val="center"/>
              <w:rPr>
                <w:color w:val="auto"/>
              </w:rPr>
            </w:pPr>
            <w:r>
              <w:rPr>
                <w:color w:val="auto"/>
              </w:rPr>
              <w:t>……</w:t>
            </w:r>
          </w:p>
        </w:tc>
        <w:tc>
          <w:tcPr>
            <w:tcW w:w="1985" w:type="dxa"/>
            <w:noWrap w:val="0"/>
            <w:vAlign w:val="center"/>
          </w:tcPr>
          <w:p w14:paraId="365B02DF">
            <w:pPr>
              <w:jc w:val="center"/>
              <w:rPr>
                <w:color w:val="auto"/>
              </w:rPr>
            </w:pPr>
            <w:r>
              <w:rPr>
                <w:color w:val="auto"/>
              </w:rPr>
              <w:t>……</w:t>
            </w:r>
          </w:p>
        </w:tc>
        <w:tc>
          <w:tcPr>
            <w:tcW w:w="2126" w:type="dxa"/>
            <w:noWrap w:val="0"/>
            <w:tcMar>
              <w:left w:w="170" w:type="dxa"/>
            </w:tcMar>
            <w:vAlign w:val="center"/>
          </w:tcPr>
          <w:p w14:paraId="3E8F6C50">
            <w:pPr>
              <w:rPr>
                <w:color w:val="auto"/>
              </w:rPr>
            </w:pPr>
          </w:p>
        </w:tc>
        <w:tc>
          <w:tcPr>
            <w:tcW w:w="1984" w:type="dxa"/>
            <w:noWrap w:val="0"/>
            <w:vAlign w:val="center"/>
          </w:tcPr>
          <w:p w14:paraId="32ABFD48">
            <w:pPr>
              <w:jc w:val="center"/>
              <w:rPr>
                <w:color w:val="auto"/>
              </w:rPr>
            </w:pPr>
          </w:p>
        </w:tc>
        <w:tc>
          <w:tcPr>
            <w:tcW w:w="1843" w:type="dxa"/>
            <w:noWrap w:val="0"/>
            <w:vAlign w:val="center"/>
          </w:tcPr>
          <w:p w14:paraId="0F4C6CFF">
            <w:pPr>
              <w:jc w:val="center"/>
              <w:rPr>
                <w:color w:val="auto"/>
              </w:rPr>
            </w:pPr>
          </w:p>
        </w:tc>
      </w:tr>
      <w:tr w14:paraId="22BB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35ECA1F8">
            <w:pPr>
              <w:spacing w:line="360" w:lineRule="auto"/>
              <w:rPr>
                <w:color w:val="auto"/>
              </w:rPr>
            </w:pPr>
            <w:r>
              <w:rPr>
                <w:rFonts w:hint="eastAsia" w:cs="宋体"/>
                <w:color w:val="auto"/>
              </w:rPr>
              <w:t>说明：</w:t>
            </w:r>
            <w:r>
              <w:rPr>
                <w:rFonts w:hint="eastAsia" w:cs="宋体"/>
                <w:color w:val="auto"/>
                <w:lang w:val="en-US" w:eastAsia="zh-CN"/>
              </w:rPr>
              <w:t>供应商</w:t>
            </w:r>
            <w:r>
              <w:rPr>
                <w:rFonts w:hint="eastAsia" w:cs="宋体"/>
                <w:color w:val="auto"/>
              </w:rPr>
              <w:t>在响应</w:t>
            </w:r>
            <w:r>
              <w:rPr>
                <w:rFonts w:hint="eastAsia" w:cs="宋体"/>
                <w:color w:val="auto"/>
                <w:lang w:val="en-US" w:eastAsia="zh-CN"/>
              </w:rPr>
              <w:t>文件</w:t>
            </w:r>
            <w:r>
              <w:rPr>
                <w:rFonts w:hint="eastAsia" w:cs="宋体"/>
                <w:color w:val="auto"/>
              </w:rPr>
              <w:t>中规定的实质性要求和条件的基础上，可做出其他有利于</w:t>
            </w:r>
            <w:r>
              <w:rPr>
                <w:rFonts w:hint="eastAsia" w:cs="宋体"/>
                <w:color w:val="auto"/>
                <w:lang w:val="en-US" w:eastAsia="zh-CN"/>
              </w:rPr>
              <w:t>采购人</w:t>
            </w:r>
            <w:r>
              <w:rPr>
                <w:rFonts w:hint="eastAsia" w:cs="宋体"/>
                <w:color w:val="auto"/>
              </w:rPr>
              <w:t>的承诺。此类承诺可在本表中予以补充填写。</w:t>
            </w:r>
          </w:p>
        </w:tc>
      </w:tr>
    </w:tbl>
    <w:p w14:paraId="7FA36AB7">
      <w:pPr>
        <w:spacing w:line="480" w:lineRule="exact"/>
        <w:ind w:firstLine="4200" w:firstLineChars="2000"/>
        <w:rPr>
          <w:rFonts w:hint="default" w:eastAsia="宋体"/>
          <w:color w:val="auto"/>
          <w:lang w:val="en-US" w:eastAsia="zh-CN"/>
        </w:rPr>
      </w:pPr>
      <w:r>
        <w:rPr>
          <w:rFonts w:hint="eastAsia" w:ascii="宋体" w:hAnsi="宋体" w:eastAsia="宋体" w:cs="宋体"/>
          <w:bCs/>
          <w:color w:val="auto"/>
          <w:spacing w:val="0"/>
          <w:sz w:val="21"/>
          <w:szCs w:val="21"/>
          <w:lang w:val="en-US" w:eastAsia="zh-CN"/>
        </w:rPr>
        <w:t>供应商</w:t>
      </w:r>
      <w:r>
        <w:rPr>
          <w:rFonts w:hint="eastAsia" w:ascii="宋体" w:hAnsi="宋体" w:cs="宋体"/>
          <w:bCs/>
          <w:color w:val="auto"/>
          <w:spacing w:val="0"/>
          <w:sz w:val="21"/>
          <w:szCs w:val="21"/>
          <w:lang w:val="en-US" w:eastAsia="zh-CN"/>
        </w:rPr>
        <w:t>名称</w:t>
      </w:r>
      <w:r>
        <w:rPr>
          <w:rFonts w:hint="eastAsia" w:ascii="宋体" w:hAnsi="宋体" w:eastAsia="宋体" w:cs="宋体"/>
          <w:bCs/>
          <w:color w:val="auto"/>
          <w:spacing w:val="0"/>
          <w:sz w:val="21"/>
          <w:szCs w:val="21"/>
          <w:lang w:val="en-US" w:eastAsia="zh-CN"/>
        </w:rPr>
        <w:t>（电子签章）</w:t>
      </w:r>
      <w:r>
        <w:rPr>
          <w:rFonts w:hint="eastAsia" w:cs="宋体"/>
          <w:color w:val="auto"/>
        </w:rPr>
        <w:t>：</w:t>
      </w:r>
      <w:r>
        <w:rPr>
          <w:rFonts w:hint="eastAsia" w:cs="宋体"/>
          <w:color w:val="auto"/>
          <w:lang w:val="en-US" w:eastAsia="zh-CN"/>
        </w:rPr>
        <w:t xml:space="preserve"> </w:t>
      </w:r>
      <w:r>
        <w:rPr>
          <w:rFonts w:hint="eastAsia" w:cs="宋体"/>
          <w:color w:val="auto"/>
          <w:u w:val="single"/>
          <w:lang w:val="en-US" w:eastAsia="zh-CN"/>
        </w:rPr>
        <w:t xml:space="preserve">                       </w:t>
      </w:r>
    </w:p>
    <w:p w14:paraId="5B571D8F">
      <w:pPr>
        <w:spacing w:line="480" w:lineRule="exact"/>
        <w:ind w:firstLine="2940" w:firstLineChars="1400"/>
        <w:rPr>
          <w:color w:val="auto"/>
        </w:rPr>
      </w:pPr>
      <w:r>
        <w:rPr>
          <w:rFonts w:hint="eastAsia" w:ascii="宋体" w:hAnsi="宋体" w:eastAsia="宋体" w:cs="宋体"/>
          <w:bCs/>
          <w:color w:val="auto"/>
          <w:spacing w:val="0"/>
          <w:sz w:val="21"/>
          <w:szCs w:val="21"/>
          <w:lang w:val="en-US" w:eastAsia="zh-CN"/>
        </w:rPr>
        <w:t>法定代表人或委托代理人</w:t>
      </w:r>
      <w:r>
        <w:rPr>
          <w:rFonts w:hint="eastAsia" w:ascii="宋体" w:hAnsi="宋体" w:cs="宋体"/>
          <w:bCs/>
          <w:color w:val="auto"/>
          <w:spacing w:val="0"/>
          <w:sz w:val="21"/>
          <w:szCs w:val="21"/>
          <w:lang w:val="en-US" w:eastAsia="zh-CN"/>
        </w:rPr>
        <w:t>（签字或者盖章或者电子签名）</w:t>
      </w:r>
      <w:r>
        <w:rPr>
          <w:rFonts w:hint="eastAsia" w:cs="宋体"/>
          <w:color w:val="auto"/>
        </w:rPr>
        <w:t>：</w:t>
      </w:r>
      <w:r>
        <w:rPr>
          <w:rFonts w:hint="eastAsia" w:cs="宋体"/>
          <w:color w:val="auto"/>
          <w:u w:val="single"/>
          <w:lang w:val="en-US" w:eastAsia="zh-CN"/>
        </w:rPr>
        <w:t xml:space="preserve">                       </w:t>
      </w:r>
    </w:p>
    <w:p w14:paraId="7829CEE1">
      <w:pPr>
        <w:spacing w:line="480" w:lineRule="exact"/>
        <w:ind w:firstLine="6300" w:firstLineChars="3000"/>
        <w:rPr>
          <w:color w:val="auto"/>
        </w:rPr>
      </w:pPr>
      <w:r>
        <w:rPr>
          <w:rFonts w:hint="eastAsia" w:cs="宋体"/>
          <w:color w:val="auto"/>
        </w:rPr>
        <w:t>日期：</w:t>
      </w:r>
      <w:r>
        <w:rPr>
          <w:color w:val="auto"/>
          <w:u w:val="single"/>
        </w:rPr>
        <w:t xml:space="preserve">     </w:t>
      </w:r>
      <w:r>
        <w:rPr>
          <w:rFonts w:hint="eastAsia" w:cs="宋体"/>
          <w:color w:val="auto"/>
        </w:rPr>
        <w:t>年</w:t>
      </w:r>
      <w:r>
        <w:rPr>
          <w:color w:val="auto"/>
          <w:u w:val="single"/>
        </w:rPr>
        <w:t xml:space="preserve">     </w:t>
      </w:r>
      <w:r>
        <w:rPr>
          <w:rFonts w:hint="eastAsia" w:cs="宋体"/>
          <w:color w:val="auto"/>
        </w:rPr>
        <w:t>月</w:t>
      </w:r>
      <w:r>
        <w:rPr>
          <w:color w:val="auto"/>
          <w:u w:val="single"/>
        </w:rPr>
        <w:t xml:space="preserve">     </w:t>
      </w:r>
      <w:r>
        <w:rPr>
          <w:rFonts w:hint="eastAsia" w:cs="宋体"/>
          <w:color w:val="auto"/>
        </w:rPr>
        <w:t>日</w:t>
      </w:r>
    </w:p>
    <w:p w14:paraId="3B356E1C">
      <w:pPr>
        <w:spacing w:line="520" w:lineRule="exact"/>
        <w:jc w:val="center"/>
        <w:rPr>
          <w:rFonts w:hint="eastAsia" w:ascii="宋体" w:hAnsi="宋体" w:eastAsia="宋体" w:cs="宋体"/>
          <w:bCs/>
          <w:color w:val="auto"/>
          <w:sz w:val="40"/>
          <w:szCs w:val="40"/>
          <w:highlight w:val="none"/>
        </w:rPr>
      </w:pPr>
    </w:p>
    <w:p w14:paraId="15505F73">
      <w:pPr>
        <w:spacing w:line="520" w:lineRule="exact"/>
        <w:jc w:val="center"/>
        <w:rPr>
          <w:rFonts w:hint="eastAsia" w:ascii="宋体" w:hAnsi="宋体" w:eastAsia="宋体" w:cs="宋体"/>
          <w:bCs/>
          <w:color w:val="auto"/>
          <w:sz w:val="40"/>
          <w:szCs w:val="40"/>
          <w:highlight w:val="none"/>
        </w:rPr>
      </w:pPr>
    </w:p>
    <w:p w14:paraId="60DFA7D0">
      <w:pPr>
        <w:spacing w:line="520" w:lineRule="exact"/>
        <w:jc w:val="center"/>
        <w:rPr>
          <w:rFonts w:hint="eastAsia" w:ascii="宋体" w:hAnsi="宋体" w:eastAsia="宋体" w:cs="宋体"/>
          <w:bCs/>
          <w:color w:val="auto"/>
          <w:sz w:val="40"/>
          <w:szCs w:val="40"/>
          <w:highlight w:val="none"/>
        </w:rPr>
      </w:pPr>
    </w:p>
    <w:p w14:paraId="2D041E90">
      <w:pPr>
        <w:spacing w:line="520" w:lineRule="exact"/>
        <w:jc w:val="center"/>
        <w:rPr>
          <w:rFonts w:hint="eastAsia" w:ascii="Times New Roman" w:hAnsi="Times New Roman" w:eastAsia="宋体" w:cs="宋体"/>
          <w:b/>
          <w:bCs/>
          <w:color w:val="auto"/>
          <w:kern w:val="2"/>
          <w:sz w:val="30"/>
          <w:szCs w:val="30"/>
          <w:lang w:val="en-US" w:eastAsia="zh-CN" w:bidi="ar-SA"/>
        </w:rPr>
      </w:pPr>
      <w:r>
        <w:rPr>
          <w:rFonts w:hint="eastAsia" w:ascii="Times New Roman" w:hAnsi="Times New Roman" w:eastAsia="宋体" w:cs="宋体"/>
          <w:b/>
          <w:bCs/>
          <w:color w:val="auto"/>
          <w:kern w:val="2"/>
          <w:sz w:val="30"/>
          <w:szCs w:val="30"/>
          <w:lang w:val="en-US" w:eastAsia="zh-CN" w:bidi="ar-SA"/>
        </w:rPr>
        <w:t>竞标报价表</w:t>
      </w:r>
    </w:p>
    <w:p w14:paraId="2F29733D">
      <w:pPr>
        <w:spacing w:line="440" w:lineRule="exact"/>
        <w:jc w:val="center"/>
        <w:rPr>
          <w:rFonts w:hint="eastAsia" w:ascii="宋体" w:hAnsi="宋体" w:eastAsia="宋体" w:cs="宋体"/>
          <w:bCs/>
          <w:color w:val="auto"/>
          <w:sz w:val="28"/>
          <w:szCs w:val="28"/>
          <w:highlight w:val="none"/>
        </w:rPr>
      </w:pPr>
    </w:p>
    <w:p w14:paraId="2FC46012">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p>
    <w:p w14:paraId="03E06805">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65A66BC">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分标</w:t>
      </w: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如有）：</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p>
    <w:p w14:paraId="13DB9000">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34A6C95">
      <w:pPr>
        <w:snapToGrid w:val="0"/>
        <w:spacing w:before="50" w:after="50" w:line="360" w:lineRule="auto"/>
        <w:ind w:firstLine="7680" w:firstLineChars="3200"/>
        <w:rPr>
          <w:rFonts w:hint="eastAsia" w:ascii="宋体" w:hAnsi="宋体" w:cs="仿宋_GB2312"/>
          <w:color w:val="auto"/>
          <w:sz w:val="24"/>
          <w:highlight w:val="none"/>
        </w:rPr>
      </w:pPr>
      <w:r>
        <w:rPr>
          <w:rFonts w:hint="eastAsia" w:ascii="宋体" w:hAnsi="宋体" w:cs="仿宋_GB2312"/>
          <w:color w:val="auto"/>
          <w:sz w:val="24"/>
          <w:highlight w:val="none"/>
        </w:rPr>
        <w:t>单位：元</w:t>
      </w:r>
    </w:p>
    <w:tbl>
      <w:tblPr>
        <w:tblStyle w:val="25"/>
        <w:tblW w:w="10351"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145"/>
        <w:gridCol w:w="1395"/>
        <w:gridCol w:w="1276"/>
        <w:gridCol w:w="1440"/>
        <w:gridCol w:w="1320"/>
        <w:gridCol w:w="1215"/>
        <w:gridCol w:w="794"/>
      </w:tblGrid>
      <w:tr w14:paraId="7F53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right"/>
        </w:trPr>
        <w:tc>
          <w:tcPr>
            <w:tcW w:w="766" w:type="dxa"/>
            <w:tcBorders>
              <w:top w:val="single" w:color="auto" w:sz="4" w:space="0"/>
              <w:left w:val="single" w:color="auto" w:sz="4" w:space="0"/>
              <w:bottom w:val="single" w:color="auto" w:sz="4" w:space="0"/>
              <w:right w:val="single" w:color="auto" w:sz="4" w:space="0"/>
            </w:tcBorders>
            <w:noWrap w:val="0"/>
            <w:vAlign w:val="center"/>
          </w:tcPr>
          <w:p w14:paraId="75EA364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02D8F5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szCs w:val="24"/>
                <w:highlight w:val="none"/>
                <w:lang w:val="en-US" w:eastAsia="zh-CN"/>
              </w:rPr>
              <w:t>标</w:t>
            </w:r>
            <w:r>
              <w:rPr>
                <w:rFonts w:hint="eastAsia" w:ascii="宋体" w:hAnsi="宋体" w:cs="仿宋_GB2312"/>
                <w:color w:val="auto"/>
                <w:sz w:val="24"/>
                <w:szCs w:val="24"/>
                <w:highlight w:val="none"/>
              </w:rPr>
              <w:t>的</w:t>
            </w:r>
            <w:r>
              <w:rPr>
                <w:rFonts w:hint="eastAsia" w:ascii="宋体" w:hAnsi="宋体" w:cs="仿宋_GB2312"/>
                <w:color w:val="auto"/>
                <w:sz w:val="24"/>
                <w:szCs w:val="24"/>
                <w:highlight w:val="none"/>
                <w:lang w:val="en-US" w:eastAsia="zh-CN"/>
              </w:rPr>
              <w:t>的名称</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626420C">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竞标报价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C7208D">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施工范围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28CEF3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施工工期</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B6C3F4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项目经理</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A5D5D60">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执业证书信息</w:t>
            </w:r>
          </w:p>
        </w:tc>
        <w:tc>
          <w:tcPr>
            <w:tcW w:w="794" w:type="dxa"/>
            <w:tcBorders>
              <w:top w:val="single" w:color="auto" w:sz="4" w:space="0"/>
              <w:left w:val="single" w:color="auto" w:sz="4" w:space="0"/>
              <w:bottom w:val="single" w:color="auto" w:sz="4" w:space="0"/>
              <w:right w:val="single" w:color="auto" w:sz="4" w:space="0"/>
            </w:tcBorders>
            <w:noWrap w:val="0"/>
            <w:vAlign w:val="center"/>
          </w:tcPr>
          <w:p w14:paraId="2530BC6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备注</w:t>
            </w:r>
          </w:p>
        </w:tc>
      </w:tr>
      <w:tr w14:paraId="6915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right"/>
        </w:trPr>
        <w:tc>
          <w:tcPr>
            <w:tcW w:w="766" w:type="dxa"/>
            <w:tcBorders>
              <w:top w:val="single" w:color="auto" w:sz="4" w:space="0"/>
              <w:left w:val="single" w:color="auto" w:sz="4" w:space="0"/>
              <w:bottom w:val="single" w:color="auto" w:sz="4" w:space="0"/>
              <w:right w:val="single" w:color="auto" w:sz="4" w:space="0"/>
            </w:tcBorders>
            <w:noWrap w:val="0"/>
            <w:vAlign w:val="center"/>
          </w:tcPr>
          <w:p w14:paraId="3FEF0943">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8B9C4AF">
            <w:pPr>
              <w:spacing w:line="360" w:lineRule="auto"/>
              <w:contextualSpacing/>
              <w:jc w:val="center"/>
              <w:rPr>
                <w:rFonts w:ascii="宋体" w:hAnsi="宋体" w:cs="仿宋_GB2312"/>
                <w:color w:val="auto"/>
                <w:sz w:val="24"/>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4DE8C03">
            <w:pPr>
              <w:spacing w:line="360" w:lineRule="auto"/>
              <w:contextualSpacing/>
              <w:jc w:val="center"/>
              <w:rPr>
                <w:rFonts w:ascii="宋体" w:hAnsi="宋体" w:cs="仿宋_GB2312"/>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B38B41">
            <w:pPr>
              <w:spacing w:line="360" w:lineRule="auto"/>
              <w:contextualSpacing/>
              <w:jc w:val="center"/>
              <w:rPr>
                <w:rFonts w:ascii="宋体" w:hAnsi="宋体" w:cs="仿宋_GB2312"/>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31208A8">
            <w:pPr>
              <w:spacing w:line="360" w:lineRule="auto"/>
              <w:contextualSpacing/>
              <w:rPr>
                <w:rFonts w:ascii="宋体" w:hAnsi="宋体" w:cs="仿宋_GB2312"/>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7001C0">
            <w:pPr>
              <w:spacing w:line="360" w:lineRule="auto"/>
              <w:contextualSpacing/>
              <w:rPr>
                <w:rFonts w:ascii="宋体" w:hAnsi="宋体" w:cs="仿宋_GB2312"/>
                <w:color w:val="auto"/>
                <w:sz w:val="24"/>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93A91B0">
            <w:pPr>
              <w:spacing w:line="360" w:lineRule="auto"/>
              <w:contextualSpacing/>
              <w:rPr>
                <w:rFonts w:ascii="宋体" w:hAnsi="宋体" w:cs="仿宋_GB2312"/>
                <w:color w:val="auto"/>
                <w:sz w:val="24"/>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14:paraId="38529D3C">
            <w:pPr>
              <w:spacing w:line="360" w:lineRule="auto"/>
              <w:contextualSpacing/>
              <w:rPr>
                <w:rFonts w:ascii="宋体" w:hAnsi="宋体" w:cs="仿宋_GB2312"/>
                <w:color w:val="auto"/>
                <w:sz w:val="24"/>
                <w:highlight w:val="none"/>
              </w:rPr>
            </w:pPr>
          </w:p>
        </w:tc>
      </w:tr>
      <w:tr w14:paraId="52F1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right"/>
        </w:trPr>
        <w:tc>
          <w:tcPr>
            <w:tcW w:w="10351" w:type="dxa"/>
            <w:gridSpan w:val="8"/>
            <w:tcBorders>
              <w:top w:val="single" w:color="auto" w:sz="4" w:space="0"/>
              <w:left w:val="single" w:color="auto" w:sz="4" w:space="0"/>
              <w:bottom w:val="single" w:color="auto" w:sz="4" w:space="0"/>
              <w:right w:val="single" w:color="auto" w:sz="4" w:space="0"/>
            </w:tcBorders>
            <w:noWrap w:val="0"/>
            <w:vAlign w:val="center"/>
          </w:tcPr>
          <w:p w14:paraId="165A0B4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27A0DA45">
      <w:pPr>
        <w:pStyle w:val="34"/>
        <w:spacing w:before="0" w:after="0" w:line="560" w:lineRule="exact"/>
        <w:jc w:val="both"/>
        <w:rPr>
          <w:rFonts w:hint="eastAsia" w:ascii="宋体" w:hAnsi="宋体" w:eastAsia="宋体" w:cs="宋体"/>
          <w:color w:val="auto"/>
          <w:spacing w:val="0"/>
          <w:sz w:val="21"/>
          <w:szCs w:val="21"/>
        </w:rPr>
      </w:pPr>
    </w:p>
    <w:p w14:paraId="30AF7848">
      <w:pPr>
        <w:pStyle w:val="34"/>
        <w:spacing w:before="0" w:after="0" w:line="560" w:lineRule="exact"/>
        <w:rPr>
          <w:rFonts w:hint="eastAsia" w:ascii="宋体" w:hAnsi="宋体" w:eastAsia="宋体" w:cs="宋体"/>
          <w:color w:val="auto"/>
          <w:spacing w:val="0"/>
          <w:sz w:val="21"/>
          <w:szCs w:val="21"/>
        </w:rPr>
      </w:pPr>
    </w:p>
    <w:p w14:paraId="4F251526">
      <w:pPr>
        <w:pStyle w:val="34"/>
        <w:spacing w:before="0" w:after="0" w:line="560" w:lineRule="exact"/>
        <w:ind w:firstLine="4080" w:firstLineChars="1700"/>
        <w:jc w:val="both"/>
        <w:rPr>
          <w:rFonts w:hint="eastAsia" w:ascii="宋体" w:hAnsi="宋体" w:eastAsia="宋体" w:cs="宋体"/>
          <w:color w:val="auto"/>
          <w:spacing w:val="0"/>
          <w:sz w:val="24"/>
          <w:szCs w:val="24"/>
          <w:u w:val="single"/>
        </w:rPr>
      </w:pPr>
      <w:r>
        <w:rPr>
          <w:rFonts w:hint="eastAsia" w:ascii="宋体" w:hAnsi="宋体" w:eastAsia="宋体" w:cs="宋体"/>
          <w:color w:val="auto"/>
          <w:spacing w:val="0"/>
          <w:sz w:val="24"/>
          <w:szCs w:val="24"/>
        </w:rPr>
        <w:t>供应商</w:t>
      </w:r>
      <w:r>
        <w:rPr>
          <w:rFonts w:hint="eastAsia" w:ascii="宋体" w:hAnsi="宋体" w:cs="宋体"/>
          <w:color w:val="auto"/>
          <w:spacing w:val="0"/>
          <w:sz w:val="24"/>
          <w:szCs w:val="24"/>
          <w:lang w:val="en-US"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u w:val="single"/>
        </w:rPr>
        <w:t xml:space="preserve">                      </w:t>
      </w:r>
    </w:p>
    <w:p w14:paraId="6F932661">
      <w:pPr>
        <w:pStyle w:val="34"/>
        <w:spacing w:before="0" w:after="0" w:line="560" w:lineRule="exact"/>
        <w:ind w:firstLine="1200" w:firstLineChars="500"/>
        <w:rPr>
          <w:rFonts w:hint="eastAsia" w:ascii="宋体" w:hAnsi="宋体" w:eastAsia="宋体" w:cs="宋体"/>
          <w:color w:val="auto"/>
          <w:spacing w:val="0"/>
          <w:sz w:val="24"/>
          <w:szCs w:val="24"/>
          <w:u w:val="single"/>
        </w:rPr>
      </w:pPr>
      <w:r>
        <w:rPr>
          <w:rFonts w:hint="eastAsia" w:ascii="宋体" w:hAnsi="宋体" w:eastAsia="宋体" w:cs="宋体"/>
          <w:color w:val="auto"/>
          <w:spacing w:val="0"/>
          <w:sz w:val="24"/>
          <w:szCs w:val="24"/>
        </w:rPr>
        <w:t>法定代表人或委托代理人</w:t>
      </w:r>
      <w:r>
        <w:rPr>
          <w:rFonts w:hint="eastAsia" w:ascii="宋体" w:hAnsi="宋体" w:cs="宋体"/>
          <w:color w:val="auto"/>
          <w:spacing w:val="0"/>
          <w:sz w:val="24"/>
          <w:szCs w:val="24"/>
          <w:lang w:eastAsia="zh-CN"/>
        </w:rPr>
        <w:t>（签字或者盖章或者电子签名）</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u w:val="single"/>
        </w:rPr>
        <w:t xml:space="preserve">                 </w:t>
      </w:r>
    </w:p>
    <w:p w14:paraId="76FAA2DE">
      <w:pPr>
        <w:pStyle w:val="34"/>
        <w:spacing w:before="0" w:after="0" w:line="560" w:lineRule="exact"/>
        <w:ind w:firstLine="5760" w:firstLineChars="2400"/>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日期：</w:t>
      </w:r>
      <w:r>
        <w:rPr>
          <w:rFonts w:hint="eastAsia" w:ascii="宋体" w:hAnsi="宋体" w:eastAsia="宋体" w:cs="宋体"/>
          <w:color w:val="auto"/>
          <w:spacing w:val="0"/>
          <w:sz w:val="24"/>
          <w:szCs w:val="24"/>
          <w:u w:val="single"/>
        </w:rPr>
        <w:t xml:space="preserve">      </w:t>
      </w:r>
      <w:r>
        <w:rPr>
          <w:rFonts w:hint="eastAsia" w:ascii="宋体" w:hAnsi="宋体" w:eastAsia="宋体" w:cs="宋体"/>
          <w:color w:val="auto"/>
          <w:spacing w:val="0"/>
          <w:sz w:val="24"/>
          <w:szCs w:val="24"/>
        </w:rPr>
        <w:t xml:space="preserve"> 年</w:t>
      </w:r>
      <w:r>
        <w:rPr>
          <w:rFonts w:hint="eastAsia" w:ascii="宋体" w:hAnsi="宋体" w:eastAsia="宋体" w:cs="宋体"/>
          <w:color w:val="auto"/>
          <w:spacing w:val="0"/>
          <w:sz w:val="24"/>
          <w:szCs w:val="24"/>
          <w:u w:val="single"/>
        </w:rPr>
        <w:t xml:space="preserve">      </w:t>
      </w:r>
      <w:r>
        <w:rPr>
          <w:rFonts w:hint="eastAsia" w:ascii="宋体" w:hAnsi="宋体" w:eastAsia="宋体" w:cs="宋体"/>
          <w:color w:val="auto"/>
          <w:spacing w:val="0"/>
          <w:sz w:val="24"/>
          <w:szCs w:val="24"/>
        </w:rPr>
        <w:t xml:space="preserve"> 月</w:t>
      </w:r>
      <w:r>
        <w:rPr>
          <w:rFonts w:hint="eastAsia" w:ascii="宋体" w:hAnsi="宋体" w:eastAsia="宋体" w:cs="宋体"/>
          <w:color w:val="auto"/>
          <w:spacing w:val="0"/>
          <w:sz w:val="24"/>
          <w:szCs w:val="24"/>
          <w:u w:val="single"/>
        </w:rPr>
        <w:t xml:space="preserve">      </w:t>
      </w:r>
      <w:r>
        <w:rPr>
          <w:rFonts w:hint="eastAsia" w:ascii="宋体" w:hAnsi="宋体" w:eastAsia="宋体" w:cs="宋体"/>
          <w:color w:val="auto"/>
          <w:spacing w:val="0"/>
          <w:sz w:val="24"/>
          <w:szCs w:val="24"/>
        </w:rPr>
        <w:t xml:space="preserve"> 日</w:t>
      </w:r>
    </w:p>
    <w:p w14:paraId="23A209E3">
      <w:pPr>
        <w:spacing w:before="240" w:beforeLines="100" w:after="120" w:afterLines="50" w:line="520" w:lineRule="exact"/>
        <w:ind w:left="540"/>
        <w:jc w:val="center"/>
        <w:rPr>
          <w:rFonts w:hint="eastAsia" w:ascii="宋体" w:hAnsi="宋体" w:eastAsia="宋体" w:cs="宋体"/>
          <w:bCs/>
          <w:color w:val="auto"/>
          <w:sz w:val="24"/>
          <w:szCs w:val="24"/>
          <w:highlight w:val="none"/>
        </w:rPr>
      </w:pPr>
    </w:p>
    <w:p w14:paraId="14C5F874">
      <w:pPr>
        <w:spacing w:before="240" w:beforeLines="100" w:after="120" w:afterLines="50" w:line="520" w:lineRule="exact"/>
        <w:ind w:left="540"/>
        <w:jc w:val="center"/>
        <w:rPr>
          <w:rFonts w:hint="eastAsia" w:ascii="宋体" w:hAnsi="宋体" w:eastAsia="宋体" w:cs="宋体"/>
          <w:bCs/>
          <w:color w:val="auto"/>
          <w:sz w:val="44"/>
          <w:szCs w:val="44"/>
          <w:highlight w:val="none"/>
        </w:rPr>
      </w:pPr>
    </w:p>
    <w:p w14:paraId="594E1967">
      <w:pPr>
        <w:spacing w:before="240" w:beforeLines="100" w:after="120" w:afterLines="50" w:line="520" w:lineRule="exact"/>
        <w:ind w:left="540"/>
        <w:jc w:val="center"/>
        <w:rPr>
          <w:rFonts w:hint="eastAsia" w:ascii="宋体" w:hAnsi="宋体" w:eastAsia="宋体" w:cs="宋体"/>
          <w:bCs/>
          <w:color w:val="auto"/>
          <w:sz w:val="44"/>
          <w:szCs w:val="44"/>
          <w:highlight w:val="none"/>
        </w:rPr>
      </w:pPr>
    </w:p>
    <w:p w14:paraId="0BDB3669">
      <w:pPr>
        <w:pStyle w:val="34"/>
        <w:jc w:val="both"/>
        <w:rPr>
          <w:rFonts w:hint="eastAsia" w:ascii="宋体" w:hAnsi="宋体" w:eastAsia="宋体" w:cs="宋体"/>
          <w:color w:val="auto"/>
          <w:sz w:val="21"/>
          <w:szCs w:val="21"/>
        </w:rPr>
      </w:pPr>
    </w:p>
    <w:p w14:paraId="7F612F57">
      <w:pPr>
        <w:pStyle w:val="3"/>
        <w:rPr>
          <w:rFonts w:hint="eastAsia" w:ascii="宋体" w:hAnsi="宋体" w:eastAsia="宋体" w:cs="宋体"/>
          <w:color w:val="auto"/>
          <w:sz w:val="21"/>
          <w:szCs w:val="21"/>
        </w:rPr>
      </w:pPr>
    </w:p>
    <w:p w14:paraId="5F0A8971">
      <w:pPr>
        <w:rPr>
          <w:rFonts w:hint="eastAsia"/>
        </w:rPr>
      </w:pPr>
    </w:p>
    <w:p w14:paraId="707AE461">
      <w:pPr>
        <w:pStyle w:val="34"/>
        <w:jc w:val="both"/>
        <w:rPr>
          <w:rFonts w:hint="eastAsia" w:ascii="宋体" w:hAnsi="宋体" w:eastAsia="宋体" w:cs="宋体"/>
          <w:color w:val="auto"/>
          <w:sz w:val="21"/>
          <w:szCs w:val="21"/>
        </w:rPr>
      </w:pPr>
    </w:p>
    <w:p w14:paraId="2000C4B0">
      <w:pPr>
        <w:pStyle w:val="3"/>
        <w:rPr>
          <w:rFonts w:hint="eastAsia" w:ascii="宋体" w:hAnsi="宋体" w:eastAsia="宋体" w:cs="宋体"/>
          <w:color w:val="auto"/>
          <w:sz w:val="21"/>
          <w:szCs w:val="21"/>
        </w:rPr>
      </w:pPr>
    </w:p>
    <w:p w14:paraId="4745A9A8">
      <w:pPr>
        <w:pStyle w:val="3"/>
        <w:rPr>
          <w:rFonts w:hint="eastAsia" w:ascii="宋体" w:hAnsi="宋体" w:eastAsia="宋体" w:cs="宋体"/>
          <w:color w:val="auto"/>
          <w:sz w:val="21"/>
          <w:szCs w:val="21"/>
        </w:rPr>
      </w:pPr>
    </w:p>
    <w:p w14:paraId="632DE02D">
      <w:pPr>
        <w:pStyle w:val="3"/>
        <w:rPr>
          <w:rFonts w:hint="eastAsia" w:ascii="宋体" w:hAnsi="宋体" w:eastAsia="宋体" w:cs="宋体"/>
          <w:color w:val="auto"/>
          <w:sz w:val="21"/>
          <w:szCs w:val="21"/>
        </w:rPr>
      </w:pPr>
    </w:p>
    <w:p w14:paraId="1F7A89A6">
      <w:pPr>
        <w:pStyle w:val="3"/>
        <w:rPr>
          <w:rFonts w:hint="eastAsia" w:ascii="宋体" w:hAnsi="宋体" w:eastAsia="宋体" w:cs="宋体"/>
          <w:color w:val="auto"/>
          <w:sz w:val="21"/>
          <w:szCs w:val="21"/>
        </w:rPr>
      </w:pPr>
    </w:p>
    <w:p w14:paraId="40157742">
      <w:pPr>
        <w:pStyle w:val="47"/>
        <w:ind w:firstLine="422"/>
        <w:jc w:val="center"/>
        <w:outlineLvl w:val="0"/>
        <w:rPr>
          <w:b/>
          <w:bCs/>
          <w:color w:val="auto"/>
          <w:sz w:val="24"/>
          <w:szCs w:val="24"/>
        </w:rPr>
      </w:pPr>
      <w:bookmarkStart w:id="114" w:name="_Toc2086"/>
      <w:bookmarkStart w:id="115" w:name="_Toc4536"/>
      <w:r>
        <w:rPr>
          <w:rFonts w:hint="eastAsia" w:cs="宋体"/>
          <w:b/>
          <w:bCs/>
          <w:color w:val="auto"/>
          <w:sz w:val="24"/>
          <w:szCs w:val="24"/>
        </w:rPr>
        <w:t>已标价工程量清单</w:t>
      </w:r>
      <w:bookmarkEnd w:id="114"/>
      <w:bookmarkEnd w:id="115"/>
    </w:p>
    <w:p w14:paraId="445541A2">
      <w:pPr>
        <w:pStyle w:val="47"/>
        <w:jc w:val="center"/>
        <w:rPr>
          <w:b/>
          <w:bCs/>
          <w:color w:val="auto"/>
          <w:sz w:val="28"/>
          <w:szCs w:val="28"/>
        </w:rPr>
      </w:pPr>
    </w:p>
    <w:p w14:paraId="5E5E55C4">
      <w:pPr>
        <w:numPr>
          <w:ilvl w:val="0"/>
          <w:numId w:val="7"/>
        </w:numPr>
        <w:spacing w:line="520" w:lineRule="exact"/>
        <w:jc w:val="left"/>
        <w:rPr>
          <w:rFonts w:ascii="宋体" w:hAnsi="宋体" w:eastAsia="宋体" w:cs="宋体"/>
          <w:color w:val="auto"/>
          <w:sz w:val="21"/>
          <w:szCs w:val="21"/>
        </w:rPr>
      </w:pPr>
      <w:r>
        <w:rPr>
          <w:rFonts w:ascii="宋体" w:hAnsi="宋体" w:eastAsia="宋体" w:cs="宋体"/>
          <w:color w:val="auto"/>
          <w:sz w:val="21"/>
          <w:szCs w:val="21"/>
        </w:rPr>
        <w:t>已标价工程量清单应按第五章“工程量清单”中的相关表格及投标报价说明填写。构成合同文件的已标价工程量清单包括第五章“工程量清单”有关工程量清单、投标报价以及其他说明的内容。</w:t>
      </w:r>
    </w:p>
    <w:p w14:paraId="50CDD149">
      <w:pPr>
        <w:numPr>
          <w:ilvl w:val="0"/>
          <w:numId w:val="7"/>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一般计税法建设工程已标价工程量清单表格按《关于建筑业实施营业税改征增值税后广西壮族自治区建设工程计价依据调整的通知》（桂建标〔2016〕17号）附件“增值税一般计税 方法工程计价表”要求提供，简易计税法表格按《</w:t>
      </w:r>
      <w:r>
        <w:rPr>
          <w:rFonts w:hint="eastAsia" w:ascii="宋体" w:hAnsi="宋体" w:cs="宋体"/>
          <w:color w:val="auto"/>
          <w:sz w:val="21"/>
          <w:szCs w:val="21"/>
          <w:lang w:eastAsia="zh-CN"/>
        </w:rPr>
        <w:t>〈</w:t>
      </w:r>
      <w:r>
        <w:rPr>
          <w:rFonts w:ascii="宋体" w:hAnsi="宋体" w:eastAsia="宋体" w:cs="宋体"/>
          <w:color w:val="auto"/>
          <w:sz w:val="21"/>
          <w:szCs w:val="21"/>
        </w:rPr>
        <w:t>建设工程工程量清单计价规范</w:t>
      </w:r>
      <w:r>
        <w:rPr>
          <w:rFonts w:hint="eastAsia" w:ascii="宋体" w:hAnsi="宋体" w:cs="宋体"/>
          <w:color w:val="auto"/>
          <w:sz w:val="21"/>
          <w:szCs w:val="21"/>
          <w:lang w:eastAsia="zh-CN"/>
        </w:rPr>
        <w:t>〉</w:t>
      </w:r>
      <w:r>
        <w:rPr>
          <w:rFonts w:ascii="宋体" w:hAnsi="宋体" w:eastAsia="宋体" w:cs="宋体"/>
          <w:color w:val="auto"/>
          <w:sz w:val="21"/>
          <w:szCs w:val="21"/>
        </w:rPr>
        <w:t xml:space="preserve"> （GB5050-2013）广西壮族自治区实施细则》要求的表格提供，但规费和税费按照《关于建筑业 实施营业税改征增值税后广西壮族自治区建设工程计价依据调整的通知》（桂建标〔2016〕17 号）、《自治区住房城乡建设厅关于调整建设工程计价增值税税率的通知》（桂建标〔2018〕 242 14 号）、《自治区住房城乡建设厅关于调整建设工程计价增值税税率的通知》（桂建标〔2019〕 12 号）调整，具体内容包括：</w:t>
      </w:r>
    </w:p>
    <w:p w14:paraId="1BB284B3">
      <w:pPr>
        <w:numPr>
          <w:ilvl w:val="1"/>
          <w:numId w:val="8"/>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投标总价（封-3） </w:t>
      </w:r>
    </w:p>
    <w:p w14:paraId="47977071">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投标总价（扉-3） </w:t>
      </w:r>
    </w:p>
    <w:p w14:paraId="0C768899">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总说明（表-01） </w:t>
      </w:r>
    </w:p>
    <w:p w14:paraId="75B47AF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建设项目投标报价汇总表（表-02）</w:t>
      </w:r>
    </w:p>
    <w:p w14:paraId="17EA9B6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单项工程投标报价汇总表（表-03） </w:t>
      </w:r>
    </w:p>
    <w:p w14:paraId="3BAB3348">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单位工程投标报价汇总表（表-04） </w:t>
      </w:r>
    </w:p>
    <w:p w14:paraId="7702BE65">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分部分项工程和单价措施项目清单与计价表（表-08） </w:t>
      </w:r>
    </w:p>
    <w:p w14:paraId="4AF7E5A8">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工程量清单综合单价分析表（表-09） </w:t>
      </w:r>
    </w:p>
    <w:p w14:paraId="32414198">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主要清单项目工料机分析表（表-10）【备注：可按要求有选择的提供】 </w:t>
      </w:r>
    </w:p>
    <w:p w14:paraId="3F6CEDF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总价措施项目清单与计价表（表-11） </w:t>
      </w:r>
    </w:p>
    <w:p w14:paraId="2A46C8B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其他项目清单与计价汇总表（表-12） </w:t>
      </w:r>
    </w:p>
    <w:p w14:paraId="056DF4D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暂列金额明细表（表12-1） </w:t>
      </w:r>
    </w:p>
    <w:p w14:paraId="15355949">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材料（工程设备）暂估单价及调整表（表12-2） </w:t>
      </w:r>
    </w:p>
    <w:p w14:paraId="08B04D2D">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专业工程暂估价及结算价表（表12-3） </w:t>
      </w:r>
    </w:p>
    <w:p w14:paraId="7DE02250">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计日工表（表12-4） </w:t>
      </w:r>
    </w:p>
    <w:p w14:paraId="7B6A6786">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总承包服务费计价表（表12-5） </w:t>
      </w:r>
    </w:p>
    <w:p w14:paraId="39D6448C">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税前项目清单与计价表（表-14） </w:t>
      </w:r>
    </w:p>
    <w:p w14:paraId="21D77BEF">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规费、增值税计价表（表-15） </w:t>
      </w:r>
    </w:p>
    <w:p w14:paraId="5FC5841E">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发包人提供主要材料和工程设备一览表（表-21）</w:t>
      </w:r>
    </w:p>
    <w:p w14:paraId="62ACC53C">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允许调整主要材料和工程设备一览表（适用于造价信息差额调整法）（表-22） </w:t>
      </w:r>
    </w:p>
    <w:p w14:paraId="63564415">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允许调整主要材料和工程设备一览表（适用于价格指数差额调整法）（表-23） </w:t>
      </w:r>
    </w:p>
    <w:p w14:paraId="56AB5276">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本工程材料和工程设备一览表（表-24） </w:t>
      </w:r>
    </w:p>
    <w:p w14:paraId="3C3CAE0B">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备注： </w:t>
      </w:r>
    </w:p>
    <w:p w14:paraId="759E10D4">
      <w:pPr>
        <w:numPr>
          <w:ilvl w:val="0"/>
          <w:numId w:val="9"/>
        </w:numPr>
        <w:spacing w:line="520" w:lineRule="exact"/>
        <w:ind w:leftChars="0"/>
        <w:jc w:val="both"/>
        <w:rPr>
          <w:rFonts w:ascii="宋体" w:hAnsi="宋体" w:eastAsia="宋体" w:cs="宋体"/>
          <w:color w:val="auto"/>
          <w:sz w:val="21"/>
          <w:szCs w:val="21"/>
        </w:rPr>
      </w:pPr>
      <w:r>
        <w:rPr>
          <w:rFonts w:hint="eastAsia" w:ascii="宋体" w:hAnsi="宋体" w:cs="宋体"/>
          <w:b/>
          <w:bCs/>
          <w:color w:val="auto"/>
          <w:sz w:val="21"/>
          <w:szCs w:val="21"/>
          <w:lang w:val="en-US" w:eastAsia="zh-CN"/>
        </w:rPr>
        <w:t>供应商</w:t>
      </w:r>
      <w:r>
        <w:rPr>
          <w:rFonts w:ascii="宋体" w:hAnsi="宋体" w:eastAsia="宋体" w:cs="宋体"/>
          <w:b/>
          <w:bCs/>
          <w:color w:val="auto"/>
          <w:sz w:val="21"/>
          <w:szCs w:val="21"/>
        </w:rPr>
        <w:t>在上传投标报价文件时应上传纸质投标总价封面的原件扫描件。报标总价封面必须经</w:t>
      </w:r>
      <w:r>
        <w:rPr>
          <w:rFonts w:hint="eastAsia" w:ascii="宋体" w:hAnsi="宋体" w:cs="宋体"/>
          <w:b/>
          <w:bCs/>
          <w:color w:val="auto"/>
          <w:sz w:val="21"/>
          <w:szCs w:val="21"/>
          <w:lang w:val="en-US" w:eastAsia="zh-CN"/>
        </w:rPr>
        <w:t>供应商</w:t>
      </w:r>
      <w:r>
        <w:rPr>
          <w:rFonts w:ascii="宋体" w:hAnsi="宋体" w:eastAsia="宋体" w:cs="宋体"/>
          <w:b/>
          <w:bCs/>
          <w:color w:val="auto"/>
          <w:sz w:val="21"/>
          <w:szCs w:val="21"/>
        </w:rPr>
        <w:t>盖章，并由法定代表人（或其授权人）签字（或盖章），同时由编制人签字盖专用章。</w:t>
      </w:r>
      <w:r>
        <w:rPr>
          <w:rFonts w:ascii="宋体" w:hAnsi="宋体" w:eastAsia="宋体" w:cs="宋体"/>
          <w:color w:val="auto"/>
          <w:sz w:val="21"/>
          <w:szCs w:val="21"/>
        </w:rPr>
        <w:t xml:space="preserve"> </w:t>
      </w:r>
    </w:p>
    <w:p w14:paraId="77A570D2">
      <w:pPr>
        <w:numPr>
          <w:ilvl w:val="0"/>
          <w:numId w:val="0"/>
        </w:numPr>
        <w:spacing w:line="520" w:lineRule="exact"/>
        <w:jc w:val="both"/>
        <w:rPr>
          <w:rFonts w:ascii="宋体" w:hAnsi="宋体" w:eastAsia="宋体" w:cs="宋体"/>
          <w:color w:val="auto"/>
          <w:sz w:val="21"/>
          <w:szCs w:val="21"/>
        </w:rPr>
      </w:pPr>
      <w:r>
        <w:rPr>
          <w:rFonts w:ascii="宋体" w:hAnsi="宋体" w:eastAsia="宋体" w:cs="宋体"/>
          <w:color w:val="auto"/>
          <w:sz w:val="21"/>
          <w:szCs w:val="21"/>
        </w:rPr>
        <w:t>（2）1.8 工程量清单综合单价分析表和1.9主要清单项目工料机分析表要求附上。</w:t>
      </w:r>
    </w:p>
    <w:p w14:paraId="60A1F2A3">
      <w:pPr>
        <w:numPr>
          <w:ilvl w:val="0"/>
          <w:numId w:val="0"/>
        </w:numPr>
        <w:spacing w:line="520" w:lineRule="exact"/>
        <w:ind w:leftChars="0"/>
        <w:jc w:val="both"/>
        <w:rPr>
          <w:rFonts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ascii="宋体" w:hAnsi="宋体" w:eastAsia="宋体" w:cs="宋体"/>
          <w:color w:val="auto"/>
          <w:sz w:val="21"/>
          <w:szCs w:val="21"/>
        </w:rPr>
        <w:t xml:space="preserve">已标价工程量清单表格要严格按照招标工程量清单给出的表格要求和内容填报。如本工程在合同中约定采用造价信息价差调整法，1.18 允许调整主要材料和工程设备一览表（适用 于造价信息差额调整法）（表-22）载明的主要材料和工程设备为本工程允许调整的材料和工程 设备，招标工程量清单必须提供该表格，且不能提供空白表。以下表格视工程实际需要选用， 如该工程不发生如下表格相关项目和费用，招标工程量清单不应列入该部分表格，已标价工程量清单亦不包括这部分表格。 </w:t>
      </w:r>
    </w:p>
    <w:p w14:paraId="0F2EF6B6">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①建设项目投标报价汇总表（表-02） </w:t>
      </w:r>
    </w:p>
    <w:p w14:paraId="6D49FCD4">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②暂列金额明细表（表12-1） </w:t>
      </w:r>
    </w:p>
    <w:p w14:paraId="545CC4C2">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③材料（工程设备）暂估单位及调整表（表12-2）</w:t>
      </w:r>
    </w:p>
    <w:p w14:paraId="7EE08A87">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④专业工程暂估价及结算价表（表12-3） </w:t>
      </w:r>
    </w:p>
    <w:p w14:paraId="3C34EE36">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⑤计日工表表12-4）</w:t>
      </w:r>
    </w:p>
    <w:p w14:paraId="10793F14">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⑥总承包服务费计价表（表12-5） </w:t>
      </w:r>
    </w:p>
    <w:p w14:paraId="2DA5BE16">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⑦税前项目清单与计价表（表-14） </w:t>
      </w:r>
    </w:p>
    <w:p w14:paraId="542FE475">
      <w:pPr>
        <w:numPr>
          <w:ilvl w:val="0"/>
          <w:numId w:val="0"/>
        </w:numPr>
        <w:spacing w:line="520" w:lineRule="exact"/>
        <w:ind w:leftChars="0"/>
        <w:jc w:val="both"/>
        <w:rPr>
          <w:rFonts w:ascii="宋体" w:hAnsi="宋体" w:eastAsia="宋体" w:cs="宋体"/>
          <w:color w:val="auto"/>
          <w:sz w:val="21"/>
          <w:szCs w:val="21"/>
        </w:rPr>
      </w:pPr>
      <w:r>
        <w:rPr>
          <w:rFonts w:hint="eastAsia" w:ascii="宋体" w:hAnsi="宋体" w:eastAsia="宋体" w:cs="宋体"/>
          <w:color w:val="auto"/>
          <w:sz w:val="21"/>
          <w:szCs w:val="21"/>
        </w:rPr>
        <w:t>⑧</w:t>
      </w:r>
      <w:r>
        <w:rPr>
          <w:rFonts w:ascii="宋体" w:hAnsi="宋体" w:eastAsia="宋体" w:cs="宋体"/>
          <w:color w:val="auto"/>
          <w:sz w:val="21"/>
          <w:szCs w:val="21"/>
        </w:rPr>
        <w:t>允许调整主要材料和工程设备一览表（适用于价格指数差额调整法）（表-23）</w:t>
      </w:r>
    </w:p>
    <w:p w14:paraId="47272D0D">
      <w:pPr>
        <w:numPr>
          <w:ilvl w:val="0"/>
          <w:numId w:val="0"/>
        </w:numPr>
        <w:spacing w:line="520" w:lineRule="exact"/>
        <w:ind w:leftChars="0"/>
        <w:jc w:val="both"/>
        <w:rPr>
          <w:rFonts w:ascii="宋体" w:hAnsi="宋体"/>
          <w:b/>
          <w:bCs/>
          <w:color w:val="auto"/>
          <w:sz w:val="21"/>
          <w:szCs w:val="21"/>
          <w:highlight w:val="none"/>
        </w:rPr>
      </w:pPr>
      <w:r>
        <w:rPr>
          <w:rFonts w:ascii="宋体" w:hAnsi="宋体"/>
          <w:b/>
          <w:bCs/>
          <w:color w:val="auto"/>
          <w:sz w:val="21"/>
          <w:szCs w:val="21"/>
          <w:highlight w:val="none"/>
        </w:rPr>
        <w:br w:type="page"/>
      </w:r>
    </w:p>
    <w:p w14:paraId="2E973C00">
      <w:pPr>
        <w:spacing w:line="360" w:lineRule="auto"/>
        <w:ind w:right="420"/>
        <w:contextualSpacing/>
        <w:jc w:val="left"/>
        <w:rPr>
          <w:rFonts w:hint="eastAsia" w:ascii="宋体" w:hAnsi="宋体" w:eastAsia="宋体" w:cs="宋体"/>
          <w:b/>
          <w:bCs/>
          <w:color w:val="auto"/>
          <w:sz w:val="22"/>
          <w:szCs w:val="22"/>
          <w:highlight w:val="none"/>
        </w:rPr>
      </w:pPr>
    </w:p>
    <w:p w14:paraId="5357659B">
      <w:pPr>
        <w:spacing w:line="360" w:lineRule="auto"/>
        <w:ind w:right="420" w:firstLine="4417" w:firstLineChars="2000"/>
        <w:contextualSpacing/>
        <w:jc w:val="left"/>
        <w:rPr>
          <w:rFonts w:hint="eastAsia" w:ascii="宋体" w:hAnsi="宋体" w:eastAsia="宋体" w:cs="宋体"/>
          <w:b/>
          <w:bCs/>
          <w:color w:val="auto"/>
          <w:sz w:val="22"/>
          <w:szCs w:val="22"/>
          <w:highlight w:val="none"/>
        </w:rPr>
      </w:pPr>
    </w:p>
    <w:p w14:paraId="0DAC9843">
      <w:pPr>
        <w:spacing w:line="360" w:lineRule="auto"/>
        <w:ind w:right="420" w:firstLine="3373" w:firstLineChars="1200"/>
        <w:contextualSpacing/>
        <w:jc w:val="left"/>
        <w:rPr>
          <w:rFonts w:hint="eastAsia" w:ascii="宋体" w:hAnsi="宋体"/>
          <w:b/>
          <w:color w:val="auto"/>
          <w:sz w:val="28"/>
          <w:szCs w:val="28"/>
          <w:highlight w:val="none"/>
        </w:rPr>
      </w:pPr>
      <w:r>
        <w:rPr>
          <w:rFonts w:hint="eastAsia" w:ascii="宋体" w:hAnsi="宋体"/>
          <w:b/>
          <w:bCs/>
          <w:color w:val="auto"/>
          <w:sz w:val="28"/>
          <w:szCs w:val="28"/>
          <w:highlight w:val="none"/>
        </w:rPr>
        <w:t>三、</w:t>
      </w:r>
      <w:r>
        <w:rPr>
          <w:rFonts w:hint="eastAsia" w:ascii="宋体" w:hAnsi="宋体"/>
          <w:b/>
          <w:color w:val="auto"/>
          <w:sz w:val="28"/>
          <w:szCs w:val="28"/>
          <w:highlight w:val="none"/>
        </w:rPr>
        <w:t xml:space="preserve">商务技术文件格式 </w:t>
      </w:r>
    </w:p>
    <w:p w14:paraId="14D81E3A">
      <w:pPr>
        <w:snapToGrid w:val="0"/>
        <w:spacing w:before="156" w:beforeLines="50" w:after="50" w:line="360" w:lineRule="auto"/>
        <w:jc w:val="left"/>
        <w:rPr>
          <w:rFonts w:ascii="宋体" w:hAnsi="宋体"/>
          <w:b/>
          <w:color w:val="auto"/>
          <w:sz w:val="28"/>
          <w:szCs w:val="28"/>
          <w:highlight w:val="none"/>
        </w:rPr>
      </w:pPr>
      <w:r>
        <w:rPr>
          <w:rFonts w:hint="eastAsia" w:ascii="宋体" w:hAnsi="宋体"/>
          <w:b/>
          <w:color w:val="auto"/>
          <w:sz w:val="28"/>
          <w:szCs w:val="28"/>
          <w:highlight w:val="none"/>
        </w:rPr>
        <w:t>1.商务技术文件封面格式</w:t>
      </w:r>
    </w:p>
    <w:p w14:paraId="0417AD22">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3A0F21AF">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66BF7C28">
      <w:pPr>
        <w:snapToGrid w:val="0"/>
        <w:spacing w:before="156" w:beforeLines="50" w:after="50"/>
        <w:rPr>
          <w:rFonts w:hint="eastAsia" w:ascii="宋体" w:hAnsi="宋体"/>
          <w:color w:val="auto"/>
          <w:sz w:val="22"/>
          <w:szCs w:val="18"/>
          <w:highlight w:val="none"/>
        </w:rPr>
      </w:pPr>
    </w:p>
    <w:p w14:paraId="2C1229BA">
      <w:pPr>
        <w:snapToGrid w:val="0"/>
        <w:spacing w:before="156" w:beforeLines="50" w:after="50"/>
        <w:rPr>
          <w:rFonts w:hint="eastAsia" w:ascii="宋体" w:hAnsi="宋体"/>
          <w:color w:val="auto"/>
          <w:sz w:val="22"/>
          <w:szCs w:val="18"/>
          <w:highlight w:val="none"/>
        </w:rPr>
      </w:pPr>
    </w:p>
    <w:p w14:paraId="071346EA">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商  务  技  术  文  件</w:t>
      </w:r>
    </w:p>
    <w:p w14:paraId="25689EBD">
      <w:pPr>
        <w:snapToGrid w:val="0"/>
        <w:spacing w:before="156" w:beforeLines="50" w:after="50"/>
        <w:rPr>
          <w:rFonts w:hint="eastAsia" w:ascii="宋体" w:hAnsi="宋体"/>
          <w:bCs/>
          <w:color w:val="auto"/>
          <w:sz w:val="22"/>
          <w:szCs w:val="18"/>
          <w:highlight w:val="none"/>
        </w:rPr>
      </w:pPr>
    </w:p>
    <w:p w14:paraId="438B4664">
      <w:pPr>
        <w:snapToGrid w:val="0"/>
        <w:spacing w:before="156" w:beforeLines="50" w:after="50"/>
        <w:rPr>
          <w:rFonts w:hint="eastAsia" w:ascii="宋体" w:hAnsi="宋体"/>
          <w:bCs/>
          <w:color w:val="auto"/>
          <w:sz w:val="22"/>
          <w:szCs w:val="18"/>
          <w:highlight w:val="none"/>
        </w:rPr>
      </w:pPr>
    </w:p>
    <w:p w14:paraId="5AF65326">
      <w:pPr>
        <w:snapToGrid w:val="0"/>
        <w:spacing w:before="156" w:beforeLines="50" w:after="50"/>
        <w:rPr>
          <w:rFonts w:hint="eastAsia" w:ascii="宋体" w:hAnsi="宋体"/>
          <w:bCs/>
          <w:color w:val="auto"/>
          <w:sz w:val="22"/>
          <w:szCs w:val="18"/>
          <w:highlight w:val="none"/>
        </w:rPr>
      </w:pPr>
    </w:p>
    <w:p w14:paraId="33279589">
      <w:pPr>
        <w:snapToGrid w:val="0"/>
        <w:spacing w:before="156" w:beforeLines="50" w:after="50"/>
        <w:rPr>
          <w:rFonts w:hint="eastAsia" w:ascii="宋体" w:hAnsi="宋体"/>
          <w:bCs/>
          <w:color w:val="auto"/>
          <w:sz w:val="22"/>
          <w:szCs w:val="18"/>
          <w:highlight w:val="none"/>
        </w:rPr>
      </w:pPr>
    </w:p>
    <w:p w14:paraId="406E394F">
      <w:pPr>
        <w:snapToGrid w:val="0"/>
        <w:spacing w:before="156" w:beforeLines="50" w:after="50"/>
        <w:rPr>
          <w:rFonts w:hint="eastAsia" w:ascii="宋体" w:hAnsi="宋体"/>
          <w:bCs/>
          <w:color w:val="auto"/>
          <w:sz w:val="22"/>
          <w:szCs w:val="18"/>
          <w:highlight w:val="none"/>
        </w:rPr>
      </w:pPr>
    </w:p>
    <w:p w14:paraId="29F24B3B">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BE1F4BA">
      <w:pPr>
        <w:snapToGrid w:val="0"/>
        <w:spacing w:before="156" w:beforeLines="50" w:after="50"/>
        <w:ind w:firstLine="630" w:firstLineChars="225"/>
        <w:rPr>
          <w:rFonts w:hint="eastAsia" w:ascii="宋体" w:hAnsi="宋体" w:cs="仿宋_GB2312"/>
          <w:bCs/>
          <w:color w:val="auto"/>
          <w:sz w:val="28"/>
          <w:szCs w:val="28"/>
          <w:highlight w:val="none"/>
        </w:rPr>
      </w:pPr>
    </w:p>
    <w:p w14:paraId="796ED3A8">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2D11E787">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675D4C5D">
      <w:pPr>
        <w:pStyle w:val="9"/>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551A5C68">
      <w:pPr>
        <w:pStyle w:val="9"/>
        <w:snapToGrid w:val="0"/>
        <w:spacing w:before="50" w:after="50"/>
        <w:ind w:firstLine="560" w:firstLineChars="200"/>
        <w:rPr>
          <w:rFonts w:hint="eastAsia" w:ascii="宋体" w:hAnsi="宋体" w:cs="仿宋_GB2312"/>
          <w:bCs/>
          <w:color w:val="auto"/>
          <w:sz w:val="28"/>
          <w:szCs w:val="28"/>
          <w:highlight w:val="none"/>
        </w:rPr>
      </w:pPr>
    </w:p>
    <w:p w14:paraId="1CCAFCE9">
      <w:pPr>
        <w:pStyle w:val="9"/>
        <w:snapToGrid w:val="0"/>
        <w:spacing w:before="50" w:after="50"/>
        <w:ind w:firstLine="630" w:firstLineChars="225"/>
        <w:rPr>
          <w:rFonts w:hint="eastAsia" w:ascii="宋体" w:hAnsi="宋体" w:cs="仿宋_GB2312"/>
          <w:bCs/>
          <w:color w:val="auto"/>
          <w:sz w:val="28"/>
          <w:szCs w:val="28"/>
          <w:highlight w:val="none"/>
        </w:rPr>
      </w:pPr>
    </w:p>
    <w:p w14:paraId="3ADE76D6">
      <w:pPr>
        <w:pStyle w:val="9"/>
        <w:snapToGrid w:val="0"/>
        <w:spacing w:before="50" w:after="50"/>
        <w:ind w:firstLine="0"/>
        <w:rPr>
          <w:rFonts w:hint="eastAsia" w:ascii="宋体" w:hAnsi="宋体" w:cs="仿宋_GB2312"/>
          <w:bCs/>
          <w:color w:val="auto"/>
          <w:sz w:val="28"/>
          <w:szCs w:val="28"/>
          <w:highlight w:val="none"/>
        </w:rPr>
      </w:pPr>
    </w:p>
    <w:p w14:paraId="16B22BDF">
      <w:pPr>
        <w:pStyle w:val="9"/>
        <w:snapToGrid w:val="0"/>
        <w:spacing w:before="50" w:after="50"/>
        <w:ind w:firstLine="1120" w:firstLineChars="400"/>
        <w:rPr>
          <w:rFonts w:hint="eastAsia" w:ascii="宋体" w:hAnsi="宋体" w:cs="仿宋_GB2312"/>
          <w:bCs/>
          <w:color w:val="auto"/>
          <w:sz w:val="28"/>
          <w:szCs w:val="28"/>
          <w:highlight w:val="none"/>
        </w:rPr>
      </w:pPr>
    </w:p>
    <w:p w14:paraId="0F670858">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7A89B304">
      <w:pPr>
        <w:snapToGrid w:val="0"/>
        <w:spacing w:before="156" w:beforeLines="50" w:after="50" w:line="360" w:lineRule="auto"/>
        <w:ind w:right="480" w:firstLine="220" w:firstLineChars="100"/>
        <w:jc w:val="left"/>
        <w:rPr>
          <w:rFonts w:hint="eastAsia" w:ascii="宋体" w:hAnsi="宋体"/>
          <w:b/>
          <w:bCs/>
          <w:color w:val="auto"/>
          <w:sz w:val="22"/>
          <w:szCs w:val="22"/>
          <w:highlight w:val="none"/>
        </w:rPr>
      </w:pPr>
      <w:r>
        <w:rPr>
          <w:rFonts w:ascii="宋体" w:hAnsi="宋体"/>
          <w:color w:val="auto"/>
          <w:sz w:val="22"/>
          <w:szCs w:val="22"/>
          <w:highlight w:val="none"/>
        </w:rPr>
        <w:br w:type="page"/>
      </w:r>
      <w:r>
        <w:rPr>
          <w:rFonts w:hint="eastAsia" w:ascii="宋体" w:hAnsi="宋体"/>
          <w:b/>
          <w:bCs/>
          <w:color w:val="auto"/>
          <w:sz w:val="28"/>
          <w:szCs w:val="28"/>
          <w:highlight w:val="none"/>
        </w:rPr>
        <w:t>2.商务技术文件目录</w:t>
      </w:r>
    </w:p>
    <w:p w14:paraId="24D17B27">
      <w:pPr>
        <w:pStyle w:val="35"/>
        <w:numPr>
          <w:ilvl w:val="0"/>
          <w:numId w:val="0"/>
        </w:numPr>
        <w:rPr>
          <w:rFonts w:hint="default"/>
          <w:color w:val="auto"/>
          <w:lang w:val="en-US" w:eastAsia="zh-CN"/>
        </w:rPr>
      </w:pPr>
      <w:r>
        <w:rPr>
          <w:rFonts w:hint="eastAsia"/>
          <w:color w:val="auto"/>
          <w:lang w:val="en-US" w:eastAsia="zh-CN"/>
        </w:rPr>
        <w:t>根据《供应商须知前附表》第12.1.2要求编制</w:t>
      </w:r>
    </w:p>
    <w:p w14:paraId="75016709">
      <w:pPr>
        <w:spacing w:line="400" w:lineRule="exact"/>
        <w:rPr>
          <w:rFonts w:hint="eastAsia" w:ascii="仿宋_GB2312" w:hAnsi="仿宋_GB2312" w:eastAsia="仿宋_GB2312" w:cs="仿宋_GB2312"/>
          <w:color w:val="auto"/>
          <w:sz w:val="28"/>
          <w:szCs w:val="28"/>
          <w:highlight w:val="none"/>
        </w:rPr>
      </w:pPr>
    </w:p>
    <w:p w14:paraId="14A6FE8C">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0"/>
          <w:szCs w:val="40"/>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14:paraId="67FE87F6">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691D31A9">
      <w:pPr>
        <w:spacing w:line="360" w:lineRule="auto"/>
        <w:ind w:firstLine="422" w:firstLineChars="200"/>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一、我方承诺无下列相互串通竞标的情形：</w:t>
      </w:r>
    </w:p>
    <w:p w14:paraId="6BFC3665">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1.不同供应商的响应文件由同一单位或者个人编制；</w:t>
      </w:r>
      <w:r>
        <w:rPr>
          <w:rFonts w:hint="eastAsia" w:ascii="宋体" w:hAnsi="宋体" w:cs="仿宋_GB2312"/>
          <w:color w:val="auto"/>
          <w:sz w:val="21"/>
          <w:szCs w:val="21"/>
          <w:highlight w:val="none"/>
          <w:lang w:val="en-US" w:eastAsia="zh-CN"/>
        </w:rPr>
        <w:t>或不同供应商报名的 IP 地址一致的；</w:t>
      </w:r>
      <w:r>
        <w:rPr>
          <w:rFonts w:hint="eastAsia" w:ascii="宋体" w:hAnsi="宋体" w:cs="仿宋_GB2312"/>
          <w:color w:val="auto"/>
          <w:sz w:val="21"/>
          <w:szCs w:val="21"/>
          <w:highlight w:val="none"/>
        </w:rPr>
        <w:t xml:space="preserve"> </w:t>
      </w:r>
    </w:p>
    <w:p w14:paraId="170D701F">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2.不同供应商委托同一单位或者个人办理竞标事宜；</w:t>
      </w:r>
    </w:p>
    <w:p w14:paraId="76EA1D27">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3.不同供应商的响应文件载明的项目管理员为同一个人；</w:t>
      </w:r>
    </w:p>
    <w:p w14:paraId="622F2612">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4.不</w:t>
      </w:r>
      <w:r>
        <w:rPr>
          <w:rFonts w:hint="eastAsia" w:ascii="宋体" w:hAnsi="宋体" w:cs="仿宋_GB2312"/>
          <w:color w:val="auto"/>
          <w:spacing w:val="-6"/>
          <w:sz w:val="21"/>
          <w:szCs w:val="21"/>
          <w:highlight w:val="none"/>
        </w:rPr>
        <w:t>同供应商的响应文件异常一致或者竞标报价呈规律性差异；</w:t>
      </w:r>
    </w:p>
    <w:p w14:paraId="348F076B">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5.不同供应商的响应文件相互混装；</w:t>
      </w:r>
    </w:p>
    <w:p w14:paraId="7DD010CB">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6.不同供应商的磋商保证金从同一单位或者个人账户转出。</w:t>
      </w:r>
    </w:p>
    <w:p w14:paraId="4C220096">
      <w:pPr>
        <w:spacing w:line="360" w:lineRule="auto"/>
        <w:ind w:firstLine="422" w:firstLineChars="200"/>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二、我方承诺无下列恶意串通的情形：</w:t>
      </w:r>
    </w:p>
    <w:p w14:paraId="049A5D43">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1.供应商直接或者间接从采购人或者采购代理机构处获得其他供应商的相关信息并修改其响应文件；</w:t>
      </w:r>
    </w:p>
    <w:p w14:paraId="5F4C4A24">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2.供应商按照采购人或者采购代理机构的授意撤换、修改响应文件；</w:t>
      </w:r>
    </w:p>
    <w:p w14:paraId="4C1D05BF">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3.供</w:t>
      </w:r>
      <w:r>
        <w:rPr>
          <w:rFonts w:hint="eastAsia" w:ascii="宋体" w:hAnsi="宋体" w:cs="仿宋_GB2312"/>
          <w:color w:val="auto"/>
          <w:spacing w:val="-6"/>
          <w:sz w:val="21"/>
          <w:szCs w:val="21"/>
          <w:highlight w:val="none"/>
        </w:rPr>
        <w:t>应商之间协商报价、技术方案等响应文件的实质性内容；</w:t>
      </w:r>
    </w:p>
    <w:p w14:paraId="4B920391">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4.属于同一集团、协会、商会等组织成员的供应商按照该组织要求协同参加政府采购活动；</w:t>
      </w:r>
    </w:p>
    <w:p w14:paraId="1B371572">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5.供应商之间事先约定一致抬高或者压低竞标报价，或者在竞争性磋商项目中事先约定轮流以高价位或者低价位成交，或者事先约定由某一特定供应商成交，然后再参加竞标；</w:t>
      </w:r>
    </w:p>
    <w:p w14:paraId="7C3A7E47">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6.供应商之间商定部分供应商放弃参加政府采购活动或者放弃成交；</w:t>
      </w:r>
    </w:p>
    <w:p w14:paraId="4FA302A4">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7.供应商与采购人或者采购代理机构之间、供应商相互之间，为</w:t>
      </w:r>
      <w:r>
        <w:rPr>
          <w:rFonts w:hint="eastAsia" w:ascii="宋体" w:hAnsi="宋体" w:cs="仿宋_GB2312"/>
          <w:color w:val="auto"/>
          <w:spacing w:val="-6"/>
          <w:sz w:val="21"/>
          <w:szCs w:val="21"/>
          <w:highlight w:val="none"/>
        </w:rPr>
        <w:t>谋求特定供应商成交或者排斥其他供应商的其他串通行为。</w:t>
      </w:r>
    </w:p>
    <w:p w14:paraId="1A228117">
      <w:pPr>
        <w:spacing w:line="360" w:lineRule="auto"/>
        <w:ind w:firstLine="420" w:firstLineChars="200"/>
        <w:contextualSpacing/>
        <w:rPr>
          <w:rFonts w:hint="eastAsia" w:ascii="宋体" w:hAnsi="宋体" w:cs="仿宋_GB2312"/>
          <w:color w:val="auto"/>
          <w:sz w:val="21"/>
          <w:szCs w:val="21"/>
          <w:highlight w:val="none"/>
        </w:rPr>
      </w:pPr>
    </w:p>
    <w:p w14:paraId="50601BEC">
      <w:pPr>
        <w:spacing w:line="360" w:lineRule="auto"/>
        <w:ind w:firstLine="422" w:firstLineChars="200"/>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以上情形一经核查属实，我方愿意承担一切后果，并不再寻求任何旨在减轻或者免除法律责任的辩解。</w:t>
      </w:r>
    </w:p>
    <w:p w14:paraId="334773A8">
      <w:pPr>
        <w:spacing w:line="520" w:lineRule="exact"/>
        <w:jc w:val="both"/>
        <w:rPr>
          <w:rFonts w:hint="eastAsia" w:ascii="宋体" w:hAnsi="宋体" w:eastAsia="宋体" w:cs="宋体"/>
          <w:color w:val="auto"/>
          <w:sz w:val="21"/>
          <w:szCs w:val="21"/>
          <w:highlight w:val="none"/>
        </w:rPr>
      </w:pPr>
    </w:p>
    <w:p w14:paraId="5834368C">
      <w:pPr>
        <w:pStyle w:val="34"/>
        <w:rPr>
          <w:rFonts w:hint="eastAsia" w:ascii="宋体" w:hAnsi="宋体" w:eastAsia="宋体" w:cs="宋体"/>
          <w:color w:val="auto"/>
          <w:sz w:val="44"/>
          <w:szCs w:val="44"/>
          <w:highlight w:val="none"/>
        </w:rPr>
      </w:pPr>
    </w:p>
    <w:p w14:paraId="04A8A2B4">
      <w:pPr>
        <w:snapToGrid w:val="0"/>
        <w:spacing w:line="360" w:lineRule="auto"/>
        <w:ind w:left="5378" w:leftChars="2536" w:hanging="52" w:hangingChars="25"/>
        <w:jc w:val="left"/>
        <w:rPr>
          <w:rFonts w:hint="default"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zh-CN"/>
        </w:rPr>
        <w:t>供应商名称</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电子签章</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u w:val="single"/>
          <w:lang w:val="en-US" w:eastAsia="zh-CN"/>
        </w:rPr>
        <w:t xml:space="preserve">          </w:t>
      </w:r>
    </w:p>
    <w:p w14:paraId="6E3E6C8C">
      <w:pPr>
        <w:snapToGrid w:val="0"/>
        <w:spacing w:line="360" w:lineRule="auto"/>
        <w:ind w:firstLine="6615" w:firstLineChars="315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33AAC770">
      <w:pPr>
        <w:pStyle w:val="34"/>
        <w:jc w:val="both"/>
        <w:rPr>
          <w:rFonts w:hint="eastAsia"/>
          <w:color w:val="auto"/>
        </w:rPr>
      </w:pPr>
    </w:p>
    <w:p w14:paraId="6A91B065">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C0B6241">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74A5FACC">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CE1D9E9">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2FCF4057">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7928A093">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法定代表人证明书</w:t>
      </w:r>
    </w:p>
    <w:p w14:paraId="2AA64F03">
      <w:pPr>
        <w:spacing w:line="360" w:lineRule="auto"/>
        <w:ind w:left="540"/>
        <w:contextualSpacing/>
        <w:rPr>
          <w:rFonts w:hint="eastAsia" w:ascii="仿宋_GB2312" w:hAnsi="仿宋_GB2312" w:eastAsia="仿宋_GB2312" w:cs="仿宋_GB2312"/>
          <w:color w:val="auto"/>
          <w:sz w:val="28"/>
          <w:szCs w:val="28"/>
          <w:highlight w:val="none"/>
        </w:rPr>
      </w:pPr>
    </w:p>
    <w:p w14:paraId="476F567D">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供应商名称：</w:t>
      </w:r>
      <w:r>
        <w:rPr>
          <w:rFonts w:hint="eastAsia" w:ascii="宋体" w:hAnsi="宋体" w:cs="仿宋_GB2312"/>
          <w:color w:val="auto"/>
          <w:sz w:val="22"/>
          <w:szCs w:val="22"/>
          <w:highlight w:val="none"/>
          <w:u w:val="single"/>
        </w:rPr>
        <w:t xml:space="preserve">                                                        </w:t>
      </w:r>
    </w:p>
    <w:p w14:paraId="228BA6AA">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地    址：</w:t>
      </w:r>
      <w:r>
        <w:rPr>
          <w:rFonts w:hint="eastAsia" w:ascii="宋体" w:hAnsi="宋体" w:cs="仿宋_GB2312"/>
          <w:color w:val="auto"/>
          <w:sz w:val="22"/>
          <w:szCs w:val="22"/>
          <w:highlight w:val="none"/>
          <w:u w:val="single"/>
        </w:rPr>
        <w:t xml:space="preserve">                                                        </w:t>
      </w:r>
    </w:p>
    <w:p w14:paraId="1929BEF2">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姓    名：</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性     别：</w:t>
      </w:r>
      <w:r>
        <w:rPr>
          <w:rFonts w:hint="eastAsia" w:ascii="宋体" w:hAnsi="宋体" w:cs="仿宋_GB2312"/>
          <w:color w:val="auto"/>
          <w:sz w:val="22"/>
          <w:szCs w:val="22"/>
          <w:highlight w:val="none"/>
          <w:u w:val="single"/>
        </w:rPr>
        <w:t xml:space="preserve">                </w:t>
      </w:r>
    </w:p>
    <w:p w14:paraId="7FA5D936">
      <w:pPr>
        <w:spacing w:line="360" w:lineRule="auto"/>
        <w:ind w:left="540"/>
        <w:contextualSpacing/>
        <w:rPr>
          <w:rFonts w:hint="eastAsia" w:ascii="宋体" w:hAnsi="宋体" w:cs="仿宋_GB2312"/>
          <w:color w:val="auto"/>
          <w:sz w:val="22"/>
          <w:szCs w:val="22"/>
          <w:highlight w:val="none"/>
          <w:u w:val="single"/>
        </w:rPr>
      </w:pPr>
      <w:r>
        <w:rPr>
          <w:rFonts w:hint="eastAsia" w:ascii="宋体" w:hAnsi="宋体" w:cs="仿宋_GB2312"/>
          <w:color w:val="auto"/>
          <w:sz w:val="22"/>
          <w:szCs w:val="22"/>
          <w:highlight w:val="none"/>
        </w:rPr>
        <w:t>年    龄：</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职     务：</w:t>
      </w:r>
      <w:r>
        <w:rPr>
          <w:rFonts w:hint="eastAsia" w:ascii="宋体" w:hAnsi="宋体" w:cs="仿宋_GB2312"/>
          <w:color w:val="auto"/>
          <w:sz w:val="22"/>
          <w:szCs w:val="22"/>
          <w:highlight w:val="none"/>
          <w:u w:val="single"/>
        </w:rPr>
        <w:t xml:space="preserve">                </w:t>
      </w:r>
    </w:p>
    <w:p w14:paraId="4A844A0C">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身份证号码：</w:t>
      </w:r>
      <w:r>
        <w:rPr>
          <w:rFonts w:hint="eastAsia" w:ascii="宋体" w:hAnsi="宋体" w:cs="仿宋_GB2312"/>
          <w:color w:val="auto"/>
          <w:sz w:val="22"/>
          <w:szCs w:val="22"/>
          <w:highlight w:val="none"/>
          <w:u w:val="single"/>
        </w:rPr>
        <w:t xml:space="preserve">                                        </w:t>
      </w:r>
    </w:p>
    <w:p w14:paraId="20E66D93">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（供应商名称）</w:t>
      </w:r>
      <w:r>
        <w:rPr>
          <w:rFonts w:hint="eastAsia" w:ascii="宋体" w:hAnsi="宋体" w:cs="仿宋_GB2312"/>
          <w:color w:val="auto"/>
          <w:sz w:val="22"/>
          <w:szCs w:val="22"/>
          <w:highlight w:val="none"/>
        </w:rPr>
        <w:t>的法定代表人。</w:t>
      </w:r>
    </w:p>
    <w:p w14:paraId="242A67C5">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特此证明。</w:t>
      </w:r>
    </w:p>
    <w:p w14:paraId="50F0C1D0">
      <w:pPr>
        <w:spacing w:line="360" w:lineRule="auto"/>
        <w:ind w:left="540"/>
        <w:contextualSpacing/>
        <w:rPr>
          <w:rFonts w:hint="eastAsia" w:ascii="宋体" w:hAnsi="宋体" w:cs="仿宋_GB2312"/>
          <w:color w:val="auto"/>
          <w:sz w:val="22"/>
          <w:szCs w:val="22"/>
          <w:highlight w:val="none"/>
        </w:rPr>
      </w:pPr>
    </w:p>
    <w:p w14:paraId="430D4A83">
      <w:pPr>
        <w:spacing w:line="360" w:lineRule="auto"/>
        <w:ind w:left="540"/>
        <w:contextualSpacing/>
        <w:rPr>
          <w:rFonts w:hint="eastAsia" w:ascii="宋体" w:hAnsi="宋体" w:cs="仿宋_GB2312"/>
          <w:color w:val="auto"/>
          <w:sz w:val="22"/>
          <w:szCs w:val="22"/>
          <w:highlight w:val="none"/>
        </w:rPr>
      </w:pPr>
    </w:p>
    <w:p w14:paraId="0F11BD0E">
      <w:pPr>
        <w:spacing w:line="360" w:lineRule="auto"/>
        <w:ind w:left="540"/>
        <w:contextualSpacing/>
        <w:rPr>
          <w:rFonts w:hint="eastAsia" w:ascii="宋体" w:hAnsi="宋体" w:cs="仿宋_GB2312"/>
          <w:color w:val="auto"/>
          <w:sz w:val="22"/>
          <w:szCs w:val="22"/>
          <w:highlight w:val="none"/>
        </w:rPr>
      </w:pPr>
    </w:p>
    <w:p w14:paraId="25178298">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附件：法定代表人有效身份证正反面复印件</w:t>
      </w:r>
    </w:p>
    <w:p w14:paraId="1F7631C5">
      <w:pPr>
        <w:spacing w:line="360" w:lineRule="auto"/>
        <w:ind w:left="540"/>
        <w:contextualSpacing/>
        <w:rPr>
          <w:rFonts w:hint="eastAsia" w:ascii="宋体" w:hAnsi="宋体" w:cs="仿宋_GB2312"/>
          <w:color w:val="auto"/>
          <w:sz w:val="22"/>
          <w:szCs w:val="22"/>
          <w:highlight w:val="none"/>
        </w:rPr>
      </w:pPr>
    </w:p>
    <w:p w14:paraId="1AB9A78E">
      <w:pPr>
        <w:snapToGrid w:val="0"/>
        <w:spacing w:line="360" w:lineRule="auto"/>
        <w:ind w:left="5381" w:leftChars="2536" w:hanging="55" w:hangingChars="25"/>
        <w:jc w:val="left"/>
        <w:rPr>
          <w:rFonts w:hint="default" w:ascii="宋体" w:hAnsi="宋体" w:eastAsia="宋体" w:cs="宋体"/>
          <w:color w:val="auto"/>
          <w:kern w:val="0"/>
          <w:sz w:val="21"/>
          <w:szCs w:val="21"/>
          <w:highlight w:val="none"/>
          <w:u w:val="single"/>
          <w:lang w:val="en-US" w:eastAsia="zh-CN"/>
        </w:rPr>
      </w:pPr>
      <w:r>
        <w:rPr>
          <w:rFonts w:hint="eastAsia" w:ascii="宋体" w:hAnsi="宋体" w:cs="仿宋_GB2312"/>
          <w:color w:val="auto"/>
          <w:sz w:val="22"/>
          <w:szCs w:val="22"/>
          <w:highlight w:val="none"/>
          <w:lang w:val="en-US" w:eastAsia="zh-CN"/>
        </w:rPr>
        <w:t xml:space="preserve">    </w:t>
      </w:r>
      <w:r>
        <w:rPr>
          <w:rFonts w:hint="eastAsia" w:ascii="宋体" w:hAnsi="宋体" w:eastAsia="宋体" w:cs="宋体"/>
          <w:color w:val="auto"/>
          <w:kern w:val="0"/>
          <w:sz w:val="21"/>
          <w:szCs w:val="21"/>
          <w:highlight w:val="none"/>
          <w:lang w:val="zh-CN"/>
        </w:rPr>
        <w:t>供应商名称</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电子签章</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u w:val="single"/>
          <w:lang w:val="en-US" w:eastAsia="zh-CN"/>
        </w:rPr>
        <w:t xml:space="preserve">          </w:t>
      </w:r>
    </w:p>
    <w:p w14:paraId="7D16BEDF">
      <w:pPr>
        <w:snapToGrid w:val="0"/>
        <w:spacing w:line="360" w:lineRule="auto"/>
        <w:ind w:firstLine="6930" w:firstLineChars="33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175018E5">
      <w:pPr>
        <w:spacing w:line="360" w:lineRule="auto"/>
        <w:contextualSpacing/>
        <w:jc w:val="left"/>
        <w:rPr>
          <w:rFonts w:hint="eastAsia" w:ascii="宋体" w:hAnsi="宋体" w:cs="仿宋_GB2312"/>
          <w:color w:val="auto"/>
          <w:sz w:val="22"/>
          <w:szCs w:val="22"/>
          <w:highlight w:val="none"/>
        </w:rPr>
      </w:pPr>
    </w:p>
    <w:p w14:paraId="1A14B657">
      <w:pPr>
        <w:spacing w:line="360" w:lineRule="auto"/>
        <w:contextualSpacing/>
        <w:jc w:val="left"/>
        <w:rPr>
          <w:rFonts w:ascii="宋体" w:hAnsi="宋体" w:cs="仿宋_GB2312"/>
          <w:color w:val="auto"/>
          <w:sz w:val="22"/>
          <w:szCs w:val="22"/>
          <w:highlight w:val="none"/>
        </w:rPr>
      </w:pPr>
      <w:r>
        <w:rPr>
          <w:rFonts w:hint="eastAsia" w:ascii="宋体" w:hAnsi="宋体" w:cs="仿宋_GB2312"/>
          <w:color w:val="auto"/>
          <w:sz w:val="22"/>
          <w:szCs w:val="22"/>
          <w:highlight w:val="none"/>
        </w:rPr>
        <w:t>注：自然人竞标的无需提供，联合体竞标的只需牵头人出具。</w:t>
      </w:r>
    </w:p>
    <w:p w14:paraId="4BA6AE3D">
      <w:pPr>
        <w:adjustRightInd w:val="0"/>
        <w:snapToGrid w:val="0"/>
        <w:spacing w:line="300" w:lineRule="auto"/>
        <w:jc w:val="left"/>
        <w:rPr>
          <w:rFonts w:hint="eastAsia" w:ascii="宋体" w:hAnsi="宋体"/>
          <w:b/>
          <w:color w:val="auto"/>
          <w:sz w:val="20"/>
          <w:szCs w:val="20"/>
          <w:highlight w:val="none"/>
        </w:rPr>
      </w:pPr>
    </w:p>
    <w:p w14:paraId="7BBE5B45">
      <w:pPr>
        <w:spacing w:line="50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br w:type="page"/>
      </w:r>
      <w:r>
        <w:rPr>
          <w:rFonts w:ascii="方正小标宋简体" w:hAnsi="方正小标宋简体" w:eastAsia="方正小标宋简体" w:cs="方正小标宋简体"/>
          <w:color w:val="auto"/>
          <w:sz w:val="40"/>
          <w:szCs w:val="40"/>
          <w:highlight w:val="none"/>
        </w:rPr>
        <w:t xml:space="preserve"> </w:t>
      </w:r>
    </w:p>
    <w:p w14:paraId="447681D3">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授权委托书</w:t>
      </w:r>
    </w:p>
    <w:p w14:paraId="4C7F8C25">
      <w:pPr>
        <w:spacing w:line="520" w:lineRule="exact"/>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rPr>
        <w:t>（非联合体竞标格式）</w:t>
      </w:r>
    </w:p>
    <w:p w14:paraId="4822D30F">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28"/>
          <w:szCs w:val="28"/>
          <w:highlight w:val="none"/>
        </w:rPr>
        <w:t>（如有委托时）</w:t>
      </w:r>
    </w:p>
    <w:p w14:paraId="60111B0F">
      <w:pPr>
        <w:spacing w:line="520" w:lineRule="exact"/>
        <w:rPr>
          <w:rFonts w:hint="eastAsia" w:ascii="仿宋_GB2312" w:hAnsi="仿宋_GB2312" w:eastAsia="仿宋_GB2312" w:cs="仿宋_GB2312"/>
          <w:color w:val="auto"/>
          <w:sz w:val="28"/>
          <w:szCs w:val="28"/>
          <w:highlight w:val="none"/>
        </w:rPr>
      </w:pPr>
    </w:p>
    <w:p w14:paraId="25B401E8">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致：</w:t>
      </w:r>
      <w:r>
        <w:rPr>
          <w:rFonts w:hint="eastAsia" w:ascii="宋体" w:hAnsi="宋体" w:cs="仿宋_GB2312"/>
          <w:color w:val="auto"/>
          <w:sz w:val="22"/>
          <w:szCs w:val="22"/>
          <w:highlight w:val="none"/>
          <w:u w:val="single"/>
        </w:rPr>
        <w:t>（采购人名称）</w:t>
      </w:r>
      <w:r>
        <w:rPr>
          <w:rFonts w:hint="eastAsia" w:ascii="宋体" w:hAnsi="宋体" w:cs="仿宋_GB2312"/>
          <w:color w:val="auto"/>
          <w:sz w:val="22"/>
          <w:szCs w:val="22"/>
          <w:highlight w:val="none"/>
        </w:rPr>
        <w:t>：</w:t>
      </w:r>
    </w:p>
    <w:p w14:paraId="6B8B0DD1">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我</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 xml:space="preserve">  （供应商名称）  </w:t>
      </w:r>
      <w:r>
        <w:rPr>
          <w:rFonts w:hint="eastAsia" w:ascii="宋体" w:hAnsi="宋体" w:cs="仿宋_GB2312"/>
          <w:color w:val="auto"/>
          <w:sz w:val="22"/>
          <w:szCs w:val="22"/>
          <w:highlight w:val="none"/>
        </w:rPr>
        <w:t>的（</w:t>
      </w:r>
      <w:r>
        <w:rPr>
          <w:rFonts w:hint="eastAsia" w:ascii="宋体" w:hAnsi="宋体" w:cs="仿宋_GB2312"/>
          <w:color w:val="auto"/>
          <w:sz w:val="22"/>
          <w:szCs w:val="22"/>
          <w:highlight w:val="none"/>
          <w:u w:val="single"/>
        </w:rPr>
        <w:t>□法定代表人/□负责人/□自然人本人</w:t>
      </w:r>
      <w:r>
        <w:rPr>
          <w:rFonts w:hint="eastAsia" w:ascii="宋体" w:hAnsi="宋体" w:cs="仿宋_GB2312"/>
          <w:color w:val="auto"/>
          <w:sz w:val="22"/>
          <w:szCs w:val="22"/>
          <w:highlight w:val="none"/>
        </w:rPr>
        <w:t>），现授权</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以我方的名义参加</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项目的竞标活动，并代表我方全权办理针对上述项目的所有采购程序和环节的具体事务和签署相关文件。</w:t>
      </w:r>
    </w:p>
    <w:p w14:paraId="665F2EDD">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我方对委托代理人的签字</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事项负全部责任。</w:t>
      </w:r>
    </w:p>
    <w:p w14:paraId="11045F45">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本授权书自签署之日起生效，在撤销授权的书面通知以前，本授权书一直有效。委托代理人在授权书有效期内签署的所有文件不因授权的撤销而失效。</w:t>
      </w:r>
    </w:p>
    <w:p w14:paraId="419EBE0A">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委托代理人无转委托权，特此委托。</w:t>
      </w:r>
    </w:p>
    <w:p w14:paraId="4B0E317F">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附：法定代表人身份证明书及委托代理人有效身份证正反面复印件</w:t>
      </w:r>
    </w:p>
    <w:p w14:paraId="2B52C8AE">
      <w:pPr>
        <w:spacing w:line="360" w:lineRule="auto"/>
        <w:rPr>
          <w:rFonts w:hint="eastAsia" w:ascii="宋体" w:hAnsi="宋体" w:cs="仿宋_GB2312"/>
          <w:color w:val="auto"/>
          <w:sz w:val="22"/>
          <w:szCs w:val="22"/>
          <w:highlight w:val="none"/>
        </w:rPr>
      </w:pPr>
    </w:p>
    <w:p w14:paraId="2024626B">
      <w:pPr>
        <w:spacing w:line="360" w:lineRule="auto"/>
        <w:contextualSpacing/>
        <w:rPr>
          <w:rFonts w:hint="eastAsia" w:ascii="宋体" w:hAnsi="宋体" w:cs="仿宋_GB2312"/>
          <w:color w:val="auto"/>
          <w:sz w:val="22"/>
          <w:szCs w:val="22"/>
          <w:highlight w:val="none"/>
        </w:rPr>
      </w:pPr>
      <w:r>
        <w:rPr>
          <w:rFonts w:hint="eastAsia" w:ascii="宋体" w:hAnsi="宋体" w:cs="仿宋_GB2312"/>
          <w:b w:val="0"/>
          <w:bCs w:val="0"/>
          <w:color w:val="auto"/>
          <w:sz w:val="22"/>
          <w:szCs w:val="22"/>
          <w:highlight w:val="none"/>
        </w:rPr>
        <w:t>委托代理人（</w:t>
      </w:r>
      <w:r>
        <w:rPr>
          <w:rFonts w:hint="eastAsia" w:ascii="宋体" w:hAnsi="宋体"/>
          <w:b w:val="0"/>
          <w:bCs w:val="0"/>
          <w:color w:val="auto"/>
          <w:sz w:val="22"/>
          <w:szCs w:val="22"/>
          <w:highlight w:val="none"/>
        </w:rPr>
        <w:t>签字或者电子签名</w:t>
      </w:r>
      <w:r>
        <w:rPr>
          <w:rFonts w:hint="eastAsia" w:ascii="宋体" w:hAnsi="宋体" w:cs="仿宋_GB2312"/>
          <w:b w:val="0"/>
          <w:bCs w:val="0"/>
          <w:color w:val="auto"/>
          <w:sz w:val="22"/>
          <w:szCs w:val="22"/>
          <w:highlight w:val="none"/>
        </w:rPr>
        <w:t xml:space="preserve">）：    </w:t>
      </w:r>
      <w:r>
        <w:rPr>
          <w:rFonts w:hint="eastAsia" w:ascii="宋体" w:hAnsi="宋体" w:cs="仿宋_GB2312"/>
          <w:b w:val="0"/>
          <w:bCs w:val="0"/>
          <w:color w:val="auto"/>
          <w:sz w:val="22"/>
          <w:szCs w:val="22"/>
          <w:highlight w:val="none"/>
          <w:lang w:val="en-US" w:eastAsia="zh-CN"/>
        </w:rPr>
        <w:t xml:space="preserve">            </w:t>
      </w:r>
      <w:r>
        <w:rPr>
          <w:rFonts w:hint="eastAsia" w:ascii="宋体" w:hAnsi="宋体" w:cs="仿宋_GB2312"/>
          <w:b w:val="0"/>
          <w:bCs w:val="0"/>
          <w:color w:val="auto"/>
          <w:sz w:val="22"/>
          <w:szCs w:val="22"/>
          <w:highlight w:val="none"/>
        </w:rPr>
        <w:t>法定代表人（</w:t>
      </w:r>
      <w:r>
        <w:rPr>
          <w:rFonts w:hint="eastAsia" w:ascii="宋体" w:hAnsi="宋体"/>
          <w:b w:val="0"/>
          <w:bCs w:val="0"/>
          <w:color w:val="auto"/>
          <w:sz w:val="22"/>
          <w:szCs w:val="22"/>
          <w:highlight w:val="none"/>
        </w:rPr>
        <w:t>签字或者盖章或者电子签名</w:t>
      </w:r>
      <w:r>
        <w:rPr>
          <w:rFonts w:hint="eastAsia" w:ascii="宋体" w:hAnsi="宋体" w:cs="仿宋_GB2312"/>
          <w:b w:val="0"/>
          <w:bCs w:val="0"/>
          <w:color w:val="auto"/>
          <w:sz w:val="22"/>
          <w:szCs w:val="22"/>
          <w:highlight w:val="none"/>
        </w:rPr>
        <w:t>）：</w:t>
      </w:r>
      <w:r>
        <w:rPr>
          <w:rFonts w:hint="eastAsia" w:ascii="宋体" w:hAnsi="宋体" w:cs="仿宋_GB2312"/>
          <w:color w:val="auto"/>
          <w:sz w:val="22"/>
          <w:szCs w:val="22"/>
          <w:highlight w:val="none"/>
        </w:rPr>
        <w:t xml:space="preserve">                    </w:t>
      </w:r>
    </w:p>
    <w:p w14:paraId="19BD3A84">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委托代理人身份证号码：                              </w:t>
      </w:r>
    </w:p>
    <w:p w14:paraId="233E7167">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p>
    <w:p w14:paraId="64885451">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   供应商</w:t>
      </w:r>
      <w:r>
        <w:rPr>
          <w:rFonts w:hint="eastAsia" w:ascii="宋体" w:hAnsi="宋体" w:cs="仿宋_GB2312"/>
          <w:color w:val="auto"/>
          <w:sz w:val="22"/>
          <w:szCs w:val="22"/>
          <w:highlight w:val="none"/>
          <w:lang w:val="en-US" w:eastAsia="zh-CN"/>
        </w:rPr>
        <w:t>名称</w:t>
      </w:r>
      <w:r>
        <w:rPr>
          <w:rFonts w:hint="eastAsia" w:ascii="宋体" w:hAnsi="宋体" w:cs="仿宋_GB2312"/>
          <w:color w:val="auto"/>
          <w:sz w:val="22"/>
          <w:szCs w:val="22"/>
          <w:highlight w:val="none"/>
        </w:rPr>
        <w:t xml:space="preserve">（电子签章）：                      </w:t>
      </w:r>
    </w:p>
    <w:p w14:paraId="10550688">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年    月    日</w:t>
      </w:r>
    </w:p>
    <w:p w14:paraId="6ABD3361">
      <w:pPr>
        <w:spacing w:line="360" w:lineRule="auto"/>
        <w:rPr>
          <w:rFonts w:hint="eastAsia" w:ascii="宋体" w:hAnsi="宋体" w:cs="仿宋_GB2312"/>
          <w:color w:val="auto"/>
          <w:sz w:val="22"/>
          <w:szCs w:val="22"/>
          <w:highlight w:val="none"/>
        </w:rPr>
      </w:pPr>
    </w:p>
    <w:p w14:paraId="5DDBF5DA">
      <w:pPr>
        <w:spacing w:line="360" w:lineRule="auto"/>
        <w:rPr>
          <w:rFonts w:ascii="宋体" w:hAnsi="宋体" w:cs="仿宋_GB2312"/>
          <w:color w:val="auto"/>
          <w:sz w:val="22"/>
          <w:szCs w:val="22"/>
          <w:highlight w:val="none"/>
        </w:rPr>
      </w:pPr>
      <w:r>
        <w:rPr>
          <w:rFonts w:hint="eastAsia" w:ascii="宋体" w:hAnsi="宋体" w:cs="仿宋_GB2312"/>
          <w:color w:val="auto"/>
          <w:sz w:val="22"/>
          <w:szCs w:val="22"/>
          <w:highlight w:val="none"/>
        </w:rPr>
        <w:t>注：1. 法定代表人必须在授权委托书上签字或者盖章</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，委托代理人必须在授权委托书上签字或者电子签名，</w:t>
      </w:r>
      <w:r>
        <w:rPr>
          <w:rFonts w:hint="eastAsia" w:ascii="宋体" w:hAnsi="宋体" w:cs="仿宋_GB2312"/>
          <w:b/>
          <w:color w:val="auto"/>
          <w:sz w:val="22"/>
          <w:szCs w:val="22"/>
          <w:highlight w:val="none"/>
        </w:rPr>
        <w:t>否则其响应文件按无效响应处理。</w:t>
      </w:r>
    </w:p>
    <w:p w14:paraId="17107668">
      <w:pPr>
        <w:spacing w:line="360" w:lineRule="auto"/>
        <w:ind w:firstLine="440" w:firstLineChars="200"/>
        <w:jc w:val="left"/>
        <w:rPr>
          <w:rFonts w:hint="eastAsia" w:ascii="宋体" w:hAnsi="宋体" w:cs="仿宋_GB2312"/>
          <w:color w:val="auto"/>
          <w:sz w:val="22"/>
          <w:szCs w:val="22"/>
          <w:highlight w:val="none"/>
        </w:rPr>
      </w:pPr>
      <w:r>
        <w:rPr>
          <w:rFonts w:ascii="宋体" w:hAnsi="宋体" w:cs="仿宋_GB2312"/>
          <w:color w:val="auto"/>
          <w:sz w:val="22"/>
          <w:szCs w:val="22"/>
          <w:highlight w:val="none"/>
        </w:rPr>
        <w:t>2.</w:t>
      </w:r>
      <w:bookmarkStart w:id="116" w:name="_Hlk65853109"/>
      <w:bookmarkStart w:id="117" w:name="_Hlk65853542"/>
      <w:r>
        <w:rPr>
          <w:rFonts w:hint="eastAsia" w:ascii="宋体" w:hAnsi="宋体" w:cs="仿宋_GB2312"/>
          <w:color w:val="auto"/>
          <w:sz w:val="22"/>
          <w:szCs w:val="22"/>
          <w:highlight w:val="none"/>
        </w:rPr>
        <w:t>法人、其他组织竞标时“我方”是指“我单位”，自然人竞标时“我方”是指“本人”。</w:t>
      </w:r>
      <w:bookmarkEnd w:id="116"/>
    </w:p>
    <w:bookmarkEnd w:id="117"/>
    <w:p w14:paraId="2BBC9C5B">
      <w:pPr>
        <w:spacing w:line="360" w:lineRule="auto"/>
        <w:ind w:firstLine="400" w:firstLineChars="200"/>
        <w:jc w:val="left"/>
        <w:rPr>
          <w:rFonts w:hint="eastAsia" w:ascii="仿宋_GB2312" w:hAnsi="仿宋_GB2312" w:eastAsia="仿宋_GB2312" w:cs="仿宋_GB2312"/>
          <w:color w:val="auto"/>
          <w:sz w:val="20"/>
          <w:szCs w:val="20"/>
          <w:highlight w:val="none"/>
        </w:rPr>
      </w:pPr>
    </w:p>
    <w:p w14:paraId="7B10D858">
      <w:pPr>
        <w:pStyle w:val="22"/>
        <w:rPr>
          <w:rFonts w:hint="eastAsia" w:ascii="宋体" w:hAnsi="宋体" w:eastAsia="宋体" w:cs="宋体"/>
          <w:bCs/>
          <w:color w:val="auto"/>
          <w:sz w:val="40"/>
          <w:szCs w:val="40"/>
          <w:highlight w:val="none"/>
        </w:rPr>
      </w:pPr>
      <w:r>
        <w:rPr>
          <w:rFonts w:hint="eastAsia" w:ascii="宋体" w:hAnsi="宋体" w:eastAsia="宋体" w:cs="宋体"/>
          <w:color w:val="auto"/>
          <w:sz w:val="28"/>
          <w:szCs w:val="28"/>
          <w:highlight w:val="none"/>
        </w:rPr>
        <w:br w:type="page"/>
      </w:r>
    </w:p>
    <w:p w14:paraId="1276E287">
      <w:pPr>
        <w:jc w:val="center"/>
        <w:outlineLvl w:val="0"/>
        <w:rPr>
          <w:rFonts w:hint="eastAsia" w:ascii="宋体" w:hAnsi="宋体" w:eastAsia="宋体" w:cs="宋体"/>
          <w:b/>
          <w:bCs/>
          <w:color w:val="auto"/>
          <w:sz w:val="32"/>
          <w:szCs w:val="32"/>
        </w:rPr>
      </w:pPr>
      <w:bookmarkStart w:id="118" w:name="_Toc514238701"/>
      <w:bookmarkStart w:id="119" w:name="_Toc238633530"/>
      <w:bookmarkStart w:id="120" w:name="_Toc10902"/>
      <w:bookmarkStart w:id="121" w:name="_Toc74156290"/>
      <w:bookmarkStart w:id="122" w:name="_Toc15743"/>
      <w:bookmarkStart w:id="123" w:name="_Toc17013"/>
      <w:bookmarkStart w:id="124" w:name="_Toc244494707"/>
      <w:bookmarkStart w:id="125" w:name="_Toc5384"/>
      <w:bookmarkStart w:id="126" w:name="_Toc23152656"/>
      <w:bookmarkStart w:id="127" w:name="_Toc23046764"/>
      <w:bookmarkStart w:id="128" w:name="_Toc24313"/>
      <w:bookmarkStart w:id="129" w:name="_Toc243584385"/>
      <w:bookmarkStart w:id="130" w:name="_Toc18571"/>
      <w:bookmarkStart w:id="131" w:name="_Toc130893539"/>
      <w:r>
        <w:rPr>
          <w:rFonts w:hint="eastAsia" w:ascii="宋体" w:hAnsi="宋体" w:eastAsia="宋体" w:cs="宋体"/>
          <w:b/>
          <w:bCs/>
          <w:color w:val="auto"/>
          <w:kern w:val="0"/>
          <w:sz w:val="32"/>
          <w:szCs w:val="32"/>
        </w:rPr>
        <w:t>施工组织设计</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25FA63BD">
      <w:pPr>
        <w:pStyle w:val="48"/>
        <w:bidi w:val="0"/>
        <w:spacing w:line="360" w:lineRule="auto"/>
        <w:ind w:firstLine="420" w:firstLineChars="200"/>
        <w:rPr>
          <w:rStyle w:val="27"/>
          <w:rFonts w:hint="eastAsia" w:ascii="宋体" w:hAnsi="宋体"/>
          <w:color w:val="auto"/>
          <w:highlight w:val="none"/>
        </w:rPr>
      </w:pPr>
      <w:bookmarkStart w:id="132" w:name="_Toc15158"/>
      <w:r>
        <w:rPr>
          <w:rStyle w:val="27"/>
          <w:rFonts w:hint="eastAsia"/>
          <w:color w:val="auto"/>
          <w:highlight w:val="none"/>
        </w:rPr>
        <w:t>一、</w:t>
      </w:r>
      <w:r>
        <w:rPr>
          <w:rStyle w:val="27"/>
          <w:rFonts w:hint="eastAsia" w:ascii="宋体" w:hAnsi="宋体"/>
          <w:color w:val="auto"/>
          <w:highlight w:val="none"/>
        </w:rPr>
        <w:t>技术标的</w:t>
      </w:r>
      <w:r>
        <w:rPr>
          <w:rStyle w:val="27"/>
          <w:color w:val="auto"/>
          <w:highlight w:val="none"/>
        </w:rPr>
        <w:t>施工组织</w:t>
      </w:r>
      <w:r>
        <w:rPr>
          <w:rStyle w:val="27"/>
          <w:rFonts w:hint="eastAsia"/>
          <w:color w:val="auto"/>
          <w:highlight w:val="none"/>
        </w:rPr>
        <w:t>设计</w:t>
      </w:r>
      <w:r>
        <w:rPr>
          <w:rStyle w:val="27"/>
          <w:rFonts w:hint="eastAsia" w:ascii="宋体" w:hAnsi="宋体"/>
          <w:color w:val="auto"/>
          <w:highlight w:val="none"/>
        </w:rPr>
        <w:t>编制要求：</w:t>
      </w:r>
    </w:p>
    <w:p w14:paraId="162DC666">
      <w:pPr>
        <w:pStyle w:val="48"/>
        <w:bidi w:val="0"/>
        <w:spacing w:line="360" w:lineRule="auto"/>
        <w:ind w:firstLine="567" w:firstLineChars="270"/>
        <w:rPr>
          <w:rStyle w:val="27"/>
          <w:rFonts w:hint="eastAsia"/>
          <w:color w:val="auto"/>
          <w:highlight w:val="none"/>
          <w:lang w:val="en-US" w:eastAsia="zh-CN"/>
        </w:rPr>
      </w:pPr>
      <w:r>
        <w:rPr>
          <w:rStyle w:val="27"/>
          <w:rFonts w:hint="eastAsia" w:ascii="宋体" w:hAnsi="宋体"/>
          <w:color w:val="auto"/>
          <w:highlight w:val="none"/>
          <w:lang w:eastAsia="zh-CN"/>
        </w:rPr>
        <w:t>1.</w:t>
      </w:r>
      <w:r>
        <w:rPr>
          <w:rStyle w:val="27"/>
          <w:rFonts w:hint="eastAsia" w:ascii="宋体" w:hAnsi="宋体"/>
          <w:color w:val="auto"/>
          <w:highlight w:val="none"/>
        </w:rPr>
        <w:t>技术标</w:t>
      </w:r>
      <w:r>
        <w:rPr>
          <w:rStyle w:val="27"/>
          <w:color w:val="auto"/>
          <w:highlight w:val="none"/>
        </w:rPr>
        <w:t>施工组织</w:t>
      </w:r>
      <w:r>
        <w:rPr>
          <w:rStyle w:val="27"/>
          <w:rFonts w:hint="eastAsia"/>
          <w:color w:val="auto"/>
          <w:highlight w:val="none"/>
        </w:rPr>
        <w:t>设计可</w:t>
      </w:r>
      <w:r>
        <w:rPr>
          <w:rStyle w:val="27"/>
          <w:rFonts w:hint="eastAsia" w:ascii="宋体" w:hAnsi="宋体"/>
          <w:color w:val="auto"/>
          <w:highlight w:val="none"/>
        </w:rPr>
        <w:t>采用文字并结合图表形式说明施工方法</w:t>
      </w:r>
      <w:r>
        <w:rPr>
          <w:rStyle w:val="27"/>
          <w:rFonts w:hint="eastAsia"/>
          <w:color w:val="auto"/>
          <w:highlight w:val="none"/>
          <w:lang w:eastAsia="zh-CN"/>
        </w:rPr>
        <w:t>，</w:t>
      </w:r>
      <w:r>
        <w:rPr>
          <w:rStyle w:val="27"/>
          <w:rFonts w:hint="eastAsia"/>
          <w:color w:val="auto"/>
          <w:highlight w:val="none"/>
          <w:lang w:val="en-US" w:eastAsia="zh-CN"/>
        </w:rPr>
        <w:t>编制顺序如下：</w:t>
      </w:r>
    </w:p>
    <w:p w14:paraId="5149CCFE">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（1）概述</w:t>
      </w:r>
    </w:p>
    <w:p w14:paraId="16144B0D">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（2）主要施工方法；</w:t>
      </w:r>
    </w:p>
    <w:p w14:paraId="40D716D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（3）拟投入的主要物资计划</w:t>
      </w:r>
      <w:r>
        <w:rPr>
          <w:rStyle w:val="27"/>
          <w:rFonts w:hint="eastAsia" w:ascii="宋体" w:hAnsi="宋体" w:cs="宋体"/>
          <w:color w:val="auto"/>
          <w:highlight w:val="none"/>
          <w:lang w:val="en-US" w:eastAsia="zh-CN"/>
        </w:rPr>
        <w:t>；</w:t>
      </w:r>
    </w:p>
    <w:p w14:paraId="105044D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（4）拟投入的主要施工机械、设备计划</w:t>
      </w:r>
      <w:r>
        <w:rPr>
          <w:rStyle w:val="27"/>
          <w:rFonts w:hint="eastAsia" w:ascii="宋体" w:hAnsi="宋体" w:cs="宋体"/>
          <w:color w:val="auto"/>
          <w:highlight w:val="none"/>
          <w:lang w:val="en-US" w:eastAsia="zh-CN"/>
        </w:rPr>
        <w:t>；</w:t>
      </w:r>
    </w:p>
    <w:p w14:paraId="2079ADE5">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（5）劳动力安排计划；</w:t>
      </w:r>
    </w:p>
    <w:p w14:paraId="15F9052A">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（6）确保工程质量的技术组织措施；</w:t>
      </w:r>
    </w:p>
    <w:p w14:paraId="0D552BD2">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（7）确保安全生产的技术组织措施；</w:t>
      </w:r>
    </w:p>
    <w:p w14:paraId="397D842B">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（8）确保工期的技术组织措施；</w:t>
      </w:r>
    </w:p>
    <w:p w14:paraId="5F5A7EE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（9）确保文明施工的技术组织措施；</w:t>
      </w:r>
    </w:p>
    <w:p w14:paraId="19037EC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（10）工程施工的重点和难点及保证措施；</w:t>
      </w:r>
    </w:p>
    <w:p w14:paraId="1CBC8A49">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default" w:ascii="宋体" w:hAnsi="宋体" w:eastAsia="宋体" w:cs="宋体"/>
          <w:color w:val="auto"/>
          <w:highlight w:val="none"/>
          <w:lang w:val="en-US" w:eastAsia="zh-CN"/>
        </w:rPr>
      </w:pPr>
    </w:p>
    <w:p w14:paraId="52A73BD3">
      <w:pPr>
        <w:pStyle w:val="48"/>
        <w:bidi w:val="0"/>
        <w:spacing w:line="360" w:lineRule="auto"/>
        <w:ind w:firstLine="210" w:firstLineChars="100"/>
        <w:rPr>
          <w:rStyle w:val="27"/>
          <w:rFonts w:hint="eastAsia" w:cs="宋体"/>
          <w:color w:val="auto"/>
          <w:highlight w:val="none"/>
        </w:rPr>
      </w:pPr>
      <w:r>
        <w:rPr>
          <w:rStyle w:val="27"/>
          <w:rFonts w:hint="eastAsia" w:ascii="宋体" w:hAnsi="宋体"/>
          <w:color w:val="auto"/>
          <w:highlight w:val="none"/>
          <w:lang w:eastAsia="zh-CN"/>
        </w:rPr>
        <w:t>2.</w:t>
      </w:r>
      <w:r>
        <w:rPr>
          <w:rStyle w:val="27"/>
          <w:rFonts w:hint="eastAsia" w:ascii="宋体" w:hAnsi="宋体"/>
          <w:color w:val="auto"/>
          <w:highlight w:val="none"/>
        </w:rPr>
        <w:t>技术标</w:t>
      </w:r>
      <w:r>
        <w:rPr>
          <w:rStyle w:val="27"/>
          <w:color w:val="auto"/>
          <w:highlight w:val="none"/>
        </w:rPr>
        <w:t>施工组织</w:t>
      </w:r>
      <w:r>
        <w:rPr>
          <w:rStyle w:val="27"/>
          <w:rFonts w:hint="eastAsia"/>
          <w:color w:val="auto"/>
          <w:highlight w:val="none"/>
        </w:rPr>
        <w:t>设计</w:t>
      </w:r>
      <w:r>
        <w:rPr>
          <w:rStyle w:val="27"/>
          <w:rFonts w:hint="eastAsia" w:ascii="宋体" w:hAnsi="宋体"/>
          <w:color w:val="auto"/>
          <w:highlight w:val="none"/>
        </w:rPr>
        <w:t>除采用文字表述外可附下列图表，图表及格式要求附后。</w:t>
      </w:r>
    </w:p>
    <w:p w14:paraId="4830F098">
      <w:pPr>
        <w:pStyle w:val="48"/>
        <w:bidi w:val="0"/>
        <w:ind w:firstLine="210" w:firstLineChars="100"/>
        <w:rPr>
          <w:rStyle w:val="27"/>
          <w:color w:val="auto"/>
          <w:highlight w:val="none"/>
        </w:rPr>
      </w:pPr>
      <w:r>
        <w:rPr>
          <w:rStyle w:val="27"/>
          <w:rFonts w:hint="eastAsia" w:cs="宋体"/>
          <w:color w:val="auto"/>
          <w:highlight w:val="none"/>
        </w:rPr>
        <w:t>附表一：拟投入本工程的主要施工设备表</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0147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3408502C">
            <w:pPr>
              <w:pStyle w:val="48"/>
              <w:jc w:val="center"/>
              <w:rPr>
                <w:rStyle w:val="27"/>
                <w:color w:val="auto"/>
                <w:highlight w:val="none"/>
              </w:rPr>
            </w:pPr>
            <w:r>
              <w:rPr>
                <w:rStyle w:val="27"/>
                <w:rFonts w:hint="eastAsia" w:cs="宋体"/>
                <w:color w:val="auto"/>
                <w:highlight w:val="none"/>
              </w:rPr>
              <w:t>序号</w:t>
            </w:r>
          </w:p>
        </w:tc>
        <w:tc>
          <w:tcPr>
            <w:tcW w:w="1226" w:type="dxa"/>
            <w:noWrap w:val="0"/>
            <w:vAlign w:val="center"/>
          </w:tcPr>
          <w:p w14:paraId="482EB7F8">
            <w:pPr>
              <w:pStyle w:val="48"/>
              <w:jc w:val="center"/>
              <w:rPr>
                <w:rStyle w:val="27"/>
                <w:color w:val="auto"/>
                <w:highlight w:val="none"/>
              </w:rPr>
            </w:pPr>
            <w:r>
              <w:rPr>
                <w:rStyle w:val="27"/>
                <w:rFonts w:hint="eastAsia" w:cs="宋体"/>
                <w:color w:val="auto"/>
                <w:highlight w:val="none"/>
              </w:rPr>
              <w:t>设备名称</w:t>
            </w:r>
          </w:p>
        </w:tc>
        <w:tc>
          <w:tcPr>
            <w:tcW w:w="851" w:type="dxa"/>
            <w:noWrap w:val="0"/>
            <w:vAlign w:val="center"/>
          </w:tcPr>
          <w:p w14:paraId="1E6A77AA">
            <w:pPr>
              <w:pStyle w:val="48"/>
              <w:jc w:val="center"/>
              <w:rPr>
                <w:rStyle w:val="27"/>
                <w:color w:val="auto"/>
                <w:highlight w:val="none"/>
              </w:rPr>
            </w:pPr>
            <w:r>
              <w:rPr>
                <w:rStyle w:val="27"/>
                <w:rFonts w:hint="eastAsia" w:cs="宋体"/>
                <w:color w:val="auto"/>
                <w:highlight w:val="none"/>
              </w:rPr>
              <w:t>型号</w:t>
            </w:r>
          </w:p>
          <w:p w14:paraId="101F69F7">
            <w:pPr>
              <w:pStyle w:val="48"/>
              <w:jc w:val="center"/>
              <w:rPr>
                <w:rStyle w:val="27"/>
                <w:color w:val="auto"/>
                <w:highlight w:val="none"/>
              </w:rPr>
            </w:pPr>
            <w:r>
              <w:rPr>
                <w:rStyle w:val="27"/>
                <w:rFonts w:hint="eastAsia" w:cs="宋体"/>
                <w:color w:val="auto"/>
                <w:highlight w:val="none"/>
              </w:rPr>
              <w:t>规格</w:t>
            </w:r>
          </w:p>
        </w:tc>
        <w:tc>
          <w:tcPr>
            <w:tcW w:w="708" w:type="dxa"/>
            <w:noWrap w:val="0"/>
            <w:vAlign w:val="center"/>
          </w:tcPr>
          <w:p w14:paraId="1B1DF119">
            <w:pPr>
              <w:pStyle w:val="48"/>
              <w:jc w:val="center"/>
              <w:rPr>
                <w:rStyle w:val="27"/>
                <w:color w:val="auto"/>
                <w:highlight w:val="none"/>
              </w:rPr>
            </w:pPr>
            <w:r>
              <w:rPr>
                <w:rStyle w:val="27"/>
                <w:rFonts w:hint="eastAsia" w:cs="宋体"/>
                <w:color w:val="auto"/>
                <w:highlight w:val="none"/>
              </w:rPr>
              <w:t>数量</w:t>
            </w:r>
          </w:p>
        </w:tc>
        <w:tc>
          <w:tcPr>
            <w:tcW w:w="709" w:type="dxa"/>
            <w:noWrap w:val="0"/>
            <w:vAlign w:val="center"/>
          </w:tcPr>
          <w:p w14:paraId="02EFA027">
            <w:pPr>
              <w:pStyle w:val="48"/>
              <w:jc w:val="center"/>
              <w:rPr>
                <w:rStyle w:val="27"/>
                <w:color w:val="auto"/>
                <w:highlight w:val="none"/>
              </w:rPr>
            </w:pPr>
            <w:r>
              <w:rPr>
                <w:rStyle w:val="27"/>
                <w:rFonts w:hint="eastAsia" w:cs="宋体"/>
                <w:color w:val="auto"/>
                <w:highlight w:val="none"/>
              </w:rPr>
              <w:t>国别</w:t>
            </w:r>
          </w:p>
          <w:p w14:paraId="526C59B0">
            <w:pPr>
              <w:pStyle w:val="48"/>
              <w:jc w:val="center"/>
              <w:rPr>
                <w:rStyle w:val="27"/>
                <w:color w:val="auto"/>
                <w:highlight w:val="none"/>
              </w:rPr>
            </w:pPr>
            <w:r>
              <w:rPr>
                <w:rStyle w:val="27"/>
                <w:rFonts w:hint="eastAsia" w:cs="宋体"/>
                <w:color w:val="auto"/>
                <w:highlight w:val="none"/>
              </w:rPr>
              <w:t>产地</w:t>
            </w:r>
          </w:p>
        </w:tc>
        <w:tc>
          <w:tcPr>
            <w:tcW w:w="851" w:type="dxa"/>
            <w:noWrap w:val="0"/>
            <w:vAlign w:val="center"/>
          </w:tcPr>
          <w:p w14:paraId="57BC97C8">
            <w:pPr>
              <w:pStyle w:val="48"/>
              <w:jc w:val="center"/>
              <w:rPr>
                <w:rStyle w:val="27"/>
                <w:color w:val="auto"/>
                <w:highlight w:val="none"/>
              </w:rPr>
            </w:pPr>
            <w:r>
              <w:rPr>
                <w:rStyle w:val="27"/>
                <w:rFonts w:hint="eastAsia" w:cs="宋体"/>
                <w:color w:val="auto"/>
                <w:highlight w:val="none"/>
              </w:rPr>
              <w:t>制造</w:t>
            </w:r>
          </w:p>
          <w:p w14:paraId="167B8776">
            <w:pPr>
              <w:pStyle w:val="48"/>
              <w:jc w:val="center"/>
              <w:rPr>
                <w:rStyle w:val="27"/>
                <w:color w:val="auto"/>
                <w:highlight w:val="none"/>
              </w:rPr>
            </w:pPr>
            <w:r>
              <w:rPr>
                <w:rStyle w:val="27"/>
                <w:rFonts w:hint="eastAsia" w:cs="宋体"/>
                <w:color w:val="auto"/>
                <w:highlight w:val="none"/>
              </w:rPr>
              <w:t>年份</w:t>
            </w:r>
          </w:p>
        </w:tc>
        <w:tc>
          <w:tcPr>
            <w:tcW w:w="1134" w:type="dxa"/>
            <w:noWrap w:val="0"/>
            <w:vAlign w:val="center"/>
          </w:tcPr>
          <w:p w14:paraId="03A16022">
            <w:pPr>
              <w:pStyle w:val="48"/>
              <w:jc w:val="center"/>
              <w:rPr>
                <w:rStyle w:val="27"/>
                <w:color w:val="auto"/>
                <w:highlight w:val="none"/>
              </w:rPr>
            </w:pPr>
            <w:r>
              <w:rPr>
                <w:rStyle w:val="27"/>
                <w:rFonts w:hint="eastAsia" w:cs="宋体"/>
                <w:color w:val="auto"/>
                <w:highlight w:val="none"/>
              </w:rPr>
              <w:t>额定功率</w:t>
            </w:r>
          </w:p>
          <w:p w14:paraId="5C140F36">
            <w:pPr>
              <w:pStyle w:val="48"/>
              <w:jc w:val="center"/>
              <w:rPr>
                <w:rStyle w:val="27"/>
                <w:color w:val="auto"/>
                <w:highlight w:val="none"/>
              </w:rPr>
            </w:pPr>
            <w:r>
              <w:rPr>
                <w:rStyle w:val="27"/>
                <w:rFonts w:hint="eastAsia" w:cs="宋体"/>
                <w:color w:val="auto"/>
                <w:highlight w:val="none"/>
                <w:lang w:eastAsia="zh-CN"/>
              </w:rPr>
              <w:t>(kW</w:t>
            </w:r>
            <w:r>
              <w:rPr>
                <w:rStyle w:val="27"/>
                <w:rFonts w:hint="eastAsia"/>
                <w:color w:val="auto"/>
                <w:highlight w:val="none"/>
                <w:lang w:eastAsia="zh-CN"/>
              </w:rPr>
              <w:t>)</w:t>
            </w:r>
          </w:p>
        </w:tc>
        <w:tc>
          <w:tcPr>
            <w:tcW w:w="992" w:type="dxa"/>
            <w:noWrap w:val="0"/>
            <w:vAlign w:val="center"/>
          </w:tcPr>
          <w:p w14:paraId="2137B95B">
            <w:pPr>
              <w:pStyle w:val="48"/>
              <w:jc w:val="center"/>
              <w:rPr>
                <w:rStyle w:val="27"/>
                <w:color w:val="auto"/>
                <w:highlight w:val="none"/>
              </w:rPr>
            </w:pPr>
            <w:r>
              <w:rPr>
                <w:rStyle w:val="27"/>
                <w:rFonts w:hint="eastAsia" w:cs="宋体"/>
                <w:color w:val="auto"/>
                <w:highlight w:val="none"/>
              </w:rPr>
              <w:t>生产</w:t>
            </w:r>
          </w:p>
          <w:p w14:paraId="5DD3E69F">
            <w:pPr>
              <w:pStyle w:val="48"/>
              <w:jc w:val="center"/>
              <w:rPr>
                <w:rStyle w:val="27"/>
                <w:color w:val="auto"/>
                <w:highlight w:val="none"/>
              </w:rPr>
            </w:pPr>
            <w:r>
              <w:rPr>
                <w:rStyle w:val="27"/>
                <w:rFonts w:hint="eastAsia" w:cs="宋体"/>
                <w:color w:val="auto"/>
                <w:highlight w:val="none"/>
              </w:rPr>
              <w:t>能力</w:t>
            </w:r>
          </w:p>
        </w:tc>
        <w:tc>
          <w:tcPr>
            <w:tcW w:w="1134" w:type="dxa"/>
            <w:noWrap w:val="0"/>
            <w:vAlign w:val="center"/>
          </w:tcPr>
          <w:p w14:paraId="614DCC38">
            <w:pPr>
              <w:pStyle w:val="48"/>
              <w:jc w:val="center"/>
              <w:rPr>
                <w:rStyle w:val="27"/>
                <w:color w:val="auto"/>
                <w:highlight w:val="none"/>
              </w:rPr>
            </w:pPr>
            <w:r>
              <w:rPr>
                <w:rStyle w:val="27"/>
                <w:rFonts w:hint="eastAsia" w:cs="宋体"/>
                <w:color w:val="auto"/>
                <w:highlight w:val="none"/>
              </w:rPr>
              <w:t>用于施</w:t>
            </w:r>
          </w:p>
          <w:p w14:paraId="4C66CAC4">
            <w:pPr>
              <w:pStyle w:val="48"/>
              <w:jc w:val="center"/>
              <w:rPr>
                <w:rStyle w:val="27"/>
                <w:color w:val="auto"/>
                <w:highlight w:val="none"/>
              </w:rPr>
            </w:pPr>
            <w:r>
              <w:rPr>
                <w:rStyle w:val="27"/>
                <w:rFonts w:hint="eastAsia" w:cs="宋体"/>
                <w:color w:val="auto"/>
                <w:highlight w:val="none"/>
              </w:rPr>
              <w:t>工部位</w:t>
            </w:r>
          </w:p>
        </w:tc>
        <w:tc>
          <w:tcPr>
            <w:tcW w:w="992" w:type="dxa"/>
            <w:noWrap w:val="0"/>
            <w:vAlign w:val="center"/>
          </w:tcPr>
          <w:p w14:paraId="7AC1D6AB">
            <w:pPr>
              <w:pStyle w:val="48"/>
              <w:jc w:val="center"/>
              <w:rPr>
                <w:rStyle w:val="27"/>
                <w:color w:val="auto"/>
                <w:highlight w:val="none"/>
              </w:rPr>
            </w:pPr>
            <w:r>
              <w:rPr>
                <w:rStyle w:val="27"/>
                <w:rFonts w:hint="eastAsia" w:cs="宋体"/>
                <w:color w:val="auto"/>
                <w:highlight w:val="none"/>
              </w:rPr>
              <w:t>备注</w:t>
            </w:r>
          </w:p>
        </w:tc>
      </w:tr>
      <w:tr w14:paraId="5262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875182A">
            <w:pPr>
              <w:pStyle w:val="48"/>
              <w:spacing w:line="360" w:lineRule="auto"/>
              <w:rPr>
                <w:rStyle w:val="27"/>
                <w:color w:val="auto"/>
                <w:highlight w:val="none"/>
              </w:rPr>
            </w:pPr>
          </w:p>
        </w:tc>
        <w:tc>
          <w:tcPr>
            <w:tcW w:w="1226" w:type="dxa"/>
            <w:noWrap w:val="0"/>
            <w:vAlign w:val="top"/>
          </w:tcPr>
          <w:p w14:paraId="11B0CE15">
            <w:pPr>
              <w:pStyle w:val="48"/>
              <w:spacing w:line="360" w:lineRule="auto"/>
              <w:ind w:firstLine="420" w:firstLineChars="200"/>
              <w:rPr>
                <w:rStyle w:val="27"/>
                <w:color w:val="auto"/>
                <w:highlight w:val="none"/>
              </w:rPr>
            </w:pPr>
          </w:p>
        </w:tc>
        <w:tc>
          <w:tcPr>
            <w:tcW w:w="851" w:type="dxa"/>
            <w:noWrap w:val="0"/>
            <w:vAlign w:val="top"/>
          </w:tcPr>
          <w:p w14:paraId="042137AB">
            <w:pPr>
              <w:pStyle w:val="48"/>
              <w:spacing w:line="360" w:lineRule="auto"/>
              <w:rPr>
                <w:rStyle w:val="27"/>
                <w:color w:val="auto"/>
                <w:highlight w:val="none"/>
              </w:rPr>
            </w:pPr>
          </w:p>
        </w:tc>
        <w:tc>
          <w:tcPr>
            <w:tcW w:w="708" w:type="dxa"/>
            <w:noWrap w:val="0"/>
            <w:vAlign w:val="top"/>
          </w:tcPr>
          <w:p w14:paraId="4E436DFE">
            <w:pPr>
              <w:pStyle w:val="48"/>
              <w:spacing w:line="360" w:lineRule="auto"/>
              <w:rPr>
                <w:rStyle w:val="27"/>
                <w:color w:val="auto"/>
                <w:highlight w:val="none"/>
              </w:rPr>
            </w:pPr>
          </w:p>
        </w:tc>
        <w:tc>
          <w:tcPr>
            <w:tcW w:w="709" w:type="dxa"/>
            <w:noWrap w:val="0"/>
            <w:vAlign w:val="top"/>
          </w:tcPr>
          <w:p w14:paraId="34A28578">
            <w:pPr>
              <w:pStyle w:val="48"/>
              <w:spacing w:line="360" w:lineRule="auto"/>
              <w:rPr>
                <w:rStyle w:val="27"/>
                <w:color w:val="auto"/>
                <w:highlight w:val="none"/>
              </w:rPr>
            </w:pPr>
          </w:p>
        </w:tc>
        <w:tc>
          <w:tcPr>
            <w:tcW w:w="851" w:type="dxa"/>
            <w:noWrap w:val="0"/>
            <w:vAlign w:val="top"/>
          </w:tcPr>
          <w:p w14:paraId="471BB200">
            <w:pPr>
              <w:pStyle w:val="48"/>
              <w:spacing w:line="360" w:lineRule="auto"/>
              <w:rPr>
                <w:rStyle w:val="27"/>
                <w:color w:val="auto"/>
                <w:highlight w:val="none"/>
              </w:rPr>
            </w:pPr>
          </w:p>
        </w:tc>
        <w:tc>
          <w:tcPr>
            <w:tcW w:w="1134" w:type="dxa"/>
            <w:noWrap w:val="0"/>
            <w:vAlign w:val="top"/>
          </w:tcPr>
          <w:p w14:paraId="44552306">
            <w:pPr>
              <w:pStyle w:val="48"/>
              <w:spacing w:line="360" w:lineRule="auto"/>
              <w:rPr>
                <w:rStyle w:val="27"/>
                <w:color w:val="auto"/>
                <w:highlight w:val="none"/>
              </w:rPr>
            </w:pPr>
          </w:p>
        </w:tc>
        <w:tc>
          <w:tcPr>
            <w:tcW w:w="992" w:type="dxa"/>
            <w:noWrap w:val="0"/>
            <w:vAlign w:val="top"/>
          </w:tcPr>
          <w:p w14:paraId="1A53E9ED">
            <w:pPr>
              <w:pStyle w:val="48"/>
              <w:spacing w:line="360" w:lineRule="auto"/>
              <w:rPr>
                <w:rStyle w:val="27"/>
                <w:color w:val="auto"/>
                <w:highlight w:val="none"/>
              </w:rPr>
            </w:pPr>
          </w:p>
        </w:tc>
        <w:tc>
          <w:tcPr>
            <w:tcW w:w="1134" w:type="dxa"/>
            <w:noWrap w:val="0"/>
            <w:vAlign w:val="top"/>
          </w:tcPr>
          <w:p w14:paraId="68AFA8CF">
            <w:pPr>
              <w:pStyle w:val="48"/>
              <w:spacing w:line="360" w:lineRule="auto"/>
              <w:rPr>
                <w:rStyle w:val="27"/>
                <w:color w:val="auto"/>
                <w:highlight w:val="none"/>
              </w:rPr>
            </w:pPr>
          </w:p>
        </w:tc>
        <w:tc>
          <w:tcPr>
            <w:tcW w:w="992" w:type="dxa"/>
            <w:noWrap w:val="0"/>
            <w:vAlign w:val="top"/>
          </w:tcPr>
          <w:p w14:paraId="272120A4">
            <w:pPr>
              <w:pStyle w:val="48"/>
              <w:spacing w:line="360" w:lineRule="auto"/>
              <w:rPr>
                <w:rStyle w:val="27"/>
                <w:color w:val="auto"/>
                <w:highlight w:val="none"/>
              </w:rPr>
            </w:pPr>
          </w:p>
        </w:tc>
      </w:tr>
      <w:tr w14:paraId="52A8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75EF26F">
            <w:pPr>
              <w:pStyle w:val="48"/>
              <w:spacing w:line="360" w:lineRule="auto"/>
              <w:rPr>
                <w:rStyle w:val="27"/>
                <w:color w:val="auto"/>
                <w:highlight w:val="none"/>
              </w:rPr>
            </w:pPr>
          </w:p>
        </w:tc>
        <w:tc>
          <w:tcPr>
            <w:tcW w:w="1226" w:type="dxa"/>
            <w:noWrap w:val="0"/>
            <w:vAlign w:val="top"/>
          </w:tcPr>
          <w:p w14:paraId="1F58E331">
            <w:pPr>
              <w:pStyle w:val="48"/>
              <w:spacing w:line="360" w:lineRule="auto"/>
              <w:rPr>
                <w:rStyle w:val="27"/>
                <w:color w:val="auto"/>
                <w:highlight w:val="none"/>
              </w:rPr>
            </w:pPr>
          </w:p>
        </w:tc>
        <w:tc>
          <w:tcPr>
            <w:tcW w:w="851" w:type="dxa"/>
            <w:noWrap w:val="0"/>
            <w:vAlign w:val="top"/>
          </w:tcPr>
          <w:p w14:paraId="599D412E">
            <w:pPr>
              <w:pStyle w:val="48"/>
              <w:spacing w:line="360" w:lineRule="auto"/>
              <w:rPr>
                <w:rStyle w:val="27"/>
                <w:color w:val="auto"/>
                <w:highlight w:val="none"/>
              </w:rPr>
            </w:pPr>
          </w:p>
        </w:tc>
        <w:tc>
          <w:tcPr>
            <w:tcW w:w="708" w:type="dxa"/>
            <w:noWrap w:val="0"/>
            <w:vAlign w:val="top"/>
          </w:tcPr>
          <w:p w14:paraId="0A9A5DD6">
            <w:pPr>
              <w:pStyle w:val="48"/>
              <w:spacing w:line="360" w:lineRule="auto"/>
              <w:rPr>
                <w:rStyle w:val="27"/>
                <w:color w:val="auto"/>
                <w:highlight w:val="none"/>
              </w:rPr>
            </w:pPr>
          </w:p>
        </w:tc>
        <w:tc>
          <w:tcPr>
            <w:tcW w:w="709" w:type="dxa"/>
            <w:noWrap w:val="0"/>
            <w:vAlign w:val="top"/>
          </w:tcPr>
          <w:p w14:paraId="0E51969C">
            <w:pPr>
              <w:pStyle w:val="48"/>
              <w:spacing w:line="360" w:lineRule="auto"/>
              <w:rPr>
                <w:rStyle w:val="27"/>
                <w:color w:val="auto"/>
                <w:highlight w:val="none"/>
              </w:rPr>
            </w:pPr>
          </w:p>
        </w:tc>
        <w:tc>
          <w:tcPr>
            <w:tcW w:w="851" w:type="dxa"/>
            <w:noWrap w:val="0"/>
            <w:vAlign w:val="top"/>
          </w:tcPr>
          <w:p w14:paraId="552E74FA">
            <w:pPr>
              <w:pStyle w:val="48"/>
              <w:spacing w:line="360" w:lineRule="auto"/>
              <w:rPr>
                <w:rStyle w:val="27"/>
                <w:color w:val="auto"/>
                <w:highlight w:val="none"/>
              </w:rPr>
            </w:pPr>
          </w:p>
        </w:tc>
        <w:tc>
          <w:tcPr>
            <w:tcW w:w="1134" w:type="dxa"/>
            <w:noWrap w:val="0"/>
            <w:vAlign w:val="top"/>
          </w:tcPr>
          <w:p w14:paraId="49AAC1D3">
            <w:pPr>
              <w:pStyle w:val="48"/>
              <w:spacing w:line="360" w:lineRule="auto"/>
              <w:rPr>
                <w:rStyle w:val="27"/>
                <w:color w:val="auto"/>
                <w:highlight w:val="none"/>
              </w:rPr>
            </w:pPr>
          </w:p>
        </w:tc>
        <w:tc>
          <w:tcPr>
            <w:tcW w:w="992" w:type="dxa"/>
            <w:noWrap w:val="0"/>
            <w:vAlign w:val="top"/>
          </w:tcPr>
          <w:p w14:paraId="01157CB9">
            <w:pPr>
              <w:pStyle w:val="48"/>
              <w:spacing w:line="360" w:lineRule="auto"/>
              <w:rPr>
                <w:rStyle w:val="27"/>
                <w:color w:val="auto"/>
                <w:highlight w:val="none"/>
              </w:rPr>
            </w:pPr>
          </w:p>
        </w:tc>
        <w:tc>
          <w:tcPr>
            <w:tcW w:w="1134" w:type="dxa"/>
            <w:noWrap w:val="0"/>
            <w:vAlign w:val="top"/>
          </w:tcPr>
          <w:p w14:paraId="05A49CEA">
            <w:pPr>
              <w:pStyle w:val="48"/>
              <w:spacing w:line="360" w:lineRule="auto"/>
              <w:rPr>
                <w:rStyle w:val="27"/>
                <w:color w:val="auto"/>
                <w:highlight w:val="none"/>
              </w:rPr>
            </w:pPr>
          </w:p>
        </w:tc>
        <w:tc>
          <w:tcPr>
            <w:tcW w:w="992" w:type="dxa"/>
            <w:noWrap w:val="0"/>
            <w:vAlign w:val="top"/>
          </w:tcPr>
          <w:p w14:paraId="1CDCC19C">
            <w:pPr>
              <w:pStyle w:val="48"/>
              <w:spacing w:line="360" w:lineRule="auto"/>
              <w:rPr>
                <w:rStyle w:val="27"/>
                <w:color w:val="auto"/>
                <w:highlight w:val="none"/>
              </w:rPr>
            </w:pPr>
          </w:p>
        </w:tc>
      </w:tr>
      <w:tr w14:paraId="38C1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687B42B">
            <w:pPr>
              <w:pStyle w:val="48"/>
              <w:spacing w:line="360" w:lineRule="auto"/>
              <w:rPr>
                <w:rStyle w:val="27"/>
                <w:color w:val="auto"/>
                <w:highlight w:val="none"/>
              </w:rPr>
            </w:pPr>
          </w:p>
        </w:tc>
        <w:tc>
          <w:tcPr>
            <w:tcW w:w="1226" w:type="dxa"/>
            <w:noWrap w:val="0"/>
            <w:vAlign w:val="top"/>
          </w:tcPr>
          <w:p w14:paraId="135316E1">
            <w:pPr>
              <w:pStyle w:val="48"/>
              <w:spacing w:line="360" w:lineRule="auto"/>
              <w:rPr>
                <w:rStyle w:val="27"/>
                <w:color w:val="auto"/>
                <w:highlight w:val="none"/>
              </w:rPr>
            </w:pPr>
          </w:p>
        </w:tc>
        <w:tc>
          <w:tcPr>
            <w:tcW w:w="851" w:type="dxa"/>
            <w:noWrap w:val="0"/>
            <w:vAlign w:val="top"/>
          </w:tcPr>
          <w:p w14:paraId="3F5A0B6B">
            <w:pPr>
              <w:pStyle w:val="48"/>
              <w:spacing w:line="360" w:lineRule="auto"/>
              <w:rPr>
                <w:rStyle w:val="27"/>
                <w:color w:val="auto"/>
                <w:highlight w:val="none"/>
              </w:rPr>
            </w:pPr>
          </w:p>
        </w:tc>
        <w:tc>
          <w:tcPr>
            <w:tcW w:w="708" w:type="dxa"/>
            <w:noWrap w:val="0"/>
            <w:vAlign w:val="top"/>
          </w:tcPr>
          <w:p w14:paraId="7BDDC102">
            <w:pPr>
              <w:pStyle w:val="48"/>
              <w:spacing w:line="360" w:lineRule="auto"/>
              <w:rPr>
                <w:rStyle w:val="27"/>
                <w:color w:val="auto"/>
                <w:highlight w:val="none"/>
              </w:rPr>
            </w:pPr>
          </w:p>
        </w:tc>
        <w:tc>
          <w:tcPr>
            <w:tcW w:w="709" w:type="dxa"/>
            <w:noWrap w:val="0"/>
            <w:vAlign w:val="top"/>
          </w:tcPr>
          <w:p w14:paraId="05794984">
            <w:pPr>
              <w:pStyle w:val="48"/>
              <w:spacing w:line="360" w:lineRule="auto"/>
              <w:rPr>
                <w:rStyle w:val="27"/>
                <w:color w:val="auto"/>
                <w:highlight w:val="none"/>
              </w:rPr>
            </w:pPr>
          </w:p>
        </w:tc>
        <w:tc>
          <w:tcPr>
            <w:tcW w:w="851" w:type="dxa"/>
            <w:noWrap w:val="0"/>
            <w:vAlign w:val="top"/>
          </w:tcPr>
          <w:p w14:paraId="5443CBCC">
            <w:pPr>
              <w:pStyle w:val="48"/>
              <w:spacing w:line="360" w:lineRule="auto"/>
              <w:rPr>
                <w:rStyle w:val="27"/>
                <w:color w:val="auto"/>
                <w:highlight w:val="none"/>
              </w:rPr>
            </w:pPr>
          </w:p>
        </w:tc>
        <w:tc>
          <w:tcPr>
            <w:tcW w:w="1134" w:type="dxa"/>
            <w:noWrap w:val="0"/>
            <w:vAlign w:val="top"/>
          </w:tcPr>
          <w:p w14:paraId="62CBF2E2">
            <w:pPr>
              <w:pStyle w:val="48"/>
              <w:spacing w:line="360" w:lineRule="auto"/>
              <w:rPr>
                <w:rStyle w:val="27"/>
                <w:color w:val="auto"/>
                <w:highlight w:val="none"/>
              </w:rPr>
            </w:pPr>
          </w:p>
        </w:tc>
        <w:tc>
          <w:tcPr>
            <w:tcW w:w="992" w:type="dxa"/>
            <w:noWrap w:val="0"/>
            <w:vAlign w:val="top"/>
          </w:tcPr>
          <w:p w14:paraId="1A68D359">
            <w:pPr>
              <w:pStyle w:val="48"/>
              <w:spacing w:line="360" w:lineRule="auto"/>
              <w:rPr>
                <w:rStyle w:val="27"/>
                <w:color w:val="auto"/>
                <w:highlight w:val="none"/>
              </w:rPr>
            </w:pPr>
          </w:p>
        </w:tc>
        <w:tc>
          <w:tcPr>
            <w:tcW w:w="1134" w:type="dxa"/>
            <w:noWrap w:val="0"/>
            <w:vAlign w:val="top"/>
          </w:tcPr>
          <w:p w14:paraId="1E5C73CA">
            <w:pPr>
              <w:pStyle w:val="48"/>
              <w:spacing w:line="360" w:lineRule="auto"/>
              <w:rPr>
                <w:rStyle w:val="27"/>
                <w:color w:val="auto"/>
                <w:highlight w:val="none"/>
              </w:rPr>
            </w:pPr>
          </w:p>
        </w:tc>
        <w:tc>
          <w:tcPr>
            <w:tcW w:w="992" w:type="dxa"/>
            <w:noWrap w:val="0"/>
            <w:vAlign w:val="top"/>
          </w:tcPr>
          <w:p w14:paraId="1052AFD4">
            <w:pPr>
              <w:pStyle w:val="48"/>
              <w:spacing w:line="360" w:lineRule="auto"/>
              <w:rPr>
                <w:rStyle w:val="27"/>
                <w:color w:val="auto"/>
                <w:highlight w:val="none"/>
              </w:rPr>
            </w:pPr>
          </w:p>
        </w:tc>
      </w:tr>
      <w:tr w14:paraId="115F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99E673C">
            <w:pPr>
              <w:pStyle w:val="48"/>
              <w:spacing w:line="360" w:lineRule="auto"/>
              <w:rPr>
                <w:rStyle w:val="27"/>
                <w:color w:val="auto"/>
                <w:highlight w:val="none"/>
              </w:rPr>
            </w:pPr>
          </w:p>
        </w:tc>
        <w:tc>
          <w:tcPr>
            <w:tcW w:w="1226" w:type="dxa"/>
            <w:noWrap w:val="0"/>
            <w:vAlign w:val="top"/>
          </w:tcPr>
          <w:p w14:paraId="163EF2F6">
            <w:pPr>
              <w:pStyle w:val="48"/>
              <w:spacing w:line="360" w:lineRule="auto"/>
              <w:rPr>
                <w:rStyle w:val="27"/>
                <w:color w:val="auto"/>
                <w:highlight w:val="none"/>
              </w:rPr>
            </w:pPr>
          </w:p>
        </w:tc>
        <w:tc>
          <w:tcPr>
            <w:tcW w:w="851" w:type="dxa"/>
            <w:noWrap w:val="0"/>
            <w:vAlign w:val="top"/>
          </w:tcPr>
          <w:p w14:paraId="4A377EF1">
            <w:pPr>
              <w:pStyle w:val="48"/>
              <w:spacing w:line="360" w:lineRule="auto"/>
              <w:rPr>
                <w:rStyle w:val="27"/>
                <w:color w:val="auto"/>
                <w:highlight w:val="none"/>
              </w:rPr>
            </w:pPr>
          </w:p>
        </w:tc>
        <w:tc>
          <w:tcPr>
            <w:tcW w:w="708" w:type="dxa"/>
            <w:noWrap w:val="0"/>
            <w:vAlign w:val="top"/>
          </w:tcPr>
          <w:p w14:paraId="34A31CBD">
            <w:pPr>
              <w:pStyle w:val="48"/>
              <w:spacing w:line="360" w:lineRule="auto"/>
              <w:rPr>
                <w:rStyle w:val="27"/>
                <w:color w:val="auto"/>
                <w:highlight w:val="none"/>
              </w:rPr>
            </w:pPr>
          </w:p>
        </w:tc>
        <w:tc>
          <w:tcPr>
            <w:tcW w:w="709" w:type="dxa"/>
            <w:noWrap w:val="0"/>
            <w:vAlign w:val="top"/>
          </w:tcPr>
          <w:p w14:paraId="51947288">
            <w:pPr>
              <w:pStyle w:val="48"/>
              <w:spacing w:line="360" w:lineRule="auto"/>
              <w:rPr>
                <w:rStyle w:val="27"/>
                <w:color w:val="auto"/>
                <w:highlight w:val="none"/>
              </w:rPr>
            </w:pPr>
          </w:p>
        </w:tc>
        <w:tc>
          <w:tcPr>
            <w:tcW w:w="851" w:type="dxa"/>
            <w:noWrap w:val="0"/>
            <w:vAlign w:val="top"/>
          </w:tcPr>
          <w:p w14:paraId="31028887">
            <w:pPr>
              <w:pStyle w:val="48"/>
              <w:spacing w:line="360" w:lineRule="auto"/>
              <w:rPr>
                <w:rStyle w:val="27"/>
                <w:color w:val="auto"/>
                <w:highlight w:val="none"/>
              </w:rPr>
            </w:pPr>
          </w:p>
        </w:tc>
        <w:tc>
          <w:tcPr>
            <w:tcW w:w="1134" w:type="dxa"/>
            <w:noWrap w:val="0"/>
            <w:vAlign w:val="top"/>
          </w:tcPr>
          <w:p w14:paraId="2B036469">
            <w:pPr>
              <w:pStyle w:val="48"/>
              <w:spacing w:line="360" w:lineRule="auto"/>
              <w:rPr>
                <w:rStyle w:val="27"/>
                <w:color w:val="auto"/>
                <w:highlight w:val="none"/>
              </w:rPr>
            </w:pPr>
          </w:p>
        </w:tc>
        <w:tc>
          <w:tcPr>
            <w:tcW w:w="992" w:type="dxa"/>
            <w:noWrap w:val="0"/>
            <w:vAlign w:val="top"/>
          </w:tcPr>
          <w:p w14:paraId="7606C90F">
            <w:pPr>
              <w:pStyle w:val="48"/>
              <w:spacing w:line="360" w:lineRule="auto"/>
              <w:rPr>
                <w:rStyle w:val="27"/>
                <w:color w:val="auto"/>
                <w:highlight w:val="none"/>
              </w:rPr>
            </w:pPr>
          </w:p>
        </w:tc>
        <w:tc>
          <w:tcPr>
            <w:tcW w:w="1134" w:type="dxa"/>
            <w:noWrap w:val="0"/>
            <w:vAlign w:val="top"/>
          </w:tcPr>
          <w:p w14:paraId="06F99A7C">
            <w:pPr>
              <w:pStyle w:val="48"/>
              <w:spacing w:line="360" w:lineRule="auto"/>
              <w:rPr>
                <w:rStyle w:val="27"/>
                <w:color w:val="auto"/>
                <w:highlight w:val="none"/>
              </w:rPr>
            </w:pPr>
          </w:p>
        </w:tc>
        <w:tc>
          <w:tcPr>
            <w:tcW w:w="992" w:type="dxa"/>
            <w:noWrap w:val="0"/>
            <w:vAlign w:val="top"/>
          </w:tcPr>
          <w:p w14:paraId="6A4EF14F">
            <w:pPr>
              <w:pStyle w:val="48"/>
              <w:spacing w:line="360" w:lineRule="auto"/>
              <w:rPr>
                <w:rStyle w:val="27"/>
                <w:color w:val="auto"/>
                <w:highlight w:val="none"/>
              </w:rPr>
            </w:pPr>
          </w:p>
        </w:tc>
      </w:tr>
      <w:tr w14:paraId="1BB9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ED847C8">
            <w:pPr>
              <w:pStyle w:val="48"/>
              <w:spacing w:line="360" w:lineRule="auto"/>
              <w:rPr>
                <w:rStyle w:val="27"/>
                <w:color w:val="auto"/>
                <w:highlight w:val="none"/>
              </w:rPr>
            </w:pPr>
          </w:p>
        </w:tc>
        <w:tc>
          <w:tcPr>
            <w:tcW w:w="1226" w:type="dxa"/>
            <w:noWrap w:val="0"/>
            <w:vAlign w:val="top"/>
          </w:tcPr>
          <w:p w14:paraId="1E7F595C">
            <w:pPr>
              <w:pStyle w:val="48"/>
              <w:spacing w:line="360" w:lineRule="auto"/>
              <w:rPr>
                <w:rStyle w:val="27"/>
                <w:color w:val="auto"/>
                <w:highlight w:val="none"/>
              </w:rPr>
            </w:pPr>
          </w:p>
        </w:tc>
        <w:tc>
          <w:tcPr>
            <w:tcW w:w="851" w:type="dxa"/>
            <w:noWrap w:val="0"/>
            <w:vAlign w:val="top"/>
          </w:tcPr>
          <w:p w14:paraId="5C148CFD">
            <w:pPr>
              <w:pStyle w:val="48"/>
              <w:spacing w:line="360" w:lineRule="auto"/>
              <w:rPr>
                <w:rStyle w:val="27"/>
                <w:color w:val="auto"/>
                <w:highlight w:val="none"/>
              </w:rPr>
            </w:pPr>
          </w:p>
        </w:tc>
        <w:tc>
          <w:tcPr>
            <w:tcW w:w="708" w:type="dxa"/>
            <w:noWrap w:val="0"/>
            <w:vAlign w:val="top"/>
          </w:tcPr>
          <w:p w14:paraId="2C989BCB">
            <w:pPr>
              <w:pStyle w:val="48"/>
              <w:spacing w:line="360" w:lineRule="auto"/>
              <w:rPr>
                <w:rStyle w:val="27"/>
                <w:color w:val="auto"/>
                <w:highlight w:val="none"/>
              </w:rPr>
            </w:pPr>
          </w:p>
        </w:tc>
        <w:tc>
          <w:tcPr>
            <w:tcW w:w="709" w:type="dxa"/>
            <w:noWrap w:val="0"/>
            <w:vAlign w:val="top"/>
          </w:tcPr>
          <w:p w14:paraId="07001040">
            <w:pPr>
              <w:pStyle w:val="48"/>
              <w:spacing w:line="360" w:lineRule="auto"/>
              <w:rPr>
                <w:rStyle w:val="27"/>
                <w:color w:val="auto"/>
                <w:highlight w:val="none"/>
              </w:rPr>
            </w:pPr>
          </w:p>
        </w:tc>
        <w:tc>
          <w:tcPr>
            <w:tcW w:w="851" w:type="dxa"/>
            <w:noWrap w:val="0"/>
            <w:vAlign w:val="top"/>
          </w:tcPr>
          <w:p w14:paraId="1A58F783">
            <w:pPr>
              <w:pStyle w:val="48"/>
              <w:spacing w:line="360" w:lineRule="auto"/>
              <w:rPr>
                <w:rStyle w:val="27"/>
                <w:color w:val="auto"/>
                <w:highlight w:val="none"/>
              </w:rPr>
            </w:pPr>
          </w:p>
        </w:tc>
        <w:tc>
          <w:tcPr>
            <w:tcW w:w="1134" w:type="dxa"/>
            <w:noWrap w:val="0"/>
            <w:vAlign w:val="top"/>
          </w:tcPr>
          <w:p w14:paraId="1F180D6C">
            <w:pPr>
              <w:pStyle w:val="48"/>
              <w:spacing w:line="360" w:lineRule="auto"/>
              <w:rPr>
                <w:rStyle w:val="27"/>
                <w:color w:val="auto"/>
                <w:highlight w:val="none"/>
              </w:rPr>
            </w:pPr>
          </w:p>
        </w:tc>
        <w:tc>
          <w:tcPr>
            <w:tcW w:w="992" w:type="dxa"/>
            <w:noWrap w:val="0"/>
            <w:vAlign w:val="top"/>
          </w:tcPr>
          <w:p w14:paraId="2C36FF80">
            <w:pPr>
              <w:pStyle w:val="48"/>
              <w:spacing w:line="360" w:lineRule="auto"/>
              <w:rPr>
                <w:rStyle w:val="27"/>
                <w:color w:val="auto"/>
                <w:highlight w:val="none"/>
              </w:rPr>
            </w:pPr>
          </w:p>
        </w:tc>
        <w:tc>
          <w:tcPr>
            <w:tcW w:w="1134" w:type="dxa"/>
            <w:noWrap w:val="0"/>
            <w:vAlign w:val="top"/>
          </w:tcPr>
          <w:p w14:paraId="63B0D876">
            <w:pPr>
              <w:pStyle w:val="48"/>
              <w:spacing w:line="360" w:lineRule="auto"/>
              <w:rPr>
                <w:rStyle w:val="27"/>
                <w:color w:val="auto"/>
                <w:highlight w:val="none"/>
              </w:rPr>
            </w:pPr>
          </w:p>
        </w:tc>
        <w:tc>
          <w:tcPr>
            <w:tcW w:w="992" w:type="dxa"/>
            <w:noWrap w:val="0"/>
            <w:vAlign w:val="top"/>
          </w:tcPr>
          <w:p w14:paraId="4FC5F3F1">
            <w:pPr>
              <w:pStyle w:val="48"/>
              <w:spacing w:line="360" w:lineRule="auto"/>
              <w:rPr>
                <w:rStyle w:val="27"/>
                <w:color w:val="auto"/>
                <w:highlight w:val="none"/>
              </w:rPr>
            </w:pPr>
          </w:p>
        </w:tc>
      </w:tr>
    </w:tbl>
    <w:p w14:paraId="1FACB0A2">
      <w:pPr>
        <w:pStyle w:val="48"/>
        <w:bidi w:val="0"/>
        <w:rPr>
          <w:rStyle w:val="27"/>
          <w:color w:val="auto"/>
          <w:highlight w:val="none"/>
        </w:rPr>
      </w:pPr>
    </w:p>
    <w:p w14:paraId="78B66ADA">
      <w:pPr>
        <w:pStyle w:val="48"/>
        <w:bidi w:val="0"/>
        <w:rPr>
          <w:rStyle w:val="27"/>
          <w:color w:val="auto"/>
          <w:highlight w:val="none"/>
        </w:rPr>
      </w:pPr>
    </w:p>
    <w:p w14:paraId="693EFD9E">
      <w:pPr>
        <w:pStyle w:val="48"/>
        <w:bidi w:val="0"/>
        <w:ind w:firstLine="210" w:firstLineChars="100"/>
        <w:rPr>
          <w:rStyle w:val="27"/>
          <w:color w:val="auto"/>
          <w:highlight w:val="none"/>
        </w:rPr>
      </w:pPr>
      <w:r>
        <w:rPr>
          <w:rStyle w:val="27"/>
          <w:rFonts w:hint="eastAsia" w:cs="宋体"/>
          <w:color w:val="auto"/>
          <w:highlight w:val="none"/>
        </w:rPr>
        <w:t>附表二：拟配备本工程的试验和检测仪器设备表</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05DF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64C9099">
            <w:pPr>
              <w:pStyle w:val="48"/>
              <w:jc w:val="center"/>
              <w:rPr>
                <w:rStyle w:val="27"/>
                <w:color w:val="auto"/>
                <w:highlight w:val="none"/>
              </w:rPr>
            </w:pPr>
            <w:r>
              <w:rPr>
                <w:rStyle w:val="27"/>
                <w:rFonts w:hint="eastAsia" w:cs="宋体"/>
                <w:color w:val="auto"/>
                <w:highlight w:val="none"/>
              </w:rPr>
              <w:t>序号</w:t>
            </w:r>
          </w:p>
        </w:tc>
        <w:tc>
          <w:tcPr>
            <w:tcW w:w="1226" w:type="dxa"/>
            <w:noWrap w:val="0"/>
            <w:vAlign w:val="center"/>
          </w:tcPr>
          <w:p w14:paraId="40384345">
            <w:pPr>
              <w:pStyle w:val="48"/>
              <w:jc w:val="center"/>
              <w:rPr>
                <w:rStyle w:val="27"/>
                <w:color w:val="auto"/>
                <w:highlight w:val="none"/>
              </w:rPr>
            </w:pPr>
            <w:r>
              <w:rPr>
                <w:rStyle w:val="27"/>
                <w:rFonts w:hint="eastAsia" w:cs="宋体"/>
                <w:color w:val="auto"/>
                <w:highlight w:val="none"/>
              </w:rPr>
              <w:t>仪器设备名称</w:t>
            </w:r>
          </w:p>
        </w:tc>
        <w:tc>
          <w:tcPr>
            <w:tcW w:w="851" w:type="dxa"/>
            <w:noWrap w:val="0"/>
            <w:vAlign w:val="center"/>
          </w:tcPr>
          <w:p w14:paraId="60AB779C">
            <w:pPr>
              <w:pStyle w:val="48"/>
              <w:jc w:val="center"/>
              <w:rPr>
                <w:rStyle w:val="27"/>
                <w:color w:val="auto"/>
                <w:highlight w:val="none"/>
              </w:rPr>
            </w:pPr>
            <w:r>
              <w:rPr>
                <w:rStyle w:val="27"/>
                <w:rFonts w:hint="eastAsia" w:cs="宋体"/>
                <w:color w:val="auto"/>
                <w:highlight w:val="none"/>
              </w:rPr>
              <w:t>型号</w:t>
            </w:r>
          </w:p>
          <w:p w14:paraId="3A9B9024">
            <w:pPr>
              <w:pStyle w:val="48"/>
              <w:jc w:val="center"/>
              <w:rPr>
                <w:rStyle w:val="27"/>
                <w:color w:val="auto"/>
                <w:highlight w:val="none"/>
              </w:rPr>
            </w:pPr>
            <w:r>
              <w:rPr>
                <w:rStyle w:val="27"/>
                <w:rFonts w:hint="eastAsia" w:cs="宋体"/>
                <w:color w:val="auto"/>
                <w:highlight w:val="none"/>
              </w:rPr>
              <w:t>规格</w:t>
            </w:r>
          </w:p>
        </w:tc>
        <w:tc>
          <w:tcPr>
            <w:tcW w:w="708" w:type="dxa"/>
            <w:noWrap w:val="0"/>
            <w:vAlign w:val="center"/>
          </w:tcPr>
          <w:p w14:paraId="086E67C4">
            <w:pPr>
              <w:pStyle w:val="48"/>
              <w:jc w:val="center"/>
              <w:rPr>
                <w:rStyle w:val="27"/>
                <w:color w:val="auto"/>
                <w:highlight w:val="none"/>
              </w:rPr>
            </w:pPr>
            <w:r>
              <w:rPr>
                <w:rStyle w:val="27"/>
                <w:rFonts w:hint="eastAsia" w:cs="宋体"/>
                <w:color w:val="auto"/>
                <w:highlight w:val="none"/>
              </w:rPr>
              <w:t>数量</w:t>
            </w:r>
          </w:p>
        </w:tc>
        <w:tc>
          <w:tcPr>
            <w:tcW w:w="709" w:type="dxa"/>
            <w:noWrap w:val="0"/>
            <w:vAlign w:val="center"/>
          </w:tcPr>
          <w:p w14:paraId="09721F90">
            <w:pPr>
              <w:pStyle w:val="48"/>
              <w:jc w:val="center"/>
              <w:rPr>
                <w:rStyle w:val="27"/>
                <w:color w:val="auto"/>
                <w:highlight w:val="none"/>
              </w:rPr>
            </w:pPr>
            <w:r>
              <w:rPr>
                <w:rStyle w:val="27"/>
                <w:rFonts w:hint="eastAsia" w:cs="宋体"/>
                <w:color w:val="auto"/>
                <w:highlight w:val="none"/>
              </w:rPr>
              <w:t>国别</w:t>
            </w:r>
          </w:p>
          <w:p w14:paraId="20966800">
            <w:pPr>
              <w:pStyle w:val="48"/>
              <w:jc w:val="center"/>
              <w:rPr>
                <w:rStyle w:val="27"/>
                <w:color w:val="auto"/>
                <w:highlight w:val="none"/>
              </w:rPr>
            </w:pPr>
            <w:r>
              <w:rPr>
                <w:rStyle w:val="27"/>
                <w:rFonts w:hint="eastAsia" w:cs="宋体"/>
                <w:color w:val="auto"/>
                <w:highlight w:val="none"/>
              </w:rPr>
              <w:t>产地</w:t>
            </w:r>
          </w:p>
        </w:tc>
        <w:tc>
          <w:tcPr>
            <w:tcW w:w="1134" w:type="dxa"/>
            <w:noWrap w:val="0"/>
            <w:vAlign w:val="center"/>
          </w:tcPr>
          <w:p w14:paraId="09E2FC67">
            <w:pPr>
              <w:pStyle w:val="48"/>
              <w:jc w:val="center"/>
              <w:rPr>
                <w:rStyle w:val="27"/>
                <w:color w:val="auto"/>
                <w:highlight w:val="none"/>
              </w:rPr>
            </w:pPr>
            <w:r>
              <w:rPr>
                <w:rStyle w:val="27"/>
                <w:rFonts w:hint="eastAsia" w:cs="宋体"/>
                <w:color w:val="auto"/>
                <w:highlight w:val="none"/>
              </w:rPr>
              <w:t>制造年份</w:t>
            </w:r>
          </w:p>
        </w:tc>
        <w:tc>
          <w:tcPr>
            <w:tcW w:w="1276" w:type="dxa"/>
            <w:noWrap w:val="0"/>
            <w:vAlign w:val="center"/>
          </w:tcPr>
          <w:p w14:paraId="01E846D4">
            <w:pPr>
              <w:pStyle w:val="48"/>
              <w:jc w:val="center"/>
              <w:rPr>
                <w:rStyle w:val="27"/>
                <w:color w:val="auto"/>
                <w:highlight w:val="none"/>
              </w:rPr>
            </w:pPr>
            <w:r>
              <w:rPr>
                <w:rStyle w:val="27"/>
                <w:rFonts w:hint="eastAsia" w:cs="宋体"/>
                <w:color w:val="auto"/>
                <w:highlight w:val="none"/>
              </w:rPr>
              <w:t>已使用</w:t>
            </w:r>
          </w:p>
          <w:p w14:paraId="427DB64A">
            <w:pPr>
              <w:pStyle w:val="48"/>
              <w:jc w:val="center"/>
              <w:rPr>
                <w:rStyle w:val="27"/>
                <w:color w:val="auto"/>
                <w:highlight w:val="none"/>
              </w:rPr>
            </w:pPr>
            <w:r>
              <w:rPr>
                <w:rStyle w:val="27"/>
                <w:rFonts w:hint="eastAsia" w:cs="宋体"/>
                <w:color w:val="auto"/>
                <w:highlight w:val="none"/>
              </w:rPr>
              <w:t>台时数</w:t>
            </w:r>
          </w:p>
        </w:tc>
        <w:tc>
          <w:tcPr>
            <w:tcW w:w="1134" w:type="dxa"/>
            <w:noWrap w:val="0"/>
            <w:vAlign w:val="center"/>
          </w:tcPr>
          <w:p w14:paraId="564F9FF4">
            <w:pPr>
              <w:pStyle w:val="48"/>
              <w:jc w:val="center"/>
              <w:rPr>
                <w:rStyle w:val="27"/>
                <w:color w:val="auto"/>
                <w:highlight w:val="none"/>
              </w:rPr>
            </w:pPr>
            <w:r>
              <w:rPr>
                <w:rStyle w:val="27"/>
                <w:rFonts w:hint="eastAsia" w:cs="宋体"/>
                <w:color w:val="auto"/>
                <w:highlight w:val="none"/>
              </w:rPr>
              <w:t>用途</w:t>
            </w:r>
          </w:p>
        </w:tc>
        <w:tc>
          <w:tcPr>
            <w:tcW w:w="1559" w:type="dxa"/>
            <w:noWrap w:val="0"/>
            <w:vAlign w:val="center"/>
          </w:tcPr>
          <w:p w14:paraId="6D38A220">
            <w:pPr>
              <w:pStyle w:val="48"/>
              <w:jc w:val="center"/>
              <w:rPr>
                <w:rStyle w:val="27"/>
                <w:color w:val="auto"/>
                <w:highlight w:val="none"/>
              </w:rPr>
            </w:pPr>
            <w:r>
              <w:rPr>
                <w:rStyle w:val="27"/>
                <w:rFonts w:hint="eastAsia" w:cs="宋体"/>
                <w:color w:val="auto"/>
                <w:highlight w:val="none"/>
              </w:rPr>
              <w:t>备注</w:t>
            </w:r>
          </w:p>
        </w:tc>
      </w:tr>
      <w:tr w14:paraId="2175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F6310BB">
            <w:pPr>
              <w:pStyle w:val="48"/>
              <w:spacing w:line="360" w:lineRule="auto"/>
              <w:ind w:firstLine="420" w:firstLineChars="200"/>
              <w:rPr>
                <w:rStyle w:val="27"/>
                <w:color w:val="auto"/>
                <w:highlight w:val="none"/>
              </w:rPr>
            </w:pPr>
          </w:p>
        </w:tc>
        <w:tc>
          <w:tcPr>
            <w:tcW w:w="1226" w:type="dxa"/>
            <w:noWrap w:val="0"/>
            <w:vAlign w:val="center"/>
          </w:tcPr>
          <w:p w14:paraId="112A36A7">
            <w:pPr>
              <w:pStyle w:val="48"/>
              <w:spacing w:line="360" w:lineRule="auto"/>
              <w:ind w:firstLine="420" w:firstLineChars="200"/>
              <w:rPr>
                <w:rStyle w:val="27"/>
                <w:color w:val="auto"/>
                <w:highlight w:val="none"/>
              </w:rPr>
            </w:pPr>
          </w:p>
        </w:tc>
        <w:tc>
          <w:tcPr>
            <w:tcW w:w="851" w:type="dxa"/>
            <w:noWrap w:val="0"/>
            <w:vAlign w:val="center"/>
          </w:tcPr>
          <w:p w14:paraId="22F57F1F">
            <w:pPr>
              <w:pStyle w:val="48"/>
              <w:spacing w:line="360" w:lineRule="auto"/>
              <w:ind w:firstLine="420" w:firstLineChars="200"/>
              <w:rPr>
                <w:rStyle w:val="27"/>
                <w:color w:val="auto"/>
                <w:highlight w:val="none"/>
              </w:rPr>
            </w:pPr>
          </w:p>
        </w:tc>
        <w:tc>
          <w:tcPr>
            <w:tcW w:w="708" w:type="dxa"/>
            <w:noWrap w:val="0"/>
            <w:vAlign w:val="center"/>
          </w:tcPr>
          <w:p w14:paraId="03C1CF69">
            <w:pPr>
              <w:pStyle w:val="48"/>
              <w:spacing w:line="360" w:lineRule="auto"/>
              <w:ind w:firstLine="420" w:firstLineChars="200"/>
              <w:rPr>
                <w:rStyle w:val="27"/>
                <w:color w:val="auto"/>
                <w:highlight w:val="none"/>
              </w:rPr>
            </w:pPr>
          </w:p>
        </w:tc>
        <w:tc>
          <w:tcPr>
            <w:tcW w:w="709" w:type="dxa"/>
            <w:noWrap w:val="0"/>
            <w:vAlign w:val="center"/>
          </w:tcPr>
          <w:p w14:paraId="4C9045D8">
            <w:pPr>
              <w:pStyle w:val="48"/>
              <w:spacing w:line="360" w:lineRule="auto"/>
              <w:ind w:firstLine="420" w:firstLineChars="200"/>
              <w:rPr>
                <w:rStyle w:val="27"/>
                <w:color w:val="auto"/>
                <w:highlight w:val="none"/>
              </w:rPr>
            </w:pPr>
          </w:p>
        </w:tc>
        <w:tc>
          <w:tcPr>
            <w:tcW w:w="1134" w:type="dxa"/>
            <w:noWrap w:val="0"/>
            <w:vAlign w:val="center"/>
          </w:tcPr>
          <w:p w14:paraId="05F2026A">
            <w:pPr>
              <w:pStyle w:val="48"/>
              <w:spacing w:line="360" w:lineRule="auto"/>
              <w:ind w:firstLine="420" w:firstLineChars="200"/>
              <w:rPr>
                <w:rStyle w:val="27"/>
                <w:color w:val="auto"/>
                <w:highlight w:val="none"/>
              </w:rPr>
            </w:pPr>
          </w:p>
        </w:tc>
        <w:tc>
          <w:tcPr>
            <w:tcW w:w="1276" w:type="dxa"/>
            <w:noWrap w:val="0"/>
            <w:vAlign w:val="center"/>
          </w:tcPr>
          <w:p w14:paraId="55D40C09">
            <w:pPr>
              <w:pStyle w:val="48"/>
              <w:spacing w:line="360" w:lineRule="auto"/>
              <w:ind w:firstLine="420" w:firstLineChars="200"/>
              <w:rPr>
                <w:rStyle w:val="27"/>
                <w:color w:val="auto"/>
                <w:highlight w:val="none"/>
              </w:rPr>
            </w:pPr>
          </w:p>
        </w:tc>
        <w:tc>
          <w:tcPr>
            <w:tcW w:w="1134" w:type="dxa"/>
            <w:noWrap w:val="0"/>
            <w:vAlign w:val="center"/>
          </w:tcPr>
          <w:p w14:paraId="2EC0104C">
            <w:pPr>
              <w:pStyle w:val="48"/>
              <w:spacing w:line="360" w:lineRule="auto"/>
              <w:ind w:firstLine="420" w:firstLineChars="200"/>
              <w:rPr>
                <w:rStyle w:val="27"/>
                <w:color w:val="auto"/>
                <w:highlight w:val="none"/>
              </w:rPr>
            </w:pPr>
          </w:p>
        </w:tc>
        <w:tc>
          <w:tcPr>
            <w:tcW w:w="1559" w:type="dxa"/>
            <w:noWrap w:val="0"/>
            <w:vAlign w:val="center"/>
          </w:tcPr>
          <w:p w14:paraId="4FB824DD">
            <w:pPr>
              <w:pStyle w:val="48"/>
              <w:spacing w:line="360" w:lineRule="auto"/>
              <w:ind w:firstLine="420" w:firstLineChars="200"/>
              <w:rPr>
                <w:rStyle w:val="27"/>
                <w:color w:val="auto"/>
                <w:highlight w:val="none"/>
              </w:rPr>
            </w:pPr>
          </w:p>
        </w:tc>
      </w:tr>
      <w:tr w14:paraId="741F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9B6F30F">
            <w:pPr>
              <w:pStyle w:val="48"/>
              <w:spacing w:line="360" w:lineRule="auto"/>
              <w:ind w:firstLine="420" w:firstLineChars="200"/>
              <w:rPr>
                <w:rStyle w:val="27"/>
                <w:color w:val="auto"/>
                <w:highlight w:val="none"/>
              </w:rPr>
            </w:pPr>
          </w:p>
        </w:tc>
        <w:tc>
          <w:tcPr>
            <w:tcW w:w="1226" w:type="dxa"/>
            <w:noWrap w:val="0"/>
            <w:vAlign w:val="center"/>
          </w:tcPr>
          <w:p w14:paraId="6F1A610F">
            <w:pPr>
              <w:pStyle w:val="48"/>
              <w:spacing w:line="360" w:lineRule="auto"/>
              <w:ind w:firstLine="420" w:firstLineChars="200"/>
              <w:rPr>
                <w:rStyle w:val="27"/>
                <w:color w:val="auto"/>
                <w:highlight w:val="none"/>
              </w:rPr>
            </w:pPr>
          </w:p>
        </w:tc>
        <w:tc>
          <w:tcPr>
            <w:tcW w:w="851" w:type="dxa"/>
            <w:noWrap w:val="0"/>
            <w:vAlign w:val="center"/>
          </w:tcPr>
          <w:p w14:paraId="2FDFEDF4">
            <w:pPr>
              <w:pStyle w:val="48"/>
              <w:spacing w:line="360" w:lineRule="auto"/>
              <w:ind w:firstLine="420" w:firstLineChars="200"/>
              <w:rPr>
                <w:rStyle w:val="27"/>
                <w:color w:val="auto"/>
                <w:highlight w:val="none"/>
              </w:rPr>
            </w:pPr>
          </w:p>
        </w:tc>
        <w:tc>
          <w:tcPr>
            <w:tcW w:w="708" w:type="dxa"/>
            <w:noWrap w:val="0"/>
            <w:vAlign w:val="center"/>
          </w:tcPr>
          <w:p w14:paraId="603283B7">
            <w:pPr>
              <w:pStyle w:val="48"/>
              <w:spacing w:line="360" w:lineRule="auto"/>
              <w:ind w:firstLine="420" w:firstLineChars="200"/>
              <w:rPr>
                <w:rStyle w:val="27"/>
                <w:color w:val="auto"/>
                <w:highlight w:val="none"/>
              </w:rPr>
            </w:pPr>
          </w:p>
        </w:tc>
        <w:tc>
          <w:tcPr>
            <w:tcW w:w="709" w:type="dxa"/>
            <w:noWrap w:val="0"/>
            <w:vAlign w:val="center"/>
          </w:tcPr>
          <w:p w14:paraId="19C9BD2E">
            <w:pPr>
              <w:pStyle w:val="48"/>
              <w:spacing w:line="360" w:lineRule="auto"/>
              <w:ind w:firstLine="420" w:firstLineChars="200"/>
              <w:rPr>
                <w:rStyle w:val="27"/>
                <w:color w:val="auto"/>
                <w:highlight w:val="none"/>
              </w:rPr>
            </w:pPr>
          </w:p>
        </w:tc>
        <w:tc>
          <w:tcPr>
            <w:tcW w:w="1134" w:type="dxa"/>
            <w:noWrap w:val="0"/>
            <w:vAlign w:val="center"/>
          </w:tcPr>
          <w:p w14:paraId="651B1CCD">
            <w:pPr>
              <w:pStyle w:val="48"/>
              <w:spacing w:line="360" w:lineRule="auto"/>
              <w:ind w:firstLine="420" w:firstLineChars="200"/>
              <w:rPr>
                <w:rStyle w:val="27"/>
                <w:color w:val="auto"/>
                <w:highlight w:val="none"/>
              </w:rPr>
            </w:pPr>
          </w:p>
        </w:tc>
        <w:tc>
          <w:tcPr>
            <w:tcW w:w="1276" w:type="dxa"/>
            <w:noWrap w:val="0"/>
            <w:vAlign w:val="center"/>
          </w:tcPr>
          <w:p w14:paraId="7F505F74">
            <w:pPr>
              <w:pStyle w:val="48"/>
              <w:spacing w:line="360" w:lineRule="auto"/>
              <w:ind w:firstLine="420" w:firstLineChars="200"/>
              <w:rPr>
                <w:rStyle w:val="27"/>
                <w:color w:val="auto"/>
                <w:highlight w:val="none"/>
              </w:rPr>
            </w:pPr>
          </w:p>
        </w:tc>
        <w:tc>
          <w:tcPr>
            <w:tcW w:w="1134" w:type="dxa"/>
            <w:noWrap w:val="0"/>
            <w:vAlign w:val="center"/>
          </w:tcPr>
          <w:p w14:paraId="1DFEC175">
            <w:pPr>
              <w:pStyle w:val="48"/>
              <w:spacing w:line="360" w:lineRule="auto"/>
              <w:ind w:firstLine="420" w:firstLineChars="200"/>
              <w:rPr>
                <w:rStyle w:val="27"/>
                <w:color w:val="auto"/>
                <w:highlight w:val="none"/>
              </w:rPr>
            </w:pPr>
          </w:p>
        </w:tc>
        <w:tc>
          <w:tcPr>
            <w:tcW w:w="1559" w:type="dxa"/>
            <w:noWrap w:val="0"/>
            <w:vAlign w:val="center"/>
          </w:tcPr>
          <w:p w14:paraId="151236E1">
            <w:pPr>
              <w:pStyle w:val="48"/>
              <w:spacing w:line="360" w:lineRule="auto"/>
              <w:ind w:firstLine="420" w:firstLineChars="200"/>
              <w:rPr>
                <w:rStyle w:val="27"/>
                <w:color w:val="auto"/>
                <w:highlight w:val="none"/>
              </w:rPr>
            </w:pPr>
          </w:p>
        </w:tc>
      </w:tr>
      <w:tr w14:paraId="67E0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70B41B4">
            <w:pPr>
              <w:pStyle w:val="48"/>
              <w:spacing w:line="360" w:lineRule="auto"/>
              <w:ind w:firstLine="420" w:firstLineChars="200"/>
              <w:rPr>
                <w:rStyle w:val="27"/>
                <w:color w:val="auto"/>
                <w:highlight w:val="none"/>
              </w:rPr>
            </w:pPr>
          </w:p>
        </w:tc>
        <w:tc>
          <w:tcPr>
            <w:tcW w:w="1226" w:type="dxa"/>
            <w:noWrap w:val="0"/>
            <w:vAlign w:val="center"/>
          </w:tcPr>
          <w:p w14:paraId="552838B8">
            <w:pPr>
              <w:pStyle w:val="48"/>
              <w:spacing w:line="360" w:lineRule="auto"/>
              <w:ind w:firstLine="420" w:firstLineChars="200"/>
              <w:rPr>
                <w:rStyle w:val="27"/>
                <w:color w:val="auto"/>
                <w:highlight w:val="none"/>
              </w:rPr>
            </w:pPr>
          </w:p>
        </w:tc>
        <w:tc>
          <w:tcPr>
            <w:tcW w:w="851" w:type="dxa"/>
            <w:noWrap w:val="0"/>
            <w:vAlign w:val="center"/>
          </w:tcPr>
          <w:p w14:paraId="764DE007">
            <w:pPr>
              <w:pStyle w:val="48"/>
              <w:spacing w:line="360" w:lineRule="auto"/>
              <w:ind w:firstLine="420" w:firstLineChars="200"/>
              <w:rPr>
                <w:rStyle w:val="27"/>
                <w:color w:val="auto"/>
                <w:highlight w:val="none"/>
              </w:rPr>
            </w:pPr>
          </w:p>
        </w:tc>
        <w:tc>
          <w:tcPr>
            <w:tcW w:w="708" w:type="dxa"/>
            <w:noWrap w:val="0"/>
            <w:vAlign w:val="center"/>
          </w:tcPr>
          <w:p w14:paraId="4C441BDC">
            <w:pPr>
              <w:pStyle w:val="48"/>
              <w:spacing w:line="360" w:lineRule="auto"/>
              <w:ind w:firstLine="420" w:firstLineChars="200"/>
              <w:rPr>
                <w:rStyle w:val="27"/>
                <w:color w:val="auto"/>
                <w:highlight w:val="none"/>
              </w:rPr>
            </w:pPr>
          </w:p>
        </w:tc>
        <w:tc>
          <w:tcPr>
            <w:tcW w:w="709" w:type="dxa"/>
            <w:noWrap w:val="0"/>
            <w:vAlign w:val="center"/>
          </w:tcPr>
          <w:p w14:paraId="72C6D696">
            <w:pPr>
              <w:pStyle w:val="48"/>
              <w:spacing w:line="360" w:lineRule="auto"/>
              <w:ind w:firstLine="420" w:firstLineChars="200"/>
              <w:rPr>
                <w:rStyle w:val="27"/>
                <w:color w:val="auto"/>
                <w:highlight w:val="none"/>
              </w:rPr>
            </w:pPr>
          </w:p>
        </w:tc>
        <w:tc>
          <w:tcPr>
            <w:tcW w:w="1134" w:type="dxa"/>
            <w:noWrap w:val="0"/>
            <w:vAlign w:val="center"/>
          </w:tcPr>
          <w:p w14:paraId="1F6A78DB">
            <w:pPr>
              <w:pStyle w:val="48"/>
              <w:spacing w:line="360" w:lineRule="auto"/>
              <w:ind w:firstLine="420" w:firstLineChars="200"/>
              <w:rPr>
                <w:rStyle w:val="27"/>
                <w:color w:val="auto"/>
                <w:highlight w:val="none"/>
              </w:rPr>
            </w:pPr>
          </w:p>
        </w:tc>
        <w:tc>
          <w:tcPr>
            <w:tcW w:w="1276" w:type="dxa"/>
            <w:noWrap w:val="0"/>
            <w:vAlign w:val="center"/>
          </w:tcPr>
          <w:p w14:paraId="0B1672ED">
            <w:pPr>
              <w:pStyle w:val="48"/>
              <w:spacing w:line="360" w:lineRule="auto"/>
              <w:ind w:firstLine="420" w:firstLineChars="200"/>
              <w:rPr>
                <w:rStyle w:val="27"/>
                <w:color w:val="auto"/>
                <w:highlight w:val="none"/>
              </w:rPr>
            </w:pPr>
          </w:p>
        </w:tc>
        <w:tc>
          <w:tcPr>
            <w:tcW w:w="1134" w:type="dxa"/>
            <w:noWrap w:val="0"/>
            <w:vAlign w:val="center"/>
          </w:tcPr>
          <w:p w14:paraId="50F24A87">
            <w:pPr>
              <w:pStyle w:val="48"/>
              <w:spacing w:line="360" w:lineRule="auto"/>
              <w:ind w:firstLine="420" w:firstLineChars="200"/>
              <w:rPr>
                <w:rStyle w:val="27"/>
                <w:color w:val="auto"/>
                <w:highlight w:val="none"/>
              </w:rPr>
            </w:pPr>
          </w:p>
        </w:tc>
        <w:tc>
          <w:tcPr>
            <w:tcW w:w="1559" w:type="dxa"/>
            <w:noWrap w:val="0"/>
            <w:vAlign w:val="center"/>
          </w:tcPr>
          <w:p w14:paraId="3F64F001">
            <w:pPr>
              <w:pStyle w:val="48"/>
              <w:spacing w:line="360" w:lineRule="auto"/>
              <w:ind w:firstLine="420" w:firstLineChars="200"/>
              <w:rPr>
                <w:rStyle w:val="27"/>
                <w:color w:val="auto"/>
                <w:highlight w:val="none"/>
              </w:rPr>
            </w:pPr>
          </w:p>
        </w:tc>
      </w:tr>
      <w:tr w14:paraId="74BE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15573EB">
            <w:pPr>
              <w:pStyle w:val="48"/>
              <w:spacing w:line="360" w:lineRule="auto"/>
              <w:ind w:firstLine="420" w:firstLineChars="200"/>
              <w:rPr>
                <w:rStyle w:val="27"/>
                <w:color w:val="auto"/>
                <w:highlight w:val="none"/>
              </w:rPr>
            </w:pPr>
          </w:p>
        </w:tc>
        <w:tc>
          <w:tcPr>
            <w:tcW w:w="1226" w:type="dxa"/>
            <w:noWrap w:val="0"/>
            <w:vAlign w:val="center"/>
          </w:tcPr>
          <w:p w14:paraId="53EF0F1E">
            <w:pPr>
              <w:pStyle w:val="48"/>
              <w:spacing w:line="360" w:lineRule="auto"/>
              <w:ind w:firstLine="420" w:firstLineChars="200"/>
              <w:rPr>
                <w:rStyle w:val="27"/>
                <w:color w:val="auto"/>
                <w:highlight w:val="none"/>
              </w:rPr>
            </w:pPr>
          </w:p>
        </w:tc>
        <w:tc>
          <w:tcPr>
            <w:tcW w:w="851" w:type="dxa"/>
            <w:noWrap w:val="0"/>
            <w:vAlign w:val="center"/>
          </w:tcPr>
          <w:p w14:paraId="3B8BB17F">
            <w:pPr>
              <w:pStyle w:val="48"/>
              <w:spacing w:line="360" w:lineRule="auto"/>
              <w:ind w:firstLine="420" w:firstLineChars="200"/>
              <w:rPr>
                <w:rStyle w:val="27"/>
                <w:color w:val="auto"/>
                <w:highlight w:val="none"/>
              </w:rPr>
            </w:pPr>
          </w:p>
        </w:tc>
        <w:tc>
          <w:tcPr>
            <w:tcW w:w="708" w:type="dxa"/>
            <w:noWrap w:val="0"/>
            <w:vAlign w:val="center"/>
          </w:tcPr>
          <w:p w14:paraId="226E95FA">
            <w:pPr>
              <w:pStyle w:val="48"/>
              <w:spacing w:line="360" w:lineRule="auto"/>
              <w:ind w:firstLine="420" w:firstLineChars="200"/>
              <w:rPr>
                <w:rStyle w:val="27"/>
                <w:color w:val="auto"/>
                <w:highlight w:val="none"/>
              </w:rPr>
            </w:pPr>
          </w:p>
        </w:tc>
        <w:tc>
          <w:tcPr>
            <w:tcW w:w="709" w:type="dxa"/>
            <w:noWrap w:val="0"/>
            <w:vAlign w:val="center"/>
          </w:tcPr>
          <w:p w14:paraId="23C34B14">
            <w:pPr>
              <w:pStyle w:val="48"/>
              <w:spacing w:line="360" w:lineRule="auto"/>
              <w:ind w:firstLine="420" w:firstLineChars="200"/>
              <w:rPr>
                <w:rStyle w:val="27"/>
                <w:color w:val="auto"/>
                <w:highlight w:val="none"/>
              </w:rPr>
            </w:pPr>
          </w:p>
        </w:tc>
        <w:tc>
          <w:tcPr>
            <w:tcW w:w="1134" w:type="dxa"/>
            <w:noWrap w:val="0"/>
            <w:vAlign w:val="center"/>
          </w:tcPr>
          <w:p w14:paraId="462B4BE5">
            <w:pPr>
              <w:pStyle w:val="48"/>
              <w:spacing w:line="360" w:lineRule="auto"/>
              <w:ind w:firstLine="420" w:firstLineChars="200"/>
              <w:rPr>
                <w:rStyle w:val="27"/>
                <w:color w:val="auto"/>
                <w:highlight w:val="none"/>
              </w:rPr>
            </w:pPr>
          </w:p>
        </w:tc>
        <w:tc>
          <w:tcPr>
            <w:tcW w:w="1276" w:type="dxa"/>
            <w:noWrap w:val="0"/>
            <w:vAlign w:val="center"/>
          </w:tcPr>
          <w:p w14:paraId="3247A229">
            <w:pPr>
              <w:pStyle w:val="48"/>
              <w:spacing w:line="360" w:lineRule="auto"/>
              <w:ind w:firstLine="420" w:firstLineChars="200"/>
              <w:rPr>
                <w:rStyle w:val="27"/>
                <w:color w:val="auto"/>
                <w:highlight w:val="none"/>
              </w:rPr>
            </w:pPr>
          </w:p>
        </w:tc>
        <w:tc>
          <w:tcPr>
            <w:tcW w:w="1134" w:type="dxa"/>
            <w:noWrap w:val="0"/>
            <w:vAlign w:val="center"/>
          </w:tcPr>
          <w:p w14:paraId="7BF4B29C">
            <w:pPr>
              <w:pStyle w:val="48"/>
              <w:spacing w:line="360" w:lineRule="auto"/>
              <w:ind w:firstLine="420" w:firstLineChars="200"/>
              <w:rPr>
                <w:rStyle w:val="27"/>
                <w:color w:val="auto"/>
                <w:highlight w:val="none"/>
              </w:rPr>
            </w:pPr>
          </w:p>
        </w:tc>
        <w:tc>
          <w:tcPr>
            <w:tcW w:w="1559" w:type="dxa"/>
            <w:noWrap w:val="0"/>
            <w:vAlign w:val="center"/>
          </w:tcPr>
          <w:p w14:paraId="3FAA10AC">
            <w:pPr>
              <w:pStyle w:val="48"/>
              <w:spacing w:line="360" w:lineRule="auto"/>
              <w:ind w:firstLine="420" w:firstLineChars="200"/>
              <w:rPr>
                <w:rStyle w:val="27"/>
                <w:color w:val="auto"/>
                <w:highlight w:val="none"/>
              </w:rPr>
            </w:pPr>
          </w:p>
        </w:tc>
      </w:tr>
    </w:tbl>
    <w:p w14:paraId="274665A7">
      <w:pPr>
        <w:pStyle w:val="48"/>
        <w:bidi w:val="0"/>
        <w:ind w:firstLine="210" w:firstLineChars="100"/>
        <w:rPr>
          <w:rStyle w:val="27"/>
          <w:rFonts w:hint="eastAsia" w:cs="宋体"/>
          <w:color w:val="auto"/>
          <w:highlight w:val="none"/>
        </w:rPr>
      </w:pPr>
    </w:p>
    <w:p w14:paraId="4140B749">
      <w:pPr>
        <w:pStyle w:val="48"/>
        <w:bidi w:val="0"/>
        <w:ind w:firstLine="210" w:firstLineChars="100"/>
        <w:rPr>
          <w:rStyle w:val="27"/>
          <w:rFonts w:hint="eastAsia" w:cs="宋体"/>
          <w:color w:val="auto"/>
          <w:highlight w:val="none"/>
        </w:rPr>
      </w:pPr>
    </w:p>
    <w:p w14:paraId="4B3B2CFF">
      <w:pPr>
        <w:pStyle w:val="48"/>
        <w:bidi w:val="0"/>
        <w:ind w:firstLine="210" w:firstLineChars="100"/>
        <w:rPr>
          <w:rStyle w:val="27"/>
          <w:rFonts w:hint="eastAsia" w:cs="宋体"/>
          <w:color w:val="auto"/>
          <w:highlight w:val="none"/>
        </w:rPr>
      </w:pPr>
    </w:p>
    <w:p w14:paraId="36466F02">
      <w:pPr>
        <w:pStyle w:val="48"/>
        <w:bidi w:val="0"/>
        <w:ind w:firstLine="210" w:firstLineChars="100"/>
        <w:rPr>
          <w:rStyle w:val="27"/>
          <w:rFonts w:hint="eastAsia" w:cs="宋体"/>
          <w:color w:val="auto"/>
          <w:highlight w:val="none"/>
        </w:rPr>
      </w:pPr>
    </w:p>
    <w:p w14:paraId="092B510D">
      <w:pPr>
        <w:pStyle w:val="48"/>
        <w:bidi w:val="0"/>
        <w:ind w:firstLine="210" w:firstLineChars="100"/>
        <w:rPr>
          <w:rStyle w:val="27"/>
          <w:rFonts w:hint="eastAsia" w:cs="宋体"/>
          <w:color w:val="auto"/>
          <w:highlight w:val="none"/>
        </w:rPr>
      </w:pPr>
    </w:p>
    <w:p w14:paraId="741D3034">
      <w:pPr>
        <w:pStyle w:val="48"/>
        <w:bidi w:val="0"/>
        <w:ind w:firstLine="210" w:firstLineChars="100"/>
        <w:rPr>
          <w:rStyle w:val="27"/>
          <w:rFonts w:hint="eastAsia" w:cs="宋体"/>
          <w:color w:val="auto"/>
          <w:highlight w:val="none"/>
        </w:rPr>
      </w:pPr>
    </w:p>
    <w:p w14:paraId="07AF69E6">
      <w:pPr>
        <w:pStyle w:val="48"/>
        <w:bidi w:val="0"/>
        <w:ind w:firstLine="210" w:firstLineChars="100"/>
        <w:rPr>
          <w:rStyle w:val="27"/>
          <w:color w:val="auto"/>
          <w:highlight w:val="none"/>
        </w:rPr>
      </w:pPr>
      <w:r>
        <w:rPr>
          <w:rStyle w:val="27"/>
          <w:rFonts w:hint="eastAsia" w:cs="宋体"/>
          <w:color w:val="auto"/>
          <w:highlight w:val="none"/>
        </w:rPr>
        <w:t>附表三：劳动力计划表</w:t>
      </w:r>
    </w:p>
    <w:p w14:paraId="44187033">
      <w:pPr>
        <w:pStyle w:val="48"/>
        <w:bidi w:val="0"/>
        <w:ind w:firstLine="7245" w:firstLineChars="3450"/>
        <w:rPr>
          <w:rStyle w:val="27"/>
          <w:color w:val="auto"/>
          <w:highlight w:val="none"/>
        </w:rPr>
      </w:pPr>
      <w:r>
        <w:rPr>
          <w:rStyle w:val="27"/>
          <w:color w:val="auto"/>
          <w:highlight w:val="none"/>
        </w:rPr>
        <w:t xml:space="preserve">    </w:t>
      </w:r>
      <w:r>
        <w:rPr>
          <w:rStyle w:val="27"/>
          <w:rFonts w:hint="eastAsia" w:cs="宋体"/>
          <w:color w:val="auto"/>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409C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4177459">
            <w:pPr>
              <w:pStyle w:val="48"/>
              <w:spacing w:line="360" w:lineRule="auto"/>
              <w:jc w:val="center"/>
              <w:rPr>
                <w:rStyle w:val="27"/>
                <w:color w:val="auto"/>
                <w:highlight w:val="none"/>
              </w:rPr>
            </w:pPr>
            <w:r>
              <w:rPr>
                <w:rStyle w:val="27"/>
                <w:rFonts w:hint="eastAsia" w:cs="宋体"/>
                <w:color w:val="auto"/>
                <w:highlight w:val="none"/>
              </w:rPr>
              <w:t>工种</w:t>
            </w:r>
          </w:p>
        </w:tc>
        <w:tc>
          <w:tcPr>
            <w:tcW w:w="8506" w:type="dxa"/>
            <w:gridSpan w:val="7"/>
            <w:noWrap w:val="0"/>
            <w:vAlign w:val="center"/>
          </w:tcPr>
          <w:p w14:paraId="738163D6">
            <w:pPr>
              <w:pStyle w:val="48"/>
              <w:spacing w:line="360" w:lineRule="auto"/>
              <w:jc w:val="center"/>
              <w:rPr>
                <w:rStyle w:val="27"/>
                <w:color w:val="auto"/>
                <w:highlight w:val="none"/>
              </w:rPr>
            </w:pPr>
            <w:r>
              <w:rPr>
                <w:rStyle w:val="27"/>
                <w:rFonts w:hint="eastAsia" w:cs="宋体"/>
                <w:color w:val="auto"/>
                <w:highlight w:val="none"/>
              </w:rPr>
              <w:t>按工程施工阶段投入劳动力情况</w:t>
            </w:r>
          </w:p>
        </w:tc>
      </w:tr>
      <w:tr w14:paraId="5CAB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DF7EA5D">
            <w:pPr>
              <w:pStyle w:val="48"/>
              <w:spacing w:line="360" w:lineRule="auto"/>
              <w:jc w:val="center"/>
              <w:rPr>
                <w:rStyle w:val="27"/>
                <w:color w:val="auto"/>
                <w:highlight w:val="none"/>
              </w:rPr>
            </w:pPr>
          </w:p>
        </w:tc>
        <w:tc>
          <w:tcPr>
            <w:tcW w:w="961" w:type="dxa"/>
            <w:noWrap w:val="0"/>
            <w:vAlign w:val="center"/>
          </w:tcPr>
          <w:p w14:paraId="0BD99F8B">
            <w:pPr>
              <w:pStyle w:val="48"/>
              <w:spacing w:line="360" w:lineRule="auto"/>
              <w:jc w:val="center"/>
              <w:rPr>
                <w:rStyle w:val="27"/>
                <w:color w:val="auto"/>
                <w:highlight w:val="none"/>
              </w:rPr>
            </w:pPr>
          </w:p>
        </w:tc>
        <w:tc>
          <w:tcPr>
            <w:tcW w:w="1257" w:type="dxa"/>
            <w:noWrap w:val="0"/>
            <w:vAlign w:val="center"/>
          </w:tcPr>
          <w:p w14:paraId="4802D2D7">
            <w:pPr>
              <w:pStyle w:val="48"/>
              <w:spacing w:line="360" w:lineRule="auto"/>
              <w:jc w:val="center"/>
              <w:rPr>
                <w:rStyle w:val="27"/>
                <w:color w:val="auto"/>
                <w:highlight w:val="none"/>
              </w:rPr>
            </w:pPr>
          </w:p>
        </w:tc>
        <w:tc>
          <w:tcPr>
            <w:tcW w:w="1258" w:type="dxa"/>
            <w:noWrap w:val="0"/>
            <w:vAlign w:val="center"/>
          </w:tcPr>
          <w:p w14:paraId="7A16E6B1">
            <w:pPr>
              <w:pStyle w:val="48"/>
              <w:spacing w:line="360" w:lineRule="auto"/>
              <w:jc w:val="center"/>
              <w:rPr>
                <w:rStyle w:val="27"/>
                <w:color w:val="auto"/>
                <w:highlight w:val="none"/>
              </w:rPr>
            </w:pPr>
          </w:p>
        </w:tc>
        <w:tc>
          <w:tcPr>
            <w:tcW w:w="1257" w:type="dxa"/>
            <w:noWrap w:val="0"/>
            <w:vAlign w:val="center"/>
          </w:tcPr>
          <w:p w14:paraId="4B97B263">
            <w:pPr>
              <w:pStyle w:val="48"/>
              <w:spacing w:line="360" w:lineRule="auto"/>
              <w:jc w:val="center"/>
              <w:rPr>
                <w:rStyle w:val="27"/>
                <w:color w:val="auto"/>
                <w:highlight w:val="none"/>
              </w:rPr>
            </w:pPr>
          </w:p>
        </w:tc>
        <w:tc>
          <w:tcPr>
            <w:tcW w:w="1258" w:type="dxa"/>
            <w:noWrap w:val="0"/>
            <w:vAlign w:val="center"/>
          </w:tcPr>
          <w:p w14:paraId="36E1F79F">
            <w:pPr>
              <w:pStyle w:val="48"/>
              <w:spacing w:line="360" w:lineRule="auto"/>
              <w:jc w:val="center"/>
              <w:rPr>
                <w:rStyle w:val="27"/>
                <w:color w:val="auto"/>
                <w:highlight w:val="none"/>
              </w:rPr>
            </w:pPr>
          </w:p>
        </w:tc>
        <w:tc>
          <w:tcPr>
            <w:tcW w:w="1257" w:type="dxa"/>
            <w:noWrap w:val="0"/>
            <w:vAlign w:val="center"/>
          </w:tcPr>
          <w:p w14:paraId="5C1789B8">
            <w:pPr>
              <w:pStyle w:val="48"/>
              <w:spacing w:line="360" w:lineRule="auto"/>
              <w:jc w:val="center"/>
              <w:rPr>
                <w:rStyle w:val="27"/>
                <w:color w:val="auto"/>
                <w:highlight w:val="none"/>
              </w:rPr>
            </w:pPr>
          </w:p>
        </w:tc>
        <w:tc>
          <w:tcPr>
            <w:tcW w:w="1258" w:type="dxa"/>
            <w:noWrap w:val="0"/>
            <w:vAlign w:val="center"/>
          </w:tcPr>
          <w:p w14:paraId="6629BB14">
            <w:pPr>
              <w:pStyle w:val="48"/>
              <w:spacing w:line="360" w:lineRule="auto"/>
              <w:jc w:val="center"/>
              <w:rPr>
                <w:rStyle w:val="27"/>
                <w:color w:val="auto"/>
                <w:highlight w:val="none"/>
              </w:rPr>
            </w:pPr>
          </w:p>
        </w:tc>
      </w:tr>
      <w:tr w14:paraId="4FCD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4D54AF00">
            <w:pPr>
              <w:pStyle w:val="48"/>
              <w:spacing w:line="360" w:lineRule="auto"/>
              <w:jc w:val="center"/>
              <w:rPr>
                <w:rStyle w:val="27"/>
                <w:color w:val="auto"/>
                <w:highlight w:val="none"/>
              </w:rPr>
            </w:pPr>
          </w:p>
        </w:tc>
        <w:tc>
          <w:tcPr>
            <w:tcW w:w="961" w:type="dxa"/>
            <w:noWrap w:val="0"/>
            <w:vAlign w:val="center"/>
          </w:tcPr>
          <w:p w14:paraId="5DC285C3">
            <w:pPr>
              <w:pStyle w:val="48"/>
              <w:spacing w:line="360" w:lineRule="auto"/>
              <w:jc w:val="center"/>
              <w:rPr>
                <w:rStyle w:val="27"/>
                <w:color w:val="auto"/>
                <w:highlight w:val="none"/>
              </w:rPr>
            </w:pPr>
          </w:p>
        </w:tc>
        <w:tc>
          <w:tcPr>
            <w:tcW w:w="1257" w:type="dxa"/>
            <w:noWrap w:val="0"/>
            <w:vAlign w:val="center"/>
          </w:tcPr>
          <w:p w14:paraId="164D5B8F">
            <w:pPr>
              <w:pStyle w:val="48"/>
              <w:spacing w:line="360" w:lineRule="auto"/>
              <w:jc w:val="center"/>
              <w:rPr>
                <w:rStyle w:val="27"/>
                <w:color w:val="auto"/>
                <w:highlight w:val="none"/>
              </w:rPr>
            </w:pPr>
          </w:p>
        </w:tc>
        <w:tc>
          <w:tcPr>
            <w:tcW w:w="1258" w:type="dxa"/>
            <w:noWrap w:val="0"/>
            <w:vAlign w:val="center"/>
          </w:tcPr>
          <w:p w14:paraId="57369424">
            <w:pPr>
              <w:pStyle w:val="48"/>
              <w:spacing w:line="360" w:lineRule="auto"/>
              <w:jc w:val="center"/>
              <w:rPr>
                <w:rStyle w:val="27"/>
                <w:color w:val="auto"/>
                <w:highlight w:val="none"/>
              </w:rPr>
            </w:pPr>
          </w:p>
        </w:tc>
        <w:tc>
          <w:tcPr>
            <w:tcW w:w="1257" w:type="dxa"/>
            <w:noWrap w:val="0"/>
            <w:vAlign w:val="center"/>
          </w:tcPr>
          <w:p w14:paraId="60907D0A">
            <w:pPr>
              <w:pStyle w:val="48"/>
              <w:spacing w:line="360" w:lineRule="auto"/>
              <w:jc w:val="center"/>
              <w:rPr>
                <w:rStyle w:val="27"/>
                <w:color w:val="auto"/>
                <w:highlight w:val="none"/>
              </w:rPr>
            </w:pPr>
          </w:p>
        </w:tc>
        <w:tc>
          <w:tcPr>
            <w:tcW w:w="1258" w:type="dxa"/>
            <w:noWrap w:val="0"/>
            <w:vAlign w:val="center"/>
          </w:tcPr>
          <w:p w14:paraId="1EB3C54C">
            <w:pPr>
              <w:pStyle w:val="48"/>
              <w:spacing w:line="360" w:lineRule="auto"/>
              <w:jc w:val="center"/>
              <w:rPr>
                <w:rStyle w:val="27"/>
                <w:color w:val="auto"/>
                <w:highlight w:val="none"/>
              </w:rPr>
            </w:pPr>
          </w:p>
        </w:tc>
        <w:tc>
          <w:tcPr>
            <w:tcW w:w="1257" w:type="dxa"/>
            <w:noWrap w:val="0"/>
            <w:vAlign w:val="center"/>
          </w:tcPr>
          <w:p w14:paraId="63492844">
            <w:pPr>
              <w:pStyle w:val="48"/>
              <w:spacing w:line="360" w:lineRule="auto"/>
              <w:jc w:val="center"/>
              <w:rPr>
                <w:rStyle w:val="27"/>
                <w:color w:val="auto"/>
                <w:highlight w:val="none"/>
              </w:rPr>
            </w:pPr>
          </w:p>
        </w:tc>
        <w:tc>
          <w:tcPr>
            <w:tcW w:w="1258" w:type="dxa"/>
            <w:noWrap w:val="0"/>
            <w:vAlign w:val="center"/>
          </w:tcPr>
          <w:p w14:paraId="56962B38">
            <w:pPr>
              <w:pStyle w:val="48"/>
              <w:spacing w:line="360" w:lineRule="auto"/>
              <w:jc w:val="center"/>
              <w:rPr>
                <w:rStyle w:val="27"/>
                <w:color w:val="auto"/>
                <w:highlight w:val="none"/>
              </w:rPr>
            </w:pPr>
          </w:p>
        </w:tc>
      </w:tr>
      <w:tr w14:paraId="79F9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93844EA">
            <w:pPr>
              <w:pStyle w:val="48"/>
              <w:spacing w:line="360" w:lineRule="auto"/>
              <w:jc w:val="center"/>
              <w:rPr>
                <w:rStyle w:val="27"/>
                <w:color w:val="auto"/>
                <w:highlight w:val="none"/>
              </w:rPr>
            </w:pPr>
          </w:p>
        </w:tc>
        <w:tc>
          <w:tcPr>
            <w:tcW w:w="961" w:type="dxa"/>
            <w:noWrap w:val="0"/>
            <w:vAlign w:val="center"/>
          </w:tcPr>
          <w:p w14:paraId="023B5332">
            <w:pPr>
              <w:pStyle w:val="48"/>
              <w:spacing w:line="360" w:lineRule="auto"/>
              <w:jc w:val="center"/>
              <w:rPr>
                <w:rStyle w:val="27"/>
                <w:color w:val="auto"/>
                <w:highlight w:val="none"/>
              </w:rPr>
            </w:pPr>
          </w:p>
        </w:tc>
        <w:tc>
          <w:tcPr>
            <w:tcW w:w="1257" w:type="dxa"/>
            <w:noWrap w:val="0"/>
            <w:vAlign w:val="center"/>
          </w:tcPr>
          <w:p w14:paraId="79F0FAC4">
            <w:pPr>
              <w:pStyle w:val="48"/>
              <w:spacing w:line="360" w:lineRule="auto"/>
              <w:jc w:val="center"/>
              <w:rPr>
                <w:rStyle w:val="27"/>
                <w:color w:val="auto"/>
                <w:highlight w:val="none"/>
              </w:rPr>
            </w:pPr>
          </w:p>
        </w:tc>
        <w:tc>
          <w:tcPr>
            <w:tcW w:w="1258" w:type="dxa"/>
            <w:noWrap w:val="0"/>
            <w:vAlign w:val="center"/>
          </w:tcPr>
          <w:p w14:paraId="0470603D">
            <w:pPr>
              <w:pStyle w:val="48"/>
              <w:spacing w:line="360" w:lineRule="auto"/>
              <w:jc w:val="center"/>
              <w:rPr>
                <w:rStyle w:val="27"/>
                <w:color w:val="auto"/>
                <w:highlight w:val="none"/>
              </w:rPr>
            </w:pPr>
          </w:p>
        </w:tc>
        <w:tc>
          <w:tcPr>
            <w:tcW w:w="1257" w:type="dxa"/>
            <w:noWrap w:val="0"/>
            <w:vAlign w:val="center"/>
          </w:tcPr>
          <w:p w14:paraId="4485FA12">
            <w:pPr>
              <w:pStyle w:val="48"/>
              <w:spacing w:line="360" w:lineRule="auto"/>
              <w:jc w:val="center"/>
              <w:rPr>
                <w:rStyle w:val="27"/>
                <w:color w:val="auto"/>
                <w:highlight w:val="none"/>
              </w:rPr>
            </w:pPr>
          </w:p>
        </w:tc>
        <w:tc>
          <w:tcPr>
            <w:tcW w:w="1258" w:type="dxa"/>
            <w:noWrap w:val="0"/>
            <w:vAlign w:val="center"/>
          </w:tcPr>
          <w:p w14:paraId="5E953F67">
            <w:pPr>
              <w:pStyle w:val="48"/>
              <w:spacing w:line="360" w:lineRule="auto"/>
              <w:jc w:val="center"/>
              <w:rPr>
                <w:rStyle w:val="27"/>
                <w:color w:val="auto"/>
                <w:highlight w:val="none"/>
              </w:rPr>
            </w:pPr>
          </w:p>
        </w:tc>
        <w:tc>
          <w:tcPr>
            <w:tcW w:w="1257" w:type="dxa"/>
            <w:noWrap w:val="0"/>
            <w:vAlign w:val="center"/>
          </w:tcPr>
          <w:p w14:paraId="35C3DC70">
            <w:pPr>
              <w:pStyle w:val="48"/>
              <w:spacing w:line="360" w:lineRule="auto"/>
              <w:jc w:val="center"/>
              <w:rPr>
                <w:rStyle w:val="27"/>
                <w:color w:val="auto"/>
                <w:highlight w:val="none"/>
              </w:rPr>
            </w:pPr>
          </w:p>
        </w:tc>
        <w:tc>
          <w:tcPr>
            <w:tcW w:w="1258" w:type="dxa"/>
            <w:noWrap w:val="0"/>
            <w:vAlign w:val="center"/>
          </w:tcPr>
          <w:p w14:paraId="303A7069">
            <w:pPr>
              <w:pStyle w:val="48"/>
              <w:spacing w:line="360" w:lineRule="auto"/>
              <w:jc w:val="center"/>
              <w:rPr>
                <w:rStyle w:val="27"/>
                <w:color w:val="auto"/>
                <w:highlight w:val="none"/>
              </w:rPr>
            </w:pPr>
          </w:p>
        </w:tc>
      </w:tr>
      <w:tr w14:paraId="302D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C480CC9">
            <w:pPr>
              <w:pStyle w:val="48"/>
              <w:spacing w:line="360" w:lineRule="auto"/>
              <w:jc w:val="center"/>
              <w:rPr>
                <w:rStyle w:val="27"/>
                <w:color w:val="auto"/>
                <w:highlight w:val="none"/>
              </w:rPr>
            </w:pPr>
          </w:p>
        </w:tc>
        <w:tc>
          <w:tcPr>
            <w:tcW w:w="961" w:type="dxa"/>
            <w:noWrap w:val="0"/>
            <w:vAlign w:val="center"/>
          </w:tcPr>
          <w:p w14:paraId="41F07D3C">
            <w:pPr>
              <w:pStyle w:val="48"/>
              <w:spacing w:line="360" w:lineRule="auto"/>
              <w:jc w:val="center"/>
              <w:rPr>
                <w:rStyle w:val="27"/>
                <w:color w:val="auto"/>
                <w:highlight w:val="none"/>
              </w:rPr>
            </w:pPr>
          </w:p>
        </w:tc>
        <w:tc>
          <w:tcPr>
            <w:tcW w:w="1257" w:type="dxa"/>
            <w:noWrap w:val="0"/>
            <w:vAlign w:val="center"/>
          </w:tcPr>
          <w:p w14:paraId="7516DB45">
            <w:pPr>
              <w:pStyle w:val="48"/>
              <w:spacing w:line="360" w:lineRule="auto"/>
              <w:jc w:val="center"/>
              <w:rPr>
                <w:rStyle w:val="27"/>
                <w:color w:val="auto"/>
                <w:highlight w:val="none"/>
              </w:rPr>
            </w:pPr>
          </w:p>
        </w:tc>
        <w:tc>
          <w:tcPr>
            <w:tcW w:w="1258" w:type="dxa"/>
            <w:noWrap w:val="0"/>
            <w:vAlign w:val="center"/>
          </w:tcPr>
          <w:p w14:paraId="3309BEEC">
            <w:pPr>
              <w:pStyle w:val="48"/>
              <w:spacing w:line="360" w:lineRule="auto"/>
              <w:jc w:val="center"/>
              <w:rPr>
                <w:rStyle w:val="27"/>
                <w:color w:val="auto"/>
                <w:highlight w:val="none"/>
              </w:rPr>
            </w:pPr>
          </w:p>
        </w:tc>
        <w:tc>
          <w:tcPr>
            <w:tcW w:w="1257" w:type="dxa"/>
            <w:noWrap w:val="0"/>
            <w:vAlign w:val="center"/>
          </w:tcPr>
          <w:p w14:paraId="642C7634">
            <w:pPr>
              <w:pStyle w:val="48"/>
              <w:spacing w:line="360" w:lineRule="auto"/>
              <w:jc w:val="center"/>
              <w:rPr>
                <w:rStyle w:val="27"/>
                <w:color w:val="auto"/>
                <w:highlight w:val="none"/>
              </w:rPr>
            </w:pPr>
          </w:p>
        </w:tc>
        <w:tc>
          <w:tcPr>
            <w:tcW w:w="1258" w:type="dxa"/>
            <w:noWrap w:val="0"/>
            <w:vAlign w:val="center"/>
          </w:tcPr>
          <w:p w14:paraId="3C37CB87">
            <w:pPr>
              <w:pStyle w:val="48"/>
              <w:spacing w:line="360" w:lineRule="auto"/>
              <w:jc w:val="center"/>
              <w:rPr>
                <w:rStyle w:val="27"/>
                <w:color w:val="auto"/>
                <w:highlight w:val="none"/>
              </w:rPr>
            </w:pPr>
          </w:p>
        </w:tc>
        <w:tc>
          <w:tcPr>
            <w:tcW w:w="1257" w:type="dxa"/>
            <w:noWrap w:val="0"/>
            <w:vAlign w:val="center"/>
          </w:tcPr>
          <w:p w14:paraId="5B50FF37">
            <w:pPr>
              <w:pStyle w:val="48"/>
              <w:spacing w:line="360" w:lineRule="auto"/>
              <w:jc w:val="center"/>
              <w:rPr>
                <w:rStyle w:val="27"/>
                <w:color w:val="auto"/>
                <w:highlight w:val="none"/>
              </w:rPr>
            </w:pPr>
          </w:p>
        </w:tc>
        <w:tc>
          <w:tcPr>
            <w:tcW w:w="1258" w:type="dxa"/>
            <w:noWrap w:val="0"/>
            <w:vAlign w:val="center"/>
          </w:tcPr>
          <w:p w14:paraId="0267BC4E">
            <w:pPr>
              <w:pStyle w:val="48"/>
              <w:spacing w:line="360" w:lineRule="auto"/>
              <w:jc w:val="center"/>
              <w:rPr>
                <w:rStyle w:val="27"/>
                <w:color w:val="auto"/>
                <w:highlight w:val="none"/>
              </w:rPr>
            </w:pPr>
          </w:p>
        </w:tc>
      </w:tr>
      <w:tr w14:paraId="6A49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0E100DE">
            <w:pPr>
              <w:pStyle w:val="48"/>
              <w:spacing w:line="360" w:lineRule="auto"/>
              <w:jc w:val="center"/>
              <w:rPr>
                <w:rStyle w:val="27"/>
                <w:color w:val="auto"/>
                <w:highlight w:val="none"/>
              </w:rPr>
            </w:pPr>
          </w:p>
        </w:tc>
        <w:tc>
          <w:tcPr>
            <w:tcW w:w="961" w:type="dxa"/>
            <w:noWrap w:val="0"/>
            <w:vAlign w:val="center"/>
          </w:tcPr>
          <w:p w14:paraId="57AC47FB">
            <w:pPr>
              <w:pStyle w:val="48"/>
              <w:spacing w:line="360" w:lineRule="auto"/>
              <w:jc w:val="center"/>
              <w:rPr>
                <w:rStyle w:val="27"/>
                <w:color w:val="auto"/>
                <w:highlight w:val="none"/>
              </w:rPr>
            </w:pPr>
          </w:p>
        </w:tc>
        <w:tc>
          <w:tcPr>
            <w:tcW w:w="1257" w:type="dxa"/>
            <w:noWrap w:val="0"/>
            <w:vAlign w:val="center"/>
          </w:tcPr>
          <w:p w14:paraId="11176134">
            <w:pPr>
              <w:pStyle w:val="48"/>
              <w:spacing w:line="360" w:lineRule="auto"/>
              <w:jc w:val="center"/>
              <w:rPr>
                <w:rStyle w:val="27"/>
                <w:color w:val="auto"/>
                <w:highlight w:val="none"/>
              </w:rPr>
            </w:pPr>
          </w:p>
        </w:tc>
        <w:tc>
          <w:tcPr>
            <w:tcW w:w="1258" w:type="dxa"/>
            <w:noWrap w:val="0"/>
            <w:vAlign w:val="center"/>
          </w:tcPr>
          <w:p w14:paraId="7D3C0E6E">
            <w:pPr>
              <w:pStyle w:val="48"/>
              <w:spacing w:line="360" w:lineRule="auto"/>
              <w:jc w:val="center"/>
              <w:rPr>
                <w:rStyle w:val="27"/>
                <w:color w:val="auto"/>
                <w:highlight w:val="none"/>
              </w:rPr>
            </w:pPr>
          </w:p>
        </w:tc>
        <w:tc>
          <w:tcPr>
            <w:tcW w:w="1257" w:type="dxa"/>
            <w:noWrap w:val="0"/>
            <w:vAlign w:val="center"/>
          </w:tcPr>
          <w:p w14:paraId="61093394">
            <w:pPr>
              <w:pStyle w:val="48"/>
              <w:spacing w:line="360" w:lineRule="auto"/>
              <w:jc w:val="center"/>
              <w:rPr>
                <w:rStyle w:val="27"/>
                <w:color w:val="auto"/>
                <w:highlight w:val="none"/>
              </w:rPr>
            </w:pPr>
          </w:p>
        </w:tc>
        <w:tc>
          <w:tcPr>
            <w:tcW w:w="1258" w:type="dxa"/>
            <w:noWrap w:val="0"/>
            <w:vAlign w:val="center"/>
          </w:tcPr>
          <w:p w14:paraId="50A43B0B">
            <w:pPr>
              <w:pStyle w:val="48"/>
              <w:spacing w:line="360" w:lineRule="auto"/>
              <w:jc w:val="center"/>
              <w:rPr>
                <w:rStyle w:val="27"/>
                <w:color w:val="auto"/>
                <w:highlight w:val="none"/>
              </w:rPr>
            </w:pPr>
          </w:p>
        </w:tc>
        <w:tc>
          <w:tcPr>
            <w:tcW w:w="1257" w:type="dxa"/>
            <w:noWrap w:val="0"/>
            <w:vAlign w:val="center"/>
          </w:tcPr>
          <w:p w14:paraId="426D725B">
            <w:pPr>
              <w:pStyle w:val="48"/>
              <w:spacing w:line="360" w:lineRule="auto"/>
              <w:jc w:val="center"/>
              <w:rPr>
                <w:rStyle w:val="27"/>
                <w:color w:val="auto"/>
                <w:highlight w:val="none"/>
              </w:rPr>
            </w:pPr>
          </w:p>
        </w:tc>
        <w:tc>
          <w:tcPr>
            <w:tcW w:w="1258" w:type="dxa"/>
            <w:noWrap w:val="0"/>
            <w:vAlign w:val="center"/>
          </w:tcPr>
          <w:p w14:paraId="2EF27895">
            <w:pPr>
              <w:pStyle w:val="48"/>
              <w:spacing w:line="360" w:lineRule="auto"/>
              <w:jc w:val="center"/>
              <w:rPr>
                <w:rStyle w:val="27"/>
                <w:color w:val="auto"/>
                <w:highlight w:val="none"/>
              </w:rPr>
            </w:pPr>
          </w:p>
        </w:tc>
      </w:tr>
    </w:tbl>
    <w:p w14:paraId="03DF2663">
      <w:pPr>
        <w:pStyle w:val="48"/>
        <w:bidi w:val="0"/>
        <w:rPr>
          <w:rStyle w:val="27"/>
          <w:color w:val="auto"/>
          <w:highlight w:val="none"/>
        </w:rPr>
      </w:pPr>
    </w:p>
    <w:p w14:paraId="3453A0FC">
      <w:pPr>
        <w:pStyle w:val="48"/>
        <w:bidi w:val="0"/>
        <w:rPr>
          <w:rStyle w:val="27"/>
          <w:b/>
          <w:bCs/>
          <w:color w:val="auto"/>
          <w:highlight w:val="none"/>
        </w:rPr>
      </w:pPr>
    </w:p>
    <w:p w14:paraId="16CCB728">
      <w:pPr>
        <w:pStyle w:val="48"/>
        <w:bidi w:val="0"/>
        <w:rPr>
          <w:rStyle w:val="27"/>
          <w:color w:val="auto"/>
          <w:highlight w:val="none"/>
        </w:rPr>
      </w:pPr>
      <w:r>
        <w:rPr>
          <w:rStyle w:val="27"/>
          <w:rFonts w:hint="eastAsia" w:cs="宋体"/>
          <w:color w:val="auto"/>
          <w:highlight w:val="none"/>
        </w:rPr>
        <w:t>附表四：计划开、竣工日期和施工进度计划（网络图或横道图）</w:t>
      </w:r>
    </w:p>
    <w:p w14:paraId="6811774C">
      <w:pPr>
        <w:pStyle w:val="48"/>
        <w:bidi w:val="0"/>
        <w:spacing w:line="460" w:lineRule="exact"/>
        <w:ind w:left="-6" w:firstLine="420"/>
        <w:rPr>
          <w:rStyle w:val="27"/>
          <w:color w:val="auto"/>
          <w:highlight w:val="none"/>
        </w:rPr>
      </w:pPr>
      <w:r>
        <w:rPr>
          <w:rStyle w:val="27"/>
          <w:color w:val="auto"/>
          <w:highlight w:val="none"/>
        </w:rPr>
        <w:t xml:space="preserve">1. </w:t>
      </w:r>
      <w:r>
        <w:rPr>
          <w:rStyle w:val="27"/>
          <w:rFonts w:hint="eastAsia" w:cs="宋体"/>
          <w:color w:val="auto"/>
          <w:highlight w:val="none"/>
          <w:lang w:val="en-US" w:eastAsia="zh-CN"/>
        </w:rPr>
        <w:t>供应商</w:t>
      </w:r>
      <w:r>
        <w:rPr>
          <w:rStyle w:val="27"/>
          <w:rFonts w:hint="eastAsia" w:cs="宋体"/>
          <w:color w:val="auto"/>
          <w:highlight w:val="none"/>
        </w:rPr>
        <w:t>应提交施工进度计划，说明按</w:t>
      </w:r>
      <w:r>
        <w:rPr>
          <w:rStyle w:val="27"/>
          <w:rFonts w:hint="eastAsia" w:cs="宋体"/>
          <w:color w:val="auto"/>
          <w:highlight w:val="none"/>
          <w:lang w:val="en-US" w:eastAsia="zh-CN"/>
        </w:rPr>
        <w:t>采购</w:t>
      </w:r>
      <w:r>
        <w:rPr>
          <w:rStyle w:val="27"/>
          <w:rFonts w:hint="eastAsia" w:cs="宋体"/>
          <w:color w:val="auto"/>
          <w:highlight w:val="none"/>
        </w:rPr>
        <w:t>要求的工期进行施工的各个关键日期。</w:t>
      </w:r>
      <w:r>
        <w:rPr>
          <w:rStyle w:val="27"/>
          <w:rFonts w:hint="eastAsia" w:cs="宋体"/>
          <w:color w:val="auto"/>
          <w:highlight w:val="none"/>
          <w:lang w:val="en-US" w:eastAsia="zh-CN"/>
        </w:rPr>
        <w:t>成效</w:t>
      </w:r>
      <w:r>
        <w:rPr>
          <w:rStyle w:val="27"/>
          <w:rFonts w:hint="eastAsia" w:cs="宋体"/>
          <w:color w:val="auto"/>
          <w:highlight w:val="none"/>
        </w:rPr>
        <w:t>的</w:t>
      </w:r>
      <w:r>
        <w:rPr>
          <w:rStyle w:val="27"/>
          <w:rFonts w:hint="eastAsia" w:cs="宋体"/>
          <w:color w:val="auto"/>
          <w:highlight w:val="none"/>
          <w:lang w:val="en-US" w:eastAsia="zh-CN"/>
        </w:rPr>
        <w:t>供应商</w:t>
      </w:r>
      <w:r>
        <w:rPr>
          <w:rStyle w:val="27"/>
          <w:rFonts w:hint="eastAsia" w:cs="宋体"/>
          <w:color w:val="auto"/>
          <w:highlight w:val="none"/>
        </w:rPr>
        <w:t>还应按合同条件有关条款的要求提交详细的施工进度计划。</w:t>
      </w:r>
    </w:p>
    <w:p w14:paraId="49E1BB6A">
      <w:pPr>
        <w:pStyle w:val="48"/>
        <w:bidi w:val="0"/>
        <w:spacing w:line="460" w:lineRule="exact"/>
        <w:ind w:left="-6" w:firstLine="420"/>
        <w:rPr>
          <w:rStyle w:val="27"/>
          <w:color w:val="auto"/>
          <w:highlight w:val="none"/>
        </w:rPr>
      </w:pPr>
      <w:r>
        <w:rPr>
          <w:rStyle w:val="27"/>
          <w:color w:val="auto"/>
          <w:highlight w:val="none"/>
        </w:rPr>
        <w:t xml:space="preserve">2. </w:t>
      </w:r>
      <w:r>
        <w:rPr>
          <w:rStyle w:val="27"/>
          <w:rFonts w:hint="eastAsia" w:cs="宋体"/>
          <w:color w:val="auto"/>
          <w:highlight w:val="none"/>
        </w:rPr>
        <w:t>施工进度计划可采用网络图（或横道图）表示，说明计划开工日期和各分项工程各阶段的完工日期和分包合同签订的日期。</w:t>
      </w:r>
    </w:p>
    <w:p w14:paraId="76BCC0BD">
      <w:pPr>
        <w:pStyle w:val="48"/>
        <w:bidi w:val="0"/>
        <w:spacing w:line="460" w:lineRule="exact"/>
        <w:ind w:left="-6" w:firstLine="420"/>
        <w:rPr>
          <w:rStyle w:val="27"/>
          <w:color w:val="auto"/>
          <w:highlight w:val="none"/>
        </w:rPr>
      </w:pPr>
      <w:r>
        <w:rPr>
          <w:rStyle w:val="27"/>
          <w:color w:val="auto"/>
          <w:highlight w:val="none"/>
        </w:rPr>
        <w:t xml:space="preserve">3. </w:t>
      </w:r>
      <w:r>
        <w:rPr>
          <w:rStyle w:val="27"/>
          <w:rFonts w:hint="eastAsia" w:cs="宋体"/>
          <w:color w:val="auto"/>
          <w:highlight w:val="none"/>
        </w:rPr>
        <w:t>施工进度计划应与施工组织设计相适应。</w:t>
      </w:r>
    </w:p>
    <w:p w14:paraId="44BD3939">
      <w:pPr>
        <w:pStyle w:val="48"/>
        <w:bidi w:val="0"/>
        <w:rPr>
          <w:rStyle w:val="27"/>
          <w:color w:val="auto"/>
          <w:highlight w:val="none"/>
        </w:rPr>
      </w:pPr>
    </w:p>
    <w:p w14:paraId="1B7E9EC2">
      <w:pPr>
        <w:pStyle w:val="48"/>
        <w:bidi w:val="0"/>
        <w:rPr>
          <w:rStyle w:val="27"/>
          <w:color w:val="auto"/>
          <w:highlight w:val="none"/>
        </w:rPr>
      </w:pPr>
    </w:p>
    <w:p w14:paraId="2C593CE9">
      <w:pPr>
        <w:pStyle w:val="48"/>
        <w:bidi w:val="0"/>
        <w:rPr>
          <w:rStyle w:val="27"/>
          <w:color w:val="auto"/>
          <w:highlight w:val="none"/>
        </w:rPr>
      </w:pPr>
      <w:r>
        <w:rPr>
          <w:rStyle w:val="27"/>
          <w:rFonts w:hint="eastAsia" w:cs="宋体"/>
          <w:color w:val="auto"/>
          <w:highlight w:val="none"/>
        </w:rPr>
        <w:t>附表</w:t>
      </w:r>
      <w:r>
        <w:rPr>
          <w:rStyle w:val="27"/>
          <w:rFonts w:hint="eastAsia" w:cs="宋体"/>
          <w:color w:val="auto"/>
          <w:highlight w:val="none"/>
          <w:lang w:val="en-US" w:eastAsia="zh-CN"/>
        </w:rPr>
        <w:t>五</w:t>
      </w:r>
      <w:r>
        <w:rPr>
          <w:rStyle w:val="27"/>
          <w:rFonts w:hint="eastAsia" w:cs="宋体"/>
          <w:color w:val="auto"/>
          <w:highlight w:val="none"/>
        </w:rPr>
        <w:t>：临时用地表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7869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0AF0F984">
            <w:pPr>
              <w:pStyle w:val="48"/>
              <w:jc w:val="center"/>
              <w:rPr>
                <w:rStyle w:val="27"/>
                <w:color w:val="auto"/>
                <w:highlight w:val="none"/>
              </w:rPr>
            </w:pPr>
            <w:r>
              <w:rPr>
                <w:rStyle w:val="27"/>
                <w:rFonts w:hint="eastAsia" w:cs="宋体"/>
                <w:color w:val="auto"/>
                <w:highlight w:val="none"/>
              </w:rPr>
              <w:t>用途</w:t>
            </w:r>
          </w:p>
        </w:tc>
        <w:tc>
          <w:tcPr>
            <w:tcW w:w="2357" w:type="dxa"/>
            <w:noWrap w:val="0"/>
            <w:vAlign w:val="center"/>
          </w:tcPr>
          <w:p w14:paraId="27D349EF">
            <w:pPr>
              <w:pStyle w:val="48"/>
              <w:jc w:val="center"/>
              <w:rPr>
                <w:rStyle w:val="27"/>
                <w:color w:val="auto"/>
                <w:highlight w:val="none"/>
              </w:rPr>
            </w:pPr>
            <w:r>
              <w:rPr>
                <w:rStyle w:val="27"/>
                <w:rFonts w:hint="eastAsia" w:cs="宋体"/>
                <w:color w:val="auto"/>
                <w:highlight w:val="none"/>
              </w:rPr>
              <w:t>面积（平方米）</w:t>
            </w:r>
          </w:p>
        </w:tc>
        <w:tc>
          <w:tcPr>
            <w:tcW w:w="2356" w:type="dxa"/>
            <w:noWrap w:val="0"/>
            <w:vAlign w:val="center"/>
          </w:tcPr>
          <w:p w14:paraId="152F7AB2">
            <w:pPr>
              <w:pStyle w:val="48"/>
              <w:jc w:val="center"/>
              <w:rPr>
                <w:rStyle w:val="27"/>
                <w:color w:val="auto"/>
                <w:highlight w:val="none"/>
              </w:rPr>
            </w:pPr>
            <w:r>
              <w:rPr>
                <w:rStyle w:val="27"/>
                <w:rFonts w:hint="eastAsia" w:cs="宋体"/>
                <w:color w:val="auto"/>
                <w:highlight w:val="none"/>
              </w:rPr>
              <w:t>位置</w:t>
            </w:r>
          </w:p>
        </w:tc>
        <w:tc>
          <w:tcPr>
            <w:tcW w:w="2357" w:type="dxa"/>
            <w:noWrap w:val="0"/>
            <w:vAlign w:val="center"/>
          </w:tcPr>
          <w:p w14:paraId="4FB2BA8E">
            <w:pPr>
              <w:pStyle w:val="48"/>
              <w:jc w:val="center"/>
              <w:rPr>
                <w:rStyle w:val="27"/>
                <w:color w:val="auto"/>
                <w:highlight w:val="none"/>
              </w:rPr>
            </w:pPr>
            <w:r>
              <w:rPr>
                <w:rStyle w:val="27"/>
                <w:rFonts w:hint="eastAsia" w:cs="宋体"/>
                <w:color w:val="auto"/>
                <w:highlight w:val="none"/>
              </w:rPr>
              <w:t>需用时间</w:t>
            </w:r>
          </w:p>
        </w:tc>
      </w:tr>
      <w:tr w14:paraId="25F6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3E3BC6C1">
            <w:pPr>
              <w:pStyle w:val="48"/>
              <w:rPr>
                <w:rStyle w:val="27"/>
                <w:color w:val="auto"/>
                <w:highlight w:val="none"/>
              </w:rPr>
            </w:pPr>
          </w:p>
        </w:tc>
        <w:tc>
          <w:tcPr>
            <w:tcW w:w="2357" w:type="dxa"/>
            <w:noWrap w:val="0"/>
            <w:vAlign w:val="top"/>
          </w:tcPr>
          <w:p w14:paraId="3E110494">
            <w:pPr>
              <w:pStyle w:val="48"/>
              <w:rPr>
                <w:rStyle w:val="27"/>
                <w:color w:val="auto"/>
                <w:highlight w:val="none"/>
              </w:rPr>
            </w:pPr>
          </w:p>
        </w:tc>
        <w:tc>
          <w:tcPr>
            <w:tcW w:w="2356" w:type="dxa"/>
            <w:noWrap w:val="0"/>
            <w:vAlign w:val="top"/>
          </w:tcPr>
          <w:p w14:paraId="6DBF0616">
            <w:pPr>
              <w:pStyle w:val="48"/>
              <w:rPr>
                <w:rStyle w:val="27"/>
                <w:color w:val="auto"/>
                <w:highlight w:val="none"/>
              </w:rPr>
            </w:pPr>
          </w:p>
        </w:tc>
        <w:tc>
          <w:tcPr>
            <w:tcW w:w="2357" w:type="dxa"/>
            <w:noWrap w:val="0"/>
            <w:vAlign w:val="top"/>
          </w:tcPr>
          <w:p w14:paraId="4187CDDB">
            <w:pPr>
              <w:pStyle w:val="48"/>
              <w:rPr>
                <w:rStyle w:val="27"/>
                <w:color w:val="auto"/>
                <w:highlight w:val="none"/>
              </w:rPr>
            </w:pPr>
          </w:p>
        </w:tc>
      </w:tr>
      <w:tr w14:paraId="3684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086E336B">
            <w:pPr>
              <w:pStyle w:val="48"/>
              <w:rPr>
                <w:rStyle w:val="27"/>
                <w:color w:val="auto"/>
                <w:highlight w:val="none"/>
              </w:rPr>
            </w:pPr>
          </w:p>
        </w:tc>
        <w:tc>
          <w:tcPr>
            <w:tcW w:w="2357" w:type="dxa"/>
            <w:noWrap w:val="0"/>
            <w:vAlign w:val="top"/>
          </w:tcPr>
          <w:p w14:paraId="258821C0">
            <w:pPr>
              <w:pStyle w:val="48"/>
              <w:rPr>
                <w:rStyle w:val="27"/>
                <w:color w:val="auto"/>
                <w:highlight w:val="none"/>
              </w:rPr>
            </w:pPr>
          </w:p>
        </w:tc>
        <w:tc>
          <w:tcPr>
            <w:tcW w:w="2356" w:type="dxa"/>
            <w:noWrap w:val="0"/>
            <w:vAlign w:val="top"/>
          </w:tcPr>
          <w:p w14:paraId="247E97C2">
            <w:pPr>
              <w:pStyle w:val="48"/>
              <w:rPr>
                <w:rStyle w:val="27"/>
                <w:color w:val="auto"/>
                <w:highlight w:val="none"/>
              </w:rPr>
            </w:pPr>
          </w:p>
        </w:tc>
        <w:tc>
          <w:tcPr>
            <w:tcW w:w="2357" w:type="dxa"/>
            <w:noWrap w:val="0"/>
            <w:vAlign w:val="top"/>
          </w:tcPr>
          <w:p w14:paraId="12702E00">
            <w:pPr>
              <w:pStyle w:val="48"/>
              <w:rPr>
                <w:rStyle w:val="27"/>
                <w:color w:val="auto"/>
                <w:highlight w:val="none"/>
              </w:rPr>
            </w:pPr>
          </w:p>
        </w:tc>
      </w:tr>
      <w:tr w14:paraId="7775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35E81E09">
            <w:pPr>
              <w:pStyle w:val="48"/>
              <w:rPr>
                <w:rStyle w:val="27"/>
                <w:color w:val="auto"/>
                <w:highlight w:val="none"/>
              </w:rPr>
            </w:pPr>
          </w:p>
        </w:tc>
        <w:tc>
          <w:tcPr>
            <w:tcW w:w="2357" w:type="dxa"/>
            <w:noWrap w:val="0"/>
            <w:vAlign w:val="top"/>
          </w:tcPr>
          <w:p w14:paraId="1419A1F5">
            <w:pPr>
              <w:pStyle w:val="48"/>
              <w:rPr>
                <w:rStyle w:val="27"/>
                <w:color w:val="auto"/>
                <w:highlight w:val="none"/>
              </w:rPr>
            </w:pPr>
          </w:p>
        </w:tc>
        <w:tc>
          <w:tcPr>
            <w:tcW w:w="2356" w:type="dxa"/>
            <w:noWrap w:val="0"/>
            <w:vAlign w:val="top"/>
          </w:tcPr>
          <w:p w14:paraId="6B720F19">
            <w:pPr>
              <w:pStyle w:val="48"/>
              <w:rPr>
                <w:rStyle w:val="27"/>
                <w:color w:val="auto"/>
                <w:highlight w:val="none"/>
              </w:rPr>
            </w:pPr>
          </w:p>
        </w:tc>
        <w:tc>
          <w:tcPr>
            <w:tcW w:w="2357" w:type="dxa"/>
            <w:noWrap w:val="0"/>
            <w:vAlign w:val="top"/>
          </w:tcPr>
          <w:p w14:paraId="57851EA7">
            <w:pPr>
              <w:pStyle w:val="48"/>
              <w:rPr>
                <w:rStyle w:val="27"/>
                <w:color w:val="auto"/>
                <w:highlight w:val="none"/>
              </w:rPr>
            </w:pPr>
          </w:p>
        </w:tc>
      </w:tr>
    </w:tbl>
    <w:p w14:paraId="0C38C490">
      <w:pPr>
        <w:pStyle w:val="48"/>
        <w:bidi w:val="0"/>
        <w:rPr>
          <w:rStyle w:val="27"/>
          <w:color w:val="auto"/>
          <w:highlight w:val="none"/>
        </w:rPr>
      </w:pPr>
    </w:p>
    <w:p w14:paraId="149B14D6">
      <w:pPr>
        <w:jc w:val="center"/>
        <w:outlineLvl w:val="9"/>
        <w:rPr>
          <w:rFonts w:hint="eastAsia" w:ascii="宋体" w:hAnsi="宋体" w:eastAsia="宋体" w:cs="宋体"/>
          <w:b/>
          <w:bCs/>
          <w:color w:val="auto"/>
          <w:kern w:val="0"/>
          <w:sz w:val="32"/>
          <w:szCs w:val="32"/>
        </w:rPr>
      </w:pPr>
    </w:p>
    <w:p w14:paraId="798AC036">
      <w:pPr>
        <w:jc w:val="center"/>
        <w:outlineLvl w:val="9"/>
        <w:rPr>
          <w:rFonts w:hint="eastAsia" w:ascii="宋体" w:hAnsi="宋体" w:eastAsia="宋体" w:cs="宋体"/>
          <w:b/>
          <w:bCs/>
          <w:color w:val="auto"/>
          <w:kern w:val="0"/>
          <w:sz w:val="32"/>
          <w:szCs w:val="32"/>
        </w:rPr>
      </w:pPr>
    </w:p>
    <w:p w14:paraId="195F3E81">
      <w:pPr>
        <w:jc w:val="center"/>
        <w:outlineLvl w:val="9"/>
        <w:rPr>
          <w:rFonts w:hint="eastAsia" w:ascii="宋体" w:hAnsi="宋体" w:eastAsia="宋体" w:cs="宋体"/>
          <w:b/>
          <w:bCs/>
          <w:color w:val="auto"/>
          <w:kern w:val="0"/>
          <w:sz w:val="32"/>
          <w:szCs w:val="32"/>
        </w:rPr>
      </w:pPr>
    </w:p>
    <w:p w14:paraId="38BBE179">
      <w:pPr>
        <w:jc w:val="center"/>
        <w:outlineLvl w:val="9"/>
        <w:rPr>
          <w:rFonts w:hint="eastAsia" w:ascii="宋体" w:hAnsi="宋体" w:eastAsia="宋体" w:cs="宋体"/>
          <w:b/>
          <w:bCs/>
          <w:color w:val="auto"/>
          <w:kern w:val="0"/>
          <w:sz w:val="32"/>
          <w:szCs w:val="32"/>
        </w:rPr>
      </w:pPr>
    </w:p>
    <w:p w14:paraId="622AF985">
      <w:pPr>
        <w:jc w:val="center"/>
        <w:outlineLvl w:val="9"/>
        <w:rPr>
          <w:rFonts w:hint="eastAsia" w:ascii="宋体" w:hAnsi="宋体" w:eastAsia="宋体" w:cs="宋体"/>
          <w:b/>
          <w:bCs/>
          <w:color w:val="auto"/>
          <w:kern w:val="0"/>
          <w:sz w:val="32"/>
          <w:szCs w:val="32"/>
        </w:rPr>
      </w:pPr>
    </w:p>
    <w:p w14:paraId="0C53745F">
      <w:pPr>
        <w:jc w:val="center"/>
        <w:outlineLvl w:val="9"/>
        <w:rPr>
          <w:rFonts w:hint="eastAsia" w:ascii="宋体" w:hAnsi="宋体" w:eastAsia="宋体" w:cs="宋体"/>
          <w:b/>
          <w:bCs/>
          <w:color w:val="auto"/>
          <w:kern w:val="0"/>
          <w:sz w:val="32"/>
          <w:szCs w:val="32"/>
        </w:rPr>
      </w:pPr>
    </w:p>
    <w:p w14:paraId="0D23D3A9">
      <w:pPr>
        <w:pStyle w:val="34"/>
        <w:rPr>
          <w:rFonts w:hint="eastAsia"/>
          <w:color w:val="auto"/>
        </w:rPr>
      </w:pPr>
    </w:p>
    <w:p w14:paraId="434E0C5A">
      <w:pPr>
        <w:jc w:val="center"/>
        <w:outlineLvl w:val="0"/>
        <w:rPr>
          <w:rFonts w:hint="eastAsia" w:ascii="宋体" w:hAnsi="宋体" w:eastAsia="宋体" w:cs="宋体"/>
          <w:b/>
          <w:bCs/>
          <w:color w:val="auto"/>
          <w:kern w:val="0"/>
          <w:sz w:val="32"/>
          <w:szCs w:val="32"/>
        </w:rPr>
      </w:pPr>
      <w:bookmarkStart w:id="133" w:name="_Toc25457"/>
    </w:p>
    <w:p w14:paraId="689206E7">
      <w:pPr>
        <w:jc w:val="center"/>
        <w:outlineLvl w:val="0"/>
        <w:rPr>
          <w:rFonts w:hint="eastAsia" w:ascii="宋体" w:hAnsi="宋体" w:eastAsia="宋体" w:cs="宋体"/>
          <w:b/>
          <w:bCs/>
          <w:color w:val="auto"/>
          <w:kern w:val="0"/>
          <w:sz w:val="32"/>
          <w:szCs w:val="32"/>
        </w:rPr>
      </w:pPr>
    </w:p>
    <w:p w14:paraId="3818CC08">
      <w:pPr>
        <w:jc w:val="center"/>
        <w:outlineLvl w:val="0"/>
        <w:rPr>
          <w:rFonts w:hint="eastAsia" w:ascii="宋体" w:hAnsi="宋体" w:eastAsia="宋体" w:cs="宋体"/>
          <w:b/>
          <w:bCs/>
          <w:color w:val="auto"/>
          <w:kern w:val="0"/>
          <w:sz w:val="32"/>
          <w:szCs w:val="32"/>
        </w:rPr>
      </w:pPr>
    </w:p>
    <w:p w14:paraId="2FAB95E9">
      <w:pPr>
        <w:jc w:val="center"/>
        <w:outlineLvl w:val="0"/>
        <w:rPr>
          <w:rFonts w:hint="eastAsia" w:ascii="宋体" w:hAnsi="宋体" w:eastAsia="宋体" w:cs="宋体"/>
          <w:color w:val="auto"/>
          <w:sz w:val="24"/>
        </w:rPr>
        <w:sectPr>
          <w:headerReference r:id="rId10" w:type="default"/>
          <w:footerReference r:id="rId11" w:type="default"/>
          <w:pgSz w:w="11906" w:h="16838"/>
          <w:pgMar w:top="1134" w:right="1134" w:bottom="1134" w:left="1134" w:header="720" w:footer="720" w:gutter="0"/>
          <w:pgNumType w:fmt="decimal"/>
          <w:cols w:space="720" w:num="1"/>
          <w:docGrid w:type="lines" w:linePitch="312" w:charSpace="0"/>
        </w:sectPr>
      </w:pPr>
      <w:bookmarkStart w:id="134" w:name="_Toc2654"/>
      <w:r>
        <w:rPr>
          <w:rFonts w:hint="eastAsia" w:ascii="宋体" w:hAnsi="宋体" w:eastAsia="宋体" w:cs="宋体"/>
          <w:b/>
          <w:bCs/>
          <w:color w:val="auto"/>
          <w:kern w:val="0"/>
          <w:sz w:val="32"/>
          <w:szCs w:val="32"/>
        </w:rPr>
        <w:t>项目管理机构</w:t>
      </w:r>
      <w:bookmarkEnd w:id="132"/>
      <w:bookmarkEnd w:id="133"/>
      <w:bookmarkEnd w:id="134"/>
    </w:p>
    <w:p w14:paraId="4516DD10">
      <w:pPr>
        <w:jc w:val="both"/>
        <w:rPr>
          <w:rFonts w:hint="eastAsia" w:ascii="宋体" w:hAnsi="宋体" w:eastAsia="宋体" w:cs="宋体"/>
          <w:b/>
          <w:color w:val="auto"/>
          <w:sz w:val="28"/>
        </w:rPr>
      </w:pPr>
    </w:p>
    <w:p w14:paraId="0C85552A">
      <w:pPr>
        <w:ind w:firstLine="3373" w:firstLineChars="1200"/>
        <w:jc w:val="both"/>
        <w:rPr>
          <w:rFonts w:hint="eastAsia" w:ascii="宋体" w:hAnsi="宋体" w:eastAsia="宋体" w:cs="宋体"/>
          <w:b/>
          <w:color w:val="auto"/>
          <w:sz w:val="28"/>
        </w:rPr>
      </w:pPr>
      <w:r>
        <w:rPr>
          <w:rFonts w:hint="eastAsia" w:ascii="宋体" w:hAnsi="宋体" w:eastAsia="宋体" w:cs="宋体"/>
          <w:b/>
          <w:color w:val="auto"/>
          <w:sz w:val="28"/>
        </w:rPr>
        <w:t>项目管理机构配备情况表</w:t>
      </w:r>
    </w:p>
    <w:p w14:paraId="342D926D">
      <w:pPr>
        <w:spacing w:line="600" w:lineRule="exact"/>
        <w:rPr>
          <w:rFonts w:hint="eastAsia" w:ascii="宋体" w:hAnsi="宋体" w:eastAsia="宋体" w:cs="宋体"/>
          <w:b/>
          <w:color w:val="auto"/>
          <w:sz w:val="24"/>
        </w:rPr>
      </w:pPr>
      <w:r>
        <w:rPr>
          <w:rFonts w:hint="eastAsia" w:ascii="宋体" w:hAnsi="宋体" w:eastAsia="宋体" w:cs="宋体"/>
          <w:color w:val="auto"/>
          <w:spacing w:val="20"/>
          <w:kern w:val="0"/>
          <w:sz w:val="24"/>
          <w:u w:val="single"/>
        </w:rPr>
        <w:t xml:space="preserve">       （项目名称）      </w:t>
      </w:r>
      <w:r>
        <w:rPr>
          <w:rFonts w:hint="eastAsia" w:ascii="宋体" w:hAnsi="宋体" w:eastAsia="宋体" w:cs="宋体"/>
          <w:color w:val="auto"/>
          <w:spacing w:val="20"/>
          <w:kern w:val="0"/>
          <w:sz w:val="24"/>
        </w:rPr>
        <w:t xml:space="preserve">工程    </w:t>
      </w:r>
      <w:r>
        <w:rPr>
          <w:rFonts w:hint="eastAsia" w:ascii="宋体" w:hAnsi="宋体" w:eastAsia="宋体" w:cs="宋体"/>
          <w:color w:val="auto"/>
          <w:sz w:val="24"/>
        </w:rPr>
        <w:t xml:space="preserve">                </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1041"/>
        <w:gridCol w:w="1041"/>
        <w:gridCol w:w="1041"/>
        <w:gridCol w:w="1041"/>
        <w:gridCol w:w="1170"/>
        <w:gridCol w:w="1170"/>
      </w:tblGrid>
      <w:tr w14:paraId="58B3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8" w:type="dxa"/>
            <w:vMerge w:val="restart"/>
            <w:noWrap w:val="0"/>
            <w:vAlign w:val="center"/>
          </w:tcPr>
          <w:p w14:paraId="0FBA53B8">
            <w:pPr>
              <w:jc w:val="center"/>
              <w:rPr>
                <w:rFonts w:hint="eastAsia" w:ascii="宋体" w:hAnsi="宋体" w:eastAsia="宋体" w:cs="宋体"/>
                <w:b/>
                <w:color w:val="auto"/>
                <w:sz w:val="24"/>
              </w:rPr>
            </w:pPr>
            <w:r>
              <w:rPr>
                <w:rFonts w:hint="eastAsia" w:ascii="宋体" w:hAnsi="宋体" w:eastAsia="宋体" w:cs="宋体"/>
                <w:b/>
                <w:color w:val="auto"/>
                <w:sz w:val="24"/>
              </w:rPr>
              <w:t>职务</w:t>
            </w:r>
          </w:p>
        </w:tc>
        <w:tc>
          <w:tcPr>
            <w:tcW w:w="928" w:type="dxa"/>
            <w:vMerge w:val="restart"/>
            <w:noWrap w:val="0"/>
            <w:vAlign w:val="center"/>
          </w:tcPr>
          <w:p w14:paraId="1A9AEAF1">
            <w:pPr>
              <w:jc w:val="center"/>
              <w:rPr>
                <w:rFonts w:hint="eastAsia" w:ascii="宋体" w:hAnsi="宋体" w:eastAsia="宋体" w:cs="宋体"/>
                <w:b/>
                <w:color w:val="auto"/>
                <w:sz w:val="24"/>
              </w:rPr>
            </w:pPr>
            <w:r>
              <w:rPr>
                <w:rFonts w:hint="eastAsia" w:ascii="宋体" w:hAnsi="宋体" w:eastAsia="宋体" w:cs="宋体"/>
                <w:b/>
                <w:color w:val="auto"/>
                <w:sz w:val="24"/>
              </w:rPr>
              <w:t>姓名</w:t>
            </w:r>
          </w:p>
        </w:tc>
        <w:tc>
          <w:tcPr>
            <w:tcW w:w="928" w:type="dxa"/>
            <w:vMerge w:val="restart"/>
            <w:noWrap w:val="0"/>
            <w:vAlign w:val="center"/>
          </w:tcPr>
          <w:p w14:paraId="76CA2B2E">
            <w:pPr>
              <w:jc w:val="center"/>
              <w:rPr>
                <w:rFonts w:hint="eastAsia" w:ascii="宋体" w:hAnsi="宋体" w:eastAsia="宋体" w:cs="宋体"/>
                <w:b/>
                <w:color w:val="auto"/>
                <w:sz w:val="24"/>
              </w:rPr>
            </w:pPr>
            <w:r>
              <w:rPr>
                <w:rFonts w:hint="eastAsia" w:ascii="宋体" w:hAnsi="宋体" w:eastAsia="宋体" w:cs="宋体"/>
                <w:b/>
                <w:color w:val="auto"/>
                <w:sz w:val="24"/>
              </w:rPr>
              <w:t>职称</w:t>
            </w:r>
          </w:p>
        </w:tc>
        <w:tc>
          <w:tcPr>
            <w:tcW w:w="4164" w:type="dxa"/>
            <w:gridSpan w:val="4"/>
            <w:noWrap w:val="0"/>
            <w:vAlign w:val="center"/>
          </w:tcPr>
          <w:p w14:paraId="19EEBB09">
            <w:pPr>
              <w:jc w:val="center"/>
              <w:rPr>
                <w:rFonts w:hint="eastAsia" w:ascii="宋体" w:hAnsi="宋体" w:eastAsia="宋体" w:cs="宋体"/>
                <w:b/>
                <w:color w:val="auto"/>
                <w:sz w:val="24"/>
              </w:rPr>
            </w:pPr>
            <w:r>
              <w:rPr>
                <w:rFonts w:hint="eastAsia" w:ascii="宋体" w:hAnsi="宋体" w:eastAsia="宋体" w:cs="宋体"/>
                <w:b/>
                <w:color w:val="auto"/>
                <w:sz w:val="24"/>
              </w:rPr>
              <w:t>执业或职业资格证明</w:t>
            </w:r>
          </w:p>
        </w:tc>
        <w:tc>
          <w:tcPr>
            <w:tcW w:w="2340" w:type="dxa"/>
            <w:gridSpan w:val="2"/>
            <w:noWrap w:val="0"/>
            <w:vAlign w:val="center"/>
          </w:tcPr>
          <w:p w14:paraId="7322BB5E">
            <w:pPr>
              <w:jc w:val="center"/>
              <w:rPr>
                <w:rFonts w:hint="eastAsia" w:ascii="宋体" w:hAnsi="宋体" w:eastAsia="宋体" w:cs="宋体"/>
                <w:b/>
                <w:color w:val="auto"/>
                <w:sz w:val="24"/>
              </w:rPr>
            </w:pPr>
            <w:r>
              <w:rPr>
                <w:rFonts w:hint="eastAsia" w:ascii="宋体" w:hAnsi="宋体" w:eastAsia="宋体" w:cs="宋体"/>
                <w:b/>
                <w:color w:val="auto"/>
                <w:sz w:val="24"/>
              </w:rPr>
              <w:t>已承担在建</w:t>
            </w:r>
          </w:p>
          <w:p w14:paraId="2660FDD1">
            <w:pPr>
              <w:jc w:val="center"/>
              <w:rPr>
                <w:rFonts w:hint="eastAsia" w:ascii="宋体" w:hAnsi="宋体" w:eastAsia="宋体" w:cs="宋体"/>
                <w:b/>
                <w:color w:val="auto"/>
                <w:sz w:val="24"/>
              </w:rPr>
            </w:pPr>
            <w:r>
              <w:rPr>
                <w:rFonts w:hint="eastAsia" w:ascii="宋体" w:hAnsi="宋体" w:eastAsia="宋体" w:cs="宋体"/>
                <w:b/>
                <w:color w:val="auto"/>
                <w:sz w:val="24"/>
              </w:rPr>
              <w:t>工程情况</w:t>
            </w:r>
          </w:p>
        </w:tc>
      </w:tr>
      <w:tr w14:paraId="5537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8" w:type="dxa"/>
            <w:vMerge w:val="continue"/>
            <w:noWrap w:val="0"/>
            <w:vAlign w:val="center"/>
          </w:tcPr>
          <w:p w14:paraId="25220524">
            <w:pPr>
              <w:rPr>
                <w:rFonts w:hint="eastAsia" w:ascii="宋体" w:hAnsi="宋体" w:eastAsia="宋体" w:cs="宋体"/>
                <w:color w:val="auto"/>
              </w:rPr>
            </w:pPr>
          </w:p>
        </w:tc>
        <w:tc>
          <w:tcPr>
            <w:tcW w:w="928" w:type="dxa"/>
            <w:vMerge w:val="continue"/>
            <w:noWrap w:val="0"/>
            <w:vAlign w:val="center"/>
          </w:tcPr>
          <w:p w14:paraId="0D8E09C9">
            <w:pPr>
              <w:rPr>
                <w:rFonts w:hint="eastAsia" w:ascii="宋体" w:hAnsi="宋体" w:eastAsia="宋体" w:cs="宋体"/>
                <w:color w:val="auto"/>
              </w:rPr>
            </w:pPr>
          </w:p>
        </w:tc>
        <w:tc>
          <w:tcPr>
            <w:tcW w:w="928" w:type="dxa"/>
            <w:vMerge w:val="continue"/>
            <w:noWrap w:val="0"/>
            <w:vAlign w:val="center"/>
          </w:tcPr>
          <w:p w14:paraId="411D1A8E">
            <w:pPr>
              <w:rPr>
                <w:rFonts w:hint="eastAsia" w:ascii="宋体" w:hAnsi="宋体" w:eastAsia="宋体" w:cs="宋体"/>
                <w:color w:val="auto"/>
              </w:rPr>
            </w:pPr>
          </w:p>
        </w:tc>
        <w:tc>
          <w:tcPr>
            <w:tcW w:w="1041" w:type="dxa"/>
            <w:noWrap w:val="0"/>
            <w:vAlign w:val="center"/>
          </w:tcPr>
          <w:p w14:paraId="4F21C280">
            <w:pPr>
              <w:jc w:val="center"/>
              <w:rPr>
                <w:rFonts w:hint="eastAsia" w:ascii="宋体" w:hAnsi="宋体" w:eastAsia="宋体" w:cs="宋体"/>
                <w:b/>
                <w:color w:val="auto"/>
                <w:sz w:val="24"/>
              </w:rPr>
            </w:pPr>
            <w:r>
              <w:rPr>
                <w:rFonts w:hint="eastAsia" w:ascii="宋体" w:hAnsi="宋体" w:eastAsia="宋体" w:cs="宋体"/>
                <w:b/>
                <w:color w:val="auto"/>
                <w:sz w:val="24"/>
              </w:rPr>
              <w:t>证书</w:t>
            </w:r>
          </w:p>
          <w:p w14:paraId="099A6875">
            <w:pPr>
              <w:jc w:val="center"/>
              <w:rPr>
                <w:rFonts w:hint="eastAsia" w:ascii="宋体" w:hAnsi="宋体" w:eastAsia="宋体" w:cs="宋体"/>
                <w:b/>
                <w:color w:val="auto"/>
                <w:sz w:val="24"/>
              </w:rPr>
            </w:pPr>
            <w:r>
              <w:rPr>
                <w:rFonts w:hint="eastAsia" w:ascii="宋体" w:hAnsi="宋体" w:eastAsia="宋体" w:cs="宋体"/>
                <w:b/>
                <w:color w:val="auto"/>
                <w:sz w:val="24"/>
              </w:rPr>
              <w:t>名称</w:t>
            </w:r>
          </w:p>
        </w:tc>
        <w:tc>
          <w:tcPr>
            <w:tcW w:w="1041" w:type="dxa"/>
            <w:noWrap w:val="0"/>
            <w:vAlign w:val="center"/>
          </w:tcPr>
          <w:p w14:paraId="59A187E3">
            <w:pPr>
              <w:jc w:val="center"/>
              <w:rPr>
                <w:rFonts w:hint="eastAsia" w:ascii="宋体" w:hAnsi="宋体" w:eastAsia="宋体" w:cs="宋体"/>
                <w:b/>
                <w:color w:val="auto"/>
                <w:sz w:val="24"/>
              </w:rPr>
            </w:pPr>
            <w:r>
              <w:rPr>
                <w:rFonts w:hint="eastAsia" w:ascii="宋体" w:hAnsi="宋体" w:eastAsia="宋体" w:cs="宋体"/>
                <w:b/>
                <w:color w:val="auto"/>
                <w:sz w:val="24"/>
              </w:rPr>
              <w:t>级别</w:t>
            </w:r>
          </w:p>
        </w:tc>
        <w:tc>
          <w:tcPr>
            <w:tcW w:w="1041" w:type="dxa"/>
            <w:noWrap w:val="0"/>
            <w:vAlign w:val="center"/>
          </w:tcPr>
          <w:p w14:paraId="56218016">
            <w:pPr>
              <w:jc w:val="center"/>
              <w:rPr>
                <w:rFonts w:hint="eastAsia" w:ascii="宋体" w:hAnsi="宋体" w:eastAsia="宋体" w:cs="宋体"/>
                <w:b/>
                <w:color w:val="auto"/>
                <w:sz w:val="24"/>
              </w:rPr>
            </w:pPr>
            <w:r>
              <w:rPr>
                <w:rFonts w:hint="eastAsia" w:ascii="宋体" w:hAnsi="宋体" w:eastAsia="宋体" w:cs="宋体"/>
                <w:b/>
                <w:color w:val="auto"/>
                <w:sz w:val="24"/>
              </w:rPr>
              <w:t>证号</w:t>
            </w:r>
          </w:p>
        </w:tc>
        <w:tc>
          <w:tcPr>
            <w:tcW w:w="1041" w:type="dxa"/>
            <w:noWrap w:val="0"/>
            <w:vAlign w:val="center"/>
          </w:tcPr>
          <w:p w14:paraId="61ADFF79">
            <w:pPr>
              <w:jc w:val="center"/>
              <w:rPr>
                <w:rFonts w:hint="eastAsia" w:ascii="宋体" w:hAnsi="宋体" w:eastAsia="宋体" w:cs="宋体"/>
                <w:b/>
                <w:color w:val="auto"/>
                <w:sz w:val="24"/>
              </w:rPr>
            </w:pPr>
            <w:r>
              <w:rPr>
                <w:rFonts w:hint="eastAsia" w:ascii="宋体" w:hAnsi="宋体" w:eastAsia="宋体" w:cs="宋体"/>
                <w:b/>
                <w:color w:val="auto"/>
                <w:sz w:val="24"/>
              </w:rPr>
              <w:t>专业</w:t>
            </w:r>
          </w:p>
        </w:tc>
        <w:tc>
          <w:tcPr>
            <w:tcW w:w="1170" w:type="dxa"/>
            <w:noWrap w:val="0"/>
            <w:vAlign w:val="center"/>
          </w:tcPr>
          <w:p w14:paraId="20B323D0">
            <w:pPr>
              <w:jc w:val="center"/>
              <w:rPr>
                <w:rFonts w:hint="eastAsia" w:ascii="宋体" w:hAnsi="宋体" w:eastAsia="宋体" w:cs="宋体"/>
                <w:b/>
                <w:color w:val="auto"/>
                <w:sz w:val="24"/>
              </w:rPr>
            </w:pPr>
            <w:r>
              <w:rPr>
                <w:rFonts w:hint="eastAsia" w:ascii="宋体" w:hAnsi="宋体" w:eastAsia="宋体" w:cs="宋体"/>
                <w:b/>
                <w:color w:val="auto"/>
                <w:sz w:val="24"/>
              </w:rPr>
              <w:t>项目数</w:t>
            </w:r>
          </w:p>
        </w:tc>
        <w:tc>
          <w:tcPr>
            <w:tcW w:w="1170" w:type="dxa"/>
            <w:noWrap w:val="0"/>
            <w:vAlign w:val="center"/>
          </w:tcPr>
          <w:p w14:paraId="34C2916D">
            <w:pPr>
              <w:jc w:val="center"/>
              <w:rPr>
                <w:rFonts w:hint="eastAsia" w:ascii="宋体" w:hAnsi="宋体" w:eastAsia="宋体" w:cs="宋体"/>
                <w:b/>
                <w:color w:val="auto"/>
                <w:sz w:val="24"/>
              </w:rPr>
            </w:pPr>
            <w:r>
              <w:rPr>
                <w:rFonts w:hint="eastAsia" w:ascii="宋体" w:hAnsi="宋体" w:eastAsia="宋体" w:cs="宋体"/>
                <w:b/>
                <w:color w:val="auto"/>
                <w:sz w:val="24"/>
              </w:rPr>
              <w:t>主要项目名称</w:t>
            </w:r>
          </w:p>
        </w:tc>
      </w:tr>
      <w:tr w14:paraId="0D31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44926A9B">
            <w:pPr>
              <w:jc w:val="center"/>
              <w:rPr>
                <w:rFonts w:hint="eastAsia" w:ascii="宋体" w:hAnsi="宋体" w:eastAsia="宋体" w:cs="宋体"/>
                <w:bCs/>
                <w:color w:val="auto"/>
                <w:sz w:val="24"/>
              </w:rPr>
            </w:pPr>
            <w:r>
              <w:rPr>
                <w:rFonts w:hint="eastAsia" w:ascii="宋体" w:hAnsi="宋体" w:eastAsia="宋体" w:cs="宋体"/>
                <w:bCs/>
                <w:color w:val="auto"/>
                <w:sz w:val="24"/>
              </w:rPr>
              <w:t>项目经理</w:t>
            </w:r>
          </w:p>
        </w:tc>
        <w:tc>
          <w:tcPr>
            <w:tcW w:w="928" w:type="dxa"/>
            <w:noWrap w:val="0"/>
            <w:vAlign w:val="center"/>
          </w:tcPr>
          <w:p w14:paraId="22D11581">
            <w:pPr>
              <w:jc w:val="center"/>
              <w:rPr>
                <w:rFonts w:hint="eastAsia" w:ascii="宋体" w:hAnsi="宋体" w:eastAsia="宋体" w:cs="宋体"/>
                <w:b/>
                <w:color w:val="auto"/>
                <w:sz w:val="24"/>
              </w:rPr>
            </w:pPr>
          </w:p>
        </w:tc>
        <w:tc>
          <w:tcPr>
            <w:tcW w:w="928" w:type="dxa"/>
            <w:noWrap w:val="0"/>
            <w:vAlign w:val="center"/>
          </w:tcPr>
          <w:p w14:paraId="522B9614">
            <w:pPr>
              <w:jc w:val="center"/>
              <w:rPr>
                <w:rFonts w:hint="eastAsia" w:ascii="宋体" w:hAnsi="宋体" w:eastAsia="宋体" w:cs="宋体"/>
                <w:b/>
                <w:color w:val="auto"/>
                <w:sz w:val="24"/>
              </w:rPr>
            </w:pPr>
          </w:p>
        </w:tc>
        <w:tc>
          <w:tcPr>
            <w:tcW w:w="1041" w:type="dxa"/>
            <w:noWrap w:val="0"/>
            <w:vAlign w:val="center"/>
          </w:tcPr>
          <w:p w14:paraId="767878AB">
            <w:pPr>
              <w:jc w:val="center"/>
              <w:rPr>
                <w:rFonts w:hint="eastAsia" w:ascii="宋体" w:hAnsi="宋体" w:eastAsia="宋体" w:cs="宋体"/>
                <w:b/>
                <w:color w:val="auto"/>
                <w:sz w:val="24"/>
              </w:rPr>
            </w:pPr>
          </w:p>
        </w:tc>
        <w:tc>
          <w:tcPr>
            <w:tcW w:w="1041" w:type="dxa"/>
            <w:noWrap w:val="0"/>
            <w:vAlign w:val="center"/>
          </w:tcPr>
          <w:p w14:paraId="4352F8A8">
            <w:pPr>
              <w:jc w:val="center"/>
              <w:rPr>
                <w:rFonts w:hint="eastAsia" w:ascii="宋体" w:hAnsi="宋体" w:eastAsia="宋体" w:cs="宋体"/>
                <w:b/>
                <w:color w:val="auto"/>
                <w:sz w:val="24"/>
              </w:rPr>
            </w:pPr>
          </w:p>
        </w:tc>
        <w:tc>
          <w:tcPr>
            <w:tcW w:w="1041" w:type="dxa"/>
            <w:noWrap w:val="0"/>
            <w:vAlign w:val="center"/>
          </w:tcPr>
          <w:p w14:paraId="47463DA1">
            <w:pPr>
              <w:jc w:val="center"/>
              <w:rPr>
                <w:rFonts w:hint="eastAsia" w:ascii="宋体" w:hAnsi="宋体" w:eastAsia="宋体" w:cs="宋体"/>
                <w:b/>
                <w:color w:val="auto"/>
                <w:sz w:val="24"/>
              </w:rPr>
            </w:pPr>
          </w:p>
        </w:tc>
        <w:tc>
          <w:tcPr>
            <w:tcW w:w="1041" w:type="dxa"/>
            <w:noWrap w:val="0"/>
            <w:vAlign w:val="center"/>
          </w:tcPr>
          <w:p w14:paraId="0FE97C3C">
            <w:pPr>
              <w:jc w:val="center"/>
              <w:rPr>
                <w:rFonts w:hint="eastAsia" w:ascii="宋体" w:hAnsi="宋体" w:eastAsia="宋体" w:cs="宋体"/>
                <w:b/>
                <w:color w:val="auto"/>
                <w:sz w:val="24"/>
              </w:rPr>
            </w:pPr>
          </w:p>
        </w:tc>
        <w:tc>
          <w:tcPr>
            <w:tcW w:w="1170" w:type="dxa"/>
            <w:noWrap w:val="0"/>
            <w:vAlign w:val="center"/>
          </w:tcPr>
          <w:p w14:paraId="4686F379">
            <w:pPr>
              <w:jc w:val="center"/>
              <w:rPr>
                <w:rFonts w:hint="eastAsia" w:ascii="宋体" w:hAnsi="宋体" w:eastAsia="宋体" w:cs="宋体"/>
                <w:b/>
                <w:color w:val="auto"/>
                <w:sz w:val="24"/>
              </w:rPr>
            </w:pPr>
          </w:p>
        </w:tc>
        <w:tc>
          <w:tcPr>
            <w:tcW w:w="1170" w:type="dxa"/>
            <w:noWrap w:val="0"/>
            <w:vAlign w:val="center"/>
          </w:tcPr>
          <w:p w14:paraId="0FC4D800">
            <w:pPr>
              <w:jc w:val="center"/>
              <w:rPr>
                <w:rFonts w:hint="eastAsia" w:ascii="宋体" w:hAnsi="宋体" w:eastAsia="宋体" w:cs="宋体"/>
                <w:b/>
                <w:color w:val="auto"/>
                <w:sz w:val="24"/>
              </w:rPr>
            </w:pPr>
          </w:p>
        </w:tc>
      </w:tr>
      <w:tr w14:paraId="366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7B9C8B64">
            <w:pPr>
              <w:jc w:val="center"/>
              <w:rPr>
                <w:rFonts w:hint="eastAsia" w:ascii="宋体" w:hAnsi="宋体" w:eastAsia="宋体" w:cs="宋体"/>
                <w:bCs/>
                <w:color w:val="auto"/>
                <w:sz w:val="24"/>
              </w:rPr>
            </w:pPr>
            <w:r>
              <w:rPr>
                <w:rFonts w:hint="eastAsia" w:ascii="宋体" w:hAnsi="宋体" w:eastAsia="宋体" w:cs="宋体"/>
                <w:bCs/>
                <w:color w:val="auto"/>
                <w:sz w:val="24"/>
              </w:rPr>
              <w:t>项目技术负责人</w:t>
            </w:r>
          </w:p>
        </w:tc>
        <w:tc>
          <w:tcPr>
            <w:tcW w:w="928" w:type="dxa"/>
            <w:noWrap w:val="0"/>
            <w:vAlign w:val="center"/>
          </w:tcPr>
          <w:p w14:paraId="37538BC1">
            <w:pPr>
              <w:jc w:val="center"/>
              <w:rPr>
                <w:rFonts w:hint="eastAsia" w:ascii="宋体" w:hAnsi="宋体" w:eastAsia="宋体" w:cs="宋体"/>
                <w:b/>
                <w:color w:val="auto"/>
                <w:sz w:val="24"/>
              </w:rPr>
            </w:pPr>
          </w:p>
        </w:tc>
        <w:tc>
          <w:tcPr>
            <w:tcW w:w="928" w:type="dxa"/>
            <w:noWrap w:val="0"/>
            <w:vAlign w:val="center"/>
          </w:tcPr>
          <w:p w14:paraId="0164C920">
            <w:pPr>
              <w:jc w:val="center"/>
              <w:rPr>
                <w:rFonts w:hint="eastAsia" w:ascii="宋体" w:hAnsi="宋体" w:eastAsia="宋体" w:cs="宋体"/>
                <w:b/>
                <w:color w:val="auto"/>
                <w:sz w:val="24"/>
              </w:rPr>
            </w:pPr>
          </w:p>
        </w:tc>
        <w:tc>
          <w:tcPr>
            <w:tcW w:w="1041" w:type="dxa"/>
            <w:noWrap w:val="0"/>
            <w:vAlign w:val="center"/>
          </w:tcPr>
          <w:p w14:paraId="4AAFC546">
            <w:pPr>
              <w:jc w:val="center"/>
              <w:rPr>
                <w:rFonts w:hint="eastAsia" w:ascii="宋体" w:hAnsi="宋体" w:eastAsia="宋体" w:cs="宋体"/>
                <w:b/>
                <w:color w:val="auto"/>
                <w:sz w:val="24"/>
              </w:rPr>
            </w:pPr>
          </w:p>
        </w:tc>
        <w:tc>
          <w:tcPr>
            <w:tcW w:w="1041" w:type="dxa"/>
            <w:noWrap w:val="0"/>
            <w:vAlign w:val="center"/>
          </w:tcPr>
          <w:p w14:paraId="346F2237">
            <w:pPr>
              <w:jc w:val="center"/>
              <w:rPr>
                <w:rFonts w:hint="eastAsia" w:ascii="宋体" w:hAnsi="宋体" w:eastAsia="宋体" w:cs="宋体"/>
                <w:b/>
                <w:color w:val="auto"/>
                <w:sz w:val="24"/>
              </w:rPr>
            </w:pPr>
          </w:p>
        </w:tc>
        <w:tc>
          <w:tcPr>
            <w:tcW w:w="1041" w:type="dxa"/>
            <w:noWrap w:val="0"/>
            <w:vAlign w:val="center"/>
          </w:tcPr>
          <w:p w14:paraId="3A2232E7">
            <w:pPr>
              <w:jc w:val="center"/>
              <w:rPr>
                <w:rFonts w:hint="eastAsia" w:ascii="宋体" w:hAnsi="宋体" w:eastAsia="宋体" w:cs="宋体"/>
                <w:b/>
                <w:color w:val="auto"/>
                <w:sz w:val="24"/>
              </w:rPr>
            </w:pPr>
          </w:p>
        </w:tc>
        <w:tc>
          <w:tcPr>
            <w:tcW w:w="1041" w:type="dxa"/>
            <w:noWrap w:val="0"/>
            <w:vAlign w:val="center"/>
          </w:tcPr>
          <w:p w14:paraId="73448F64">
            <w:pPr>
              <w:jc w:val="center"/>
              <w:rPr>
                <w:rFonts w:hint="eastAsia" w:ascii="宋体" w:hAnsi="宋体" w:eastAsia="宋体" w:cs="宋体"/>
                <w:b/>
                <w:color w:val="auto"/>
                <w:sz w:val="24"/>
              </w:rPr>
            </w:pPr>
          </w:p>
        </w:tc>
        <w:tc>
          <w:tcPr>
            <w:tcW w:w="1170" w:type="dxa"/>
            <w:noWrap w:val="0"/>
            <w:vAlign w:val="center"/>
          </w:tcPr>
          <w:p w14:paraId="58AEDB6C">
            <w:pPr>
              <w:jc w:val="center"/>
              <w:rPr>
                <w:rFonts w:hint="eastAsia" w:ascii="宋体" w:hAnsi="宋体" w:eastAsia="宋体" w:cs="宋体"/>
                <w:b/>
                <w:color w:val="auto"/>
                <w:sz w:val="24"/>
              </w:rPr>
            </w:pPr>
          </w:p>
        </w:tc>
        <w:tc>
          <w:tcPr>
            <w:tcW w:w="1170" w:type="dxa"/>
            <w:noWrap w:val="0"/>
            <w:vAlign w:val="center"/>
          </w:tcPr>
          <w:p w14:paraId="4A2FF519">
            <w:pPr>
              <w:jc w:val="center"/>
              <w:rPr>
                <w:rFonts w:hint="eastAsia" w:ascii="宋体" w:hAnsi="宋体" w:eastAsia="宋体" w:cs="宋体"/>
                <w:b/>
                <w:color w:val="auto"/>
                <w:sz w:val="24"/>
              </w:rPr>
            </w:pPr>
          </w:p>
        </w:tc>
      </w:tr>
      <w:tr w14:paraId="2BB5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0FE20F3">
            <w:pPr>
              <w:jc w:val="center"/>
              <w:rPr>
                <w:rFonts w:hint="eastAsia" w:ascii="宋体" w:hAnsi="宋体" w:eastAsia="宋体" w:cs="宋体"/>
                <w:bCs/>
                <w:color w:val="auto"/>
                <w:sz w:val="24"/>
              </w:rPr>
            </w:pPr>
            <w:r>
              <w:rPr>
                <w:rFonts w:hint="eastAsia" w:ascii="宋体" w:hAnsi="宋体" w:eastAsia="宋体" w:cs="宋体"/>
                <w:bCs/>
                <w:color w:val="auto"/>
                <w:sz w:val="24"/>
              </w:rPr>
              <w:t>施工员</w:t>
            </w:r>
          </w:p>
        </w:tc>
        <w:tc>
          <w:tcPr>
            <w:tcW w:w="928" w:type="dxa"/>
            <w:noWrap w:val="0"/>
            <w:vAlign w:val="center"/>
          </w:tcPr>
          <w:p w14:paraId="1D90EE4D">
            <w:pPr>
              <w:jc w:val="center"/>
              <w:rPr>
                <w:rFonts w:hint="eastAsia" w:ascii="宋体" w:hAnsi="宋体" w:eastAsia="宋体" w:cs="宋体"/>
                <w:b/>
                <w:color w:val="auto"/>
                <w:sz w:val="24"/>
              </w:rPr>
            </w:pPr>
          </w:p>
        </w:tc>
        <w:tc>
          <w:tcPr>
            <w:tcW w:w="928" w:type="dxa"/>
            <w:noWrap w:val="0"/>
            <w:vAlign w:val="center"/>
          </w:tcPr>
          <w:p w14:paraId="46E45954">
            <w:pPr>
              <w:jc w:val="center"/>
              <w:rPr>
                <w:rFonts w:hint="eastAsia" w:ascii="宋体" w:hAnsi="宋体" w:eastAsia="宋体" w:cs="宋体"/>
                <w:b/>
                <w:color w:val="auto"/>
                <w:sz w:val="24"/>
              </w:rPr>
            </w:pPr>
          </w:p>
        </w:tc>
        <w:tc>
          <w:tcPr>
            <w:tcW w:w="1041" w:type="dxa"/>
            <w:noWrap w:val="0"/>
            <w:vAlign w:val="center"/>
          </w:tcPr>
          <w:p w14:paraId="6A80E96B">
            <w:pPr>
              <w:jc w:val="center"/>
              <w:rPr>
                <w:rFonts w:hint="eastAsia" w:ascii="宋体" w:hAnsi="宋体" w:eastAsia="宋体" w:cs="宋体"/>
                <w:b/>
                <w:color w:val="auto"/>
                <w:sz w:val="24"/>
              </w:rPr>
            </w:pPr>
          </w:p>
        </w:tc>
        <w:tc>
          <w:tcPr>
            <w:tcW w:w="1041" w:type="dxa"/>
            <w:noWrap w:val="0"/>
            <w:vAlign w:val="center"/>
          </w:tcPr>
          <w:p w14:paraId="2359378E">
            <w:pPr>
              <w:jc w:val="center"/>
              <w:rPr>
                <w:rFonts w:hint="eastAsia" w:ascii="宋体" w:hAnsi="宋体" w:eastAsia="宋体" w:cs="宋体"/>
                <w:b/>
                <w:color w:val="auto"/>
                <w:sz w:val="24"/>
              </w:rPr>
            </w:pPr>
          </w:p>
        </w:tc>
        <w:tc>
          <w:tcPr>
            <w:tcW w:w="1041" w:type="dxa"/>
            <w:noWrap w:val="0"/>
            <w:vAlign w:val="center"/>
          </w:tcPr>
          <w:p w14:paraId="64AD1979">
            <w:pPr>
              <w:jc w:val="center"/>
              <w:rPr>
                <w:rFonts w:hint="eastAsia" w:ascii="宋体" w:hAnsi="宋体" w:eastAsia="宋体" w:cs="宋体"/>
                <w:b/>
                <w:color w:val="auto"/>
                <w:sz w:val="24"/>
              </w:rPr>
            </w:pPr>
          </w:p>
        </w:tc>
        <w:tc>
          <w:tcPr>
            <w:tcW w:w="1041" w:type="dxa"/>
            <w:noWrap w:val="0"/>
            <w:vAlign w:val="center"/>
          </w:tcPr>
          <w:p w14:paraId="26869FF7">
            <w:pPr>
              <w:jc w:val="center"/>
              <w:rPr>
                <w:rFonts w:hint="eastAsia" w:ascii="宋体" w:hAnsi="宋体" w:eastAsia="宋体" w:cs="宋体"/>
                <w:b/>
                <w:color w:val="auto"/>
                <w:sz w:val="24"/>
              </w:rPr>
            </w:pPr>
          </w:p>
        </w:tc>
        <w:tc>
          <w:tcPr>
            <w:tcW w:w="1170" w:type="dxa"/>
            <w:noWrap w:val="0"/>
            <w:vAlign w:val="center"/>
          </w:tcPr>
          <w:p w14:paraId="5E0B7C15">
            <w:pPr>
              <w:jc w:val="center"/>
              <w:rPr>
                <w:rFonts w:hint="eastAsia" w:ascii="宋体" w:hAnsi="宋体" w:eastAsia="宋体" w:cs="宋体"/>
                <w:b/>
                <w:color w:val="auto"/>
                <w:sz w:val="24"/>
              </w:rPr>
            </w:pPr>
          </w:p>
        </w:tc>
        <w:tc>
          <w:tcPr>
            <w:tcW w:w="1170" w:type="dxa"/>
            <w:noWrap w:val="0"/>
            <w:vAlign w:val="center"/>
          </w:tcPr>
          <w:p w14:paraId="42C58CDF">
            <w:pPr>
              <w:jc w:val="center"/>
              <w:rPr>
                <w:rFonts w:hint="eastAsia" w:ascii="宋体" w:hAnsi="宋体" w:eastAsia="宋体" w:cs="宋体"/>
                <w:b/>
                <w:color w:val="auto"/>
                <w:sz w:val="24"/>
              </w:rPr>
            </w:pPr>
          </w:p>
        </w:tc>
      </w:tr>
      <w:tr w14:paraId="304E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5AD208A9">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rPr>
              <w:t>安全员</w:t>
            </w:r>
          </w:p>
        </w:tc>
        <w:tc>
          <w:tcPr>
            <w:tcW w:w="928" w:type="dxa"/>
            <w:noWrap w:val="0"/>
            <w:vAlign w:val="center"/>
          </w:tcPr>
          <w:p w14:paraId="2EEC4191">
            <w:pPr>
              <w:jc w:val="center"/>
              <w:rPr>
                <w:rFonts w:hint="eastAsia" w:ascii="宋体" w:hAnsi="宋体" w:eastAsia="宋体" w:cs="宋体"/>
                <w:b/>
                <w:color w:val="auto"/>
                <w:sz w:val="24"/>
              </w:rPr>
            </w:pPr>
          </w:p>
        </w:tc>
        <w:tc>
          <w:tcPr>
            <w:tcW w:w="928" w:type="dxa"/>
            <w:noWrap w:val="0"/>
            <w:vAlign w:val="center"/>
          </w:tcPr>
          <w:p w14:paraId="65F0D6A5">
            <w:pPr>
              <w:jc w:val="center"/>
              <w:rPr>
                <w:rFonts w:hint="eastAsia" w:ascii="宋体" w:hAnsi="宋体" w:eastAsia="宋体" w:cs="宋体"/>
                <w:b/>
                <w:color w:val="auto"/>
                <w:sz w:val="24"/>
              </w:rPr>
            </w:pPr>
          </w:p>
        </w:tc>
        <w:tc>
          <w:tcPr>
            <w:tcW w:w="1041" w:type="dxa"/>
            <w:noWrap w:val="0"/>
            <w:vAlign w:val="center"/>
          </w:tcPr>
          <w:p w14:paraId="78D6C59C">
            <w:pPr>
              <w:jc w:val="center"/>
              <w:rPr>
                <w:rFonts w:hint="eastAsia" w:ascii="宋体" w:hAnsi="宋体" w:eastAsia="宋体" w:cs="宋体"/>
                <w:b/>
                <w:color w:val="auto"/>
                <w:sz w:val="24"/>
              </w:rPr>
            </w:pPr>
          </w:p>
        </w:tc>
        <w:tc>
          <w:tcPr>
            <w:tcW w:w="1041" w:type="dxa"/>
            <w:noWrap w:val="0"/>
            <w:vAlign w:val="center"/>
          </w:tcPr>
          <w:p w14:paraId="111C0124">
            <w:pPr>
              <w:jc w:val="center"/>
              <w:rPr>
                <w:rFonts w:hint="eastAsia" w:ascii="宋体" w:hAnsi="宋体" w:eastAsia="宋体" w:cs="宋体"/>
                <w:b/>
                <w:color w:val="auto"/>
                <w:sz w:val="24"/>
              </w:rPr>
            </w:pPr>
          </w:p>
        </w:tc>
        <w:tc>
          <w:tcPr>
            <w:tcW w:w="1041" w:type="dxa"/>
            <w:noWrap w:val="0"/>
            <w:vAlign w:val="center"/>
          </w:tcPr>
          <w:p w14:paraId="2255A06C">
            <w:pPr>
              <w:jc w:val="center"/>
              <w:rPr>
                <w:rFonts w:hint="eastAsia" w:ascii="宋体" w:hAnsi="宋体" w:eastAsia="宋体" w:cs="宋体"/>
                <w:b/>
                <w:color w:val="auto"/>
                <w:sz w:val="24"/>
              </w:rPr>
            </w:pPr>
          </w:p>
        </w:tc>
        <w:tc>
          <w:tcPr>
            <w:tcW w:w="1041" w:type="dxa"/>
            <w:noWrap w:val="0"/>
            <w:vAlign w:val="center"/>
          </w:tcPr>
          <w:p w14:paraId="2D8E1D63">
            <w:pPr>
              <w:jc w:val="center"/>
              <w:rPr>
                <w:rFonts w:hint="eastAsia" w:ascii="宋体" w:hAnsi="宋体" w:eastAsia="宋体" w:cs="宋体"/>
                <w:b/>
                <w:color w:val="auto"/>
                <w:sz w:val="24"/>
              </w:rPr>
            </w:pPr>
          </w:p>
        </w:tc>
        <w:tc>
          <w:tcPr>
            <w:tcW w:w="1170" w:type="dxa"/>
            <w:noWrap w:val="0"/>
            <w:vAlign w:val="center"/>
          </w:tcPr>
          <w:p w14:paraId="005A350B">
            <w:pPr>
              <w:jc w:val="center"/>
              <w:rPr>
                <w:rFonts w:hint="eastAsia" w:ascii="宋体" w:hAnsi="宋体" w:eastAsia="宋体" w:cs="宋体"/>
                <w:b/>
                <w:color w:val="auto"/>
                <w:sz w:val="24"/>
              </w:rPr>
            </w:pPr>
          </w:p>
        </w:tc>
        <w:tc>
          <w:tcPr>
            <w:tcW w:w="1170" w:type="dxa"/>
            <w:noWrap w:val="0"/>
            <w:vAlign w:val="center"/>
          </w:tcPr>
          <w:p w14:paraId="5A63A370">
            <w:pPr>
              <w:jc w:val="center"/>
              <w:rPr>
                <w:rFonts w:hint="eastAsia" w:ascii="宋体" w:hAnsi="宋体" w:eastAsia="宋体" w:cs="宋体"/>
                <w:b/>
                <w:color w:val="auto"/>
                <w:sz w:val="24"/>
              </w:rPr>
            </w:pPr>
          </w:p>
        </w:tc>
      </w:tr>
      <w:tr w14:paraId="6D68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EF286DD">
            <w:pPr>
              <w:jc w:val="center"/>
              <w:rPr>
                <w:rFonts w:hint="eastAsia" w:ascii="宋体" w:hAnsi="宋体" w:eastAsia="宋体" w:cs="宋体"/>
                <w:bCs/>
                <w:color w:val="auto"/>
                <w:sz w:val="24"/>
              </w:rPr>
            </w:pPr>
            <w:r>
              <w:rPr>
                <w:rFonts w:hint="eastAsia" w:ascii="宋体" w:hAnsi="宋体" w:eastAsia="宋体" w:cs="宋体"/>
                <w:bCs/>
                <w:color w:val="auto"/>
                <w:sz w:val="24"/>
              </w:rPr>
              <w:t>材料员</w:t>
            </w:r>
          </w:p>
        </w:tc>
        <w:tc>
          <w:tcPr>
            <w:tcW w:w="928" w:type="dxa"/>
            <w:noWrap w:val="0"/>
            <w:vAlign w:val="center"/>
          </w:tcPr>
          <w:p w14:paraId="251974DA">
            <w:pPr>
              <w:jc w:val="center"/>
              <w:rPr>
                <w:rFonts w:hint="eastAsia" w:ascii="宋体" w:hAnsi="宋体" w:eastAsia="宋体" w:cs="宋体"/>
                <w:b/>
                <w:color w:val="auto"/>
                <w:sz w:val="24"/>
              </w:rPr>
            </w:pPr>
          </w:p>
        </w:tc>
        <w:tc>
          <w:tcPr>
            <w:tcW w:w="928" w:type="dxa"/>
            <w:noWrap w:val="0"/>
            <w:vAlign w:val="center"/>
          </w:tcPr>
          <w:p w14:paraId="4ACB24AE">
            <w:pPr>
              <w:jc w:val="center"/>
              <w:rPr>
                <w:rFonts w:hint="eastAsia" w:ascii="宋体" w:hAnsi="宋体" w:eastAsia="宋体" w:cs="宋体"/>
                <w:b/>
                <w:color w:val="auto"/>
                <w:sz w:val="24"/>
              </w:rPr>
            </w:pPr>
          </w:p>
        </w:tc>
        <w:tc>
          <w:tcPr>
            <w:tcW w:w="1041" w:type="dxa"/>
            <w:noWrap w:val="0"/>
            <w:vAlign w:val="center"/>
          </w:tcPr>
          <w:p w14:paraId="350B4BCB">
            <w:pPr>
              <w:jc w:val="center"/>
              <w:rPr>
                <w:rFonts w:hint="eastAsia" w:ascii="宋体" w:hAnsi="宋体" w:eastAsia="宋体" w:cs="宋体"/>
                <w:b/>
                <w:color w:val="auto"/>
                <w:sz w:val="24"/>
              </w:rPr>
            </w:pPr>
          </w:p>
        </w:tc>
        <w:tc>
          <w:tcPr>
            <w:tcW w:w="1041" w:type="dxa"/>
            <w:noWrap w:val="0"/>
            <w:vAlign w:val="center"/>
          </w:tcPr>
          <w:p w14:paraId="02DEC847">
            <w:pPr>
              <w:jc w:val="center"/>
              <w:rPr>
                <w:rFonts w:hint="eastAsia" w:ascii="宋体" w:hAnsi="宋体" w:eastAsia="宋体" w:cs="宋体"/>
                <w:b/>
                <w:color w:val="auto"/>
                <w:sz w:val="24"/>
              </w:rPr>
            </w:pPr>
          </w:p>
        </w:tc>
        <w:tc>
          <w:tcPr>
            <w:tcW w:w="1041" w:type="dxa"/>
            <w:noWrap w:val="0"/>
            <w:vAlign w:val="center"/>
          </w:tcPr>
          <w:p w14:paraId="4DAF4A2B">
            <w:pPr>
              <w:jc w:val="center"/>
              <w:rPr>
                <w:rFonts w:hint="eastAsia" w:ascii="宋体" w:hAnsi="宋体" w:eastAsia="宋体" w:cs="宋体"/>
                <w:b/>
                <w:color w:val="auto"/>
                <w:sz w:val="24"/>
              </w:rPr>
            </w:pPr>
          </w:p>
        </w:tc>
        <w:tc>
          <w:tcPr>
            <w:tcW w:w="1041" w:type="dxa"/>
            <w:noWrap w:val="0"/>
            <w:vAlign w:val="center"/>
          </w:tcPr>
          <w:p w14:paraId="2BC91753">
            <w:pPr>
              <w:jc w:val="center"/>
              <w:rPr>
                <w:rFonts w:hint="eastAsia" w:ascii="宋体" w:hAnsi="宋体" w:eastAsia="宋体" w:cs="宋体"/>
                <w:b/>
                <w:color w:val="auto"/>
                <w:sz w:val="24"/>
              </w:rPr>
            </w:pPr>
          </w:p>
        </w:tc>
        <w:tc>
          <w:tcPr>
            <w:tcW w:w="1170" w:type="dxa"/>
            <w:noWrap w:val="0"/>
            <w:vAlign w:val="center"/>
          </w:tcPr>
          <w:p w14:paraId="465B974C">
            <w:pPr>
              <w:jc w:val="center"/>
              <w:rPr>
                <w:rFonts w:hint="eastAsia" w:ascii="宋体" w:hAnsi="宋体" w:eastAsia="宋体" w:cs="宋体"/>
                <w:b/>
                <w:color w:val="auto"/>
                <w:sz w:val="24"/>
              </w:rPr>
            </w:pPr>
          </w:p>
        </w:tc>
        <w:tc>
          <w:tcPr>
            <w:tcW w:w="1170" w:type="dxa"/>
            <w:noWrap w:val="0"/>
            <w:vAlign w:val="center"/>
          </w:tcPr>
          <w:p w14:paraId="202E1D7B">
            <w:pPr>
              <w:jc w:val="center"/>
              <w:rPr>
                <w:rFonts w:hint="eastAsia" w:ascii="宋体" w:hAnsi="宋体" w:eastAsia="宋体" w:cs="宋体"/>
                <w:b/>
                <w:color w:val="auto"/>
                <w:sz w:val="24"/>
              </w:rPr>
            </w:pPr>
          </w:p>
        </w:tc>
      </w:tr>
      <w:tr w14:paraId="04F5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19BE4C2A">
            <w:pPr>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w:t>
            </w:r>
          </w:p>
        </w:tc>
        <w:tc>
          <w:tcPr>
            <w:tcW w:w="928" w:type="dxa"/>
            <w:noWrap w:val="0"/>
            <w:vAlign w:val="center"/>
          </w:tcPr>
          <w:p w14:paraId="4285884F">
            <w:pPr>
              <w:jc w:val="center"/>
              <w:rPr>
                <w:rFonts w:hint="eastAsia" w:ascii="宋体" w:hAnsi="宋体" w:eastAsia="宋体" w:cs="宋体"/>
                <w:b/>
                <w:color w:val="auto"/>
                <w:sz w:val="24"/>
              </w:rPr>
            </w:pPr>
          </w:p>
        </w:tc>
        <w:tc>
          <w:tcPr>
            <w:tcW w:w="928" w:type="dxa"/>
            <w:noWrap w:val="0"/>
            <w:vAlign w:val="center"/>
          </w:tcPr>
          <w:p w14:paraId="77E13BAF">
            <w:pPr>
              <w:jc w:val="center"/>
              <w:rPr>
                <w:rFonts w:hint="eastAsia" w:ascii="宋体" w:hAnsi="宋体" w:eastAsia="宋体" w:cs="宋体"/>
                <w:b/>
                <w:color w:val="auto"/>
                <w:sz w:val="24"/>
              </w:rPr>
            </w:pPr>
          </w:p>
        </w:tc>
        <w:tc>
          <w:tcPr>
            <w:tcW w:w="1041" w:type="dxa"/>
            <w:noWrap w:val="0"/>
            <w:vAlign w:val="center"/>
          </w:tcPr>
          <w:p w14:paraId="7D38C5C6">
            <w:pPr>
              <w:jc w:val="center"/>
              <w:rPr>
                <w:rFonts w:hint="eastAsia" w:ascii="宋体" w:hAnsi="宋体" w:eastAsia="宋体" w:cs="宋体"/>
                <w:b/>
                <w:color w:val="auto"/>
                <w:sz w:val="24"/>
              </w:rPr>
            </w:pPr>
          </w:p>
        </w:tc>
        <w:tc>
          <w:tcPr>
            <w:tcW w:w="1041" w:type="dxa"/>
            <w:noWrap w:val="0"/>
            <w:vAlign w:val="center"/>
          </w:tcPr>
          <w:p w14:paraId="491C85E3">
            <w:pPr>
              <w:jc w:val="center"/>
              <w:rPr>
                <w:rFonts w:hint="eastAsia" w:ascii="宋体" w:hAnsi="宋体" w:eastAsia="宋体" w:cs="宋体"/>
                <w:b/>
                <w:color w:val="auto"/>
                <w:sz w:val="24"/>
              </w:rPr>
            </w:pPr>
          </w:p>
        </w:tc>
        <w:tc>
          <w:tcPr>
            <w:tcW w:w="1041" w:type="dxa"/>
            <w:noWrap w:val="0"/>
            <w:vAlign w:val="center"/>
          </w:tcPr>
          <w:p w14:paraId="59D0C8AE">
            <w:pPr>
              <w:jc w:val="center"/>
              <w:rPr>
                <w:rFonts w:hint="eastAsia" w:ascii="宋体" w:hAnsi="宋体" w:eastAsia="宋体" w:cs="宋体"/>
                <w:b/>
                <w:color w:val="auto"/>
                <w:sz w:val="24"/>
              </w:rPr>
            </w:pPr>
          </w:p>
        </w:tc>
        <w:tc>
          <w:tcPr>
            <w:tcW w:w="1041" w:type="dxa"/>
            <w:noWrap w:val="0"/>
            <w:vAlign w:val="center"/>
          </w:tcPr>
          <w:p w14:paraId="27CD3E75">
            <w:pPr>
              <w:jc w:val="center"/>
              <w:rPr>
                <w:rFonts w:hint="eastAsia" w:ascii="宋体" w:hAnsi="宋体" w:eastAsia="宋体" w:cs="宋体"/>
                <w:b/>
                <w:color w:val="auto"/>
                <w:sz w:val="24"/>
              </w:rPr>
            </w:pPr>
          </w:p>
        </w:tc>
        <w:tc>
          <w:tcPr>
            <w:tcW w:w="1170" w:type="dxa"/>
            <w:noWrap w:val="0"/>
            <w:vAlign w:val="center"/>
          </w:tcPr>
          <w:p w14:paraId="4157278F">
            <w:pPr>
              <w:jc w:val="center"/>
              <w:rPr>
                <w:rFonts w:hint="eastAsia" w:ascii="宋体" w:hAnsi="宋体" w:eastAsia="宋体" w:cs="宋体"/>
                <w:b/>
                <w:color w:val="auto"/>
                <w:sz w:val="24"/>
              </w:rPr>
            </w:pPr>
          </w:p>
        </w:tc>
        <w:tc>
          <w:tcPr>
            <w:tcW w:w="1170" w:type="dxa"/>
            <w:noWrap w:val="0"/>
            <w:vAlign w:val="center"/>
          </w:tcPr>
          <w:p w14:paraId="44A0B7FB">
            <w:pPr>
              <w:jc w:val="center"/>
              <w:rPr>
                <w:rFonts w:hint="eastAsia" w:ascii="宋体" w:hAnsi="宋体" w:eastAsia="宋体" w:cs="宋体"/>
                <w:b/>
                <w:color w:val="auto"/>
                <w:sz w:val="24"/>
              </w:rPr>
            </w:pPr>
          </w:p>
        </w:tc>
      </w:tr>
      <w:tr w14:paraId="2447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36E82E2D">
            <w:pPr>
              <w:jc w:val="center"/>
              <w:rPr>
                <w:rFonts w:hint="eastAsia" w:ascii="宋体" w:hAnsi="宋体" w:eastAsia="宋体" w:cs="宋体"/>
                <w:b/>
                <w:color w:val="auto"/>
                <w:sz w:val="24"/>
              </w:rPr>
            </w:pPr>
          </w:p>
        </w:tc>
        <w:tc>
          <w:tcPr>
            <w:tcW w:w="928" w:type="dxa"/>
            <w:noWrap w:val="0"/>
            <w:vAlign w:val="center"/>
          </w:tcPr>
          <w:p w14:paraId="0D812BC0">
            <w:pPr>
              <w:jc w:val="center"/>
              <w:rPr>
                <w:rFonts w:hint="eastAsia" w:ascii="宋体" w:hAnsi="宋体" w:eastAsia="宋体" w:cs="宋体"/>
                <w:b/>
                <w:color w:val="auto"/>
                <w:sz w:val="24"/>
              </w:rPr>
            </w:pPr>
          </w:p>
        </w:tc>
        <w:tc>
          <w:tcPr>
            <w:tcW w:w="928" w:type="dxa"/>
            <w:noWrap w:val="0"/>
            <w:vAlign w:val="center"/>
          </w:tcPr>
          <w:p w14:paraId="53110317">
            <w:pPr>
              <w:jc w:val="center"/>
              <w:rPr>
                <w:rFonts w:hint="eastAsia" w:ascii="宋体" w:hAnsi="宋体" w:eastAsia="宋体" w:cs="宋体"/>
                <w:b/>
                <w:color w:val="auto"/>
                <w:sz w:val="24"/>
              </w:rPr>
            </w:pPr>
          </w:p>
        </w:tc>
        <w:tc>
          <w:tcPr>
            <w:tcW w:w="1041" w:type="dxa"/>
            <w:noWrap w:val="0"/>
            <w:vAlign w:val="center"/>
          </w:tcPr>
          <w:p w14:paraId="58784AB4">
            <w:pPr>
              <w:jc w:val="center"/>
              <w:rPr>
                <w:rFonts w:hint="eastAsia" w:ascii="宋体" w:hAnsi="宋体" w:eastAsia="宋体" w:cs="宋体"/>
                <w:b/>
                <w:color w:val="auto"/>
                <w:sz w:val="24"/>
              </w:rPr>
            </w:pPr>
          </w:p>
        </w:tc>
        <w:tc>
          <w:tcPr>
            <w:tcW w:w="1041" w:type="dxa"/>
            <w:noWrap w:val="0"/>
            <w:vAlign w:val="center"/>
          </w:tcPr>
          <w:p w14:paraId="0D0C6F20">
            <w:pPr>
              <w:jc w:val="center"/>
              <w:rPr>
                <w:rFonts w:hint="eastAsia" w:ascii="宋体" w:hAnsi="宋体" w:eastAsia="宋体" w:cs="宋体"/>
                <w:b/>
                <w:color w:val="auto"/>
                <w:sz w:val="24"/>
              </w:rPr>
            </w:pPr>
          </w:p>
        </w:tc>
        <w:tc>
          <w:tcPr>
            <w:tcW w:w="1041" w:type="dxa"/>
            <w:noWrap w:val="0"/>
            <w:vAlign w:val="center"/>
          </w:tcPr>
          <w:p w14:paraId="53D22773">
            <w:pPr>
              <w:jc w:val="center"/>
              <w:rPr>
                <w:rFonts w:hint="eastAsia" w:ascii="宋体" w:hAnsi="宋体" w:eastAsia="宋体" w:cs="宋体"/>
                <w:b/>
                <w:color w:val="auto"/>
                <w:sz w:val="24"/>
              </w:rPr>
            </w:pPr>
          </w:p>
        </w:tc>
        <w:tc>
          <w:tcPr>
            <w:tcW w:w="1041" w:type="dxa"/>
            <w:noWrap w:val="0"/>
            <w:vAlign w:val="center"/>
          </w:tcPr>
          <w:p w14:paraId="41EB0FA9">
            <w:pPr>
              <w:jc w:val="center"/>
              <w:rPr>
                <w:rFonts w:hint="eastAsia" w:ascii="宋体" w:hAnsi="宋体" w:eastAsia="宋体" w:cs="宋体"/>
                <w:b/>
                <w:color w:val="auto"/>
                <w:sz w:val="24"/>
              </w:rPr>
            </w:pPr>
          </w:p>
        </w:tc>
        <w:tc>
          <w:tcPr>
            <w:tcW w:w="1170" w:type="dxa"/>
            <w:noWrap w:val="0"/>
            <w:vAlign w:val="center"/>
          </w:tcPr>
          <w:p w14:paraId="51E5F22F">
            <w:pPr>
              <w:jc w:val="center"/>
              <w:rPr>
                <w:rFonts w:hint="eastAsia" w:ascii="宋体" w:hAnsi="宋体" w:eastAsia="宋体" w:cs="宋体"/>
                <w:b/>
                <w:color w:val="auto"/>
                <w:sz w:val="24"/>
              </w:rPr>
            </w:pPr>
          </w:p>
        </w:tc>
        <w:tc>
          <w:tcPr>
            <w:tcW w:w="1170" w:type="dxa"/>
            <w:noWrap w:val="0"/>
            <w:vAlign w:val="center"/>
          </w:tcPr>
          <w:p w14:paraId="020FE48B">
            <w:pPr>
              <w:jc w:val="center"/>
              <w:rPr>
                <w:rFonts w:hint="eastAsia" w:ascii="宋体" w:hAnsi="宋体" w:eastAsia="宋体" w:cs="宋体"/>
                <w:b/>
                <w:color w:val="auto"/>
                <w:sz w:val="24"/>
              </w:rPr>
            </w:pPr>
          </w:p>
        </w:tc>
      </w:tr>
      <w:tr w14:paraId="5877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5954354">
            <w:pPr>
              <w:jc w:val="center"/>
              <w:rPr>
                <w:rFonts w:hint="eastAsia" w:ascii="宋体" w:hAnsi="宋体" w:eastAsia="宋体" w:cs="宋体"/>
                <w:b/>
                <w:color w:val="auto"/>
                <w:sz w:val="24"/>
              </w:rPr>
            </w:pPr>
          </w:p>
        </w:tc>
        <w:tc>
          <w:tcPr>
            <w:tcW w:w="928" w:type="dxa"/>
            <w:noWrap w:val="0"/>
            <w:vAlign w:val="center"/>
          </w:tcPr>
          <w:p w14:paraId="16118FBC">
            <w:pPr>
              <w:jc w:val="center"/>
              <w:rPr>
                <w:rFonts w:hint="eastAsia" w:ascii="宋体" w:hAnsi="宋体" w:eastAsia="宋体" w:cs="宋体"/>
                <w:b/>
                <w:color w:val="auto"/>
                <w:sz w:val="24"/>
              </w:rPr>
            </w:pPr>
          </w:p>
        </w:tc>
        <w:tc>
          <w:tcPr>
            <w:tcW w:w="928" w:type="dxa"/>
            <w:noWrap w:val="0"/>
            <w:vAlign w:val="center"/>
          </w:tcPr>
          <w:p w14:paraId="261A8FC3">
            <w:pPr>
              <w:jc w:val="center"/>
              <w:rPr>
                <w:rFonts w:hint="eastAsia" w:ascii="宋体" w:hAnsi="宋体" w:eastAsia="宋体" w:cs="宋体"/>
                <w:b/>
                <w:color w:val="auto"/>
                <w:sz w:val="24"/>
              </w:rPr>
            </w:pPr>
          </w:p>
        </w:tc>
        <w:tc>
          <w:tcPr>
            <w:tcW w:w="1041" w:type="dxa"/>
            <w:noWrap w:val="0"/>
            <w:vAlign w:val="center"/>
          </w:tcPr>
          <w:p w14:paraId="0DB14167">
            <w:pPr>
              <w:jc w:val="center"/>
              <w:rPr>
                <w:rFonts w:hint="eastAsia" w:ascii="宋体" w:hAnsi="宋体" w:eastAsia="宋体" w:cs="宋体"/>
                <w:b/>
                <w:color w:val="auto"/>
                <w:sz w:val="24"/>
              </w:rPr>
            </w:pPr>
          </w:p>
        </w:tc>
        <w:tc>
          <w:tcPr>
            <w:tcW w:w="1041" w:type="dxa"/>
            <w:noWrap w:val="0"/>
            <w:vAlign w:val="center"/>
          </w:tcPr>
          <w:p w14:paraId="255A6BCF">
            <w:pPr>
              <w:jc w:val="center"/>
              <w:rPr>
                <w:rFonts w:hint="eastAsia" w:ascii="宋体" w:hAnsi="宋体" w:eastAsia="宋体" w:cs="宋体"/>
                <w:b/>
                <w:color w:val="auto"/>
                <w:sz w:val="24"/>
              </w:rPr>
            </w:pPr>
          </w:p>
        </w:tc>
        <w:tc>
          <w:tcPr>
            <w:tcW w:w="1041" w:type="dxa"/>
            <w:noWrap w:val="0"/>
            <w:vAlign w:val="center"/>
          </w:tcPr>
          <w:p w14:paraId="21DE8EA9">
            <w:pPr>
              <w:jc w:val="center"/>
              <w:rPr>
                <w:rFonts w:hint="eastAsia" w:ascii="宋体" w:hAnsi="宋体" w:eastAsia="宋体" w:cs="宋体"/>
                <w:b/>
                <w:color w:val="auto"/>
                <w:sz w:val="24"/>
              </w:rPr>
            </w:pPr>
          </w:p>
        </w:tc>
        <w:tc>
          <w:tcPr>
            <w:tcW w:w="1041" w:type="dxa"/>
            <w:noWrap w:val="0"/>
            <w:vAlign w:val="center"/>
          </w:tcPr>
          <w:p w14:paraId="3B0C6AAB">
            <w:pPr>
              <w:jc w:val="center"/>
              <w:rPr>
                <w:rFonts w:hint="eastAsia" w:ascii="宋体" w:hAnsi="宋体" w:eastAsia="宋体" w:cs="宋体"/>
                <w:b/>
                <w:color w:val="auto"/>
                <w:sz w:val="24"/>
              </w:rPr>
            </w:pPr>
          </w:p>
        </w:tc>
        <w:tc>
          <w:tcPr>
            <w:tcW w:w="1170" w:type="dxa"/>
            <w:noWrap w:val="0"/>
            <w:vAlign w:val="center"/>
          </w:tcPr>
          <w:p w14:paraId="40B5D6B4">
            <w:pPr>
              <w:jc w:val="center"/>
              <w:rPr>
                <w:rFonts w:hint="eastAsia" w:ascii="宋体" w:hAnsi="宋体" w:eastAsia="宋体" w:cs="宋体"/>
                <w:b/>
                <w:color w:val="auto"/>
                <w:sz w:val="24"/>
              </w:rPr>
            </w:pPr>
          </w:p>
        </w:tc>
        <w:tc>
          <w:tcPr>
            <w:tcW w:w="1170" w:type="dxa"/>
            <w:noWrap w:val="0"/>
            <w:vAlign w:val="center"/>
          </w:tcPr>
          <w:p w14:paraId="2A98F711">
            <w:pPr>
              <w:jc w:val="center"/>
              <w:rPr>
                <w:rFonts w:hint="eastAsia" w:ascii="宋体" w:hAnsi="宋体" w:eastAsia="宋体" w:cs="宋体"/>
                <w:b/>
                <w:color w:val="auto"/>
                <w:sz w:val="24"/>
              </w:rPr>
            </w:pPr>
          </w:p>
        </w:tc>
      </w:tr>
      <w:tr w14:paraId="4A5A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3A206239">
            <w:pPr>
              <w:jc w:val="center"/>
              <w:rPr>
                <w:rFonts w:hint="eastAsia" w:ascii="宋体" w:hAnsi="宋体" w:eastAsia="宋体" w:cs="宋体"/>
                <w:b/>
                <w:color w:val="auto"/>
                <w:sz w:val="24"/>
              </w:rPr>
            </w:pPr>
          </w:p>
        </w:tc>
        <w:tc>
          <w:tcPr>
            <w:tcW w:w="928" w:type="dxa"/>
            <w:noWrap w:val="0"/>
            <w:vAlign w:val="center"/>
          </w:tcPr>
          <w:p w14:paraId="53FE4417">
            <w:pPr>
              <w:jc w:val="center"/>
              <w:rPr>
                <w:rFonts w:hint="eastAsia" w:ascii="宋体" w:hAnsi="宋体" w:eastAsia="宋体" w:cs="宋体"/>
                <w:b/>
                <w:color w:val="auto"/>
                <w:sz w:val="24"/>
              </w:rPr>
            </w:pPr>
          </w:p>
        </w:tc>
        <w:tc>
          <w:tcPr>
            <w:tcW w:w="928" w:type="dxa"/>
            <w:noWrap w:val="0"/>
            <w:vAlign w:val="center"/>
          </w:tcPr>
          <w:p w14:paraId="315BA9EB">
            <w:pPr>
              <w:jc w:val="center"/>
              <w:rPr>
                <w:rFonts w:hint="eastAsia" w:ascii="宋体" w:hAnsi="宋体" w:eastAsia="宋体" w:cs="宋体"/>
                <w:b/>
                <w:color w:val="auto"/>
                <w:sz w:val="24"/>
              </w:rPr>
            </w:pPr>
          </w:p>
        </w:tc>
        <w:tc>
          <w:tcPr>
            <w:tcW w:w="1041" w:type="dxa"/>
            <w:noWrap w:val="0"/>
            <w:vAlign w:val="center"/>
          </w:tcPr>
          <w:p w14:paraId="080A7C58">
            <w:pPr>
              <w:jc w:val="center"/>
              <w:rPr>
                <w:rFonts w:hint="eastAsia" w:ascii="宋体" w:hAnsi="宋体" w:eastAsia="宋体" w:cs="宋体"/>
                <w:b/>
                <w:color w:val="auto"/>
                <w:sz w:val="24"/>
              </w:rPr>
            </w:pPr>
          </w:p>
        </w:tc>
        <w:tc>
          <w:tcPr>
            <w:tcW w:w="1041" w:type="dxa"/>
            <w:noWrap w:val="0"/>
            <w:vAlign w:val="center"/>
          </w:tcPr>
          <w:p w14:paraId="6F5115A9">
            <w:pPr>
              <w:jc w:val="center"/>
              <w:rPr>
                <w:rFonts w:hint="eastAsia" w:ascii="宋体" w:hAnsi="宋体" w:eastAsia="宋体" w:cs="宋体"/>
                <w:b/>
                <w:color w:val="auto"/>
                <w:sz w:val="24"/>
              </w:rPr>
            </w:pPr>
          </w:p>
        </w:tc>
        <w:tc>
          <w:tcPr>
            <w:tcW w:w="1041" w:type="dxa"/>
            <w:noWrap w:val="0"/>
            <w:vAlign w:val="center"/>
          </w:tcPr>
          <w:p w14:paraId="53463118">
            <w:pPr>
              <w:jc w:val="center"/>
              <w:rPr>
                <w:rFonts w:hint="eastAsia" w:ascii="宋体" w:hAnsi="宋体" w:eastAsia="宋体" w:cs="宋体"/>
                <w:b/>
                <w:color w:val="auto"/>
                <w:sz w:val="24"/>
              </w:rPr>
            </w:pPr>
          </w:p>
        </w:tc>
        <w:tc>
          <w:tcPr>
            <w:tcW w:w="1041" w:type="dxa"/>
            <w:noWrap w:val="0"/>
            <w:vAlign w:val="center"/>
          </w:tcPr>
          <w:p w14:paraId="29C38BD6">
            <w:pPr>
              <w:jc w:val="center"/>
              <w:rPr>
                <w:rFonts w:hint="eastAsia" w:ascii="宋体" w:hAnsi="宋体" w:eastAsia="宋体" w:cs="宋体"/>
                <w:b/>
                <w:color w:val="auto"/>
                <w:sz w:val="24"/>
              </w:rPr>
            </w:pPr>
          </w:p>
        </w:tc>
        <w:tc>
          <w:tcPr>
            <w:tcW w:w="1170" w:type="dxa"/>
            <w:noWrap w:val="0"/>
            <w:vAlign w:val="center"/>
          </w:tcPr>
          <w:p w14:paraId="32C56AD7">
            <w:pPr>
              <w:jc w:val="center"/>
              <w:rPr>
                <w:rFonts w:hint="eastAsia" w:ascii="宋体" w:hAnsi="宋体" w:eastAsia="宋体" w:cs="宋体"/>
                <w:b/>
                <w:color w:val="auto"/>
                <w:sz w:val="24"/>
              </w:rPr>
            </w:pPr>
          </w:p>
        </w:tc>
        <w:tc>
          <w:tcPr>
            <w:tcW w:w="1170" w:type="dxa"/>
            <w:noWrap w:val="0"/>
            <w:vAlign w:val="center"/>
          </w:tcPr>
          <w:p w14:paraId="5BD1C902">
            <w:pPr>
              <w:jc w:val="center"/>
              <w:rPr>
                <w:rFonts w:hint="eastAsia" w:ascii="宋体" w:hAnsi="宋体" w:eastAsia="宋体" w:cs="宋体"/>
                <w:b/>
                <w:color w:val="auto"/>
                <w:sz w:val="24"/>
              </w:rPr>
            </w:pPr>
          </w:p>
        </w:tc>
      </w:tr>
      <w:tr w14:paraId="3BC2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11D3C73">
            <w:pPr>
              <w:jc w:val="center"/>
              <w:rPr>
                <w:rFonts w:hint="eastAsia" w:ascii="宋体" w:hAnsi="宋体" w:eastAsia="宋体" w:cs="宋体"/>
                <w:b/>
                <w:color w:val="auto"/>
                <w:sz w:val="24"/>
              </w:rPr>
            </w:pPr>
          </w:p>
        </w:tc>
        <w:tc>
          <w:tcPr>
            <w:tcW w:w="928" w:type="dxa"/>
            <w:noWrap w:val="0"/>
            <w:vAlign w:val="center"/>
          </w:tcPr>
          <w:p w14:paraId="3D5740BB">
            <w:pPr>
              <w:jc w:val="center"/>
              <w:rPr>
                <w:rFonts w:hint="eastAsia" w:ascii="宋体" w:hAnsi="宋体" w:eastAsia="宋体" w:cs="宋体"/>
                <w:b/>
                <w:color w:val="auto"/>
                <w:sz w:val="24"/>
              </w:rPr>
            </w:pPr>
          </w:p>
        </w:tc>
        <w:tc>
          <w:tcPr>
            <w:tcW w:w="928" w:type="dxa"/>
            <w:noWrap w:val="0"/>
            <w:vAlign w:val="center"/>
          </w:tcPr>
          <w:p w14:paraId="6E79D7C2">
            <w:pPr>
              <w:jc w:val="center"/>
              <w:rPr>
                <w:rFonts w:hint="eastAsia" w:ascii="宋体" w:hAnsi="宋体" w:eastAsia="宋体" w:cs="宋体"/>
                <w:b/>
                <w:color w:val="auto"/>
                <w:sz w:val="24"/>
              </w:rPr>
            </w:pPr>
          </w:p>
        </w:tc>
        <w:tc>
          <w:tcPr>
            <w:tcW w:w="1041" w:type="dxa"/>
            <w:noWrap w:val="0"/>
            <w:vAlign w:val="center"/>
          </w:tcPr>
          <w:p w14:paraId="4D66F186">
            <w:pPr>
              <w:jc w:val="center"/>
              <w:rPr>
                <w:rFonts w:hint="eastAsia" w:ascii="宋体" w:hAnsi="宋体" w:eastAsia="宋体" w:cs="宋体"/>
                <w:b/>
                <w:color w:val="auto"/>
                <w:sz w:val="24"/>
              </w:rPr>
            </w:pPr>
          </w:p>
        </w:tc>
        <w:tc>
          <w:tcPr>
            <w:tcW w:w="1041" w:type="dxa"/>
            <w:noWrap w:val="0"/>
            <w:vAlign w:val="center"/>
          </w:tcPr>
          <w:p w14:paraId="1B8C4078">
            <w:pPr>
              <w:jc w:val="center"/>
              <w:rPr>
                <w:rFonts w:hint="eastAsia" w:ascii="宋体" w:hAnsi="宋体" w:eastAsia="宋体" w:cs="宋体"/>
                <w:b/>
                <w:color w:val="auto"/>
                <w:sz w:val="24"/>
              </w:rPr>
            </w:pPr>
          </w:p>
        </w:tc>
        <w:tc>
          <w:tcPr>
            <w:tcW w:w="1041" w:type="dxa"/>
            <w:noWrap w:val="0"/>
            <w:vAlign w:val="center"/>
          </w:tcPr>
          <w:p w14:paraId="4F0144B9">
            <w:pPr>
              <w:jc w:val="center"/>
              <w:rPr>
                <w:rFonts w:hint="eastAsia" w:ascii="宋体" w:hAnsi="宋体" w:eastAsia="宋体" w:cs="宋体"/>
                <w:b/>
                <w:color w:val="auto"/>
                <w:sz w:val="24"/>
              </w:rPr>
            </w:pPr>
          </w:p>
        </w:tc>
        <w:tc>
          <w:tcPr>
            <w:tcW w:w="1041" w:type="dxa"/>
            <w:noWrap w:val="0"/>
            <w:vAlign w:val="center"/>
          </w:tcPr>
          <w:p w14:paraId="44FFB747">
            <w:pPr>
              <w:jc w:val="center"/>
              <w:rPr>
                <w:rFonts w:hint="eastAsia" w:ascii="宋体" w:hAnsi="宋体" w:eastAsia="宋体" w:cs="宋体"/>
                <w:b/>
                <w:color w:val="auto"/>
                <w:sz w:val="24"/>
              </w:rPr>
            </w:pPr>
          </w:p>
        </w:tc>
        <w:tc>
          <w:tcPr>
            <w:tcW w:w="1170" w:type="dxa"/>
            <w:noWrap w:val="0"/>
            <w:vAlign w:val="center"/>
          </w:tcPr>
          <w:p w14:paraId="2F9BADC7">
            <w:pPr>
              <w:jc w:val="center"/>
              <w:rPr>
                <w:rFonts w:hint="eastAsia" w:ascii="宋体" w:hAnsi="宋体" w:eastAsia="宋体" w:cs="宋体"/>
                <w:b/>
                <w:color w:val="auto"/>
                <w:sz w:val="24"/>
              </w:rPr>
            </w:pPr>
          </w:p>
        </w:tc>
        <w:tc>
          <w:tcPr>
            <w:tcW w:w="1170" w:type="dxa"/>
            <w:noWrap w:val="0"/>
            <w:vAlign w:val="center"/>
          </w:tcPr>
          <w:p w14:paraId="23EEEE1D">
            <w:pPr>
              <w:jc w:val="center"/>
              <w:rPr>
                <w:rFonts w:hint="eastAsia" w:ascii="宋体" w:hAnsi="宋体" w:eastAsia="宋体" w:cs="宋体"/>
                <w:b/>
                <w:color w:val="auto"/>
                <w:sz w:val="24"/>
              </w:rPr>
            </w:pPr>
          </w:p>
        </w:tc>
      </w:tr>
      <w:tr w14:paraId="19AF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129F6012">
            <w:pPr>
              <w:jc w:val="center"/>
              <w:rPr>
                <w:rFonts w:hint="eastAsia" w:ascii="宋体" w:hAnsi="宋体" w:eastAsia="宋体" w:cs="宋体"/>
                <w:b/>
                <w:color w:val="auto"/>
                <w:sz w:val="24"/>
              </w:rPr>
            </w:pPr>
          </w:p>
        </w:tc>
        <w:tc>
          <w:tcPr>
            <w:tcW w:w="928" w:type="dxa"/>
            <w:noWrap w:val="0"/>
            <w:vAlign w:val="center"/>
          </w:tcPr>
          <w:p w14:paraId="153B7C9D">
            <w:pPr>
              <w:jc w:val="center"/>
              <w:rPr>
                <w:rFonts w:hint="eastAsia" w:ascii="宋体" w:hAnsi="宋体" w:eastAsia="宋体" w:cs="宋体"/>
                <w:b/>
                <w:color w:val="auto"/>
                <w:sz w:val="24"/>
              </w:rPr>
            </w:pPr>
          </w:p>
        </w:tc>
        <w:tc>
          <w:tcPr>
            <w:tcW w:w="928" w:type="dxa"/>
            <w:noWrap w:val="0"/>
            <w:vAlign w:val="center"/>
          </w:tcPr>
          <w:p w14:paraId="4BA674DE">
            <w:pPr>
              <w:jc w:val="center"/>
              <w:rPr>
                <w:rFonts w:hint="eastAsia" w:ascii="宋体" w:hAnsi="宋体" w:eastAsia="宋体" w:cs="宋体"/>
                <w:b/>
                <w:color w:val="auto"/>
                <w:sz w:val="24"/>
              </w:rPr>
            </w:pPr>
          </w:p>
        </w:tc>
        <w:tc>
          <w:tcPr>
            <w:tcW w:w="1041" w:type="dxa"/>
            <w:noWrap w:val="0"/>
            <w:vAlign w:val="center"/>
          </w:tcPr>
          <w:p w14:paraId="395D5509">
            <w:pPr>
              <w:jc w:val="center"/>
              <w:rPr>
                <w:rFonts w:hint="eastAsia" w:ascii="宋体" w:hAnsi="宋体" w:eastAsia="宋体" w:cs="宋体"/>
                <w:b/>
                <w:color w:val="auto"/>
                <w:sz w:val="24"/>
              </w:rPr>
            </w:pPr>
          </w:p>
        </w:tc>
        <w:tc>
          <w:tcPr>
            <w:tcW w:w="1041" w:type="dxa"/>
            <w:noWrap w:val="0"/>
            <w:vAlign w:val="center"/>
          </w:tcPr>
          <w:p w14:paraId="2D3F1181">
            <w:pPr>
              <w:jc w:val="center"/>
              <w:rPr>
                <w:rFonts w:hint="eastAsia" w:ascii="宋体" w:hAnsi="宋体" w:eastAsia="宋体" w:cs="宋体"/>
                <w:b/>
                <w:color w:val="auto"/>
                <w:sz w:val="24"/>
              </w:rPr>
            </w:pPr>
          </w:p>
        </w:tc>
        <w:tc>
          <w:tcPr>
            <w:tcW w:w="1041" w:type="dxa"/>
            <w:noWrap w:val="0"/>
            <w:vAlign w:val="center"/>
          </w:tcPr>
          <w:p w14:paraId="5EE61509">
            <w:pPr>
              <w:jc w:val="center"/>
              <w:rPr>
                <w:rFonts w:hint="eastAsia" w:ascii="宋体" w:hAnsi="宋体" w:eastAsia="宋体" w:cs="宋体"/>
                <w:b/>
                <w:color w:val="auto"/>
                <w:sz w:val="24"/>
              </w:rPr>
            </w:pPr>
          </w:p>
        </w:tc>
        <w:tc>
          <w:tcPr>
            <w:tcW w:w="1041" w:type="dxa"/>
            <w:noWrap w:val="0"/>
            <w:vAlign w:val="center"/>
          </w:tcPr>
          <w:p w14:paraId="7CF02169">
            <w:pPr>
              <w:jc w:val="center"/>
              <w:rPr>
                <w:rFonts w:hint="eastAsia" w:ascii="宋体" w:hAnsi="宋体" w:eastAsia="宋体" w:cs="宋体"/>
                <w:b/>
                <w:color w:val="auto"/>
                <w:sz w:val="24"/>
              </w:rPr>
            </w:pPr>
          </w:p>
        </w:tc>
        <w:tc>
          <w:tcPr>
            <w:tcW w:w="1170" w:type="dxa"/>
            <w:noWrap w:val="0"/>
            <w:vAlign w:val="center"/>
          </w:tcPr>
          <w:p w14:paraId="45B2E9C5">
            <w:pPr>
              <w:jc w:val="center"/>
              <w:rPr>
                <w:rFonts w:hint="eastAsia" w:ascii="宋体" w:hAnsi="宋体" w:eastAsia="宋体" w:cs="宋体"/>
                <w:b/>
                <w:color w:val="auto"/>
                <w:sz w:val="24"/>
              </w:rPr>
            </w:pPr>
          </w:p>
        </w:tc>
        <w:tc>
          <w:tcPr>
            <w:tcW w:w="1170" w:type="dxa"/>
            <w:noWrap w:val="0"/>
            <w:vAlign w:val="center"/>
          </w:tcPr>
          <w:p w14:paraId="7E279768">
            <w:pPr>
              <w:jc w:val="center"/>
              <w:rPr>
                <w:rFonts w:hint="eastAsia" w:ascii="宋体" w:hAnsi="宋体" w:eastAsia="宋体" w:cs="宋体"/>
                <w:b/>
                <w:color w:val="auto"/>
                <w:sz w:val="24"/>
              </w:rPr>
            </w:pPr>
          </w:p>
        </w:tc>
      </w:tr>
      <w:tr w14:paraId="5B6C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465A74BB">
            <w:pPr>
              <w:jc w:val="center"/>
              <w:rPr>
                <w:rFonts w:hint="eastAsia" w:ascii="宋体" w:hAnsi="宋体" w:eastAsia="宋体" w:cs="宋体"/>
                <w:b/>
                <w:color w:val="auto"/>
                <w:sz w:val="24"/>
              </w:rPr>
            </w:pPr>
          </w:p>
        </w:tc>
        <w:tc>
          <w:tcPr>
            <w:tcW w:w="928" w:type="dxa"/>
            <w:noWrap w:val="0"/>
            <w:vAlign w:val="center"/>
          </w:tcPr>
          <w:p w14:paraId="3C824C80">
            <w:pPr>
              <w:jc w:val="center"/>
              <w:rPr>
                <w:rFonts w:hint="eastAsia" w:ascii="宋体" w:hAnsi="宋体" w:eastAsia="宋体" w:cs="宋体"/>
                <w:b/>
                <w:color w:val="auto"/>
                <w:sz w:val="24"/>
              </w:rPr>
            </w:pPr>
          </w:p>
        </w:tc>
        <w:tc>
          <w:tcPr>
            <w:tcW w:w="928" w:type="dxa"/>
            <w:noWrap w:val="0"/>
            <w:vAlign w:val="center"/>
          </w:tcPr>
          <w:p w14:paraId="233C8036">
            <w:pPr>
              <w:jc w:val="center"/>
              <w:rPr>
                <w:rFonts w:hint="eastAsia" w:ascii="宋体" w:hAnsi="宋体" w:eastAsia="宋体" w:cs="宋体"/>
                <w:b/>
                <w:color w:val="auto"/>
                <w:sz w:val="24"/>
              </w:rPr>
            </w:pPr>
          </w:p>
        </w:tc>
        <w:tc>
          <w:tcPr>
            <w:tcW w:w="1041" w:type="dxa"/>
            <w:noWrap w:val="0"/>
            <w:vAlign w:val="center"/>
          </w:tcPr>
          <w:p w14:paraId="13975627">
            <w:pPr>
              <w:jc w:val="center"/>
              <w:rPr>
                <w:rFonts w:hint="eastAsia" w:ascii="宋体" w:hAnsi="宋体" w:eastAsia="宋体" w:cs="宋体"/>
                <w:b/>
                <w:color w:val="auto"/>
                <w:sz w:val="24"/>
              </w:rPr>
            </w:pPr>
          </w:p>
        </w:tc>
        <w:tc>
          <w:tcPr>
            <w:tcW w:w="1041" w:type="dxa"/>
            <w:noWrap w:val="0"/>
            <w:vAlign w:val="center"/>
          </w:tcPr>
          <w:p w14:paraId="564CA4F3">
            <w:pPr>
              <w:jc w:val="center"/>
              <w:rPr>
                <w:rFonts w:hint="eastAsia" w:ascii="宋体" w:hAnsi="宋体" w:eastAsia="宋体" w:cs="宋体"/>
                <w:b/>
                <w:color w:val="auto"/>
                <w:sz w:val="24"/>
              </w:rPr>
            </w:pPr>
          </w:p>
        </w:tc>
        <w:tc>
          <w:tcPr>
            <w:tcW w:w="1041" w:type="dxa"/>
            <w:noWrap w:val="0"/>
            <w:vAlign w:val="center"/>
          </w:tcPr>
          <w:p w14:paraId="21E767C3">
            <w:pPr>
              <w:jc w:val="center"/>
              <w:rPr>
                <w:rFonts w:hint="eastAsia" w:ascii="宋体" w:hAnsi="宋体" w:eastAsia="宋体" w:cs="宋体"/>
                <w:b/>
                <w:color w:val="auto"/>
                <w:sz w:val="24"/>
              </w:rPr>
            </w:pPr>
          </w:p>
        </w:tc>
        <w:tc>
          <w:tcPr>
            <w:tcW w:w="1041" w:type="dxa"/>
            <w:noWrap w:val="0"/>
            <w:vAlign w:val="center"/>
          </w:tcPr>
          <w:p w14:paraId="678E0C32">
            <w:pPr>
              <w:jc w:val="center"/>
              <w:rPr>
                <w:rFonts w:hint="eastAsia" w:ascii="宋体" w:hAnsi="宋体" w:eastAsia="宋体" w:cs="宋体"/>
                <w:b/>
                <w:color w:val="auto"/>
                <w:sz w:val="24"/>
              </w:rPr>
            </w:pPr>
          </w:p>
        </w:tc>
        <w:tc>
          <w:tcPr>
            <w:tcW w:w="1170" w:type="dxa"/>
            <w:noWrap w:val="0"/>
            <w:vAlign w:val="center"/>
          </w:tcPr>
          <w:p w14:paraId="3AA15DDE">
            <w:pPr>
              <w:jc w:val="center"/>
              <w:rPr>
                <w:rFonts w:hint="eastAsia" w:ascii="宋体" w:hAnsi="宋体" w:eastAsia="宋体" w:cs="宋体"/>
                <w:b/>
                <w:color w:val="auto"/>
                <w:sz w:val="24"/>
              </w:rPr>
            </w:pPr>
          </w:p>
        </w:tc>
        <w:tc>
          <w:tcPr>
            <w:tcW w:w="1170" w:type="dxa"/>
            <w:noWrap w:val="0"/>
            <w:vAlign w:val="center"/>
          </w:tcPr>
          <w:p w14:paraId="78CD23CB">
            <w:pPr>
              <w:jc w:val="center"/>
              <w:rPr>
                <w:rFonts w:hint="eastAsia" w:ascii="宋体" w:hAnsi="宋体" w:eastAsia="宋体" w:cs="宋体"/>
                <w:b/>
                <w:color w:val="auto"/>
                <w:sz w:val="24"/>
              </w:rPr>
            </w:pPr>
          </w:p>
        </w:tc>
      </w:tr>
      <w:tr w14:paraId="65FE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117E28B7">
            <w:pPr>
              <w:jc w:val="center"/>
              <w:rPr>
                <w:rFonts w:hint="eastAsia" w:ascii="宋体" w:hAnsi="宋体" w:eastAsia="宋体" w:cs="宋体"/>
                <w:b/>
                <w:color w:val="auto"/>
                <w:sz w:val="24"/>
              </w:rPr>
            </w:pPr>
          </w:p>
        </w:tc>
        <w:tc>
          <w:tcPr>
            <w:tcW w:w="928" w:type="dxa"/>
            <w:noWrap w:val="0"/>
            <w:vAlign w:val="center"/>
          </w:tcPr>
          <w:p w14:paraId="2A423150">
            <w:pPr>
              <w:jc w:val="center"/>
              <w:rPr>
                <w:rFonts w:hint="eastAsia" w:ascii="宋体" w:hAnsi="宋体" w:eastAsia="宋体" w:cs="宋体"/>
                <w:b/>
                <w:color w:val="auto"/>
                <w:sz w:val="24"/>
              </w:rPr>
            </w:pPr>
          </w:p>
        </w:tc>
        <w:tc>
          <w:tcPr>
            <w:tcW w:w="928" w:type="dxa"/>
            <w:noWrap w:val="0"/>
            <w:vAlign w:val="center"/>
          </w:tcPr>
          <w:p w14:paraId="02183B58">
            <w:pPr>
              <w:jc w:val="center"/>
              <w:rPr>
                <w:rFonts w:hint="eastAsia" w:ascii="宋体" w:hAnsi="宋体" w:eastAsia="宋体" w:cs="宋体"/>
                <w:b/>
                <w:color w:val="auto"/>
                <w:sz w:val="24"/>
              </w:rPr>
            </w:pPr>
          </w:p>
        </w:tc>
        <w:tc>
          <w:tcPr>
            <w:tcW w:w="1041" w:type="dxa"/>
            <w:noWrap w:val="0"/>
            <w:vAlign w:val="center"/>
          </w:tcPr>
          <w:p w14:paraId="6A734C98">
            <w:pPr>
              <w:jc w:val="center"/>
              <w:rPr>
                <w:rFonts w:hint="eastAsia" w:ascii="宋体" w:hAnsi="宋体" w:eastAsia="宋体" w:cs="宋体"/>
                <w:b/>
                <w:color w:val="auto"/>
                <w:sz w:val="24"/>
              </w:rPr>
            </w:pPr>
          </w:p>
        </w:tc>
        <w:tc>
          <w:tcPr>
            <w:tcW w:w="1041" w:type="dxa"/>
            <w:noWrap w:val="0"/>
            <w:vAlign w:val="center"/>
          </w:tcPr>
          <w:p w14:paraId="20F62C41">
            <w:pPr>
              <w:jc w:val="center"/>
              <w:rPr>
                <w:rFonts w:hint="eastAsia" w:ascii="宋体" w:hAnsi="宋体" w:eastAsia="宋体" w:cs="宋体"/>
                <w:b/>
                <w:color w:val="auto"/>
                <w:sz w:val="24"/>
              </w:rPr>
            </w:pPr>
          </w:p>
        </w:tc>
        <w:tc>
          <w:tcPr>
            <w:tcW w:w="1041" w:type="dxa"/>
            <w:noWrap w:val="0"/>
            <w:vAlign w:val="center"/>
          </w:tcPr>
          <w:p w14:paraId="6DC8275B">
            <w:pPr>
              <w:jc w:val="center"/>
              <w:rPr>
                <w:rFonts w:hint="eastAsia" w:ascii="宋体" w:hAnsi="宋体" w:eastAsia="宋体" w:cs="宋体"/>
                <w:b/>
                <w:color w:val="auto"/>
                <w:sz w:val="24"/>
              </w:rPr>
            </w:pPr>
          </w:p>
        </w:tc>
        <w:tc>
          <w:tcPr>
            <w:tcW w:w="1041" w:type="dxa"/>
            <w:noWrap w:val="0"/>
            <w:vAlign w:val="center"/>
          </w:tcPr>
          <w:p w14:paraId="0AAD6CCA">
            <w:pPr>
              <w:jc w:val="center"/>
              <w:rPr>
                <w:rFonts w:hint="eastAsia" w:ascii="宋体" w:hAnsi="宋体" w:eastAsia="宋体" w:cs="宋体"/>
                <w:b/>
                <w:color w:val="auto"/>
                <w:sz w:val="24"/>
              </w:rPr>
            </w:pPr>
          </w:p>
        </w:tc>
        <w:tc>
          <w:tcPr>
            <w:tcW w:w="1170" w:type="dxa"/>
            <w:noWrap w:val="0"/>
            <w:vAlign w:val="center"/>
          </w:tcPr>
          <w:p w14:paraId="3163FCB7">
            <w:pPr>
              <w:jc w:val="center"/>
              <w:rPr>
                <w:rFonts w:hint="eastAsia" w:ascii="宋体" w:hAnsi="宋体" w:eastAsia="宋体" w:cs="宋体"/>
                <w:b/>
                <w:color w:val="auto"/>
                <w:sz w:val="24"/>
              </w:rPr>
            </w:pPr>
          </w:p>
        </w:tc>
        <w:tc>
          <w:tcPr>
            <w:tcW w:w="1170" w:type="dxa"/>
            <w:noWrap w:val="0"/>
            <w:vAlign w:val="center"/>
          </w:tcPr>
          <w:p w14:paraId="0C8E091E">
            <w:pPr>
              <w:jc w:val="center"/>
              <w:rPr>
                <w:rFonts w:hint="eastAsia" w:ascii="宋体" w:hAnsi="宋体" w:eastAsia="宋体" w:cs="宋体"/>
                <w:b/>
                <w:color w:val="auto"/>
                <w:sz w:val="24"/>
              </w:rPr>
            </w:pPr>
          </w:p>
        </w:tc>
      </w:tr>
      <w:tr w14:paraId="3891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21E12A26">
            <w:pPr>
              <w:jc w:val="center"/>
              <w:rPr>
                <w:rFonts w:hint="eastAsia" w:ascii="宋体" w:hAnsi="宋体" w:eastAsia="宋体" w:cs="宋体"/>
                <w:b/>
                <w:color w:val="auto"/>
                <w:sz w:val="24"/>
              </w:rPr>
            </w:pPr>
          </w:p>
        </w:tc>
        <w:tc>
          <w:tcPr>
            <w:tcW w:w="928" w:type="dxa"/>
            <w:noWrap w:val="0"/>
            <w:vAlign w:val="center"/>
          </w:tcPr>
          <w:p w14:paraId="60B0C20E">
            <w:pPr>
              <w:jc w:val="center"/>
              <w:rPr>
                <w:rFonts w:hint="eastAsia" w:ascii="宋体" w:hAnsi="宋体" w:eastAsia="宋体" w:cs="宋体"/>
                <w:b/>
                <w:color w:val="auto"/>
                <w:sz w:val="24"/>
              </w:rPr>
            </w:pPr>
          </w:p>
        </w:tc>
        <w:tc>
          <w:tcPr>
            <w:tcW w:w="928" w:type="dxa"/>
            <w:noWrap w:val="0"/>
            <w:vAlign w:val="center"/>
          </w:tcPr>
          <w:p w14:paraId="2061D430">
            <w:pPr>
              <w:jc w:val="center"/>
              <w:rPr>
                <w:rFonts w:hint="eastAsia" w:ascii="宋体" w:hAnsi="宋体" w:eastAsia="宋体" w:cs="宋体"/>
                <w:b/>
                <w:color w:val="auto"/>
                <w:sz w:val="24"/>
              </w:rPr>
            </w:pPr>
          </w:p>
        </w:tc>
        <w:tc>
          <w:tcPr>
            <w:tcW w:w="1041" w:type="dxa"/>
            <w:noWrap w:val="0"/>
            <w:vAlign w:val="center"/>
          </w:tcPr>
          <w:p w14:paraId="07AC12EB">
            <w:pPr>
              <w:jc w:val="center"/>
              <w:rPr>
                <w:rFonts w:hint="eastAsia" w:ascii="宋体" w:hAnsi="宋体" w:eastAsia="宋体" w:cs="宋体"/>
                <w:b/>
                <w:color w:val="auto"/>
                <w:sz w:val="24"/>
              </w:rPr>
            </w:pPr>
          </w:p>
        </w:tc>
        <w:tc>
          <w:tcPr>
            <w:tcW w:w="1041" w:type="dxa"/>
            <w:noWrap w:val="0"/>
            <w:vAlign w:val="center"/>
          </w:tcPr>
          <w:p w14:paraId="7B38C87F">
            <w:pPr>
              <w:jc w:val="center"/>
              <w:rPr>
                <w:rFonts w:hint="eastAsia" w:ascii="宋体" w:hAnsi="宋体" w:eastAsia="宋体" w:cs="宋体"/>
                <w:b/>
                <w:color w:val="auto"/>
                <w:sz w:val="24"/>
              </w:rPr>
            </w:pPr>
          </w:p>
        </w:tc>
        <w:tc>
          <w:tcPr>
            <w:tcW w:w="1041" w:type="dxa"/>
            <w:noWrap w:val="0"/>
            <w:vAlign w:val="center"/>
          </w:tcPr>
          <w:p w14:paraId="42DFADC3">
            <w:pPr>
              <w:jc w:val="center"/>
              <w:rPr>
                <w:rFonts w:hint="eastAsia" w:ascii="宋体" w:hAnsi="宋体" w:eastAsia="宋体" w:cs="宋体"/>
                <w:b/>
                <w:color w:val="auto"/>
                <w:sz w:val="24"/>
              </w:rPr>
            </w:pPr>
          </w:p>
        </w:tc>
        <w:tc>
          <w:tcPr>
            <w:tcW w:w="1041" w:type="dxa"/>
            <w:noWrap w:val="0"/>
            <w:vAlign w:val="center"/>
          </w:tcPr>
          <w:p w14:paraId="403551A7">
            <w:pPr>
              <w:jc w:val="center"/>
              <w:rPr>
                <w:rFonts w:hint="eastAsia" w:ascii="宋体" w:hAnsi="宋体" w:eastAsia="宋体" w:cs="宋体"/>
                <w:b/>
                <w:color w:val="auto"/>
                <w:sz w:val="24"/>
              </w:rPr>
            </w:pPr>
          </w:p>
        </w:tc>
        <w:tc>
          <w:tcPr>
            <w:tcW w:w="1170" w:type="dxa"/>
            <w:noWrap w:val="0"/>
            <w:vAlign w:val="center"/>
          </w:tcPr>
          <w:p w14:paraId="1608E6C4">
            <w:pPr>
              <w:jc w:val="center"/>
              <w:rPr>
                <w:rFonts w:hint="eastAsia" w:ascii="宋体" w:hAnsi="宋体" w:eastAsia="宋体" w:cs="宋体"/>
                <w:b/>
                <w:color w:val="auto"/>
                <w:sz w:val="24"/>
              </w:rPr>
            </w:pPr>
          </w:p>
        </w:tc>
        <w:tc>
          <w:tcPr>
            <w:tcW w:w="1170" w:type="dxa"/>
            <w:noWrap w:val="0"/>
            <w:vAlign w:val="center"/>
          </w:tcPr>
          <w:p w14:paraId="62CD8897">
            <w:pPr>
              <w:jc w:val="center"/>
              <w:rPr>
                <w:rFonts w:hint="eastAsia" w:ascii="宋体" w:hAnsi="宋体" w:eastAsia="宋体" w:cs="宋体"/>
                <w:b/>
                <w:color w:val="auto"/>
                <w:sz w:val="24"/>
              </w:rPr>
            </w:pPr>
          </w:p>
        </w:tc>
      </w:tr>
    </w:tbl>
    <w:p w14:paraId="54D5DE86">
      <w:pPr>
        <w:rPr>
          <w:rFonts w:hint="eastAsia" w:ascii="宋体" w:hAnsi="宋体" w:eastAsia="宋体" w:cs="宋体"/>
          <w:b/>
          <w:color w:val="auto"/>
          <w:kern w:val="0"/>
          <w:szCs w:val="21"/>
        </w:rPr>
      </w:pPr>
      <w:r>
        <w:rPr>
          <w:rFonts w:hint="eastAsia" w:ascii="宋体" w:hAnsi="宋体" w:eastAsia="宋体" w:cs="宋体"/>
          <w:b/>
          <w:color w:val="auto"/>
          <w:kern w:val="0"/>
          <w:szCs w:val="21"/>
        </w:rPr>
        <w:t>【备注：附以上各岗位人员资格证件等</w:t>
      </w:r>
      <w:r>
        <w:rPr>
          <w:rFonts w:hint="eastAsia" w:ascii="宋体" w:hAnsi="宋体" w:cs="宋体"/>
          <w:b/>
          <w:color w:val="auto"/>
          <w:kern w:val="0"/>
          <w:szCs w:val="21"/>
          <w:lang w:val="en-US" w:eastAsia="zh-CN"/>
        </w:rPr>
        <w:t>扫描</w:t>
      </w:r>
      <w:r>
        <w:rPr>
          <w:rFonts w:hint="eastAsia" w:ascii="宋体" w:hAnsi="宋体" w:eastAsia="宋体" w:cs="宋体"/>
          <w:b/>
          <w:color w:val="auto"/>
          <w:kern w:val="0"/>
          <w:szCs w:val="21"/>
        </w:rPr>
        <w:t>件，以及供应商认为需要增加的其他证明材料</w:t>
      </w:r>
      <w:r>
        <w:rPr>
          <w:rFonts w:hint="eastAsia" w:ascii="宋体" w:hAnsi="宋体" w:cs="宋体"/>
          <w:b/>
          <w:color w:val="auto"/>
          <w:kern w:val="0"/>
          <w:szCs w:val="21"/>
          <w:lang w:val="en-US" w:eastAsia="zh-CN"/>
        </w:rPr>
        <w:t>扫描</w:t>
      </w:r>
      <w:r>
        <w:rPr>
          <w:rFonts w:hint="eastAsia" w:ascii="宋体" w:hAnsi="宋体" w:eastAsia="宋体" w:cs="宋体"/>
          <w:b/>
          <w:color w:val="auto"/>
          <w:kern w:val="0"/>
          <w:szCs w:val="21"/>
        </w:rPr>
        <w:t>件，以上</w:t>
      </w:r>
      <w:r>
        <w:rPr>
          <w:rFonts w:hint="eastAsia" w:ascii="宋体" w:hAnsi="宋体" w:cs="宋体"/>
          <w:b/>
          <w:color w:val="auto"/>
          <w:kern w:val="0"/>
          <w:szCs w:val="21"/>
          <w:lang w:val="en-US" w:eastAsia="zh-CN"/>
        </w:rPr>
        <w:t>扫描</w:t>
      </w:r>
      <w:r>
        <w:rPr>
          <w:rFonts w:hint="eastAsia" w:ascii="宋体" w:hAnsi="宋体" w:eastAsia="宋体" w:cs="宋体"/>
          <w:b/>
          <w:color w:val="auto"/>
          <w:kern w:val="0"/>
          <w:szCs w:val="21"/>
        </w:rPr>
        <w:t>件页面均须加盖供应商单位</w:t>
      </w:r>
      <w:r>
        <w:rPr>
          <w:rFonts w:hint="eastAsia" w:ascii="宋体" w:hAnsi="宋体" w:cs="宋体"/>
          <w:b/>
          <w:color w:val="auto"/>
          <w:kern w:val="0"/>
          <w:szCs w:val="21"/>
          <w:lang w:val="en-US" w:eastAsia="zh-CN"/>
        </w:rPr>
        <w:t>电子</w:t>
      </w:r>
      <w:r>
        <w:rPr>
          <w:rFonts w:hint="eastAsia" w:ascii="宋体" w:hAnsi="宋体" w:eastAsia="宋体" w:cs="宋体"/>
          <w:b/>
          <w:color w:val="auto"/>
          <w:kern w:val="0"/>
          <w:szCs w:val="21"/>
        </w:rPr>
        <w:t>公章</w:t>
      </w:r>
      <w:r>
        <w:rPr>
          <w:rFonts w:hint="eastAsia" w:ascii="宋体" w:hAnsi="宋体" w:cs="宋体"/>
          <w:b/>
          <w:color w:val="auto"/>
          <w:kern w:val="0"/>
          <w:szCs w:val="21"/>
          <w:lang w:eastAsia="zh-CN"/>
        </w:rPr>
        <w:t>】</w:t>
      </w:r>
    </w:p>
    <w:p w14:paraId="30A4DA64">
      <w:pPr>
        <w:spacing w:line="360" w:lineRule="auto"/>
        <w:rPr>
          <w:rFonts w:hint="eastAsia" w:ascii="宋体" w:hAnsi="宋体" w:eastAsia="宋体" w:cs="宋体"/>
          <w:color w:val="auto"/>
          <w:kern w:val="0"/>
          <w:sz w:val="24"/>
        </w:rPr>
      </w:pPr>
    </w:p>
    <w:p w14:paraId="59664E99">
      <w:pPr>
        <w:pStyle w:val="35"/>
        <w:rPr>
          <w:rFonts w:hint="eastAsia" w:ascii="宋体" w:hAnsi="宋体" w:eastAsia="宋体" w:cs="宋体"/>
          <w:color w:val="auto"/>
          <w:kern w:val="0"/>
          <w:sz w:val="24"/>
        </w:rPr>
      </w:pPr>
    </w:p>
    <w:p w14:paraId="24B6793D">
      <w:pPr>
        <w:pStyle w:val="36"/>
        <w:rPr>
          <w:rFonts w:hint="eastAsia" w:ascii="宋体" w:hAnsi="宋体" w:eastAsia="宋体" w:cs="宋体"/>
          <w:color w:val="auto"/>
          <w:kern w:val="0"/>
          <w:sz w:val="24"/>
        </w:rPr>
      </w:pPr>
    </w:p>
    <w:p w14:paraId="137CAAE4">
      <w:pPr>
        <w:rPr>
          <w:rFonts w:hint="eastAsia" w:ascii="宋体" w:hAnsi="宋体" w:eastAsia="宋体" w:cs="宋体"/>
          <w:color w:val="auto"/>
          <w:kern w:val="0"/>
          <w:sz w:val="24"/>
        </w:rPr>
      </w:pPr>
    </w:p>
    <w:p w14:paraId="6864520A">
      <w:pPr>
        <w:pStyle w:val="35"/>
        <w:rPr>
          <w:rFonts w:hint="eastAsia" w:ascii="宋体" w:hAnsi="宋体" w:eastAsia="宋体" w:cs="宋体"/>
          <w:color w:val="auto"/>
          <w:kern w:val="0"/>
          <w:sz w:val="24"/>
        </w:rPr>
      </w:pPr>
    </w:p>
    <w:p w14:paraId="4590C36F">
      <w:pPr>
        <w:spacing w:line="300" w:lineRule="auto"/>
        <w:rPr>
          <w:rFonts w:hint="eastAsia" w:ascii="宋体" w:hAnsi="宋体"/>
          <w:b/>
          <w:bCs/>
          <w:color w:val="auto"/>
          <w:sz w:val="24"/>
        </w:rPr>
      </w:pPr>
    </w:p>
    <w:p w14:paraId="46346CB4">
      <w:pPr>
        <w:spacing w:line="300" w:lineRule="auto"/>
        <w:rPr>
          <w:rFonts w:hint="eastAsia" w:ascii="方正小标宋简体" w:hAnsi="方正小标宋简体" w:eastAsia="方正小标宋简体" w:cs="方正小标宋简体"/>
          <w:color w:val="auto"/>
          <w:sz w:val="40"/>
          <w:szCs w:val="40"/>
          <w:highlight w:val="none"/>
        </w:rPr>
      </w:pPr>
      <w:r>
        <w:rPr>
          <w:rFonts w:hint="eastAsia" w:ascii="宋体" w:hAnsi="宋体"/>
          <w:b/>
          <w:bCs/>
          <w:color w:val="auto"/>
          <w:sz w:val="24"/>
        </w:rPr>
        <w:t>其他文书、文件格式</w:t>
      </w:r>
    </w:p>
    <w:p w14:paraId="32F12C8B">
      <w:pPr>
        <w:spacing w:line="360" w:lineRule="auto"/>
        <w:jc w:val="center"/>
        <w:rPr>
          <w:rFonts w:hint="eastAsia" w:ascii="宋体" w:hAnsi="宋体"/>
          <w:b/>
          <w:bCs/>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质疑函（格式）</w:t>
      </w:r>
    </w:p>
    <w:p w14:paraId="1D7CE7DC">
      <w:pPr>
        <w:pStyle w:val="15"/>
        <w:spacing w:line="360" w:lineRule="auto"/>
        <w:ind w:firstLine="442" w:firstLineChars="200"/>
        <w:contextualSpacing/>
        <w:rPr>
          <w:rFonts w:hAnsi="宋体"/>
          <w:b/>
          <w:bCs/>
          <w:color w:val="auto"/>
          <w:sz w:val="22"/>
          <w:szCs w:val="22"/>
          <w:highlight w:val="none"/>
        </w:rPr>
      </w:pPr>
      <w:r>
        <w:rPr>
          <w:rFonts w:hint="eastAsia" w:hAnsi="宋体"/>
          <w:b/>
          <w:bCs/>
          <w:color w:val="auto"/>
          <w:sz w:val="22"/>
          <w:szCs w:val="22"/>
          <w:highlight w:val="none"/>
        </w:rPr>
        <w:t>一、质疑供应商基本信息：</w:t>
      </w:r>
    </w:p>
    <w:p w14:paraId="63A3629A">
      <w:pPr>
        <w:pStyle w:val="15"/>
        <w:spacing w:line="360" w:lineRule="auto"/>
        <w:ind w:firstLine="440" w:firstLineChars="200"/>
        <w:contextualSpacing/>
        <w:rPr>
          <w:rFonts w:hint="eastAsia" w:hAnsi="宋体"/>
          <w:bCs/>
          <w:color w:val="auto"/>
          <w:sz w:val="22"/>
          <w:szCs w:val="22"/>
          <w:highlight w:val="none"/>
          <w:u w:val="single"/>
        </w:rPr>
      </w:pPr>
      <w:r>
        <w:rPr>
          <w:rFonts w:hint="eastAsia" w:hAnsi="宋体"/>
          <w:bCs/>
          <w:color w:val="auto"/>
          <w:sz w:val="22"/>
          <w:szCs w:val="22"/>
          <w:highlight w:val="none"/>
        </w:rPr>
        <w:t>质疑供应商：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789AF0B">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5A380A04">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联系人</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C2A9CF6">
      <w:pPr>
        <w:pStyle w:val="15"/>
        <w:spacing w:line="360" w:lineRule="auto"/>
        <w:ind w:firstLine="440" w:firstLineChars="200"/>
        <w:contextualSpacing/>
        <w:rPr>
          <w:rFonts w:hint="eastAsia" w:hAnsi="宋体"/>
          <w:bCs/>
          <w:color w:val="auto"/>
          <w:sz w:val="22"/>
          <w:szCs w:val="22"/>
          <w:highlight w:val="non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p>
    <w:p w14:paraId="7444DD22">
      <w:pPr>
        <w:pStyle w:val="15"/>
        <w:spacing w:line="360" w:lineRule="auto"/>
        <w:ind w:firstLine="440" w:firstLineChars="200"/>
        <w:contextualSpacing/>
        <w:rPr>
          <w:rFonts w:hint="eastAsia" w:hAnsi="宋体"/>
          <w:bCs/>
          <w:color w:val="auto"/>
          <w:sz w:val="22"/>
          <w:szCs w:val="22"/>
          <w:highlight w:val="none"/>
          <w:u w:val="single"/>
        </w:rPr>
      </w:pP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0CA52A44">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05D22E4B">
      <w:pPr>
        <w:pStyle w:val="15"/>
        <w:spacing w:line="360" w:lineRule="auto"/>
        <w:ind w:firstLine="442" w:firstLineChars="200"/>
        <w:contextualSpacing/>
        <w:rPr>
          <w:rFonts w:hint="eastAsia" w:hAnsi="宋体"/>
          <w:b/>
          <w:bCs/>
          <w:color w:val="auto"/>
          <w:sz w:val="22"/>
          <w:szCs w:val="22"/>
          <w:highlight w:val="none"/>
        </w:rPr>
      </w:pPr>
      <w:r>
        <w:rPr>
          <w:rFonts w:hint="eastAsia" w:hAnsi="宋体"/>
          <w:b/>
          <w:bCs/>
          <w:color w:val="auto"/>
          <w:sz w:val="22"/>
          <w:szCs w:val="22"/>
          <w:highlight w:val="none"/>
        </w:rPr>
        <w:t>二、质疑项目基本情况：</w:t>
      </w:r>
    </w:p>
    <w:p w14:paraId="5389B17F">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6B319285">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7609A5AA">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1335E072">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w:t>
      </w:r>
    </w:p>
    <w:p w14:paraId="66F5C526">
      <w:pPr>
        <w:pStyle w:val="15"/>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□采购文件   采购文件获取日期：</w:t>
      </w:r>
      <w:r>
        <w:rPr>
          <w:rFonts w:hint="eastAsia" w:hAnsi="宋体"/>
          <w:bCs/>
          <w:color w:val="auto"/>
          <w:sz w:val="22"/>
          <w:szCs w:val="22"/>
          <w:highlight w:val="none"/>
          <w:u w:val="single"/>
        </w:rPr>
        <w:t xml:space="preserve">                                   </w:t>
      </w:r>
    </w:p>
    <w:p w14:paraId="6EC1C65A">
      <w:pPr>
        <w:pStyle w:val="15"/>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 xml:space="preserve">□采购过程   </w:t>
      </w:r>
    </w:p>
    <w:p w14:paraId="384BBCC8">
      <w:pPr>
        <w:pStyle w:val="15"/>
        <w:spacing w:line="360" w:lineRule="auto"/>
        <w:ind w:left="25" w:leftChars="12" w:firstLine="323" w:firstLineChars="147"/>
        <w:contextualSpacing/>
        <w:rPr>
          <w:rFonts w:hint="eastAsia" w:hAnsi="宋体"/>
          <w:bCs/>
          <w:color w:val="auto"/>
          <w:sz w:val="22"/>
          <w:szCs w:val="22"/>
          <w:highlight w:val="none"/>
          <w:u w:val="single"/>
        </w:rPr>
      </w:pPr>
      <w:r>
        <w:rPr>
          <w:rFonts w:hint="eastAsia" w:hAnsi="宋体"/>
          <w:color w:val="auto"/>
          <w:sz w:val="22"/>
          <w:szCs w:val="22"/>
          <w:highlight w:val="none"/>
        </w:rPr>
        <w:t xml:space="preserve">□成交结果   </w:t>
      </w:r>
    </w:p>
    <w:p w14:paraId="1B5D8150">
      <w:pPr>
        <w:pStyle w:val="15"/>
        <w:spacing w:line="360" w:lineRule="auto"/>
        <w:ind w:left="25" w:leftChars="12" w:firstLine="433" w:firstLineChars="196"/>
        <w:contextualSpacing/>
        <w:rPr>
          <w:rFonts w:hint="eastAsia" w:hAnsi="宋体"/>
          <w:b/>
          <w:color w:val="auto"/>
          <w:sz w:val="22"/>
          <w:szCs w:val="22"/>
          <w:highlight w:val="none"/>
        </w:rPr>
      </w:pPr>
      <w:r>
        <w:rPr>
          <w:rFonts w:hint="eastAsia" w:hAnsi="宋体"/>
          <w:b/>
          <w:color w:val="auto"/>
          <w:sz w:val="22"/>
          <w:szCs w:val="22"/>
          <w:highlight w:val="none"/>
        </w:rPr>
        <w:t>三、质疑事项具体内容</w:t>
      </w:r>
    </w:p>
    <w:p w14:paraId="29C1B4C1">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质疑事项1：</w:t>
      </w:r>
      <w:r>
        <w:rPr>
          <w:rFonts w:hint="eastAsia" w:hAnsi="宋体"/>
          <w:bCs/>
          <w:color w:val="auto"/>
          <w:sz w:val="22"/>
          <w:szCs w:val="22"/>
          <w:highlight w:val="none"/>
          <w:u w:val="single"/>
        </w:rPr>
        <w:t xml:space="preserve">                                                                    </w:t>
      </w:r>
    </w:p>
    <w:p w14:paraId="673C1938">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事实依据：</w:t>
      </w:r>
      <w:r>
        <w:rPr>
          <w:rFonts w:hint="eastAsia" w:hAnsi="宋体"/>
          <w:bCs/>
          <w:color w:val="auto"/>
          <w:sz w:val="22"/>
          <w:szCs w:val="22"/>
          <w:highlight w:val="none"/>
          <w:u w:val="single"/>
        </w:rPr>
        <w:t xml:space="preserve">                                                                      </w:t>
      </w:r>
    </w:p>
    <w:p w14:paraId="5BAA31D6">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法律依据：</w:t>
      </w:r>
      <w:r>
        <w:rPr>
          <w:rFonts w:hint="eastAsia" w:hAnsi="宋体"/>
          <w:color w:val="auto"/>
          <w:sz w:val="22"/>
          <w:szCs w:val="22"/>
          <w:highlight w:val="none"/>
          <w:u w:val="single"/>
        </w:rPr>
        <w:t xml:space="preserve">                                                        </w:t>
      </w:r>
      <w:r>
        <w:rPr>
          <w:rFonts w:hint="eastAsia" w:hAnsi="宋体"/>
          <w:bCs/>
          <w:color w:val="auto"/>
          <w:sz w:val="22"/>
          <w:szCs w:val="22"/>
          <w:highlight w:val="none"/>
          <w:u w:val="single"/>
        </w:rPr>
        <w:t xml:space="preserve">               </w:t>
      </w:r>
    </w:p>
    <w:p w14:paraId="3B6AC8E9">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质疑事项2</w:t>
      </w:r>
    </w:p>
    <w:p w14:paraId="24ADB446">
      <w:pPr>
        <w:pStyle w:val="15"/>
        <w:spacing w:line="360" w:lineRule="auto"/>
        <w:ind w:left="25" w:leftChars="12" w:firstLine="433" w:firstLineChars="197"/>
        <w:contextualSpacing/>
        <w:rPr>
          <w:rFonts w:hint="eastAsia" w:hAnsi="宋体"/>
          <w:color w:val="auto"/>
          <w:sz w:val="22"/>
          <w:szCs w:val="22"/>
          <w:highlight w:val="none"/>
        </w:rPr>
      </w:pPr>
      <w:r>
        <w:rPr>
          <w:rFonts w:hAnsi="宋体"/>
          <w:color w:val="auto"/>
          <w:sz w:val="22"/>
          <w:szCs w:val="22"/>
          <w:highlight w:val="none"/>
        </w:rPr>
        <w:t>……</w:t>
      </w:r>
    </w:p>
    <w:p w14:paraId="09E47AAE">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四、与质疑事项相关的质疑请求：</w:t>
      </w:r>
    </w:p>
    <w:p w14:paraId="37B9D65C">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6BF2A682">
      <w:pPr>
        <w:pStyle w:val="15"/>
        <w:spacing w:line="360" w:lineRule="auto"/>
        <w:ind w:left="25" w:leftChars="12" w:firstLine="323" w:firstLineChars="147"/>
        <w:contextualSpacing/>
        <w:rPr>
          <w:rFonts w:hint="eastAsia" w:hAnsi="宋体"/>
          <w:color w:val="auto"/>
          <w:sz w:val="22"/>
          <w:szCs w:val="22"/>
          <w:highlight w:val="none"/>
        </w:rPr>
      </w:pPr>
    </w:p>
    <w:p w14:paraId="7FD126C4">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签字（签章）：                                       公章：</w:t>
      </w:r>
    </w:p>
    <w:p w14:paraId="39722EA2">
      <w:pPr>
        <w:pStyle w:val="15"/>
        <w:spacing w:line="360" w:lineRule="auto"/>
        <w:ind w:firstLine="440" w:firstLineChars="200"/>
        <w:contextualSpacing/>
        <w:rPr>
          <w:rFonts w:hint="eastAsia" w:hAnsi="宋体"/>
          <w:b/>
          <w:color w:val="auto"/>
          <w:sz w:val="22"/>
          <w:szCs w:val="22"/>
          <w:highlight w:val="none"/>
        </w:rPr>
      </w:pPr>
      <w:r>
        <w:rPr>
          <w:rFonts w:hint="eastAsia" w:hAnsi="宋体"/>
          <w:color w:val="auto"/>
          <w:sz w:val="22"/>
          <w:szCs w:val="22"/>
          <w:highlight w:val="none"/>
        </w:rPr>
        <w:t>日期：</w:t>
      </w:r>
    </w:p>
    <w:p w14:paraId="7E912513">
      <w:pPr>
        <w:pStyle w:val="15"/>
        <w:spacing w:line="360" w:lineRule="auto"/>
        <w:contextualSpacing/>
        <w:rPr>
          <w:rFonts w:hint="eastAsia" w:hAnsi="宋体"/>
          <w:b/>
          <w:color w:val="auto"/>
          <w:sz w:val="22"/>
          <w:szCs w:val="22"/>
          <w:highlight w:val="none"/>
        </w:rPr>
      </w:pPr>
    </w:p>
    <w:p w14:paraId="614B2D06">
      <w:pPr>
        <w:pStyle w:val="15"/>
        <w:spacing w:line="360" w:lineRule="auto"/>
        <w:contextualSpacing/>
        <w:rPr>
          <w:rFonts w:hint="eastAsia" w:hAnsi="宋体"/>
          <w:b/>
          <w:color w:val="auto"/>
          <w:sz w:val="22"/>
          <w:szCs w:val="22"/>
          <w:highlight w:val="none"/>
        </w:rPr>
      </w:pPr>
    </w:p>
    <w:p w14:paraId="0A1D31DF">
      <w:pPr>
        <w:pStyle w:val="15"/>
        <w:spacing w:line="360" w:lineRule="auto"/>
        <w:contextualSpacing/>
        <w:rPr>
          <w:rFonts w:hint="eastAsia" w:hAnsi="宋体"/>
          <w:b/>
          <w:color w:val="auto"/>
          <w:sz w:val="22"/>
          <w:szCs w:val="22"/>
          <w:highlight w:val="none"/>
        </w:rPr>
      </w:pPr>
      <w:r>
        <w:rPr>
          <w:rFonts w:hint="eastAsia" w:hAnsi="宋体"/>
          <w:b/>
          <w:color w:val="auto"/>
          <w:sz w:val="22"/>
          <w:szCs w:val="22"/>
          <w:highlight w:val="none"/>
        </w:rPr>
        <w:t>说明：</w:t>
      </w:r>
    </w:p>
    <w:p w14:paraId="7FED770A">
      <w:pPr>
        <w:pStyle w:val="15"/>
        <w:spacing w:line="360" w:lineRule="auto"/>
        <w:ind w:left="25" w:leftChars="12" w:firstLine="325" w:firstLineChars="147"/>
        <w:contextualSpacing/>
        <w:rPr>
          <w:rFonts w:hint="eastAsia" w:hAnsi="宋体"/>
          <w:b/>
          <w:bCs/>
          <w:color w:val="auto"/>
          <w:sz w:val="22"/>
          <w:szCs w:val="22"/>
          <w:highlight w:val="none"/>
        </w:rPr>
      </w:pPr>
      <w:r>
        <w:rPr>
          <w:rFonts w:hint="eastAsia" w:hAnsi="宋体"/>
          <w:b/>
          <w:color w:val="auto"/>
          <w:sz w:val="22"/>
          <w:szCs w:val="22"/>
          <w:highlight w:val="none"/>
        </w:rPr>
        <w:t>1.供应商提出质疑时，应提交质疑函和必要的证明材料</w:t>
      </w:r>
      <w:r>
        <w:rPr>
          <w:rFonts w:hint="eastAsia" w:hAnsi="宋体"/>
          <w:b/>
          <w:bCs/>
          <w:color w:val="auto"/>
          <w:sz w:val="22"/>
          <w:szCs w:val="22"/>
          <w:highlight w:val="none"/>
        </w:rPr>
        <w:t>。</w:t>
      </w:r>
    </w:p>
    <w:p w14:paraId="7CAFBFC8">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C55916A">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3.质疑函的质疑事项应具体、明确，并有必要的事实依据和法律依据。</w:t>
      </w:r>
    </w:p>
    <w:p w14:paraId="525BE9F8">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4.质疑函的质疑请求应与质疑事项相关。</w:t>
      </w:r>
    </w:p>
    <w:p w14:paraId="142181CC">
      <w:pPr>
        <w:pStyle w:val="15"/>
        <w:spacing w:line="360" w:lineRule="auto"/>
        <w:ind w:left="25" w:leftChars="12" w:firstLine="325" w:firstLineChars="147"/>
        <w:contextualSpacing/>
        <w:rPr>
          <w:rFonts w:hint="eastAsia" w:hAnsi="宋体"/>
          <w:b/>
          <w:color w:val="auto"/>
          <w:sz w:val="20"/>
          <w:szCs w:val="18"/>
          <w:highlight w:val="none"/>
        </w:rPr>
      </w:pPr>
      <w:r>
        <w:rPr>
          <w:rFonts w:hint="eastAsia" w:hAnsi="宋体"/>
          <w:b/>
          <w:color w:val="auto"/>
          <w:sz w:val="22"/>
          <w:szCs w:val="22"/>
          <w:highlight w:val="none"/>
        </w:rPr>
        <w:t>5.质疑供应商为法人或者其他组织的，质疑函应由法定代表人、主要负责人，或者其授权代表签字或者盖章，并加盖公章。</w:t>
      </w:r>
    </w:p>
    <w:p w14:paraId="205B35ED">
      <w:pPr>
        <w:pStyle w:val="15"/>
        <w:snapToGrid w:val="0"/>
        <w:rPr>
          <w:rFonts w:hint="eastAsia"/>
          <w:b/>
          <w:color w:val="auto"/>
          <w:sz w:val="22"/>
          <w:szCs w:val="22"/>
          <w:highlight w:val="none"/>
        </w:rPr>
      </w:pPr>
    </w:p>
    <w:p w14:paraId="0A55E938">
      <w:pPr>
        <w:rPr>
          <w:rFonts w:hint="eastAsia"/>
          <w:color w:val="auto"/>
          <w:sz w:val="28"/>
          <w:szCs w:val="36"/>
          <w:highlight w:val="none"/>
        </w:rPr>
      </w:pPr>
    </w:p>
    <w:p w14:paraId="1E2B5CFE">
      <w:pPr>
        <w:rPr>
          <w:rFonts w:hint="eastAsia"/>
          <w:color w:val="auto"/>
          <w:sz w:val="28"/>
          <w:szCs w:val="36"/>
          <w:highlight w:val="none"/>
        </w:rPr>
      </w:pPr>
    </w:p>
    <w:p w14:paraId="3849A1CA">
      <w:pPr>
        <w:rPr>
          <w:rFonts w:hint="eastAsia"/>
          <w:color w:val="auto"/>
          <w:sz w:val="28"/>
          <w:szCs w:val="36"/>
          <w:highlight w:val="none"/>
        </w:rPr>
      </w:pPr>
    </w:p>
    <w:p w14:paraId="126AED30">
      <w:pPr>
        <w:rPr>
          <w:rFonts w:hint="eastAsia"/>
          <w:color w:val="auto"/>
          <w:sz w:val="28"/>
          <w:szCs w:val="36"/>
          <w:highlight w:val="none"/>
        </w:rPr>
      </w:pPr>
    </w:p>
    <w:p w14:paraId="3ED7BB98">
      <w:pPr>
        <w:rPr>
          <w:rFonts w:hint="eastAsia"/>
          <w:color w:val="auto"/>
          <w:sz w:val="28"/>
          <w:szCs w:val="36"/>
          <w:highlight w:val="none"/>
        </w:rPr>
      </w:pPr>
    </w:p>
    <w:p w14:paraId="4EFFEB71">
      <w:pPr>
        <w:rPr>
          <w:rFonts w:hint="eastAsia"/>
          <w:color w:val="auto"/>
          <w:sz w:val="28"/>
          <w:szCs w:val="36"/>
          <w:highlight w:val="none"/>
        </w:rPr>
      </w:pPr>
    </w:p>
    <w:p w14:paraId="1E0D1001">
      <w:pPr>
        <w:rPr>
          <w:rFonts w:hint="eastAsia"/>
          <w:color w:val="auto"/>
          <w:sz w:val="28"/>
          <w:szCs w:val="36"/>
          <w:highlight w:val="none"/>
        </w:rPr>
      </w:pPr>
    </w:p>
    <w:p w14:paraId="5772D344">
      <w:pPr>
        <w:rPr>
          <w:rFonts w:hint="eastAsia"/>
          <w:color w:val="auto"/>
          <w:sz w:val="28"/>
          <w:szCs w:val="36"/>
          <w:highlight w:val="none"/>
        </w:rPr>
      </w:pPr>
    </w:p>
    <w:p w14:paraId="41545F65">
      <w:pPr>
        <w:rPr>
          <w:rFonts w:hint="eastAsia"/>
          <w:color w:val="auto"/>
          <w:sz w:val="28"/>
          <w:szCs w:val="36"/>
          <w:highlight w:val="none"/>
        </w:rPr>
      </w:pPr>
    </w:p>
    <w:p w14:paraId="38E8C59A">
      <w:pPr>
        <w:rPr>
          <w:rFonts w:hint="eastAsia" w:eastAsia="宋体"/>
          <w:color w:val="auto"/>
          <w:sz w:val="28"/>
          <w:szCs w:val="36"/>
          <w:highlight w:val="none"/>
          <w:lang w:eastAsia="zh-CN"/>
        </w:rPr>
      </w:pPr>
    </w:p>
    <w:p w14:paraId="32CD90DB">
      <w:pPr>
        <w:rPr>
          <w:rFonts w:hint="eastAsia"/>
          <w:color w:val="auto"/>
          <w:sz w:val="28"/>
          <w:szCs w:val="36"/>
          <w:highlight w:val="none"/>
        </w:rPr>
      </w:pPr>
    </w:p>
    <w:p w14:paraId="52682DA6">
      <w:pPr>
        <w:rPr>
          <w:rFonts w:hint="eastAsia"/>
          <w:color w:val="auto"/>
          <w:sz w:val="28"/>
          <w:szCs w:val="36"/>
          <w:highlight w:val="none"/>
        </w:rPr>
      </w:pPr>
    </w:p>
    <w:p w14:paraId="2B6CFBA1">
      <w:pPr>
        <w:rPr>
          <w:rFonts w:hint="eastAsia"/>
          <w:color w:val="auto"/>
          <w:sz w:val="28"/>
          <w:szCs w:val="36"/>
          <w:highlight w:val="none"/>
        </w:rPr>
      </w:pPr>
    </w:p>
    <w:p w14:paraId="2AA41201">
      <w:pPr>
        <w:spacing w:line="360" w:lineRule="auto"/>
        <w:jc w:val="both"/>
        <w:rPr>
          <w:rFonts w:hint="eastAsia" w:ascii="方正小标宋简体" w:hAnsi="方正小标宋简体" w:eastAsia="方正小标宋简体" w:cs="方正小标宋简体"/>
          <w:color w:val="auto"/>
          <w:sz w:val="40"/>
          <w:szCs w:val="40"/>
          <w:highlight w:val="none"/>
        </w:rPr>
      </w:pPr>
    </w:p>
    <w:p w14:paraId="44343249">
      <w:pPr>
        <w:spacing w:line="360" w:lineRule="auto"/>
        <w:jc w:val="both"/>
        <w:rPr>
          <w:rFonts w:hint="eastAsia" w:ascii="方正小标宋简体" w:hAnsi="方正小标宋简体" w:eastAsia="方正小标宋简体" w:cs="方正小标宋简体"/>
          <w:color w:val="auto"/>
          <w:sz w:val="40"/>
          <w:szCs w:val="40"/>
          <w:highlight w:val="none"/>
        </w:rPr>
      </w:pPr>
    </w:p>
    <w:p w14:paraId="71F8B66C">
      <w:pPr>
        <w:spacing w:line="360" w:lineRule="auto"/>
        <w:jc w:val="both"/>
        <w:rPr>
          <w:rFonts w:hint="eastAsia" w:ascii="方正小标宋简体" w:hAnsi="方正小标宋简体" w:eastAsia="方正小标宋简体" w:cs="方正小标宋简体"/>
          <w:color w:val="auto"/>
          <w:sz w:val="40"/>
          <w:szCs w:val="40"/>
          <w:highlight w:val="none"/>
        </w:rPr>
      </w:pPr>
    </w:p>
    <w:p w14:paraId="3CF33526">
      <w:pPr>
        <w:spacing w:line="360" w:lineRule="auto"/>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投诉书（格式）</w:t>
      </w:r>
    </w:p>
    <w:p w14:paraId="496BAF09">
      <w:pPr>
        <w:pStyle w:val="15"/>
        <w:snapToGrid w:val="0"/>
        <w:spacing w:line="360" w:lineRule="auto"/>
        <w:ind w:firstLine="442" w:firstLineChars="200"/>
        <w:rPr>
          <w:rFonts w:hAnsi="宋体"/>
          <w:b/>
          <w:bCs/>
          <w:color w:val="auto"/>
          <w:sz w:val="22"/>
          <w:szCs w:val="22"/>
          <w:highlight w:val="none"/>
        </w:rPr>
      </w:pPr>
      <w:r>
        <w:rPr>
          <w:rFonts w:hint="eastAsia" w:hAnsi="宋体"/>
          <w:b/>
          <w:bCs/>
          <w:color w:val="auto"/>
          <w:sz w:val="22"/>
          <w:szCs w:val="22"/>
          <w:highlight w:val="none"/>
        </w:rPr>
        <w:t>一、投诉相关主体基本情况：</w:t>
      </w:r>
    </w:p>
    <w:p w14:paraId="14CF3898">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61E11BD">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7FAFBEF4">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法定代表人/主要负责人：</w:t>
      </w:r>
      <w:r>
        <w:rPr>
          <w:rFonts w:hint="eastAsia" w:hAnsi="宋体"/>
          <w:bCs/>
          <w:color w:val="auto"/>
          <w:sz w:val="22"/>
          <w:szCs w:val="22"/>
          <w:highlight w:val="none"/>
          <w:u w:val="single"/>
        </w:rPr>
        <w:t xml:space="preserve">                                                         </w:t>
      </w:r>
    </w:p>
    <w:p w14:paraId="0163BA34">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0C2C2907">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0037FD84">
      <w:pPr>
        <w:pStyle w:val="15"/>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3CC339DD">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6E6879C1">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被投诉人1：</w:t>
      </w:r>
    </w:p>
    <w:p w14:paraId="4B0A4858">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地址：</w:t>
      </w:r>
      <w:r>
        <w:rPr>
          <w:rFonts w:hint="eastAsia" w:hAnsi="宋体"/>
          <w:bCs/>
          <w:color w:val="auto"/>
          <w:sz w:val="22"/>
          <w:szCs w:val="22"/>
          <w:highlight w:val="none"/>
          <w:u w:val="single"/>
        </w:rPr>
        <w:t xml:space="preserve">                                                            </w:t>
      </w:r>
    </w:p>
    <w:p w14:paraId="16B09898">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5B5E0174">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62BF2900">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被投诉人2：</w:t>
      </w:r>
    </w:p>
    <w:p w14:paraId="289425B0">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w:t>
      </w:r>
    </w:p>
    <w:p w14:paraId="720771BA">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相关供应商：</w:t>
      </w:r>
      <w:r>
        <w:rPr>
          <w:rFonts w:hint="eastAsia" w:hAnsi="宋体"/>
          <w:bCs/>
          <w:color w:val="auto"/>
          <w:sz w:val="22"/>
          <w:szCs w:val="22"/>
          <w:highlight w:val="none"/>
          <w:u w:val="single"/>
        </w:rPr>
        <w:t xml:space="preserve">                                                                       </w:t>
      </w:r>
    </w:p>
    <w:p w14:paraId="244671B3">
      <w:pPr>
        <w:pStyle w:val="15"/>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71FA9E9">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6D5E7C9D">
      <w:pPr>
        <w:pStyle w:val="15"/>
        <w:snapToGrid w:val="0"/>
        <w:spacing w:line="360" w:lineRule="auto"/>
        <w:ind w:firstLine="442" w:firstLineChars="200"/>
        <w:rPr>
          <w:rFonts w:hint="eastAsia" w:hAnsi="宋体"/>
          <w:b/>
          <w:bCs/>
          <w:color w:val="auto"/>
          <w:sz w:val="22"/>
          <w:szCs w:val="22"/>
          <w:highlight w:val="none"/>
        </w:rPr>
      </w:pPr>
      <w:r>
        <w:rPr>
          <w:rFonts w:hint="eastAsia" w:hAnsi="宋体"/>
          <w:b/>
          <w:bCs/>
          <w:color w:val="auto"/>
          <w:sz w:val="22"/>
          <w:szCs w:val="22"/>
          <w:highlight w:val="none"/>
        </w:rPr>
        <w:t>二、投诉项目基本情况：</w:t>
      </w:r>
    </w:p>
    <w:p w14:paraId="7875DEDE">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3F6A96B7">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2775E90A">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385B78E0">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代理机构名称：</w:t>
      </w:r>
      <w:r>
        <w:rPr>
          <w:rFonts w:hint="eastAsia" w:hAnsi="宋体"/>
          <w:bCs/>
          <w:color w:val="auto"/>
          <w:sz w:val="22"/>
          <w:szCs w:val="22"/>
          <w:highlight w:val="none"/>
          <w:u w:val="single"/>
        </w:rPr>
        <w:t xml:space="preserve">                                                                      </w:t>
      </w:r>
    </w:p>
    <w:p w14:paraId="232B63EE">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bCs/>
          <w:color w:val="auto"/>
          <w:sz w:val="22"/>
          <w:szCs w:val="22"/>
          <w:highlight w:val="none"/>
        </w:rPr>
        <w:t>采购文件公告：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08B28C2A">
      <w:pPr>
        <w:pStyle w:val="15"/>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采购结果公告：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147A49DC">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三、质疑基本情况</w:t>
      </w:r>
    </w:p>
    <w:p w14:paraId="06059C86">
      <w:pPr>
        <w:pStyle w:val="15"/>
        <w:spacing w:line="360" w:lineRule="auto"/>
        <w:ind w:firstLine="440" w:firstLineChars="200"/>
        <w:rPr>
          <w:rFonts w:hint="eastAsia" w:hAnsi="宋体"/>
          <w:color w:val="auto"/>
          <w:sz w:val="22"/>
          <w:szCs w:val="22"/>
          <w:highlight w:val="none"/>
        </w:rPr>
      </w:pPr>
      <w:r>
        <w:rPr>
          <w:rFonts w:hint="eastAsia" w:hAnsi="宋体"/>
          <w:color w:val="auto"/>
          <w:sz w:val="22"/>
          <w:szCs w:val="22"/>
          <w:highlight w:val="none"/>
        </w:rPr>
        <w:t>投诉人于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日，向</w:t>
      </w:r>
      <w:r>
        <w:rPr>
          <w:rFonts w:hint="eastAsia" w:hAnsi="宋体"/>
          <w:color w:val="auto"/>
          <w:sz w:val="22"/>
          <w:szCs w:val="22"/>
          <w:highlight w:val="none"/>
          <w:u w:val="single"/>
        </w:rPr>
        <w:t xml:space="preserve">                                </w:t>
      </w:r>
      <w:r>
        <w:rPr>
          <w:rFonts w:hint="eastAsia" w:hAnsi="宋体"/>
          <w:color w:val="auto"/>
          <w:sz w:val="22"/>
          <w:szCs w:val="22"/>
          <w:highlight w:val="none"/>
        </w:rPr>
        <w:t>提出质疑，质疑事项为：</w:t>
      </w:r>
    </w:p>
    <w:p w14:paraId="4AB6675E">
      <w:pPr>
        <w:pStyle w:val="15"/>
        <w:spacing w:line="360" w:lineRule="auto"/>
        <w:ind w:firstLine="241"/>
        <w:rPr>
          <w:rFonts w:hint="eastAsia" w:hAnsi="宋体"/>
          <w:bCs/>
          <w:color w:val="auto"/>
          <w:sz w:val="22"/>
          <w:szCs w:val="22"/>
          <w:highlight w:val="none"/>
          <w:u w:val="single"/>
        </w:rPr>
      </w:pP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3EDFCC0A">
      <w:pPr>
        <w:pStyle w:val="15"/>
        <w:spacing w:line="360" w:lineRule="auto"/>
        <w:ind w:firstLine="241"/>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2A93C56E">
      <w:pPr>
        <w:pStyle w:val="15"/>
        <w:spacing w:line="360" w:lineRule="auto"/>
        <w:ind w:firstLine="440" w:firstLineChars="200"/>
        <w:rPr>
          <w:rFonts w:hint="eastAsia" w:hAnsi="宋体"/>
          <w:color w:val="auto"/>
          <w:sz w:val="22"/>
          <w:szCs w:val="22"/>
          <w:highlight w:val="none"/>
        </w:rPr>
      </w:pPr>
      <w:r>
        <w:rPr>
          <w:rFonts w:hint="eastAsia" w:hAnsi="宋体"/>
          <w:bCs/>
          <w:color w:val="auto"/>
          <w:sz w:val="22"/>
          <w:szCs w:val="22"/>
          <w:highlight w:val="none"/>
          <w:u w:val="single"/>
        </w:rPr>
        <w:t>采购人/代理机构</w:t>
      </w:r>
      <w:r>
        <w:rPr>
          <w:rFonts w:hint="eastAsia" w:hAnsi="宋体"/>
          <w:bCs/>
          <w:color w:val="auto"/>
          <w:sz w:val="22"/>
          <w:szCs w:val="22"/>
          <w:highlight w:val="none"/>
        </w:rPr>
        <w:t>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w:t>
      </w:r>
      <w:r>
        <w:rPr>
          <w:rFonts w:hint="eastAsia" w:hAnsi="宋体"/>
          <w:bCs/>
          <w:color w:val="auto"/>
          <w:sz w:val="22"/>
          <w:szCs w:val="22"/>
          <w:highlight w:val="none"/>
        </w:rPr>
        <w:t xml:space="preserve">就质疑事项作出了答复/没有在法定期限内作出答复。                                                                                             </w:t>
      </w:r>
    </w:p>
    <w:p w14:paraId="0D050630">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四、投诉事项具体内容</w:t>
      </w:r>
    </w:p>
    <w:p w14:paraId="2EFB7C5A">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投诉事项1：</w:t>
      </w:r>
      <w:r>
        <w:rPr>
          <w:rFonts w:hint="eastAsia" w:hAnsi="宋体"/>
          <w:bCs/>
          <w:color w:val="auto"/>
          <w:sz w:val="22"/>
          <w:szCs w:val="22"/>
          <w:highlight w:val="none"/>
          <w:u w:val="single"/>
        </w:rPr>
        <w:t xml:space="preserve">                                                                           </w:t>
      </w:r>
    </w:p>
    <w:p w14:paraId="7903CE02">
      <w:pPr>
        <w:pStyle w:val="15"/>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事实依据：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653A267C">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u w:val="single"/>
        </w:rPr>
        <w:t xml:space="preserve">                                                                                        </w:t>
      </w:r>
    </w:p>
    <w:p w14:paraId="085D397D">
      <w:pPr>
        <w:pStyle w:val="15"/>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法律依据：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7777DA07">
      <w:pPr>
        <w:pStyle w:val="15"/>
        <w:spacing w:line="360" w:lineRule="auto"/>
        <w:ind w:left="25" w:leftChars="12" w:firstLine="323" w:firstLineChars="147"/>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42F0E5E0">
      <w:pPr>
        <w:pStyle w:val="15"/>
        <w:spacing w:line="360" w:lineRule="auto"/>
        <w:ind w:left="25" w:leftChars="12" w:firstLine="433" w:firstLineChars="197"/>
        <w:rPr>
          <w:rFonts w:hint="eastAsia" w:hAnsi="宋体"/>
          <w:bCs/>
          <w:color w:val="auto"/>
          <w:sz w:val="22"/>
          <w:szCs w:val="22"/>
          <w:highlight w:val="none"/>
        </w:rPr>
      </w:pPr>
      <w:r>
        <w:rPr>
          <w:rFonts w:hint="eastAsia" w:hAnsi="宋体"/>
          <w:color w:val="auto"/>
          <w:sz w:val="22"/>
          <w:szCs w:val="22"/>
          <w:highlight w:val="none"/>
        </w:rPr>
        <w:t xml:space="preserve">投诉事项2  </w:t>
      </w:r>
      <w:r>
        <w:rPr>
          <w:rFonts w:hint="eastAsia" w:hAnsi="宋体"/>
          <w:bCs/>
          <w:color w:val="auto"/>
          <w:sz w:val="22"/>
          <w:szCs w:val="22"/>
          <w:highlight w:val="none"/>
        </w:rPr>
        <w:t xml:space="preserve">   </w:t>
      </w:r>
    </w:p>
    <w:p w14:paraId="66FB6935">
      <w:pPr>
        <w:pStyle w:val="15"/>
        <w:spacing w:line="360" w:lineRule="auto"/>
        <w:ind w:left="25" w:leftChars="12" w:firstLine="433" w:firstLineChars="197"/>
        <w:rPr>
          <w:rFonts w:hint="eastAsia" w:hAnsi="宋体"/>
          <w:bCs/>
          <w:color w:val="auto"/>
          <w:sz w:val="22"/>
          <w:szCs w:val="22"/>
          <w:highlight w:val="none"/>
        </w:rPr>
      </w:pPr>
      <w:r>
        <w:rPr>
          <w:rFonts w:hAnsi="宋体"/>
          <w:bCs/>
          <w:color w:val="auto"/>
          <w:sz w:val="22"/>
          <w:szCs w:val="22"/>
          <w:highlight w:val="none"/>
        </w:rPr>
        <w:t>……</w:t>
      </w:r>
    </w:p>
    <w:p w14:paraId="3079A869">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五、与投诉事项相关的投诉请求：</w:t>
      </w:r>
    </w:p>
    <w:p w14:paraId="2E4617D5">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189EAFAE">
      <w:pPr>
        <w:pStyle w:val="15"/>
        <w:spacing w:line="360" w:lineRule="auto"/>
        <w:ind w:left="25" w:leftChars="12" w:firstLine="323" w:firstLineChars="147"/>
        <w:rPr>
          <w:rFonts w:hint="eastAsia" w:hAnsi="宋体"/>
          <w:color w:val="auto"/>
          <w:sz w:val="22"/>
          <w:szCs w:val="22"/>
          <w:highlight w:val="none"/>
        </w:rPr>
      </w:pPr>
    </w:p>
    <w:p w14:paraId="4986C8C6">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签字（签章）：                                       公章：</w:t>
      </w:r>
    </w:p>
    <w:p w14:paraId="2B8355DA">
      <w:pPr>
        <w:pStyle w:val="15"/>
        <w:spacing w:line="360" w:lineRule="auto"/>
        <w:ind w:left="25" w:leftChars="12" w:firstLine="323" w:firstLineChars="147"/>
        <w:rPr>
          <w:rFonts w:hint="eastAsia" w:hAnsi="宋体"/>
          <w:color w:val="auto"/>
          <w:sz w:val="22"/>
          <w:szCs w:val="22"/>
          <w:highlight w:val="none"/>
        </w:rPr>
      </w:pPr>
    </w:p>
    <w:p w14:paraId="78B0C54F">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日期：</w:t>
      </w:r>
    </w:p>
    <w:p w14:paraId="50976263">
      <w:pPr>
        <w:pStyle w:val="15"/>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 xml:space="preserve">                                                                                 </w:t>
      </w:r>
    </w:p>
    <w:p w14:paraId="214D43E6">
      <w:pPr>
        <w:pStyle w:val="15"/>
        <w:snapToGrid w:val="0"/>
        <w:spacing w:line="360" w:lineRule="auto"/>
        <w:rPr>
          <w:rFonts w:hint="eastAsia" w:hAnsi="宋体"/>
          <w:b/>
          <w:color w:val="auto"/>
          <w:sz w:val="22"/>
          <w:szCs w:val="22"/>
          <w:highlight w:val="none"/>
        </w:rPr>
      </w:pPr>
      <w:r>
        <w:rPr>
          <w:rFonts w:hint="eastAsia" w:hAnsi="宋体"/>
          <w:b/>
          <w:color w:val="auto"/>
          <w:sz w:val="22"/>
          <w:szCs w:val="22"/>
          <w:highlight w:val="none"/>
        </w:rPr>
        <w:t>说明：</w:t>
      </w:r>
    </w:p>
    <w:p w14:paraId="20941526">
      <w:pPr>
        <w:pStyle w:val="15"/>
        <w:spacing w:line="360" w:lineRule="auto"/>
        <w:ind w:left="25" w:leftChars="12" w:firstLine="325" w:firstLineChars="147"/>
        <w:rPr>
          <w:rFonts w:hint="eastAsia" w:hAnsi="宋体"/>
          <w:b/>
          <w:bCs/>
          <w:color w:val="auto"/>
          <w:sz w:val="22"/>
          <w:szCs w:val="22"/>
          <w:highlight w:val="none"/>
        </w:rPr>
      </w:pPr>
      <w:r>
        <w:rPr>
          <w:rFonts w:hint="eastAsia" w:hAnsi="宋体"/>
          <w:b/>
          <w:color w:val="auto"/>
          <w:sz w:val="22"/>
          <w:szCs w:val="22"/>
          <w:highlight w:val="none"/>
        </w:rPr>
        <w:t>1.投诉人提起投诉时，应当提交投诉书和必要的证明材料，并按照被投诉人和与投诉事项有关的供应商数量提供投诉书副本</w:t>
      </w:r>
      <w:r>
        <w:rPr>
          <w:rFonts w:hint="eastAsia" w:hAnsi="宋体"/>
          <w:b/>
          <w:bCs/>
          <w:color w:val="auto"/>
          <w:sz w:val="22"/>
          <w:szCs w:val="22"/>
          <w:highlight w:val="none"/>
        </w:rPr>
        <w:t>。</w:t>
      </w:r>
    </w:p>
    <w:p w14:paraId="406F84CF">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0FE2A93">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3.投诉书应简要列明质疑事项，质疑函、质疑答复等作为附件材料提供。</w:t>
      </w:r>
    </w:p>
    <w:p w14:paraId="5CF9A391">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4.投诉书的投诉事项应具体、明确，并有必要的事实依据和法律依据。</w:t>
      </w:r>
    </w:p>
    <w:p w14:paraId="0CDFF98C">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5.投诉书的投诉请求应与投诉事项相关。</w:t>
      </w:r>
    </w:p>
    <w:p w14:paraId="3DBCD508">
      <w:pPr>
        <w:pStyle w:val="15"/>
        <w:spacing w:line="360" w:lineRule="auto"/>
        <w:ind w:left="25" w:leftChars="12" w:firstLine="325" w:firstLineChars="147"/>
        <w:rPr>
          <w:rFonts w:hint="eastAsia" w:hAnsi="宋体"/>
          <w:b/>
          <w:color w:val="auto"/>
          <w:sz w:val="20"/>
          <w:szCs w:val="18"/>
          <w:highlight w:val="none"/>
        </w:rPr>
      </w:pPr>
      <w:r>
        <w:rPr>
          <w:rFonts w:hint="eastAsia" w:hAnsi="宋体"/>
          <w:b/>
          <w:color w:val="auto"/>
          <w:sz w:val="22"/>
          <w:szCs w:val="22"/>
          <w:highlight w:val="none"/>
        </w:rPr>
        <w:t>6.投诉人为法人或者其他组织的，投诉书应由法定代表人、主要负责人，或者其授权代表签字或者盖章，并加盖公章。</w:t>
      </w:r>
    </w:p>
    <w:p w14:paraId="7528B433">
      <w:pPr>
        <w:pStyle w:val="4"/>
        <w:keepLines/>
        <w:spacing w:before="340" w:after="330" w:line="578" w:lineRule="auto"/>
        <w:jc w:val="both"/>
        <w:outlineLvl w:val="9"/>
        <w:rPr>
          <w:rFonts w:hint="eastAsia" w:asciiTheme="majorEastAsia" w:hAnsiTheme="majorEastAsia" w:eastAsiaTheme="majorEastAsia" w:cstheme="majorEastAsia"/>
          <w:b/>
          <w:bCs w:val="0"/>
          <w:color w:val="auto"/>
          <w:kern w:val="2"/>
          <w:sz w:val="40"/>
          <w:szCs w:val="52"/>
          <w:lang w:val="en-US" w:eastAsia="zh-CN" w:bidi="ar-SA"/>
        </w:rPr>
      </w:pPr>
    </w:p>
    <w:p w14:paraId="12E5C0F3">
      <w:pPr>
        <w:rPr>
          <w:rFonts w:hint="eastAsia"/>
          <w:color w:val="auto"/>
          <w:lang w:val="en-US" w:eastAsia="zh-CN"/>
        </w:rPr>
      </w:pPr>
    </w:p>
    <w:p w14:paraId="47AF60DD">
      <w:pPr>
        <w:pStyle w:val="4"/>
        <w:keepLines/>
        <w:spacing w:before="340" w:after="330" w:line="578" w:lineRule="auto"/>
        <w:jc w:val="center"/>
        <w:rPr>
          <w:rFonts w:hint="eastAsia" w:ascii="宋体" w:hAnsi="宋体" w:cs="Courier New"/>
          <w:b/>
          <w:color w:val="auto"/>
          <w:sz w:val="32"/>
          <w:szCs w:val="32"/>
        </w:rPr>
      </w:pPr>
      <w:bookmarkStart w:id="135" w:name="_Toc26675"/>
      <w:r>
        <w:rPr>
          <w:rFonts w:hint="eastAsia" w:asciiTheme="majorEastAsia" w:hAnsiTheme="majorEastAsia" w:eastAsiaTheme="majorEastAsia" w:cstheme="majorEastAsia"/>
          <w:b/>
          <w:bCs w:val="0"/>
          <w:color w:val="auto"/>
          <w:kern w:val="2"/>
          <w:sz w:val="40"/>
          <w:szCs w:val="52"/>
          <w:lang w:val="en-US" w:eastAsia="zh-CN" w:bidi="ar-SA"/>
        </w:rPr>
        <w:t>第七章 合同文本</w:t>
      </w:r>
      <w:bookmarkEnd w:id="105"/>
      <w:bookmarkEnd w:id="135"/>
    </w:p>
    <w:p w14:paraId="4D224C0C">
      <w:pPr>
        <w:pStyle w:val="34"/>
        <w:pageBreakBefore w:val="0"/>
        <w:kinsoku/>
        <w:wordWrap/>
        <w:overflowPunct/>
        <w:topLinePunct w:val="0"/>
        <w:autoSpaceDE/>
        <w:autoSpaceDN/>
        <w:bidi w:val="0"/>
        <w:adjustRightInd/>
        <w:snapToGrid/>
        <w:spacing w:line="500" w:lineRule="exact"/>
        <w:textAlignment w:val="auto"/>
        <w:rPr>
          <w:rFonts w:hint="default" w:ascii="宋体" w:hAnsi="宋体" w:eastAsia="宋体" w:cs="宋体"/>
          <w:b/>
          <w:bCs/>
          <w:color w:val="auto"/>
          <w:spacing w:val="0"/>
          <w:kern w:val="2"/>
          <w:sz w:val="22"/>
          <w:szCs w:val="22"/>
          <w:u w:val="none"/>
          <w:lang w:val="en-US" w:eastAsia="zh-CN" w:bidi="ar-SA"/>
        </w:rPr>
      </w:pPr>
    </w:p>
    <w:p w14:paraId="5DE9E5B4">
      <w:pPr>
        <w:keepNext/>
        <w:keepLines/>
        <w:spacing w:before="260" w:after="260" w:line="413" w:lineRule="auto"/>
        <w:jc w:val="center"/>
        <w:outlineLvl w:val="0"/>
        <w:rPr>
          <w:rFonts w:eastAsia="华文中宋"/>
          <w:bCs/>
          <w:color w:val="auto"/>
          <w:sz w:val="32"/>
          <w:szCs w:val="32"/>
          <w:highlight w:val="none"/>
        </w:rPr>
      </w:pPr>
      <w:bookmarkStart w:id="136" w:name="_Toc25864"/>
      <w:bookmarkStart w:id="137" w:name="_Toc8988"/>
      <w:bookmarkStart w:id="138" w:name="_Toc296503025"/>
      <w:bookmarkStart w:id="139" w:name="_Toc351203480"/>
      <w:bookmarkStart w:id="140" w:name="_Toc14329"/>
      <w:bookmarkStart w:id="141" w:name="_Toc296890982"/>
      <w:r>
        <w:rPr>
          <w:rFonts w:ascii="华文中宋" w:hAnsi="华文中宋" w:eastAsia="华文中宋"/>
          <w:b/>
          <w:bCs/>
          <w:color w:val="auto"/>
          <w:sz w:val="32"/>
          <w:szCs w:val="32"/>
          <w:highlight w:val="none"/>
        </w:rPr>
        <w:t>第一部分 合同协议书</w:t>
      </w:r>
      <w:bookmarkEnd w:id="136"/>
      <w:bookmarkEnd w:id="137"/>
      <w:bookmarkEnd w:id="138"/>
      <w:bookmarkEnd w:id="139"/>
      <w:bookmarkEnd w:id="140"/>
      <w:bookmarkEnd w:id="141"/>
    </w:p>
    <w:p w14:paraId="61D617BC">
      <w:pPr>
        <w:spacing w:line="360" w:lineRule="auto"/>
        <w:rPr>
          <w:rFonts w:hint="default" w:ascii="宋体" w:hAnsi="宋体" w:eastAsia="宋体" w:cs="宋体"/>
          <w:b/>
          <w:color w:val="auto"/>
          <w:sz w:val="21"/>
          <w:szCs w:val="21"/>
          <w:highlight w:val="none"/>
          <w:u w:val="single"/>
          <w:lang w:val="en-US" w:eastAsia="zh-CN"/>
        </w:rPr>
      </w:pPr>
      <w:r>
        <w:rPr>
          <w:rFonts w:hint="eastAsia" w:ascii="宋体" w:hAnsi="宋体" w:eastAsia="宋体" w:cs="宋体"/>
          <w:b/>
          <w:color w:val="auto"/>
          <w:sz w:val="21"/>
          <w:szCs w:val="21"/>
          <w:highlight w:val="none"/>
        </w:rPr>
        <w:t>发包人（全称）：</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w:t>
      </w:r>
      <w:r>
        <w:rPr>
          <w:rFonts w:hint="eastAsia" w:ascii="宋体" w:hAnsi="宋体" w:eastAsia="宋体" w:cs="宋体"/>
          <w:b/>
          <w:color w:val="auto"/>
          <w:sz w:val="21"/>
          <w:szCs w:val="21"/>
          <w:highlight w:val="none"/>
          <w:u w:val="single"/>
          <w:lang w:val="en-US" w:eastAsia="zh-CN"/>
        </w:rPr>
        <w:t xml:space="preserve">     </w:t>
      </w:r>
    </w:p>
    <w:p w14:paraId="57221644">
      <w:pPr>
        <w:spacing w:line="360" w:lineRule="auto"/>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承包人（全称）：</w:t>
      </w:r>
      <w:r>
        <w:rPr>
          <w:rFonts w:hint="eastAsia" w:ascii="宋体" w:hAnsi="宋体" w:eastAsia="宋体" w:cs="宋体"/>
          <w:b/>
          <w:color w:val="auto"/>
          <w:sz w:val="21"/>
          <w:szCs w:val="21"/>
          <w:highlight w:val="none"/>
          <w:u w:val="single"/>
        </w:rPr>
        <w:t>              </w:t>
      </w:r>
    </w:p>
    <w:p w14:paraId="504F8171">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eastAsia="宋体" w:cs="宋体"/>
          <w:color w:val="auto"/>
          <w:sz w:val="21"/>
          <w:szCs w:val="21"/>
          <w:highlight w:val="none"/>
          <w:lang w:val="en-US" w:eastAsia="zh-CN"/>
        </w:rPr>
        <w:t>民法典</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中华人民共和国建筑法》及有关法律规定，遵循平等、自愿、公平和诚实信用的原则，双方就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工程施工及有关事项协商一致，共同达成如下协议：</w:t>
      </w:r>
    </w:p>
    <w:p w14:paraId="549C2F4C">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2" w:name="_Toc351203481"/>
      <w:r>
        <w:rPr>
          <w:rFonts w:hint="eastAsia" w:ascii="宋体" w:hAnsi="宋体" w:eastAsia="宋体" w:cs="宋体"/>
          <w:bCs/>
          <w:color w:val="auto"/>
          <w:sz w:val="21"/>
          <w:szCs w:val="21"/>
          <w:highlight w:val="none"/>
        </w:rPr>
        <w:t>一、工程概况</w:t>
      </w:r>
      <w:bookmarkEnd w:id="142"/>
    </w:p>
    <w:p w14:paraId="58E1225A">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F4535B5">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5B6354C">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3.工程立项批准文号：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622FCFAF">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4.资金来源：</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67D9B3D5">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5.工程内容：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462E6192">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群体工程应附《承包人承揽工程项目一览表》（附件1）。</w:t>
      </w:r>
    </w:p>
    <w:p w14:paraId="6A491C36">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6.工程承包范围：</w:t>
      </w:r>
    </w:p>
    <w:p w14:paraId="6675F578">
      <w:pPr>
        <w:pageBreakBefore w:val="0"/>
        <w:widowControl w:val="0"/>
        <w:kinsoku/>
        <w:wordWrap/>
        <w:overflowPunct/>
        <w:topLinePunct w:val="0"/>
        <w:bidi w:val="0"/>
        <w:snapToGrid/>
        <w:spacing w:line="312" w:lineRule="auto"/>
        <w:ind w:firstLine="405" w:firstLineChars="19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DB7566D">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bookmarkStart w:id="143" w:name="_Toc351203482"/>
      <w:r>
        <w:rPr>
          <w:rFonts w:hint="eastAsia" w:ascii="宋体" w:hAnsi="宋体" w:eastAsia="宋体" w:cs="宋体"/>
          <w:bCs/>
          <w:color w:val="auto"/>
          <w:sz w:val="21"/>
          <w:szCs w:val="21"/>
          <w:highlight w:val="none"/>
        </w:rPr>
        <w:t>二、合同工期</w:t>
      </w:r>
      <w:bookmarkEnd w:id="143"/>
    </w:p>
    <w:p w14:paraId="5EE3D641">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149CDEEB">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64C09235">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天。工期总日历天数与根据前述计划开竣工日期计算的工期天数不一致的，以工期总日历天数为准。</w:t>
      </w:r>
    </w:p>
    <w:p w14:paraId="7036F8A3">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44" w:name="_Toc351203483"/>
      <w:r>
        <w:rPr>
          <w:rFonts w:hint="eastAsia" w:ascii="宋体" w:hAnsi="宋体" w:eastAsia="宋体" w:cs="宋体"/>
          <w:bCs/>
          <w:color w:val="auto"/>
          <w:sz w:val="21"/>
          <w:szCs w:val="21"/>
          <w:highlight w:val="none"/>
        </w:rPr>
        <w:t>三、质量标准</w:t>
      </w:r>
      <w:bookmarkEnd w:id="144"/>
    </w:p>
    <w:p w14:paraId="5272FDFB">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标准。</w:t>
      </w:r>
    </w:p>
    <w:p w14:paraId="20168801">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5" w:name="_Toc351203484"/>
      <w:r>
        <w:rPr>
          <w:rFonts w:hint="eastAsia" w:ascii="宋体" w:hAnsi="宋体" w:eastAsia="宋体" w:cs="宋体"/>
          <w:bCs/>
          <w:color w:val="auto"/>
          <w:sz w:val="21"/>
          <w:szCs w:val="21"/>
          <w:highlight w:val="none"/>
        </w:rPr>
        <w:t>四、签约合同价与合同价格形式</w:t>
      </w:r>
      <w:bookmarkEnd w:id="145"/>
      <w:r>
        <w:rPr>
          <w:rFonts w:hint="eastAsia" w:ascii="宋体" w:hAnsi="宋体" w:eastAsia="宋体" w:cs="宋体"/>
          <w:bCs/>
          <w:color w:val="auto"/>
          <w:sz w:val="21"/>
          <w:szCs w:val="21"/>
          <w:highlight w:val="none"/>
        </w:rPr>
        <w:tab/>
      </w:r>
    </w:p>
    <w:p w14:paraId="6F591334">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1.签约合同价为：</w:t>
      </w:r>
    </w:p>
    <w:p w14:paraId="4D0CEAF7">
      <w:pPr>
        <w:pageBreakBefore w:val="0"/>
        <w:widowControl w:val="0"/>
        <w:kinsoku/>
        <w:wordWrap/>
        <w:overflowPunct/>
        <w:topLinePunct w:val="0"/>
        <w:bidi w:val="0"/>
        <w:snapToGrid/>
        <w:spacing w:line="312" w:lineRule="auto"/>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B7DF67B">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4D83EDB0">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（1）安全文明施工费：</w:t>
      </w:r>
    </w:p>
    <w:p w14:paraId="49C3B6CF">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98B0861">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（2）材料和工程设备暂估价金额：</w:t>
      </w:r>
    </w:p>
    <w:p w14:paraId="3BD4BEFC">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54F868C">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（3）专业工程暂估价金额：</w:t>
      </w:r>
    </w:p>
    <w:p w14:paraId="793FBCEC">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930F479">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（4）暂列金额：</w:t>
      </w:r>
    </w:p>
    <w:p w14:paraId="5C5712B0">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283EE4B7">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4913119C">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6" w:name="_Toc351203485"/>
      <w:r>
        <w:rPr>
          <w:rFonts w:hint="eastAsia" w:ascii="宋体" w:hAnsi="宋体" w:eastAsia="宋体" w:cs="宋体"/>
          <w:bCs/>
          <w:color w:val="auto"/>
          <w:sz w:val="21"/>
          <w:szCs w:val="21"/>
          <w:highlight w:val="none"/>
        </w:rPr>
        <w:t>五、</w:t>
      </w:r>
      <w:bookmarkEnd w:id="146"/>
      <w:r>
        <w:rPr>
          <w:rFonts w:hint="eastAsia" w:ascii="宋体" w:hAnsi="宋体" w:eastAsia="宋体" w:cs="宋体"/>
          <w:bCs/>
          <w:color w:val="auto"/>
          <w:sz w:val="21"/>
          <w:szCs w:val="21"/>
          <w:highlight w:val="none"/>
        </w:rPr>
        <w:t>项目经理</w:t>
      </w:r>
    </w:p>
    <w:p w14:paraId="4996ECC4">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22F4D1CC">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7" w:name="_Toc351203486"/>
      <w:r>
        <w:rPr>
          <w:rFonts w:hint="eastAsia" w:ascii="宋体" w:hAnsi="宋体" w:eastAsia="宋体" w:cs="宋体"/>
          <w:bCs/>
          <w:color w:val="auto"/>
          <w:sz w:val="21"/>
          <w:szCs w:val="21"/>
          <w:highlight w:val="none"/>
        </w:rPr>
        <w:t>六、合同文件构成</w:t>
      </w:r>
      <w:bookmarkEnd w:id="147"/>
    </w:p>
    <w:p w14:paraId="12C1E477">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62DBE11D">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通知书（如果有）；</w:t>
      </w:r>
    </w:p>
    <w:p w14:paraId="04E79DBE">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 xml:space="preserve">函及其附录（如果有）； </w:t>
      </w:r>
    </w:p>
    <w:p w14:paraId="76212702">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5885B2FF">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4529EE01">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2AC1E19D">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7DF8C6B0">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3EF9CA9C">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1808538A">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17ABBD46">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19085DAE">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8" w:name="_Toc351203487"/>
      <w:r>
        <w:rPr>
          <w:rFonts w:hint="eastAsia" w:ascii="宋体" w:hAnsi="宋体" w:eastAsia="宋体" w:cs="宋体"/>
          <w:bCs/>
          <w:color w:val="auto"/>
          <w:sz w:val="21"/>
          <w:szCs w:val="21"/>
          <w:highlight w:val="none"/>
        </w:rPr>
        <w:t>七、承诺</w:t>
      </w:r>
      <w:bookmarkEnd w:id="148"/>
    </w:p>
    <w:p w14:paraId="6A81C47B">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1.发包人承诺按照法律规定履行项目审批手续、筹集工程建设资金并按照合同约定的期限和方式支付合同价款。</w:t>
      </w:r>
    </w:p>
    <w:p w14:paraId="77D3B74F">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6D08503D">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3.发包人和承包人通过招投标形式签订合同的，双方理解并承诺不再就同一工程另行签订与合同实质性内容相背离的协议。</w:t>
      </w:r>
    </w:p>
    <w:p w14:paraId="27E81794">
      <w:pPr>
        <w:pageBreakBefore w:val="0"/>
        <w:widowControl w:val="0"/>
        <w:kinsoku/>
        <w:wordWrap/>
        <w:overflowPunct/>
        <w:topLinePunct w:val="0"/>
        <w:bidi w:val="0"/>
        <w:snapToGrid/>
        <w:spacing w:line="312" w:lineRule="auto"/>
        <w:textAlignment w:val="auto"/>
        <w:rPr>
          <w:rFonts w:hint="eastAsia" w:ascii="宋体" w:hAnsi="宋体" w:eastAsia="宋体" w:cs="宋体"/>
          <w:bCs/>
          <w:color w:val="auto"/>
          <w:sz w:val="21"/>
          <w:szCs w:val="21"/>
          <w:highlight w:val="none"/>
        </w:rPr>
      </w:pPr>
      <w:bookmarkStart w:id="149" w:name="_Toc351203488"/>
      <w:r>
        <w:rPr>
          <w:rFonts w:hint="eastAsia" w:ascii="宋体" w:hAnsi="宋体" w:eastAsia="宋体" w:cs="宋体"/>
          <w:b/>
          <w:color w:val="auto"/>
          <w:sz w:val="21"/>
          <w:szCs w:val="21"/>
          <w:highlight w:val="none"/>
        </w:rPr>
        <w:t xml:space="preserve">    八、词语含义</w:t>
      </w:r>
      <w:bookmarkEnd w:id="149"/>
    </w:p>
    <w:p w14:paraId="357B4DDE">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7D3382D5">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50" w:name="_Toc351203489"/>
      <w:r>
        <w:rPr>
          <w:rFonts w:hint="eastAsia" w:ascii="宋体" w:hAnsi="宋体" w:eastAsia="宋体" w:cs="宋体"/>
          <w:bCs/>
          <w:color w:val="auto"/>
          <w:sz w:val="21"/>
          <w:szCs w:val="21"/>
          <w:highlight w:val="none"/>
        </w:rPr>
        <w:t>九、签订时间</w:t>
      </w:r>
      <w:bookmarkEnd w:id="150"/>
    </w:p>
    <w:p w14:paraId="3B7F08B7">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096C7AB2">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1" w:name="_Toc351203490"/>
      <w:r>
        <w:rPr>
          <w:rFonts w:hint="eastAsia" w:ascii="宋体" w:hAnsi="宋体" w:eastAsia="宋体" w:cs="宋体"/>
          <w:bCs/>
          <w:color w:val="auto"/>
          <w:sz w:val="21"/>
          <w:szCs w:val="21"/>
          <w:highlight w:val="none"/>
        </w:rPr>
        <w:t>十、签订地点</w:t>
      </w:r>
      <w:bookmarkEnd w:id="151"/>
    </w:p>
    <w:p w14:paraId="501DC768">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陆川县第三中学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签订。</w:t>
      </w:r>
    </w:p>
    <w:p w14:paraId="6FBF9ABF">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2" w:name="_Toc351203491"/>
      <w:r>
        <w:rPr>
          <w:rFonts w:hint="eastAsia" w:ascii="宋体" w:hAnsi="宋体" w:eastAsia="宋体" w:cs="宋体"/>
          <w:bCs/>
          <w:color w:val="auto"/>
          <w:sz w:val="21"/>
          <w:szCs w:val="21"/>
          <w:highlight w:val="none"/>
        </w:rPr>
        <w:t>十一、补充协议</w:t>
      </w:r>
      <w:bookmarkEnd w:id="152"/>
    </w:p>
    <w:p w14:paraId="08B641B4">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1C70BA8">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3" w:name="_Toc351203492"/>
      <w:r>
        <w:rPr>
          <w:rFonts w:hint="eastAsia" w:ascii="宋体" w:hAnsi="宋体" w:eastAsia="宋体" w:cs="宋体"/>
          <w:bCs/>
          <w:color w:val="auto"/>
          <w:sz w:val="21"/>
          <w:szCs w:val="21"/>
          <w:highlight w:val="none"/>
        </w:rPr>
        <w:t>十二、合同生效</w:t>
      </w:r>
      <w:bookmarkEnd w:id="153"/>
    </w:p>
    <w:p w14:paraId="572A6DD6">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本合同自</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双方法定代表人或委托代理人签字并加盖公章</w:t>
      </w:r>
      <w:r>
        <w:rPr>
          <w:rFonts w:hint="eastAsia" w:ascii="宋体" w:hAnsi="宋体" w:eastAsia="宋体" w:cs="宋体"/>
          <w:bCs/>
          <w:color w:val="auto"/>
          <w:sz w:val="21"/>
          <w:szCs w:val="21"/>
          <w:highlight w:val="none"/>
        </w:rPr>
        <w:t>生效。</w:t>
      </w:r>
    </w:p>
    <w:p w14:paraId="164D2207">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4" w:name="_Toc351203493"/>
      <w:r>
        <w:rPr>
          <w:rFonts w:hint="eastAsia" w:ascii="宋体" w:hAnsi="宋体" w:eastAsia="宋体" w:cs="宋体"/>
          <w:bCs/>
          <w:color w:val="auto"/>
          <w:sz w:val="21"/>
          <w:szCs w:val="21"/>
          <w:highlight w:val="none"/>
        </w:rPr>
        <w:t>十三、合同份数</w:t>
      </w:r>
      <w:bookmarkEnd w:id="154"/>
    </w:p>
    <w:p w14:paraId="771723A2">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捌</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份，均具有同等法律效力，发包人执</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份，承包人执</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监督部门</w:t>
      </w:r>
      <w:r>
        <w:rPr>
          <w:rFonts w:hint="eastAsia" w:ascii="宋体" w:hAnsi="宋体" w:eastAsia="宋体" w:cs="宋体"/>
          <w:bCs/>
          <w:color w:val="auto"/>
          <w:sz w:val="21"/>
          <w:szCs w:val="21"/>
          <w:highlight w:val="none"/>
          <w:u w:val="single"/>
          <w:lang w:val="en-US" w:eastAsia="zh-CN"/>
        </w:rPr>
        <w:t xml:space="preserve"> 壹</w:t>
      </w:r>
      <w:r>
        <w:rPr>
          <w:rFonts w:hint="eastAsia" w:ascii="宋体" w:hAnsi="宋体" w:eastAsia="宋体" w:cs="宋体"/>
          <w:bCs/>
          <w:color w:val="auto"/>
          <w:sz w:val="21"/>
          <w:szCs w:val="21"/>
          <w:highlight w:val="none"/>
          <w:lang w:val="en-US" w:eastAsia="zh-CN"/>
        </w:rPr>
        <w:t>份，代理机构</w:t>
      </w:r>
      <w:r>
        <w:rPr>
          <w:rFonts w:hint="eastAsia" w:ascii="宋体" w:hAnsi="宋体" w:eastAsia="宋体" w:cs="宋体"/>
          <w:bCs/>
          <w:color w:val="auto"/>
          <w:sz w:val="21"/>
          <w:szCs w:val="21"/>
          <w:highlight w:val="none"/>
          <w:u w:val="single"/>
          <w:lang w:val="en-US" w:eastAsia="zh-CN"/>
        </w:rPr>
        <w:t xml:space="preserve"> 壹 </w:t>
      </w:r>
      <w:r>
        <w:rPr>
          <w:rFonts w:hint="eastAsia" w:ascii="宋体" w:hAnsi="宋体" w:eastAsia="宋体" w:cs="宋体"/>
          <w:bCs/>
          <w:color w:val="auto"/>
          <w:sz w:val="21"/>
          <w:szCs w:val="21"/>
          <w:highlight w:val="none"/>
          <w:lang w:val="en-US" w:eastAsia="zh-CN"/>
        </w:rPr>
        <w:t>份</w:t>
      </w:r>
      <w:r>
        <w:rPr>
          <w:rFonts w:hint="eastAsia" w:ascii="宋体" w:hAnsi="宋体" w:eastAsia="宋体" w:cs="宋体"/>
          <w:bCs/>
          <w:color w:val="auto"/>
          <w:sz w:val="21"/>
          <w:szCs w:val="21"/>
          <w:highlight w:val="none"/>
        </w:rPr>
        <w:t>。</w:t>
      </w:r>
    </w:p>
    <w:p w14:paraId="566839CA">
      <w:pPr>
        <w:spacing w:line="360" w:lineRule="auto"/>
        <w:rPr>
          <w:rFonts w:hint="eastAsia" w:ascii="宋体" w:hAnsi="宋体" w:eastAsia="宋体" w:cs="宋体"/>
          <w:color w:val="auto"/>
          <w:sz w:val="21"/>
          <w:szCs w:val="21"/>
          <w:highlight w:val="none"/>
        </w:rPr>
      </w:pPr>
    </w:p>
    <w:p w14:paraId="5F174B14">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承包人：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eastAsia="zh-CN"/>
        </w:rPr>
        <w:t>）</w:t>
      </w:r>
    </w:p>
    <w:p w14:paraId="14BDC72C">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1387A473">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法定代表人或其委托代理人：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法定代表人或其委托代理人：</w:t>
      </w:r>
    </w:p>
    <w:p w14:paraId="3DD7CF21">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w:t>
      </w:r>
    </w:p>
    <w:p w14:paraId="6C4D7A89">
      <w:pPr>
        <w:spacing w:line="360" w:lineRule="auto"/>
        <w:rPr>
          <w:rFonts w:hint="eastAsia" w:ascii="宋体" w:hAnsi="宋体" w:eastAsia="宋体" w:cs="宋体"/>
          <w:color w:val="auto"/>
          <w:sz w:val="21"/>
          <w:szCs w:val="21"/>
          <w:highlight w:val="none"/>
          <w:u w:val="single"/>
        </w:rPr>
      </w:pPr>
    </w:p>
    <w:p w14:paraId="7C17A565">
      <w:pPr>
        <w:tabs>
          <w:tab w:val="left" w:pos="4410"/>
        </w:tabs>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2AB0634E">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      </w:t>
      </w:r>
    </w:p>
    <w:p w14:paraId="1B6EA166">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404C15F8">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p>
    <w:p w14:paraId="6AF597D5">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p>
    <w:p w14:paraId="634478A3">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22780B58">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   </w:t>
      </w:r>
    </w:p>
    <w:p w14:paraId="22E8B9C2">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119CEF40">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7A5B6443">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p>
    <w:p w14:paraId="1295F66C">
      <w:pPr>
        <w:keepNext/>
        <w:keepLines/>
        <w:spacing w:before="260" w:after="260" w:line="413" w:lineRule="auto"/>
        <w:jc w:val="center"/>
        <w:outlineLvl w:val="0"/>
        <w:rPr>
          <w:rFonts w:hint="eastAsia" w:ascii="华文中宋" w:hAnsi="华文中宋" w:eastAsia="华文中宋"/>
          <w:b/>
          <w:bCs/>
          <w:color w:val="auto"/>
          <w:sz w:val="32"/>
          <w:szCs w:val="32"/>
          <w:highlight w:val="none"/>
        </w:rPr>
      </w:pPr>
      <w:r>
        <w:rPr>
          <w:rFonts w:ascii="Calibri" w:hAnsi="Calibri" w:eastAsia="仿宋_GB2312"/>
          <w:b/>
          <w:bCs/>
          <w:color w:val="auto"/>
          <w:sz w:val="24"/>
          <w:highlight w:val="none"/>
        </w:rPr>
        <w:br w:type="page"/>
      </w:r>
      <w:bookmarkStart w:id="155" w:name="_Toc16646"/>
      <w:bookmarkStart w:id="156" w:name="_Toc24906"/>
      <w:bookmarkStart w:id="157" w:name="_Toc31811"/>
      <w:bookmarkStart w:id="158" w:name="_Toc351203494"/>
      <w:r>
        <w:rPr>
          <w:rFonts w:ascii="华文中宋" w:hAnsi="华文中宋" w:eastAsia="华文中宋"/>
          <w:b/>
          <w:bCs/>
          <w:color w:val="auto"/>
          <w:sz w:val="32"/>
          <w:szCs w:val="32"/>
          <w:highlight w:val="none"/>
        </w:rPr>
        <w:t>第二部分 通用合同条款</w:t>
      </w:r>
      <w:bookmarkEnd w:id="155"/>
      <w:bookmarkEnd w:id="156"/>
      <w:bookmarkEnd w:id="157"/>
      <w:bookmarkEnd w:id="158"/>
      <w:bookmarkStart w:id="159" w:name="_Toc337558727"/>
    </w:p>
    <w:p w14:paraId="6A7F1AE9">
      <w:pPr>
        <w:jc w:val="left"/>
        <w:rPr>
          <w:rFonts w:hint="eastAsia" w:ascii="宋体" w:hAnsi="宋体" w:eastAsia="宋体" w:cs="宋体"/>
          <w:color w:val="auto"/>
          <w:kern w:val="0"/>
          <w:sz w:val="28"/>
          <w:szCs w:val="28"/>
          <w:highlight w:val="none"/>
        </w:rPr>
      </w:pPr>
      <w:bookmarkStart w:id="160" w:name="_Toc418003503"/>
      <w:bookmarkStart w:id="161" w:name="_Toc389065257"/>
      <w:bookmarkStart w:id="162" w:name="_Toc351203495"/>
      <w:r>
        <w:rPr>
          <w:rFonts w:hint="eastAsia" w:ascii="宋体" w:hAnsi="宋体" w:eastAsia="宋体" w:cs="宋体"/>
          <w:bCs/>
          <w:color w:val="auto"/>
          <w:sz w:val="28"/>
          <w:szCs w:val="28"/>
          <w:highlight w:val="none"/>
        </w:rPr>
        <w:t>本工程的施工合同通用条款按GF-2017-0201《建设工程施工合同》通用条款执行。</w:t>
      </w:r>
    </w:p>
    <w:bookmarkEnd w:id="160"/>
    <w:bookmarkEnd w:id="161"/>
    <w:p w14:paraId="64BBD447">
      <w:pPr>
        <w:keepNext/>
        <w:keepLines/>
        <w:spacing w:before="120" w:after="120" w:line="360" w:lineRule="auto"/>
        <w:outlineLvl w:val="9"/>
        <w:rPr>
          <w:rFonts w:eastAsia="黑体"/>
          <w:bCs/>
          <w:color w:val="auto"/>
          <w:sz w:val="32"/>
          <w:szCs w:val="32"/>
          <w:highlight w:val="none"/>
        </w:rPr>
      </w:pPr>
    </w:p>
    <w:bookmarkEnd w:id="159"/>
    <w:bookmarkEnd w:id="162"/>
    <w:p w14:paraId="3A7A7F1C">
      <w:pPr>
        <w:keepNext/>
        <w:keepLines/>
        <w:spacing w:before="260" w:after="260" w:line="413" w:lineRule="auto"/>
        <w:jc w:val="center"/>
        <w:outlineLvl w:val="0"/>
        <w:rPr>
          <w:rFonts w:ascii="华文中宋" w:hAnsi="华文中宋" w:eastAsia="华文中宋"/>
          <w:b/>
          <w:bCs/>
          <w:color w:val="auto"/>
          <w:sz w:val="32"/>
          <w:szCs w:val="32"/>
          <w:highlight w:val="none"/>
        </w:rPr>
      </w:pPr>
      <w:bookmarkStart w:id="163" w:name="_Toc351203632"/>
      <w:r>
        <w:rPr>
          <w:rFonts w:ascii="华文中宋" w:hAnsi="华文中宋" w:eastAsia="华文中宋"/>
          <w:b/>
          <w:bCs/>
          <w:color w:val="auto"/>
          <w:sz w:val="44"/>
          <w:szCs w:val="44"/>
          <w:highlight w:val="none"/>
        </w:rPr>
        <w:br w:type="page"/>
      </w:r>
      <w:bookmarkStart w:id="164" w:name="_Toc26122"/>
      <w:bookmarkStart w:id="165" w:name="_Toc31483"/>
      <w:r>
        <w:rPr>
          <w:rFonts w:ascii="华文中宋" w:hAnsi="华文中宋" w:eastAsia="华文中宋"/>
          <w:b/>
          <w:bCs/>
          <w:color w:val="auto"/>
          <w:sz w:val="32"/>
          <w:szCs w:val="32"/>
          <w:highlight w:val="none"/>
        </w:rPr>
        <w:t xml:space="preserve">第三部分 </w:t>
      </w:r>
      <w:r>
        <w:rPr>
          <w:rFonts w:hint="eastAsia" w:ascii="华文中宋" w:hAnsi="华文中宋" w:eastAsia="华文中宋"/>
          <w:b/>
          <w:bCs/>
          <w:color w:val="auto"/>
          <w:sz w:val="32"/>
          <w:szCs w:val="32"/>
          <w:highlight w:val="none"/>
        </w:rPr>
        <w:t>专用合同条款</w:t>
      </w:r>
      <w:bookmarkEnd w:id="163"/>
      <w:bookmarkEnd w:id="164"/>
      <w:bookmarkEnd w:id="165"/>
    </w:p>
    <w:p w14:paraId="1D359773">
      <w:pPr>
        <w:pStyle w:val="5"/>
        <w:rPr>
          <w:color w:val="auto"/>
          <w:highlight w:val="none"/>
        </w:rPr>
      </w:pPr>
      <w:bookmarkStart w:id="166" w:name="_Toc351203633"/>
      <w:bookmarkStart w:id="167" w:name="_Toc389065258"/>
      <w:bookmarkStart w:id="168" w:name="_Toc14399"/>
      <w:bookmarkStart w:id="169" w:name="_Toc407135194"/>
      <w:bookmarkStart w:id="170" w:name="_Toc373227692"/>
      <w:bookmarkStart w:id="171" w:name="_Toc373478339"/>
      <w:r>
        <w:rPr>
          <w:color w:val="auto"/>
          <w:highlight w:val="none"/>
        </w:rPr>
        <w:t>1</w:t>
      </w:r>
      <w:bookmarkStart w:id="172" w:name="_Toc292559866"/>
      <w:bookmarkStart w:id="173" w:name="_Toc296944495"/>
      <w:bookmarkStart w:id="174" w:name="_Toc296890984"/>
      <w:bookmarkStart w:id="175" w:name="_Toc296503156"/>
      <w:bookmarkStart w:id="176" w:name="_Toc297120456"/>
      <w:bookmarkStart w:id="177" w:name="_Toc296347155"/>
      <w:bookmarkStart w:id="178" w:name="_Toc296346657"/>
      <w:bookmarkStart w:id="179" w:name="_Toc292559361"/>
      <w:bookmarkStart w:id="180" w:name="_Toc296891196"/>
      <w:bookmarkStart w:id="181" w:name="_Toc297048342"/>
      <w:r>
        <w:rPr>
          <w:color w:val="auto"/>
          <w:highlight w:val="none"/>
        </w:rPr>
        <w:t xml:space="preserve">. </w:t>
      </w:r>
      <w:r>
        <w:rPr>
          <w:rFonts w:hint="eastAsia" w:hAnsi="宋体" w:cs="黑体"/>
          <w:color w:val="auto"/>
          <w:highlight w:val="none"/>
        </w:rPr>
        <w:t>一般约定</w:t>
      </w:r>
      <w:bookmarkEnd w:id="166"/>
      <w:bookmarkEnd w:id="167"/>
      <w:bookmarkEnd w:id="168"/>
      <w:bookmarkEnd w:id="169"/>
      <w:bookmarkEnd w:id="170"/>
      <w:bookmarkEnd w:id="171"/>
    </w:p>
    <w:bookmarkEnd w:id="172"/>
    <w:bookmarkEnd w:id="173"/>
    <w:bookmarkEnd w:id="174"/>
    <w:bookmarkEnd w:id="175"/>
    <w:bookmarkEnd w:id="176"/>
    <w:bookmarkEnd w:id="177"/>
    <w:bookmarkEnd w:id="178"/>
    <w:bookmarkEnd w:id="179"/>
    <w:bookmarkEnd w:id="180"/>
    <w:bookmarkEnd w:id="181"/>
    <w:p w14:paraId="04611F8B">
      <w:pPr>
        <w:pStyle w:val="6"/>
        <w:rPr>
          <w:color w:val="auto"/>
          <w:highlight w:val="none"/>
        </w:rPr>
      </w:pPr>
      <w:bookmarkStart w:id="182" w:name="_Toc373227693"/>
      <w:bookmarkStart w:id="183" w:name="_Toc407135195"/>
      <w:bookmarkStart w:id="184" w:name="_Toc373478340"/>
      <w:bookmarkStart w:id="185" w:name="_Toc389065259"/>
      <w:bookmarkStart w:id="186" w:name="_Toc21109"/>
      <w:r>
        <w:rPr>
          <w:color w:val="auto"/>
          <w:highlight w:val="none"/>
        </w:rPr>
        <w:t xml:space="preserve">1.1 </w:t>
      </w:r>
      <w:r>
        <w:rPr>
          <w:rFonts w:hint="eastAsia" w:hAnsi="宋体" w:cs="黑体"/>
          <w:color w:val="auto"/>
          <w:highlight w:val="none"/>
        </w:rPr>
        <w:t>词语定义</w:t>
      </w:r>
      <w:bookmarkEnd w:id="182"/>
      <w:bookmarkEnd w:id="183"/>
      <w:bookmarkEnd w:id="184"/>
      <w:bookmarkEnd w:id="185"/>
      <w:bookmarkEnd w:id="186"/>
    </w:p>
    <w:p w14:paraId="02290444">
      <w:pPr>
        <w:spacing w:line="360" w:lineRule="auto"/>
        <w:ind w:firstLine="420" w:firstLineChars="200"/>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781E5B42">
      <w:pPr>
        <w:spacing w:line="360" w:lineRule="auto"/>
        <w:ind w:firstLine="420" w:firstLineChars="200"/>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color w:val="auto"/>
          <w:highlight w:val="none"/>
          <w:u w:val="single"/>
        </w:rPr>
        <w:t xml:space="preserve"> </w:t>
      </w:r>
      <w:r>
        <w:rPr>
          <w:rFonts w:hint="eastAsia"/>
          <w:color w:val="auto"/>
          <w:highlight w:val="none"/>
          <w:u w:val="single"/>
        </w:rPr>
        <w:t>合同协议书、</w:t>
      </w:r>
      <w:r>
        <w:rPr>
          <w:rFonts w:hint="eastAsia"/>
          <w:color w:val="auto"/>
          <w:highlight w:val="none"/>
          <w:u w:val="single"/>
          <w:lang w:val="en-US" w:eastAsia="zh-CN"/>
        </w:rPr>
        <w:t>成交</w:t>
      </w:r>
      <w:r>
        <w:rPr>
          <w:rFonts w:hint="eastAsia"/>
          <w:color w:val="auto"/>
          <w:highlight w:val="none"/>
          <w:u w:val="single"/>
        </w:rPr>
        <w:t>通知书、</w:t>
      </w:r>
      <w:r>
        <w:rPr>
          <w:rFonts w:hint="eastAsia"/>
          <w:color w:val="auto"/>
          <w:highlight w:val="none"/>
          <w:u w:val="single"/>
          <w:lang w:val="en-US" w:eastAsia="zh-CN"/>
        </w:rPr>
        <w:t>磋商</w:t>
      </w:r>
      <w:r>
        <w:rPr>
          <w:rFonts w:hint="eastAsia"/>
          <w:color w:val="auto"/>
          <w:highlight w:val="none"/>
          <w:u w:val="single"/>
        </w:rPr>
        <w:t>函、专用合同条款及其附件、通用合同条款、技术标准和要求、图纸、已标价工程量清单或预算书以及其他合同文件</w:t>
      </w:r>
      <w:r>
        <w:rPr>
          <w:color w:val="auto"/>
          <w:highlight w:val="none"/>
          <w:u w:val="single"/>
        </w:rPr>
        <w:t xml:space="preserve"> </w:t>
      </w:r>
      <w:r>
        <w:rPr>
          <w:rFonts w:hint="eastAsia" w:hAnsi="宋体" w:cs="宋体"/>
          <w:color w:val="auto"/>
          <w:highlight w:val="none"/>
        </w:rPr>
        <w:t>。</w:t>
      </w:r>
    </w:p>
    <w:p w14:paraId="409EA184">
      <w:pPr>
        <w:spacing w:line="360" w:lineRule="auto"/>
        <w:ind w:firstLine="420" w:firstLineChars="200"/>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51231979">
      <w:pPr>
        <w:spacing w:line="360" w:lineRule="auto"/>
        <w:ind w:firstLine="420" w:firstLineChars="200"/>
        <w:outlineLvl w:val="0"/>
        <w:rPr>
          <w:color w:val="auto"/>
          <w:highlight w:val="none"/>
        </w:rPr>
      </w:pPr>
      <w:r>
        <w:rPr>
          <w:color w:val="auto"/>
          <w:highlight w:val="none"/>
        </w:rPr>
        <w:t xml:space="preserve">1.1.2.4 </w:t>
      </w:r>
      <w:r>
        <w:rPr>
          <w:rFonts w:hint="eastAsia" w:hAnsi="宋体" w:cs="宋体"/>
          <w:color w:val="auto"/>
          <w:highlight w:val="none"/>
        </w:rPr>
        <w:t>监理人：</w:t>
      </w:r>
    </w:p>
    <w:p w14:paraId="21882382">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7BFDAEB5">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1940E975">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7D2096A2">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657092F4">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5C385A82">
      <w:pPr>
        <w:spacing w:line="360" w:lineRule="auto"/>
        <w:ind w:firstLine="420" w:firstLineChars="200"/>
        <w:outlineLvl w:val="0"/>
        <w:rPr>
          <w:color w:val="auto"/>
          <w:highlight w:val="none"/>
        </w:rPr>
      </w:pPr>
      <w:r>
        <w:rPr>
          <w:color w:val="auto"/>
          <w:highlight w:val="none"/>
        </w:rPr>
        <w:t xml:space="preserve">1.1.2.5 </w:t>
      </w:r>
      <w:r>
        <w:rPr>
          <w:rFonts w:hint="eastAsia" w:hAnsi="宋体" w:cs="宋体"/>
          <w:color w:val="auto"/>
          <w:highlight w:val="none"/>
        </w:rPr>
        <w:t>设计人：</w:t>
      </w:r>
    </w:p>
    <w:p w14:paraId="7055FF0F">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w:t>
      </w:r>
    </w:p>
    <w:p w14:paraId="5F606682">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33B77260">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45DFA988">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3C3BDA90">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4115CC49">
      <w:pPr>
        <w:spacing w:line="360" w:lineRule="auto"/>
        <w:ind w:firstLine="420" w:firstLineChars="200"/>
        <w:rPr>
          <w:color w:val="auto"/>
          <w:highlight w:val="none"/>
        </w:rPr>
      </w:pPr>
      <w:r>
        <w:rPr>
          <w:color w:val="auto"/>
          <w:highlight w:val="none"/>
        </w:rPr>
        <w:t xml:space="preserve">1.1.3 </w:t>
      </w:r>
      <w:r>
        <w:rPr>
          <w:rFonts w:hint="eastAsia" w:hAnsi="宋体" w:cs="宋体"/>
          <w:color w:val="auto"/>
          <w:highlight w:val="none"/>
        </w:rPr>
        <w:t>工程和设备</w:t>
      </w:r>
    </w:p>
    <w:p w14:paraId="473F373C">
      <w:pPr>
        <w:spacing w:line="360" w:lineRule="auto"/>
        <w:ind w:firstLine="420" w:firstLineChars="200"/>
        <w:outlineLvl w:val="0"/>
        <w:rPr>
          <w:rFonts w:hAnsi="宋体"/>
          <w:color w:val="auto"/>
          <w:highlight w:val="none"/>
        </w:rPr>
      </w:pPr>
      <w:r>
        <w:rPr>
          <w:color w:val="auto"/>
          <w:highlight w:val="none"/>
        </w:rPr>
        <w:t xml:space="preserve">1.1.3.7 </w:t>
      </w:r>
      <w:r>
        <w:rPr>
          <w:rFonts w:hint="eastAsia" w:hAnsi="宋体" w:cs="宋体"/>
          <w:color w:val="auto"/>
          <w:highlight w:val="none"/>
        </w:rPr>
        <w:t>作为施工现场组成部分的其他场所包括：</w:t>
      </w:r>
    </w:p>
    <w:p w14:paraId="0320D812">
      <w:pPr>
        <w:spacing w:line="360" w:lineRule="auto"/>
        <w:ind w:firstLine="420" w:firstLineChars="200"/>
        <w:rPr>
          <w:color w:val="auto"/>
          <w:highlight w:val="none"/>
        </w:rPr>
      </w:pPr>
      <w:r>
        <w:rPr>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35B144C6">
      <w:pPr>
        <w:spacing w:line="360" w:lineRule="auto"/>
        <w:ind w:firstLine="420" w:firstLineChars="200"/>
        <w:jc w:val="left"/>
        <w:rPr>
          <w:color w:val="auto"/>
          <w:kern w:val="0"/>
          <w:highlight w:val="none"/>
        </w:rPr>
      </w:pPr>
      <w:r>
        <w:rPr>
          <w:color w:val="auto"/>
          <w:kern w:val="0"/>
          <w:highlight w:val="none"/>
        </w:rPr>
        <w:t xml:space="preserve">1.1.3.9 </w:t>
      </w:r>
      <w:r>
        <w:rPr>
          <w:rFonts w:hint="eastAsia" w:hAnsi="宋体" w:cs="宋体"/>
          <w:color w:val="auto"/>
          <w:kern w:val="0"/>
          <w:highlight w:val="none"/>
        </w:rPr>
        <w:t>永久占地包括：</w:t>
      </w:r>
      <w:r>
        <w:rPr>
          <w:color w:val="auto"/>
          <w:highlight w:val="none"/>
          <w:u w:val="single"/>
        </w:rPr>
        <w:t xml:space="preserve">                        </w:t>
      </w:r>
      <w:r>
        <w:rPr>
          <w:rFonts w:hint="eastAsia" w:hAnsi="宋体" w:cs="宋体"/>
          <w:color w:val="auto"/>
          <w:kern w:val="0"/>
          <w:highlight w:val="none"/>
        </w:rPr>
        <w:t>。</w:t>
      </w:r>
    </w:p>
    <w:p w14:paraId="692F034F">
      <w:pPr>
        <w:spacing w:line="360" w:lineRule="auto"/>
        <w:ind w:firstLine="420" w:firstLineChars="200"/>
        <w:jc w:val="left"/>
        <w:rPr>
          <w:color w:val="auto"/>
          <w:highlight w:val="none"/>
        </w:rPr>
      </w:pPr>
      <w:r>
        <w:rPr>
          <w:color w:val="auto"/>
          <w:kern w:val="0"/>
          <w:highlight w:val="none"/>
        </w:rPr>
        <w:t xml:space="preserve">1.1.3.10 </w:t>
      </w:r>
      <w:r>
        <w:rPr>
          <w:rFonts w:hint="eastAsia" w:hAnsi="宋体" w:cs="宋体"/>
          <w:color w:val="auto"/>
          <w:kern w:val="0"/>
          <w:highlight w:val="none"/>
        </w:rPr>
        <w:t>临时占地包括：</w:t>
      </w:r>
      <w:r>
        <w:rPr>
          <w:color w:val="auto"/>
          <w:highlight w:val="none"/>
          <w:u w:val="single"/>
        </w:rPr>
        <w:t xml:space="preserve">                       </w:t>
      </w:r>
      <w:r>
        <w:rPr>
          <w:rFonts w:hint="eastAsia" w:hAnsi="宋体" w:cs="宋体"/>
          <w:color w:val="auto"/>
          <w:kern w:val="0"/>
          <w:highlight w:val="none"/>
        </w:rPr>
        <w:t>。</w:t>
      </w:r>
    </w:p>
    <w:p w14:paraId="40356B9B">
      <w:pPr>
        <w:pStyle w:val="6"/>
        <w:rPr>
          <w:color w:val="auto"/>
          <w:highlight w:val="none"/>
        </w:rPr>
      </w:pPr>
      <w:bookmarkStart w:id="187" w:name="_Toc389065260"/>
      <w:bookmarkStart w:id="188" w:name="_Toc373478341"/>
      <w:bookmarkStart w:id="189" w:name="_Toc373227694"/>
      <w:bookmarkStart w:id="190" w:name="_Toc407135196"/>
      <w:bookmarkStart w:id="191" w:name="_Toc10126"/>
      <w:r>
        <w:rPr>
          <w:color w:val="auto"/>
          <w:highlight w:val="none"/>
        </w:rPr>
        <w:t xml:space="preserve">1.3 </w:t>
      </w:r>
      <w:r>
        <w:rPr>
          <w:rFonts w:hint="eastAsia" w:hAnsi="宋体" w:cs="黑体"/>
          <w:color w:val="auto"/>
          <w:highlight w:val="none"/>
        </w:rPr>
        <w:t>法律</w:t>
      </w:r>
      <w:bookmarkEnd w:id="187"/>
      <w:bookmarkEnd w:id="188"/>
      <w:bookmarkEnd w:id="189"/>
      <w:bookmarkEnd w:id="190"/>
      <w:bookmarkEnd w:id="191"/>
    </w:p>
    <w:p w14:paraId="57DF2CA7">
      <w:pPr>
        <w:spacing w:line="360" w:lineRule="auto"/>
        <w:ind w:firstLine="420" w:firstLineChars="200"/>
        <w:rPr>
          <w:color w:val="auto"/>
          <w:highlight w:val="none"/>
        </w:rPr>
      </w:pPr>
      <w:r>
        <w:rPr>
          <w:rFonts w:hint="eastAsia" w:hAnsi="宋体" w:cs="宋体"/>
          <w:color w:val="auto"/>
          <w:highlight w:val="none"/>
        </w:rPr>
        <w:t>适用于合同的其他规范性文件：</w:t>
      </w:r>
      <w:r>
        <w:rPr>
          <w:rFonts w:hint="eastAsia" w:hAnsi="宋体"/>
          <w:color w:val="auto"/>
          <w:highlight w:val="none"/>
          <w:u w:val="single"/>
        </w:rPr>
        <w:t xml:space="preserve">现行的国家法律和行政法规、工程所在地政府的有关文件法规和规章 </w:t>
      </w:r>
      <w:r>
        <w:rPr>
          <w:rFonts w:hint="eastAsia" w:hAnsi="宋体" w:cs="宋体"/>
          <w:color w:val="auto"/>
          <w:highlight w:val="none"/>
        </w:rPr>
        <w:t>。</w:t>
      </w:r>
    </w:p>
    <w:p w14:paraId="5C9846A9">
      <w:pPr>
        <w:pStyle w:val="6"/>
        <w:rPr>
          <w:color w:val="auto"/>
          <w:highlight w:val="none"/>
        </w:rPr>
      </w:pPr>
      <w:bookmarkStart w:id="192" w:name="_Toc373478342"/>
      <w:bookmarkStart w:id="193" w:name="_Toc389065261"/>
      <w:bookmarkStart w:id="194" w:name="_Toc373227695"/>
      <w:bookmarkStart w:id="195" w:name="_Toc407135197"/>
      <w:bookmarkStart w:id="196" w:name="_Toc24898"/>
      <w:r>
        <w:rPr>
          <w:color w:val="auto"/>
          <w:highlight w:val="none"/>
        </w:rPr>
        <w:t xml:space="preserve">1.4 </w:t>
      </w:r>
      <w:r>
        <w:rPr>
          <w:rFonts w:hint="eastAsia" w:hAnsi="宋体" w:cs="黑体"/>
          <w:color w:val="auto"/>
          <w:highlight w:val="none"/>
        </w:rPr>
        <w:t>标准和规范</w:t>
      </w:r>
      <w:bookmarkEnd w:id="192"/>
      <w:bookmarkEnd w:id="193"/>
      <w:bookmarkEnd w:id="194"/>
      <w:bookmarkEnd w:id="195"/>
      <w:bookmarkEnd w:id="196"/>
    </w:p>
    <w:p w14:paraId="0211B4A8">
      <w:pPr>
        <w:spacing w:line="360" w:lineRule="auto"/>
        <w:ind w:firstLine="420" w:firstLineChars="200"/>
        <w:rPr>
          <w:color w:val="auto"/>
          <w:highlight w:val="none"/>
        </w:rPr>
      </w:pPr>
      <w:r>
        <w:rPr>
          <w:color w:val="auto"/>
          <w:highlight w:val="none"/>
        </w:rPr>
        <w:t xml:space="preserve">1.4.1 </w:t>
      </w:r>
      <w:r>
        <w:rPr>
          <w:rFonts w:hint="eastAsia" w:hAnsi="宋体" w:cs="宋体"/>
          <w:color w:val="auto"/>
          <w:highlight w:val="none"/>
        </w:rPr>
        <w:t>适用于工程的标准规范包括：</w:t>
      </w:r>
      <w:r>
        <w:rPr>
          <w:rFonts w:hint="eastAsia" w:hAnsi="宋体"/>
          <w:color w:val="auto"/>
          <w:highlight w:val="none"/>
          <w:u w:val="single"/>
        </w:rPr>
        <w:t xml:space="preserve">现行的国家标准和规范、行业标准、规范等 </w:t>
      </w:r>
      <w:r>
        <w:rPr>
          <w:rFonts w:hint="eastAsia" w:hAnsi="宋体" w:cs="宋体"/>
          <w:color w:val="auto"/>
          <w:highlight w:val="none"/>
        </w:rPr>
        <w:t>。</w:t>
      </w:r>
    </w:p>
    <w:p w14:paraId="4D9247F5">
      <w:pPr>
        <w:spacing w:line="360" w:lineRule="auto"/>
        <w:ind w:firstLine="420" w:firstLineChars="200"/>
        <w:rPr>
          <w:color w:val="auto"/>
          <w:kern w:val="0"/>
          <w:highlight w:val="none"/>
        </w:rPr>
      </w:pPr>
      <w:r>
        <w:rPr>
          <w:color w:val="auto"/>
          <w:kern w:val="0"/>
          <w:highlight w:val="none"/>
        </w:rPr>
        <w:t xml:space="preserve">1.4.2 </w:t>
      </w:r>
      <w:r>
        <w:rPr>
          <w:rFonts w:hint="eastAsia" w:hAnsi="宋体" w:cs="宋体"/>
          <w:color w:val="auto"/>
          <w:kern w:val="0"/>
          <w:highlight w:val="none"/>
        </w:rPr>
        <w:t>发包人提供国外标准、规范的名称：</w:t>
      </w:r>
      <w:r>
        <w:rPr>
          <w:rFonts w:hAnsi="宋体"/>
          <w:color w:val="auto"/>
          <w:highlight w:val="none"/>
          <w:u w:val="single"/>
        </w:rPr>
        <w:t xml:space="preserve">   </w:t>
      </w:r>
      <w:r>
        <w:rPr>
          <w:rFonts w:hint="eastAsia" w:hAnsi="宋体"/>
          <w:color w:val="auto"/>
          <w:highlight w:val="none"/>
          <w:u w:val="single"/>
        </w:rPr>
        <w:t>/</w:t>
      </w:r>
      <w:r>
        <w:rPr>
          <w:rFonts w:hAnsi="宋体"/>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1EB708E4">
      <w:pPr>
        <w:spacing w:line="360" w:lineRule="auto"/>
        <w:ind w:firstLine="420" w:firstLineChars="200"/>
        <w:rPr>
          <w:color w:val="auto"/>
          <w:kern w:val="0"/>
          <w:highlight w:val="none"/>
        </w:rPr>
      </w:pPr>
      <w:r>
        <w:rPr>
          <w:rFonts w:hint="eastAsia" w:hAnsi="宋体" w:cs="宋体"/>
          <w:color w:val="auto"/>
          <w:kern w:val="0"/>
          <w:highlight w:val="none"/>
        </w:rPr>
        <w:t>发包人提供国外标准、规范的份数：</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0DC9A4B7">
      <w:pPr>
        <w:spacing w:line="360" w:lineRule="auto"/>
        <w:ind w:firstLine="420" w:firstLineChars="200"/>
        <w:rPr>
          <w:color w:val="auto"/>
          <w:highlight w:val="none"/>
        </w:rPr>
      </w:pPr>
      <w:r>
        <w:rPr>
          <w:rFonts w:hint="eastAsia" w:hAnsi="宋体" w:cs="宋体"/>
          <w:color w:val="auto"/>
          <w:kern w:val="0"/>
          <w:highlight w:val="none"/>
        </w:rPr>
        <w:t>发包人提供国外标准、规范的名称：</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68D6446B">
      <w:pPr>
        <w:spacing w:line="360" w:lineRule="auto"/>
        <w:ind w:firstLine="420" w:firstLineChars="200"/>
        <w:rPr>
          <w:color w:val="auto"/>
          <w:highlight w:val="none"/>
        </w:rPr>
      </w:pPr>
      <w:r>
        <w:rPr>
          <w:color w:val="auto"/>
          <w:highlight w:val="none"/>
        </w:rPr>
        <w:t xml:space="preserve">1.4.3 </w:t>
      </w:r>
      <w:r>
        <w:rPr>
          <w:rFonts w:hint="eastAsia" w:hAnsi="宋体" w:cs="宋体"/>
          <w:color w:val="auto"/>
          <w:highlight w:val="none"/>
        </w:rPr>
        <w:t>发包人对工程的技术标准和功能要求的特殊要求：</w:t>
      </w:r>
    </w:p>
    <w:p w14:paraId="284C16EE">
      <w:pPr>
        <w:spacing w:line="360" w:lineRule="auto"/>
        <w:rPr>
          <w:color w:val="auto"/>
          <w:highlight w:val="none"/>
        </w:rPr>
      </w:pPr>
      <w:r>
        <w:rPr>
          <w:rFonts w:hAnsi="宋体"/>
          <w:color w:val="auto"/>
          <w:highlight w:val="none"/>
          <w:u w:val="single"/>
        </w:rPr>
        <w:t xml:space="preserve">        </w:t>
      </w:r>
      <w:r>
        <w:rPr>
          <w:rFonts w:hint="eastAsia" w:hAnsi="宋体"/>
          <w:color w:val="auto"/>
          <w:highlight w:val="none"/>
          <w:u w:val="single"/>
        </w:rPr>
        <w:t>/</w:t>
      </w:r>
      <w:r>
        <w:rPr>
          <w:rFonts w:hAnsi="宋体"/>
          <w:color w:val="auto"/>
          <w:highlight w:val="none"/>
          <w:u w:val="single"/>
        </w:rPr>
        <w:t xml:space="preserve">                 </w:t>
      </w:r>
      <w:r>
        <w:rPr>
          <w:rFonts w:hint="eastAsia" w:hAnsi="宋体" w:cs="宋体"/>
          <w:color w:val="auto"/>
          <w:highlight w:val="none"/>
        </w:rPr>
        <w:t>。</w:t>
      </w:r>
    </w:p>
    <w:p w14:paraId="292633CD">
      <w:pPr>
        <w:pStyle w:val="6"/>
        <w:rPr>
          <w:color w:val="auto"/>
          <w:highlight w:val="none"/>
        </w:rPr>
      </w:pPr>
      <w:bookmarkStart w:id="197" w:name="_Toc373478343"/>
      <w:bookmarkStart w:id="198" w:name="_Toc23707"/>
      <w:bookmarkStart w:id="199" w:name="_Toc389065262"/>
      <w:bookmarkStart w:id="200" w:name="_Toc407135198"/>
      <w:bookmarkStart w:id="201" w:name="_Toc373227696"/>
      <w:r>
        <w:rPr>
          <w:color w:val="auto"/>
          <w:highlight w:val="none"/>
        </w:rPr>
        <w:t xml:space="preserve">1.5 </w:t>
      </w:r>
      <w:r>
        <w:rPr>
          <w:rFonts w:hint="eastAsia" w:cs="黑体"/>
          <w:color w:val="auto"/>
          <w:highlight w:val="none"/>
        </w:rPr>
        <w:t>合同文件的优先顺序</w:t>
      </w:r>
      <w:bookmarkEnd w:id="197"/>
      <w:bookmarkEnd w:id="198"/>
      <w:bookmarkEnd w:id="199"/>
      <w:bookmarkEnd w:id="200"/>
      <w:bookmarkEnd w:id="201"/>
    </w:p>
    <w:p w14:paraId="565B91FB">
      <w:pPr>
        <w:spacing w:line="360" w:lineRule="auto"/>
        <w:ind w:firstLine="420" w:firstLineChars="20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合同文件组成及优先顺序为：</w:t>
      </w:r>
    </w:p>
    <w:p w14:paraId="206DE437">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（1）合同协议书；</w:t>
      </w:r>
    </w:p>
    <w:p w14:paraId="6E1FFCC0">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（2）</w:t>
      </w:r>
      <w:r>
        <w:rPr>
          <w:rFonts w:hint="eastAsia" w:ascii="新宋体" w:hAnsi="新宋体" w:eastAsia="新宋体" w:cs="新宋体"/>
          <w:color w:val="auto"/>
          <w:kern w:val="0"/>
          <w:sz w:val="21"/>
          <w:szCs w:val="21"/>
          <w:highlight w:val="none"/>
          <w:lang w:val="en-US" w:eastAsia="zh-CN"/>
        </w:rPr>
        <w:t>成交</w:t>
      </w:r>
      <w:r>
        <w:rPr>
          <w:rFonts w:hint="eastAsia" w:ascii="新宋体" w:hAnsi="新宋体" w:eastAsia="新宋体" w:cs="新宋体"/>
          <w:color w:val="auto"/>
          <w:kern w:val="0"/>
          <w:sz w:val="21"/>
          <w:szCs w:val="21"/>
          <w:highlight w:val="none"/>
        </w:rPr>
        <w:t>通知书（如有）；</w:t>
      </w:r>
    </w:p>
    <w:p w14:paraId="092E8C52">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（3）</w:t>
      </w:r>
      <w:r>
        <w:rPr>
          <w:rFonts w:hint="eastAsia" w:ascii="新宋体" w:hAnsi="新宋体" w:eastAsia="新宋体" w:cs="新宋体"/>
          <w:color w:val="auto"/>
          <w:kern w:val="0"/>
          <w:sz w:val="21"/>
          <w:szCs w:val="21"/>
          <w:highlight w:val="none"/>
          <w:lang w:val="en-US" w:eastAsia="zh-CN"/>
        </w:rPr>
        <w:t>磋商</w:t>
      </w:r>
      <w:r>
        <w:rPr>
          <w:rFonts w:hint="eastAsia" w:ascii="新宋体" w:hAnsi="新宋体" w:eastAsia="新宋体" w:cs="新宋体"/>
          <w:color w:val="auto"/>
          <w:kern w:val="0"/>
          <w:sz w:val="21"/>
          <w:szCs w:val="21"/>
          <w:highlight w:val="none"/>
        </w:rPr>
        <w:t>函及其附录（如有）；</w:t>
      </w:r>
    </w:p>
    <w:p w14:paraId="5D8E42F1">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（4）专用合同条款及其附件；</w:t>
      </w:r>
    </w:p>
    <w:p w14:paraId="679C76CA">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（5）通用合同条款；</w:t>
      </w:r>
    </w:p>
    <w:p w14:paraId="5BFEA66E">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（6）</w:t>
      </w:r>
      <w:r>
        <w:rPr>
          <w:rFonts w:hint="eastAsia" w:ascii="新宋体" w:hAnsi="新宋体" w:eastAsia="新宋体" w:cs="新宋体"/>
          <w:color w:val="auto"/>
          <w:kern w:val="0"/>
          <w:sz w:val="21"/>
          <w:szCs w:val="21"/>
          <w:highlight w:val="none"/>
          <w:u w:val="single"/>
        </w:rPr>
        <w:t xml:space="preserve">技术标准和要求  </w:t>
      </w:r>
      <w:r>
        <w:rPr>
          <w:rFonts w:hint="eastAsia" w:ascii="新宋体" w:hAnsi="新宋体" w:eastAsia="新宋体" w:cs="新宋体"/>
          <w:color w:val="auto"/>
          <w:kern w:val="0"/>
          <w:sz w:val="21"/>
          <w:szCs w:val="21"/>
          <w:highlight w:val="none"/>
        </w:rPr>
        <w:t>；</w:t>
      </w:r>
    </w:p>
    <w:p w14:paraId="3B8A8148">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（7）</w:t>
      </w:r>
      <w:r>
        <w:rPr>
          <w:rFonts w:hint="eastAsia" w:ascii="新宋体" w:hAnsi="新宋体" w:eastAsia="新宋体" w:cs="新宋体"/>
          <w:color w:val="auto"/>
          <w:kern w:val="0"/>
          <w:sz w:val="21"/>
          <w:szCs w:val="21"/>
          <w:highlight w:val="none"/>
          <w:u w:val="single"/>
        </w:rPr>
        <w:t xml:space="preserve"> 图纸  </w:t>
      </w:r>
      <w:r>
        <w:rPr>
          <w:rFonts w:hint="eastAsia" w:ascii="新宋体" w:hAnsi="新宋体" w:eastAsia="新宋体" w:cs="新宋体"/>
          <w:color w:val="auto"/>
          <w:kern w:val="0"/>
          <w:sz w:val="21"/>
          <w:szCs w:val="21"/>
          <w:highlight w:val="none"/>
        </w:rPr>
        <w:t>；</w:t>
      </w:r>
    </w:p>
    <w:p w14:paraId="4B3ABD4F">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（8）</w:t>
      </w:r>
      <w:r>
        <w:rPr>
          <w:rFonts w:hint="eastAsia" w:ascii="新宋体" w:hAnsi="新宋体" w:eastAsia="新宋体" w:cs="新宋体"/>
          <w:color w:val="auto"/>
          <w:kern w:val="0"/>
          <w:sz w:val="21"/>
          <w:szCs w:val="21"/>
          <w:highlight w:val="none"/>
          <w:u w:val="single"/>
        </w:rPr>
        <w:t>已标价工程量清单或预算书 ；</w:t>
      </w:r>
    </w:p>
    <w:p w14:paraId="1834FD8B">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（9）</w:t>
      </w:r>
      <w:r>
        <w:rPr>
          <w:rFonts w:hint="eastAsia" w:ascii="新宋体" w:hAnsi="新宋体" w:eastAsia="新宋体" w:cs="新宋体"/>
          <w:color w:val="auto"/>
          <w:kern w:val="0"/>
          <w:sz w:val="21"/>
          <w:szCs w:val="21"/>
          <w:highlight w:val="none"/>
          <w:u w:val="single"/>
        </w:rPr>
        <w:t xml:space="preserve"> 其他合同文件 </w:t>
      </w:r>
      <w:r>
        <w:rPr>
          <w:rFonts w:hint="eastAsia" w:ascii="新宋体" w:hAnsi="新宋体" w:eastAsia="新宋体" w:cs="新宋体"/>
          <w:color w:val="auto"/>
          <w:kern w:val="0"/>
          <w:sz w:val="21"/>
          <w:szCs w:val="21"/>
          <w:highlight w:val="none"/>
        </w:rPr>
        <w:t>。</w:t>
      </w:r>
    </w:p>
    <w:p w14:paraId="2DFB6A3A">
      <w:pPr>
        <w:spacing w:line="360" w:lineRule="auto"/>
        <w:ind w:firstLine="420" w:firstLineChars="200"/>
        <w:rPr>
          <w:rFonts w:hint="eastAsia" w:ascii="新宋体" w:hAnsi="新宋体" w:eastAsia="新宋体" w:cs="新宋体"/>
          <w:color w:val="auto"/>
          <w:sz w:val="21"/>
          <w:szCs w:val="21"/>
          <w:highlight w:val="none"/>
        </w:rPr>
      </w:pPr>
      <w:r>
        <w:rPr>
          <w:rFonts w:hint="eastAsia" w:ascii="新宋体" w:hAnsi="新宋体" w:eastAsia="新宋体" w:cs="新宋体"/>
          <w:i w:val="0"/>
          <w:caps w:val="0"/>
          <w:color w:val="auto"/>
          <w:spacing w:val="0"/>
          <w:sz w:val="21"/>
          <w:szCs w:val="21"/>
          <w:highlight w:val="none"/>
          <w:shd w:val="clear" w:color="auto" w:fill="FFFFFF"/>
        </w:rPr>
        <w:t>上述各项合同文件包括合同当事人就该项合同文件所作出的补充和修改，属于同一类内容的文件，应以最新签署的为准（违反招标文件实质性内容的约定除外）。专用合同条款及其附件须经合同当事人签字或盖章</w:t>
      </w:r>
      <w:r>
        <w:rPr>
          <w:rFonts w:hint="eastAsia" w:ascii="新宋体" w:hAnsi="新宋体" w:eastAsia="新宋体" w:cs="新宋体"/>
          <w:color w:val="auto"/>
          <w:kern w:val="0"/>
          <w:sz w:val="21"/>
          <w:szCs w:val="21"/>
          <w:highlight w:val="none"/>
        </w:rPr>
        <w:t>。</w:t>
      </w:r>
    </w:p>
    <w:p w14:paraId="0A787DD5">
      <w:pPr>
        <w:pStyle w:val="6"/>
        <w:rPr>
          <w:color w:val="auto"/>
          <w:highlight w:val="none"/>
        </w:rPr>
      </w:pPr>
      <w:bookmarkStart w:id="202" w:name="_Toc373478344"/>
      <w:bookmarkStart w:id="203" w:name="_Toc14049"/>
      <w:bookmarkStart w:id="204" w:name="_Toc407135199"/>
      <w:bookmarkStart w:id="205" w:name="_Toc389065263"/>
      <w:bookmarkStart w:id="206" w:name="_Toc373227697"/>
      <w:r>
        <w:rPr>
          <w:color w:val="auto"/>
          <w:highlight w:val="none"/>
        </w:rPr>
        <w:t xml:space="preserve">1.6 </w:t>
      </w:r>
      <w:r>
        <w:rPr>
          <w:rFonts w:hint="eastAsia" w:cs="黑体"/>
          <w:color w:val="auto"/>
          <w:highlight w:val="none"/>
        </w:rPr>
        <w:t>图纸和承包人文件</w:t>
      </w:r>
      <w:bookmarkEnd w:id="202"/>
      <w:bookmarkEnd w:id="203"/>
      <w:bookmarkEnd w:id="204"/>
      <w:bookmarkEnd w:id="205"/>
      <w:bookmarkEnd w:id="206"/>
      <w:r>
        <w:rPr>
          <w:color w:val="auto"/>
          <w:highlight w:val="none"/>
        </w:rPr>
        <w:tab/>
      </w:r>
    </w:p>
    <w:p w14:paraId="65663F59">
      <w:pPr>
        <w:spacing w:line="360" w:lineRule="auto"/>
        <w:ind w:firstLine="420" w:firstLineChars="200"/>
        <w:rPr>
          <w:color w:val="auto"/>
          <w:highlight w:val="none"/>
        </w:rPr>
      </w:pPr>
      <w:r>
        <w:rPr>
          <w:color w:val="auto"/>
          <w:highlight w:val="none"/>
        </w:rPr>
        <w:t xml:space="preserve">1.6.1 </w:t>
      </w:r>
      <w:r>
        <w:rPr>
          <w:rFonts w:hint="eastAsia" w:hAnsi="宋体" w:cs="宋体"/>
          <w:color w:val="auto"/>
          <w:highlight w:val="none"/>
        </w:rPr>
        <w:t>图纸的提供</w:t>
      </w:r>
    </w:p>
    <w:p w14:paraId="32FD36B0">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发包人向承包人提供图纸的期限：</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 xml:space="preserve"> ；</w:t>
      </w:r>
    </w:p>
    <w:p w14:paraId="0D484D0C">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发包人向承包人提供图纸的数量：</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套</w:t>
      </w:r>
      <w:r>
        <w:rPr>
          <w:rStyle w:val="27"/>
          <w:rFonts w:hint="eastAsia" w:ascii="宋体" w:hAnsi="宋体" w:cs="宋体"/>
          <w:color w:val="auto"/>
          <w:szCs w:val="21"/>
          <w:highlight w:val="none"/>
        </w:rPr>
        <w:t>；</w:t>
      </w:r>
    </w:p>
    <w:p w14:paraId="58C7A1EC">
      <w:pPr>
        <w:pStyle w:val="49"/>
        <w:bidi w:val="0"/>
        <w:spacing w:line="360" w:lineRule="auto"/>
        <w:rPr>
          <w:color w:val="auto"/>
          <w:highlight w:val="none"/>
        </w:rPr>
      </w:pPr>
      <w:r>
        <w:rPr>
          <w:rStyle w:val="27"/>
          <w:rFonts w:hint="eastAsia" w:ascii="宋体" w:hAnsi="宋体" w:cs="宋体"/>
          <w:color w:val="auto"/>
          <w:szCs w:val="21"/>
          <w:highlight w:val="none"/>
        </w:rPr>
        <w:t>发包人向承包人提供图纸的内容：</w:t>
      </w:r>
      <w:r>
        <w:rPr>
          <w:rStyle w:val="27"/>
          <w:rFonts w:hint="eastAsia" w:ascii="宋体" w:hAnsi="宋体" w:cs="宋体"/>
          <w:color w:val="auto"/>
          <w:szCs w:val="21"/>
          <w:highlight w:val="none"/>
          <w:u w:val="single"/>
        </w:rPr>
        <w:t xml:space="preserve">      承包人所承包的范围     </w:t>
      </w:r>
      <w:r>
        <w:rPr>
          <w:rStyle w:val="27"/>
          <w:rFonts w:hint="eastAsia" w:ascii="宋体" w:hAnsi="宋体" w:cs="宋体"/>
          <w:color w:val="auto"/>
          <w:szCs w:val="21"/>
          <w:highlight w:val="none"/>
        </w:rPr>
        <w:t xml:space="preserve"> 。</w:t>
      </w:r>
    </w:p>
    <w:p w14:paraId="634B6C59">
      <w:pPr>
        <w:spacing w:line="360" w:lineRule="auto"/>
        <w:ind w:firstLine="420" w:firstLineChars="200"/>
        <w:rPr>
          <w:color w:val="auto"/>
          <w:highlight w:val="none"/>
        </w:rPr>
      </w:pPr>
      <w:r>
        <w:rPr>
          <w:color w:val="auto"/>
          <w:highlight w:val="none"/>
        </w:rPr>
        <w:t xml:space="preserve">1.6.4 </w:t>
      </w:r>
      <w:r>
        <w:rPr>
          <w:rFonts w:hint="eastAsia" w:hAnsi="宋体" w:cs="宋体"/>
          <w:color w:val="auto"/>
          <w:highlight w:val="none"/>
        </w:rPr>
        <w:t>承包人文件</w:t>
      </w:r>
    </w:p>
    <w:p w14:paraId="1B5FD694">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需要由承包人提供的文件，包括：</w:t>
      </w:r>
      <w:r>
        <w:rPr>
          <w:rStyle w:val="27"/>
          <w:rFonts w:hint="eastAsia" w:ascii="宋体" w:hAnsi="宋体" w:cs="宋体"/>
          <w:color w:val="auto"/>
          <w:szCs w:val="21"/>
          <w:highlight w:val="none"/>
          <w:u w:val="single"/>
        </w:rPr>
        <w:t xml:space="preserve">  施工组织设计、进度计划等   </w:t>
      </w:r>
      <w:r>
        <w:rPr>
          <w:rStyle w:val="27"/>
          <w:rFonts w:hint="eastAsia" w:ascii="宋体" w:hAnsi="宋体" w:cs="宋体"/>
          <w:color w:val="auto"/>
          <w:szCs w:val="21"/>
          <w:highlight w:val="none"/>
        </w:rPr>
        <w:t xml:space="preserve"> ；</w:t>
      </w:r>
    </w:p>
    <w:p w14:paraId="1EC396C5">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承包人提供的文件的期限为：</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 xml:space="preserve">  ；</w:t>
      </w:r>
    </w:p>
    <w:p w14:paraId="450BA769">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承包人提供的文件的数量为：</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 xml:space="preserve"> ；</w:t>
      </w:r>
    </w:p>
    <w:p w14:paraId="0E5178F5">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承包人提供的文件的形式为：</w:t>
      </w:r>
      <w:r>
        <w:rPr>
          <w:rStyle w:val="27"/>
          <w:rFonts w:hint="eastAsia" w:ascii="宋体" w:hAnsi="宋体" w:cs="宋体"/>
          <w:color w:val="auto"/>
          <w:szCs w:val="21"/>
          <w:highlight w:val="none"/>
          <w:u w:val="single"/>
        </w:rPr>
        <w:t xml:space="preserve"> 纸质或电子版本   </w:t>
      </w:r>
      <w:r>
        <w:rPr>
          <w:rStyle w:val="27"/>
          <w:rFonts w:hint="eastAsia" w:ascii="宋体" w:hAnsi="宋体" w:cs="宋体"/>
          <w:color w:val="auto"/>
          <w:szCs w:val="21"/>
          <w:highlight w:val="none"/>
        </w:rPr>
        <w:t xml:space="preserve"> ；</w:t>
      </w:r>
    </w:p>
    <w:p w14:paraId="3E215C19">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发包人审批承包人文件的期限：</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w:t>
      </w:r>
    </w:p>
    <w:p w14:paraId="4D512E1B">
      <w:pPr>
        <w:spacing w:line="360" w:lineRule="auto"/>
        <w:ind w:firstLine="420" w:firstLineChars="200"/>
        <w:rPr>
          <w:color w:val="auto"/>
          <w:highlight w:val="none"/>
        </w:rPr>
      </w:pPr>
      <w:r>
        <w:rPr>
          <w:color w:val="auto"/>
          <w:highlight w:val="none"/>
        </w:rPr>
        <w:t xml:space="preserve">1.6.5 </w:t>
      </w:r>
      <w:r>
        <w:rPr>
          <w:rFonts w:hint="eastAsia" w:hAnsi="宋体" w:cs="宋体"/>
          <w:color w:val="auto"/>
          <w:highlight w:val="none"/>
        </w:rPr>
        <w:t>现场图纸准备</w:t>
      </w:r>
    </w:p>
    <w:p w14:paraId="53596688">
      <w:pPr>
        <w:spacing w:line="360" w:lineRule="auto"/>
        <w:ind w:firstLine="420" w:firstLineChars="200"/>
        <w:rPr>
          <w:color w:val="auto"/>
          <w:highlight w:val="none"/>
        </w:rPr>
      </w:pPr>
      <w:r>
        <w:rPr>
          <w:rFonts w:hint="eastAsia" w:hAnsi="宋体" w:cs="宋体"/>
          <w:color w:val="auto"/>
          <w:highlight w:val="none"/>
        </w:rPr>
        <w:t>关于现场图纸准备的约定：</w:t>
      </w:r>
      <w:r>
        <w:rPr>
          <w:rFonts w:hint="eastAsia" w:hAnsi="宋体" w:cs="宋体"/>
          <w:color w:val="auto"/>
          <w:highlight w:val="none"/>
          <w:u w:val="single"/>
        </w:rPr>
        <w:t xml:space="preserve">在承包人提供文件后三天内审定完毕，如有重大异议必须在收到上述资料之日起五个工作日内以书面形式送达承包人，逾期不确认也不提出书面意见的，视为同意 </w:t>
      </w:r>
      <w:r>
        <w:rPr>
          <w:rFonts w:hint="eastAsia" w:hAnsi="宋体" w:cs="宋体"/>
          <w:color w:val="auto"/>
          <w:highlight w:val="none"/>
        </w:rPr>
        <w:t>。</w:t>
      </w:r>
    </w:p>
    <w:p w14:paraId="29A3B864">
      <w:pPr>
        <w:pStyle w:val="6"/>
        <w:rPr>
          <w:color w:val="auto"/>
          <w:highlight w:val="none"/>
        </w:rPr>
      </w:pPr>
      <w:bookmarkStart w:id="207" w:name="_Toc373478345"/>
      <w:bookmarkStart w:id="208" w:name="_Toc389065264"/>
      <w:bookmarkStart w:id="209" w:name="_Toc407135200"/>
      <w:bookmarkStart w:id="210" w:name="_Toc12819"/>
      <w:bookmarkStart w:id="211" w:name="_Toc373227698"/>
      <w:r>
        <w:rPr>
          <w:color w:val="auto"/>
          <w:highlight w:val="none"/>
        </w:rPr>
        <w:t xml:space="preserve">1.7 </w:t>
      </w:r>
      <w:r>
        <w:rPr>
          <w:rFonts w:hint="eastAsia" w:hAnsi="宋体" w:cs="黑体"/>
          <w:color w:val="auto"/>
          <w:highlight w:val="none"/>
        </w:rPr>
        <w:t>联络</w:t>
      </w:r>
      <w:bookmarkEnd w:id="207"/>
      <w:bookmarkEnd w:id="208"/>
      <w:bookmarkEnd w:id="209"/>
      <w:bookmarkEnd w:id="210"/>
      <w:bookmarkEnd w:id="211"/>
    </w:p>
    <w:p w14:paraId="657F833D">
      <w:pPr>
        <w:spacing w:line="360" w:lineRule="auto"/>
        <w:ind w:firstLine="420" w:firstLineChars="200"/>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color w:val="auto"/>
          <w:highlight w:val="none"/>
          <w:u w:val="single"/>
        </w:rPr>
        <w:t xml:space="preserve">  </w:t>
      </w:r>
      <w:r>
        <w:rPr>
          <w:rFonts w:hint="eastAsia"/>
          <w:color w:val="auto"/>
          <w:highlight w:val="none"/>
          <w:u w:val="single"/>
        </w:rPr>
        <w:t>15</w:t>
      </w:r>
      <w:r>
        <w:rPr>
          <w:color w:val="auto"/>
          <w:highlight w:val="none"/>
          <w:u w:val="single"/>
        </w:rPr>
        <w:t xml:space="preserve">  </w:t>
      </w:r>
      <w:r>
        <w:rPr>
          <w:rFonts w:hint="eastAsia" w:hAnsi="宋体" w:cs="宋体"/>
          <w:color w:val="auto"/>
          <w:kern w:val="0"/>
          <w:highlight w:val="none"/>
        </w:rPr>
        <w:t>天内将与合同有关的通知、批准、证明、证书、指示、指令、要求、请求、同意、意见、确定和决定等书面函件送达对方当事人。</w:t>
      </w:r>
    </w:p>
    <w:p w14:paraId="712492A6">
      <w:pPr>
        <w:spacing w:line="360" w:lineRule="auto"/>
        <w:ind w:firstLine="420" w:firstLineChars="200"/>
        <w:rPr>
          <w:color w:val="auto"/>
          <w:kern w:val="0"/>
          <w:highlight w:val="none"/>
        </w:rPr>
      </w:pPr>
      <w:r>
        <w:rPr>
          <w:color w:val="auto"/>
          <w:kern w:val="0"/>
          <w:highlight w:val="none"/>
        </w:rPr>
        <w:t xml:space="preserve">1.7.2 </w:t>
      </w:r>
      <w:r>
        <w:rPr>
          <w:rFonts w:hint="eastAsia" w:hAnsi="宋体" w:cs="宋体"/>
          <w:color w:val="auto"/>
          <w:kern w:val="0"/>
          <w:highlight w:val="none"/>
        </w:rPr>
        <w:t>发包人接收文件的地点：</w:t>
      </w:r>
      <w:r>
        <w:rPr>
          <w:rFonts w:hint="eastAsia" w:hAnsi="宋体" w:cs="宋体"/>
          <w:color w:val="auto"/>
          <w:kern w:val="0"/>
          <w:highlight w:val="none"/>
          <w:u w:val="single"/>
          <w:lang w:val="en-US" w:eastAsia="zh-CN"/>
        </w:rPr>
        <w:t>承</w:t>
      </w:r>
      <w:r>
        <w:rPr>
          <w:rFonts w:hint="eastAsia"/>
          <w:color w:val="auto"/>
          <w:highlight w:val="none"/>
          <w:u w:val="single"/>
        </w:rPr>
        <w:t xml:space="preserve">包人设于施工现场的办公室    </w:t>
      </w:r>
      <w:r>
        <w:rPr>
          <w:rFonts w:hint="eastAsia" w:hAnsi="宋体" w:cs="宋体"/>
          <w:color w:val="auto"/>
          <w:kern w:val="0"/>
          <w:highlight w:val="none"/>
        </w:rPr>
        <w:t>；</w:t>
      </w:r>
    </w:p>
    <w:p w14:paraId="77C9A308">
      <w:pPr>
        <w:spacing w:line="360" w:lineRule="auto"/>
        <w:ind w:firstLine="420" w:firstLineChars="200"/>
        <w:rPr>
          <w:color w:val="auto"/>
          <w:kern w:val="0"/>
          <w:highlight w:val="none"/>
        </w:rPr>
      </w:pPr>
      <w:r>
        <w:rPr>
          <w:rFonts w:hint="eastAsia" w:hAnsi="宋体" w:cs="宋体"/>
          <w:color w:val="auto"/>
          <w:kern w:val="0"/>
          <w:highlight w:val="none"/>
        </w:rPr>
        <w:t>发包人指定的接收人为：</w:t>
      </w:r>
      <w:r>
        <w:rPr>
          <w:rFonts w:hint="eastAsia"/>
          <w:color w:val="auto"/>
          <w:highlight w:val="none"/>
          <w:u w:val="single"/>
        </w:rPr>
        <w:t xml:space="preserve">发包人指派的项目负责人 </w:t>
      </w:r>
      <w:r>
        <w:rPr>
          <w:color w:val="auto"/>
          <w:highlight w:val="none"/>
          <w:u w:val="single"/>
        </w:rPr>
        <w:t xml:space="preserve">          </w:t>
      </w:r>
      <w:r>
        <w:rPr>
          <w:rFonts w:hint="eastAsia" w:hAnsi="宋体" w:cs="宋体"/>
          <w:color w:val="auto"/>
          <w:kern w:val="0"/>
          <w:highlight w:val="none"/>
        </w:rPr>
        <w:t>。</w:t>
      </w:r>
    </w:p>
    <w:p w14:paraId="4F605DD4">
      <w:pPr>
        <w:spacing w:line="360" w:lineRule="auto"/>
        <w:ind w:firstLine="420" w:firstLineChars="200"/>
        <w:rPr>
          <w:color w:val="auto"/>
          <w:kern w:val="0"/>
          <w:highlight w:val="none"/>
        </w:rPr>
      </w:pPr>
      <w:r>
        <w:rPr>
          <w:rFonts w:hint="eastAsia" w:hAnsi="宋体" w:cs="宋体"/>
          <w:color w:val="auto"/>
          <w:kern w:val="0"/>
          <w:highlight w:val="none"/>
        </w:rPr>
        <w:t>承包人接收文件的地点：</w:t>
      </w:r>
      <w:r>
        <w:rPr>
          <w:rFonts w:hint="eastAsia"/>
          <w:color w:val="auto"/>
          <w:highlight w:val="none"/>
          <w:u w:val="single"/>
        </w:rPr>
        <w:t>承包人设于施工现场的办公室</w:t>
      </w:r>
      <w:r>
        <w:rPr>
          <w:color w:val="auto"/>
          <w:highlight w:val="none"/>
          <w:u w:val="single"/>
        </w:rPr>
        <w:t xml:space="preserve">  </w:t>
      </w:r>
      <w:r>
        <w:rPr>
          <w:rFonts w:hint="eastAsia"/>
          <w:color w:val="auto"/>
          <w:highlight w:val="none"/>
          <w:u w:val="single"/>
        </w:rPr>
        <w:t xml:space="preserve">     </w:t>
      </w:r>
      <w:r>
        <w:rPr>
          <w:rFonts w:hint="eastAsia" w:hAnsi="宋体" w:cs="宋体"/>
          <w:color w:val="auto"/>
          <w:kern w:val="0"/>
          <w:highlight w:val="none"/>
        </w:rPr>
        <w:t>；</w:t>
      </w:r>
    </w:p>
    <w:p w14:paraId="7F721FF6">
      <w:pPr>
        <w:spacing w:line="360" w:lineRule="auto"/>
        <w:ind w:firstLine="420" w:firstLineChars="200"/>
        <w:rPr>
          <w:color w:val="auto"/>
          <w:kern w:val="0"/>
          <w:highlight w:val="none"/>
        </w:rPr>
      </w:pPr>
      <w:r>
        <w:rPr>
          <w:rFonts w:hint="eastAsia" w:hAnsi="宋体" w:cs="宋体"/>
          <w:color w:val="auto"/>
          <w:kern w:val="0"/>
          <w:highlight w:val="none"/>
        </w:rPr>
        <w:t>承包人指定的接收人为：</w:t>
      </w:r>
      <w:r>
        <w:rPr>
          <w:color w:val="auto"/>
          <w:highlight w:val="none"/>
          <w:u w:val="single"/>
        </w:rPr>
        <w:t xml:space="preserve"> </w:t>
      </w:r>
      <w:r>
        <w:rPr>
          <w:rFonts w:hint="eastAsia"/>
          <w:color w:val="auto"/>
          <w:highlight w:val="none"/>
          <w:u w:val="single"/>
        </w:rPr>
        <w:t>承包人项目经理</w:t>
      </w:r>
      <w:r>
        <w:rPr>
          <w:rFonts w:hint="eastAsia"/>
          <w:color w:val="auto"/>
          <w:highlight w:val="none"/>
          <w:u w:val="single"/>
          <w:lang w:val="en-US"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9F26BBC">
      <w:pPr>
        <w:spacing w:line="360" w:lineRule="auto"/>
        <w:ind w:firstLine="420" w:firstLineChars="200"/>
        <w:rPr>
          <w:color w:val="auto"/>
          <w:kern w:val="0"/>
          <w:highlight w:val="none"/>
        </w:rPr>
      </w:pPr>
      <w:r>
        <w:rPr>
          <w:rFonts w:hint="eastAsia" w:hAnsi="宋体" w:cs="宋体"/>
          <w:color w:val="auto"/>
          <w:kern w:val="0"/>
          <w:highlight w:val="none"/>
        </w:rPr>
        <w:t>监理人接收文件的地点：</w:t>
      </w:r>
      <w:r>
        <w:rPr>
          <w:rFonts w:hint="eastAsia"/>
          <w:color w:val="auto"/>
          <w:highlight w:val="none"/>
          <w:u w:val="single"/>
        </w:rPr>
        <w:t xml:space="preserve">监理人设于施工现场的办公室       </w:t>
      </w:r>
      <w:r>
        <w:rPr>
          <w:rFonts w:hint="eastAsia" w:hAnsi="宋体" w:cs="宋体"/>
          <w:color w:val="auto"/>
          <w:kern w:val="0"/>
          <w:highlight w:val="none"/>
        </w:rPr>
        <w:t>；</w:t>
      </w:r>
    </w:p>
    <w:p w14:paraId="22647E62">
      <w:pPr>
        <w:spacing w:line="360" w:lineRule="auto"/>
        <w:ind w:firstLine="420" w:firstLineChars="200"/>
        <w:rPr>
          <w:color w:val="auto"/>
          <w:kern w:val="0"/>
          <w:highlight w:val="none"/>
        </w:rPr>
      </w:pPr>
      <w:r>
        <w:rPr>
          <w:rFonts w:hint="eastAsia" w:hAnsi="宋体" w:cs="宋体"/>
          <w:color w:val="auto"/>
          <w:kern w:val="0"/>
          <w:highlight w:val="none"/>
        </w:rPr>
        <w:t>监理人指定的接收人为：</w:t>
      </w:r>
      <w:r>
        <w:rPr>
          <w:rFonts w:hint="eastAsia" w:hAnsi="宋体" w:cs="宋体"/>
          <w:color w:val="auto"/>
          <w:kern w:val="0"/>
          <w:highlight w:val="none"/>
          <w:u w:val="single"/>
        </w:rPr>
        <w:t>监理工程师</w:t>
      </w:r>
      <w:r>
        <w:rPr>
          <w:color w:val="auto"/>
          <w:highlight w:val="none"/>
          <w:u w:val="single"/>
        </w:rPr>
        <w:t xml:space="preserve">         </w:t>
      </w:r>
      <w:r>
        <w:rPr>
          <w:rFonts w:hint="eastAsia"/>
          <w:color w:val="auto"/>
          <w:highlight w:val="none"/>
          <w:u w:val="single"/>
        </w:rPr>
        <w:t xml:space="preserve">              </w:t>
      </w:r>
      <w:r>
        <w:rPr>
          <w:rFonts w:hint="eastAsia" w:hAnsi="宋体" w:cs="宋体"/>
          <w:color w:val="auto"/>
          <w:kern w:val="0"/>
          <w:highlight w:val="none"/>
        </w:rPr>
        <w:t>。</w:t>
      </w:r>
    </w:p>
    <w:p w14:paraId="62718799">
      <w:pPr>
        <w:pStyle w:val="6"/>
        <w:rPr>
          <w:color w:val="auto"/>
          <w:highlight w:val="none"/>
        </w:rPr>
      </w:pPr>
      <w:bookmarkStart w:id="212" w:name="_Toc5539"/>
      <w:bookmarkStart w:id="213" w:name="_Toc373478346"/>
      <w:bookmarkStart w:id="214" w:name="_Toc407135201"/>
      <w:bookmarkStart w:id="215" w:name="_Toc373227699"/>
      <w:bookmarkStart w:id="216" w:name="_Toc389065265"/>
      <w:r>
        <w:rPr>
          <w:color w:val="auto"/>
          <w:highlight w:val="none"/>
        </w:rPr>
        <w:t xml:space="preserve">1.10 </w:t>
      </w:r>
      <w:r>
        <w:rPr>
          <w:rFonts w:hint="eastAsia" w:hAnsi="宋体" w:cs="黑体"/>
          <w:color w:val="auto"/>
          <w:highlight w:val="none"/>
        </w:rPr>
        <w:t>交通运输</w:t>
      </w:r>
      <w:bookmarkEnd w:id="212"/>
      <w:bookmarkEnd w:id="213"/>
      <w:bookmarkEnd w:id="214"/>
      <w:bookmarkEnd w:id="215"/>
      <w:bookmarkEnd w:id="216"/>
    </w:p>
    <w:p w14:paraId="6CFA379B">
      <w:pPr>
        <w:spacing w:line="360" w:lineRule="auto"/>
        <w:ind w:firstLine="420" w:firstLineChars="200"/>
        <w:rPr>
          <w:color w:val="auto"/>
          <w:highlight w:val="none"/>
        </w:rPr>
      </w:pPr>
      <w:r>
        <w:rPr>
          <w:color w:val="auto"/>
          <w:highlight w:val="none"/>
        </w:rPr>
        <w:t>1</w:t>
      </w:r>
      <w:bookmarkStart w:id="217" w:name="_Toc312677986"/>
      <w:bookmarkStart w:id="218" w:name="_Toc300934943"/>
      <w:bookmarkStart w:id="219" w:name="_Toc304295521"/>
      <w:bookmarkStart w:id="220" w:name="_Toc318581155"/>
      <w:bookmarkStart w:id="221" w:name="_Toc303539100"/>
      <w:r>
        <w:rPr>
          <w:color w:val="auto"/>
          <w:highlight w:val="none"/>
        </w:rPr>
        <w:t xml:space="preserve">.10.1 </w:t>
      </w:r>
      <w:r>
        <w:rPr>
          <w:rFonts w:hint="eastAsia" w:hAnsi="宋体" w:cs="宋体"/>
          <w:color w:val="auto"/>
          <w:highlight w:val="none"/>
        </w:rPr>
        <w:t>出入现场的权利</w:t>
      </w:r>
    </w:p>
    <w:p w14:paraId="4AE228C1">
      <w:pPr>
        <w:spacing w:line="360" w:lineRule="auto"/>
        <w:ind w:firstLine="420" w:firstLineChars="200"/>
        <w:rPr>
          <w:color w:val="auto"/>
          <w:highlight w:val="none"/>
          <w:u w:val="single"/>
        </w:rPr>
      </w:pPr>
      <w:r>
        <w:rPr>
          <w:rFonts w:hint="eastAsia" w:hAnsi="宋体" w:cs="宋体"/>
          <w:color w:val="auto"/>
          <w:highlight w:val="none"/>
        </w:rPr>
        <w:t>关于出入现场的权利的约定：</w:t>
      </w:r>
      <w:r>
        <w:rPr>
          <w:color w:val="auto"/>
          <w:highlight w:val="none"/>
          <w:u w:val="single"/>
        </w:rPr>
        <w:t xml:space="preserve"> </w:t>
      </w:r>
      <w:r>
        <w:rPr>
          <w:rFonts w:hint="eastAsia"/>
          <w:color w:val="auto"/>
          <w:highlight w:val="none"/>
          <w:u w:val="single"/>
        </w:rPr>
        <w:t>发包人应根据施工需要，负责取得出入施工现场所需的批准手续和全部权利</w:t>
      </w:r>
      <w:r>
        <w:rPr>
          <w:rFonts w:hint="eastAsia" w:hAnsi="宋体" w:cs="宋体"/>
          <w:color w:val="auto"/>
          <w:highlight w:val="none"/>
        </w:rPr>
        <w:t>。</w:t>
      </w:r>
    </w:p>
    <w:bookmarkEnd w:id="217"/>
    <w:bookmarkEnd w:id="218"/>
    <w:bookmarkEnd w:id="219"/>
    <w:bookmarkEnd w:id="220"/>
    <w:bookmarkEnd w:id="221"/>
    <w:p w14:paraId="1036729C">
      <w:pPr>
        <w:spacing w:line="360" w:lineRule="auto"/>
        <w:ind w:firstLine="420" w:firstLineChars="200"/>
        <w:jc w:val="left"/>
        <w:rPr>
          <w:color w:val="auto"/>
          <w:highlight w:val="none"/>
        </w:rPr>
      </w:pPr>
      <w:r>
        <w:rPr>
          <w:color w:val="auto"/>
          <w:highlight w:val="none"/>
        </w:rPr>
        <w:t>1</w:t>
      </w:r>
      <w:bookmarkStart w:id="222" w:name="_Toc303539101"/>
      <w:bookmarkStart w:id="223" w:name="_Toc304295522"/>
      <w:bookmarkStart w:id="224" w:name="_Toc300934944"/>
      <w:bookmarkStart w:id="225" w:name="_Toc318581156"/>
      <w:bookmarkStart w:id="226" w:name="_Toc312677987"/>
      <w:r>
        <w:rPr>
          <w:color w:val="auto"/>
          <w:highlight w:val="none"/>
        </w:rPr>
        <w:t xml:space="preserve">.10.3 </w:t>
      </w:r>
      <w:r>
        <w:rPr>
          <w:rFonts w:hint="eastAsia" w:hAnsi="宋体" w:cs="宋体"/>
          <w:color w:val="auto"/>
          <w:highlight w:val="none"/>
        </w:rPr>
        <w:t>场内交通</w:t>
      </w:r>
    </w:p>
    <w:p w14:paraId="3030937C">
      <w:pPr>
        <w:spacing w:line="360" w:lineRule="auto"/>
        <w:ind w:firstLine="420" w:firstLineChars="200"/>
        <w:jc w:val="left"/>
        <w:rPr>
          <w:rFonts w:hint="eastAsia" w:hAnsi="宋体" w:cs="宋体"/>
          <w:color w:val="auto"/>
          <w:highlight w:val="none"/>
        </w:rPr>
      </w:pPr>
      <w:r>
        <w:rPr>
          <w:rFonts w:hint="eastAsia" w:hAnsi="宋体" w:cs="宋体"/>
          <w:color w:val="auto"/>
          <w:kern w:val="0"/>
          <w:highlight w:val="none"/>
        </w:rPr>
        <w:t>关于场外交通和场内交通的边界的约定：</w:t>
      </w:r>
      <w:r>
        <w:rPr>
          <w:color w:val="auto"/>
          <w:highlight w:val="none"/>
          <w:u w:val="single"/>
        </w:rPr>
        <w:t xml:space="preserve"> </w:t>
      </w:r>
      <w:r>
        <w:rPr>
          <w:rStyle w:val="27"/>
          <w:rFonts w:hint="eastAsia" w:ascii="宋体" w:hAnsi="宋体" w:cs="宋体"/>
          <w:color w:val="auto"/>
          <w:szCs w:val="21"/>
          <w:highlight w:val="none"/>
          <w:u w:val="single"/>
        </w:rPr>
        <w:t>原则上以工程施工红线界定</w:t>
      </w:r>
      <w:r>
        <w:rPr>
          <w:rStyle w:val="27"/>
          <w:rFonts w:hint="eastAsia" w:ascii="宋体" w:hAnsi="宋体" w:cs="宋体"/>
          <w:color w:val="auto"/>
          <w:szCs w:val="21"/>
          <w:highlight w:val="none"/>
          <w:u w:val="single"/>
          <w:lang w:val="en-US" w:eastAsia="zh-CN"/>
        </w:rPr>
        <w:t xml:space="preserve">   </w:t>
      </w:r>
      <w:r>
        <w:rPr>
          <w:rFonts w:hint="eastAsia" w:hAnsi="宋体" w:cs="宋体"/>
          <w:color w:val="auto"/>
          <w:highlight w:val="none"/>
        </w:rPr>
        <w:t>。</w:t>
      </w:r>
    </w:p>
    <w:bookmarkEnd w:id="222"/>
    <w:bookmarkEnd w:id="223"/>
    <w:bookmarkEnd w:id="224"/>
    <w:bookmarkEnd w:id="225"/>
    <w:bookmarkEnd w:id="226"/>
    <w:p w14:paraId="61464125">
      <w:pPr>
        <w:spacing w:line="360" w:lineRule="auto"/>
        <w:ind w:firstLine="420" w:firstLineChars="200"/>
        <w:jc w:val="left"/>
        <w:rPr>
          <w:rStyle w:val="27"/>
          <w:rFonts w:hint="eastAsia" w:ascii="宋体" w:hAnsi="宋体" w:cs="宋体"/>
          <w:color w:val="auto"/>
          <w:szCs w:val="21"/>
          <w:highlight w:val="none"/>
        </w:rPr>
      </w:pPr>
      <w:bookmarkStart w:id="227" w:name="_Toc318581157"/>
      <w:r>
        <w:rPr>
          <w:rStyle w:val="27"/>
          <w:rFonts w:hint="eastAsia" w:ascii="宋体" w:hAnsi="宋体" w:cs="宋体"/>
          <w:color w:val="auto"/>
          <w:szCs w:val="21"/>
          <w:highlight w:val="none"/>
        </w:rPr>
        <w:t xml:space="preserve">关于发包人向承包人免费提供满足工程施工需要的场内道路和交通设施的约定：  </w:t>
      </w:r>
      <w:r>
        <w:rPr>
          <w:rStyle w:val="27"/>
          <w:rFonts w:hint="eastAsia" w:ascii="宋体" w:hAnsi="宋体" w:cs="宋体"/>
          <w:color w:val="auto"/>
          <w:szCs w:val="21"/>
          <w:highlight w:val="none"/>
          <w:u w:val="single"/>
        </w:rPr>
        <w:t xml:space="preserve">由承包人根据现场实际自行考虑，费用自理  </w:t>
      </w:r>
      <w:r>
        <w:rPr>
          <w:rStyle w:val="27"/>
          <w:rFonts w:hint="eastAsia" w:ascii="宋体" w:hAnsi="宋体" w:cs="宋体"/>
          <w:color w:val="auto"/>
          <w:szCs w:val="21"/>
          <w:highlight w:val="none"/>
          <w:u w:val="single"/>
          <w:lang w:eastAsia="zh-CN"/>
        </w:rPr>
        <w:t>。</w:t>
      </w:r>
      <w:r>
        <w:rPr>
          <w:rStyle w:val="27"/>
          <w:rFonts w:hint="eastAsia" w:ascii="宋体" w:hAnsi="宋体" w:cs="宋体"/>
          <w:color w:val="auto"/>
          <w:szCs w:val="21"/>
          <w:highlight w:val="none"/>
        </w:rPr>
        <w:t xml:space="preserve"> </w:t>
      </w:r>
    </w:p>
    <w:p w14:paraId="13A77DE4">
      <w:pPr>
        <w:spacing w:line="360" w:lineRule="auto"/>
        <w:ind w:firstLine="420" w:firstLineChars="200"/>
        <w:jc w:val="left"/>
        <w:rPr>
          <w:color w:val="auto"/>
          <w:highlight w:val="none"/>
        </w:rPr>
      </w:pPr>
      <w:r>
        <w:rPr>
          <w:color w:val="auto"/>
          <w:highlight w:val="none"/>
        </w:rPr>
        <w:t xml:space="preserve">1.10.4 </w:t>
      </w:r>
      <w:r>
        <w:rPr>
          <w:rFonts w:hint="eastAsia" w:hAnsi="宋体" w:cs="宋体"/>
          <w:color w:val="auto"/>
          <w:highlight w:val="none"/>
        </w:rPr>
        <w:t>超大件和超重件的运输</w:t>
      </w:r>
    </w:p>
    <w:p w14:paraId="5572D71D">
      <w:pPr>
        <w:spacing w:line="360" w:lineRule="auto"/>
        <w:ind w:firstLine="420" w:firstLineChars="200"/>
        <w:jc w:val="left"/>
        <w:rPr>
          <w:color w:val="auto"/>
          <w:highlight w:val="none"/>
          <w:u w:val="single"/>
        </w:rPr>
      </w:pPr>
      <w:r>
        <w:rPr>
          <w:rFonts w:hint="eastAsia" w:hAnsi="宋体" w:cs="宋体"/>
          <w:color w:val="auto"/>
          <w:highlight w:val="none"/>
        </w:rPr>
        <w:t>运输超大件或超重件所需的道路和桥梁临时加固改造费用和其他有关费用由</w:t>
      </w:r>
      <w:r>
        <w:rPr>
          <w:color w:val="auto"/>
          <w:highlight w:val="none"/>
          <w:u w:val="single"/>
        </w:rPr>
        <w:t xml:space="preserve"> </w:t>
      </w:r>
      <w:r>
        <w:rPr>
          <w:rFonts w:hint="eastAsia"/>
          <w:color w:val="auto"/>
          <w:highlight w:val="none"/>
          <w:u w:val="single"/>
          <w:lang w:val="en-US" w:eastAsia="zh-CN"/>
        </w:rPr>
        <w:t>承</w:t>
      </w:r>
      <w:r>
        <w:rPr>
          <w:rFonts w:hint="eastAsia"/>
          <w:color w:val="auto"/>
          <w:highlight w:val="none"/>
          <w:u w:val="single"/>
        </w:rPr>
        <w:t>包人</w:t>
      </w:r>
      <w:r>
        <w:rPr>
          <w:color w:val="auto"/>
          <w:highlight w:val="none"/>
          <w:u w:val="single"/>
        </w:rPr>
        <w:t xml:space="preserve"> </w:t>
      </w:r>
      <w:r>
        <w:rPr>
          <w:rFonts w:hint="eastAsia" w:hAnsi="宋体" w:cs="宋体"/>
          <w:color w:val="auto"/>
          <w:highlight w:val="none"/>
        </w:rPr>
        <w:t>承担。</w:t>
      </w:r>
    </w:p>
    <w:bookmarkEnd w:id="227"/>
    <w:p w14:paraId="4736CDB9">
      <w:pPr>
        <w:pStyle w:val="6"/>
        <w:rPr>
          <w:color w:val="auto"/>
          <w:highlight w:val="none"/>
        </w:rPr>
      </w:pPr>
      <w:bookmarkStart w:id="228" w:name="_Toc407135202"/>
      <w:bookmarkStart w:id="229" w:name="_Toc389065266"/>
      <w:bookmarkStart w:id="230" w:name="_Toc373227700"/>
      <w:bookmarkStart w:id="231" w:name="_Toc20972"/>
      <w:bookmarkStart w:id="232" w:name="_Toc373478347"/>
      <w:r>
        <w:rPr>
          <w:color w:val="auto"/>
          <w:highlight w:val="none"/>
        </w:rPr>
        <w:t xml:space="preserve">1.11 </w:t>
      </w:r>
      <w:r>
        <w:rPr>
          <w:rFonts w:hint="eastAsia" w:hAnsi="宋体" w:cs="黑体"/>
          <w:color w:val="auto"/>
          <w:highlight w:val="none"/>
        </w:rPr>
        <w:t>知识产权</w:t>
      </w:r>
      <w:bookmarkEnd w:id="228"/>
      <w:bookmarkEnd w:id="229"/>
      <w:bookmarkEnd w:id="230"/>
      <w:bookmarkEnd w:id="231"/>
      <w:bookmarkEnd w:id="232"/>
    </w:p>
    <w:p w14:paraId="32F30068">
      <w:pPr>
        <w:spacing w:line="360" w:lineRule="auto"/>
        <w:ind w:firstLine="420" w:firstLineChars="200"/>
        <w:rPr>
          <w:rFonts w:hint="eastAsia"/>
          <w:color w:val="auto"/>
          <w:highlight w:val="none"/>
          <w:u w:val="single"/>
        </w:rPr>
      </w:pPr>
      <w:r>
        <w:rPr>
          <w:color w:val="auto"/>
          <w:highlight w:val="none"/>
        </w:rPr>
        <w:t xml:space="preserve">1.11.1 </w:t>
      </w:r>
      <w:r>
        <w:rPr>
          <w:rFonts w:hint="eastAsia"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rFonts w:hint="eastAsia"/>
          <w:color w:val="auto"/>
          <w:highlight w:val="none"/>
          <w:u w:val="single"/>
        </w:rPr>
        <w:t>发包人提供给承包</w:t>
      </w:r>
    </w:p>
    <w:p w14:paraId="3411E5EC">
      <w:pPr>
        <w:spacing w:line="360" w:lineRule="auto"/>
        <w:rPr>
          <w:color w:val="auto"/>
          <w:highlight w:val="none"/>
        </w:rPr>
      </w:pPr>
      <w:r>
        <w:rPr>
          <w:rFonts w:hint="eastAsia"/>
          <w:color w:val="auto"/>
          <w:highlight w:val="none"/>
          <w:u w:val="single"/>
        </w:rPr>
        <w:t xml:space="preserve">人的图纸、发包人为实施工程自行编制或委托编制的技术规范以及反映发包人要求的或其他类似性质的文件的著作权属于发包人，承包人可以为实现合同目的而复制、使用此类文件，但不能用于与合同无关的其他事项 </w:t>
      </w:r>
      <w:r>
        <w:rPr>
          <w:rFonts w:hint="eastAsia" w:hAnsi="宋体" w:cs="宋体"/>
          <w:color w:val="auto"/>
          <w:highlight w:val="none"/>
        </w:rPr>
        <w:t>。</w:t>
      </w:r>
    </w:p>
    <w:p w14:paraId="6232DA76">
      <w:pPr>
        <w:spacing w:line="360" w:lineRule="auto"/>
        <w:ind w:firstLine="420" w:firstLineChars="200"/>
        <w:rPr>
          <w:color w:val="auto"/>
          <w:highlight w:val="none"/>
        </w:rPr>
      </w:pPr>
      <w:r>
        <w:rPr>
          <w:rFonts w:hint="eastAsia" w:hAnsi="宋体" w:cs="宋体"/>
          <w:color w:val="auto"/>
          <w:highlight w:val="none"/>
        </w:rPr>
        <w:t>关于发包人提供的上述文件的使用限制的要求：</w:t>
      </w:r>
      <w:r>
        <w:rPr>
          <w:color w:val="auto"/>
          <w:highlight w:val="none"/>
          <w:u w:val="single"/>
        </w:rPr>
        <w:t xml:space="preserve"> </w:t>
      </w:r>
      <w:r>
        <w:rPr>
          <w:rFonts w:hint="eastAsia"/>
          <w:color w:val="auto"/>
          <w:highlight w:val="none"/>
          <w:u w:val="single"/>
        </w:rPr>
        <w:t>未经发包人书面同意，承包人不得为了合同以外的目的而复制、使用上述文件或将之提供给任何第三方</w:t>
      </w:r>
      <w:r>
        <w:rPr>
          <w:color w:val="auto"/>
          <w:highlight w:val="none"/>
          <w:u w:val="single"/>
        </w:rPr>
        <w:t xml:space="preserve"> </w:t>
      </w:r>
      <w:r>
        <w:rPr>
          <w:rFonts w:hint="eastAsia" w:hAnsi="宋体" w:cs="宋体"/>
          <w:color w:val="auto"/>
          <w:highlight w:val="none"/>
        </w:rPr>
        <w:t>。</w:t>
      </w:r>
    </w:p>
    <w:p w14:paraId="203D23FA">
      <w:pPr>
        <w:spacing w:line="360" w:lineRule="auto"/>
        <w:ind w:firstLine="420" w:firstLineChars="200"/>
        <w:rPr>
          <w:color w:val="auto"/>
          <w:highlight w:val="none"/>
        </w:rPr>
      </w:pPr>
      <w:r>
        <w:rPr>
          <w:color w:val="auto"/>
          <w:highlight w:val="none"/>
        </w:rPr>
        <w:t xml:space="preserve">1.11.2 </w:t>
      </w:r>
      <w:r>
        <w:rPr>
          <w:rFonts w:hint="eastAsia" w:hAnsi="宋体" w:cs="宋体"/>
          <w:color w:val="auto"/>
          <w:highlight w:val="none"/>
        </w:rPr>
        <w:t>关于承包人为实施工程所编制文件的著作权的归属：</w:t>
      </w:r>
      <w:r>
        <w:rPr>
          <w:rFonts w:hint="eastAsia"/>
          <w:color w:val="auto"/>
          <w:highlight w:val="none"/>
          <w:u w:val="single"/>
        </w:rPr>
        <w:t>承包人为实施工程所编制的文件，除署名权以外的著作权属于发包人，承包人可因实施工程的运行、调试、维修、改造等目的而复制、使用此类文件，但不能用于与合同无关的其他事项</w:t>
      </w:r>
      <w:r>
        <w:rPr>
          <w:color w:val="auto"/>
          <w:highlight w:val="none"/>
          <w:u w:val="single"/>
        </w:rPr>
        <w:t xml:space="preserve">  </w:t>
      </w:r>
      <w:r>
        <w:rPr>
          <w:rFonts w:hint="eastAsia" w:hAnsi="宋体" w:cs="宋体"/>
          <w:color w:val="auto"/>
          <w:highlight w:val="none"/>
        </w:rPr>
        <w:t>。</w:t>
      </w:r>
    </w:p>
    <w:p w14:paraId="4459C210">
      <w:pPr>
        <w:spacing w:line="360" w:lineRule="auto"/>
        <w:ind w:firstLine="420" w:firstLineChars="200"/>
        <w:rPr>
          <w:color w:val="auto"/>
          <w:highlight w:val="none"/>
          <w:u w:val="single"/>
        </w:rPr>
      </w:pPr>
      <w:r>
        <w:rPr>
          <w:rFonts w:hint="eastAsia" w:hAnsi="宋体" w:cs="宋体"/>
          <w:color w:val="auto"/>
          <w:highlight w:val="none"/>
        </w:rPr>
        <w:t>关于承包人提供的上述文件的使用限制的要求：</w:t>
      </w:r>
      <w:r>
        <w:rPr>
          <w:color w:val="auto"/>
          <w:highlight w:val="none"/>
          <w:u w:val="single"/>
        </w:rPr>
        <w:t xml:space="preserve"> </w:t>
      </w:r>
      <w:r>
        <w:rPr>
          <w:rFonts w:hint="eastAsia"/>
          <w:color w:val="auto"/>
          <w:highlight w:val="none"/>
          <w:u w:val="single"/>
        </w:rPr>
        <w:t xml:space="preserve">未经发包人书面同意，承包人不得为了合同以外的目的而复制、使用上述文件或将之提供给任何第三方 </w:t>
      </w:r>
      <w:r>
        <w:rPr>
          <w:rFonts w:hint="eastAsia" w:hAnsi="宋体" w:cs="宋体"/>
          <w:color w:val="auto"/>
          <w:highlight w:val="none"/>
        </w:rPr>
        <w:t>。</w:t>
      </w:r>
    </w:p>
    <w:p w14:paraId="4FC2228A">
      <w:pPr>
        <w:spacing w:line="360" w:lineRule="auto"/>
        <w:ind w:firstLine="420" w:firstLineChars="200"/>
        <w:rPr>
          <w:color w:val="auto"/>
          <w:kern w:val="0"/>
          <w:highlight w:val="none"/>
        </w:rPr>
      </w:pPr>
      <w:r>
        <w:rPr>
          <w:color w:val="auto"/>
          <w:highlight w:val="none"/>
        </w:rPr>
        <w:t xml:space="preserve">1.11.4 </w:t>
      </w:r>
      <w:r>
        <w:rPr>
          <w:rFonts w:hint="eastAsia" w:hAnsi="宋体" w:cs="宋体"/>
          <w:color w:val="auto"/>
          <w:highlight w:val="none"/>
        </w:rPr>
        <w:t>承包人在施工过程中所采用的专利、专有技术、技术秘密的使用费的承担方式：</w:t>
      </w:r>
      <w:r>
        <w:rPr>
          <w:rFonts w:hint="eastAsia"/>
          <w:color w:val="auto"/>
          <w:highlight w:val="none"/>
          <w:u w:val="single"/>
        </w:rPr>
        <w:t xml:space="preserve">承包人在合同签订前和签订时已确定采用的专利、专有技术、技术秘密的使用费已包含在签约合同价中 </w:t>
      </w:r>
      <w:r>
        <w:rPr>
          <w:rFonts w:hint="eastAsia" w:hAnsi="宋体" w:cs="宋体"/>
          <w:color w:val="auto"/>
          <w:kern w:val="0"/>
          <w:highlight w:val="none"/>
        </w:rPr>
        <w:t>。</w:t>
      </w:r>
    </w:p>
    <w:p w14:paraId="42270FB0">
      <w:pPr>
        <w:pStyle w:val="6"/>
        <w:rPr>
          <w:color w:val="auto"/>
          <w:highlight w:val="none"/>
        </w:rPr>
      </w:pPr>
      <w:bookmarkStart w:id="233" w:name="_Toc389065267"/>
      <w:bookmarkStart w:id="234" w:name="_Toc407135203"/>
      <w:bookmarkStart w:id="235" w:name="_Toc373227701"/>
      <w:bookmarkStart w:id="236" w:name="_Toc373478348"/>
      <w:bookmarkStart w:id="237" w:name="_Toc29903"/>
      <w:r>
        <w:rPr>
          <w:color w:val="auto"/>
          <w:highlight w:val="none"/>
        </w:rPr>
        <w:t>1.13</w:t>
      </w:r>
      <w:r>
        <w:rPr>
          <w:rFonts w:hint="eastAsia" w:cs="黑体"/>
          <w:color w:val="auto"/>
          <w:highlight w:val="none"/>
        </w:rPr>
        <w:t>工程量清单错误的修正</w:t>
      </w:r>
      <w:bookmarkEnd w:id="233"/>
      <w:bookmarkEnd w:id="234"/>
      <w:bookmarkEnd w:id="235"/>
      <w:bookmarkEnd w:id="236"/>
      <w:bookmarkEnd w:id="237"/>
    </w:p>
    <w:p w14:paraId="37D3ED3F">
      <w:pPr>
        <w:spacing w:line="360" w:lineRule="auto"/>
        <w:ind w:firstLine="420" w:firstLineChars="200"/>
        <w:rPr>
          <w:rFonts w:hint="eastAsia" w:hAnsi="宋体" w:cs="宋体"/>
          <w:color w:val="auto"/>
          <w:kern w:val="0"/>
          <w:highlight w:val="none"/>
        </w:rPr>
      </w:pPr>
      <w:r>
        <w:rPr>
          <w:rFonts w:hint="eastAsia" w:hAnsi="宋体" w:cs="宋体"/>
          <w:color w:val="auto"/>
          <w:highlight w:val="none"/>
        </w:rPr>
        <w:t>出现工程量清单工程量偏差时，是否调整合同价格：</w:t>
      </w:r>
      <w:r>
        <w:rPr>
          <w:rFonts w:hint="eastAsia" w:ascii="宋体" w:hAnsi="宋体" w:cs="宋体"/>
          <w:color w:val="auto"/>
          <w:highlight w:val="none"/>
          <w:u w:val="single"/>
        </w:rPr>
        <w:t>☑</w:t>
      </w:r>
      <w:r>
        <w:rPr>
          <w:rFonts w:hint="eastAsia" w:ascii="宋体" w:hAnsi="宋体" w:cs="宋体"/>
          <w:color w:val="auto"/>
          <w:highlight w:val="none"/>
          <w:u w:val="single"/>
          <w:lang w:eastAsia="zh-CN"/>
        </w:rPr>
        <w:t>是</w:t>
      </w:r>
      <w:r>
        <w:rPr>
          <w:rFonts w:hint="eastAsia" w:hAnsi="宋体" w:cs="宋体"/>
          <w:color w:val="auto"/>
          <w:highlight w:val="none"/>
          <w:u w:val="single"/>
        </w:rPr>
        <w:t xml:space="preserve">  </w:t>
      </w:r>
      <w:r>
        <w:rPr>
          <w:rFonts w:hint="eastAsia" w:ascii="宋体" w:hAnsi="宋体" w:cs="宋体"/>
          <w:color w:val="auto"/>
          <w:highlight w:val="none"/>
          <w:u w:val="single"/>
        </w:rPr>
        <w:t>□</w:t>
      </w:r>
      <w:r>
        <w:rPr>
          <w:rFonts w:hint="eastAsia" w:ascii="宋体" w:hAnsi="宋体" w:cs="宋体"/>
          <w:color w:val="auto"/>
          <w:highlight w:val="none"/>
          <w:u w:val="single"/>
          <w:lang w:eastAsia="zh-CN"/>
        </w:rPr>
        <w:t>否</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10BC5404">
      <w:pPr>
        <w:spacing w:line="360" w:lineRule="auto"/>
        <w:ind w:firstLine="420" w:firstLineChars="200"/>
        <w:rPr>
          <w:color w:val="auto"/>
          <w:kern w:val="0"/>
          <w:highlight w:val="none"/>
        </w:rPr>
      </w:pPr>
      <w:r>
        <w:rPr>
          <w:rFonts w:hint="eastAsia" w:ascii="宋体" w:hAnsi="宋体" w:cs="宋体"/>
          <w:color w:val="auto"/>
          <w:highlight w:val="none"/>
        </w:rPr>
        <w:t>□</w:t>
      </w:r>
      <w:r>
        <w:rPr>
          <w:color w:val="auto"/>
          <w:highlight w:val="none"/>
          <w:u w:val="single"/>
        </w:rPr>
        <w:t xml:space="preserve"> </w:t>
      </w:r>
      <w:r>
        <w:rPr>
          <w:rFonts w:hint="eastAsia"/>
          <w:color w:val="auto"/>
          <w:highlight w:val="none"/>
          <w:u w:val="single"/>
        </w:rPr>
        <w:t>除严重不平衡报价外，无论分部分项工程量清单项目中的工程量变化多少均不调整</w:t>
      </w:r>
      <w:r>
        <w:rPr>
          <w:rFonts w:hint="eastAsia" w:hAnsi="宋体" w:cs="宋体"/>
          <w:color w:val="auto"/>
          <w:kern w:val="0"/>
          <w:highlight w:val="none"/>
        </w:rPr>
        <w:t>。</w:t>
      </w:r>
    </w:p>
    <w:p w14:paraId="4DD0BEB2">
      <w:pPr>
        <w:spacing w:line="360" w:lineRule="auto"/>
        <w:ind w:firstLine="420" w:firstLineChars="200"/>
        <w:rPr>
          <w:rFonts w:hint="eastAsia" w:hAnsi="宋体" w:cs="宋体"/>
          <w:color w:val="auto"/>
          <w:highlight w:val="none"/>
          <w:u w:val="single"/>
        </w:rPr>
      </w:pPr>
      <w:r>
        <w:rPr>
          <w:rFonts w:hint="eastAsia" w:ascii="MS Mincho" w:hAnsi="MS Mincho" w:eastAsia="宋体" w:cs="MS Mincho"/>
          <w:color w:val="auto"/>
          <w:highlight w:val="none"/>
          <w:u w:val="single"/>
          <w:lang w:eastAsia="zh-CN"/>
        </w:rPr>
        <w:t>□</w:t>
      </w:r>
      <w:r>
        <w:rPr>
          <w:rFonts w:hint="eastAsia" w:ascii="Calibri" w:hAnsi="宋体" w:cs="宋体"/>
          <w:color w:val="auto"/>
          <w:highlight w:val="none"/>
          <w:u w:val="single"/>
        </w:rPr>
        <w:t>承包人实际完成的某单项清单项目工程量与招标工程量清单工程量偏差超过15 %且该单项清单造价超过合同总价</w:t>
      </w:r>
      <w:r>
        <w:rPr>
          <w:rFonts w:hint="eastAsia" w:ascii="Calibri" w:hAnsi="宋体" w:cs="宋体"/>
          <w:color w:val="auto"/>
          <w:highlight w:val="none"/>
          <w:u w:val="single"/>
          <w:lang w:val="en-US" w:eastAsia="zh-CN"/>
        </w:rPr>
        <w:t>15</w:t>
      </w:r>
      <w:r>
        <w:rPr>
          <w:rFonts w:hint="eastAsia" w:ascii="Calibri" w:hAnsi="宋体" w:cs="宋体"/>
          <w:color w:val="auto"/>
          <w:highlight w:val="none"/>
          <w:u w:val="single"/>
        </w:rPr>
        <w:t>%以上的，超过后增加部分工程量或减少后剩余部分工程量的综合单价按以下方法调整： 按中标的综合单价执行 。</w:t>
      </w:r>
    </w:p>
    <w:p w14:paraId="6E397DD3">
      <w:pPr>
        <w:pStyle w:val="34"/>
        <w:rPr>
          <w:color w:val="auto"/>
          <w:highlight w:val="none"/>
        </w:rPr>
      </w:pPr>
    </w:p>
    <w:p w14:paraId="1C7912E4">
      <w:pPr>
        <w:pStyle w:val="5"/>
        <w:rPr>
          <w:color w:val="auto"/>
          <w:highlight w:val="none"/>
        </w:rPr>
      </w:pPr>
      <w:bookmarkStart w:id="238" w:name="_Toc373227702"/>
      <w:bookmarkStart w:id="239" w:name="_Toc351203634"/>
      <w:bookmarkStart w:id="240" w:name="_Toc389065268"/>
      <w:bookmarkStart w:id="241" w:name="_Toc7902"/>
      <w:bookmarkStart w:id="242" w:name="_Toc373478349"/>
      <w:bookmarkStart w:id="243" w:name="_Toc407135204"/>
      <w:r>
        <w:rPr>
          <w:color w:val="auto"/>
          <w:highlight w:val="none"/>
        </w:rPr>
        <w:t>2</w:t>
      </w:r>
      <w:bookmarkStart w:id="244" w:name="_Toc297120457"/>
      <w:bookmarkStart w:id="245" w:name="_Toc296347156"/>
      <w:bookmarkStart w:id="246" w:name="_Toc296346658"/>
      <w:bookmarkStart w:id="247" w:name="_Toc296891197"/>
      <w:bookmarkStart w:id="248" w:name="_Toc296503157"/>
      <w:bookmarkStart w:id="249" w:name="_Toc296890985"/>
      <w:bookmarkStart w:id="250" w:name="_Toc297048343"/>
      <w:bookmarkStart w:id="251" w:name="_Toc292559867"/>
      <w:bookmarkStart w:id="252" w:name="_Toc296944496"/>
      <w:bookmarkStart w:id="253" w:name="_Toc292559362"/>
      <w:r>
        <w:rPr>
          <w:color w:val="auto"/>
          <w:highlight w:val="none"/>
        </w:rPr>
        <w:t xml:space="preserve">. </w:t>
      </w:r>
      <w:r>
        <w:rPr>
          <w:rFonts w:hint="eastAsia" w:hAnsi="宋体" w:cs="黑体"/>
          <w:color w:val="auto"/>
          <w:highlight w:val="none"/>
        </w:rPr>
        <w:t>发包人</w:t>
      </w:r>
      <w:bookmarkEnd w:id="238"/>
      <w:bookmarkEnd w:id="239"/>
      <w:bookmarkEnd w:id="240"/>
      <w:bookmarkEnd w:id="241"/>
      <w:bookmarkEnd w:id="242"/>
      <w:bookmarkEnd w:id="243"/>
    </w:p>
    <w:bookmarkEnd w:id="244"/>
    <w:bookmarkEnd w:id="245"/>
    <w:bookmarkEnd w:id="246"/>
    <w:bookmarkEnd w:id="247"/>
    <w:bookmarkEnd w:id="248"/>
    <w:bookmarkEnd w:id="249"/>
    <w:bookmarkEnd w:id="250"/>
    <w:bookmarkEnd w:id="251"/>
    <w:bookmarkEnd w:id="252"/>
    <w:bookmarkEnd w:id="253"/>
    <w:p w14:paraId="311A5485">
      <w:pPr>
        <w:pStyle w:val="6"/>
        <w:rPr>
          <w:color w:val="auto"/>
          <w:highlight w:val="none"/>
        </w:rPr>
      </w:pPr>
      <w:bookmarkStart w:id="254" w:name="_Toc389065269"/>
      <w:bookmarkStart w:id="255" w:name="_Toc23230"/>
      <w:bookmarkStart w:id="256" w:name="_Toc407135205"/>
      <w:bookmarkStart w:id="257" w:name="_Toc373227703"/>
      <w:bookmarkStart w:id="258" w:name="_Toc373478350"/>
      <w:r>
        <w:rPr>
          <w:color w:val="auto"/>
          <w:highlight w:val="none"/>
        </w:rPr>
        <w:t xml:space="preserve">2.2 </w:t>
      </w:r>
      <w:r>
        <w:rPr>
          <w:rFonts w:hint="eastAsia" w:hAnsi="宋体" w:cs="黑体"/>
          <w:color w:val="auto"/>
          <w:highlight w:val="none"/>
        </w:rPr>
        <w:t>发包人代表</w:t>
      </w:r>
      <w:bookmarkEnd w:id="254"/>
      <w:bookmarkEnd w:id="255"/>
      <w:bookmarkEnd w:id="256"/>
      <w:bookmarkEnd w:id="257"/>
      <w:bookmarkEnd w:id="258"/>
    </w:p>
    <w:p w14:paraId="2D323AAF">
      <w:pPr>
        <w:spacing w:line="360" w:lineRule="auto"/>
        <w:ind w:firstLine="420" w:firstLineChars="200"/>
        <w:rPr>
          <w:color w:val="auto"/>
          <w:highlight w:val="none"/>
        </w:rPr>
      </w:pPr>
      <w:r>
        <w:rPr>
          <w:rFonts w:hint="eastAsia" w:hAnsi="宋体" w:cs="宋体"/>
          <w:color w:val="auto"/>
          <w:highlight w:val="none"/>
        </w:rPr>
        <w:t>发包人代表：</w:t>
      </w:r>
    </w:p>
    <w:p w14:paraId="33D96077">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13A9534">
      <w:pPr>
        <w:spacing w:line="360" w:lineRule="auto"/>
        <w:ind w:firstLine="420" w:firstLineChars="200"/>
        <w:rPr>
          <w:color w:val="auto"/>
          <w:highlight w:val="none"/>
        </w:rPr>
      </w:pPr>
      <w:r>
        <w:rPr>
          <w:rFonts w:hAnsi="宋体"/>
          <w:color w:val="auto"/>
          <w:highlight w:val="none"/>
        </w:rPr>
        <w:t>身份证号：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31E77D71">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0C0CD9E">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A20FC62">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BEEF73E">
      <w:pPr>
        <w:spacing w:line="360" w:lineRule="auto"/>
        <w:ind w:firstLine="420" w:firstLineChars="200"/>
        <w:rPr>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2E870A65">
      <w:pPr>
        <w:spacing w:line="360" w:lineRule="auto"/>
        <w:ind w:firstLine="420" w:firstLineChars="200"/>
        <w:rPr>
          <w:color w:val="auto"/>
          <w:highlight w:val="none"/>
          <w:u w:val="single"/>
        </w:rPr>
      </w:pPr>
      <w:r>
        <w:rPr>
          <w:rFonts w:hint="eastAsia" w:hAnsi="宋体" w:cs="宋体"/>
          <w:color w:val="auto"/>
          <w:highlight w:val="none"/>
        </w:rPr>
        <w:t>发包人对发包人代表的授权范围如下：</w:t>
      </w:r>
      <w:r>
        <w:rPr>
          <w:color w:val="auto"/>
          <w:highlight w:val="none"/>
          <w:u w:val="single"/>
        </w:rPr>
        <w:t xml:space="preserve">  </w:t>
      </w:r>
      <w:r>
        <w:rPr>
          <w:rFonts w:hint="eastAsia"/>
          <w:color w:val="auto"/>
          <w:highlight w:val="none"/>
          <w:u w:val="single"/>
        </w:rPr>
        <w:t>监督工程施工，协调工程建设所有外部关系，对监理单位提出的工程问题作出决定</w:t>
      </w:r>
      <w:r>
        <w:rPr>
          <w:rFonts w:hint="eastAsia" w:hAnsi="宋体" w:cs="宋体"/>
          <w:color w:val="auto"/>
          <w:highlight w:val="none"/>
        </w:rPr>
        <w:t>。</w:t>
      </w:r>
    </w:p>
    <w:p w14:paraId="69590E72">
      <w:pPr>
        <w:pStyle w:val="6"/>
        <w:rPr>
          <w:color w:val="auto"/>
          <w:highlight w:val="none"/>
        </w:rPr>
      </w:pPr>
      <w:bookmarkStart w:id="259" w:name="_Toc373227704"/>
      <w:bookmarkStart w:id="260" w:name="_Toc407135206"/>
      <w:bookmarkStart w:id="261" w:name="_Toc373478351"/>
      <w:bookmarkStart w:id="262" w:name="_Toc25194"/>
      <w:bookmarkStart w:id="263" w:name="_Toc389065270"/>
      <w:r>
        <w:rPr>
          <w:color w:val="auto"/>
          <w:highlight w:val="none"/>
        </w:rPr>
        <w:t xml:space="preserve">2.4 </w:t>
      </w:r>
      <w:r>
        <w:rPr>
          <w:rFonts w:hint="eastAsia" w:cs="黑体"/>
          <w:color w:val="auto"/>
          <w:highlight w:val="none"/>
        </w:rPr>
        <w:t>施工现场、施工条件和基础资料的提供</w:t>
      </w:r>
      <w:bookmarkEnd w:id="259"/>
      <w:bookmarkEnd w:id="260"/>
      <w:bookmarkEnd w:id="261"/>
      <w:bookmarkEnd w:id="262"/>
      <w:bookmarkEnd w:id="263"/>
    </w:p>
    <w:p w14:paraId="4486CC15">
      <w:pPr>
        <w:spacing w:line="360" w:lineRule="auto"/>
        <w:ind w:firstLine="420" w:firstLineChars="200"/>
        <w:rPr>
          <w:color w:val="auto"/>
          <w:highlight w:val="none"/>
        </w:rPr>
      </w:pPr>
      <w:r>
        <w:rPr>
          <w:color w:val="auto"/>
          <w:highlight w:val="none"/>
        </w:rPr>
        <w:t xml:space="preserve">2.4.1 </w:t>
      </w:r>
      <w:r>
        <w:rPr>
          <w:rFonts w:hint="eastAsia" w:hAnsi="宋体" w:cs="宋体"/>
          <w:color w:val="auto"/>
          <w:highlight w:val="none"/>
        </w:rPr>
        <w:t>提供施工现场</w:t>
      </w:r>
    </w:p>
    <w:p w14:paraId="6DC2D952">
      <w:pPr>
        <w:spacing w:line="360" w:lineRule="auto"/>
        <w:ind w:firstLine="420" w:firstLineChars="200"/>
        <w:jc w:val="left"/>
        <w:rPr>
          <w:color w:val="auto"/>
          <w:highlight w:val="none"/>
        </w:rPr>
      </w:pPr>
      <w:r>
        <w:rPr>
          <w:rFonts w:hint="eastAsia" w:hAnsi="宋体" w:cs="宋体"/>
          <w:color w:val="auto"/>
          <w:highlight w:val="none"/>
        </w:rPr>
        <w:t>关于发包人移交施工现场的期限要求：</w:t>
      </w:r>
      <w:r>
        <w:rPr>
          <w:color w:val="auto"/>
          <w:highlight w:val="none"/>
          <w:u w:val="single"/>
        </w:rPr>
        <w:t xml:space="preserve">  </w:t>
      </w:r>
      <w:r>
        <w:rPr>
          <w:rFonts w:hint="eastAsia"/>
          <w:color w:val="auto"/>
          <w:highlight w:val="none"/>
          <w:u w:val="single"/>
        </w:rPr>
        <w:t>开工前七天</w:t>
      </w:r>
      <w:r>
        <w:rPr>
          <w:color w:val="auto"/>
          <w:highlight w:val="none"/>
          <w:u w:val="single"/>
        </w:rPr>
        <w:t xml:space="preserve"> </w:t>
      </w:r>
      <w:r>
        <w:rPr>
          <w:rFonts w:hint="eastAsia" w:hAnsi="宋体" w:cs="宋体"/>
          <w:color w:val="auto"/>
          <w:highlight w:val="none"/>
        </w:rPr>
        <w:t>。</w:t>
      </w:r>
    </w:p>
    <w:p w14:paraId="0D9EF6F4">
      <w:pPr>
        <w:spacing w:line="360" w:lineRule="auto"/>
        <w:ind w:firstLine="420" w:firstLineChars="200"/>
        <w:rPr>
          <w:color w:val="auto"/>
          <w:highlight w:val="none"/>
        </w:rPr>
      </w:pPr>
      <w:r>
        <w:rPr>
          <w:color w:val="auto"/>
          <w:highlight w:val="none"/>
        </w:rPr>
        <w:t xml:space="preserve">2.4.2 </w:t>
      </w:r>
      <w:r>
        <w:rPr>
          <w:rFonts w:hint="eastAsia" w:hAnsi="宋体" w:cs="宋体"/>
          <w:color w:val="auto"/>
          <w:highlight w:val="none"/>
        </w:rPr>
        <w:t>提供施工条件</w:t>
      </w:r>
    </w:p>
    <w:p w14:paraId="79F681D3">
      <w:pPr>
        <w:pStyle w:val="49"/>
        <w:bidi w:val="0"/>
        <w:spacing w:line="360" w:lineRule="auto"/>
        <w:rPr>
          <w:rFonts w:hint="eastAsia" w:hAnsi="宋体" w:cs="宋体"/>
          <w:color w:val="auto"/>
          <w:highlight w:val="none"/>
        </w:rPr>
      </w:pPr>
      <w:r>
        <w:rPr>
          <w:rFonts w:hint="eastAsia" w:hAnsi="宋体" w:cs="宋体"/>
          <w:color w:val="auto"/>
          <w:highlight w:val="none"/>
        </w:rPr>
        <w:t>关于发包人应负责提供施工所需要的条件，包括：</w:t>
      </w:r>
      <w:r>
        <w:rPr>
          <w:color w:val="auto"/>
          <w:highlight w:val="none"/>
          <w:u w:val="single"/>
        </w:rPr>
        <w:t xml:space="preserve"> </w:t>
      </w:r>
      <w:r>
        <w:rPr>
          <w:rFonts w:hint="eastAsia"/>
          <w:color w:val="auto"/>
          <w:highlight w:val="none"/>
          <w:u w:val="single"/>
          <w:lang w:val="en-US" w:eastAsia="zh-CN"/>
        </w:rPr>
        <w:t xml:space="preserve">        /          </w:t>
      </w:r>
      <w:r>
        <w:rPr>
          <w:rFonts w:hint="eastAsia" w:hAnsi="宋体" w:cs="宋体"/>
          <w:color w:val="auto"/>
          <w:highlight w:val="none"/>
        </w:rPr>
        <w:t>。</w:t>
      </w:r>
    </w:p>
    <w:p w14:paraId="0B1F2064">
      <w:pPr>
        <w:pStyle w:val="49"/>
        <w:bidi w:val="0"/>
        <w:spacing w:line="360" w:lineRule="auto"/>
        <w:ind w:firstLine="420" w:firstLineChars="200"/>
        <w:rPr>
          <w:rStyle w:val="27"/>
          <w:rFonts w:hint="eastAsia" w:ascii="宋体" w:hAnsi="宋体" w:cs="宋体"/>
          <w:color w:val="auto"/>
          <w:szCs w:val="21"/>
          <w:highlight w:val="none"/>
          <w:u w:val="single"/>
        </w:rPr>
      </w:pPr>
      <w:r>
        <w:rPr>
          <w:rStyle w:val="27"/>
          <w:rFonts w:hint="eastAsia" w:ascii="宋体" w:hAnsi="宋体" w:cs="宋体"/>
          <w:color w:val="auto"/>
          <w:szCs w:val="21"/>
          <w:highlight w:val="none"/>
        </w:rPr>
        <w:t>将施工所需的水、电、电讯线路接至施工场地的时间、地点和供应要求：</w:t>
      </w:r>
      <w:r>
        <w:rPr>
          <w:rStyle w:val="27"/>
          <w:rFonts w:hint="eastAsia" w:ascii="宋体" w:hAnsi="宋体" w:cs="宋体"/>
          <w:color w:val="auto"/>
          <w:szCs w:val="21"/>
          <w:highlight w:val="none"/>
          <w:u w:val="single"/>
        </w:rPr>
        <w:t xml:space="preserve">  施工现场临时道路、水、电、电讯线路等费用由承包人在</w:t>
      </w:r>
      <w:r>
        <w:rPr>
          <w:rStyle w:val="27"/>
          <w:rFonts w:hint="eastAsia" w:ascii="宋体" w:hAnsi="宋体" w:cs="宋体"/>
          <w:color w:val="auto"/>
          <w:szCs w:val="21"/>
          <w:highlight w:val="none"/>
          <w:u w:val="single"/>
          <w:lang w:val="en-US" w:eastAsia="zh-CN"/>
        </w:rPr>
        <w:t>竞标</w:t>
      </w:r>
      <w:r>
        <w:rPr>
          <w:rStyle w:val="27"/>
          <w:rFonts w:hint="eastAsia" w:ascii="宋体" w:hAnsi="宋体" w:cs="宋体"/>
          <w:color w:val="auto"/>
          <w:szCs w:val="21"/>
          <w:highlight w:val="none"/>
          <w:u w:val="single"/>
        </w:rPr>
        <w:t>报价中自行考虑。若供水、供电部门的原因造成停水、停电，承包人必须自行解决施工用水、用电，费用自理  。</w:t>
      </w:r>
    </w:p>
    <w:p w14:paraId="1DBFEEDD">
      <w:pPr>
        <w:pStyle w:val="6"/>
        <w:ind w:left="0" w:leftChars="0" w:firstLine="643" w:firstLineChars="200"/>
        <w:rPr>
          <w:color w:val="auto"/>
          <w:highlight w:val="none"/>
        </w:rPr>
      </w:pPr>
      <w:bookmarkStart w:id="264" w:name="_Toc407135207"/>
      <w:bookmarkStart w:id="265" w:name="_Toc373478352"/>
      <w:bookmarkStart w:id="266" w:name="_Toc7469"/>
      <w:bookmarkStart w:id="267" w:name="_Toc389065271"/>
      <w:bookmarkStart w:id="268" w:name="_Toc373227705"/>
      <w:r>
        <w:rPr>
          <w:color w:val="auto"/>
          <w:highlight w:val="none"/>
        </w:rPr>
        <w:t xml:space="preserve">2.5 </w:t>
      </w:r>
      <w:r>
        <w:rPr>
          <w:rFonts w:hint="eastAsia" w:cs="黑体"/>
          <w:color w:val="auto"/>
          <w:highlight w:val="none"/>
        </w:rPr>
        <w:t>资金来源证明及支付担保</w:t>
      </w:r>
      <w:bookmarkEnd w:id="264"/>
      <w:bookmarkEnd w:id="265"/>
      <w:bookmarkEnd w:id="266"/>
      <w:bookmarkEnd w:id="267"/>
      <w:bookmarkEnd w:id="268"/>
    </w:p>
    <w:p w14:paraId="68FA2E38">
      <w:pPr>
        <w:spacing w:line="360" w:lineRule="auto"/>
        <w:ind w:firstLine="420" w:firstLineChars="200"/>
        <w:rPr>
          <w:color w:val="auto"/>
          <w:highlight w:val="none"/>
        </w:rPr>
      </w:pPr>
      <w:r>
        <w:rPr>
          <w:rFonts w:hint="eastAsia" w:hAnsi="宋体" w:cs="宋体"/>
          <w:color w:val="auto"/>
          <w:highlight w:val="none"/>
        </w:rPr>
        <w:t>发包人提供资金来源证明的期限要求：</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7812A9C9">
      <w:pPr>
        <w:spacing w:line="360" w:lineRule="auto"/>
        <w:ind w:firstLine="420" w:firstLineChars="200"/>
        <w:rPr>
          <w:color w:val="auto"/>
          <w:highlight w:val="none"/>
        </w:rPr>
      </w:pPr>
      <w:r>
        <w:rPr>
          <w:rFonts w:hint="eastAsia" w:hAnsi="宋体" w:cs="宋体"/>
          <w:color w:val="auto"/>
          <w:highlight w:val="none"/>
        </w:rPr>
        <w:t>发包人是否提供支付担保：</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35F447BA">
      <w:pPr>
        <w:spacing w:line="360" w:lineRule="auto"/>
        <w:ind w:firstLine="420" w:firstLineChars="200"/>
        <w:rPr>
          <w:rFonts w:hAnsi="宋体"/>
          <w:color w:val="auto"/>
          <w:highlight w:val="none"/>
        </w:rPr>
      </w:pPr>
      <w:r>
        <w:rPr>
          <w:rFonts w:hint="eastAsia" w:hAnsi="宋体" w:cs="宋体"/>
          <w:color w:val="auto"/>
          <w:highlight w:val="none"/>
        </w:rPr>
        <w:t>发包人提供支付担保的形式：</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C33BDA1">
      <w:pPr>
        <w:spacing w:line="360" w:lineRule="auto"/>
        <w:ind w:firstLine="420" w:firstLineChars="200"/>
        <w:rPr>
          <w:color w:val="auto"/>
          <w:highlight w:val="none"/>
          <w:u w:val="single"/>
        </w:rPr>
      </w:pPr>
      <w:r>
        <w:rPr>
          <w:rFonts w:hint="eastAsia" w:hAnsi="宋体" w:cs="宋体"/>
          <w:color w:val="auto"/>
          <w:highlight w:val="none"/>
        </w:rPr>
        <w:t>发包人提供的支付担保格式见合同附件</w:t>
      </w:r>
      <w:r>
        <w:rPr>
          <w:rFonts w:hint="eastAsia" w:hAnsi="宋体"/>
          <w:color w:val="auto"/>
          <w:highlight w:val="none"/>
        </w:rPr>
        <w:t>9</w:t>
      </w:r>
      <w:r>
        <w:rPr>
          <w:rFonts w:hint="eastAsia" w:hAnsi="宋体" w:cs="宋体"/>
          <w:color w:val="auto"/>
          <w:highlight w:val="none"/>
        </w:rPr>
        <w:t>。</w:t>
      </w:r>
    </w:p>
    <w:p w14:paraId="541821C6">
      <w:pPr>
        <w:pStyle w:val="5"/>
        <w:rPr>
          <w:color w:val="auto"/>
          <w:highlight w:val="none"/>
        </w:rPr>
      </w:pPr>
      <w:bookmarkStart w:id="269" w:name="_Toc373478353"/>
      <w:bookmarkStart w:id="270" w:name="_Toc389065272"/>
      <w:bookmarkStart w:id="271" w:name="_Toc351203635"/>
      <w:bookmarkStart w:id="272" w:name="_Toc407135208"/>
      <w:bookmarkStart w:id="273" w:name="_Toc373227706"/>
      <w:bookmarkStart w:id="274" w:name="_Toc11387"/>
      <w:r>
        <w:rPr>
          <w:color w:val="auto"/>
          <w:highlight w:val="none"/>
        </w:rPr>
        <w:t>3</w:t>
      </w:r>
      <w:bookmarkStart w:id="275" w:name="_Toc296347157"/>
      <w:bookmarkStart w:id="276" w:name="_Toc292559868"/>
      <w:bookmarkStart w:id="277" w:name="_Toc296346659"/>
      <w:bookmarkStart w:id="278" w:name="_Toc296891198"/>
      <w:bookmarkStart w:id="279" w:name="_Toc297120458"/>
      <w:bookmarkStart w:id="280" w:name="_Toc297048344"/>
      <w:bookmarkStart w:id="281" w:name="_Toc292559363"/>
      <w:bookmarkStart w:id="282" w:name="_Toc296503158"/>
      <w:bookmarkStart w:id="283" w:name="_Toc296890986"/>
      <w:bookmarkStart w:id="284" w:name="_Toc296944497"/>
      <w:r>
        <w:rPr>
          <w:color w:val="auto"/>
          <w:highlight w:val="none"/>
        </w:rPr>
        <w:t xml:space="preserve">. </w:t>
      </w:r>
      <w:r>
        <w:rPr>
          <w:rFonts w:hint="eastAsia" w:hAnsi="宋体" w:cs="黑体"/>
          <w:color w:val="auto"/>
          <w:highlight w:val="none"/>
        </w:rPr>
        <w:t>承包人</w:t>
      </w:r>
      <w:bookmarkEnd w:id="269"/>
      <w:bookmarkEnd w:id="270"/>
      <w:bookmarkEnd w:id="271"/>
      <w:bookmarkEnd w:id="272"/>
      <w:bookmarkEnd w:id="273"/>
      <w:bookmarkEnd w:id="274"/>
    </w:p>
    <w:bookmarkEnd w:id="275"/>
    <w:bookmarkEnd w:id="276"/>
    <w:bookmarkEnd w:id="277"/>
    <w:bookmarkEnd w:id="278"/>
    <w:bookmarkEnd w:id="279"/>
    <w:bookmarkEnd w:id="280"/>
    <w:bookmarkEnd w:id="281"/>
    <w:bookmarkEnd w:id="282"/>
    <w:bookmarkEnd w:id="283"/>
    <w:bookmarkEnd w:id="284"/>
    <w:p w14:paraId="67D21F93">
      <w:pPr>
        <w:pStyle w:val="6"/>
        <w:rPr>
          <w:color w:val="auto"/>
          <w:highlight w:val="none"/>
        </w:rPr>
      </w:pPr>
      <w:bookmarkStart w:id="285" w:name="_Toc24830"/>
      <w:bookmarkStart w:id="286" w:name="_Toc389065273"/>
      <w:bookmarkStart w:id="287" w:name="_Toc407135209"/>
      <w:bookmarkStart w:id="288" w:name="_Toc373227707"/>
      <w:bookmarkStart w:id="289" w:name="_Toc373478354"/>
      <w:r>
        <w:rPr>
          <w:color w:val="auto"/>
          <w:highlight w:val="none"/>
        </w:rPr>
        <w:t xml:space="preserve">3.1 </w:t>
      </w:r>
      <w:r>
        <w:rPr>
          <w:rFonts w:hint="eastAsia" w:cs="黑体"/>
          <w:color w:val="auto"/>
          <w:highlight w:val="none"/>
        </w:rPr>
        <w:t>承包人的一般义务</w:t>
      </w:r>
      <w:bookmarkEnd w:id="285"/>
      <w:bookmarkEnd w:id="286"/>
      <w:bookmarkEnd w:id="287"/>
      <w:bookmarkEnd w:id="288"/>
      <w:bookmarkEnd w:id="289"/>
    </w:p>
    <w:p w14:paraId="084C85A4">
      <w:pPr>
        <w:spacing w:line="360" w:lineRule="auto"/>
        <w:ind w:firstLine="420" w:firstLineChars="200"/>
        <w:jc w:val="left"/>
        <w:rPr>
          <w:color w:val="auto"/>
          <w:highlight w:val="none"/>
          <w:u w:val="single"/>
        </w:rPr>
      </w:pPr>
      <w:r>
        <w:rPr>
          <w:rFonts w:hint="eastAsia" w:hAnsi="宋体" w:cs="宋体"/>
          <w:color w:val="auto"/>
          <w:kern w:val="0"/>
          <w:highlight w:val="none"/>
        </w:rPr>
        <w:t>（</w:t>
      </w:r>
      <w:r>
        <w:rPr>
          <w:color w:val="auto"/>
          <w:kern w:val="0"/>
          <w:highlight w:val="none"/>
        </w:rPr>
        <w:t>9</w:t>
      </w:r>
      <w:r>
        <w:rPr>
          <w:rFonts w:hint="eastAsia" w:hAnsi="宋体" w:cs="宋体"/>
          <w:color w:val="auto"/>
          <w:kern w:val="0"/>
          <w:highlight w:val="none"/>
        </w:rPr>
        <w:t>）</w:t>
      </w:r>
      <w:r>
        <w:rPr>
          <w:rFonts w:hint="eastAsia" w:hAnsi="宋体" w:cs="宋体"/>
          <w:color w:val="auto"/>
          <w:highlight w:val="none"/>
        </w:rPr>
        <w:t>承包人提交的竣工资料的内容：</w:t>
      </w:r>
      <w:r>
        <w:rPr>
          <w:color w:val="auto"/>
          <w:highlight w:val="none"/>
          <w:u w:val="single"/>
        </w:rPr>
        <w:t xml:space="preserve"> </w:t>
      </w:r>
      <w:r>
        <w:rPr>
          <w:rFonts w:hint="eastAsia"/>
          <w:color w:val="auto"/>
          <w:highlight w:val="none"/>
          <w:u w:val="single"/>
        </w:rPr>
        <w:t>1、完整准确的竣工图纸 2、竣工内业资料</w:t>
      </w:r>
      <w:r>
        <w:rPr>
          <w:color w:val="auto"/>
          <w:highlight w:val="none"/>
          <w:u w:val="single"/>
        </w:rPr>
        <w:t xml:space="preserve"> </w:t>
      </w:r>
      <w:r>
        <w:rPr>
          <w:rFonts w:hint="eastAsia" w:hAnsi="宋体" w:cs="宋体"/>
          <w:color w:val="auto"/>
          <w:highlight w:val="none"/>
        </w:rPr>
        <w:t>。</w:t>
      </w:r>
    </w:p>
    <w:p w14:paraId="497D84BB">
      <w:pPr>
        <w:spacing w:line="360" w:lineRule="auto"/>
        <w:ind w:firstLine="420" w:firstLineChars="200"/>
        <w:jc w:val="left"/>
        <w:rPr>
          <w:color w:val="auto"/>
          <w:highlight w:val="none"/>
        </w:rPr>
      </w:pPr>
      <w:r>
        <w:rPr>
          <w:rFonts w:hint="eastAsia" w:hAnsi="宋体" w:cs="宋体"/>
          <w:color w:val="auto"/>
          <w:highlight w:val="none"/>
        </w:rPr>
        <w:t>承包人需要提交的竣工资料套数：</w:t>
      </w:r>
      <w:r>
        <w:rPr>
          <w:color w:val="auto"/>
          <w:highlight w:val="none"/>
          <w:u w:val="single"/>
        </w:rPr>
        <w:t xml:space="preserve">  </w:t>
      </w:r>
      <w:r>
        <w:rPr>
          <w:rFonts w:hint="eastAsia"/>
          <w:color w:val="auto"/>
          <w:highlight w:val="none"/>
          <w:u w:val="single"/>
        </w:rPr>
        <w:t>肆套</w:t>
      </w:r>
      <w:r>
        <w:rPr>
          <w:color w:val="auto"/>
          <w:highlight w:val="none"/>
          <w:u w:val="single"/>
        </w:rPr>
        <w:t xml:space="preserve">    </w:t>
      </w:r>
      <w:r>
        <w:rPr>
          <w:rFonts w:hint="eastAsia" w:hAnsi="宋体" w:cs="宋体"/>
          <w:color w:val="auto"/>
          <w:highlight w:val="none"/>
        </w:rPr>
        <w:t>。</w:t>
      </w:r>
    </w:p>
    <w:p w14:paraId="47FF65F0">
      <w:pPr>
        <w:spacing w:line="360" w:lineRule="auto"/>
        <w:ind w:left="424" w:leftChars="202"/>
        <w:jc w:val="left"/>
        <w:rPr>
          <w:color w:val="auto"/>
          <w:highlight w:val="none"/>
        </w:rPr>
      </w:pPr>
      <w:r>
        <w:rPr>
          <w:rFonts w:hint="eastAsia" w:hAnsi="宋体" w:cs="宋体"/>
          <w:color w:val="auto"/>
          <w:highlight w:val="none"/>
        </w:rPr>
        <w:t>承包人提交的竣工资料的费用承担：</w:t>
      </w:r>
      <w:r>
        <w:rPr>
          <w:color w:val="auto"/>
          <w:highlight w:val="none"/>
          <w:u w:val="single"/>
        </w:rPr>
        <w:t xml:space="preserve">  </w:t>
      </w:r>
      <w:r>
        <w:rPr>
          <w:rFonts w:hint="eastAsia"/>
          <w:color w:val="auto"/>
          <w:highlight w:val="none"/>
          <w:u w:val="single"/>
        </w:rPr>
        <w:t>承包人承担</w:t>
      </w:r>
      <w:r>
        <w:rPr>
          <w:color w:val="auto"/>
          <w:highlight w:val="none"/>
          <w:u w:val="single"/>
        </w:rPr>
        <w:t xml:space="preserve">  </w:t>
      </w:r>
      <w:r>
        <w:rPr>
          <w:rFonts w:hint="eastAsia" w:hAnsi="宋体" w:cs="宋体"/>
          <w:color w:val="auto"/>
          <w:highlight w:val="none"/>
        </w:rPr>
        <w:t>。</w:t>
      </w:r>
    </w:p>
    <w:p w14:paraId="395DFD3F">
      <w:pPr>
        <w:spacing w:line="360" w:lineRule="auto"/>
        <w:ind w:left="424" w:leftChars="202"/>
        <w:jc w:val="left"/>
        <w:rPr>
          <w:color w:val="auto"/>
          <w:highlight w:val="none"/>
        </w:rPr>
      </w:pPr>
      <w:r>
        <w:rPr>
          <w:rFonts w:hint="eastAsia" w:hAnsi="宋体" w:cs="宋体"/>
          <w:color w:val="auto"/>
          <w:highlight w:val="none"/>
        </w:rPr>
        <w:t>承包人提交的竣工资料移交时间：</w:t>
      </w:r>
      <w:r>
        <w:rPr>
          <w:color w:val="auto"/>
          <w:highlight w:val="none"/>
          <w:u w:val="single"/>
        </w:rPr>
        <w:t xml:space="preserve"> </w:t>
      </w:r>
      <w:r>
        <w:rPr>
          <w:rFonts w:hint="eastAsia"/>
          <w:color w:val="auto"/>
          <w:highlight w:val="none"/>
          <w:u w:val="single"/>
        </w:rPr>
        <w:t>竣工验收合格之日起三个月内</w:t>
      </w:r>
      <w:r>
        <w:rPr>
          <w:color w:val="auto"/>
          <w:highlight w:val="none"/>
          <w:u w:val="single"/>
        </w:rPr>
        <w:t xml:space="preserve">  </w:t>
      </w:r>
      <w:r>
        <w:rPr>
          <w:rFonts w:hint="eastAsia" w:hAnsi="宋体" w:cs="宋体"/>
          <w:color w:val="auto"/>
          <w:highlight w:val="none"/>
        </w:rPr>
        <w:t>。</w:t>
      </w:r>
    </w:p>
    <w:p w14:paraId="58CCDA71">
      <w:pPr>
        <w:spacing w:line="360" w:lineRule="auto"/>
        <w:ind w:firstLine="420" w:firstLineChars="200"/>
        <w:jc w:val="left"/>
        <w:rPr>
          <w:color w:val="auto"/>
          <w:highlight w:val="none"/>
        </w:rPr>
      </w:pPr>
      <w:r>
        <w:rPr>
          <w:rFonts w:hint="eastAsia" w:hAnsi="宋体" w:cs="宋体"/>
          <w:color w:val="auto"/>
          <w:highlight w:val="none"/>
        </w:rPr>
        <w:t>承包人提交的竣工资料形式要求：</w:t>
      </w:r>
      <w:r>
        <w:rPr>
          <w:rFonts w:hint="eastAsia"/>
          <w:color w:val="auto"/>
          <w:highlight w:val="none"/>
          <w:u w:val="single"/>
        </w:rPr>
        <w:t xml:space="preserve">符合《建设工程文件归档整理规范》的要求 </w:t>
      </w:r>
      <w:r>
        <w:rPr>
          <w:color w:val="auto"/>
          <w:highlight w:val="none"/>
          <w:u w:val="single"/>
        </w:rPr>
        <w:t xml:space="preserve"> </w:t>
      </w:r>
      <w:r>
        <w:rPr>
          <w:rFonts w:hint="eastAsia" w:hAnsi="宋体" w:cs="宋体"/>
          <w:color w:val="auto"/>
          <w:highlight w:val="none"/>
        </w:rPr>
        <w:t>。</w:t>
      </w:r>
    </w:p>
    <w:p w14:paraId="46BC5E76">
      <w:pPr>
        <w:spacing w:line="360" w:lineRule="auto"/>
        <w:ind w:firstLine="420" w:firstLineChars="200"/>
        <w:rPr>
          <w:color w:val="auto"/>
          <w:kern w:val="0"/>
          <w:highlight w:val="none"/>
        </w:rPr>
      </w:pPr>
      <w:r>
        <w:rPr>
          <w:rFonts w:hint="eastAsia" w:hAnsi="宋体" w:cs="宋体"/>
          <w:color w:val="auto"/>
          <w:kern w:val="0"/>
          <w:highlight w:val="none"/>
        </w:rPr>
        <w:t>（</w:t>
      </w:r>
      <w:r>
        <w:rPr>
          <w:color w:val="auto"/>
          <w:kern w:val="0"/>
          <w:highlight w:val="none"/>
        </w:rPr>
        <w:t>10</w:t>
      </w:r>
      <w:r>
        <w:rPr>
          <w:rFonts w:hint="eastAsia" w:hAnsi="宋体" w:cs="宋体"/>
          <w:color w:val="auto"/>
          <w:kern w:val="0"/>
          <w:highlight w:val="none"/>
        </w:rPr>
        <w:t>）承包人应履行的其他义务：</w:t>
      </w:r>
    </w:p>
    <w:p w14:paraId="0DA4E728">
      <w:pPr>
        <w:spacing w:line="360" w:lineRule="auto"/>
        <w:ind w:firstLine="420" w:firstLineChars="200"/>
        <w:rPr>
          <w:color w:val="auto"/>
          <w:kern w:val="0"/>
          <w:highlight w:val="none"/>
        </w:rPr>
      </w:pPr>
      <w:r>
        <w:rPr>
          <w:color w:val="auto"/>
          <w:kern w:val="0"/>
          <w:highlight w:val="none"/>
          <w:u w:val="single"/>
        </w:rPr>
        <w:t xml:space="preserve"> </w:t>
      </w:r>
      <w:r>
        <w:rPr>
          <w:rFonts w:hint="eastAsia"/>
          <w:color w:val="auto"/>
          <w:kern w:val="0"/>
          <w:highlight w:val="none"/>
          <w:u w:val="single"/>
        </w:rPr>
        <w:t>按本合同通用条款 3.1 条执行</w:t>
      </w:r>
      <w:r>
        <w:rPr>
          <w:color w:val="auto"/>
          <w:kern w:val="0"/>
          <w:highlight w:val="none"/>
          <w:u w:val="single"/>
        </w:rPr>
        <w:t xml:space="preserve">   </w:t>
      </w:r>
      <w:r>
        <w:rPr>
          <w:rFonts w:hint="eastAsia" w:hAnsi="宋体" w:cs="宋体"/>
          <w:color w:val="auto"/>
          <w:kern w:val="0"/>
          <w:highlight w:val="none"/>
        </w:rPr>
        <w:t>。</w:t>
      </w:r>
    </w:p>
    <w:p w14:paraId="65B284D4">
      <w:pPr>
        <w:pStyle w:val="6"/>
        <w:rPr>
          <w:color w:val="auto"/>
          <w:highlight w:val="none"/>
        </w:rPr>
      </w:pPr>
      <w:bookmarkStart w:id="290" w:name="_Toc30879"/>
      <w:bookmarkStart w:id="291" w:name="_Toc373478355"/>
      <w:bookmarkStart w:id="292" w:name="_Toc373227708"/>
      <w:bookmarkStart w:id="293" w:name="_Toc407135210"/>
      <w:bookmarkStart w:id="294" w:name="_Toc389065274"/>
      <w:r>
        <w:rPr>
          <w:color w:val="auto"/>
          <w:highlight w:val="none"/>
        </w:rPr>
        <w:t xml:space="preserve">3.2 </w:t>
      </w:r>
      <w:r>
        <w:rPr>
          <w:rFonts w:hint="eastAsia" w:hAnsi="宋体" w:cs="黑体"/>
          <w:color w:val="auto"/>
          <w:highlight w:val="none"/>
        </w:rPr>
        <w:t>项目经理</w:t>
      </w:r>
      <w:bookmarkEnd w:id="290"/>
      <w:bookmarkEnd w:id="291"/>
      <w:bookmarkEnd w:id="292"/>
      <w:bookmarkEnd w:id="293"/>
      <w:bookmarkEnd w:id="294"/>
    </w:p>
    <w:p w14:paraId="66FDCE8E">
      <w:pPr>
        <w:spacing w:line="360" w:lineRule="auto"/>
        <w:ind w:firstLine="420" w:firstLineChars="200"/>
        <w:rPr>
          <w:color w:val="auto"/>
          <w:highlight w:val="none"/>
        </w:rPr>
      </w:pPr>
      <w:r>
        <w:rPr>
          <w:color w:val="auto"/>
          <w:kern w:val="0"/>
          <w:highlight w:val="none"/>
        </w:rPr>
        <w:t xml:space="preserve">3.2.1 </w:t>
      </w:r>
      <w:r>
        <w:rPr>
          <w:rFonts w:hint="eastAsia" w:hAnsi="宋体" w:cs="宋体"/>
          <w:color w:val="auto"/>
          <w:highlight w:val="none"/>
        </w:rPr>
        <w:t>项目经理：</w:t>
      </w:r>
    </w:p>
    <w:p w14:paraId="3DE6FD21">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E789884">
      <w:pPr>
        <w:spacing w:line="360" w:lineRule="auto"/>
        <w:ind w:firstLine="420" w:firstLineChars="200"/>
        <w:rPr>
          <w:color w:val="auto"/>
          <w:highlight w:val="none"/>
        </w:rPr>
      </w:pPr>
      <w:r>
        <w:rPr>
          <w:rFonts w:hAnsi="宋体"/>
          <w:color w:val="auto"/>
          <w:highlight w:val="none"/>
        </w:rPr>
        <w:t>身份证号：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BD2D9D2">
      <w:pPr>
        <w:spacing w:line="360" w:lineRule="auto"/>
        <w:ind w:firstLine="420" w:firstLineChars="200"/>
        <w:rPr>
          <w:color w:val="auto"/>
          <w:highlight w:val="none"/>
        </w:rPr>
      </w:pPr>
      <w:r>
        <w:rPr>
          <w:rFonts w:hAnsi="宋体"/>
          <w:color w:val="auto"/>
          <w:highlight w:val="none"/>
        </w:rPr>
        <w:t>建造师执业资格等级：</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7856DDB4">
      <w:pPr>
        <w:spacing w:line="360" w:lineRule="auto"/>
        <w:ind w:firstLine="420" w:firstLineChars="200"/>
        <w:rPr>
          <w:color w:val="auto"/>
          <w:highlight w:val="none"/>
        </w:rPr>
      </w:pPr>
      <w:r>
        <w:rPr>
          <w:rFonts w:hAnsi="宋体"/>
          <w:color w:val="auto"/>
          <w:highlight w:val="none"/>
        </w:rPr>
        <w:t>建造师注册证书号：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631A108">
      <w:pPr>
        <w:spacing w:line="360" w:lineRule="auto"/>
        <w:ind w:firstLine="420" w:firstLineChars="200"/>
        <w:rPr>
          <w:color w:val="auto"/>
          <w:highlight w:val="none"/>
        </w:rPr>
      </w:pPr>
      <w:r>
        <w:rPr>
          <w:rFonts w:hAnsi="宋体"/>
          <w:color w:val="auto"/>
          <w:highlight w:val="none"/>
        </w:rPr>
        <w:t>建造师执业印章号：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5F2AF66">
      <w:pPr>
        <w:spacing w:line="360" w:lineRule="auto"/>
        <w:ind w:firstLine="420" w:firstLineChars="200"/>
        <w:rPr>
          <w:rFonts w:hAnsi="宋体"/>
          <w:color w:val="auto"/>
          <w:highlight w:val="none"/>
        </w:rPr>
      </w:pPr>
      <w:r>
        <w:rPr>
          <w:rFonts w:hAnsi="宋体"/>
          <w:color w:val="auto"/>
          <w:highlight w:val="none"/>
        </w:rPr>
        <w:t>安全生产考核合格证书号：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3990E31F">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48EF5E3">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4C71575">
      <w:pPr>
        <w:spacing w:line="360" w:lineRule="auto"/>
        <w:ind w:firstLine="420" w:firstLineChars="200"/>
        <w:rPr>
          <w:rFonts w:hint="eastAsia" w:hAnsi="宋体"/>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50CC2DD">
      <w:pPr>
        <w:spacing w:line="360" w:lineRule="auto"/>
        <w:ind w:firstLine="420" w:firstLineChars="200"/>
        <w:rPr>
          <w:rFonts w:hint="eastAsia"/>
          <w:color w:val="auto"/>
          <w:highlight w:val="none"/>
          <w:u w:val="single"/>
        </w:rPr>
      </w:pPr>
      <w:r>
        <w:rPr>
          <w:rFonts w:hint="eastAsia" w:hAnsi="宋体" w:cs="宋体"/>
          <w:color w:val="auto"/>
          <w:highlight w:val="none"/>
        </w:rPr>
        <w:t>承包人对项目经理的授权范围如下：</w:t>
      </w:r>
      <w:r>
        <w:rPr>
          <w:color w:val="auto"/>
          <w:highlight w:val="none"/>
        </w:rPr>
        <w:t xml:space="preserve"> </w:t>
      </w:r>
      <w:r>
        <w:rPr>
          <w:color w:val="auto"/>
          <w:highlight w:val="none"/>
          <w:u w:val="single"/>
        </w:rPr>
        <w:t xml:space="preserve"> </w:t>
      </w:r>
      <w:r>
        <w:rPr>
          <w:rFonts w:hint="eastAsia"/>
          <w:color w:val="auto"/>
          <w:highlight w:val="none"/>
          <w:u w:val="single"/>
          <w:lang w:val="en-US" w:eastAsia="zh-CN"/>
        </w:rPr>
        <w:t xml:space="preserve">代表承包人履行合同，以承包人名义协调处理与本工程 </w:t>
      </w:r>
    </w:p>
    <w:p w14:paraId="614BAD8D">
      <w:pPr>
        <w:spacing w:line="360" w:lineRule="auto"/>
        <w:ind w:firstLine="420" w:firstLineChars="200"/>
        <w:rPr>
          <w:color w:val="auto"/>
          <w:highlight w:val="none"/>
        </w:rPr>
      </w:pPr>
      <w:r>
        <w:rPr>
          <w:rFonts w:hint="eastAsia"/>
          <w:color w:val="auto"/>
          <w:highlight w:val="none"/>
          <w:u w:val="single"/>
          <w:lang w:val="en-US" w:eastAsia="zh-CN"/>
        </w:rPr>
        <w:t>有关的对内对外相关事务，签署签证，签发文件</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0DAC8663">
      <w:pPr>
        <w:spacing w:line="360" w:lineRule="auto"/>
        <w:ind w:firstLine="420" w:firstLineChars="200"/>
        <w:jc w:val="left"/>
        <w:rPr>
          <w:color w:val="auto"/>
          <w:kern w:val="0"/>
          <w:highlight w:val="none"/>
        </w:rPr>
      </w:pPr>
      <w:r>
        <w:rPr>
          <w:rFonts w:hint="eastAsia" w:hAnsi="宋体" w:cs="宋体"/>
          <w:color w:val="auto"/>
          <w:kern w:val="0"/>
          <w:highlight w:val="none"/>
        </w:rPr>
        <w:t>关于项目经理每月在施工现场的时间要求：</w:t>
      </w:r>
      <w:r>
        <w:rPr>
          <w:rFonts w:hint="eastAsia"/>
          <w:color w:val="auto"/>
          <w:highlight w:val="none"/>
          <w:u w:val="single"/>
        </w:rPr>
        <w:t>每月带班生产时间不得少于施工时间的 80%</w:t>
      </w:r>
      <w:r>
        <w:rPr>
          <w:color w:val="auto"/>
          <w:highlight w:val="none"/>
          <w:u w:val="single"/>
        </w:rPr>
        <w:t xml:space="preserve"> </w:t>
      </w:r>
      <w:r>
        <w:rPr>
          <w:rFonts w:hint="eastAsia" w:hAnsi="宋体" w:cs="宋体"/>
          <w:color w:val="auto"/>
          <w:highlight w:val="none"/>
        </w:rPr>
        <w:t>。</w:t>
      </w:r>
    </w:p>
    <w:p w14:paraId="32DBEDB1">
      <w:pPr>
        <w:spacing w:line="360" w:lineRule="auto"/>
        <w:ind w:firstLine="420" w:firstLineChars="200"/>
        <w:rPr>
          <w:color w:val="auto"/>
          <w:kern w:val="0"/>
          <w:highlight w:val="none"/>
        </w:rPr>
      </w:pPr>
      <w:r>
        <w:rPr>
          <w:rFonts w:hint="eastAsia" w:hAnsi="宋体" w:cs="宋体"/>
          <w:color w:val="auto"/>
          <w:kern w:val="0"/>
          <w:highlight w:val="none"/>
        </w:rPr>
        <w:t>承包人未提交劳动合同，以及没有为项目经理缴纳社会保险证明的违约责任：</w:t>
      </w:r>
      <w:r>
        <w:rPr>
          <w:rFonts w:hint="eastAsia" w:hAnsi="宋体"/>
          <w:color w:val="auto"/>
          <w:highlight w:val="none"/>
          <w:u w:val="single"/>
        </w:rPr>
        <w:t>对有关承包人给予罚款，罚款金额视情节轻重而定</w:t>
      </w:r>
      <w:r>
        <w:rPr>
          <w:rFonts w:hAnsi="宋体"/>
          <w:color w:val="auto"/>
          <w:highlight w:val="none"/>
          <w:u w:val="single"/>
        </w:rPr>
        <w:t xml:space="preserve"> </w:t>
      </w:r>
      <w:r>
        <w:rPr>
          <w:rFonts w:hint="eastAsia" w:hAnsi="宋体" w:cs="宋体"/>
          <w:color w:val="auto"/>
          <w:highlight w:val="none"/>
        </w:rPr>
        <w:t>。</w:t>
      </w:r>
    </w:p>
    <w:p w14:paraId="5438AC9F">
      <w:pPr>
        <w:spacing w:line="360" w:lineRule="auto"/>
        <w:ind w:firstLine="420" w:firstLineChars="200"/>
        <w:rPr>
          <w:color w:val="auto"/>
          <w:highlight w:val="none"/>
          <w:u w:val="single"/>
        </w:rPr>
      </w:pPr>
      <w:r>
        <w:rPr>
          <w:rFonts w:hint="eastAsia" w:hAnsi="宋体" w:cs="宋体"/>
          <w:color w:val="auto"/>
          <w:kern w:val="0"/>
          <w:highlight w:val="none"/>
        </w:rPr>
        <w:t>项目经理未经批准，擅自离开施工现场的违约责任：</w:t>
      </w:r>
      <w:r>
        <w:rPr>
          <w:rFonts w:hint="eastAsia" w:hAnsi="宋体" w:cs="宋体"/>
          <w:color w:val="auto"/>
          <w:highlight w:val="none"/>
          <w:u w:val="single"/>
        </w:rPr>
        <w:t>项目经理每月在岗带班时间不得少于当月施工时间的</w:t>
      </w:r>
      <w:r>
        <w:rPr>
          <w:rFonts w:hAnsi="宋体"/>
          <w:color w:val="auto"/>
          <w:highlight w:val="none"/>
          <w:u w:val="single"/>
        </w:rPr>
        <w:t>80%</w:t>
      </w:r>
      <w:r>
        <w:rPr>
          <w:rFonts w:hint="eastAsia" w:hAnsi="宋体" w:cs="宋体"/>
          <w:color w:val="auto"/>
          <w:highlight w:val="none"/>
          <w:u w:val="single"/>
        </w:rPr>
        <w:t>。未经发包人同意或正当理由，项目经理每月在岗带班时间少于当月施工时间</w:t>
      </w:r>
      <w:r>
        <w:rPr>
          <w:rFonts w:hAnsi="宋体"/>
          <w:color w:val="auto"/>
          <w:highlight w:val="none"/>
          <w:u w:val="single"/>
        </w:rPr>
        <w:t>80%</w:t>
      </w:r>
      <w:r>
        <w:rPr>
          <w:rFonts w:hint="eastAsia" w:hAnsi="宋体" w:cs="宋体"/>
          <w:color w:val="auto"/>
          <w:highlight w:val="none"/>
          <w:u w:val="single"/>
        </w:rPr>
        <w:t>的，少在岗带班一天，发包人有权处违约金</w:t>
      </w:r>
      <w:r>
        <w:rPr>
          <w:color w:val="auto"/>
          <w:highlight w:val="none"/>
          <w:u w:val="single"/>
        </w:rPr>
        <w:t xml:space="preserve"> </w:t>
      </w:r>
      <w:r>
        <w:rPr>
          <w:rFonts w:hint="eastAsia"/>
          <w:color w:val="auto"/>
          <w:highlight w:val="none"/>
          <w:u w:val="single"/>
        </w:rPr>
        <w:t>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cs="宋体"/>
          <w:color w:val="auto"/>
          <w:highlight w:val="none"/>
          <w:u w:val="single"/>
        </w:rPr>
        <w:t>日（</w:t>
      </w:r>
      <w:r>
        <w:rPr>
          <w:rFonts w:hint="eastAsia" w:hAnsi="宋体" w:cs="宋体"/>
          <w:color w:val="auto"/>
          <w:highlight w:val="none"/>
          <w:u w:val="single"/>
        </w:rPr>
        <w:t>人民币</w:t>
      </w:r>
      <w:r>
        <w:rPr>
          <w:rFonts w:hint="eastAsia" w:cs="宋体"/>
          <w:color w:val="auto"/>
          <w:highlight w:val="none"/>
          <w:u w:val="single"/>
        </w:rPr>
        <w:t>）</w:t>
      </w:r>
      <w:r>
        <w:rPr>
          <w:color w:val="auto"/>
          <w:highlight w:val="none"/>
          <w:u w:val="single"/>
        </w:rPr>
        <w:t xml:space="preserve">  </w:t>
      </w:r>
      <w:r>
        <w:rPr>
          <w:rFonts w:hint="eastAsia" w:hAnsi="宋体" w:cs="宋体"/>
          <w:color w:val="auto"/>
          <w:highlight w:val="none"/>
        </w:rPr>
        <w:t>。</w:t>
      </w:r>
    </w:p>
    <w:p w14:paraId="442F46B1">
      <w:pPr>
        <w:spacing w:line="360" w:lineRule="auto"/>
        <w:ind w:firstLine="420" w:firstLineChars="200"/>
        <w:rPr>
          <w:rFonts w:hAnsi="宋体"/>
          <w:color w:val="auto"/>
          <w:highlight w:val="none"/>
        </w:rPr>
      </w:pPr>
      <w:r>
        <w:rPr>
          <w:color w:val="auto"/>
          <w:highlight w:val="none"/>
        </w:rPr>
        <w:t xml:space="preserve">3.2.3 </w:t>
      </w:r>
      <w:r>
        <w:rPr>
          <w:rFonts w:hint="eastAsia" w:hAnsi="宋体" w:cs="宋体"/>
          <w:color w:val="auto"/>
          <w:highlight w:val="none"/>
        </w:rPr>
        <w:t>承包人擅自更换项目经理的违约责任</w:t>
      </w:r>
      <w:r>
        <w:rPr>
          <w:rFonts w:hint="eastAsia" w:hAnsi="宋体" w:cs="宋体"/>
          <w:color w:val="auto"/>
          <w:highlight w:val="none"/>
          <w:lang w:eastAsia="zh-CN"/>
        </w:rPr>
        <w:t>：</w:t>
      </w:r>
      <w:r>
        <w:rPr>
          <w:rFonts w:hint="eastAsia" w:hAnsi="宋体" w:cs="宋体"/>
          <w:color w:val="auto"/>
          <w:highlight w:val="none"/>
          <w:u w:val="single"/>
        </w:rPr>
        <w:t>承包人项目经理必须与承包人投标时所承诺的人员一致，并在（开工日期）前到任。在监理人向承包人颁发</w:t>
      </w:r>
      <w:r>
        <w:rPr>
          <w:color w:val="auto"/>
          <w:highlight w:val="none"/>
          <w:u w:val="single"/>
        </w:rPr>
        <w:t xml:space="preserve"> </w:t>
      </w:r>
      <w:r>
        <w:rPr>
          <w:rFonts w:hint="eastAsia" w:hAnsi="宋体" w:cs="宋体"/>
          <w:color w:val="auto"/>
          <w:highlight w:val="none"/>
          <w:u w:val="single"/>
        </w:rPr>
        <w:t>（竣工证明材料名称）</w:t>
      </w:r>
      <w:r>
        <w:rPr>
          <w:color w:val="auto"/>
          <w:highlight w:val="none"/>
          <w:u w:val="single"/>
        </w:rPr>
        <w:t xml:space="preserve"> </w:t>
      </w:r>
      <w:r>
        <w:rPr>
          <w:rFonts w:hint="eastAsia" w:hAnsi="宋体" w:cs="宋体"/>
          <w:color w:val="auto"/>
          <w:highlight w:val="none"/>
          <w:u w:val="single"/>
        </w:rPr>
        <w:t>前，项目经理不得同时兼任其他任何项目的项目经理</w:t>
      </w:r>
      <w:r>
        <w:rPr>
          <w:rFonts w:hint="eastAsia" w:hAnsi="宋体" w:cs="宋体"/>
          <w:color w:val="auto"/>
          <w:kern w:val="0"/>
          <w:highlight w:val="none"/>
          <w:u w:val="single"/>
        </w:rPr>
        <w:t>（符合桂建管</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w:t>
      </w:r>
      <w:r>
        <w:rPr>
          <w:color w:val="auto"/>
          <w:kern w:val="0"/>
          <w:highlight w:val="none"/>
          <w:u w:val="single"/>
        </w:rPr>
        <w:t>17</w:t>
      </w:r>
      <w:r>
        <w:rPr>
          <w:rFonts w:hint="eastAsia" w:hAnsi="宋体" w:cs="宋体"/>
          <w:color w:val="auto"/>
          <w:kern w:val="0"/>
          <w:highlight w:val="none"/>
          <w:u w:val="single"/>
        </w:rPr>
        <w:t>号和</w:t>
      </w:r>
      <w:r>
        <w:rPr>
          <w:rFonts w:hint="eastAsia" w:hAnsi="宋体" w:cs="宋体"/>
          <w:color w:val="auto"/>
          <w:highlight w:val="none"/>
          <w:u w:val="single"/>
        </w:rPr>
        <w:t>桂建管﹝</w:t>
      </w:r>
      <w:r>
        <w:rPr>
          <w:color w:val="auto"/>
          <w:highlight w:val="none"/>
          <w:u w:val="single"/>
        </w:rPr>
        <w:t>2014</w:t>
      </w:r>
      <w:r>
        <w:rPr>
          <w:rFonts w:hint="eastAsia" w:hAnsi="宋体" w:cs="宋体"/>
          <w:color w:val="auto"/>
          <w:highlight w:val="none"/>
          <w:u w:val="single"/>
        </w:rPr>
        <w:t>﹞</w:t>
      </w:r>
      <w:r>
        <w:rPr>
          <w:color w:val="auto"/>
          <w:highlight w:val="none"/>
          <w:u w:val="single"/>
        </w:rPr>
        <w:t>25</w:t>
      </w:r>
      <w:r>
        <w:rPr>
          <w:rFonts w:hint="eastAsia" w:hAnsi="宋体" w:cs="宋体"/>
          <w:color w:val="auto"/>
          <w:highlight w:val="none"/>
          <w:u w:val="single"/>
        </w:rPr>
        <w:t>号</w:t>
      </w:r>
      <w:r>
        <w:rPr>
          <w:rFonts w:hint="eastAsia" w:hAnsi="宋体" w:cs="宋体"/>
          <w:color w:val="auto"/>
          <w:kern w:val="0"/>
          <w:highlight w:val="none"/>
          <w:u w:val="single"/>
        </w:rPr>
        <w:t>文除外）</w:t>
      </w:r>
      <w:r>
        <w:rPr>
          <w:rFonts w:hint="eastAsia" w:hAnsi="宋体" w:cs="宋体"/>
          <w:color w:val="auto"/>
          <w:highlight w:val="none"/>
          <w:u w:val="single"/>
        </w:rPr>
        <w:t>。未经发包人书面同意，承包人擅自更换项目经理的视为违约，违约金处500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C4EAEDF">
      <w:pPr>
        <w:spacing w:line="360" w:lineRule="auto"/>
        <w:ind w:firstLine="420" w:firstLineChars="200"/>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lang w:eastAsia="zh-CN"/>
        </w:rPr>
        <w:t>：</w:t>
      </w:r>
      <w:r>
        <w:rPr>
          <w:rFonts w:hint="eastAsia" w:hAnsi="宋体" w:cs="宋体"/>
          <w:color w:val="auto"/>
          <w:highlight w:val="none"/>
          <w:u w:val="single"/>
        </w:rPr>
        <w:t>因承包人项目经理不称职，发包人要求调换而未及时调换的，视为承包人违约，必须向发包人交纳处罚金500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7890DDA4">
      <w:pPr>
        <w:pStyle w:val="6"/>
        <w:rPr>
          <w:color w:val="auto"/>
          <w:highlight w:val="none"/>
        </w:rPr>
      </w:pPr>
      <w:bookmarkStart w:id="295" w:name="_Toc373478356"/>
      <w:bookmarkStart w:id="296" w:name="_Toc407135211"/>
      <w:bookmarkStart w:id="297" w:name="_Toc15597"/>
      <w:bookmarkStart w:id="298" w:name="_Toc373227709"/>
      <w:bookmarkStart w:id="299" w:name="_Toc389065275"/>
      <w:r>
        <w:rPr>
          <w:color w:val="auto"/>
          <w:highlight w:val="none"/>
        </w:rPr>
        <w:t xml:space="preserve">3.3 </w:t>
      </w:r>
      <w:r>
        <w:rPr>
          <w:rFonts w:hint="eastAsia" w:hAnsi="宋体" w:cs="黑体"/>
          <w:color w:val="auto"/>
          <w:highlight w:val="none"/>
        </w:rPr>
        <w:t>承包人人员</w:t>
      </w:r>
      <w:bookmarkEnd w:id="295"/>
      <w:bookmarkEnd w:id="296"/>
      <w:bookmarkEnd w:id="297"/>
      <w:bookmarkEnd w:id="298"/>
      <w:bookmarkEnd w:id="299"/>
    </w:p>
    <w:p w14:paraId="7DFDDA4C">
      <w:pPr>
        <w:spacing w:line="360" w:lineRule="auto"/>
        <w:ind w:firstLine="420" w:firstLineChars="200"/>
        <w:rPr>
          <w:rFonts w:hAnsi="宋体"/>
          <w:color w:val="auto"/>
          <w:highlight w:val="none"/>
        </w:rPr>
      </w:pPr>
      <w:r>
        <w:rPr>
          <w:color w:val="auto"/>
          <w:highlight w:val="none"/>
        </w:rPr>
        <w:t xml:space="preserve">3.3.1 </w:t>
      </w:r>
      <w:r>
        <w:rPr>
          <w:rFonts w:hint="eastAsia" w:hAnsi="宋体" w:cs="宋体"/>
          <w:color w:val="auto"/>
          <w:highlight w:val="none"/>
        </w:rPr>
        <w:t>承包人提交项目管理机构及施工现场管理人员安排报告（格式见合同附件</w:t>
      </w:r>
      <w:r>
        <w:rPr>
          <w:rFonts w:hint="eastAsia" w:hAnsi="宋体"/>
          <w:color w:val="auto"/>
          <w:highlight w:val="none"/>
        </w:rPr>
        <w:t>5</w:t>
      </w:r>
      <w:r>
        <w:rPr>
          <w:rFonts w:hint="eastAsia" w:hAnsi="宋体" w:cs="宋体"/>
          <w:color w:val="auto"/>
          <w:highlight w:val="none"/>
        </w:rPr>
        <w:t>）的期限：</w:t>
      </w:r>
    </w:p>
    <w:p w14:paraId="4B02C814">
      <w:pPr>
        <w:spacing w:line="360" w:lineRule="auto"/>
        <w:rPr>
          <w:color w:val="auto"/>
          <w:highlight w:val="none"/>
        </w:rPr>
      </w:pPr>
      <w:r>
        <w:rPr>
          <w:color w:val="auto"/>
          <w:highlight w:val="none"/>
          <w:u w:val="single"/>
        </w:rPr>
        <w:t xml:space="preserve"> </w:t>
      </w:r>
      <w:r>
        <w:rPr>
          <w:rFonts w:hint="eastAsia"/>
          <w:color w:val="auto"/>
          <w:highlight w:val="none"/>
          <w:u w:val="single"/>
        </w:rPr>
        <w:t>接到开工通知之日起 7 天内</w:t>
      </w:r>
      <w:r>
        <w:rPr>
          <w:color w:val="auto"/>
          <w:highlight w:val="none"/>
          <w:u w:val="single"/>
        </w:rPr>
        <w:t xml:space="preserve"> </w:t>
      </w:r>
      <w:r>
        <w:rPr>
          <w:rFonts w:hint="eastAsia" w:hAnsi="宋体" w:cs="宋体"/>
          <w:color w:val="auto"/>
          <w:highlight w:val="none"/>
        </w:rPr>
        <w:t>。</w:t>
      </w:r>
    </w:p>
    <w:p w14:paraId="6FFE2F7B">
      <w:pPr>
        <w:spacing w:line="360" w:lineRule="auto"/>
        <w:ind w:firstLine="420" w:firstLineChars="200"/>
        <w:rPr>
          <w:color w:val="auto"/>
          <w:highlight w:val="none"/>
        </w:rPr>
      </w:pPr>
      <w:r>
        <w:rPr>
          <w:color w:val="auto"/>
          <w:highlight w:val="none"/>
        </w:rPr>
        <w:t xml:space="preserve">3.3.3 </w:t>
      </w:r>
      <w:r>
        <w:rPr>
          <w:rFonts w:hint="eastAsia" w:hAnsi="宋体" w:cs="宋体"/>
          <w:color w:val="auto"/>
          <w:highlight w:val="none"/>
        </w:rPr>
        <w:t>承包人无正当理由拒绝撤换主要施工管理人员的违约责任：</w:t>
      </w:r>
      <w:r>
        <w:rPr>
          <w:rFonts w:hint="eastAsia" w:hAnsi="宋体" w:cs="宋体"/>
          <w:color w:val="auto"/>
          <w:highlight w:val="none"/>
          <w:u w:val="single"/>
        </w:rPr>
        <w:t>因承包人主要施工管理人员不称职，发包人要求调换而无正当理由拒绝撤换或未及时调换的，视为承包人违约，必须向发包人交纳处罚金，处罚标准：技术负责人300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；专业工程师</w:t>
      </w:r>
      <w:r>
        <w:rPr>
          <w:color w:val="auto"/>
          <w:highlight w:val="none"/>
          <w:u w:val="single"/>
        </w:rPr>
        <w:t xml:space="preserve"> </w:t>
      </w:r>
      <w:r>
        <w:rPr>
          <w:rFonts w:hint="eastAsia"/>
          <w:color w:val="auto"/>
          <w:highlight w:val="none"/>
          <w:u w:val="single"/>
        </w:rPr>
        <w:t>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18117A93">
      <w:pPr>
        <w:spacing w:line="360" w:lineRule="auto"/>
        <w:ind w:firstLine="420" w:firstLineChars="200"/>
        <w:rPr>
          <w:color w:val="auto"/>
          <w:highlight w:val="none"/>
          <w:u w:val="single"/>
        </w:rPr>
      </w:pPr>
      <w:r>
        <w:rPr>
          <w:color w:val="auto"/>
          <w:highlight w:val="none"/>
        </w:rPr>
        <w:t xml:space="preserve">3.3.4 </w:t>
      </w:r>
      <w:r>
        <w:rPr>
          <w:rFonts w:hint="eastAsia" w:hAnsi="宋体" w:cs="宋体"/>
          <w:color w:val="auto"/>
          <w:highlight w:val="none"/>
        </w:rPr>
        <w:t>承包人主要施工管理人员离开施工现场的批准要求：</w:t>
      </w:r>
      <w:r>
        <w:rPr>
          <w:color w:val="auto"/>
          <w:highlight w:val="none"/>
          <w:u w:val="single"/>
        </w:rPr>
        <w:t xml:space="preserve">  </w:t>
      </w:r>
      <w:r>
        <w:rPr>
          <w:rFonts w:hint="eastAsia"/>
          <w:color w:val="auto"/>
          <w:highlight w:val="none"/>
          <w:u w:val="single"/>
        </w:rPr>
        <w:t xml:space="preserve">承包人的主要施工管理人员离开施工现场每月累计不超过 5 天的，应报监理人同意；离开施工现场每月累计超过 5 天的，应通知监理人，并征得发包人书面同意。主要施工管理人员离开施工现场前应指定一名有经验的人员临时代行其职责，该人员应具备履行相应职责的资格和能力，且应征得监理人或发包人的同意 </w:t>
      </w:r>
      <w:r>
        <w:rPr>
          <w:rFonts w:hint="eastAsia" w:hAnsi="宋体" w:cs="宋体"/>
          <w:color w:val="auto"/>
          <w:highlight w:val="none"/>
        </w:rPr>
        <w:t>。</w:t>
      </w:r>
    </w:p>
    <w:p w14:paraId="7202CEBE">
      <w:pPr>
        <w:spacing w:line="360" w:lineRule="auto"/>
        <w:ind w:firstLine="420" w:firstLineChars="200"/>
        <w:rPr>
          <w:color w:val="auto"/>
          <w:highlight w:val="none"/>
        </w:rPr>
      </w:pPr>
      <w:r>
        <w:rPr>
          <w:color w:val="auto"/>
          <w:highlight w:val="none"/>
        </w:rPr>
        <w:t xml:space="preserve">3.3.5 </w:t>
      </w:r>
      <w:r>
        <w:rPr>
          <w:rFonts w:hint="eastAsia" w:hAnsi="宋体" w:cs="宋体"/>
          <w:color w:val="auto"/>
          <w:highlight w:val="none"/>
        </w:rPr>
        <w:t>承包人擅自更换主要施工管理人员的违约责任：</w:t>
      </w:r>
      <w:r>
        <w:rPr>
          <w:rFonts w:hint="eastAsia" w:hAnsi="宋体" w:cs="宋体"/>
          <w:color w:val="auto"/>
          <w:highlight w:val="none"/>
          <w:u w:val="single"/>
        </w:rPr>
        <w:t>项目技术负责人、专职安全员及其承诺的</w:t>
      </w:r>
      <w:r>
        <w:rPr>
          <w:rFonts w:hint="eastAsia" w:hAnsi="宋体" w:cs="宋体"/>
          <w:color w:val="auto"/>
          <w:highlight w:val="none"/>
          <w:u w:val="single"/>
          <w:lang w:eastAsia="zh-CN"/>
        </w:rPr>
        <w:t>其他</w:t>
      </w:r>
      <w:r>
        <w:rPr>
          <w:rFonts w:hint="eastAsia" w:hAnsi="宋体" w:cs="宋体"/>
          <w:color w:val="auto"/>
          <w:highlight w:val="none"/>
          <w:u w:val="single"/>
        </w:rPr>
        <w:t>在场管理人员未经发包人书面同意不准擅自更换，擅自更换项目技术负责人处500元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违约金；擅自更换专职安全员处</w:t>
      </w:r>
      <w:r>
        <w:rPr>
          <w:color w:val="auto"/>
          <w:highlight w:val="none"/>
          <w:u w:val="single"/>
        </w:rPr>
        <w:t xml:space="preserve"> </w:t>
      </w:r>
      <w:r>
        <w:rPr>
          <w:rFonts w:hint="eastAsia"/>
          <w:color w:val="auto"/>
          <w:highlight w:val="none"/>
          <w:u w:val="single"/>
        </w:rPr>
        <w:t>300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w:t>
      </w:r>
      <w:r>
        <w:rPr>
          <w:rFonts w:hint="eastAsia" w:hAnsi="宋体" w:cs="宋体"/>
          <w:color w:val="auto"/>
          <w:highlight w:val="none"/>
          <w:u w:val="single"/>
          <w:lang w:eastAsia="zh-CN"/>
        </w:rPr>
        <w:t>其他</w:t>
      </w:r>
      <w:r>
        <w:rPr>
          <w:rFonts w:hint="eastAsia" w:hAnsi="宋体" w:cs="宋体"/>
          <w:color w:val="auto"/>
          <w:highlight w:val="none"/>
          <w:u w:val="single"/>
        </w:rPr>
        <w:t>在场管理人员处200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w:t>
      </w:r>
      <w:r>
        <w:rPr>
          <w:rFonts w:hint="eastAsia" w:hAnsi="宋体" w:cs="宋体"/>
          <w:color w:val="auto"/>
          <w:highlight w:val="none"/>
        </w:rPr>
        <w:t>。</w:t>
      </w:r>
    </w:p>
    <w:p w14:paraId="229FAFA9">
      <w:pPr>
        <w:spacing w:line="360" w:lineRule="auto"/>
        <w:ind w:firstLine="420" w:firstLineChars="200"/>
        <w:rPr>
          <w:color w:val="auto"/>
          <w:highlight w:val="none"/>
        </w:rPr>
      </w:pPr>
      <w:r>
        <w:rPr>
          <w:rFonts w:hint="eastAsia" w:hAnsi="宋体" w:cs="宋体"/>
          <w:color w:val="auto"/>
          <w:highlight w:val="none"/>
        </w:rPr>
        <w:t>承包人主要施工管理人员擅自离开施工现场的违约责任：</w:t>
      </w:r>
      <w:r>
        <w:rPr>
          <w:rFonts w:hint="eastAsia" w:hAnsi="宋体" w:cs="宋体"/>
          <w:color w:val="auto"/>
          <w:highlight w:val="none"/>
          <w:u w:val="single"/>
        </w:rPr>
        <w:t>未经发包人同意，项目技术负责人擅自离岗的，视为承包人违约，发包人有权处违约金500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；未经发包人同意，专职安全员擅自离岗的，视为承包人违约，发包人有权处违约金200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w:t>
      </w:r>
      <w:r>
        <w:rPr>
          <w:rFonts w:hint="eastAsia" w:hAnsi="宋体" w:cs="宋体"/>
          <w:color w:val="auto"/>
          <w:highlight w:val="none"/>
          <w:u w:val="single"/>
          <w:lang w:eastAsia="zh-CN"/>
        </w:rPr>
        <w:t>其他</w:t>
      </w:r>
      <w:r>
        <w:rPr>
          <w:rFonts w:hint="eastAsia" w:hAnsi="宋体" w:cs="宋体"/>
          <w:color w:val="auto"/>
          <w:highlight w:val="none"/>
          <w:u w:val="single"/>
        </w:rPr>
        <w:t>在场管理人员擅自离岗的，视为承包人违约，发包人有权处违约金200元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2EDD5E4F">
      <w:pPr>
        <w:pStyle w:val="6"/>
        <w:rPr>
          <w:color w:val="auto"/>
          <w:highlight w:val="none"/>
        </w:rPr>
      </w:pPr>
      <w:bookmarkStart w:id="300" w:name="_Toc407135212"/>
      <w:bookmarkStart w:id="301" w:name="_Toc373478357"/>
      <w:bookmarkStart w:id="302" w:name="_Toc389065276"/>
      <w:bookmarkStart w:id="303" w:name="_Toc373227710"/>
      <w:bookmarkStart w:id="304" w:name="_Toc3683"/>
      <w:r>
        <w:rPr>
          <w:color w:val="auto"/>
          <w:highlight w:val="none"/>
        </w:rPr>
        <w:t>3</w:t>
      </w:r>
      <w:bookmarkStart w:id="305" w:name="_Toc296346660"/>
      <w:bookmarkStart w:id="306" w:name="_Toc292559869"/>
      <w:bookmarkStart w:id="307" w:name="_Toc312677988"/>
      <w:bookmarkStart w:id="308" w:name="_Toc297048345"/>
      <w:bookmarkStart w:id="309" w:name="_Toc303539102"/>
      <w:bookmarkStart w:id="310" w:name="_Toc296891199"/>
      <w:bookmarkStart w:id="311" w:name="_Toc297120459"/>
      <w:bookmarkStart w:id="312" w:name="_Toc296503159"/>
      <w:bookmarkStart w:id="313" w:name="_Toc297123492"/>
      <w:bookmarkStart w:id="314" w:name="_Toc296890987"/>
      <w:bookmarkStart w:id="315" w:name="_Toc296347158"/>
      <w:bookmarkStart w:id="316" w:name="_Toc292559364"/>
      <w:bookmarkStart w:id="317" w:name="_Toc300934945"/>
      <w:bookmarkStart w:id="318" w:name="_Toc304295523"/>
      <w:bookmarkStart w:id="319" w:name="_Toc297216151"/>
      <w:bookmarkStart w:id="320" w:name="_Toc296944498"/>
      <w:r>
        <w:rPr>
          <w:color w:val="auto"/>
          <w:highlight w:val="none"/>
        </w:rPr>
        <w:t xml:space="preserve">.5 </w:t>
      </w:r>
      <w:r>
        <w:rPr>
          <w:rFonts w:hint="eastAsia" w:hAnsi="宋体" w:cs="黑体"/>
          <w:color w:val="auto"/>
          <w:highlight w:val="none"/>
        </w:rPr>
        <w:t>分包</w:t>
      </w:r>
      <w:bookmarkEnd w:id="300"/>
      <w:bookmarkEnd w:id="301"/>
      <w:bookmarkEnd w:id="302"/>
      <w:bookmarkEnd w:id="303"/>
      <w:bookmarkEnd w:id="304"/>
    </w:p>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14:paraId="05E897CC">
      <w:pPr>
        <w:spacing w:line="360" w:lineRule="auto"/>
        <w:ind w:firstLine="420" w:firstLineChars="200"/>
        <w:rPr>
          <w:color w:val="auto"/>
          <w:highlight w:val="none"/>
        </w:rPr>
      </w:pPr>
      <w:r>
        <w:rPr>
          <w:color w:val="auto"/>
          <w:highlight w:val="none"/>
        </w:rPr>
        <w:t>3</w:t>
      </w:r>
      <w:bookmarkStart w:id="321" w:name="_Toc297123493"/>
      <w:bookmarkStart w:id="322" w:name="_Toc292559365"/>
      <w:bookmarkStart w:id="323" w:name="_Toc297048346"/>
      <w:bookmarkStart w:id="324" w:name="_Toc296944499"/>
      <w:bookmarkStart w:id="325" w:name="_Toc297216152"/>
      <w:bookmarkStart w:id="326" w:name="_Toc318581158"/>
      <w:bookmarkStart w:id="327" w:name="_Toc312677989"/>
      <w:bookmarkStart w:id="328" w:name="_Toc296891200"/>
      <w:bookmarkStart w:id="329" w:name="_Toc292559870"/>
      <w:bookmarkStart w:id="330" w:name="_Toc296347159"/>
      <w:bookmarkStart w:id="331" w:name="_Toc296346661"/>
      <w:bookmarkStart w:id="332" w:name="_Toc296503160"/>
      <w:bookmarkStart w:id="333" w:name="_Toc300934946"/>
      <w:bookmarkStart w:id="334" w:name="_Toc304295524"/>
      <w:bookmarkStart w:id="335" w:name="_Toc303539103"/>
      <w:bookmarkStart w:id="336" w:name="_Toc296890988"/>
      <w:bookmarkStart w:id="337" w:name="_Toc297120460"/>
      <w:r>
        <w:rPr>
          <w:color w:val="auto"/>
          <w:highlight w:val="none"/>
        </w:rPr>
        <w:t xml:space="preserve">.5.1 </w:t>
      </w:r>
      <w:r>
        <w:rPr>
          <w:rFonts w:hint="eastAsia" w:hAnsi="宋体" w:cs="宋体"/>
          <w:color w:val="auto"/>
          <w:highlight w:val="none"/>
        </w:rPr>
        <w:t>分包的一般约定</w:t>
      </w:r>
    </w:p>
    <w:p w14:paraId="3A52AD96">
      <w:pPr>
        <w:spacing w:line="360" w:lineRule="auto"/>
        <w:ind w:firstLine="420" w:firstLineChars="200"/>
        <w:jc w:val="left"/>
        <w:rPr>
          <w:color w:val="auto"/>
          <w:highlight w:val="none"/>
        </w:rPr>
      </w:pPr>
      <w:r>
        <w:rPr>
          <w:rFonts w:hint="eastAsia" w:hAnsi="宋体" w:cs="宋体"/>
          <w:color w:val="auto"/>
          <w:highlight w:val="none"/>
        </w:rPr>
        <w:t>禁止分包的工程包括：</w:t>
      </w:r>
      <w:r>
        <w:rPr>
          <w:color w:val="auto"/>
          <w:highlight w:val="none"/>
          <w:u w:val="single"/>
        </w:rPr>
        <w:t xml:space="preserve">   </w:t>
      </w:r>
      <w:r>
        <w:rPr>
          <w:rFonts w:hint="eastAsia"/>
          <w:color w:val="auto"/>
          <w:highlight w:val="none"/>
          <w:u w:val="single"/>
          <w:lang w:val="en-US" w:eastAsia="zh-CN"/>
        </w:rPr>
        <w:t>本工程不允许分包（除劳务分包以外）</w:t>
      </w:r>
      <w:r>
        <w:rPr>
          <w:color w:val="auto"/>
          <w:highlight w:val="none"/>
          <w:u w:val="single"/>
        </w:rPr>
        <w:t xml:space="preserve">     </w:t>
      </w:r>
      <w:r>
        <w:rPr>
          <w:rFonts w:hint="eastAsia" w:hAnsi="宋体" w:cs="宋体"/>
          <w:color w:val="auto"/>
          <w:highlight w:val="none"/>
        </w:rPr>
        <w:t>。</w:t>
      </w:r>
    </w:p>
    <w:p w14:paraId="23821E56">
      <w:pPr>
        <w:spacing w:line="360" w:lineRule="auto"/>
        <w:ind w:firstLine="420" w:firstLineChars="200"/>
        <w:jc w:val="left"/>
        <w:rPr>
          <w:rFonts w:hAnsi="宋体"/>
          <w:color w:val="auto"/>
          <w:highlight w:val="none"/>
        </w:rPr>
      </w:pPr>
      <w:r>
        <w:rPr>
          <w:rFonts w:hint="eastAsia" w:hAnsi="宋体" w:cs="宋体"/>
          <w:color w:val="auto"/>
          <w:highlight w:val="none"/>
        </w:rPr>
        <w:t>主体结构、关键性工作的范围：</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0AD32D11">
      <w:pPr>
        <w:spacing w:line="360" w:lineRule="auto"/>
        <w:ind w:firstLine="420" w:firstLineChars="200"/>
        <w:jc w:val="left"/>
        <w:rPr>
          <w:color w:val="auto"/>
          <w:highlight w:val="none"/>
        </w:rPr>
      </w:pPr>
      <w:r>
        <w:rPr>
          <w:color w:val="auto"/>
          <w:highlight w:val="none"/>
        </w:rPr>
        <w:t>3</w:t>
      </w:r>
      <w:bookmarkStart w:id="338" w:name="_Toc318581159"/>
      <w:bookmarkStart w:id="339" w:name="_Toc312677990"/>
      <w:r>
        <w:rPr>
          <w:color w:val="auto"/>
          <w:highlight w:val="none"/>
        </w:rPr>
        <w:t xml:space="preserve">.5.2 </w:t>
      </w:r>
      <w:r>
        <w:rPr>
          <w:rFonts w:hint="eastAsia" w:hAnsi="宋体" w:cs="宋体"/>
          <w:color w:val="auto"/>
          <w:highlight w:val="none"/>
        </w:rPr>
        <w:t>分包的确定</w:t>
      </w:r>
    </w:p>
    <w:p w14:paraId="7155E31C">
      <w:pPr>
        <w:spacing w:line="360" w:lineRule="auto"/>
        <w:ind w:firstLine="420" w:firstLineChars="200"/>
        <w:rPr>
          <w:color w:val="auto"/>
          <w:highlight w:val="none"/>
          <w:u w:val="single"/>
        </w:rPr>
      </w:pPr>
      <w:r>
        <w:rPr>
          <w:rFonts w:hint="eastAsia" w:hAnsi="宋体" w:cs="宋体"/>
          <w:color w:val="auto"/>
          <w:highlight w:val="none"/>
        </w:rPr>
        <w:t>允许分包的专业工程包括：</w:t>
      </w:r>
      <w:r>
        <w:rPr>
          <w:color w:val="auto"/>
          <w:highlight w:val="none"/>
          <w:u w:val="single"/>
        </w:rPr>
        <w:t xml:space="preserve"> </w:t>
      </w:r>
      <w:r>
        <w:rPr>
          <w:rFonts w:hint="eastAsia"/>
          <w:color w:val="auto"/>
          <w:highlight w:val="none"/>
          <w:u w:val="single"/>
          <w:lang w:val="en-US" w:eastAsia="zh-CN"/>
        </w:rPr>
        <w:t>/</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75B6EF37">
      <w:pPr>
        <w:spacing w:line="360" w:lineRule="auto"/>
        <w:ind w:firstLine="420" w:firstLineChars="200"/>
        <w:rPr>
          <w:color w:val="auto"/>
          <w:highlight w:val="none"/>
        </w:rPr>
      </w:pPr>
      <w:r>
        <w:rPr>
          <w:rFonts w:hint="eastAsia" w:hAnsi="宋体" w:cs="宋体"/>
          <w:color w:val="auto"/>
          <w:highlight w:val="none"/>
        </w:rPr>
        <w:t>其他关于分包的约定：</w:t>
      </w:r>
    </w:p>
    <w:p w14:paraId="23FA6FFA">
      <w:pPr>
        <w:spacing w:line="360" w:lineRule="auto"/>
        <w:ind w:firstLine="420" w:firstLineChars="200"/>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hAnsi="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highlight w:val="none"/>
        </w:rPr>
        <w:t>6</w:t>
      </w:r>
      <w:r>
        <w:rPr>
          <w:rFonts w:hint="eastAsia" w:hAnsi="宋体" w:cs="宋体"/>
          <w:color w:val="auto"/>
          <w:highlight w:val="none"/>
        </w:rPr>
        <w:t>。</w:t>
      </w:r>
    </w:p>
    <w:p w14:paraId="1B286DBF">
      <w:pPr>
        <w:spacing w:line="360" w:lineRule="auto"/>
        <w:ind w:firstLine="420" w:firstLineChars="200"/>
        <w:rPr>
          <w:color w:val="auto"/>
          <w:highlight w:val="none"/>
          <w:u w:val="single"/>
        </w:rPr>
      </w:pPr>
      <w:r>
        <w:rPr>
          <w:rFonts w:hint="eastAsia" w:cs="宋体"/>
          <w:color w:val="auto"/>
          <w:highlight w:val="none"/>
        </w:rPr>
        <w:t>（</w:t>
      </w:r>
      <w:r>
        <w:rPr>
          <w:color w:val="auto"/>
          <w:highlight w:val="none"/>
        </w:rPr>
        <w:t>2</w:t>
      </w:r>
      <w:r>
        <w:rPr>
          <w:rFonts w:hint="eastAsia" w:cs="宋体"/>
          <w:color w:val="auto"/>
          <w:highlight w:val="none"/>
        </w:rPr>
        <w:t>）</w:t>
      </w:r>
      <w:r>
        <w:rPr>
          <w:rFonts w:hint="eastAsia" w:hAnsi="宋体" w:cs="宋体"/>
          <w:color w:val="auto"/>
          <w:highlight w:val="none"/>
        </w:rPr>
        <w:t>在相关分包合同签订并报送有关建设行政主管部门备案后</w:t>
      </w:r>
      <w:r>
        <w:rPr>
          <w:color w:val="auto"/>
          <w:highlight w:val="none"/>
        </w:rPr>
        <w:t>7</w:t>
      </w:r>
      <w:r>
        <w:rPr>
          <w:rFonts w:hint="eastAsia" w:hAnsi="宋体" w:cs="宋体"/>
          <w:color w:val="auto"/>
          <w:highlight w:val="none"/>
        </w:rPr>
        <w:t>天内，承包人应当将一份副本提交给监理人，承包人应保障分包工作不得再次分包。</w:t>
      </w:r>
    </w:p>
    <w:p w14:paraId="233E869A">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未经承包人和监理人审批同意的分包工程和分包人，承包人有权拒绝验收分包工程和支付相应款项，由此引起的发包人费用增加和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延误的工期由发包人承担。</w:t>
      </w:r>
    </w:p>
    <w:p w14:paraId="12AAB7A8">
      <w:pPr>
        <w:pStyle w:val="15"/>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4C15426D">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p>
    <w:p w14:paraId="512C8C12">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63956F19">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5C973FB1">
      <w:pPr>
        <w:spacing w:line="360" w:lineRule="auto"/>
        <w:ind w:firstLine="420" w:firstLineChars="200"/>
        <w:rPr>
          <w:color w:val="auto"/>
          <w:highlight w:val="none"/>
          <w:u w:val="single"/>
        </w:rPr>
      </w:pPr>
      <w:r>
        <w:rPr>
          <w:rFonts w:hint="eastAsia" w:hAnsi="宋体" w:cs="宋体"/>
          <w:color w:val="auto"/>
          <w:highlight w:val="none"/>
        </w:rPr>
        <w:t>④承包人有部分分包现象（其中包括冒充承包人下属单位的</w:t>
      </w:r>
      <w:r>
        <w:rPr>
          <w:rFonts w:hint="eastAsia" w:hAnsi="宋体" w:cs="宋体"/>
          <w:color w:val="auto"/>
          <w:highlight w:val="none"/>
          <w:lang w:eastAsia="zh-CN"/>
        </w:rPr>
        <w:t>挂钩</w:t>
      </w:r>
      <w:r>
        <w:rPr>
          <w:rFonts w:hint="eastAsia" w:hAnsi="宋体" w:cs="宋体"/>
          <w:color w:val="auto"/>
          <w:highlight w:val="none"/>
        </w:rPr>
        <w:t>单位，凭口头协议参与施工的分包人及其他暗分包个体户），一经发现核实，发包人将采取驱逐该暗分包人措施。没收全部履约保证金。</w:t>
      </w:r>
    </w:p>
    <w:p w14:paraId="50182308">
      <w:pPr>
        <w:spacing w:line="360" w:lineRule="auto"/>
        <w:ind w:firstLine="420" w:firstLineChars="200"/>
        <w:rPr>
          <w:color w:val="auto"/>
          <w:highlight w:val="none"/>
        </w:rPr>
      </w:pPr>
      <w:r>
        <w:rPr>
          <w:color w:val="auto"/>
          <w:highlight w:val="none"/>
        </w:rPr>
        <w:t>3.5.</w:t>
      </w:r>
      <w:r>
        <w:rPr>
          <w:rFonts w:hint="eastAsia"/>
          <w:color w:val="auto"/>
          <w:highlight w:val="none"/>
        </w:rPr>
        <w:t>3</w:t>
      </w:r>
      <w:r>
        <w:rPr>
          <w:rFonts w:hint="eastAsia" w:hAnsi="宋体" w:cs="宋体"/>
          <w:color w:val="auto"/>
          <w:highlight w:val="none"/>
        </w:rPr>
        <w:t>分包合同价款</w:t>
      </w:r>
    </w:p>
    <w:bookmarkEnd w:id="338"/>
    <w:bookmarkEnd w:id="339"/>
    <w:p w14:paraId="0132440C">
      <w:pPr>
        <w:spacing w:line="360" w:lineRule="auto"/>
        <w:ind w:firstLine="420" w:firstLineChars="200"/>
        <w:rPr>
          <w:color w:val="auto"/>
          <w:highlight w:val="none"/>
        </w:rPr>
      </w:pPr>
      <w:bookmarkStart w:id="340" w:name="_Toc373227711"/>
      <w:bookmarkStart w:id="341" w:name="_Toc373478358"/>
      <w:bookmarkStart w:id="342" w:name="_Toc407135213"/>
      <w:bookmarkStart w:id="343" w:name="_Toc389065277"/>
      <w:r>
        <w:rPr>
          <w:rFonts w:hint="eastAsia" w:hAnsi="宋体" w:cs="宋体"/>
          <w:color w:val="auto"/>
          <w:highlight w:val="none"/>
        </w:rPr>
        <w:t>关于分包合同价款支付的约定：</w:t>
      </w:r>
      <w:r>
        <w:rPr>
          <w:rFonts w:hint="eastAsia" w:hAnsi="宋体" w:cs="宋体"/>
          <w:color w:val="auto"/>
          <w:highlight w:val="none"/>
          <w:u w:val="single"/>
        </w:rPr>
        <w:t>分包工程价款由承包人与分包人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结算。发包人未经承包人同意不得以任何形式向分包人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支付相关分包合同项下的任何工程款项。因发包人未经承包人同意直接向分包人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支付相关分包合同项下的任何工程款项而影响承包人工作的，所造成的承包人费用增加和</w:t>
      </w:r>
      <w:r>
        <w:rPr>
          <w:rFonts w:hint="eastAsia" w:cs="宋体"/>
          <w:color w:val="auto"/>
          <w:highlight w:val="none"/>
          <w:u w:val="single"/>
        </w:rPr>
        <w:t>（</w:t>
      </w:r>
      <w:r>
        <w:rPr>
          <w:rFonts w:hint="eastAsia" w:hAnsi="宋体" w:cs="宋体"/>
          <w:color w:val="auto"/>
          <w:highlight w:val="none"/>
          <w:u w:val="single"/>
        </w:rPr>
        <w:t>或</w:t>
      </w:r>
      <w:r>
        <w:rPr>
          <w:rFonts w:hint="eastAsia" w:cs="宋体"/>
          <w:color w:val="auto"/>
          <w:highlight w:val="none"/>
          <w:u w:val="single"/>
        </w:rPr>
        <w:t>）</w:t>
      </w:r>
      <w:r>
        <w:rPr>
          <w:rFonts w:hint="eastAsia" w:hAnsi="宋体" w:cs="宋体"/>
          <w:color w:val="auto"/>
          <w:highlight w:val="none"/>
          <w:u w:val="single"/>
        </w:rPr>
        <w:t>延误的工期由发包人承担。</w:t>
      </w:r>
    </w:p>
    <w:p w14:paraId="41665149">
      <w:pPr>
        <w:pStyle w:val="6"/>
        <w:rPr>
          <w:color w:val="auto"/>
          <w:highlight w:val="none"/>
        </w:rPr>
      </w:pPr>
      <w:bookmarkStart w:id="344" w:name="_Toc16138"/>
      <w:r>
        <w:rPr>
          <w:color w:val="auto"/>
          <w:highlight w:val="none"/>
        </w:rPr>
        <w:t xml:space="preserve">3.6 </w:t>
      </w:r>
      <w:r>
        <w:rPr>
          <w:rFonts w:hint="eastAsia" w:cs="黑体"/>
          <w:color w:val="auto"/>
          <w:highlight w:val="none"/>
        </w:rPr>
        <w:t>工程照管与成品、半成品保护</w:t>
      </w:r>
      <w:bookmarkEnd w:id="340"/>
      <w:bookmarkEnd w:id="341"/>
      <w:bookmarkEnd w:id="342"/>
      <w:bookmarkEnd w:id="343"/>
      <w:bookmarkEnd w:id="344"/>
    </w:p>
    <w:p w14:paraId="7AB9139B">
      <w:pPr>
        <w:spacing w:line="360" w:lineRule="auto"/>
        <w:ind w:firstLine="420" w:firstLineChars="200"/>
        <w:rPr>
          <w:color w:val="auto"/>
          <w:kern w:val="0"/>
          <w:highlight w:val="none"/>
          <w:u w:val="single"/>
        </w:rPr>
      </w:pPr>
      <w:r>
        <w:rPr>
          <w:rFonts w:hint="eastAsia" w:hAnsi="宋体" w:cs="宋体"/>
          <w:color w:val="auto"/>
          <w:kern w:val="0"/>
          <w:highlight w:val="none"/>
        </w:rPr>
        <w:t>承包人负责照管工程及工程相关的材料、工程设备的起始时间：</w:t>
      </w:r>
      <w:r>
        <w:rPr>
          <w:color w:val="auto"/>
          <w:kern w:val="0"/>
          <w:highlight w:val="none"/>
          <w:u w:val="single"/>
        </w:rPr>
        <w:t xml:space="preserve"> </w:t>
      </w:r>
      <w:r>
        <w:rPr>
          <w:rFonts w:hint="eastAsia"/>
          <w:color w:val="auto"/>
          <w:kern w:val="0"/>
          <w:highlight w:val="none"/>
          <w:u w:val="single"/>
        </w:rPr>
        <w:t>自发包人向承包人移交施工现场之日起，承包人应负责照管工程及工程相关的材料、工程设备，直到颁发工程接收证书之日止</w:t>
      </w:r>
      <w:r>
        <w:rPr>
          <w:color w:val="auto"/>
          <w:kern w:val="0"/>
          <w:highlight w:val="none"/>
          <w:u w:val="single"/>
        </w:rPr>
        <w:t xml:space="preserve">    </w:t>
      </w:r>
      <w:r>
        <w:rPr>
          <w:rFonts w:hint="eastAsia" w:hAnsi="宋体" w:cs="宋体"/>
          <w:color w:val="auto"/>
          <w:kern w:val="0"/>
          <w:highlight w:val="none"/>
        </w:rPr>
        <w:t>。</w:t>
      </w:r>
    </w:p>
    <w:p w14:paraId="12362823">
      <w:pPr>
        <w:pStyle w:val="6"/>
        <w:rPr>
          <w:color w:val="auto"/>
          <w:highlight w:val="none"/>
        </w:rPr>
      </w:pPr>
      <w:bookmarkStart w:id="345" w:name="_Toc373478359"/>
      <w:bookmarkStart w:id="346" w:name="_Toc389065278"/>
      <w:bookmarkStart w:id="347" w:name="_Toc373227712"/>
      <w:bookmarkStart w:id="348" w:name="_Toc32106"/>
      <w:bookmarkStart w:id="349" w:name="_Toc407135214"/>
      <w:r>
        <w:rPr>
          <w:color w:val="auto"/>
          <w:highlight w:val="none"/>
        </w:rPr>
        <w:t xml:space="preserve">3.7 </w:t>
      </w:r>
      <w:r>
        <w:rPr>
          <w:rFonts w:hint="eastAsia" w:hAnsi="宋体" w:cs="黑体"/>
          <w:color w:val="auto"/>
          <w:highlight w:val="none"/>
        </w:rPr>
        <w:t>履约</w:t>
      </w:r>
      <w:bookmarkEnd w:id="345"/>
      <w:bookmarkEnd w:id="346"/>
      <w:bookmarkEnd w:id="347"/>
      <w:r>
        <w:rPr>
          <w:rFonts w:hint="eastAsia" w:hAnsi="宋体" w:cs="黑体"/>
          <w:color w:val="auto"/>
          <w:highlight w:val="none"/>
        </w:rPr>
        <w:t>保证金</w:t>
      </w:r>
      <w:bookmarkEnd w:id="348"/>
      <w:bookmarkEnd w:id="349"/>
    </w:p>
    <w:p w14:paraId="668B7BB1">
      <w:pPr>
        <w:spacing w:line="360" w:lineRule="auto"/>
        <w:ind w:firstLine="420" w:firstLineChars="200"/>
        <w:rPr>
          <w:rFonts w:hint="eastAsia"/>
          <w:color w:val="auto"/>
          <w:highlight w:val="none"/>
          <w:u w:val="single"/>
        </w:rPr>
      </w:pPr>
      <w:bookmarkStart w:id="350" w:name="_Toc373478360"/>
      <w:bookmarkStart w:id="351" w:name="_Toc351203636"/>
      <w:bookmarkStart w:id="352" w:name="_Toc373227713"/>
      <w:bookmarkStart w:id="353" w:name="_Toc389065279"/>
      <w:r>
        <w:rPr>
          <w:rFonts w:hint="eastAsia" w:hAnsi="宋体" w:cs="宋体"/>
          <w:color w:val="auto"/>
          <w:highlight w:val="none"/>
        </w:rPr>
        <w:t>承包人提供履约担保的形式、金额及期限的：</w:t>
      </w:r>
      <w:r>
        <w:rPr>
          <w:rFonts w:hint="eastAsia" w:hAnsi="宋体" w:cs="宋体"/>
          <w:color w:val="auto"/>
          <w:highlight w:val="none"/>
          <w:u w:val="single"/>
        </w:rPr>
        <w:t>无</w:t>
      </w:r>
    </w:p>
    <w:p w14:paraId="7D6C47D9">
      <w:pPr>
        <w:spacing w:line="360" w:lineRule="auto"/>
        <w:ind w:firstLine="420" w:firstLineChars="200"/>
        <w:rPr>
          <w:rFonts w:hAnsi="宋体"/>
          <w:color w:val="auto"/>
          <w:highlight w:val="none"/>
          <w:u w:val="single"/>
        </w:rPr>
      </w:pPr>
      <w:r>
        <w:rPr>
          <w:rFonts w:hint="eastAsia" w:hAnsi="宋体" w:cs="宋体"/>
          <w:color w:val="auto"/>
          <w:highlight w:val="none"/>
          <w:u w:val="single"/>
        </w:rPr>
        <w:t>承包人在中标后</w:t>
      </w:r>
      <w:r>
        <w:rPr>
          <w:color w:val="auto"/>
          <w:highlight w:val="none"/>
          <w:u w:val="single"/>
        </w:rPr>
        <w:t>7</w:t>
      </w:r>
      <w:r>
        <w:rPr>
          <w:rFonts w:hint="eastAsia" w:hAnsi="宋体" w:cs="宋体"/>
          <w:color w:val="auto"/>
          <w:highlight w:val="none"/>
          <w:u w:val="single"/>
        </w:rPr>
        <w:t>个工作日内，按</w:t>
      </w:r>
      <w:r>
        <w:rPr>
          <w:rFonts w:hint="eastAsia"/>
          <w:color w:val="auto"/>
          <w:highlight w:val="none"/>
          <w:u w:val="single"/>
        </w:rPr>
        <w:t>玉林市</w:t>
      </w:r>
      <w:r>
        <w:rPr>
          <w:rFonts w:hint="eastAsia"/>
          <w:color w:val="auto"/>
          <w:highlight w:val="none"/>
          <w:u w:val="single"/>
          <w:lang w:eastAsia="zh-CN"/>
        </w:rPr>
        <w:t>住</w:t>
      </w:r>
      <w:r>
        <w:rPr>
          <w:rFonts w:hint="eastAsia"/>
          <w:color w:val="auto"/>
          <w:highlight w:val="none"/>
          <w:u w:val="single"/>
        </w:rPr>
        <w:t>房城乡建设行政主管部门</w:t>
      </w:r>
      <w:r>
        <w:rPr>
          <w:color w:val="auto"/>
          <w:highlight w:val="none"/>
          <w:u w:val="single"/>
        </w:rPr>
        <w:t xml:space="preserve"> </w:t>
      </w:r>
      <w:r>
        <w:rPr>
          <w:rFonts w:hint="eastAsia" w:hAnsi="宋体" w:cs="宋体"/>
          <w:color w:val="auto"/>
          <w:highlight w:val="none"/>
          <w:u w:val="single"/>
        </w:rPr>
        <w:t>（各市住房城乡建设行政主管部门规定）规定将农民工工资保障金存入</w:t>
      </w:r>
      <w:r>
        <w:rPr>
          <w:rFonts w:hint="eastAsia" w:hAnsi="宋体" w:cs="宋体"/>
          <w:color w:val="auto"/>
          <w:highlight w:val="none"/>
          <w:u w:val="single"/>
          <w:lang w:eastAsia="zh-CN"/>
        </w:rPr>
        <w:t>账</w:t>
      </w:r>
      <w:r>
        <w:rPr>
          <w:rFonts w:hint="eastAsia" w:hAnsi="宋体" w:cs="宋体"/>
          <w:color w:val="auto"/>
          <w:highlight w:val="none"/>
          <w:u w:val="single"/>
        </w:rPr>
        <w:t>户。工程竣工验收结算经审定后，按照规定程序，将农民工工资保障金没有使用或剩余的金额退还给承包人。</w:t>
      </w:r>
    </w:p>
    <w:p w14:paraId="5495B176">
      <w:pPr>
        <w:pStyle w:val="5"/>
        <w:rPr>
          <w:color w:val="auto"/>
          <w:highlight w:val="none"/>
        </w:rPr>
      </w:pPr>
      <w:bookmarkStart w:id="354" w:name="_Toc21244"/>
      <w:bookmarkStart w:id="355" w:name="_Toc407135215"/>
      <w:r>
        <w:rPr>
          <w:color w:val="auto"/>
          <w:highlight w:val="none"/>
        </w:rPr>
        <w:t>4</w:t>
      </w:r>
      <w:bookmarkStart w:id="356" w:name="_Toc292559871"/>
      <w:bookmarkStart w:id="357" w:name="_Toc267251413"/>
      <w:bookmarkStart w:id="358" w:name="_Toc297048348"/>
      <w:bookmarkStart w:id="359" w:name="_Toc292559366"/>
      <w:bookmarkStart w:id="360" w:name="_Toc296503162"/>
      <w:bookmarkStart w:id="361" w:name="_Toc297120462"/>
      <w:bookmarkStart w:id="362" w:name="_Toc296944501"/>
      <w:bookmarkStart w:id="363" w:name="_Toc296890990"/>
      <w:bookmarkStart w:id="364" w:name="_Toc296891202"/>
      <w:bookmarkStart w:id="365" w:name="_Toc296346663"/>
      <w:bookmarkStart w:id="366" w:name="_Toc296347161"/>
      <w:r>
        <w:rPr>
          <w:color w:val="auto"/>
          <w:highlight w:val="none"/>
        </w:rPr>
        <w:t xml:space="preserve">. </w:t>
      </w:r>
      <w:r>
        <w:rPr>
          <w:rFonts w:hint="eastAsia" w:hAnsi="宋体" w:cs="黑体"/>
          <w:color w:val="auto"/>
          <w:highlight w:val="none"/>
        </w:rPr>
        <w:t>监</w:t>
      </w:r>
      <w:bookmarkEnd w:id="356"/>
      <w:bookmarkEnd w:id="357"/>
      <w:bookmarkEnd w:id="358"/>
      <w:bookmarkEnd w:id="359"/>
      <w:bookmarkEnd w:id="360"/>
      <w:bookmarkEnd w:id="361"/>
      <w:bookmarkEnd w:id="362"/>
      <w:bookmarkEnd w:id="363"/>
      <w:bookmarkEnd w:id="364"/>
      <w:bookmarkEnd w:id="365"/>
      <w:bookmarkEnd w:id="366"/>
      <w:r>
        <w:rPr>
          <w:rFonts w:hint="eastAsia" w:hAnsi="宋体" w:cs="黑体"/>
          <w:color w:val="auto"/>
          <w:highlight w:val="none"/>
        </w:rPr>
        <w:t>理人</w:t>
      </w:r>
      <w:bookmarkEnd w:id="350"/>
      <w:bookmarkEnd w:id="351"/>
      <w:bookmarkEnd w:id="352"/>
      <w:bookmarkEnd w:id="353"/>
      <w:bookmarkEnd w:id="354"/>
      <w:bookmarkEnd w:id="355"/>
    </w:p>
    <w:p w14:paraId="6B9D57A7">
      <w:pPr>
        <w:pStyle w:val="6"/>
        <w:rPr>
          <w:color w:val="auto"/>
          <w:highlight w:val="none"/>
        </w:rPr>
      </w:pPr>
      <w:bookmarkStart w:id="367" w:name="_Toc407135216"/>
      <w:bookmarkStart w:id="368" w:name="_Toc373227714"/>
      <w:bookmarkStart w:id="369" w:name="_Toc373478361"/>
      <w:bookmarkStart w:id="370" w:name="_Toc23330"/>
      <w:bookmarkStart w:id="371" w:name="_Toc389065280"/>
      <w:r>
        <w:rPr>
          <w:color w:val="auto"/>
          <w:highlight w:val="none"/>
        </w:rPr>
        <w:t xml:space="preserve">4.1 </w:t>
      </w:r>
      <w:r>
        <w:rPr>
          <w:rFonts w:hint="eastAsia" w:cs="黑体"/>
          <w:color w:val="auto"/>
          <w:highlight w:val="none"/>
        </w:rPr>
        <w:t>监理人的一般规定</w:t>
      </w:r>
      <w:bookmarkEnd w:id="367"/>
      <w:bookmarkEnd w:id="368"/>
      <w:bookmarkEnd w:id="369"/>
      <w:bookmarkEnd w:id="370"/>
      <w:bookmarkEnd w:id="371"/>
    </w:p>
    <w:p w14:paraId="1763A369">
      <w:pPr>
        <w:spacing w:line="360" w:lineRule="auto"/>
        <w:ind w:firstLine="420" w:firstLineChars="200"/>
        <w:jc w:val="left"/>
        <w:rPr>
          <w:color w:val="auto"/>
          <w:highlight w:val="none"/>
        </w:rPr>
      </w:pPr>
      <w:r>
        <w:rPr>
          <w:rFonts w:hint="eastAsia" w:hAnsi="宋体" w:cs="宋体"/>
          <w:color w:val="auto"/>
          <w:highlight w:val="none"/>
        </w:rPr>
        <w:t>关于监理人的监理内容：</w:t>
      </w:r>
      <w:r>
        <w:rPr>
          <w:color w:val="auto"/>
          <w:highlight w:val="none"/>
          <w:u w:val="single"/>
        </w:rPr>
        <w:t xml:space="preserve">  </w:t>
      </w:r>
      <w:r>
        <w:rPr>
          <w:rFonts w:hint="eastAsia"/>
          <w:color w:val="auto"/>
          <w:highlight w:val="none"/>
          <w:u w:val="single"/>
        </w:rPr>
        <w:t>监督、管理、协调、服务，对施工质量、进度、安全、投资进行全面控制，具体详见监理合同</w:t>
      </w:r>
      <w:r>
        <w:rPr>
          <w:color w:val="auto"/>
          <w:highlight w:val="none"/>
          <w:u w:val="single"/>
        </w:rPr>
        <w:t xml:space="preserve">   </w:t>
      </w:r>
      <w:r>
        <w:rPr>
          <w:rFonts w:hint="eastAsia" w:hAnsi="宋体" w:cs="宋体"/>
          <w:color w:val="auto"/>
          <w:highlight w:val="none"/>
        </w:rPr>
        <w:t>。</w:t>
      </w:r>
    </w:p>
    <w:p w14:paraId="0091E819">
      <w:pPr>
        <w:spacing w:line="360" w:lineRule="auto"/>
        <w:ind w:firstLine="420" w:firstLineChars="200"/>
        <w:jc w:val="left"/>
        <w:rPr>
          <w:rFonts w:hint="eastAsia"/>
          <w:color w:val="auto"/>
          <w:highlight w:val="none"/>
          <w:u w:val="single"/>
        </w:rPr>
      </w:pPr>
      <w:r>
        <w:rPr>
          <w:rFonts w:hint="eastAsia" w:hAnsi="宋体" w:cs="宋体"/>
          <w:color w:val="auto"/>
          <w:highlight w:val="none"/>
        </w:rPr>
        <w:t>关于监理人的监理权限：</w:t>
      </w:r>
      <w:r>
        <w:rPr>
          <w:color w:val="auto"/>
          <w:highlight w:val="none"/>
          <w:u w:val="single"/>
        </w:rPr>
        <w:t xml:space="preserve"> </w:t>
      </w:r>
      <w:r>
        <w:rPr>
          <w:rFonts w:hint="eastAsia"/>
          <w:color w:val="auto"/>
          <w:highlight w:val="none"/>
          <w:u w:val="single"/>
        </w:rPr>
        <w:t>监理人应当根据发包人授权及法律规定，代表发包人对工程施工</w:t>
      </w:r>
    </w:p>
    <w:p w14:paraId="45555137">
      <w:pPr>
        <w:spacing w:line="360" w:lineRule="auto"/>
        <w:ind w:firstLine="420" w:firstLineChars="200"/>
        <w:jc w:val="left"/>
        <w:rPr>
          <w:color w:val="auto"/>
          <w:highlight w:val="none"/>
        </w:rPr>
      </w:pPr>
      <w:r>
        <w:rPr>
          <w:rFonts w:hint="eastAsia"/>
          <w:color w:val="auto"/>
          <w:highlight w:val="none"/>
          <w:u w:val="single"/>
        </w:rPr>
        <w:t>相关事项进行检查、查验、审核、验收，并签发相关指示，但监理人无权修改合同，且无权减轻或免除合同约定的承包人的任何责任与义务</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7C288E1F">
      <w:pPr>
        <w:spacing w:line="360" w:lineRule="auto"/>
        <w:rPr>
          <w:color w:val="auto"/>
          <w:highlight w:val="none"/>
        </w:rPr>
      </w:pPr>
      <w:r>
        <w:rPr>
          <w:rFonts w:hint="eastAsia" w:hAnsi="宋体" w:cs="宋体"/>
          <w:color w:val="auto"/>
          <w:highlight w:val="none"/>
        </w:rPr>
        <w:t>关于监理人在施工现场的办公场所、生活场所的提供和费用承担的约定：</w:t>
      </w:r>
      <w:r>
        <w:rPr>
          <w:color w:val="auto"/>
          <w:highlight w:val="none"/>
          <w:u w:val="single"/>
        </w:rPr>
        <w:t xml:space="preserve">   </w:t>
      </w:r>
      <w:r>
        <w:rPr>
          <w:rFonts w:hint="eastAsia"/>
          <w:color w:val="auto"/>
          <w:highlight w:val="none"/>
          <w:u w:val="single"/>
        </w:rPr>
        <w:t>监理人在施工现场的办公场所、生活场所由承包人提供，所发生的费用由发包人承担</w:t>
      </w:r>
      <w:r>
        <w:rPr>
          <w:color w:val="auto"/>
          <w:highlight w:val="none"/>
          <w:u w:val="single"/>
        </w:rPr>
        <w:t xml:space="preserve">    </w:t>
      </w:r>
      <w:r>
        <w:rPr>
          <w:rFonts w:hint="eastAsia" w:hAnsi="宋体" w:cs="宋体"/>
          <w:color w:val="auto"/>
          <w:highlight w:val="none"/>
        </w:rPr>
        <w:t>。</w:t>
      </w:r>
    </w:p>
    <w:p w14:paraId="30EBE85D">
      <w:pPr>
        <w:pStyle w:val="6"/>
        <w:rPr>
          <w:color w:val="auto"/>
          <w:highlight w:val="none"/>
        </w:rPr>
      </w:pPr>
      <w:bookmarkStart w:id="372" w:name="_Toc407135217"/>
      <w:bookmarkStart w:id="373" w:name="_Toc14162"/>
      <w:bookmarkStart w:id="374" w:name="_Toc389065281"/>
      <w:bookmarkStart w:id="375" w:name="_Toc373478362"/>
      <w:bookmarkStart w:id="376" w:name="_Toc373227715"/>
      <w:r>
        <w:rPr>
          <w:color w:val="auto"/>
          <w:highlight w:val="none"/>
        </w:rPr>
        <w:t xml:space="preserve">4.2 </w:t>
      </w:r>
      <w:r>
        <w:rPr>
          <w:rFonts w:hint="eastAsia" w:hAnsi="宋体" w:cs="黑体"/>
          <w:color w:val="auto"/>
          <w:highlight w:val="none"/>
        </w:rPr>
        <w:t>监理人员</w:t>
      </w:r>
      <w:bookmarkEnd w:id="372"/>
      <w:bookmarkEnd w:id="373"/>
      <w:bookmarkEnd w:id="374"/>
      <w:bookmarkEnd w:id="375"/>
      <w:bookmarkEnd w:id="376"/>
    </w:p>
    <w:p w14:paraId="28F4577C">
      <w:pPr>
        <w:spacing w:line="360" w:lineRule="auto"/>
        <w:ind w:firstLine="420" w:firstLineChars="200"/>
        <w:rPr>
          <w:color w:val="auto"/>
          <w:highlight w:val="none"/>
        </w:rPr>
      </w:pPr>
      <w:r>
        <w:rPr>
          <w:rFonts w:hint="eastAsia" w:hAnsi="宋体" w:cs="宋体"/>
          <w:color w:val="auto"/>
          <w:highlight w:val="none"/>
        </w:rPr>
        <w:t>总监理工程师：</w:t>
      </w:r>
    </w:p>
    <w:p w14:paraId="7714CE45">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338BB2D0">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38D34BD">
      <w:pPr>
        <w:spacing w:line="360" w:lineRule="auto"/>
        <w:ind w:firstLine="420" w:firstLineChars="200"/>
        <w:rPr>
          <w:rFonts w:hAnsi="宋体"/>
          <w:color w:val="auto"/>
          <w:highlight w:val="none"/>
        </w:rPr>
      </w:pPr>
      <w:r>
        <w:rPr>
          <w:rFonts w:hAnsi="宋体"/>
          <w:color w:val="auto"/>
          <w:highlight w:val="none"/>
        </w:rPr>
        <w:t>监理工程师执业资格证书号：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03D2912F">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91503B0">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722E0929">
      <w:pPr>
        <w:spacing w:line="360" w:lineRule="auto"/>
        <w:ind w:firstLine="420" w:firstLineChars="200"/>
        <w:rPr>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D378363">
      <w:pPr>
        <w:spacing w:line="360" w:lineRule="auto"/>
        <w:ind w:firstLine="420" w:firstLineChars="200"/>
        <w:rPr>
          <w:color w:val="auto"/>
          <w:highlight w:val="none"/>
        </w:rPr>
      </w:pPr>
      <w:r>
        <w:rPr>
          <w:rFonts w:hAnsi="宋体"/>
          <w:color w:val="auto"/>
          <w:highlight w:val="none"/>
        </w:rPr>
        <w:t>关于监理人的其他约定：</w:t>
      </w:r>
      <w:r>
        <w:rPr>
          <w:rFonts w:hAnsi="宋体"/>
          <w:color w:val="auto"/>
          <w:highlight w:val="none"/>
          <w:u w:val="single"/>
        </w:rPr>
        <w:t></w:t>
      </w:r>
      <w:r>
        <w:rPr>
          <w:rFonts w:hint="eastAsia"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CA58ABD">
      <w:pPr>
        <w:pStyle w:val="6"/>
        <w:rPr>
          <w:color w:val="auto"/>
          <w:highlight w:val="none"/>
        </w:rPr>
      </w:pPr>
      <w:bookmarkStart w:id="377" w:name="_Toc22346"/>
      <w:bookmarkStart w:id="378" w:name="_Toc373478363"/>
      <w:bookmarkStart w:id="379" w:name="_Toc407135218"/>
      <w:bookmarkStart w:id="380" w:name="_Toc389065282"/>
      <w:bookmarkStart w:id="381" w:name="_Toc373227716"/>
      <w:r>
        <w:rPr>
          <w:color w:val="auto"/>
          <w:highlight w:val="none"/>
        </w:rPr>
        <w:t xml:space="preserve">4.4 </w:t>
      </w:r>
      <w:r>
        <w:rPr>
          <w:rFonts w:hint="eastAsia" w:hAnsi="宋体" w:cs="黑体"/>
          <w:color w:val="auto"/>
          <w:highlight w:val="none"/>
        </w:rPr>
        <w:t>商定或确定</w:t>
      </w:r>
      <w:bookmarkEnd w:id="377"/>
      <w:bookmarkEnd w:id="378"/>
      <w:bookmarkEnd w:id="379"/>
      <w:bookmarkEnd w:id="380"/>
      <w:bookmarkEnd w:id="381"/>
    </w:p>
    <w:p w14:paraId="38F23B60">
      <w:pPr>
        <w:spacing w:line="360" w:lineRule="auto"/>
        <w:ind w:firstLine="420" w:firstLineChars="200"/>
        <w:rPr>
          <w:color w:val="auto"/>
          <w:highlight w:val="none"/>
        </w:rPr>
      </w:pPr>
      <w:bookmarkStart w:id="382" w:name="_Toc267251418"/>
      <w:r>
        <w:rPr>
          <w:rFonts w:hint="eastAsia" w:hAnsi="宋体" w:cs="宋体"/>
          <w:color w:val="auto"/>
          <w:highlight w:val="none"/>
        </w:rPr>
        <w:t>在发包人和承包人不能通过协商达成一致意见时，发包人授权监理人对以下事项进行确定：</w:t>
      </w:r>
    </w:p>
    <w:p w14:paraId="285370DB">
      <w:pPr>
        <w:autoSpaceDE w:val="0"/>
        <w:autoSpaceDN w:val="0"/>
        <w:adjustRightInd w:val="0"/>
        <w:spacing w:line="360" w:lineRule="auto"/>
        <w:ind w:firstLine="420" w:firstLineChars="200"/>
        <w:jc w:val="left"/>
        <w:rPr>
          <w:rFonts w:hint="eastAsia"/>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w:t>
      </w:r>
      <w:r>
        <w:rPr>
          <w:color w:val="auto"/>
          <w:highlight w:val="none"/>
          <w:u w:val="single"/>
        </w:rPr>
        <w:t xml:space="preserve">    </w:t>
      </w:r>
      <w:r>
        <w:rPr>
          <w:rFonts w:hint="eastAsia"/>
          <w:color w:val="auto"/>
          <w:highlight w:val="none"/>
          <w:u w:val="single"/>
        </w:rPr>
        <w:t>按通用合同条款第4.4条执行</w:t>
      </w:r>
      <w:r>
        <w:rPr>
          <w:color w:val="auto"/>
          <w:highlight w:val="none"/>
          <w:u w:val="single"/>
        </w:rPr>
        <w:t xml:space="preserve">   </w:t>
      </w:r>
      <w:r>
        <w:rPr>
          <w:color w:val="auto"/>
          <w:highlight w:val="none"/>
        </w:rPr>
        <w:t xml:space="preserve"> </w:t>
      </w:r>
      <w:r>
        <w:rPr>
          <w:rFonts w:hint="eastAsia"/>
          <w:color w:val="auto"/>
          <w:highlight w:val="none"/>
        </w:rPr>
        <w:t>。</w:t>
      </w:r>
    </w:p>
    <w:p w14:paraId="2F990818">
      <w:pPr>
        <w:pStyle w:val="5"/>
        <w:rPr>
          <w:color w:val="auto"/>
          <w:highlight w:val="none"/>
        </w:rPr>
      </w:pPr>
      <w:bookmarkStart w:id="383" w:name="_Toc351203637"/>
      <w:bookmarkStart w:id="384" w:name="_Toc407135219"/>
      <w:bookmarkStart w:id="385" w:name="_Toc373478364"/>
      <w:bookmarkStart w:id="386" w:name="_Toc373227717"/>
      <w:bookmarkStart w:id="387" w:name="_Toc25204"/>
      <w:bookmarkStart w:id="388" w:name="_Toc389065283"/>
      <w:r>
        <w:rPr>
          <w:color w:val="auto"/>
          <w:highlight w:val="none"/>
        </w:rPr>
        <w:t>5</w:t>
      </w:r>
      <w:bookmarkEnd w:id="382"/>
      <w:bookmarkStart w:id="389" w:name="_Toc297048349"/>
      <w:bookmarkStart w:id="390" w:name="_Toc296503163"/>
      <w:bookmarkStart w:id="391" w:name="_Toc296944502"/>
      <w:bookmarkStart w:id="392" w:name="_Toc296346664"/>
      <w:bookmarkStart w:id="393" w:name="_Toc297120463"/>
      <w:bookmarkStart w:id="394" w:name="_Toc296890991"/>
      <w:bookmarkStart w:id="395" w:name="_Toc296891203"/>
      <w:bookmarkStart w:id="396" w:name="_Toc292559872"/>
      <w:bookmarkStart w:id="397" w:name="_Toc292559367"/>
      <w:bookmarkStart w:id="398" w:name="_Toc296347162"/>
      <w:r>
        <w:rPr>
          <w:color w:val="auto"/>
          <w:highlight w:val="none"/>
        </w:rPr>
        <w:t xml:space="preserve">. </w:t>
      </w:r>
      <w:r>
        <w:rPr>
          <w:rFonts w:hint="eastAsia" w:hAnsi="宋体" w:cs="黑体"/>
          <w:color w:val="auto"/>
          <w:highlight w:val="none"/>
        </w:rPr>
        <w:t>工程质量</w:t>
      </w:r>
      <w:bookmarkEnd w:id="383"/>
      <w:bookmarkEnd w:id="384"/>
      <w:bookmarkEnd w:id="385"/>
      <w:bookmarkEnd w:id="386"/>
      <w:bookmarkEnd w:id="387"/>
      <w:bookmarkEnd w:id="388"/>
    </w:p>
    <w:p w14:paraId="027270BA">
      <w:pPr>
        <w:pStyle w:val="6"/>
        <w:rPr>
          <w:color w:val="auto"/>
          <w:highlight w:val="none"/>
        </w:rPr>
      </w:pPr>
      <w:bookmarkStart w:id="399" w:name="_Toc373227718"/>
      <w:bookmarkStart w:id="400" w:name="_Toc407135220"/>
      <w:bookmarkStart w:id="401" w:name="_Toc373478365"/>
      <w:bookmarkStart w:id="402" w:name="_Toc389065284"/>
      <w:bookmarkStart w:id="403" w:name="_Toc9653"/>
      <w:r>
        <w:rPr>
          <w:color w:val="auto"/>
          <w:highlight w:val="none"/>
        </w:rPr>
        <w:t xml:space="preserve">5.1 </w:t>
      </w:r>
      <w:r>
        <w:rPr>
          <w:rFonts w:hint="eastAsia" w:hAnsi="宋体" w:cs="黑体"/>
          <w:color w:val="auto"/>
          <w:highlight w:val="none"/>
        </w:rPr>
        <w:t>质量要求</w:t>
      </w:r>
      <w:bookmarkEnd w:id="399"/>
      <w:bookmarkEnd w:id="400"/>
      <w:bookmarkEnd w:id="401"/>
      <w:bookmarkEnd w:id="402"/>
      <w:bookmarkEnd w:id="403"/>
    </w:p>
    <w:p w14:paraId="1082B46C">
      <w:pPr>
        <w:spacing w:line="360" w:lineRule="auto"/>
        <w:ind w:firstLine="420" w:firstLineChars="200"/>
        <w:jc w:val="left"/>
        <w:rPr>
          <w:color w:val="auto"/>
          <w:highlight w:val="none"/>
          <w:u w:val="single"/>
        </w:rPr>
      </w:pPr>
      <w:r>
        <w:rPr>
          <w:color w:val="auto"/>
          <w:highlight w:val="none"/>
        </w:rPr>
        <w:t>5</w:t>
      </w:r>
      <w:bookmarkStart w:id="404" w:name="_Toc318581164"/>
      <w:bookmarkStart w:id="405" w:name="_Toc304295527"/>
      <w:bookmarkStart w:id="406" w:name="_Toc297123496"/>
      <w:bookmarkStart w:id="407" w:name="_Toc297216155"/>
      <w:bookmarkStart w:id="408" w:name="_Toc300934949"/>
      <w:bookmarkStart w:id="409" w:name="_Toc303539106"/>
      <w:bookmarkStart w:id="410" w:name="_Toc312677997"/>
      <w:r>
        <w:rPr>
          <w:color w:val="auto"/>
          <w:highlight w:val="none"/>
        </w:rPr>
        <w:t xml:space="preserve">.1.1 </w:t>
      </w:r>
      <w:r>
        <w:rPr>
          <w:rFonts w:hint="eastAsia" w:hAnsi="宋体" w:cs="宋体"/>
          <w:color w:val="auto"/>
          <w:highlight w:val="none"/>
        </w:rPr>
        <w:t>特殊质量标准和要求：</w:t>
      </w:r>
      <w:r>
        <w:rPr>
          <w:color w:val="auto"/>
          <w:highlight w:val="none"/>
          <w:u w:val="single"/>
        </w:rPr>
        <w:t xml:space="preserve">  </w:t>
      </w:r>
      <w:r>
        <w:rPr>
          <w:rFonts w:hint="eastAsia"/>
          <w:color w:val="auto"/>
          <w:highlight w:val="none"/>
          <w:u w:val="single"/>
          <w:lang w:val="en-US" w:eastAsia="zh-CN"/>
        </w:rPr>
        <w:t>达到国家施工验收规范合格标准</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4685C40D">
      <w:pPr>
        <w:spacing w:line="360" w:lineRule="auto"/>
        <w:ind w:firstLine="420" w:firstLineChars="200"/>
        <w:jc w:val="left"/>
        <w:rPr>
          <w:color w:val="auto"/>
          <w:highlight w:val="none"/>
        </w:rPr>
      </w:pPr>
      <w:r>
        <w:rPr>
          <w:rFonts w:hint="eastAsia" w:hAnsi="宋体" w:cs="宋体"/>
          <w:color w:val="auto"/>
          <w:highlight w:val="none"/>
        </w:rPr>
        <w:t>关于工程奖项的约定：</w:t>
      </w:r>
      <w:r>
        <w:rPr>
          <w:rFonts w:hint="eastAsia" w:hAnsi="宋体" w:cs="宋体"/>
          <w:color w:val="auto"/>
          <w:highlight w:val="none"/>
          <w:u w:val="single"/>
        </w:rPr>
        <w:t xml:space="preserve">  / </w:t>
      </w:r>
      <w:r>
        <w:rPr>
          <w:color w:val="auto"/>
          <w:highlight w:val="none"/>
          <w:u w:val="single"/>
        </w:rPr>
        <w:t xml:space="preserve"> </w:t>
      </w:r>
      <w:r>
        <w:rPr>
          <w:rFonts w:hint="eastAsia" w:hAnsi="宋体" w:cs="宋体"/>
          <w:color w:val="auto"/>
          <w:highlight w:val="none"/>
        </w:rPr>
        <w:t>。</w:t>
      </w:r>
    </w:p>
    <w:p w14:paraId="21FAA49F">
      <w:pPr>
        <w:spacing w:line="360" w:lineRule="auto"/>
        <w:ind w:firstLine="420" w:firstLineChars="200"/>
        <w:jc w:val="left"/>
        <w:rPr>
          <w:color w:val="auto"/>
          <w:highlight w:val="none"/>
        </w:rPr>
      </w:pPr>
      <w:r>
        <w:rPr>
          <w:color w:val="auto"/>
          <w:highlight w:val="none"/>
        </w:rPr>
        <w:t xml:space="preserve">5.3 </w:t>
      </w:r>
      <w:r>
        <w:rPr>
          <w:rFonts w:hint="eastAsia" w:hAnsi="宋体" w:cs="宋体"/>
          <w:color w:val="auto"/>
          <w:highlight w:val="none"/>
        </w:rPr>
        <w:t>隐蔽工程检查</w:t>
      </w:r>
    </w:p>
    <w:p w14:paraId="18A7EF6F">
      <w:pPr>
        <w:spacing w:line="360" w:lineRule="auto"/>
        <w:ind w:firstLine="420" w:firstLineChars="200"/>
        <w:jc w:val="left"/>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2C7D81A3">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监理人不能按时进行检查时，应提前</w:t>
      </w:r>
      <w:r>
        <w:rPr>
          <w:color w:val="auto"/>
          <w:highlight w:val="none"/>
          <w:u w:val="single"/>
        </w:rPr>
        <w:t xml:space="preserve">   </w:t>
      </w:r>
      <w:r>
        <w:rPr>
          <w:rFonts w:hint="eastAsia"/>
          <w:color w:val="auto"/>
          <w:highlight w:val="none"/>
          <w:u w:val="single"/>
        </w:rPr>
        <w:t>24</w:t>
      </w:r>
      <w:r>
        <w:rPr>
          <w:color w:val="auto"/>
          <w:highlight w:val="none"/>
          <w:u w:val="single"/>
        </w:rPr>
        <w:t xml:space="preserve">    </w:t>
      </w:r>
      <w:r>
        <w:rPr>
          <w:rFonts w:hint="eastAsia" w:hAnsi="宋体" w:cs="宋体"/>
          <w:color w:val="auto"/>
          <w:highlight w:val="none"/>
        </w:rPr>
        <w:t>小时提交书面延期要求。</w:t>
      </w:r>
    </w:p>
    <w:p w14:paraId="1DD2ED7D">
      <w:pPr>
        <w:spacing w:line="360" w:lineRule="auto"/>
        <w:ind w:firstLine="420" w:firstLineChars="200"/>
        <w:jc w:val="left"/>
        <w:rPr>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rPr>
        <w:t>48</w:t>
      </w:r>
      <w:r>
        <w:rPr>
          <w:color w:val="auto"/>
          <w:highlight w:val="none"/>
          <w:u w:val="single"/>
        </w:rPr>
        <w:t xml:space="preserve">     </w:t>
      </w:r>
      <w:r>
        <w:rPr>
          <w:rFonts w:hint="eastAsia" w:hAnsi="宋体" w:cs="宋体"/>
          <w:color w:val="auto"/>
          <w:highlight w:val="none"/>
        </w:rPr>
        <w:t>小时。</w:t>
      </w:r>
    </w:p>
    <w:p w14:paraId="3434F99E">
      <w:pPr>
        <w:pStyle w:val="5"/>
        <w:rPr>
          <w:color w:val="auto"/>
          <w:highlight w:val="none"/>
        </w:rPr>
      </w:pPr>
      <w:bookmarkStart w:id="411" w:name="_Toc373478366"/>
      <w:bookmarkStart w:id="412" w:name="_Toc389065285"/>
      <w:bookmarkStart w:id="413" w:name="_Toc31720"/>
      <w:bookmarkStart w:id="414" w:name="_Toc373227719"/>
      <w:bookmarkStart w:id="415" w:name="_Toc407135221"/>
      <w:bookmarkStart w:id="416" w:name="_Toc351203638"/>
      <w:r>
        <w:rPr>
          <w:color w:val="auto"/>
          <w:highlight w:val="none"/>
        </w:rPr>
        <w:t xml:space="preserve">6. </w:t>
      </w:r>
      <w:r>
        <w:rPr>
          <w:rFonts w:hint="eastAsia" w:cs="黑体"/>
          <w:color w:val="auto"/>
          <w:highlight w:val="none"/>
        </w:rPr>
        <w:t>安全文明施工与环境保护</w:t>
      </w:r>
      <w:bookmarkEnd w:id="411"/>
      <w:bookmarkEnd w:id="412"/>
      <w:bookmarkEnd w:id="413"/>
      <w:bookmarkEnd w:id="414"/>
      <w:bookmarkEnd w:id="415"/>
      <w:bookmarkEnd w:id="416"/>
    </w:p>
    <w:p w14:paraId="28277190">
      <w:pPr>
        <w:pStyle w:val="6"/>
        <w:rPr>
          <w:color w:val="auto"/>
          <w:highlight w:val="none"/>
        </w:rPr>
      </w:pPr>
      <w:bookmarkStart w:id="417" w:name="_Toc389065286"/>
      <w:bookmarkStart w:id="418" w:name="_Toc373478367"/>
      <w:bookmarkStart w:id="419" w:name="_Toc28377"/>
      <w:bookmarkStart w:id="420" w:name="_Toc407135222"/>
      <w:bookmarkStart w:id="421" w:name="_Toc373227720"/>
      <w:r>
        <w:rPr>
          <w:color w:val="auto"/>
          <w:highlight w:val="none"/>
        </w:rPr>
        <w:t xml:space="preserve">6.1 </w:t>
      </w:r>
      <w:r>
        <w:rPr>
          <w:rFonts w:hint="eastAsia" w:cs="黑体"/>
          <w:color w:val="auto"/>
          <w:highlight w:val="none"/>
        </w:rPr>
        <w:t>安全文明施工</w:t>
      </w:r>
      <w:bookmarkEnd w:id="417"/>
      <w:bookmarkEnd w:id="418"/>
      <w:bookmarkEnd w:id="419"/>
      <w:bookmarkEnd w:id="420"/>
      <w:bookmarkEnd w:id="421"/>
    </w:p>
    <w:p w14:paraId="08B8C916">
      <w:pPr>
        <w:spacing w:line="360" w:lineRule="auto"/>
        <w:ind w:firstLine="420" w:firstLineChars="200"/>
        <w:jc w:val="left"/>
        <w:rPr>
          <w:rFonts w:hAnsi="宋体"/>
          <w:color w:val="auto"/>
          <w:highlight w:val="none"/>
        </w:rPr>
      </w:pPr>
      <w:r>
        <w:rPr>
          <w:color w:val="auto"/>
          <w:highlight w:val="none"/>
        </w:rPr>
        <w:t xml:space="preserve">6.1.1 </w:t>
      </w:r>
      <w:r>
        <w:rPr>
          <w:rFonts w:hint="eastAsia" w:hAnsi="宋体" w:cs="宋体"/>
          <w:color w:val="auto"/>
          <w:highlight w:val="none"/>
        </w:rPr>
        <w:t>项目安全生产的达标目标及相应事项的约定：</w:t>
      </w:r>
      <w:r>
        <w:rPr>
          <w:color w:val="auto"/>
          <w:highlight w:val="none"/>
          <w:u w:val="single"/>
        </w:rPr>
        <w:t xml:space="preserve"> </w:t>
      </w:r>
      <w:r>
        <w:rPr>
          <w:rFonts w:hint="eastAsia"/>
          <w:color w:val="auto"/>
          <w:highlight w:val="none"/>
          <w:u w:val="single"/>
        </w:rPr>
        <w:t>承包人应按照法律规定进行施工，开工前做好安全技术交底工作，施工过程中做好各项安全防护措施</w:t>
      </w:r>
      <w:r>
        <w:rPr>
          <w:rFonts w:hint="eastAsia"/>
          <w:color w:val="auto"/>
          <w:highlight w:val="none"/>
          <w:u w:val="single"/>
          <w:lang w:eastAsia="zh-CN"/>
        </w:rPr>
        <w:t>，</w:t>
      </w:r>
      <w:r>
        <w:rPr>
          <w:rFonts w:hint="eastAsia"/>
          <w:color w:val="auto"/>
          <w:highlight w:val="none"/>
          <w:u w:val="single"/>
        </w:rPr>
        <w:t>尽量做到零事故</w:t>
      </w:r>
      <w:r>
        <w:rPr>
          <w:color w:val="auto"/>
          <w:highlight w:val="none"/>
          <w:u w:val="single"/>
        </w:rPr>
        <w:t xml:space="preserve">      </w:t>
      </w:r>
      <w:r>
        <w:rPr>
          <w:rFonts w:hint="eastAsia" w:hAnsi="宋体" w:cs="宋体"/>
          <w:color w:val="auto"/>
          <w:highlight w:val="none"/>
        </w:rPr>
        <w:t>。</w:t>
      </w:r>
    </w:p>
    <w:p w14:paraId="15043D8D">
      <w:pPr>
        <w:spacing w:line="360" w:lineRule="auto"/>
        <w:ind w:firstLine="420" w:firstLineChars="200"/>
        <w:jc w:val="left"/>
        <w:rPr>
          <w:color w:val="auto"/>
          <w:highlight w:val="none"/>
          <w:u w:val="single"/>
        </w:rPr>
      </w:pPr>
      <w:r>
        <w:rPr>
          <w:color w:val="auto"/>
          <w:highlight w:val="none"/>
        </w:rPr>
        <w:t xml:space="preserve">6.1.4 </w:t>
      </w:r>
      <w:r>
        <w:rPr>
          <w:rFonts w:hint="eastAsia" w:hAnsi="宋体" w:cs="宋体"/>
          <w:color w:val="auto"/>
          <w:highlight w:val="none"/>
        </w:rPr>
        <w:t>关于治安保卫的特别约定：</w:t>
      </w:r>
      <w:r>
        <w:rPr>
          <w:rFonts w:hint="eastAsia"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hAnsi="宋体" w:cs="宋体"/>
          <w:color w:val="auto"/>
          <w:highlight w:val="none"/>
          <w:u w:val="single"/>
          <w:lang w:eastAsia="zh-CN"/>
        </w:rPr>
        <w:t>工现</w:t>
      </w:r>
      <w:r>
        <w:rPr>
          <w:rFonts w:hint="eastAsia" w:hAnsi="宋体" w:cs="宋体"/>
          <w:color w:val="auto"/>
          <w:highlight w:val="none"/>
          <w:u w:val="single"/>
        </w:rPr>
        <w:t>场应自费配备消防设备，防止火灾发生。</w:t>
      </w:r>
    </w:p>
    <w:p w14:paraId="19560729">
      <w:pPr>
        <w:spacing w:line="360" w:lineRule="auto"/>
        <w:ind w:firstLine="420" w:firstLineChars="200"/>
        <w:jc w:val="left"/>
        <w:rPr>
          <w:color w:val="auto"/>
          <w:highlight w:val="none"/>
        </w:rPr>
      </w:pPr>
      <w:r>
        <w:rPr>
          <w:rFonts w:hint="eastAsia" w:hAnsi="宋体" w:cs="宋体"/>
          <w:color w:val="auto"/>
          <w:highlight w:val="none"/>
        </w:rPr>
        <w:t>关于编制施工场地治安管理计划的约定：</w:t>
      </w:r>
      <w:r>
        <w:rPr>
          <w:color w:val="auto"/>
          <w:highlight w:val="none"/>
          <w:u w:val="single"/>
        </w:rPr>
        <w:t xml:space="preserve">   </w:t>
      </w:r>
      <w:r>
        <w:rPr>
          <w:rFonts w:hint="eastAsia"/>
          <w:color w:val="auto"/>
          <w:highlight w:val="none"/>
          <w:u w:val="single"/>
        </w:rPr>
        <w:t xml:space="preserve">发包人和承包人应在工程开工后 7 天内共同编制施工场地治安管理计划，并制定应对突发治安事件的紧急预案 </w:t>
      </w:r>
      <w:r>
        <w:rPr>
          <w:color w:val="auto"/>
          <w:highlight w:val="none"/>
          <w:u w:val="single"/>
        </w:rPr>
        <w:t xml:space="preserve"> </w:t>
      </w:r>
      <w:r>
        <w:rPr>
          <w:rFonts w:hint="eastAsia" w:hAnsi="宋体" w:cs="宋体"/>
          <w:color w:val="auto"/>
          <w:highlight w:val="none"/>
        </w:rPr>
        <w:t>。</w:t>
      </w:r>
    </w:p>
    <w:p w14:paraId="06F233C2">
      <w:pPr>
        <w:spacing w:line="360" w:lineRule="auto"/>
        <w:ind w:firstLine="420" w:firstLineChars="200"/>
        <w:jc w:val="left"/>
        <w:rPr>
          <w:color w:val="auto"/>
          <w:highlight w:val="none"/>
        </w:rPr>
      </w:pPr>
      <w:r>
        <w:rPr>
          <w:color w:val="auto"/>
          <w:highlight w:val="none"/>
        </w:rPr>
        <w:t xml:space="preserve">6.1.5 </w:t>
      </w:r>
      <w:r>
        <w:rPr>
          <w:rFonts w:hint="eastAsia" w:hAnsi="宋体" w:cs="宋体"/>
          <w:color w:val="auto"/>
          <w:highlight w:val="none"/>
        </w:rPr>
        <w:t>文明施工</w:t>
      </w:r>
    </w:p>
    <w:p w14:paraId="7569E231">
      <w:pPr>
        <w:spacing w:line="360" w:lineRule="auto"/>
        <w:jc w:val="left"/>
        <w:rPr>
          <w:color w:val="auto"/>
          <w:highlight w:val="none"/>
        </w:rPr>
      </w:pPr>
      <w:r>
        <w:rPr>
          <w:rFonts w:hint="eastAsia" w:hAnsi="宋体" w:cs="宋体"/>
          <w:color w:val="auto"/>
          <w:highlight w:val="none"/>
        </w:rPr>
        <w:t>合同当事人对文明施工的要求：</w:t>
      </w:r>
      <w:r>
        <w:rPr>
          <w:color w:val="auto"/>
          <w:highlight w:val="none"/>
          <w:u w:val="single"/>
        </w:rPr>
        <w:t xml:space="preserve">  </w:t>
      </w:r>
      <w:r>
        <w:rPr>
          <w:rFonts w:hint="eastAsia"/>
          <w:color w:val="auto"/>
          <w:highlight w:val="none"/>
          <w:u w:val="single"/>
        </w:rPr>
        <w:t>承包人在工程施工期间，应当采取措施保持施工现场平整，物料堆放整齐</w:t>
      </w:r>
      <w:r>
        <w:rPr>
          <w:color w:val="auto"/>
          <w:highlight w:val="none"/>
          <w:u w:val="single"/>
        </w:rPr>
        <w:t xml:space="preserve">   </w:t>
      </w:r>
      <w:r>
        <w:rPr>
          <w:rFonts w:hint="eastAsia" w:cs="宋体"/>
          <w:color w:val="auto"/>
          <w:highlight w:val="none"/>
        </w:rPr>
        <w:t>。</w:t>
      </w:r>
    </w:p>
    <w:p w14:paraId="2F74A617">
      <w:pPr>
        <w:spacing w:line="360" w:lineRule="auto"/>
        <w:ind w:firstLine="420" w:firstLineChars="200"/>
        <w:jc w:val="left"/>
        <w:rPr>
          <w:rFonts w:hAnsi="宋体"/>
          <w:color w:val="auto"/>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w:t>
      </w:r>
      <w:r>
        <w:rPr>
          <w:rFonts w:hint="eastAsia" w:hAnsi="宋体" w:cs="宋体"/>
          <w:color w:val="auto"/>
          <w:kern w:val="0"/>
          <w:highlight w:val="none"/>
        </w:rPr>
        <w:t>总额、</w:t>
      </w:r>
      <w:r>
        <w:rPr>
          <w:rFonts w:hAnsi="宋体" w:cs="宋体"/>
          <w:color w:val="auto"/>
          <w:kern w:val="0"/>
          <w:highlight w:val="none"/>
        </w:rPr>
        <w:t>支付比例</w:t>
      </w:r>
      <w:r>
        <w:rPr>
          <w:rFonts w:hint="eastAsia" w:hAnsi="宋体" w:cs="宋体"/>
          <w:color w:val="auto"/>
          <w:kern w:val="0"/>
          <w:highlight w:val="none"/>
        </w:rPr>
        <w:t>、</w:t>
      </w:r>
      <w:r>
        <w:rPr>
          <w:rFonts w:hAnsi="宋体" w:cs="宋体"/>
          <w:color w:val="auto"/>
          <w:kern w:val="0"/>
          <w:highlight w:val="none"/>
        </w:rPr>
        <w:t>支付期限</w:t>
      </w:r>
      <w:r>
        <w:rPr>
          <w:rFonts w:hint="eastAsia" w:hAnsi="宋体" w:cs="宋体"/>
          <w:color w:val="auto"/>
          <w:kern w:val="0"/>
          <w:highlight w:val="none"/>
        </w:rPr>
        <w:t>、转入和结余收回</w:t>
      </w:r>
      <w:r>
        <w:rPr>
          <w:rFonts w:hAnsi="宋体" w:cs="宋体"/>
          <w:color w:val="auto"/>
          <w:kern w:val="0"/>
          <w:highlight w:val="none"/>
        </w:rPr>
        <w:t>的约定：</w:t>
      </w:r>
    </w:p>
    <w:p w14:paraId="14DBA143">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）本合同价款已包含安全文明施工费</w:t>
      </w:r>
      <w:r>
        <w:rPr>
          <w:rFonts w:hAnsi="宋体"/>
          <w:color w:val="auto"/>
          <w:kern w:val="0"/>
          <w:highlight w:val="none"/>
          <w:u w:val="single"/>
        </w:rPr>
        <w:t xml:space="preserve">           </w:t>
      </w:r>
      <w:r>
        <w:rPr>
          <w:rFonts w:hint="eastAsia" w:hAnsi="宋体" w:cs="宋体"/>
          <w:color w:val="auto"/>
          <w:kern w:val="0"/>
          <w:highlight w:val="none"/>
        </w:rPr>
        <w:t>元。</w:t>
      </w:r>
    </w:p>
    <w:p w14:paraId="61A47BF6">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）使用要求：专款专用。具体按</w:t>
      </w:r>
      <w:r>
        <w:rPr>
          <w:rFonts w:hint="eastAsia" w:hAnsi="宋体" w:cs="宋体"/>
          <w:color w:val="auto"/>
          <w:kern w:val="0"/>
          <w:highlight w:val="none"/>
          <w:u w:val="single"/>
        </w:rPr>
        <w:t>《广西壮族自治区建设工程安全文明施工费使用管理细则》（桂建质〔</w:t>
      </w:r>
      <w:r>
        <w:rPr>
          <w:rFonts w:hAnsi="宋体"/>
          <w:color w:val="auto"/>
          <w:kern w:val="0"/>
          <w:highlight w:val="none"/>
          <w:u w:val="single"/>
        </w:rPr>
        <w:t>2015</w:t>
      </w:r>
      <w:r>
        <w:rPr>
          <w:rFonts w:hint="eastAsia" w:hAnsi="宋体" w:cs="宋体"/>
          <w:color w:val="auto"/>
          <w:kern w:val="0"/>
          <w:highlight w:val="none"/>
          <w:u w:val="single"/>
        </w:rPr>
        <w:t>〕</w:t>
      </w:r>
      <w:r>
        <w:rPr>
          <w:rFonts w:hAnsi="宋体"/>
          <w:color w:val="auto"/>
          <w:kern w:val="0"/>
          <w:highlight w:val="none"/>
          <w:u w:val="single"/>
        </w:rPr>
        <w:t>16</w:t>
      </w:r>
      <w:r>
        <w:rPr>
          <w:rFonts w:hint="eastAsia" w:hAnsi="宋体" w:cs="宋体"/>
          <w:color w:val="auto"/>
          <w:kern w:val="0"/>
          <w:highlight w:val="none"/>
          <w:u w:val="single"/>
        </w:rPr>
        <w:t>号）</w:t>
      </w:r>
      <w:r>
        <w:rPr>
          <w:rFonts w:hint="eastAsia" w:hAnsi="宋体" w:cs="宋体"/>
          <w:color w:val="auto"/>
          <w:kern w:val="0"/>
          <w:highlight w:val="none"/>
        </w:rPr>
        <w:t>和</w:t>
      </w:r>
      <w:r>
        <w:rPr>
          <w:rFonts w:hAnsi="宋体"/>
          <w:color w:val="auto"/>
          <w:kern w:val="0"/>
          <w:highlight w:val="none"/>
          <w:u w:val="single"/>
        </w:rPr>
        <w:t xml:space="preserve"> </w:t>
      </w:r>
      <w:r>
        <w:rPr>
          <w:rFonts w:hint="eastAsia" w:hAnsi="宋体"/>
          <w:color w:val="auto"/>
          <w:kern w:val="0"/>
          <w:highlight w:val="none"/>
          <w:u w:val="single"/>
        </w:rPr>
        <w:t>玉林</w:t>
      </w:r>
      <w:r>
        <w:rPr>
          <w:rFonts w:hAnsi="宋体"/>
          <w:color w:val="auto"/>
          <w:kern w:val="0"/>
          <w:highlight w:val="none"/>
          <w:u w:val="single"/>
        </w:rPr>
        <w:t xml:space="preserve"> </w:t>
      </w:r>
      <w:r>
        <w:rPr>
          <w:rFonts w:hint="eastAsia" w:hAnsi="宋体" w:cs="宋体"/>
          <w:color w:val="auto"/>
          <w:kern w:val="0"/>
          <w:highlight w:val="none"/>
        </w:rPr>
        <w:t>市相关规定执行。</w:t>
      </w:r>
    </w:p>
    <w:p w14:paraId="398D8369">
      <w:pPr>
        <w:autoSpaceDE w:val="0"/>
        <w:autoSpaceDN w:val="0"/>
        <w:adjustRightInd w:val="0"/>
        <w:spacing w:line="360" w:lineRule="auto"/>
        <w:ind w:firstLine="420" w:firstLineChars="200"/>
        <w:jc w:val="left"/>
        <w:rPr>
          <w:rFonts w:hint="eastAsia" w:ascii="Times New Roman" w:hAnsi="宋体" w:eastAsia="宋体" w:cs="宋体"/>
          <w:color w:val="auto"/>
          <w:kern w:val="0"/>
          <w:highlight w:val="none"/>
        </w:rPr>
      </w:pPr>
      <w:r>
        <w:rPr>
          <w:rFonts w:hint="eastAsia" w:hAnsi="宋体" w:cs="宋体"/>
          <w:color w:val="auto"/>
          <w:kern w:val="0"/>
          <w:highlight w:val="none"/>
        </w:rPr>
        <w:t>（</w:t>
      </w:r>
      <w:r>
        <w:rPr>
          <w:rFonts w:hAnsi="宋体"/>
          <w:color w:val="auto"/>
          <w:kern w:val="0"/>
          <w:highlight w:val="none"/>
        </w:rPr>
        <w:t>3</w:t>
      </w:r>
      <w:r>
        <w:rPr>
          <w:rFonts w:hint="eastAsia" w:hAnsi="宋体" w:cs="宋体"/>
          <w:color w:val="auto"/>
          <w:kern w:val="0"/>
          <w:highlight w:val="none"/>
        </w:rPr>
        <w:t>）支付约定</w:t>
      </w: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eastAsia="zh-CN"/>
        </w:rPr>
        <w:t>在合同、担保措施生效以及具备实施条件后10个工作日内支付合同</w:t>
      </w:r>
      <w:r>
        <w:rPr>
          <w:rFonts w:hint="eastAsia" w:ascii="Times New Roman" w:hAnsi="宋体" w:eastAsia="宋体" w:cs="宋体"/>
          <w:color w:val="auto"/>
          <w:kern w:val="0"/>
          <w:highlight w:val="none"/>
          <w:lang w:val="en-US" w:eastAsia="zh-CN"/>
        </w:rPr>
        <w:t>金</w:t>
      </w:r>
      <w:r>
        <w:rPr>
          <w:rFonts w:hint="eastAsia" w:ascii="Times New Roman" w:hAnsi="宋体" w:eastAsia="宋体" w:cs="宋体"/>
          <w:color w:val="auto"/>
          <w:kern w:val="0"/>
          <w:highlight w:val="none"/>
          <w:lang w:eastAsia="zh-CN"/>
        </w:rPr>
        <w:t>额的30%作为预付款</w:t>
      </w:r>
      <w:r>
        <w:rPr>
          <w:rFonts w:hint="eastAsia" w:ascii="Times New Roman" w:hAnsi="宋体" w:eastAsia="宋体" w:cs="宋体"/>
          <w:color w:val="auto"/>
          <w:kern w:val="0"/>
          <w:highlight w:val="none"/>
        </w:rPr>
        <w:t>，预付安全文明施工费总额的 （30-50 %），其余部分与进度款同期支付，安全文明施工费预付款在工程进度款累计金额超过合同价的   %时开始起扣，每月从支付给承包商的工程款内按安全文明预付款占合同总价的同一百分比扣回。</w:t>
      </w:r>
    </w:p>
    <w:p w14:paraId="69F38B1D">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（4）建设单位按规定将安全生产费用转入施工单位设立的安全生产费用专户。</w:t>
      </w:r>
    </w:p>
    <w:p w14:paraId="7E2F758E">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（5）工程施工完成后安全生产费用尚有结余的，结余部分由建设单位收回。</w:t>
      </w:r>
    </w:p>
    <w:p w14:paraId="7E4AE29C">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（6）施工单位将安全生产费用使用情况定期报告建设单位和监理单位，并提供相应的材料接受建设行政主管部门对此事项监管。</w:t>
      </w:r>
    </w:p>
    <w:p w14:paraId="4B7FB890">
      <w:pPr>
        <w:autoSpaceDE w:val="0"/>
        <w:autoSpaceDN w:val="0"/>
        <w:adjustRightInd w:val="0"/>
        <w:spacing w:line="360" w:lineRule="auto"/>
        <w:ind w:firstLine="420" w:firstLineChars="200"/>
        <w:jc w:val="left"/>
        <w:rPr>
          <w:rFonts w:hint="eastAsia" w:hAnsi="宋体"/>
          <w:color w:val="auto"/>
          <w:kern w:val="0"/>
          <w:highlight w:val="none"/>
        </w:rPr>
      </w:pPr>
      <w:r>
        <w:rPr>
          <w:rFonts w:hint="eastAsia" w:hAnsi="宋体" w:cs="宋体"/>
          <w:color w:val="auto"/>
          <w:kern w:val="0"/>
          <w:highlight w:val="none"/>
        </w:rPr>
        <w:t>（7）安全生产费用专户：</w:t>
      </w:r>
      <w:r>
        <w:rPr>
          <w:rFonts w:hAnsi="宋体" w:cs="宋体"/>
          <w:color w:val="auto"/>
          <w:kern w:val="0"/>
          <w:highlight w:val="none"/>
        </w:rPr>
        <w:t>××××</w:t>
      </w:r>
      <w:r>
        <w:rPr>
          <w:rFonts w:hint="eastAsia" w:hAnsi="宋体" w:cs="宋体"/>
          <w:color w:val="auto"/>
          <w:kern w:val="0"/>
          <w:highlight w:val="none"/>
        </w:rPr>
        <w:t>公司安全生产费用专户。账号：</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 xml:space="preserve"> 。</w:t>
      </w:r>
    </w:p>
    <w:p w14:paraId="390DF783">
      <w:pPr>
        <w:pStyle w:val="6"/>
        <w:rPr>
          <w:color w:val="auto"/>
          <w:highlight w:val="none"/>
        </w:rPr>
      </w:pPr>
      <w:bookmarkStart w:id="422" w:name="_Toc389065287"/>
      <w:bookmarkStart w:id="423" w:name="_Toc373478368"/>
      <w:bookmarkStart w:id="424" w:name="_Toc373227721"/>
      <w:bookmarkStart w:id="425" w:name="_Toc407135223"/>
      <w:bookmarkStart w:id="426" w:name="_Toc29970"/>
      <w:r>
        <w:rPr>
          <w:color w:val="auto"/>
          <w:highlight w:val="none"/>
        </w:rPr>
        <w:t xml:space="preserve">6.3 </w:t>
      </w:r>
      <w:r>
        <w:rPr>
          <w:rFonts w:hint="eastAsia" w:hAnsi="宋体" w:cs="黑体"/>
          <w:color w:val="auto"/>
          <w:highlight w:val="none"/>
        </w:rPr>
        <w:t>环境保护</w:t>
      </w:r>
      <w:bookmarkEnd w:id="422"/>
      <w:bookmarkEnd w:id="423"/>
      <w:bookmarkEnd w:id="424"/>
      <w:bookmarkEnd w:id="425"/>
      <w:bookmarkEnd w:id="426"/>
    </w:p>
    <w:p w14:paraId="4EE44077">
      <w:pPr>
        <w:spacing w:line="360" w:lineRule="auto"/>
        <w:ind w:firstLine="420" w:firstLineChars="200"/>
        <w:jc w:val="left"/>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115AEB4C">
      <w:pPr>
        <w:spacing w:line="360" w:lineRule="auto"/>
        <w:ind w:firstLine="420" w:firstLineChars="200"/>
        <w:jc w:val="left"/>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404"/>
    <w:bookmarkEnd w:id="405"/>
    <w:bookmarkEnd w:id="406"/>
    <w:bookmarkEnd w:id="407"/>
    <w:bookmarkEnd w:id="408"/>
    <w:bookmarkEnd w:id="409"/>
    <w:bookmarkEnd w:id="410"/>
    <w:p w14:paraId="01562D07">
      <w:pPr>
        <w:pStyle w:val="5"/>
        <w:rPr>
          <w:color w:val="auto"/>
          <w:highlight w:val="none"/>
        </w:rPr>
      </w:pPr>
      <w:bookmarkStart w:id="427" w:name="_Toc373478369"/>
      <w:bookmarkStart w:id="428" w:name="_Toc407135224"/>
      <w:bookmarkStart w:id="429" w:name="_Toc373227722"/>
      <w:bookmarkStart w:id="430" w:name="_Toc17974"/>
      <w:bookmarkStart w:id="431" w:name="_Toc351203639"/>
      <w:bookmarkStart w:id="432" w:name="_Toc389065288"/>
      <w:r>
        <w:rPr>
          <w:color w:val="auto"/>
          <w:highlight w:val="none"/>
        </w:rPr>
        <w:t xml:space="preserve">7. </w:t>
      </w:r>
      <w:r>
        <w:rPr>
          <w:rFonts w:hint="eastAsia" w:cs="黑体"/>
          <w:color w:val="auto"/>
          <w:highlight w:val="none"/>
        </w:rPr>
        <w:t>工期和进度</w:t>
      </w:r>
      <w:bookmarkEnd w:id="427"/>
      <w:bookmarkEnd w:id="428"/>
      <w:bookmarkEnd w:id="429"/>
      <w:bookmarkEnd w:id="430"/>
      <w:bookmarkEnd w:id="431"/>
      <w:bookmarkEnd w:id="432"/>
    </w:p>
    <w:p w14:paraId="7726D140">
      <w:pPr>
        <w:pStyle w:val="6"/>
        <w:rPr>
          <w:color w:val="auto"/>
          <w:highlight w:val="none"/>
        </w:rPr>
      </w:pPr>
      <w:bookmarkStart w:id="433" w:name="_Toc25746"/>
      <w:bookmarkStart w:id="434" w:name="_Toc407135225"/>
      <w:bookmarkStart w:id="435" w:name="_Toc389065289"/>
      <w:bookmarkStart w:id="436" w:name="_Toc373227723"/>
      <w:bookmarkStart w:id="437" w:name="_Toc373478370"/>
      <w:r>
        <w:rPr>
          <w:color w:val="auto"/>
          <w:highlight w:val="none"/>
        </w:rPr>
        <w:t xml:space="preserve">7.1 </w:t>
      </w:r>
      <w:r>
        <w:rPr>
          <w:rFonts w:hint="eastAsia" w:cs="黑体"/>
          <w:color w:val="auto"/>
          <w:highlight w:val="none"/>
        </w:rPr>
        <w:t>施工组织设计</w:t>
      </w:r>
      <w:bookmarkEnd w:id="433"/>
      <w:bookmarkEnd w:id="434"/>
      <w:bookmarkEnd w:id="435"/>
      <w:bookmarkEnd w:id="436"/>
      <w:bookmarkEnd w:id="437"/>
    </w:p>
    <w:p w14:paraId="3E83AA57">
      <w:pPr>
        <w:autoSpaceDE w:val="0"/>
        <w:autoSpaceDN w:val="0"/>
        <w:adjustRightInd w:val="0"/>
        <w:spacing w:line="360" w:lineRule="auto"/>
        <w:ind w:firstLine="420" w:firstLineChars="200"/>
        <w:jc w:val="left"/>
        <w:rPr>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color w:val="auto"/>
          <w:highlight w:val="none"/>
          <w:u w:val="single"/>
        </w:rPr>
        <w:t xml:space="preserve"> </w:t>
      </w:r>
      <w:r>
        <w:rPr>
          <w:rFonts w:hint="eastAsia"/>
          <w:color w:val="auto"/>
          <w:highlight w:val="none"/>
          <w:u w:val="single"/>
        </w:rPr>
        <w:t>1、施工方案；2、施工现场平面布置图；3、施工进度计划和保证措施；4、劳动力及材料供应计划；5、施工机械设备的选用；6、质量保证体系及措施；7、安全生产、文明施工措施；8、环境保护、成本控制措施；9、合同当事人约定的其他内容</w:t>
      </w:r>
      <w:r>
        <w:rPr>
          <w:color w:val="auto"/>
          <w:highlight w:val="none"/>
          <w:u w:val="single"/>
        </w:rPr>
        <w:t xml:space="preserve"> </w:t>
      </w:r>
      <w:r>
        <w:rPr>
          <w:rFonts w:hint="eastAsia" w:hAnsi="宋体" w:cs="宋体"/>
          <w:color w:val="auto"/>
          <w:highlight w:val="none"/>
        </w:rPr>
        <w:t>。</w:t>
      </w:r>
    </w:p>
    <w:p w14:paraId="5A38E168">
      <w:pPr>
        <w:autoSpaceDE w:val="0"/>
        <w:autoSpaceDN w:val="0"/>
        <w:adjustRightInd w:val="0"/>
        <w:spacing w:line="360" w:lineRule="auto"/>
        <w:ind w:firstLine="420" w:firstLineChars="200"/>
        <w:jc w:val="left"/>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5DEECDC8">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承包人提交详细施工组织设计的期限的约定：</w:t>
      </w:r>
      <w:r>
        <w:rPr>
          <w:color w:val="auto"/>
          <w:highlight w:val="none"/>
          <w:u w:val="single"/>
        </w:rPr>
        <w:t xml:space="preserve"> </w:t>
      </w:r>
      <w:r>
        <w:rPr>
          <w:rFonts w:hint="eastAsia"/>
          <w:color w:val="auto"/>
          <w:highlight w:val="none"/>
          <w:u w:val="single"/>
        </w:rPr>
        <w:t>开工前7天内</w:t>
      </w:r>
      <w:r>
        <w:rPr>
          <w:color w:val="auto"/>
          <w:highlight w:val="none"/>
          <w:u w:val="single"/>
        </w:rPr>
        <w:t xml:space="preserve"> </w:t>
      </w:r>
      <w:r>
        <w:rPr>
          <w:rFonts w:hint="eastAsia" w:hAnsi="宋体" w:cs="宋体"/>
          <w:color w:val="auto"/>
          <w:highlight w:val="none"/>
        </w:rPr>
        <w:t>。</w:t>
      </w:r>
    </w:p>
    <w:p w14:paraId="106700B1">
      <w:pPr>
        <w:spacing w:line="360" w:lineRule="auto"/>
        <w:ind w:firstLine="420" w:firstLineChars="200"/>
        <w:jc w:val="left"/>
        <w:rPr>
          <w:color w:val="auto"/>
          <w:highlight w:val="none"/>
        </w:rPr>
      </w:pPr>
      <w:r>
        <w:rPr>
          <w:rFonts w:hint="eastAsia" w:hAnsi="宋体" w:cs="宋体"/>
          <w:color w:val="auto"/>
          <w:highlight w:val="none"/>
        </w:rPr>
        <w:t>发包人和监理人在收到详细的施工组织设计后确认或提出修改意见的期限：</w:t>
      </w:r>
      <w:r>
        <w:rPr>
          <w:color w:val="auto"/>
          <w:highlight w:val="none"/>
          <w:u w:val="single"/>
        </w:rPr>
        <w:t xml:space="preserve"> </w:t>
      </w:r>
      <w:r>
        <w:rPr>
          <w:rFonts w:hint="eastAsia"/>
          <w:color w:val="auto"/>
          <w:highlight w:val="none"/>
          <w:u w:val="single"/>
        </w:rPr>
        <w:t>在承包人提供施工组织设计后七天内审定完毕；若发包人对其施工组织设计提出修改意见的，发包人应在</w:t>
      </w:r>
      <w:r>
        <w:rPr>
          <w:rFonts w:hint="eastAsia"/>
          <w:color w:val="auto"/>
          <w:highlight w:val="none"/>
          <w:u w:val="single"/>
          <w:lang w:val="en-US" w:eastAsia="zh-CN"/>
        </w:rPr>
        <w:t>3</w:t>
      </w:r>
      <w:r>
        <w:rPr>
          <w:rFonts w:hint="eastAsia"/>
          <w:color w:val="auto"/>
          <w:highlight w:val="none"/>
          <w:u w:val="single"/>
        </w:rPr>
        <w:t>日内对承包人修正的施工组织设计进行最后审定，逾期视为确认</w:t>
      </w:r>
      <w:r>
        <w:rPr>
          <w:color w:val="auto"/>
          <w:highlight w:val="none"/>
          <w:u w:val="single"/>
        </w:rPr>
        <w:t xml:space="preserve"> </w:t>
      </w:r>
      <w:r>
        <w:rPr>
          <w:rFonts w:hint="eastAsia" w:hAnsi="宋体" w:cs="宋体"/>
          <w:color w:val="auto"/>
          <w:highlight w:val="none"/>
        </w:rPr>
        <w:t>。</w:t>
      </w:r>
    </w:p>
    <w:p w14:paraId="5350F07D">
      <w:pPr>
        <w:pStyle w:val="6"/>
        <w:rPr>
          <w:color w:val="auto"/>
          <w:highlight w:val="none"/>
        </w:rPr>
      </w:pPr>
      <w:bookmarkStart w:id="438" w:name="_Toc23703"/>
      <w:bookmarkStart w:id="439" w:name="_Toc373227724"/>
      <w:bookmarkStart w:id="440" w:name="_Toc389065290"/>
      <w:bookmarkStart w:id="441" w:name="_Toc373478371"/>
      <w:bookmarkStart w:id="442" w:name="_Toc407135226"/>
      <w:r>
        <w:rPr>
          <w:color w:val="auto"/>
          <w:highlight w:val="none"/>
        </w:rPr>
        <w:t>7</w:t>
      </w:r>
      <w:bookmarkStart w:id="443" w:name="_Toc300934966"/>
      <w:bookmarkStart w:id="444" w:name="_Toc297216173"/>
      <w:bookmarkStart w:id="445" w:name="_Toc304295541"/>
      <w:bookmarkStart w:id="446" w:name="_Toc312678005"/>
      <w:bookmarkStart w:id="447" w:name="_Toc303539123"/>
      <w:bookmarkStart w:id="448" w:name="_Toc312677479"/>
      <w:bookmarkStart w:id="449" w:name="_Toc297123514"/>
      <w:r>
        <w:rPr>
          <w:color w:val="auto"/>
          <w:highlight w:val="none"/>
        </w:rPr>
        <w:t xml:space="preserve">.2 </w:t>
      </w:r>
      <w:r>
        <w:rPr>
          <w:rFonts w:hint="eastAsia" w:cs="黑体"/>
          <w:color w:val="auto"/>
          <w:highlight w:val="none"/>
        </w:rPr>
        <w:t>施工进度计划</w:t>
      </w:r>
      <w:bookmarkEnd w:id="438"/>
      <w:bookmarkEnd w:id="439"/>
      <w:bookmarkEnd w:id="440"/>
      <w:bookmarkEnd w:id="441"/>
      <w:bookmarkEnd w:id="442"/>
    </w:p>
    <w:p w14:paraId="048B6FC2">
      <w:pPr>
        <w:spacing w:line="360" w:lineRule="auto"/>
        <w:ind w:firstLine="420" w:firstLineChars="200"/>
        <w:jc w:val="left"/>
        <w:rPr>
          <w:color w:val="auto"/>
          <w:highlight w:val="none"/>
        </w:rPr>
      </w:pPr>
      <w:r>
        <w:rPr>
          <w:color w:val="auto"/>
          <w:highlight w:val="none"/>
        </w:rPr>
        <w:t xml:space="preserve">7.2.2 </w:t>
      </w:r>
      <w:r>
        <w:rPr>
          <w:rFonts w:hint="eastAsia" w:hAnsi="宋体" w:cs="宋体"/>
          <w:color w:val="auto"/>
          <w:highlight w:val="none"/>
        </w:rPr>
        <w:t>施工进度计划的修订</w:t>
      </w:r>
    </w:p>
    <w:p w14:paraId="2AFC74A9">
      <w:pPr>
        <w:spacing w:line="360" w:lineRule="auto"/>
        <w:ind w:firstLine="420" w:firstLineChars="200"/>
        <w:jc w:val="left"/>
        <w:rPr>
          <w:color w:val="auto"/>
          <w:highlight w:val="none"/>
        </w:rPr>
      </w:pPr>
      <w:r>
        <w:rPr>
          <w:rFonts w:hint="eastAsia" w:hAnsi="宋体" w:cs="宋体"/>
          <w:color w:val="auto"/>
          <w:highlight w:val="none"/>
        </w:rPr>
        <w:t>发包人和监理人在收到修订的施工进度计划后确认或提出修改意见的期限：</w:t>
      </w:r>
      <w:r>
        <w:rPr>
          <w:color w:val="auto"/>
          <w:highlight w:val="none"/>
          <w:u w:val="single"/>
        </w:rPr>
        <w:t xml:space="preserve"> </w:t>
      </w:r>
      <w:r>
        <w:rPr>
          <w:rFonts w:hint="eastAsia"/>
          <w:color w:val="auto"/>
          <w:highlight w:val="none"/>
          <w:u w:val="single"/>
        </w:rPr>
        <w:t xml:space="preserve">发包人和监理人应在收到修订的施工进度计划之日起 </w:t>
      </w:r>
      <w:r>
        <w:rPr>
          <w:rFonts w:hint="eastAsia"/>
          <w:color w:val="auto"/>
          <w:highlight w:val="none"/>
          <w:u w:val="single"/>
          <w:lang w:val="en-US" w:eastAsia="zh-CN"/>
        </w:rPr>
        <w:t>3</w:t>
      </w:r>
      <w:r>
        <w:rPr>
          <w:rFonts w:hint="eastAsia"/>
          <w:color w:val="auto"/>
          <w:highlight w:val="none"/>
          <w:u w:val="single"/>
        </w:rPr>
        <w:t>天内完成审核和批准或提出修改意见</w:t>
      </w:r>
      <w:r>
        <w:rPr>
          <w:color w:val="auto"/>
          <w:highlight w:val="none"/>
          <w:u w:val="single"/>
        </w:rPr>
        <w:t xml:space="preserve"> </w:t>
      </w:r>
      <w:r>
        <w:rPr>
          <w:rFonts w:hint="eastAsia" w:hAnsi="宋体" w:cs="宋体"/>
          <w:color w:val="auto"/>
          <w:highlight w:val="none"/>
        </w:rPr>
        <w:t>。</w:t>
      </w:r>
    </w:p>
    <w:p w14:paraId="702D9403">
      <w:pPr>
        <w:pStyle w:val="6"/>
        <w:rPr>
          <w:color w:val="auto"/>
          <w:highlight w:val="none"/>
        </w:rPr>
      </w:pPr>
      <w:bookmarkStart w:id="450" w:name="_Toc373227725"/>
      <w:bookmarkStart w:id="451" w:name="_Toc407135227"/>
      <w:bookmarkStart w:id="452" w:name="_Toc373478372"/>
      <w:bookmarkStart w:id="453" w:name="_Toc389065291"/>
      <w:bookmarkStart w:id="454" w:name="_Toc8682"/>
      <w:r>
        <w:rPr>
          <w:color w:val="auto"/>
          <w:highlight w:val="none"/>
        </w:rPr>
        <w:t xml:space="preserve">7.3 </w:t>
      </w:r>
      <w:r>
        <w:rPr>
          <w:rFonts w:hint="eastAsia" w:cs="黑体"/>
          <w:color w:val="auto"/>
          <w:highlight w:val="none"/>
        </w:rPr>
        <w:t>开工</w:t>
      </w:r>
      <w:bookmarkEnd w:id="450"/>
      <w:bookmarkEnd w:id="451"/>
      <w:bookmarkEnd w:id="452"/>
      <w:bookmarkEnd w:id="453"/>
      <w:bookmarkEnd w:id="454"/>
    </w:p>
    <w:p w14:paraId="6A72952F">
      <w:pPr>
        <w:spacing w:line="360" w:lineRule="auto"/>
        <w:ind w:firstLine="420" w:firstLineChars="200"/>
        <w:jc w:val="left"/>
        <w:rPr>
          <w:color w:val="auto"/>
          <w:highlight w:val="none"/>
        </w:rPr>
      </w:pPr>
      <w:r>
        <w:rPr>
          <w:color w:val="auto"/>
          <w:highlight w:val="none"/>
        </w:rPr>
        <w:t xml:space="preserve">7.3.1 </w:t>
      </w:r>
      <w:r>
        <w:rPr>
          <w:rFonts w:hint="eastAsia" w:hAnsi="宋体" w:cs="宋体"/>
          <w:color w:val="auto"/>
          <w:highlight w:val="none"/>
        </w:rPr>
        <w:t>开工准备</w:t>
      </w:r>
    </w:p>
    <w:p w14:paraId="6A828EF7">
      <w:pPr>
        <w:spacing w:line="360" w:lineRule="auto"/>
        <w:ind w:firstLine="426"/>
        <w:jc w:val="left"/>
        <w:rPr>
          <w:color w:val="auto"/>
          <w:highlight w:val="none"/>
          <w:u w:val="single"/>
        </w:rPr>
      </w:pPr>
      <w:r>
        <w:rPr>
          <w:rFonts w:hint="eastAsia" w:hAnsi="宋体" w:cs="宋体"/>
          <w:color w:val="auto"/>
          <w:highlight w:val="none"/>
        </w:rPr>
        <w:t>关于承包人提交</w:t>
      </w:r>
      <w:r>
        <w:rPr>
          <w:rFonts w:hint="eastAsia" w:hAnsi="宋体" w:cs="宋体"/>
          <w:color w:val="auto"/>
          <w:kern w:val="0"/>
          <w:highlight w:val="none"/>
        </w:rPr>
        <w:t>工程开工报审表的期限：</w:t>
      </w:r>
      <w:r>
        <w:rPr>
          <w:color w:val="auto"/>
          <w:highlight w:val="none"/>
          <w:u w:val="single"/>
        </w:rPr>
        <w:t xml:space="preserve">  </w:t>
      </w:r>
      <w:r>
        <w:rPr>
          <w:rFonts w:hint="eastAsia"/>
          <w:color w:val="auto"/>
          <w:highlight w:val="none"/>
          <w:u w:val="single"/>
        </w:rPr>
        <w:t>按照第 7.1 款〔施工组织设计〕约定的期限</w:t>
      </w:r>
      <w:r>
        <w:rPr>
          <w:color w:val="auto"/>
          <w:highlight w:val="none"/>
          <w:u w:val="single"/>
        </w:rPr>
        <w:t xml:space="preserve">  </w:t>
      </w:r>
      <w:r>
        <w:rPr>
          <w:rFonts w:hint="eastAsia" w:hAnsi="宋体" w:cs="宋体"/>
          <w:color w:val="auto"/>
          <w:highlight w:val="none"/>
        </w:rPr>
        <w:t>。</w:t>
      </w:r>
    </w:p>
    <w:p w14:paraId="14331223">
      <w:pPr>
        <w:spacing w:line="360" w:lineRule="auto"/>
        <w:ind w:firstLine="426"/>
        <w:jc w:val="left"/>
        <w:rPr>
          <w:color w:val="auto"/>
          <w:highlight w:val="none"/>
          <w:u w:val="single"/>
        </w:rPr>
      </w:pPr>
      <w:r>
        <w:rPr>
          <w:rFonts w:hint="eastAsia" w:hAnsi="宋体" w:cs="宋体"/>
          <w:color w:val="auto"/>
          <w:highlight w:val="none"/>
        </w:rPr>
        <w:t>关于发包人应完成的其他开工准备工作及期限：</w:t>
      </w:r>
      <w:r>
        <w:rPr>
          <w:color w:val="auto"/>
          <w:highlight w:val="none"/>
          <w:u w:val="single"/>
        </w:rPr>
        <w:t xml:space="preserve">  </w:t>
      </w:r>
      <w:r>
        <w:rPr>
          <w:rFonts w:hint="eastAsia"/>
          <w:color w:val="auto"/>
          <w:highlight w:val="none"/>
          <w:u w:val="single"/>
        </w:rPr>
        <w:t>开工前能满足正常施工要求</w:t>
      </w:r>
      <w:r>
        <w:rPr>
          <w:color w:val="auto"/>
          <w:highlight w:val="none"/>
          <w:u w:val="single"/>
        </w:rPr>
        <w:t xml:space="preserve">         </w:t>
      </w:r>
      <w:r>
        <w:rPr>
          <w:rFonts w:hint="eastAsia" w:hAnsi="宋体" w:cs="宋体"/>
          <w:color w:val="auto"/>
          <w:highlight w:val="none"/>
        </w:rPr>
        <w:t>。</w:t>
      </w:r>
    </w:p>
    <w:p w14:paraId="40BB250D">
      <w:pPr>
        <w:spacing w:line="360" w:lineRule="auto"/>
        <w:ind w:firstLine="420" w:firstLineChars="200"/>
        <w:jc w:val="left"/>
        <w:rPr>
          <w:color w:val="auto"/>
          <w:highlight w:val="none"/>
          <w:u w:val="single"/>
        </w:rPr>
      </w:pPr>
      <w:r>
        <w:rPr>
          <w:rFonts w:hint="eastAsia" w:hAnsi="宋体" w:cs="宋体"/>
          <w:color w:val="auto"/>
          <w:highlight w:val="none"/>
        </w:rPr>
        <w:t>关于承包人应完成的其他开工准备工作及期限：</w:t>
      </w:r>
      <w:r>
        <w:rPr>
          <w:color w:val="auto"/>
          <w:highlight w:val="none"/>
          <w:u w:val="single"/>
        </w:rPr>
        <w:t xml:space="preserve">   </w:t>
      </w:r>
      <w:r>
        <w:rPr>
          <w:rFonts w:hint="eastAsia"/>
          <w:color w:val="auto"/>
          <w:highlight w:val="none"/>
          <w:u w:val="single"/>
        </w:rPr>
        <w:t>按本合同通用条款第 7.3.1 项执行</w:t>
      </w:r>
      <w:r>
        <w:rPr>
          <w:color w:val="auto"/>
          <w:highlight w:val="none"/>
          <w:u w:val="single"/>
        </w:rPr>
        <w:t xml:space="preserve">  </w:t>
      </w:r>
      <w:r>
        <w:rPr>
          <w:rFonts w:hint="eastAsia" w:hAnsi="宋体" w:cs="宋体"/>
          <w:color w:val="auto"/>
          <w:highlight w:val="none"/>
        </w:rPr>
        <w:t>。</w:t>
      </w:r>
    </w:p>
    <w:p w14:paraId="36C335C1">
      <w:pPr>
        <w:spacing w:line="360" w:lineRule="auto"/>
        <w:ind w:firstLine="420" w:firstLineChars="200"/>
        <w:jc w:val="left"/>
        <w:rPr>
          <w:color w:val="auto"/>
          <w:highlight w:val="none"/>
        </w:rPr>
      </w:pPr>
      <w:r>
        <w:rPr>
          <w:color w:val="auto"/>
          <w:highlight w:val="none"/>
        </w:rPr>
        <w:t xml:space="preserve">7.3.2 </w:t>
      </w:r>
      <w:r>
        <w:rPr>
          <w:rFonts w:hint="eastAsia" w:hAnsi="宋体" w:cs="宋体"/>
          <w:color w:val="auto"/>
          <w:highlight w:val="none"/>
        </w:rPr>
        <w:t>开工通知</w:t>
      </w:r>
    </w:p>
    <w:p w14:paraId="7C2DCE68">
      <w:pPr>
        <w:spacing w:line="360" w:lineRule="auto"/>
        <w:ind w:firstLine="420" w:firstLineChars="200"/>
        <w:jc w:val="left"/>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 xml:space="preserve">  </w:t>
      </w:r>
      <w:r>
        <w:rPr>
          <w:rFonts w:hint="eastAsia"/>
          <w:color w:val="auto"/>
          <w:highlight w:val="none"/>
          <w:u w:val="single"/>
          <w:lang w:val="en-US" w:eastAsia="zh-CN"/>
        </w:rPr>
        <w:t>60</w:t>
      </w:r>
      <w:r>
        <w:rPr>
          <w:color w:val="auto"/>
          <w:highlight w:val="none"/>
          <w:u w:val="single"/>
        </w:rPr>
        <w:t xml:space="preserve">  </w:t>
      </w:r>
      <w:r>
        <w:rPr>
          <w:rFonts w:hint="eastAsia" w:hAnsi="宋体" w:cs="宋体"/>
          <w:color w:val="auto"/>
          <w:highlight w:val="none"/>
        </w:rPr>
        <w:t>天内发出开工通知的，承包人有权提出价格调整要求，或者解除合同。</w:t>
      </w:r>
    </w:p>
    <w:bookmarkEnd w:id="443"/>
    <w:bookmarkEnd w:id="444"/>
    <w:bookmarkEnd w:id="445"/>
    <w:bookmarkEnd w:id="446"/>
    <w:bookmarkEnd w:id="447"/>
    <w:bookmarkEnd w:id="448"/>
    <w:bookmarkEnd w:id="449"/>
    <w:p w14:paraId="4CC01694">
      <w:pPr>
        <w:pStyle w:val="6"/>
        <w:rPr>
          <w:color w:val="auto"/>
          <w:highlight w:val="none"/>
        </w:rPr>
      </w:pPr>
      <w:bookmarkStart w:id="455" w:name="_Toc407135228"/>
      <w:bookmarkStart w:id="456" w:name="_Toc373478373"/>
      <w:bookmarkStart w:id="457" w:name="_Toc5563"/>
      <w:bookmarkStart w:id="458" w:name="_Toc389065292"/>
      <w:bookmarkStart w:id="459" w:name="_Toc373227726"/>
      <w:r>
        <w:rPr>
          <w:color w:val="auto"/>
          <w:highlight w:val="none"/>
        </w:rPr>
        <w:t xml:space="preserve">7.4 </w:t>
      </w:r>
      <w:r>
        <w:rPr>
          <w:rFonts w:hint="eastAsia" w:hAnsi="宋体" w:cs="黑体"/>
          <w:color w:val="auto"/>
          <w:highlight w:val="none"/>
        </w:rPr>
        <w:t>测量放线</w:t>
      </w:r>
      <w:bookmarkEnd w:id="455"/>
      <w:bookmarkEnd w:id="456"/>
      <w:bookmarkEnd w:id="457"/>
      <w:bookmarkEnd w:id="458"/>
      <w:bookmarkEnd w:id="459"/>
    </w:p>
    <w:p w14:paraId="551CDFB2">
      <w:pPr>
        <w:spacing w:line="360" w:lineRule="auto"/>
        <w:ind w:firstLine="420" w:firstLineChars="200"/>
        <w:jc w:val="left"/>
        <w:rPr>
          <w:rFonts w:hAnsi="宋体"/>
          <w:color w:val="auto"/>
          <w:highlight w:val="none"/>
        </w:rPr>
      </w:pPr>
      <w:r>
        <w:rPr>
          <w:color w:val="auto"/>
          <w:highlight w:val="none"/>
        </w:rPr>
        <w:t>7.4.1</w:t>
      </w:r>
      <w:r>
        <w:rPr>
          <w:rFonts w:hint="eastAsia" w:hAnsi="宋体" w:cs="宋体"/>
          <w:color w:val="auto"/>
          <w:highlight w:val="none"/>
        </w:rPr>
        <w:t>发包人通过监理人向承包人提供测量基准点、基准线和水准点及其书面资料的期限：</w:t>
      </w:r>
    </w:p>
    <w:p w14:paraId="1E8B4499">
      <w:pPr>
        <w:spacing w:line="360" w:lineRule="auto"/>
        <w:jc w:val="left"/>
        <w:rPr>
          <w:color w:val="auto"/>
          <w:highlight w:val="none"/>
          <w:u w:val="single"/>
        </w:rPr>
      </w:pPr>
      <w:r>
        <w:rPr>
          <w:color w:val="auto"/>
          <w:highlight w:val="none"/>
          <w:u w:val="single"/>
        </w:rPr>
        <w:t xml:space="preserve"> </w:t>
      </w:r>
      <w:r>
        <w:rPr>
          <w:rFonts w:hint="eastAsia"/>
          <w:color w:val="auto"/>
          <w:highlight w:val="none"/>
          <w:u w:val="single"/>
        </w:rPr>
        <w:t>开工日期前 7 天</w:t>
      </w:r>
      <w:r>
        <w:rPr>
          <w:color w:val="auto"/>
          <w:highlight w:val="none"/>
          <w:u w:val="single"/>
        </w:rPr>
        <w:t xml:space="preserve">  </w:t>
      </w:r>
      <w:r>
        <w:rPr>
          <w:rFonts w:hint="eastAsia" w:hAnsi="宋体" w:cs="宋体"/>
          <w:color w:val="auto"/>
          <w:highlight w:val="none"/>
        </w:rPr>
        <w:t>。</w:t>
      </w:r>
    </w:p>
    <w:p w14:paraId="54D6BBA0">
      <w:pPr>
        <w:pStyle w:val="6"/>
        <w:rPr>
          <w:color w:val="auto"/>
          <w:highlight w:val="none"/>
        </w:rPr>
      </w:pPr>
      <w:bookmarkStart w:id="460" w:name="_Toc373478374"/>
      <w:bookmarkStart w:id="461" w:name="_Toc389065293"/>
      <w:bookmarkStart w:id="462" w:name="_Toc373227727"/>
      <w:bookmarkStart w:id="463" w:name="_Toc407135229"/>
      <w:bookmarkStart w:id="464" w:name="_Toc19229"/>
      <w:r>
        <w:rPr>
          <w:color w:val="auto"/>
          <w:highlight w:val="none"/>
        </w:rPr>
        <w:t>7</w:t>
      </w:r>
      <w:bookmarkStart w:id="465" w:name="_Toc304295546"/>
      <w:bookmarkStart w:id="466" w:name="_Toc303539125"/>
      <w:bookmarkStart w:id="467" w:name="_Toc297123516"/>
      <w:bookmarkStart w:id="468" w:name="_Toc312677484"/>
      <w:bookmarkStart w:id="469" w:name="_Toc297216175"/>
      <w:bookmarkStart w:id="470" w:name="_Toc300934968"/>
      <w:bookmarkStart w:id="471" w:name="_Toc312678010"/>
      <w:r>
        <w:rPr>
          <w:color w:val="auto"/>
          <w:highlight w:val="none"/>
        </w:rPr>
        <w:t xml:space="preserve">.5 </w:t>
      </w:r>
      <w:r>
        <w:rPr>
          <w:rFonts w:hint="eastAsia" w:hAnsi="宋体" w:cs="黑体"/>
          <w:color w:val="auto"/>
          <w:highlight w:val="none"/>
        </w:rPr>
        <w:t>工期延误</w:t>
      </w:r>
      <w:bookmarkEnd w:id="460"/>
      <w:bookmarkEnd w:id="461"/>
      <w:bookmarkEnd w:id="462"/>
      <w:bookmarkEnd w:id="463"/>
      <w:bookmarkEnd w:id="464"/>
    </w:p>
    <w:bookmarkEnd w:id="465"/>
    <w:bookmarkEnd w:id="466"/>
    <w:bookmarkEnd w:id="467"/>
    <w:bookmarkEnd w:id="468"/>
    <w:bookmarkEnd w:id="469"/>
    <w:bookmarkEnd w:id="470"/>
    <w:bookmarkEnd w:id="471"/>
    <w:p w14:paraId="672D8ADC">
      <w:pPr>
        <w:spacing w:line="360" w:lineRule="auto"/>
        <w:ind w:firstLine="420" w:firstLineChars="200"/>
        <w:jc w:val="left"/>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51B75E0B">
      <w:pPr>
        <w:spacing w:line="360" w:lineRule="auto"/>
        <w:ind w:firstLine="420" w:firstLineChars="200"/>
        <w:jc w:val="left"/>
        <w:rPr>
          <w:rFonts w:hint="eastAsia" w:ascii="宋体" w:hAnsi="宋体" w:eastAsia="宋体" w:cs="宋体"/>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ascii="宋体" w:hAnsi="宋体" w:eastAsia="宋体" w:cs="宋体"/>
          <w:color w:val="auto"/>
          <w:highlight w:val="none"/>
          <w:u w:val="single"/>
        </w:rPr>
        <w:t>①重大图纸变更影响</w:t>
      </w:r>
      <w:r>
        <w:rPr>
          <w:rFonts w:hint="eastAsia" w:ascii="宋体" w:hAnsi="宋体" w:eastAsia="宋体" w:cs="宋体"/>
          <w:color w:val="auto"/>
          <w:highlight w:val="none"/>
          <w:u w:val="single"/>
          <w:lang w:eastAsia="zh-CN"/>
        </w:rPr>
        <w:t>关键</w:t>
      </w:r>
      <w:r>
        <w:rPr>
          <w:rFonts w:hint="eastAsia" w:ascii="宋体" w:hAnsi="宋体" w:eastAsia="宋体" w:cs="宋体"/>
          <w:color w:val="auto"/>
          <w:highlight w:val="none"/>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p>
    <w:p w14:paraId="13602EB9">
      <w:pPr>
        <w:spacing w:line="360" w:lineRule="auto"/>
        <w:ind w:firstLine="420" w:firstLineChars="200"/>
        <w:jc w:val="left"/>
        <w:rPr>
          <w:color w:val="auto"/>
          <w:highlight w:val="none"/>
        </w:rPr>
      </w:pPr>
      <w:r>
        <w:rPr>
          <w:color w:val="auto"/>
          <w:highlight w:val="none"/>
        </w:rPr>
        <w:t>7</w:t>
      </w:r>
      <w:bookmarkStart w:id="472" w:name="_Toc312678012"/>
      <w:bookmarkStart w:id="473" w:name="_Toc318581169"/>
      <w:bookmarkStart w:id="474" w:name="_Toc312677486"/>
      <w:bookmarkStart w:id="475" w:name="_Toc300934970"/>
      <w:bookmarkStart w:id="476" w:name="_Toc297216177"/>
      <w:bookmarkStart w:id="477" w:name="_Toc304295548"/>
      <w:bookmarkStart w:id="478" w:name="_Toc297123518"/>
      <w:bookmarkStart w:id="479" w:name="_Toc303539127"/>
      <w:r>
        <w:rPr>
          <w:color w:val="auto"/>
          <w:highlight w:val="none"/>
        </w:rPr>
        <w:t xml:space="preserve">.5.2 </w:t>
      </w:r>
      <w:r>
        <w:rPr>
          <w:rFonts w:hint="eastAsia" w:hAnsi="宋体" w:cs="宋体"/>
          <w:color w:val="auto"/>
          <w:highlight w:val="none"/>
        </w:rPr>
        <w:t>因承包人原因导致工期延误</w:t>
      </w:r>
    </w:p>
    <w:bookmarkEnd w:id="472"/>
    <w:bookmarkEnd w:id="473"/>
    <w:bookmarkEnd w:id="474"/>
    <w:p w14:paraId="4E1CE00C">
      <w:pPr>
        <w:spacing w:line="360" w:lineRule="auto"/>
        <w:ind w:firstLine="420" w:firstLineChars="200"/>
        <w:jc w:val="left"/>
        <w:rPr>
          <w:color w:val="auto"/>
          <w:highlight w:val="none"/>
        </w:rPr>
      </w:pPr>
      <w:r>
        <w:rPr>
          <w:rFonts w:hint="eastAsia" w:hAnsi="宋体" w:cs="宋体"/>
          <w:color w:val="auto"/>
          <w:highlight w:val="none"/>
        </w:rPr>
        <w:t>双方约定经监理工程师确认，工期相应顺延的情况：</w:t>
      </w:r>
      <w:r>
        <w:rPr>
          <w:rFonts w:hint="eastAsia" w:ascii="宋体" w:hAnsi="宋体" w:eastAsia="宋体" w:cs="宋体"/>
          <w:color w:val="auto"/>
          <w:highlight w:val="none"/>
          <w:u w:val="single"/>
        </w:rPr>
        <w:t xml:space="preserve"> ①重大图纸变更影响</w:t>
      </w:r>
      <w:r>
        <w:rPr>
          <w:rFonts w:hint="eastAsia" w:ascii="宋体" w:hAnsi="宋体" w:eastAsia="宋体" w:cs="宋体"/>
          <w:color w:val="auto"/>
          <w:highlight w:val="none"/>
          <w:u w:val="single"/>
          <w:lang w:eastAsia="zh-CN"/>
        </w:rPr>
        <w:t>关键</w:t>
      </w:r>
      <w:r>
        <w:rPr>
          <w:rFonts w:hint="eastAsia" w:ascii="宋体" w:hAnsi="宋体" w:eastAsia="宋体" w:cs="宋体"/>
          <w:color w:val="auto"/>
          <w:highlight w:val="none"/>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p>
    <w:bookmarkEnd w:id="475"/>
    <w:bookmarkEnd w:id="476"/>
    <w:bookmarkEnd w:id="477"/>
    <w:bookmarkEnd w:id="478"/>
    <w:bookmarkEnd w:id="479"/>
    <w:p w14:paraId="16C6C06B">
      <w:pPr>
        <w:pStyle w:val="6"/>
        <w:rPr>
          <w:rFonts w:hint="eastAsia" w:ascii="Times New Roman" w:hAnsi="宋体" w:eastAsia="宋体" w:cs="宋体"/>
          <w:b w:val="0"/>
          <w:bCs w:val="0"/>
          <w:color w:val="auto"/>
          <w:kern w:val="2"/>
          <w:sz w:val="21"/>
          <w:szCs w:val="24"/>
          <w:highlight w:val="none"/>
          <w:u w:val="single"/>
          <w:lang w:val="en-US" w:eastAsia="zh-CN" w:bidi="ar-SA"/>
        </w:rPr>
      </w:pPr>
      <w:bookmarkStart w:id="480" w:name="_Toc373478375"/>
      <w:bookmarkStart w:id="481" w:name="_Toc389065294"/>
      <w:bookmarkStart w:id="482" w:name="_Toc9193"/>
      <w:bookmarkStart w:id="483" w:name="_Toc373227728"/>
      <w:bookmarkStart w:id="484" w:name="_Toc407135230"/>
      <w:r>
        <w:rPr>
          <w:rFonts w:hint="eastAsia" w:ascii="Times New Roman" w:hAnsi="宋体" w:eastAsia="宋体" w:cs="宋体"/>
          <w:b w:val="0"/>
          <w:bCs w:val="0"/>
          <w:color w:val="auto"/>
          <w:kern w:val="2"/>
          <w:sz w:val="21"/>
          <w:szCs w:val="24"/>
          <w:highlight w:val="none"/>
          <w:lang w:val="en-US" w:eastAsia="zh-CN" w:bidi="ar-SA"/>
        </w:rPr>
        <w:t>因</w:t>
      </w:r>
      <w:bookmarkStart w:id="485" w:name="_Toc312678013"/>
      <w:bookmarkStart w:id="486" w:name="_Toc318581170"/>
      <w:bookmarkStart w:id="487" w:name="_Toc312677487"/>
      <w:r>
        <w:rPr>
          <w:rFonts w:hint="eastAsia" w:ascii="Times New Roman" w:hAnsi="宋体" w:eastAsia="宋体" w:cs="宋体"/>
          <w:b w:val="0"/>
          <w:bCs w:val="0"/>
          <w:color w:val="auto"/>
          <w:kern w:val="2"/>
          <w:sz w:val="21"/>
          <w:szCs w:val="24"/>
          <w:highlight w:val="none"/>
          <w:lang w:val="en-US" w:eastAsia="zh-CN" w:bidi="ar-SA"/>
        </w:rPr>
        <w:t>承包人原因造成工期延误，逾期竣工违约金的计算方法为：</w:t>
      </w:r>
      <w:r>
        <w:rPr>
          <w:rFonts w:hint="eastAsia" w:ascii="Times New Roman" w:hAnsi="宋体" w:eastAsia="宋体" w:cs="宋体"/>
          <w:b w:val="0"/>
          <w:bCs w:val="0"/>
          <w:color w:val="auto"/>
          <w:kern w:val="2"/>
          <w:sz w:val="21"/>
          <w:szCs w:val="24"/>
          <w:highlight w:val="none"/>
          <w:u w:val="single"/>
          <w:lang w:val="en-US" w:eastAsia="zh-CN" w:bidi="ar-SA"/>
        </w:rPr>
        <w:t>按逾期竣工的单项工程处违约金，每延误一天，按单项工程应支付给承包人的结算造价的万分之</w:t>
      </w:r>
      <w:r>
        <w:rPr>
          <w:rFonts w:hint="eastAsia" w:hAnsi="宋体" w:eastAsia="宋体" w:cs="宋体"/>
          <w:b w:val="0"/>
          <w:bCs w:val="0"/>
          <w:color w:val="auto"/>
          <w:kern w:val="2"/>
          <w:sz w:val="21"/>
          <w:szCs w:val="24"/>
          <w:highlight w:val="none"/>
          <w:u w:val="single"/>
          <w:lang w:val="en-US" w:eastAsia="zh-CN" w:bidi="ar-SA"/>
        </w:rPr>
        <w:t>一</w:t>
      </w:r>
      <w:r>
        <w:rPr>
          <w:rFonts w:hint="eastAsia" w:ascii="Times New Roman" w:hAnsi="宋体" w:eastAsia="宋体" w:cs="宋体"/>
          <w:b w:val="0"/>
          <w:bCs w:val="0"/>
          <w:color w:val="auto"/>
          <w:kern w:val="2"/>
          <w:sz w:val="21"/>
          <w:szCs w:val="24"/>
          <w:highlight w:val="none"/>
          <w:u w:val="single"/>
          <w:lang w:val="en-US" w:eastAsia="zh-CN" w:bidi="ar-SA"/>
        </w:rPr>
        <w:t>处以违约金，违约金直接从结算款中扣除。误期时间指从规定竣工日期起直到实际竣工日期止的天数（扣除发包人批准顺延的工期）。</w:t>
      </w:r>
      <w:bookmarkEnd w:id="485"/>
      <w:bookmarkEnd w:id="486"/>
      <w:bookmarkEnd w:id="487"/>
    </w:p>
    <w:p w14:paraId="67B28F5E">
      <w:pPr>
        <w:pStyle w:val="6"/>
        <w:rPr>
          <w:rFonts w:hint="eastAsia" w:ascii="Times New Roman" w:hAnsi="宋体" w:eastAsia="宋体" w:cs="宋体"/>
          <w:b w:val="0"/>
          <w:bCs w:val="0"/>
          <w:color w:val="auto"/>
          <w:kern w:val="2"/>
          <w:sz w:val="21"/>
          <w:szCs w:val="24"/>
          <w:highlight w:val="none"/>
          <w:u w:val="single"/>
          <w:lang w:val="en-US" w:eastAsia="zh-CN" w:bidi="ar-SA"/>
        </w:rPr>
      </w:pPr>
      <w:r>
        <w:rPr>
          <w:rFonts w:hint="eastAsia" w:ascii="Times New Roman" w:hAnsi="宋体" w:eastAsia="宋体" w:cs="宋体"/>
          <w:b w:val="0"/>
          <w:bCs w:val="0"/>
          <w:color w:val="auto"/>
          <w:kern w:val="2"/>
          <w:sz w:val="21"/>
          <w:szCs w:val="24"/>
          <w:highlight w:val="none"/>
          <w:lang w:val="en-US" w:eastAsia="zh-CN" w:bidi="ar-SA"/>
        </w:rPr>
        <w:t>因承包人原因造成工期延误，逾期竣工违约金的上限：</w:t>
      </w:r>
      <w:r>
        <w:rPr>
          <w:rFonts w:hint="eastAsia" w:ascii="Times New Roman" w:hAnsi="宋体" w:eastAsia="宋体" w:cs="宋体"/>
          <w:b w:val="0"/>
          <w:bCs w:val="0"/>
          <w:color w:val="auto"/>
          <w:kern w:val="2"/>
          <w:sz w:val="21"/>
          <w:szCs w:val="24"/>
          <w:highlight w:val="none"/>
          <w:u w:val="single"/>
          <w:lang w:val="en-US" w:eastAsia="zh-CN" w:bidi="ar-SA"/>
        </w:rPr>
        <w:t>逾期竣工的单项工程结算造价扣除发包人材料价款、暂估专业工程、暂列金额后的</w:t>
      </w:r>
      <w:r>
        <w:rPr>
          <w:rFonts w:hint="eastAsia" w:hAnsi="宋体" w:eastAsia="宋体" w:cs="宋体"/>
          <w:b w:val="0"/>
          <w:bCs w:val="0"/>
          <w:color w:val="auto"/>
          <w:kern w:val="2"/>
          <w:sz w:val="21"/>
          <w:szCs w:val="24"/>
          <w:highlight w:val="none"/>
          <w:u w:val="single"/>
          <w:lang w:val="en-US" w:eastAsia="zh-CN" w:bidi="ar-SA"/>
        </w:rPr>
        <w:t>1</w:t>
      </w:r>
      <w:r>
        <w:rPr>
          <w:rFonts w:hint="eastAsia" w:ascii="Times New Roman" w:hAnsi="宋体" w:eastAsia="宋体" w:cs="宋体"/>
          <w:b w:val="0"/>
          <w:bCs w:val="0"/>
          <w:color w:val="auto"/>
          <w:kern w:val="2"/>
          <w:sz w:val="21"/>
          <w:szCs w:val="24"/>
          <w:highlight w:val="none"/>
          <w:u w:val="single"/>
          <w:lang w:val="en-US" w:eastAsia="zh-CN" w:bidi="ar-SA"/>
        </w:rPr>
        <w:t>%</w:t>
      </w:r>
      <w:r>
        <w:rPr>
          <w:rFonts w:hint="eastAsia" w:hAnsi="宋体" w:eastAsia="宋体" w:cs="宋体"/>
          <w:b w:val="0"/>
          <w:bCs w:val="0"/>
          <w:color w:val="auto"/>
          <w:kern w:val="2"/>
          <w:sz w:val="21"/>
          <w:szCs w:val="24"/>
          <w:highlight w:val="none"/>
          <w:u w:val="none"/>
          <w:lang w:val="en-US" w:eastAsia="zh-CN" w:bidi="ar-SA"/>
        </w:rPr>
        <w:t>。</w:t>
      </w:r>
    </w:p>
    <w:p w14:paraId="6F152C32">
      <w:pPr>
        <w:pStyle w:val="6"/>
        <w:rPr>
          <w:color w:val="auto"/>
          <w:highlight w:val="none"/>
        </w:rPr>
      </w:pPr>
      <w:r>
        <w:rPr>
          <w:color w:val="auto"/>
          <w:highlight w:val="none"/>
        </w:rPr>
        <w:t>7</w:t>
      </w:r>
      <w:bookmarkStart w:id="488" w:name="_Toc304295549"/>
      <w:bookmarkStart w:id="489" w:name="_Toc297123519"/>
      <w:bookmarkStart w:id="490" w:name="_Toc300934971"/>
      <w:bookmarkStart w:id="491" w:name="_Toc297216178"/>
      <w:bookmarkStart w:id="492" w:name="_Toc312678015"/>
      <w:bookmarkStart w:id="493" w:name="_Toc303539128"/>
      <w:r>
        <w:rPr>
          <w:color w:val="auto"/>
          <w:highlight w:val="none"/>
        </w:rPr>
        <w:t xml:space="preserve">.6 </w:t>
      </w:r>
      <w:r>
        <w:rPr>
          <w:rFonts w:hint="eastAsia" w:cs="黑体"/>
          <w:color w:val="auto"/>
          <w:highlight w:val="none"/>
        </w:rPr>
        <w:t>不</w:t>
      </w:r>
      <w:bookmarkEnd w:id="488"/>
      <w:bookmarkEnd w:id="489"/>
      <w:bookmarkEnd w:id="490"/>
      <w:bookmarkEnd w:id="491"/>
      <w:bookmarkEnd w:id="492"/>
      <w:bookmarkEnd w:id="493"/>
      <w:r>
        <w:rPr>
          <w:rFonts w:hint="eastAsia" w:cs="黑体"/>
          <w:color w:val="auto"/>
          <w:highlight w:val="none"/>
        </w:rPr>
        <w:t>利物质条件</w:t>
      </w:r>
      <w:bookmarkEnd w:id="480"/>
      <w:bookmarkEnd w:id="481"/>
      <w:bookmarkEnd w:id="482"/>
      <w:bookmarkEnd w:id="483"/>
      <w:bookmarkEnd w:id="484"/>
    </w:p>
    <w:p w14:paraId="299A80EB">
      <w:pPr>
        <w:spacing w:line="360" w:lineRule="auto"/>
        <w:ind w:firstLine="420" w:firstLineChars="200"/>
        <w:jc w:val="left"/>
        <w:rPr>
          <w:color w:val="auto"/>
          <w:highlight w:val="none"/>
          <w:u w:val="single"/>
        </w:rPr>
      </w:pPr>
      <w:bookmarkStart w:id="494" w:name="_Toc297216179"/>
      <w:bookmarkStart w:id="495" w:name="_Toc300934972"/>
      <w:bookmarkStart w:id="496" w:name="_Toc304295550"/>
      <w:bookmarkStart w:id="497" w:name="_Toc312678016"/>
      <w:bookmarkStart w:id="498" w:name="_Toc318581172"/>
      <w:bookmarkStart w:id="499" w:name="_Toc297123520"/>
      <w:bookmarkStart w:id="500" w:name="_Toc303539129"/>
      <w:r>
        <w:rPr>
          <w:rFonts w:hint="eastAsia" w:hAnsi="宋体" w:cs="宋体"/>
          <w:color w:val="auto"/>
          <w:highlight w:val="none"/>
        </w:rPr>
        <w:t>不利物质条件的其他情形和有关约定：</w:t>
      </w:r>
      <w:r>
        <w:rPr>
          <w:color w:val="auto"/>
          <w:highlight w:val="none"/>
          <w:u w:val="single"/>
        </w:rPr>
        <w:t xml:space="preserve">  </w:t>
      </w:r>
      <w:r>
        <w:rPr>
          <w:rFonts w:hint="eastAsia"/>
          <w:color w:val="auto"/>
          <w:highlight w:val="none"/>
          <w:u w:val="single"/>
          <w:lang w:val="en-US" w:eastAsia="zh-CN"/>
        </w:rPr>
        <w:t xml:space="preserve">无   </w:t>
      </w:r>
      <w:r>
        <w:rPr>
          <w:rFonts w:hint="eastAsia" w:hAnsi="宋体" w:cs="宋体"/>
          <w:color w:val="auto"/>
          <w:highlight w:val="none"/>
        </w:rPr>
        <w:t>。</w:t>
      </w:r>
    </w:p>
    <w:bookmarkEnd w:id="494"/>
    <w:bookmarkEnd w:id="495"/>
    <w:bookmarkEnd w:id="496"/>
    <w:bookmarkEnd w:id="497"/>
    <w:bookmarkEnd w:id="498"/>
    <w:bookmarkEnd w:id="499"/>
    <w:bookmarkEnd w:id="500"/>
    <w:p w14:paraId="3AD33C71">
      <w:pPr>
        <w:pStyle w:val="6"/>
        <w:rPr>
          <w:color w:val="auto"/>
          <w:highlight w:val="none"/>
        </w:rPr>
      </w:pPr>
      <w:bookmarkStart w:id="501" w:name="_Toc373478376"/>
      <w:bookmarkStart w:id="502" w:name="_Toc407135231"/>
      <w:bookmarkStart w:id="503" w:name="_Toc27737"/>
      <w:bookmarkStart w:id="504" w:name="_Toc389065295"/>
      <w:bookmarkStart w:id="505" w:name="_Toc373227729"/>
      <w:r>
        <w:rPr>
          <w:color w:val="auto"/>
          <w:highlight w:val="none"/>
        </w:rPr>
        <w:t>7</w:t>
      </w:r>
      <w:bookmarkStart w:id="506" w:name="_Toc300934973"/>
      <w:bookmarkStart w:id="507" w:name="_Toc303539130"/>
      <w:bookmarkStart w:id="508" w:name="_Toc297216180"/>
      <w:bookmarkStart w:id="509" w:name="_Toc304295551"/>
      <w:bookmarkStart w:id="510" w:name="_Toc297123521"/>
      <w:bookmarkStart w:id="511" w:name="_Toc312678017"/>
      <w:r>
        <w:rPr>
          <w:color w:val="auto"/>
          <w:highlight w:val="none"/>
        </w:rPr>
        <w:t xml:space="preserve">.7 </w:t>
      </w:r>
      <w:r>
        <w:rPr>
          <w:rFonts w:hint="eastAsia" w:cs="黑体"/>
          <w:color w:val="auto"/>
          <w:highlight w:val="none"/>
        </w:rPr>
        <w:t>异常恶劣的气候条件</w:t>
      </w:r>
      <w:bookmarkEnd w:id="501"/>
      <w:bookmarkEnd w:id="502"/>
      <w:bookmarkEnd w:id="503"/>
      <w:bookmarkEnd w:id="504"/>
      <w:bookmarkEnd w:id="505"/>
    </w:p>
    <w:bookmarkEnd w:id="506"/>
    <w:bookmarkEnd w:id="507"/>
    <w:bookmarkEnd w:id="508"/>
    <w:bookmarkEnd w:id="509"/>
    <w:bookmarkEnd w:id="510"/>
    <w:bookmarkEnd w:id="511"/>
    <w:p w14:paraId="586F0AC9">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发包人和承包人同意以下情形视为异常恶劣的气候条件：</w:t>
      </w:r>
      <w:bookmarkStart w:id="512" w:name="_Toc407135232"/>
      <w:bookmarkStart w:id="513" w:name="_Toc373227730"/>
      <w:bookmarkStart w:id="514" w:name="_Toc389065296"/>
      <w:bookmarkStart w:id="515" w:name="_Toc373478377"/>
    </w:p>
    <w:p w14:paraId="4F6A9C93">
      <w:pPr>
        <w:numPr>
          <w:ilvl w:val="0"/>
          <w:numId w:val="10"/>
        </w:num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（6）级以上的地震；</w:t>
      </w:r>
    </w:p>
    <w:p w14:paraId="6FDFE5C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（2）（10）级以上的持续（3）天的大风；</w:t>
      </w:r>
    </w:p>
    <w:p w14:paraId="386D0D5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 日降雨量大于50mm的雨日超过1天；</w:t>
      </w:r>
    </w:p>
    <w:p w14:paraId="360719D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（4）（50）年以上未发生过，持续（3）天的高温天气；</w:t>
      </w:r>
    </w:p>
    <w:p w14:paraId="5D71CEE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（5）（50）年以上未发生过，持续（3）天的严寒天气；</w:t>
      </w:r>
    </w:p>
    <w:p w14:paraId="371EEF6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（6）（50）年以上未发生过的洪水；</w:t>
      </w:r>
    </w:p>
    <w:p w14:paraId="0C6D6DFB">
      <w:pPr>
        <w:pStyle w:val="6"/>
        <w:rPr>
          <w:rFonts w:hint="eastAsia" w:ascii="宋体" w:hAnsi="宋体" w:eastAsia="宋体" w:cs="宋体"/>
          <w:b w:val="0"/>
          <w:bCs w:val="0"/>
          <w:color w:val="auto"/>
          <w:sz w:val="21"/>
          <w:szCs w:val="21"/>
          <w:highlight w:val="none"/>
          <w:lang w:val="en-US"/>
        </w:rPr>
      </w:pPr>
      <w:bookmarkStart w:id="516" w:name="_Toc8571"/>
      <w:r>
        <w:rPr>
          <w:rFonts w:hint="eastAsia" w:ascii="宋体" w:hAnsi="宋体" w:eastAsia="宋体" w:cs="宋体"/>
          <w:b w:val="0"/>
          <w:bCs w:val="0"/>
          <w:color w:val="auto"/>
          <w:sz w:val="21"/>
          <w:szCs w:val="21"/>
          <w:highlight w:val="none"/>
          <w:lang w:val="en-US"/>
        </w:rPr>
        <w:t xml:space="preserve">7.9 </w:t>
      </w:r>
      <w:r>
        <w:rPr>
          <w:rFonts w:hint="eastAsia" w:ascii="宋体" w:hAnsi="宋体" w:eastAsia="宋体" w:cs="宋体"/>
          <w:b w:val="0"/>
          <w:bCs w:val="0"/>
          <w:color w:val="auto"/>
          <w:sz w:val="21"/>
          <w:szCs w:val="21"/>
          <w:highlight w:val="none"/>
        </w:rPr>
        <w:t>提前竣工</w:t>
      </w:r>
      <w:bookmarkEnd w:id="512"/>
      <w:bookmarkEnd w:id="513"/>
      <w:bookmarkEnd w:id="514"/>
      <w:bookmarkEnd w:id="515"/>
      <w:bookmarkEnd w:id="516"/>
    </w:p>
    <w:p w14:paraId="4D631F01">
      <w:pPr>
        <w:spacing w:line="360" w:lineRule="auto"/>
        <w:ind w:firstLine="420" w:firstLineChars="200"/>
        <w:jc w:val="left"/>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6FFF72E">
      <w:pPr>
        <w:pStyle w:val="5"/>
        <w:rPr>
          <w:color w:val="auto"/>
          <w:highlight w:val="none"/>
        </w:rPr>
      </w:pPr>
      <w:bookmarkStart w:id="517" w:name="_Toc500"/>
      <w:bookmarkStart w:id="518" w:name="_Toc351203640"/>
      <w:bookmarkStart w:id="519" w:name="_Toc389065297"/>
      <w:bookmarkStart w:id="520" w:name="_Toc373478378"/>
      <w:bookmarkStart w:id="521" w:name="_Toc373227731"/>
      <w:bookmarkStart w:id="522" w:name="_Toc407135233"/>
      <w:r>
        <w:rPr>
          <w:color w:val="auto"/>
          <w:highlight w:val="none"/>
        </w:rPr>
        <w:t xml:space="preserve">8. </w:t>
      </w:r>
      <w:r>
        <w:rPr>
          <w:rFonts w:hint="eastAsia" w:cs="黑体"/>
          <w:color w:val="auto"/>
          <w:highlight w:val="none"/>
        </w:rPr>
        <w:t>材料与设备</w:t>
      </w:r>
      <w:bookmarkEnd w:id="517"/>
      <w:bookmarkEnd w:id="518"/>
      <w:bookmarkEnd w:id="519"/>
      <w:bookmarkEnd w:id="520"/>
      <w:bookmarkEnd w:id="521"/>
      <w:bookmarkEnd w:id="522"/>
    </w:p>
    <w:bookmarkEnd w:id="389"/>
    <w:bookmarkEnd w:id="390"/>
    <w:bookmarkEnd w:id="391"/>
    <w:bookmarkEnd w:id="392"/>
    <w:bookmarkEnd w:id="393"/>
    <w:bookmarkEnd w:id="394"/>
    <w:bookmarkEnd w:id="395"/>
    <w:bookmarkEnd w:id="396"/>
    <w:bookmarkEnd w:id="397"/>
    <w:bookmarkEnd w:id="398"/>
    <w:p w14:paraId="42B621C8">
      <w:pPr>
        <w:pStyle w:val="6"/>
        <w:rPr>
          <w:color w:val="auto"/>
          <w:highlight w:val="none"/>
        </w:rPr>
      </w:pPr>
      <w:bookmarkStart w:id="523" w:name="_Toc389065298"/>
      <w:bookmarkStart w:id="524" w:name="_Toc373478379"/>
      <w:bookmarkStart w:id="525" w:name="_Toc407135234"/>
      <w:bookmarkStart w:id="526" w:name="_Toc373227732"/>
      <w:bookmarkStart w:id="527" w:name="_Toc8034"/>
      <w:r>
        <w:rPr>
          <w:color w:val="auto"/>
          <w:highlight w:val="none"/>
        </w:rPr>
        <w:t xml:space="preserve">8.2 </w:t>
      </w:r>
      <w:r>
        <w:rPr>
          <w:rFonts w:hint="eastAsia" w:cs="黑体"/>
          <w:color w:val="auto"/>
          <w:highlight w:val="none"/>
        </w:rPr>
        <w:t>承包人采购材料与工程设备</w:t>
      </w:r>
      <w:bookmarkEnd w:id="523"/>
      <w:bookmarkEnd w:id="524"/>
      <w:bookmarkEnd w:id="525"/>
      <w:bookmarkEnd w:id="526"/>
      <w:bookmarkEnd w:id="527"/>
    </w:p>
    <w:p w14:paraId="28F3AABB">
      <w:pPr>
        <w:autoSpaceDE w:val="0"/>
        <w:autoSpaceDN w:val="0"/>
        <w:adjustRightInd w:val="0"/>
        <w:spacing w:line="360" w:lineRule="auto"/>
        <w:ind w:firstLine="420" w:firstLineChars="200"/>
        <w:jc w:val="left"/>
        <w:rPr>
          <w:color w:val="auto"/>
          <w:kern w:val="0"/>
          <w:highlight w:val="none"/>
        </w:rPr>
      </w:pPr>
      <w:r>
        <w:rPr>
          <w:rFonts w:hint="eastAsia" w:cs="宋体"/>
          <w:color w:val="auto"/>
          <w:kern w:val="0"/>
          <w:highlight w:val="none"/>
        </w:rPr>
        <w:t>除已标价工程量清单《发包人提供主要材料和工程设备一览表》（表</w:t>
      </w:r>
      <w:r>
        <w:rPr>
          <w:color w:val="auto"/>
          <w:kern w:val="0"/>
          <w:highlight w:val="none"/>
        </w:rPr>
        <w:t>-21</w:t>
      </w:r>
      <w:r>
        <w:rPr>
          <w:rFonts w:hint="eastAsia" w:cs="宋体"/>
          <w:color w:val="auto"/>
          <w:kern w:val="0"/>
          <w:highlight w:val="none"/>
        </w:rPr>
        <w:t>）中明确的材料、工程设备外，由承包人负责材料和工程设备的采购、运输和保管。《</w:t>
      </w:r>
      <w:r>
        <w:rPr>
          <w:rFonts w:hint="eastAsia" w:cs="宋体"/>
          <w:color w:val="auto"/>
          <w:highlight w:val="none"/>
        </w:rPr>
        <w:t>承包人提供主要材料和工程设备一览表》</w:t>
      </w:r>
      <w:r>
        <w:rPr>
          <w:rFonts w:hint="eastAsia" w:cs="宋体"/>
          <w:color w:val="auto"/>
          <w:kern w:val="0"/>
          <w:highlight w:val="none"/>
        </w:rPr>
        <w:t>（表</w:t>
      </w:r>
      <w:r>
        <w:rPr>
          <w:color w:val="auto"/>
          <w:kern w:val="0"/>
          <w:highlight w:val="none"/>
        </w:rPr>
        <w:t>-22</w:t>
      </w:r>
      <w:r>
        <w:rPr>
          <w:rFonts w:hint="eastAsia" w:cs="宋体"/>
          <w:color w:val="auto"/>
          <w:kern w:val="0"/>
          <w:highlight w:val="none"/>
        </w:rPr>
        <w:t>）见已标价工程量清单。</w:t>
      </w:r>
    </w:p>
    <w:p w14:paraId="6287608C">
      <w:pPr>
        <w:pStyle w:val="6"/>
        <w:rPr>
          <w:color w:val="auto"/>
          <w:highlight w:val="none"/>
        </w:rPr>
      </w:pPr>
      <w:bookmarkStart w:id="528" w:name="_Toc3900"/>
      <w:bookmarkStart w:id="529" w:name="_Toc389065299"/>
      <w:bookmarkStart w:id="530" w:name="_Toc407135235"/>
      <w:bookmarkStart w:id="531" w:name="_Toc373227733"/>
      <w:bookmarkStart w:id="532" w:name="_Toc373478380"/>
      <w:r>
        <w:rPr>
          <w:color w:val="auto"/>
          <w:highlight w:val="none"/>
        </w:rPr>
        <w:t>8</w:t>
      </w:r>
      <w:bookmarkStart w:id="533" w:name="_Toc297048353"/>
      <w:bookmarkStart w:id="534" w:name="_Toc297120467"/>
      <w:bookmarkStart w:id="535" w:name="_Toc296503167"/>
      <w:bookmarkStart w:id="536" w:name="_Toc303539136"/>
      <w:bookmarkStart w:id="537" w:name="_Toc300934979"/>
      <w:bookmarkStart w:id="538" w:name="_Toc312678019"/>
      <w:bookmarkStart w:id="539" w:name="_Toc297123527"/>
      <w:bookmarkStart w:id="540" w:name="_Toc296891207"/>
      <w:bookmarkStart w:id="541" w:name="_Toc280868654"/>
      <w:bookmarkStart w:id="542" w:name="_Toc296346668"/>
      <w:bookmarkStart w:id="543" w:name="_Toc304295556"/>
      <w:bookmarkStart w:id="544" w:name="_Toc297216186"/>
      <w:bookmarkStart w:id="545" w:name="_Toc296890995"/>
      <w:bookmarkStart w:id="546" w:name="_Toc296944506"/>
      <w:bookmarkStart w:id="547" w:name="_Toc296347166"/>
      <w:bookmarkStart w:id="548" w:name="_Toc292559877"/>
      <w:bookmarkStart w:id="549" w:name="_Toc312677493"/>
      <w:bookmarkStart w:id="550" w:name="_Toc292559372"/>
      <w:bookmarkStart w:id="551" w:name="_Toc280868655"/>
      <w:bookmarkStart w:id="552" w:name="_Toc267251424"/>
      <w:bookmarkStart w:id="553" w:name="_Toc280868656"/>
      <w:r>
        <w:rPr>
          <w:color w:val="auto"/>
          <w:highlight w:val="none"/>
        </w:rPr>
        <w:t xml:space="preserve">.4 </w:t>
      </w:r>
      <w:r>
        <w:rPr>
          <w:rFonts w:hint="eastAsia" w:cs="黑体"/>
          <w:color w:val="auto"/>
          <w:highlight w:val="none"/>
        </w:rPr>
        <w:t>材料与工程设备的保管与使用</w:t>
      </w:r>
      <w:bookmarkEnd w:id="528"/>
      <w:bookmarkEnd w:id="529"/>
      <w:bookmarkEnd w:id="530"/>
      <w:bookmarkEnd w:id="531"/>
      <w:bookmarkEnd w:id="532"/>
    </w:p>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75AC7C70">
      <w:pPr>
        <w:spacing w:line="360" w:lineRule="auto"/>
        <w:ind w:firstLine="420" w:firstLineChars="200"/>
        <w:jc w:val="left"/>
        <w:rPr>
          <w:color w:val="auto"/>
          <w:highlight w:val="none"/>
          <w:u w:val="single"/>
        </w:rPr>
      </w:pPr>
      <w:r>
        <w:rPr>
          <w:color w:val="auto"/>
          <w:highlight w:val="none"/>
        </w:rPr>
        <w:t>8</w:t>
      </w:r>
      <w:bookmarkStart w:id="554" w:name="_Toc292559878"/>
      <w:bookmarkStart w:id="555" w:name="_Toc292559373"/>
      <w:bookmarkStart w:id="556" w:name="_Toc303539137"/>
      <w:bookmarkStart w:id="557" w:name="_Toc296347167"/>
      <w:bookmarkStart w:id="558" w:name="_Toc300934980"/>
      <w:bookmarkStart w:id="559" w:name="_Toc312678020"/>
      <w:bookmarkStart w:id="560" w:name="_Toc296890996"/>
      <w:bookmarkStart w:id="561" w:name="_Toc312677494"/>
      <w:bookmarkStart w:id="562" w:name="_Toc296346669"/>
      <w:bookmarkStart w:id="563" w:name="_Toc297123528"/>
      <w:bookmarkStart w:id="564" w:name="_Toc304295557"/>
      <w:bookmarkStart w:id="565" w:name="_Toc318581173"/>
      <w:bookmarkStart w:id="566" w:name="_Toc296503168"/>
      <w:bookmarkStart w:id="567" w:name="_Toc296944507"/>
      <w:bookmarkStart w:id="568" w:name="_Toc297120468"/>
      <w:bookmarkStart w:id="569" w:name="_Toc297048354"/>
      <w:bookmarkStart w:id="570" w:name="_Toc296891208"/>
      <w:bookmarkStart w:id="571" w:name="_Toc297216187"/>
      <w:r>
        <w:rPr>
          <w:color w:val="auto"/>
          <w:highlight w:val="none"/>
        </w:rPr>
        <w:t>.4.1</w:t>
      </w:r>
      <w:r>
        <w:rPr>
          <w:rFonts w:hint="eastAsia" w:hAnsi="宋体" w:cs="宋体"/>
          <w:color w:val="auto"/>
          <w:highlight w:val="none"/>
        </w:rPr>
        <w:t>发包人供应的材料设备的保管费用的承担：</w:t>
      </w:r>
      <w:r>
        <w:rPr>
          <w:color w:val="auto"/>
          <w:highlight w:val="none"/>
          <w:u w:val="single"/>
        </w:rPr>
        <w:t xml:space="preserve"> </w:t>
      </w:r>
      <w:r>
        <w:rPr>
          <w:rFonts w:hint="eastAsia"/>
          <w:color w:val="auto"/>
          <w:highlight w:val="none"/>
          <w:u w:val="single"/>
        </w:rPr>
        <w:t>发包人供应的材料和工程设备，承包人清点后由承包人妥善保管，保管费用由发包人承担</w:t>
      </w:r>
      <w:r>
        <w:rPr>
          <w:color w:val="auto"/>
          <w:highlight w:val="none"/>
          <w:u w:val="single"/>
        </w:rPr>
        <w:t xml:space="preserve"> </w:t>
      </w:r>
      <w:r>
        <w:rPr>
          <w:rFonts w:hint="eastAsia" w:hAnsi="宋体" w:cs="宋体"/>
          <w:color w:val="auto"/>
          <w:highlight w:val="none"/>
        </w:rPr>
        <w:t>。</w:t>
      </w:r>
    </w:p>
    <w:bookmarkEnd w:id="554"/>
    <w:bookmarkEnd w:id="555"/>
    <w:p w14:paraId="23F6F0D0">
      <w:pPr>
        <w:pStyle w:val="6"/>
        <w:rPr>
          <w:color w:val="auto"/>
          <w:highlight w:val="none"/>
        </w:rPr>
      </w:pPr>
      <w:bookmarkStart w:id="572" w:name="_Toc389065300"/>
      <w:bookmarkStart w:id="573" w:name="_Toc373227734"/>
      <w:bookmarkStart w:id="574" w:name="_Toc407135236"/>
      <w:bookmarkStart w:id="575" w:name="_Toc6450"/>
      <w:bookmarkStart w:id="576" w:name="_Toc373478381"/>
      <w:r>
        <w:rPr>
          <w:color w:val="auto"/>
          <w:highlight w:val="none"/>
        </w:rPr>
        <w:t xml:space="preserve">8.6 </w:t>
      </w:r>
      <w:r>
        <w:rPr>
          <w:rFonts w:hint="eastAsia" w:hAnsi="宋体" w:cs="黑体"/>
          <w:color w:val="auto"/>
          <w:highlight w:val="none"/>
        </w:rPr>
        <w:t>样品</w:t>
      </w:r>
      <w:bookmarkEnd w:id="572"/>
      <w:bookmarkEnd w:id="573"/>
      <w:bookmarkEnd w:id="574"/>
      <w:bookmarkEnd w:id="575"/>
      <w:bookmarkEnd w:id="576"/>
    </w:p>
    <w:p w14:paraId="71CB3881">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7E38195B">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097BBF0C">
      <w:pPr>
        <w:pStyle w:val="6"/>
        <w:rPr>
          <w:color w:val="auto"/>
          <w:highlight w:val="none"/>
        </w:rPr>
      </w:pPr>
      <w:bookmarkStart w:id="577" w:name="_Toc6385"/>
      <w:bookmarkStart w:id="578" w:name="_Toc373478382"/>
      <w:bookmarkStart w:id="579" w:name="_Toc373227735"/>
      <w:bookmarkStart w:id="580" w:name="_Toc389065301"/>
      <w:bookmarkStart w:id="581" w:name="_Toc407135237"/>
      <w:r>
        <w:rPr>
          <w:color w:val="auto"/>
          <w:highlight w:val="none"/>
        </w:rPr>
        <w:t xml:space="preserve">8.8 </w:t>
      </w:r>
      <w:r>
        <w:rPr>
          <w:rFonts w:hint="eastAsia" w:cs="黑体"/>
          <w:color w:val="auto"/>
          <w:highlight w:val="none"/>
        </w:rPr>
        <w:t>施工设备和临时设施</w:t>
      </w:r>
      <w:bookmarkEnd w:id="577"/>
      <w:bookmarkEnd w:id="578"/>
      <w:bookmarkEnd w:id="579"/>
      <w:bookmarkEnd w:id="580"/>
      <w:bookmarkEnd w:id="581"/>
    </w:p>
    <w:p w14:paraId="417C6DB8">
      <w:pPr>
        <w:autoSpaceDE w:val="0"/>
        <w:autoSpaceDN w:val="0"/>
        <w:adjustRightInd w:val="0"/>
        <w:spacing w:line="360" w:lineRule="auto"/>
        <w:ind w:firstLine="420" w:firstLineChars="200"/>
        <w:jc w:val="left"/>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038FCE35">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highlight w:val="none"/>
        </w:rPr>
        <w:t>承包人用于本工程的主要机械设备清单见合同附件4。</w:t>
      </w:r>
    </w:p>
    <w:p w14:paraId="21436EC1">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关于修建临时设施费用承担的约定：</w:t>
      </w:r>
    </w:p>
    <w:p w14:paraId="49A0486D">
      <w:pPr>
        <w:autoSpaceDE w:val="0"/>
        <w:autoSpaceDN w:val="0"/>
        <w:adjustRightInd w:val="0"/>
        <w:spacing w:line="360" w:lineRule="auto"/>
        <w:ind w:firstLine="420" w:firstLineChars="200"/>
        <w:jc w:val="left"/>
        <w:rPr>
          <w:rFonts w:hAnsi="宋体"/>
          <w:color w:val="auto"/>
          <w:highlight w:val="none"/>
          <w:u w:val="single"/>
        </w:rPr>
      </w:pPr>
      <w:r>
        <w:rPr>
          <w:rFonts w:hAnsi="宋体"/>
          <w:color w:val="auto"/>
          <w:highlight w:val="none"/>
          <w:u w:val="single"/>
        </w:rPr>
        <w:t xml:space="preserve"> </w:t>
      </w:r>
      <w:r>
        <w:rPr>
          <w:rFonts w:hint="eastAsia" w:hAnsi="宋体"/>
          <w:color w:val="auto"/>
          <w:highlight w:val="none"/>
          <w:u w:val="single"/>
        </w:rPr>
        <w:t>发包人供应的材料和工程设备，承包人清点后由承包人妥善保管，保管费用由发包人承担</w:t>
      </w:r>
      <w:r>
        <w:rPr>
          <w:rFonts w:hAnsi="宋体"/>
          <w:color w:val="auto"/>
          <w:highlight w:val="none"/>
          <w:u w:val="single"/>
        </w:rPr>
        <w:t xml:space="preserve"> </w:t>
      </w:r>
    </w:p>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14:paraId="1842B770">
      <w:pPr>
        <w:pStyle w:val="5"/>
        <w:rPr>
          <w:color w:val="auto"/>
          <w:highlight w:val="none"/>
        </w:rPr>
      </w:pPr>
      <w:bookmarkStart w:id="582" w:name="_Toc389065302"/>
      <w:bookmarkStart w:id="583" w:name="_Toc373478383"/>
      <w:bookmarkStart w:id="584" w:name="_Toc576"/>
      <w:bookmarkStart w:id="585" w:name="_Toc407135238"/>
      <w:bookmarkStart w:id="586" w:name="_Toc351203641"/>
      <w:bookmarkStart w:id="587" w:name="_Toc373227736"/>
      <w:r>
        <w:rPr>
          <w:color w:val="auto"/>
          <w:highlight w:val="none"/>
        </w:rPr>
        <w:t>9</w:t>
      </w:r>
      <w:bookmarkEnd w:id="551"/>
      <w:bookmarkEnd w:id="552"/>
      <w:bookmarkEnd w:id="553"/>
      <w:bookmarkStart w:id="588" w:name="_Toc297123533"/>
      <w:bookmarkStart w:id="589" w:name="_Toc312677495"/>
      <w:bookmarkStart w:id="590" w:name="_Toc312678021"/>
      <w:bookmarkStart w:id="591" w:name="_Toc300934982"/>
      <w:bookmarkStart w:id="592" w:name="_Toc297216192"/>
      <w:bookmarkStart w:id="593" w:name="_Toc304295559"/>
      <w:bookmarkStart w:id="594" w:name="_Toc303539139"/>
      <w:bookmarkStart w:id="595" w:name="_Toc296891213"/>
      <w:bookmarkStart w:id="596" w:name="_Toc296346674"/>
      <w:bookmarkStart w:id="597" w:name="_Toc297048359"/>
      <w:bookmarkStart w:id="598" w:name="_Toc297120473"/>
      <w:bookmarkStart w:id="599" w:name="_Toc267251428"/>
      <w:bookmarkStart w:id="600" w:name="_Toc267251427"/>
      <w:bookmarkStart w:id="601" w:name="_Toc292559378"/>
      <w:bookmarkStart w:id="602" w:name="_Toc296944512"/>
      <w:bookmarkStart w:id="603" w:name="_Toc296891001"/>
      <w:bookmarkStart w:id="604" w:name="_Toc292559883"/>
      <w:bookmarkStart w:id="605" w:name="_Toc296503173"/>
      <w:bookmarkStart w:id="606" w:name="_Toc296347172"/>
      <w:r>
        <w:rPr>
          <w:color w:val="auto"/>
          <w:highlight w:val="none"/>
        </w:rPr>
        <w:t xml:space="preserve">. </w:t>
      </w:r>
      <w:r>
        <w:rPr>
          <w:rFonts w:hint="eastAsia" w:cs="黑体"/>
          <w:color w:val="auto"/>
          <w:highlight w:val="none"/>
        </w:rPr>
        <w:t>试验与检验</w:t>
      </w:r>
      <w:bookmarkEnd w:id="582"/>
      <w:bookmarkEnd w:id="583"/>
      <w:bookmarkEnd w:id="584"/>
      <w:bookmarkEnd w:id="585"/>
      <w:bookmarkEnd w:id="586"/>
      <w:bookmarkEnd w:id="587"/>
    </w:p>
    <w:bookmarkEnd w:id="588"/>
    <w:bookmarkEnd w:id="589"/>
    <w:bookmarkEnd w:id="590"/>
    <w:bookmarkEnd w:id="591"/>
    <w:bookmarkEnd w:id="592"/>
    <w:bookmarkEnd w:id="593"/>
    <w:bookmarkEnd w:id="594"/>
    <w:p w14:paraId="3869277B">
      <w:pPr>
        <w:pStyle w:val="6"/>
        <w:rPr>
          <w:color w:val="auto"/>
          <w:highlight w:val="none"/>
        </w:rPr>
      </w:pPr>
      <w:bookmarkStart w:id="607" w:name="_Toc2143"/>
      <w:bookmarkStart w:id="608" w:name="_Toc389065303"/>
      <w:bookmarkStart w:id="609" w:name="_Toc373478384"/>
      <w:bookmarkStart w:id="610" w:name="_Toc407135239"/>
      <w:bookmarkStart w:id="611" w:name="_Toc373227737"/>
      <w:r>
        <w:rPr>
          <w:color w:val="auto"/>
          <w:highlight w:val="none"/>
        </w:rPr>
        <w:t>9</w:t>
      </w:r>
      <w:bookmarkStart w:id="612" w:name="_Toc312678022"/>
      <w:bookmarkStart w:id="613" w:name="_Toc312677496"/>
      <w:bookmarkStart w:id="614" w:name="_Toc304295560"/>
      <w:bookmarkStart w:id="615" w:name="_Toc300934983"/>
      <w:bookmarkStart w:id="616" w:name="_Toc297123534"/>
      <w:bookmarkStart w:id="617" w:name="_Toc297216193"/>
      <w:bookmarkStart w:id="618" w:name="_Toc303539140"/>
      <w:r>
        <w:rPr>
          <w:color w:val="auto"/>
          <w:highlight w:val="none"/>
        </w:rPr>
        <w:t xml:space="preserve">.1 </w:t>
      </w:r>
      <w:r>
        <w:rPr>
          <w:rFonts w:hint="eastAsia" w:cs="黑体"/>
          <w:color w:val="auto"/>
          <w:highlight w:val="none"/>
        </w:rPr>
        <w:t>试验设备与试验人员</w:t>
      </w:r>
      <w:bookmarkEnd w:id="607"/>
      <w:bookmarkEnd w:id="608"/>
      <w:bookmarkEnd w:id="609"/>
      <w:bookmarkEnd w:id="610"/>
      <w:bookmarkEnd w:id="611"/>
    </w:p>
    <w:bookmarkEnd w:id="612"/>
    <w:bookmarkEnd w:id="613"/>
    <w:bookmarkEnd w:id="614"/>
    <w:bookmarkEnd w:id="615"/>
    <w:bookmarkEnd w:id="616"/>
    <w:bookmarkEnd w:id="617"/>
    <w:bookmarkEnd w:id="618"/>
    <w:p w14:paraId="7882176C">
      <w:pPr>
        <w:spacing w:line="360" w:lineRule="auto"/>
        <w:ind w:firstLine="420" w:firstLineChars="200"/>
        <w:jc w:val="left"/>
        <w:rPr>
          <w:color w:val="auto"/>
          <w:highlight w:val="none"/>
        </w:rPr>
      </w:pPr>
      <w:r>
        <w:rPr>
          <w:color w:val="auto"/>
          <w:highlight w:val="none"/>
        </w:rPr>
        <w:t>9</w:t>
      </w:r>
      <w:bookmarkStart w:id="619" w:name="_Toc300934984"/>
      <w:bookmarkStart w:id="620" w:name="_Toc312678023"/>
      <w:bookmarkStart w:id="621" w:name="_Toc304295561"/>
      <w:bookmarkStart w:id="622" w:name="_Toc303539141"/>
      <w:bookmarkStart w:id="623" w:name="_Toc297123535"/>
      <w:bookmarkStart w:id="624" w:name="_Toc297216194"/>
      <w:bookmarkStart w:id="625" w:name="_Toc312677497"/>
      <w:bookmarkStart w:id="626" w:name="_Toc318581174"/>
      <w:r>
        <w:rPr>
          <w:color w:val="auto"/>
          <w:highlight w:val="none"/>
        </w:rPr>
        <w:t xml:space="preserve">.1.2 </w:t>
      </w:r>
      <w:r>
        <w:rPr>
          <w:rFonts w:hint="eastAsia" w:hAnsi="宋体" w:cs="宋体"/>
          <w:color w:val="auto"/>
          <w:highlight w:val="none"/>
        </w:rPr>
        <w:t>试验设备</w:t>
      </w:r>
    </w:p>
    <w:p w14:paraId="5B34F0C7">
      <w:pPr>
        <w:spacing w:line="360" w:lineRule="auto"/>
        <w:ind w:firstLine="420" w:firstLineChars="200"/>
        <w:jc w:val="left"/>
        <w:rPr>
          <w:color w:val="auto"/>
          <w:highlight w:val="none"/>
          <w:u w:val="single"/>
        </w:rPr>
      </w:pPr>
      <w:r>
        <w:rPr>
          <w:rFonts w:hint="eastAsia" w:hAnsi="宋体" w:cs="宋体"/>
          <w:color w:val="auto"/>
          <w:highlight w:val="none"/>
        </w:rPr>
        <w:t>施工现场需要配置的试验场所：</w:t>
      </w:r>
      <w:bookmarkEnd w:id="619"/>
      <w:bookmarkEnd w:id="620"/>
      <w:bookmarkEnd w:id="621"/>
      <w:bookmarkEnd w:id="622"/>
      <w:bookmarkEnd w:id="623"/>
      <w:bookmarkEnd w:id="624"/>
      <w:bookmarkEnd w:id="625"/>
      <w:bookmarkStart w:id="627" w:name="_Toc304295562"/>
      <w:bookmarkStart w:id="628" w:name="_Toc312677498"/>
      <w:bookmarkStart w:id="629" w:name="_Toc312678024"/>
      <w:bookmarkStart w:id="630" w:name="_Toc297216195"/>
      <w:bookmarkStart w:id="631" w:name="_Toc297123536"/>
      <w:bookmarkStart w:id="632" w:name="_Toc303539142"/>
      <w:bookmarkStart w:id="633" w:name="_Toc300934985"/>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418B06F4">
      <w:pPr>
        <w:spacing w:line="360" w:lineRule="auto"/>
        <w:ind w:firstLine="420" w:firstLineChars="200"/>
        <w:jc w:val="left"/>
        <w:rPr>
          <w:color w:val="auto"/>
          <w:highlight w:val="none"/>
          <w:u w:val="single"/>
        </w:rPr>
      </w:pPr>
      <w:r>
        <w:rPr>
          <w:rFonts w:hint="eastAsia" w:hAnsi="宋体" w:cs="宋体"/>
          <w:color w:val="auto"/>
          <w:highlight w:val="none"/>
        </w:rPr>
        <w:t>施工现场需要配备的试验设备：</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4CFB3032">
      <w:pPr>
        <w:spacing w:line="360" w:lineRule="auto"/>
        <w:ind w:firstLine="420" w:firstLineChars="200"/>
        <w:jc w:val="left"/>
        <w:rPr>
          <w:color w:val="auto"/>
          <w:highlight w:val="none"/>
          <w:u w:val="single"/>
        </w:rPr>
      </w:pPr>
      <w:r>
        <w:rPr>
          <w:rFonts w:hint="eastAsia" w:hAnsi="宋体" w:cs="宋体"/>
          <w:color w:val="auto"/>
          <w:highlight w:val="none"/>
        </w:rPr>
        <w:t>施工现场需要具备的其他试验条件：</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7E738205">
      <w:pPr>
        <w:pStyle w:val="6"/>
        <w:rPr>
          <w:color w:val="auto"/>
          <w:highlight w:val="none"/>
        </w:rPr>
      </w:pPr>
      <w:bookmarkStart w:id="634" w:name="_Toc389065304"/>
      <w:bookmarkStart w:id="635" w:name="_Toc31943"/>
      <w:bookmarkStart w:id="636" w:name="_Toc373227738"/>
      <w:bookmarkStart w:id="637" w:name="_Toc407135240"/>
      <w:bookmarkStart w:id="638" w:name="_Toc373478385"/>
      <w:r>
        <w:rPr>
          <w:color w:val="auto"/>
          <w:highlight w:val="none"/>
        </w:rPr>
        <w:t xml:space="preserve">9.4 </w:t>
      </w:r>
      <w:r>
        <w:rPr>
          <w:rFonts w:hint="eastAsia" w:hAnsi="宋体" w:cs="黑体"/>
          <w:color w:val="auto"/>
          <w:highlight w:val="none"/>
        </w:rPr>
        <w:t>现场工艺试验</w:t>
      </w:r>
      <w:bookmarkEnd w:id="634"/>
      <w:bookmarkEnd w:id="635"/>
      <w:bookmarkEnd w:id="636"/>
      <w:bookmarkEnd w:id="637"/>
      <w:bookmarkEnd w:id="638"/>
      <w:r>
        <w:rPr>
          <w:color w:val="auto"/>
          <w:highlight w:val="none"/>
        </w:rPr>
        <w:t xml:space="preserve"> </w:t>
      </w:r>
    </w:p>
    <w:p w14:paraId="629E71C3">
      <w:pPr>
        <w:spacing w:line="360" w:lineRule="auto"/>
        <w:ind w:firstLine="420" w:firstLineChars="200"/>
        <w:jc w:val="left"/>
        <w:rPr>
          <w:color w:val="auto"/>
          <w:highlight w:val="none"/>
        </w:rPr>
      </w:pPr>
      <w:r>
        <w:rPr>
          <w:rFonts w:hint="eastAsia" w:hAnsi="宋体" w:cs="宋体"/>
          <w:color w:val="auto"/>
          <w:highlight w:val="none"/>
        </w:rPr>
        <w:t>现场工艺试验的有关约定：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2C66843A">
      <w:pPr>
        <w:pStyle w:val="6"/>
        <w:rPr>
          <w:color w:val="auto"/>
          <w:highlight w:val="none"/>
        </w:rPr>
      </w:pPr>
      <w:bookmarkStart w:id="639" w:name="_Toc25714"/>
      <w:bookmarkStart w:id="640" w:name="_Toc407135241"/>
      <w:bookmarkStart w:id="641" w:name="OLE_LINK1"/>
      <w:r>
        <w:rPr>
          <w:color w:val="auto"/>
          <w:highlight w:val="none"/>
        </w:rPr>
        <w:t xml:space="preserve">9.5 </w:t>
      </w:r>
      <w:r>
        <w:rPr>
          <w:rFonts w:hint="eastAsia" w:hAnsi="宋体" w:cs="黑体"/>
          <w:color w:val="auto"/>
          <w:highlight w:val="none"/>
        </w:rPr>
        <w:t>检验费用</w:t>
      </w:r>
      <w:bookmarkEnd w:id="639"/>
      <w:bookmarkEnd w:id="640"/>
    </w:p>
    <w:p w14:paraId="0035EA96">
      <w:pPr>
        <w:spacing w:line="360" w:lineRule="auto"/>
        <w:ind w:firstLine="411" w:firstLineChars="196"/>
        <w:rPr>
          <w:color w:val="auto"/>
          <w:highlight w:val="none"/>
        </w:rPr>
      </w:pPr>
      <w:r>
        <w:rPr>
          <w:rFonts w:hint="eastAsia" w:hAnsi="宋体" w:cs="宋体"/>
          <w:color w:val="auto"/>
          <w:highlight w:val="none"/>
        </w:rPr>
        <w:t>根据《建设工程质量检测管理办法》（建设部令第</w:t>
      </w:r>
      <w:r>
        <w:rPr>
          <w:color w:val="auto"/>
          <w:highlight w:val="none"/>
        </w:rPr>
        <w:t>141</w:t>
      </w:r>
      <w:r>
        <w:rPr>
          <w:rFonts w:hint="eastAsia" w:hAnsi="宋体" w:cs="宋体"/>
          <w:color w:val="auto"/>
          <w:highlight w:val="none"/>
        </w:rPr>
        <w:t>号）以及《广西壮族自治区建设工程质量检测管理规定》</w:t>
      </w:r>
      <w:r>
        <w:rPr>
          <w:rFonts w:hint="eastAsia" w:cs="宋体"/>
          <w:color w:val="auto"/>
          <w:highlight w:val="none"/>
        </w:rPr>
        <w:t>（</w:t>
      </w:r>
      <w:r>
        <w:rPr>
          <w:rFonts w:hint="eastAsia" w:hAnsi="宋体" w:cs="宋体"/>
          <w:color w:val="auto"/>
          <w:highlight w:val="none"/>
        </w:rPr>
        <w:t>桂建管</w:t>
      </w:r>
      <w:r>
        <w:rPr>
          <w:rFonts w:hint="eastAsia" w:cs="宋体"/>
          <w:color w:val="auto"/>
          <w:highlight w:val="none"/>
        </w:rPr>
        <w:t>〔</w:t>
      </w:r>
      <w:r>
        <w:rPr>
          <w:color w:val="auto"/>
          <w:highlight w:val="none"/>
        </w:rPr>
        <w:t>2013</w:t>
      </w:r>
      <w:r>
        <w:rPr>
          <w:rFonts w:hint="eastAsia" w:cs="宋体"/>
          <w:color w:val="auto"/>
          <w:highlight w:val="none"/>
        </w:rPr>
        <w:t>〕</w:t>
      </w:r>
      <w:r>
        <w:rPr>
          <w:color w:val="auto"/>
          <w:highlight w:val="none"/>
        </w:rPr>
        <w:t>11</w:t>
      </w:r>
      <w:r>
        <w:rPr>
          <w:rFonts w:hint="eastAsia" w:hAnsi="宋体" w:cs="宋体"/>
          <w:color w:val="auto"/>
          <w:highlight w:val="none"/>
        </w:rPr>
        <w:t>号</w:t>
      </w:r>
      <w:r>
        <w:rPr>
          <w:rFonts w:hint="eastAsia" w:cs="宋体"/>
          <w:color w:val="auto"/>
          <w:highlight w:val="none"/>
        </w:rPr>
        <w:t>）</w:t>
      </w:r>
      <w:r>
        <w:rPr>
          <w:rFonts w:hint="eastAsia" w:hAnsi="宋体" w:cs="宋体"/>
          <w:color w:val="auto"/>
          <w:highlight w:val="none"/>
        </w:rPr>
        <w:t>规定，工程质量检测业务由发包人委托有相应资质的检测机构检测。费用从发包人的项目建设经费中支出并直接支付给检测机构，不计入合同价款内。</w:t>
      </w:r>
    </w:p>
    <w:bookmarkEnd w:id="626"/>
    <w:bookmarkEnd w:id="627"/>
    <w:bookmarkEnd w:id="628"/>
    <w:bookmarkEnd w:id="629"/>
    <w:bookmarkEnd w:id="630"/>
    <w:bookmarkEnd w:id="631"/>
    <w:bookmarkEnd w:id="632"/>
    <w:bookmarkEnd w:id="633"/>
    <w:bookmarkEnd w:id="641"/>
    <w:p w14:paraId="60102850">
      <w:pPr>
        <w:pStyle w:val="5"/>
        <w:rPr>
          <w:color w:val="auto"/>
          <w:highlight w:val="none"/>
        </w:rPr>
      </w:pPr>
      <w:bookmarkStart w:id="642" w:name="_Toc373478386"/>
      <w:bookmarkStart w:id="643" w:name="_Toc389065305"/>
      <w:bookmarkStart w:id="644" w:name="_Toc373227739"/>
      <w:bookmarkStart w:id="645" w:name="_Toc351203642"/>
      <w:bookmarkStart w:id="646" w:name="_Toc407135242"/>
      <w:bookmarkStart w:id="647" w:name="_Toc4922"/>
      <w:r>
        <w:rPr>
          <w:color w:val="auto"/>
          <w:highlight w:val="none"/>
        </w:rPr>
        <w:t>1</w:t>
      </w:r>
      <w:bookmarkEnd w:id="595"/>
      <w:bookmarkEnd w:id="596"/>
      <w:bookmarkEnd w:id="597"/>
      <w:bookmarkEnd w:id="598"/>
      <w:bookmarkEnd w:id="599"/>
      <w:bookmarkEnd w:id="600"/>
      <w:bookmarkEnd w:id="601"/>
      <w:bookmarkEnd w:id="602"/>
      <w:bookmarkEnd w:id="603"/>
      <w:bookmarkEnd w:id="604"/>
      <w:bookmarkEnd w:id="605"/>
      <w:bookmarkEnd w:id="606"/>
      <w:bookmarkStart w:id="648" w:name="_Toc296944532"/>
      <w:bookmarkStart w:id="649" w:name="_Toc292559398"/>
      <w:bookmarkStart w:id="650" w:name="_Toc304295566"/>
      <w:bookmarkStart w:id="651" w:name="_Toc297216199"/>
      <w:bookmarkStart w:id="652" w:name="_Toc296347192"/>
      <w:bookmarkStart w:id="653" w:name="_Toc297120493"/>
      <w:bookmarkStart w:id="654" w:name="_Toc296891021"/>
      <w:bookmarkStart w:id="655" w:name="_Toc303539146"/>
      <w:bookmarkStart w:id="656" w:name="_Toc292559903"/>
      <w:bookmarkStart w:id="657" w:name="_Toc300934989"/>
      <w:bookmarkStart w:id="658" w:name="_Toc296346694"/>
      <w:bookmarkStart w:id="659" w:name="_Toc296891233"/>
      <w:bookmarkStart w:id="660" w:name="_Toc297123540"/>
      <w:bookmarkStart w:id="661" w:name="_Toc296503193"/>
      <w:bookmarkStart w:id="662" w:name="_Toc297048379"/>
      <w:bookmarkStart w:id="663" w:name="_Toc312678025"/>
      <w:bookmarkStart w:id="664" w:name="_Toc312677499"/>
      <w:bookmarkStart w:id="665" w:name="_Toc267251441"/>
      <w:bookmarkStart w:id="666" w:name="_Toc267251439"/>
      <w:bookmarkStart w:id="667" w:name="_Toc267251440"/>
      <w:bookmarkStart w:id="668" w:name="_Toc267251433"/>
      <w:bookmarkStart w:id="669" w:name="_Toc267251435"/>
      <w:bookmarkStart w:id="670" w:name="_Toc267251437"/>
      <w:bookmarkStart w:id="671" w:name="_Toc267251442"/>
      <w:r>
        <w:rPr>
          <w:color w:val="auto"/>
          <w:highlight w:val="none"/>
        </w:rPr>
        <w:t xml:space="preserve">0. </w:t>
      </w:r>
      <w:r>
        <w:rPr>
          <w:rFonts w:hint="eastAsia" w:hAnsi="宋体" w:cs="黑体"/>
          <w:color w:val="auto"/>
          <w:highlight w:val="none"/>
        </w:rPr>
        <w:t>变更</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bookmarkEnd w:id="663"/>
    <w:bookmarkEnd w:id="664"/>
    <w:p w14:paraId="7A9E4B7B">
      <w:pPr>
        <w:pStyle w:val="6"/>
        <w:rPr>
          <w:color w:val="auto"/>
          <w:highlight w:val="none"/>
        </w:rPr>
      </w:pPr>
      <w:bookmarkStart w:id="672" w:name="_Toc389065306"/>
      <w:bookmarkStart w:id="673" w:name="_Toc373478387"/>
      <w:bookmarkStart w:id="674" w:name="_Toc30777"/>
      <w:bookmarkStart w:id="675" w:name="_Toc373227740"/>
      <w:bookmarkStart w:id="676" w:name="_Toc407135243"/>
      <w:r>
        <w:rPr>
          <w:color w:val="auto"/>
          <w:highlight w:val="none"/>
        </w:rPr>
        <w:t>1</w:t>
      </w:r>
      <w:bookmarkStart w:id="677" w:name="_Toc296347193"/>
      <w:bookmarkStart w:id="678" w:name="_Toc292559904"/>
      <w:bookmarkStart w:id="679" w:name="_Toc296891234"/>
      <w:bookmarkStart w:id="680" w:name="_Toc297216200"/>
      <w:bookmarkStart w:id="681" w:name="_Toc300934990"/>
      <w:bookmarkStart w:id="682" w:name="_Toc312677500"/>
      <w:bookmarkStart w:id="683" w:name="_Toc297120494"/>
      <w:bookmarkStart w:id="684" w:name="_Toc304295567"/>
      <w:bookmarkStart w:id="685" w:name="_Toc297123541"/>
      <w:bookmarkStart w:id="686" w:name="_Toc296944533"/>
      <w:bookmarkStart w:id="687" w:name="_Toc296346695"/>
      <w:bookmarkStart w:id="688" w:name="_Toc297048380"/>
      <w:bookmarkStart w:id="689" w:name="_Toc296891022"/>
      <w:bookmarkStart w:id="690" w:name="_Toc292559399"/>
      <w:bookmarkStart w:id="691" w:name="_Toc312678026"/>
      <w:bookmarkStart w:id="692" w:name="_Toc296503194"/>
      <w:bookmarkStart w:id="693" w:name="_Toc303539147"/>
      <w:r>
        <w:rPr>
          <w:color w:val="auto"/>
          <w:highlight w:val="none"/>
        </w:rPr>
        <w:t xml:space="preserve">0.1 </w:t>
      </w:r>
      <w:r>
        <w:rPr>
          <w:rFonts w:hint="eastAsia" w:hAnsi="宋体" w:cs="黑体"/>
          <w:color w:val="auto"/>
          <w:highlight w:val="none"/>
        </w:rPr>
        <w:t>变更的范围</w:t>
      </w:r>
      <w:bookmarkEnd w:id="672"/>
      <w:bookmarkEnd w:id="673"/>
      <w:bookmarkEnd w:id="674"/>
      <w:bookmarkEnd w:id="675"/>
      <w:bookmarkEnd w:id="676"/>
    </w:p>
    <w:p w14:paraId="394A188E">
      <w:pPr>
        <w:spacing w:line="360" w:lineRule="auto"/>
        <w:ind w:firstLine="426"/>
        <w:jc w:val="left"/>
        <w:rPr>
          <w:color w:val="auto"/>
          <w:highlight w:val="none"/>
        </w:rPr>
      </w:pPr>
      <w:r>
        <w:rPr>
          <w:rFonts w:hint="eastAsia" w:hAnsi="宋体" w:cs="宋体"/>
          <w:color w:val="auto"/>
          <w:highlight w:val="none"/>
        </w:rPr>
        <w:t>关于变更的范围的约定：</w:t>
      </w:r>
      <w:r>
        <w:rPr>
          <w:color w:val="auto"/>
          <w:highlight w:val="none"/>
          <w:u w:val="single"/>
        </w:rPr>
        <w:t xml:space="preserve">  </w:t>
      </w:r>
      <w:r>
        <w:rPr>
          <w:rFonts w:hint="eastAsia"/>
          <w:color w:val="auto"/>
          <w:highlight w:val="none"/>
          <w:u w:val="single"/>
        </w:rPr>
        <w:t>按本合同通用条款第 10.1 条执行</w:t>
      </w:r>
      <w:r>
        <w:rPr>
          <w:color w:val="auto"/>
          <w:highlight w:val="none"/>
          <w:u w:val="single"/>
        </w:rPr>
        <w:t xml:space="preserve">  </w:t>
      </w:r>
      <w:r>
        <w:rPr>
          <w:rFonts w:hint="eastAsia" w:hAnsi="宋体" w:cs="宋体"/>
          <w:color w:val="auto"/>
          <w:highlight w:val="none"/>
        </w:rPr>
        <w:t>。</w:t>
      </w:r>
    </w:p>
    <w:p w14:paraId="565F673B">
      <w:pPr>
        <w:pStyle w:val="6"/>
        <w:rPr>
          <w:color w:val="auto"/>
          <w:highlight w:val="none"/>
        </w:rPr>
      </w:pPr>
      <w:bookmarkStart w:id="694" w:name="_Toc373478388"/>
      <w:bookmarkStart w:id="695" w:name="_Toc407135244"/>
      <w:bookmarkStart w:id="696" w:name="_Toc373227741"/>
      <w:bookmarkStart w:id="697" w:name="_Toc389065307"/>
      <w:bookmarkStart w:id="698" w:name="_Toc19756"/>
      <w:r>
        <w:rPr>
          <w:color w:val="auto"/>
          <w:highlight w:val="none"/>
        </w:rPr>
        <w:t xml:space="preserve">10.3 </w:t>
      </w:r>
      <w:r>
        <w:rPr>
          <w:rFonts w:hint="eastAsia" w:hAnsi="宋体" w:cs="黑体"/>
          <w:color w:val="auto"/>
          <w:highlight w:val="none"/>
        </w:rPr>
        <w:t>变更程序</w:t>
      </w:r>
      <w:bookmarkEnd w:id="694"/>
      <w:bookmarkEnd w:id="695"/>
      <w:bookmarkEnd w:id="696"/>
      <w:bookmarkEnd w:id="697"/>
      <w:bookmarkEnd w:id="698"/>
    </w:p>
    <w:p w14:paraId="45B946BF">
      <w:pPr>
        <w:pStyle w:val="15"/>
        <w:spacing w:line="360" w:lineRule="auto"/>
        <w:ind w:firstLine="441" w:firstLineChars="210"/>
        <w:rPr>
          <w:rFonts w:ascii="Times New Roman" w:hAnsi="Times New Roman"/>
          <w:color w:val="auto"/>
          <w:sz w:val="21"/>
          <w:szCs w:val="21"/>
          <w:highlight w:val="none"/>
        </w:rPr>
      </w:pPr>
      <w:r>
        <w:rPr>
          <w:rFonts w:ascii="Times New Roman" w:hAnsi="Times New Roman"/>
          <w:color w:val="auto"/>
          <w:sz w:val="21"/>
          <w:szCs w:val="21"/>
          <w:highlight w:val="none"/>
        </w:rPr>
        <w:t>10.3.1</w:t>
      </w:r>
      <w:r>
        <w:rPr>
          <w:rFonts w:hint="eastAsia" w:ascii="Times New Roman" w:hAnsi="Times New Roman"/>
          <w:color w:val="auto"/>
          <w:sz w:val="21"/>
          <w:szCs w:val="21"/>
          <w:highlight w:val="none"/>
        </w:rPr>
        <w:t>国有投资项目：</w:t>
      </w:r>
    </w:p>
    <w:p w14:paraId="7770E233">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⑴设计变更和工程签证，按各市政府或相关部门的规定办理。属不可抗力（自然灾害、突发事件等）造成变更的，按特事特办原则予以办理。</w:t>
      </w:r>
    </w:p>
    <w:p w14:paraId="5F50E3C1">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⑵建设单位在实施项目过程中，若发生单价变动，由发包人、承包人、监理或造价咨询等单位共同商定并签字确认。</w:t>
      </w:r>
    </w:p>
    <w:p w14:paraId="1FBF2BD1">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⑶</w:t>
      </w:r>
      <w:r>
        <w:rPr>
          <w:rFonts w:ascii="Times New Roman" w:hAnsi="宋体"/>
          <w:bCs/>
          <w:color w:val="auto"/>
          <w:sz w:val="21"/>
          <w:szCs w:val="21"/>
          <w:highlight w:val="none"/>
        </w:rPr>
        <w:t xml:space="preserve"> </w:t>
      </w:r>
      <w:r>
        <w:rPr>
          <w:rFonts w:hint="eastAsia" w:ascii="Times New Roman" w:hAnsi="宋体"/>
          <w:bCs/>
          <w:color w:val="auto"/>
          <w:sz w:val="21"/>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7C2832BC">
      <w:pPr>
        <w:spacing w:line="360" w:lineRule="auto"/>
        <w:ind w:firstLine="420" w:firstLineChars="200"/>
        <w:jc w:val="left"/>
        <w:rPr>
          <w:color w:val="auto"/>
          <w:highlight w:val="none"/>
        </w:rPr>
      </w:pPr>
      <w:r>
        <w:rPr>
          <w:color w:val="auto"/>
          <w:highlight w:val="none"/>
        </w:rPr>
        <w:t xml:space="preserve">10.3.2 </w:t>
      </w:r>
      <w:r>
        <w:rPr>
          <w:rFonts w:hint="eastAsia" w:cs="宋体"/>
          <w:color w:val="auto"/>
          <w:highlight w:val="none"/>
        </w:rPr>
        <w:t>非国有投资项目：</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367CA5FB">
      <w:pPr>
        <w:pStyle w:val="6"/>
        <w:rPr>
          <w:color w:val="auto"/>
          <w:highlight w:val="none"/>
        </w:rPr>
      </w:pPr>
      <w:bookmarkStart w:id="699" w:name="_Toc407135245"/>
      <w:bookmarkStart w:id="700" w:name="_Toc389065308"/>
      <w:bookmarkStart w:id="701" w:name="_Toc373478389"/>
      <w:bookmarkStart w:id="702" w:name="_Toc31408"/>
      <w:bookmarkStart w:id="703" w:name="_Toc373227742"/>
      <w:r>
        <w:rPr>
          <w:color w:val="auto"/>
          <w:highlight w:val="none"/>
        </w:rPr>
        <w:t xml:space="preserve">10.4 </w:t>
      </w:r>
      <w:r>
        <w:rPr>
          <w:rFonts w:hint="eastAsia" w:hAnsi="宋体" w:cs="黑体"/>
          <w:color w:val="auto"/>
          <w:highlight w:val="none"/>
        </w:rPr>
        <w:t>变更估价</w:t>
      </w:r>
      <w:bookmarkEnd w:id="699"/>
      <w:bookmarkEnd w:id="700"/>
      <w:bookmarkEnd w:id="701"/>
      <w:bookmarkEnd w:id="702"/>
      <w:bookmarkEnd w:id="703"/>
    </w:p>
    <w:p w14:paraId="017315B8">
      <w:pPr>
        <w:spacing w:line="360" w:lineRule="auto"/>
        <w:ind w:firstLine="420" w:firstLineChars="200"/>
        <w:jc w:val="left"/>
        <w:rPr>
          <w:color w:val="auto"/>
          <w:highlight w:val="none"/>
        </w:rPr>
      </w:pPr>
      <w:r>
        <w:rPr>
          <w:color w:val="auto"/>
          <w:highlight w:val="none"/>
        </w:rPr>
        <w:t xml:space="preserve">10.4.1 </w:t>
      </w:r>
      <w:r>
        <w:rPr>
          <w:rFonts w:hint="eastAsia" w:hAnsi="宋体" w:cs="宋体"/>
          <w:color w:val="auto"/>
          <w:highlight w:val="none"/>
        </w:rPr>
        <w:t>变更估价原则</w:t>
      </w:r>
    </w:p>
    <w:p w14:paraId="6620A8C0">
      <w:pPr>
        <w:spacing w:line="360" w:lineRule="auto"/>
        <w:ind w:firstLine="420" w:firstLineChars="200"/>
        <w:jc w:val="left"/>
        <w:rPr>
          <w:rFonts w:hAnsi="宋体"/>
          <w:color w:val="auto"/>
          <w:highlight w:val="none"/>
        </w:rPr>
      </w:pPr>
      <w:r>
        <w:rPr>
          <w:rFonts w:hint="eastAsia" w:hAnsi="宋体" w:cs="宋体"/>
          <w:color w:val="auto"/>
          <w:highlight w:val="none"/>
        </w:rPr>
        <w:t>关于变更估价的约定</w:t>
      </w:r>
      <w:r>
        <w:rPr>
          <w:rFonts w:hint="eastAsia" w:hAnsi="宋体" w:cs="宋体"/>
          <w:color w:val="auto"/>
          <w:highlight w:val="none"/>
          <w:lang w:eastAsia="zh-CN"/>
        </w:rPr>
        <w:t>：</w:t>
      </w:r>
      <w:r>
        <w:rPr>
          <w:color w:val="auto"/>
          <w:highlight w:val="none"/>
        </w:rPr>
        <w:t xml:space="preserve"> </w:t>
      </w:r>
      <w:bookmarkStart w:id="704" w:name="_Toc251051742"/>
      <w:r>
        <w:rPr>
          <w:rFonts w:hint="eastAsia" w:hAnsi="宋体" w:cs="宋体"/>
          <w:color w:val="auto"/>
          <w:highlight w:val="none"/>
          <w:u w:val="single"/>
        </w:rPr>
        <w:t>工程变更合同价款按下列方法进行：</w:t>
      </w:r>
      <w:r>
        <w:rPr>
          <w:rFonts w:hint="eastAsia" w:ascii="Times New Roman" w:hAnsi="宋体" w:eastAsia="宋体" w:cs="宋体"/>
          <w:color w:val="auto"/>
          <w:highlight w:val="none"/>
          <w:u w:val="single"/>
        </w:rPr>
        <w:t>（1）合同中已有相同清单项目的，按合同该清单项目价格进行计算；（2）合同中只有类似清单项目的，参照该类似清单项目价格进行计算；（3）合同中没有适用或类似清单项目的价格计算方法：有定额的套定额，其中：材料设备价格按施工期间的《玉林建设工程造价信息》相应信息价计算，《玉林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704"/>
      <w:r>
        <w:rPr>
          <w:rFonts w:hint="eastAsia" w:ascii="Times New Roman" w:hAnsi="宋体" w:eastAsia="宋体" w:cs="宋体"/>
          <w:color w:val="auto"/>
          <w:highlight w:val="none"/>
          <w:u w:val="single"/>
        </w:rPr>
        <w:t>。</w:t>
      </w:r>
      <w:r>
        <w:rPr>
          <w:rFonts w:hint="eastAsia" w:hAnsi="宋体" w:cs="宋体"/>
          <w:color w:val="auto"/>
          <w:highlight w:val="none"/>
        </w:rPr>
        <w:t>以上约定同时适用于招标工程量清单缺项以及工程量清单项目特征与图纸不符时的价款确定。</w:t>
      </w:r>
    </w:p>
    <w:p w14:paraId="5C28AB54">
      <w:pPr>
        <w:spacing w:line="360" w:lineRule="auto"/>
        <w:ind w:firstLine="420" w:firstLineChars="200"/>
        <w:jc w:val="left"/>
        <w:rPr>
          <w:rFonts w:hint="eastAsia" w:cs="宋体"/>
          <w:color w:val="auto"/>
          <w:highlight w:val="none"/>
          <w:u w:val="single"/>
        </w:rPr>
      </w:pPr>
      <w:r>
        <w:rPr>
          <w:rFonts w:hint="eastAsia" w:cs="宋体"/>
          <w:color w:val="auto"/>
          <w:highlight w:val="none"/>
          <w:u w:val="single"/>
        </w:rPr>
        <w:t>工程变更导致实际完成的变更工程量与已标价清单或预算书中列明的该项目工程量有偏差时，其综合单价的确定按专用条款“</w:t>
      </w:r>
      <w:r>
        <w:rPr>
          <w:color w:val="auto"/>
          <w:highlight w:val="none"/>
          <w:u w:val="single"/>
        </w:rPr>
        <w:t>1.13</w:t>
      </w:r>
      <w:r>
        <w:rPr>
          <w:rFonts w:hint="eastAsia" w:cs="宋体"/>
          <w:color w:val="auto"/>
          <w:highlight w:val="none"/>
          <w:u w:val="single"/>
        </w:rPr>
        <w:t>工程量清单错误的修正”执行。</w:t>
      </w:r>
    </w:p>
    <w:p w14:paraId="21A8563E">
      <w:pPr>
        <w:pStyle w:val="6"/>
        <w:rPr>
          <w:color w:val="auto"/>
          <w:highlight w:val="none"/>
        </w:rPr>
      </w:pPr>
      <w:bookmarkStart w:id="705" w:name="_Toc373227743"/>
      <w:bookmarkStart w:id="706" w:name="_Toc1145"/>
      <w:bookmarkStart w:id="707" w:name="_Toc389065309"/>
      <w:bookmarkStart w:id="708" w:name="_Toc373478390"/>
      <w:bookmarkStart w:id="709" w:name="_Toc407135246"/>
      <w:r>
        <w:rPr>
          <w:color w:val="auto"/>
          <w:highlight w:val="none"/>
        </w:rPr>
        <w:t>1</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Start w:id="710" w:name="_Toc297216203"/>
      <w:bookmarkStart w:id="711" w:name="_Toc292559402"/>
      <w:bookmarkStart w:id="712" w:name="_Toc292559907"/>
      <w:bookmarkStart w:id="713" w:name="_Toc297123544"/>
      <w:bookmarkStart w:id="714" w:name="_Toc297048383"/>
      <w:bookmarkStart w:id="715" w:name="_Toc303539150"/>
      <w:bookmarkStart w:id="716" w:name="_Toc296346698"/>
      <w:bookmarkStart w:id="717" w:name="_Toc300934993"/>
      <w:bookmarkStart w:id="718" w:name="_Toc296891237"/>
      <w:bookmarkStart w:id="719" w:name="_Toc296503197"/>
      <w:bookmarkStart w:id="720" w:name="_Toc296347196"/>
      <w:bookmarkStart w:id="721" w:name="_Toc297120497"/>
      <w:bookmarkStart w:id="722" w:name="_Toc296944536"/>
      <w:bookmarkStart w:id="723" w:name="_Toc296891025"/>
      <w:bookmarkStart w:id="724" w:name="_Toc312677503"/>
      <w:bookmarkStart w:id="725" w:name="_Toc304295570"/>
      <w:bookmarkStart w:id="726" w:name="_Toc312678029"/>
      <w:r>
        <w:rPr>
          <w:color w:val="auto"/>
          <w:highlight w:val="none"/>
        </w:rPr>
        <w:t xml:space="preserve">0.5 </w:t>
      </w:r>
      <w:r>
        <w:rPr>
          <w:rFonts w:hint="eastAsia" w:cs="黑体"/>
          <w:color w:val="auto"/>
          <w:highlight w:val="none"/>
        </w:rPr>
        <w:t>承</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Start w:id="727" w:name="_Toc296944542"/>
      <w:bookmarkStart w:id="728" w:name="_Toc296891031"/>
      <w:bookmarkStart w:id="729" w:name="_Toc296346704"/>
      <w:bookmarkStart w:id="730" w:name="_Toc292559408"/>
      <w:bookmarkStart w:id="731" w:name="_Toc297048389"/>
      <w:bookmarkStart w:id="732" w:name="_Toc300934994"/>
      <w:bookmarkStart w:id="733" w:name="_Toc296347202"/>
      <w:bookmarkStart w:id="734" w:name="_Toc296891243"/>
      <w:bookmarkStart w:id="735" w:name="_Toc297123545"/>
      <w:bookmarkStart w:id="736" w:name="_Toc297120503"/>
      <w:bookmarkStart w:id="737" w:name="_Toc297216204"/>
      <w:bookmarkStart w:id="738" w:name="_Toc296503203"/>
      <w:bookmarkStart w:id="739" w:name="_Toc292559913"/>
      <w:bookmarkStart w:id="740" w:name="_Toc303539151"/>
      <w:r>
        <w:rPr>
          <w:rFonts w:hint="eastAsia" w:cs="黑体"/>
          <w:color w:val="auto"/>
          <w:highlight w:val="none"/>
        </w:rPr>
        <w:t>包人的合理化建议</w:t>
      </w:r>
      <w:bookmarkEnd w:id="705"/>
      <w:bookmarkEnd w:id="706"/>
      <w:bookmarkEnd w:id="707"/>
      <w:bookmarkEnd w:id="708"/>
      <w:bookmarkEnd w:id="709"/>
    </w:p>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14:paraId="42C84237">
      <w:pPr>
        <w:spacing w:line="360" w:lineRule="auto"/>
        <w:ind w:firstLine="420" w:firstLineChars="200"/>
        <w:jc w:val="left"/>
        <w:rPr>
          <w:color w:val="auto"/>
          <w:highlight w:val="none"/>
        </w:rPr>
      </w:pPr>
      <w:r>
        <w:rPr>
          <w:rFonts w:hint="eastAsia" w:hAnsi="宋体" w:cs="宋体"/>
          <w:color w:val="auto"/>
          <w:highlight w:val="none"/>
        </w:rPr>
        <w:t>监理人审查承包人合理化建议的期限：</w:t>
      </w:r>
      <w:r>
        <w:rPr>
          <w:color w:val="auto"/>
          <w:highlight w:val="none"/>
          <w:u w:val="single"/>
        </w:rPr>
        <w:t xml:space="preserve"> </w:t>
      </w:r>
      <w:r>
        <w:rPr>
          <w:rFonts w:hint="eastAsia"/>
          <w:color w:val="auto"/>
          <w:highlight w:val="none"/>
          <w:u w:val="single"/>
        </w:rPr>
        <w:t>监理人应在收到承包人提交的合理化建议之日起</w:t>
      </w:r>
      <w:r>
        <w:rPr>
          <w:rFonts w:hint="eastAsia"/>
          <w:color w:val="auto"/>
          <w:highlight w:val="none"/>
          <w:u w:val="single"/>
          <w:lang w:val="en-US" w:eastAsia="zh-CN"/>
        </w:rPr>
        <w:t>3</w:t>
      </w:r>
      <w:r>
        <w:rPr>
          <w:rFonts w:hint="eastAsia"/>
          <w:color w:val="auto"/>
          <w:highlight w:val="none"/>
          <w:u w:val="single"/>
        </w:rPr>
        <w:t>天内审查完毕并报送发包人</w:t>
      </w:r>
      <w:r>
        <w:rPr>
          <w:color w:val="auto"/>
          <w:highlight w:val="none"/>
          <w:u w:val="single"/>
        </w:rPr>
        <w:t xml:space="preserve">   </w:t>
      </w:r>
      <w:r>
        <w:rPr>
          <w:rFonts w:hint="eastAsia" w:hAnsi="宋体" w:cs="宋体"/>
          <w:color w:val="auto"/>
          <w:highlight w:val="none"/>
        </w:rPr>
        <w:t>。</w:t>
      </w:r>
    </w:p>
    <w:p w14:paraId="0016CAAA">
      <w:pPr>
        <w:spacing w:line="360" w:lineRule="auto"/>
        <w:ind w:firstLine="420" w:firstLineChars="200"/>
        <w:jc w:val="left"/>
        <w:rPr>
          <w:color w:val="auto"/>
          <w:highlight w:val="none"/>
        </w:rPr>
      </w:pPr>
      <w:r>
        <w:rPr>
          <w:rFonts w:hint="eastAsia" w:hAnsi="宋体" w:cs="宋体"/>
          <w:color w:val="auto"/>
          <w:highlight w:val="none"/>
        </w:rPr>
        <w:t>发包人审批承包人合理化建议的期限：</w:t>
      </w:r>
      <w:r>
        <w:rPr>
          <w:rFonts w:hint="eastAsia"/>
          <w:color w:val="auto"/>
          <w:highlight w:val="none"/>
          <w:u w:val="single"/>
        </w:rPr>
        <w:t>发包人应在收到监理人报送的合理化建议之日起</w:t>
      </w:r>
      <w:r>
        <w:rPr>
          <w:rFonts w:hint="eastAsia"/>
          <w:color w:val="auto"/>
          <w:highlight w:val="none"/>
          <w:u w:val="single"/>
          <w:lang w:val="en-US" w:eastAsia="zh-CN"/>
        </w:rPr>
        <w:t>3</w:t>
      </w:r>
      <w:r>
        <w:rPr>
          <w:rFonts w:hint="eastAsia"/>
          <w:color w:val="auto"/>
          <w:highlight w:val="none"/>
          <w:u w:val="single"/>
        </w:rPr>
        <w:t xml:space="preserve">天内审批完毕 </w:t>
      </w:r>
      <w:r>
        <w:rPr>
          <w:color w:val="auto"/>
          <w:highlight w:val="none"/>
          <w:u w:val="single"/>
        </w:rPr>
        <w:t xml:space="preserve">     </w:t>
      </w:r>
      <w:r>
        <w:rPr>
          <w:rFonts w:hint="eastAsia" w:hAnsi="宋体" w:cs="宋体"/>
          <w:color w:val="auto"/>
          <w:highlight w:val="none"/>
        </w:rPr>
        <w:t>。</w:t>
      </w:r>
    </w:p>
    <w:p w14:paraId="1670E1BA">
      <w:pPr>
        <w:spacing w:line="360" w:lineRule="auto"/>
        <w:ind w:firstLine="420" w:firstLineChars="200"/>
        <w:jc w:val="left"/>
        <w:rPr>
          <w:color w:val="auto"/>
          <w:highlight w:val="none"/>
          <w:u w:val="single"/>
        </w:rPr>
      </w:pPr>
      <w:r>
        <w:rPr>
          <w:rFonts w:hint="eastAsia" w:hAnsi="宋体" w:cs="宋体"/>
          <w:color w:val="auto"/>
          <w:highlight w:val="none"/>
        </w:rPr>
        <w:t>承</w:t>
      </w:r>
      <w:bookmarkStart w:id="741" w:name="_Toc296944543"/>
      <w:bookmarkStart w:id="742" w:name="_Toc297120504"/>
      <w:bookmarkStart w:id="743" w:name="_Toc292559409"/>
      <w:bookmarkStart w:id="744" w:name="_Toc296503204"/>
      <w:bookmarkStart w:id="745" w:name="_Toc292559914"/>
      <w:bookmarkStart w:id="746" w:name="_Toc296347203"/>
      <w:bookmarkStart w:id="747" w:name="_Toc296891032"/>
      <w:bookmarkStart w:id="748" w:name="_Toc312677504"/>
      <w:bookmarkStart w:id="749" w:name="_Toc297123546"/>
      <w:bookmarkStart w:id="750" w:name="_Toc304295571"/>
      <w:bookmarkStart w:id="751" w:name="_Toc312678030"/>
      <w:bookmarkStart w:id="752" w:name="_Toc303539152"/>
      <w:bookmarkStart w:id="753" w:name="_Toc296891244"/>
      <w:bookmarkStart w:id="754" w:name="_Toc300934995"/>
      <w:bookmarkStart w:id="755" w:name="_Toc297048390"/>
      <w:bookmarkStart w:id="756" w:name="_Toc296346705"/>
      <w:bookmarkStart w:id="757" w:name="_Toc297216205"/>
      <w:bookmarkStart w:id="758" w:name="_Toc318581175"/>
      <w:r>
        <w:rPr>
          <w:rFonts w:hint="eastAsia" w:hAnsi="宋体" w:cs="宋体"/>
          <w:color w:val="auto"/>
          <w:highlight w:val="none"/>
        </w:rPr>
        <w:t>包人提出的合理化建议降低了合同价格或者提高了工程经济效益的奖励的方法和金额为：</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14:paraId="4138F8E7">
      <w:pPr>
        <w:pStyle w:val="6"/>
        <w:rPr>
          <w:color w:val="auto"/>
          <w:highlight w:val="none"/>
        </w:rPr>
      </w:pPr>
      <w:bookmarkStart w:id="759" w:name="_Toc373227744"/>
      <w:bookmarkStart w:id="760" w:name="_Toc10710"/>
      <w:bookmarkStart w:id="761" w:name="_Toc373478391"/>
      <w:bookmarkStart w:id="762" w:name="_Toc389065310"/>
      <w:bookmarkStart w:id="763" w:name="_Toc407135247"/>
      <w:r>
        <w:rPr>
          <w:color w:val="auto"/>
          <w:highlight w:val="none"/>
        </w:rPr>
        <w:t>1</w:t>
      </w:r>
      <w:bookmarkStart w:id="764" w:name="_Toc296347198"/>
      <w:bookmarkStart w:id="765" w:name="_Toc296891239"/>
      <w:bookmarkStart w:id="766" w:name="_Toc292559909"/>
      <w:bookmarkStart w:id="767" w:name="_Toc297048385"/>
      <w:bookmarkStart w:id="768" w:name="_Toc296503199"/>
      <w:bookmarkStart w:id="769" w:name="_Toc296891027"/>
      <w:bookmarkStart w:id="770" w:name="_Toc300934997"/>
      <w:bookmarkStart w:id="771" w:name="_Toc292559404"/>
      <w:bookmarkStart w:id="772" w:name="_Toc297216207"/>
      <w:bookmarkStart w:id="773" w:name="_Toc312677507"/>
      <w:bookmarkStart w:id="774" w:name="_Toc296944538"/>
      <w:bookmarkStart w:id="775" w:name="_Toc297123548"/>
      <w:bookmarkStart w:id="776" w:name="_Toc312678033"/>
      <w:bookmarkStart w:id="777" w:name="_Toc296346700"/>
      <w:bookmarkStart w:id="778" w:name="_Toc303539154"/>
      <w:bookmarkStart w:id="779" w:name="_Toc297120499"/>
      <w:bookmarkStart w:id="780" w:name="_Toc304295574"/>
      <w:r>
        <w:rPr>
          <w:color w:val="auto"/>
          <w:highlight w:val="none"/>
        </w:rPr>
        <w:t xml:space="preserve">0.7 </w:t>
      </w:r>
      <w:r>
        <w:rPr>
          <w:rFonts w:hint="eastAsia" w:hAnsi="宋体" w:cs="黑体"/>
          <w:color w:val="auto"/>
          <w:highlight w:val="none"/>
        </w:rPr>
        <w:t>暂估价</w:t>
      </w:r>
      <w:bookmarkEnd w:id="759"/>
      <w:bookmarkEnd w:id="760"/>
      <w:bookmarkEnd w:id="761"/>
      <w:bookmarkEnd w:id="762"/>
      <w:bookmarkEnd w:id="763"/>
    </w:p>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14:paraId="29695B00">
      <w:pPr>
        <w:spacing w:line="360" w:lineRule="auto"/>
        <w:ind w:firstLine="420" w:firstLineChars="200"/>
        <w:jc w:val="left"/>
        <w:rPr>
          <w:rFonts w:hint="eastAsia" w:ascii="Times New Roman" w:hAnsi="宋体" w:eastAsia="宋体" w:cs="宋体"/>
          <w:color w:val="auto"/>
          <w:highlight w:val="none"/>
        </w:rPr>
      </w:pPr>
      <w:r>
        <w:rPr>
          <w:rFonts w:hint="eastAsia" w:ascii="Times New Roman" w:hAnsi="宋体" w:eastAsia="宋体" w:cs="宋体"/>
          <w:color w:val="auto"/>
          <w:highlight w:val="none"/>
        </w:rPr>
        <w:t>暂</w:t>
      </w:r>
      <w:bookmarkStart w:id="781" w:name="_Toc312678034"/>
      <w:bookmarkStart w:id="782" w:name="_Toc318581176"/>
      <w:bookmarkStart w:id="783" w:name="_Toc312677508"/>
      <w:r>
        <w:rPr>
          <w:rFonts w:hint="eastAsia" w:ascii="Times New Roman" w:hAnsi="宋体" w:eastAsia="宋体" w:cs="宋体"/>
          <w:color w:val="auto"/>
          <w:highlight w:val="none"/>
        </w:rPr>
        <w:t>估价材料和工程设备的明细详见已标价工程量清单《材料（工程设备）暂估价格及调整表》（表12-2）和《专业工程暂估价表》（表12-3）。</w:t>
      </w:r>
    </w:p>
    <w:bookmarkEnd w:id="781"/>
    <w:bookmarkEnd w:id="782"/>
    <w:bookmarkEnd w:id="783"/>
    <w:p w14:paraId="1328B8C0">
      <w:pPr>
        <w:spacing w:line="360" w:lineRule="auto"/>
        <w:ind w:firstLine="420" w:firstLineChars="200"/>
        <w:jc w:val="left"/>
        <w:rPr>
          <w:color w:val="auto"/>
          <w:highlight w:val="none"/>
        </w:rPr>
      </w:pPr>
      <w:r>
        <w:rPr>
          <w:color w:val="auto"/>
          <w:highlight w:val="none"/>
        </w:rPr>
        <w:t>1</w:t>
      </w:r>
      <w:bookmarkStart w:id="784" w:name="_Toc312677509"/>
      <w:bookmarkStart w:id="785" w:name="_Toc318581177"/>
      <w:bookmarkStart w:id="786" w:name="_Toc312678035"/>
      <w:r>
        <w:rPr>
          <w:color w:val="auto"/>
          <w:highlight w:val="none"/>
        </w:rPr>
        <w:t xml:space="preserve">0.7.1 </w:t>
      </w:r>
      <w:r>
        <w:rPr>
          <w:rFonts w:hint="eastAsia" w:hAnsi="宋体" w:cs="宋体"/>
          <w:color w:val="auto"/>
          <w:highlight w:val="none"/>
        </w:rPr>
        <w:t>依法必须招标的暂估价项目</w:t>
      </w:r>
    </w:p>
    <w:bookmarkEnd w:id="784"/>
    <w:bookmarkEnd w:id="785"/>
    <w:bookmarkEnd w:id="786"/>
    <w:p w14:paraId="10FC3589">
      <w:pPr>
        <w:spacing w:line="360" w:lineRule="auto"/>
        <w:ind w:firstLine="420" w:firstLineChars="200"/>
        <w:jc w:val="left"/>
        <w:rPr>
          <w:color w:val="auto"/>
          <w:highlight w:val="none"/>
        </w:rPr>
      </w:pPr>
      <w:r>
        <w:rPr>
          <w:rFonts w:hint="eastAsia" w:hAnsi="宋体" w:cs="宋体"/>
          <w:color w:val="auto"/>
          <w:highlight w:val="none"/>
        </w:rPr>
        <w:t>对于依法必须招标的暂估价项目的确认和批准采取第</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种方式确定。</w:t>
      </w:r>
    </w:p>
    <w:p w14:paraId="12C7A928">
      <w:pPr>
        <w:spacing w:line="360" w:lineRule="auto"/>
        <w:ind w:firstLine="420" w:firstLineChars="200"/>
        <w:jc w:val="left"/>
        <w:rPr>
          <w:color w:val="auto"/>
          <w:highlight w:val="none"/>
        </w:rPr>
      </w:pPr>
      <w:r>
        <w:rPr>
          <w:color w:val="auto"/>
          <w:highlight w:val="none"/>
        </w:rPr>
        <w:t xml:space="preserve">10.7.2 </w:t>
      </w:r>
      <w:r>
        <w:rPr>
          <w:rFonts w:hint="eastAsia" w:hAnsi="宋体" w:cs="宋体"/>
          <w:color w:val="auto"/>
          <w:highlight w:val="none"/>
        </w:rPr>
        <w:t>不属于依法必须招标的暂估价项目</w:t>
      </w:r>
    </w:p>
    <w:p w14:paraId="45D12769">
      <w:pPr>
        <w:spacing w:line="360" w:lineRule="auto"/>
        <w:ind w:firstLine="420" w:firstLineChars="200"/>
        <w:jc w:val="left"/>
        <w:rPr>
          <w:color w:val="auto"/>
          <w:highlight w:val="none"/>
        </w:rPr>
      </w:pPr>
      <w:r>
        <w:rPr>
          <w:rFonts w:hint="eastAsia" w:hAnsi="宋体" w:cs="宋体"/>
          <w:color w:val="auto"/>
          <w:highlight w:val="none"/>
        </w:rPr>
        <w:t>对于不属于依法必须招标的暂估价项目的确认和批准采取第</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color w:val="auto"/>
          <w:highlight w:val="none"/>
        </w:rPr>
        <w:t xml:space="preserve"> </w:t>
      </w:r>
      <w:r>
        <w:rPr>
          <w:rFonts w:hint="eastAsia" w:hAnsi="宋体" w:cs="宋体"/>
          <w:color w:val="auto"/>
          <w:highlight w:val="none"/>
        </w:rPr>
        <w:t>种方式确定。</w:t>
      </w:r>
    </w:p>
    <w:p w14:paraId="52A5AEF7">
      <w:pPr>
        <w:spacing w:line="360" w:lineRule="auto"/>
        <w:ind w:firstLine="420" w:firstLineChars="200"/>
        <w:jc w:val="left"/>
        <w:rPr>
          <w:color w:val="auto"/>
          <w:kern w:val="0"/>
          <w:highlight w:val="none"/>
        </w:rPr>
      </w:pPr>
      <w:r>
        <w:rPr>
          <w:rFonts w:hint="eastAsia" w:hAnsi="宋体" w:cs="宋体"/>
          <w:color w:val="auto"/>
          <w:highlight w:val="none"/>
        </w:rPr>
        <w:t>第</w:t>
      </w:r>
      <w:r>
        <w:rPr>
          <w:color w:val="auto"/>
          <w:highlight w:val="none"/>
        </w:rPr>
        <w:t>3</w:t>
      </w:r>
      <w:r>
        <w:rPr>
          <w:rFonts w:hint="eastAsia" w:hAnsi="宋体" w:cs="宋体"/>
          <w:color w:val="auto"/>
          <w:highlight w:val="none"/>
        </w:rPr>
        <w:t>种方式：</w:t>
      </w:r>
      <w:r>
        <w:rPr>
          <w:rFonts w:hint="eastAsia" w:hAnsi="宋体" w:cs="宋体"/>
          <w:color w:val="auto"/>
          <w:kern w:val="0"/>
          <w:highlight w:val="none"/>
        </w:rPr>
        <w:t>承包人直接实施的暂估价项目</w:t>
      </w:r>
    </w:p>
    <w:p w14:paraId="2AD52608">
      <w:pPr>
        <w:spacing w:line="360" w:lineRule="auto"/>
        <w:ind w:firstLine="420" w:firstLineChars="200"/>
        <w:jc w:val="left"/>
        <w:rPr>
          <w:color w:val="auto"/>
          <w:highlight w:val="none"/>
        </w:rPr>
      </w:pPr>
      <w:r>
        <w:rPr>
          <w:rFonts w:hint="eastAsia" w:hAnsi="宋体" w:cs="宋体"/>
          <w:color w:val="auto"/>
          <w:highlight w:val="none"/>
        </w:rPr>
        <w:t>承包人直接实施的暂估价项目的约定：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0084A388">
      <w:pPr>
        <w:pStyle w:val="6"/>
        <w:rPr>
          <w:color w:val="auto"/>
          <w:highlight w:val="none"/>
        </w:rPr>
      </w:pPr>
      <w:bookmarkStart w:id="787" w:name="_Toc389065311"/>
      <w:bookmarkStart w:id="788" w:name="_Toc17543"/>
      <w:bookmarkStart w:id="789" w:name="_Toc407135248"/>
      <w:bookmarkStart w:id="790" w:name="_Toc373227745"/>
      <w:bookmarkStart w:id="791" w:name="_Toc373478392"/>
      <w:r>
        <w:rPr>
          <w:color w:val="auto"/>
          <w:highlight w:val="none"/>
        </w:rPr>
        <w:t xml:space="preserve">10.8 </w:t>
      </w:r>
      <w:r>
        <w:rPr>
          <w:rFonts w:hint="eastAsia" w:hAnsi="宋体" w:cs="黑体"/>
          <w:color w:val="auto"/>
          <w:highlight w:val="none"/>
        </w:rPr>
        <w:t>暂列金额</w:t>
      </w:r>
      <w:bookmarkEnd w:id="787"/>
      <w:bookmarkEnd w:id="788"/>
      <w:bookmarkEnd w:id="789"/>
      <w:bookmarkEnd w:id="790"/>
      <w:bookmarkEnd w:id="791"/>
    </w:p>
    <w:p w14:paraId="13F54B79">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合同当事人关于暂列金额使用的约定：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kern w:val="0"/>
          <w:highlight w:val="none"/>
        </w:rPr>
        <w:t>。</w:t>
      </w:r>
    </w:p>
    <w:p w14:paraId="1DE337DE">
      <w:pPr>
        <w:pStyle w:val="5"/>
        <w:numPr>
          <w:ilvl w:val="0"/>
          <w:numId w:val="11"/>
        </w:numPr>
        <w:rPr>
          <w:color w:val="auto"/>
          <w:highlight w:val="none"/>
        </w:rPr>
      </w:pPr>
      <w:bookmarkStart w:id="792" w:name="_Toc389065312"/>
      <w:bookmarkStart w:id="793" w:name="_Toc373478393"/>
      <w:bookmarkStart w:id="794" w:name="_Toc6988"/>
      <w:bookmarkStart w:id="795" w:name="_Toc351203643"/>
      <w:bookmarkStart w:id="796" w:name="_Toc407135249"/>
      <w:bookmarkStart w:id="797" w:name="_Toc373227746"/>
      <w:r>
        <w:rPr>
          <w:rFonts w:hint="eastAsia" w:hAnsi="宋体" w:cs="黑体"/>
          <w:color w:val="auto"/>
          <w:highlight w:val="none"/>
        </w:rPr>
        <w:t>价格调整</w:t>
      </w:r>
      <w:bookmarkEnd w:id="792"/>
      <w:bookmarkEnd w:id="793"/>
      <w:bookmarkEnd w:id="794"/>
      <w:bookmarkEnd w:id="795"/>
      <w:bookmarkEnd w:id="796"/>
      <w:bookmarkEnd w:id="797"/>
    </w:p>
    <w:p w14:paraId="418AB251">
      <w:pPr>
        <w:pStyle w:val="6"/>
        <w:rPr>
          <w:color w:val="auto"/>
          <w:highlight w:val="none"/>
        </w:rPr>
      </w:pPr>
      <w:bookmarkStart w:id="798" w:name="_Toc3300"/>
      <w:bookmarkStart w:id="799" w:name="_Toc407135250"/>
      <w:bookmarkStart w:id="800" w:name="_Toc373227747"/>
      <w:bookmarkStart w:id="801" w:name="_Toc389065313"/>
      <w:bookmarkStart w:id="802" w:name="_Toc373478394"/>
      <w:bookmarkStart w:id="803" w:name="_Toc297120501"/>
      <w:bookmarkStart w:id="804" w:name="_Toc292559406"/>
      <w:bookmarkStart w:id="805" w:name="_Toc312678039"/>
      <w:bookmarkStart w:id="806" w:name="_Toc292559911"/>
      <w:bookmarkStart w:id="807" w:name="_Toc300935000"/>
      <w:bookmarkStart w:id="808" w:name="_Toc296891241"/>
      <w:bookmarkStart w:id="809" w:name="_Toc297048387"/>
      <w:bookmarkStart w:id="810" w:name="_Toc304295577"/>
      <w:bookmarkStart w:id="811" w:name="_Toc296891029"/>
      <w:bookmarkStart w:id="812" w:name="_Toc303539157"/>
      <w:bookmarkStart w:id="813" w:name="_Toc297123550"/>
      <w:bookmarkStart w:id="814" w:name="_Toc296346702"/>
      <w:bookmarkStart w:id="815" w:name="_Toc296503201"/>
      <w:bookmarkStart w:id="816" w:name="_Toc297216209"/>
      <w:bookmarkStart w:id="817" w:name="_Toc296347200"/>
      <w:bookmarkStart w:id="818" w:name="_Toc296944540"/>
      <w:r>
        <w:rPr>
          <w:color w:val="auto"/>
          <w:highlight w:val="none"/>
        </w:rPr>
        <w:t xml:space="preserve">11.1 </w:t>
      </w:r>
      <w:r>
        <w:rPr>
          <w:rFonts w:hint="eastAsia" w:cs="黑体"/>
          <w:color w:val="auto"/>
          <w:highlight w:val="none"/>
        </w:rPr>
        <w:t>市场价格波动引起的调整</w:t>
      </w:r>
      <w:bookmarkEnd w:id="798"/>
      <w:bookmarkEnd w:id="799"/>
      <w:bookmarkEnd w:id="800"/>
      <w:bookmarkEnd w:id="801"/>
      <w:bookmarkEnd w:id="802"/>
    </w:p>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14:paraId="3ADF8FA2">
      <w:pPr>
        <w:spacing w:line="360" w:lineRule="auto"/>
        <w:ind w:firstLine="420" w:firstLineChars="200"/>
        <w:jc w:val="left"/>
        <w:rPr>
          <w:color w:val="auto"/>
          <w:highlight w:val="none"/>
        </w:rPr>
      </w:pPr>
      <w:r>
        <w:rPr>
          <w:rFonts w:hint="eastAsia" w:hAnsi="宋体" w:cs="宋体"/>
          <w:color w:val="auto"/>
          <w:kern w:val="0"/>
          <w:highlight w:val="none"/>
        </w:rPr>
        <w:t>市场价格波动是否调整合同价格的约定：</w:t>
      </w:r>
      <w:r>
        <w:rPr>
          <w:color w:val="auto"/>
          <w:highlight w:val="none"/>
          <w:u w:val="single"/>
        </w:rPr>
        <w:t xml:space="preserve">  </w:t>
      </w:r>
      <w:r>
        <w:rPr>
          <w:rFonts w:hint="eastAsia"/>
          <w:color w:val="auto"/>
          <w:highlight w:val="none"/>
          <w:u w:val="single"/>
          <w:lang w:val="en-US" w:eastAsia="zh-CN"/>
        </w:rPr>
        <w:t>否</w:t>
      </w:r>
      <w:r>
        <w:rPr>
          <w:color w:val="auto"/>
          <w:highlight w:val="none"/>
          <w:u w:val="single"/>
        </w:rPr>
        <w:t xml:space="preserve">   </w:t>
      </w:r>
      <w:r>
        <w:rPr>
          <w:rFonts w:hint="eastAsia" w:hAnsi="宋体" w:cs="宋体"/>
          <w:color w:val="auto"/>
          <w:highlight w:val="none"/>
        </w:rPr>
        <w:t>。</w:t>
      </w:r>
    </w:p>
    <w:p w14:paraId="10AAEFC8">
      <w:pPr>
        <w:spacing w:line="360" w:lineRule="auto"/>
        <w:ind w:firstLine="420" w:firstLineChars="200"/>
        <w:jc w:val="left"/>
        <w:rPr>
          <w:color w:val="auto"/>
          <w:highlight w:val="none"/>
        </w:rPr>
      </w:pPr>
      <w:r>
        <w:rPr>
          <w:rFonts w:hint="eastAsia" w:hAnsi="宋体" w:cs="宋体"/>
          <w:color w:val="auto"/>
          <w:highlight w:val="none"/>
        </w:rPr>
        <w:t>因市场价格波动调整合同价格，采用以下第</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种方式对合同价格进行调整：</w:t>
      </w:r>
    </w:p>
    <w:p w14:paraId="2DD3A147">
      <w:pPr>
        <w:spacing w:line="360" w:lineRule="auto"/>
        <w:ind w:firstLine="420" w:firstLineChars="200"/>
        <w:jc w:val="left"/>
        <w:rPr>
          <w:color w:val="auto"/>
          <w:highlight w:val="none"/>
        </w:rPr>
      </w:pPr>
      <w:r>
        <w:rPr>
          <w:rFonts w:hint="eastAsia" w:hAnsi="宋体" w:cs="宋体"/>
          <w:color w:val="auto"/>
          <w:highlight w:val="none"/>
        </w:rPr>
        <w:t>第</w:t>
      </w:r>
      <w:r>
        <w:rPr>
          <w:color w:val="auto"/>
          <w:highlight w:val="none"/>
        </w:rPr>
        <w:t>1</w:t>
      </w:r>
      <w:r>
        <w:rPr>
          <w:rFonts w:hint="eastAsia" w:hAnsi="宋体" w:cs="宋体"/>
          <w:color w:val="auto"/>
          <w:highlight w:val="none"/>
        </w:rPr>
        <w:t>种方式：采用价格指数进行价格调整。</w:t>
      </w:r>
    </w:p>
    <w:p w14:paraId="63A03158">
      <w:pPr>
        <w:spacing w:line="360" w:lineRule="auto"/>
        <w:ind w:firstLine="420" w:firstLineChars="200"/>
        <w:jc w:val="left"/>
        <w:rPr>
          <w:color w:val="auto"/>
          <w:highlight w:val="none"/>
          <w:u w:val="single"/>
        </w:rPr>
      </w:pPr>
      <w:r>
        <w:rPr>
          <w:rFonts w:hint="eastAsia" w:hAnsi="宋体" w:cs="宋体"/>
          <w:color w:val="auto"/>
          <w:highlight w:val="none"/>
        </w:rPr>
        <w:t>关于各可调因子、定值和变值权重，以及基本价格指数及其来源的约定：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2E523A9C">
      <w:pPr>
        <w:spacing w:line="360" w:lineRule="auto"/>
        <w:ind w:firstLine="420" w:firstLineChars="200"/>
        <w:jc w:val="left"/>
        <w:rPr>
          <w:rFonts w:hAnsi="宋体"/>
          <w:color w:val="auto"/>
          <w:highlight w:val="none"/>
        </w:rPr>
      </w:pPr>
      <w:r>
        <w:rPr>
          <w:rFonts w:hint="eastAsia" w:hAnsi="宋体" w:cs="宋体"/>
          <w:color w:val="auto"/>
          <w:highlight w:val="none"/>
        </w:rPr>
        <w:t>第</w:t>
      </w:r>
      <w:r>
        <w:rPr>
          <w:color w:val="auto"/>
          <w:highlight w:val="none"/>
        </w:rPr>
        <w:t>2</w:t>
      </w:r>
      <w:r>
        <w:rPr>
          <w:rFonts w:hint="eastAsia" w:hAnsi="宋体" w:cs="宋体"/>
          <w:color w:val="auto"/>
          <w:highlight w:val="none"/>
        </w:rPr>
        <w:t>种方式：采用造价信息进行价格调整。</w:t>
      </w:r>
    </w:p>
    <w:p w14:paraId="3D7B01D3">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w:t>
      </w:r>
      <w:r>
        <w:rPr>
          <w:rFonts w:hint="eastAsia" w:ascii="Times New Roman" w:hAnsi="宋体" w:eastAsia="宋体" w:cs="宋体"/>
          <w:color w:val="auto"/>
          <w:highlight w:val="none"/>
        </w:rPr>
        <w:t>允许调整的主要材料和设备、基期价格、风险系数、投标报价详见《承包人提供主要材料和设备一览表》（表-22）</w:t>
      </w:r>
      <w:r>
        <w:rPr>
          <w:rFonts w:hint="eastAsia" w:ascii="Times New Roman" w:hAnsi="宋体" w:eastAsia="宋体" w:cs="宋体"/>
          <w:color w:val="auto"/>
          <w:highlight w:val="none"/>
          <w:lang w:eastAsia="zh-CN"/>
        </w:rPr>
        <w:t>，</w:t>
      </w:r>
      <w:r>
        <w:rPr>
          <w:rFonts w:hint="eastAsia" w:ascii="Times New Roman" w:hAnsi="宋体" w:eastAsia="宋体" w:cs="宋体"/>
          <w:color w:val="auto"/>
          <w:highlight w:val="none"/>
        </w:rPr>
        <w:t>价差调整部分仅计算税金，除此表列明的材料、设备外，其余材料设备价差原则上不予调整。</w:t>
      </w:r>
    </w:p>
    <w:p w14:paraId="15EC6B35">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）主要材料和设备确认价：</w:t>
      </w:r>
    </w:p>
    <w:p w14:paraId="346EB053">
      <w:pPr>
        <w:spacing w:line="360" w:lineRule="auto"/>
        <w:ind w:firstLine="420" w:firstLineChars="200"/>
        <w:jc w:val="left"/>
        <w:rPr>
          <w:color w:val="auto"/>
          <w:highlight w:val="none"/>
        </w:rPr>
      </w:pPr>
      <w:r>
        <w:rPr>
          <w:rFonts w:hint="eastAsia" w:hAnsi="宋体" w:cs="宋体"/>
          <w:color w:val="auto"/>
          <w:highlight w:val="none"/>
        </w:rPr>
        <w:t>按施工期间</w:t>
      </w:r>
      <w:r>
        <w:rPr>
          <w:rFonts w:hint="eastAsia" w:ascii="Times New Roman" w:hAnsi="宋体" w:eastAsia="宋体" w:cs="宋体"/>
          <w:color w:val="auto"/>
          <w:highlight w:val="none"/>
        </w:rPr>
        <w:t xml:space="preserve">《 </w:t>
      </w:r>
      <w:r>
        <w:rPr>
          <w:rFonts w:hint="eastAsia" w:ascii="Times New Roman" w:hAnsi="宋体" w:eastAsia="宋体" w:cs="宋体"/>
          <w:color w:val="auto"/>
          <w:highlight w:val="none"/>
          <w:u w:val="single"/>
          <w:lang w:val="en-US" w:eastAsia="zh-CN"/>
        </w:rPr>
        <w:t>陆川县</w:t>
      </w:r>
      <w:r>
        <w:rPr>
          <w:rFonts w:hint="eastAsia" w:ascii="Times New Roman" w:hAnsi="宋体" w:eastAsia="宋体" w:cs="宋体"/>
          <w:color w:val="auto"/>
          <w:highlight w:val="none"/>
          <w:u w:val="single"/>
        </w:rPr>
        <w:t xml:space="preserve"> </w:t>
      </w:r>
      <w:r>
        <w:rPr>
          <w:rFonts w:hint="eastAsia" w:ascii="Times New Roman" w:hAnsi="宋体" w:eastAsia="宋体" w:cs="宋体"/>
          <w:color w:val="auto"/>
          <w:highlight w:val="none"/>
        </w:rPr>
        <w:t>建设工程造价信息》材</w:t>
      </w:r>
      <w:r>
        <w:rPr>
          <w:rFonts w:hint="eastAsia" w:hAnsi="宋体" w:cs="宋体"/>
          <w:color w:val="auto"/>
          <w:highlight w:val="none"/>
        </w:rPr>
        <w:t>料信息价的加权平均价计算，信息价没有的按通用条款规定确定。</w:t>
      </w:r>
    </w:p>
    <w:p w14:paraId="61438BA3">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）价差计算方法：</w:t>
      </w:r>
    </w:p>
    <w:p w14:paraId="01064A21">
      <w:pPr>
        <w:spacing w:line="360" w:lineRule="auto"/>
        <w:ind w:firstLine="420" w:firstLineChars="200"/>
        <w:jc w:val="left"/>
        <w:rPr>
          <w:rFonts w:hAnsi="宋体"/>
          <w:color w:val="auto"/>
          <w:highlight w:val="none"/>
        </w:rPr>
      </w:pPr>
      <w:r>
        <w:rPr>
          <w:rFonts w:hint="eastAsia" w:hAnsi="宋体" w:cs="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02702DDF">
      <w:pPr>
        <w:spacing w:line="360" w:lineRule="auto"/>
        <w:ind w:firstLine="420" w:firstLineChars="200"/>
        <w:jc w:val="left"/>
        <w:rPr>
          <w:rFonts w:hAnsi="宋体"/>
          <w:color w:val="auto"/>
          <w:highlight w:val="none"/>
        </w:rPr>
      </w:pPr>
      <w:r>
        <w:rPr>
          <w:rFonts w:hint="eastAsia" w:hAnsi="宋体" w:cs="宋体"/>
          <w:color w:val="auto"/>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F67FE3">
      <w:pPr>
        <w:spacing w:line="360" w:lineRule="auto"/>
        <w:ind w:firstLine="420" w:firstLineChars="200"/>
        <w:jc w:val="left"/>
        <w:rPr>
          <w:color w:val="auto"/>
          <w:highlight w:val="none"/>
        </w:rPr>
      </w:pPr>
      <w:r>
        <w:rPr>
          <w:rFonts w:hint="eastAsia" w:hAnsi="宋体" w:cs="宋体"/>
          <w:color w:val="auto"/>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5D87CB79">
      <w:pPr>
        <w:spacing w:line="360" w:lineRule="auto"/>
        <w:ind w:firstLine="645"/>
        <w:jc w:val="left"/>
        <w:rPr>
          <w:color w:val="auto"/>
          <w:highlight w:val="none"/>
        </w:rPr>
      </w:pPr>
      <w:r>
        <w:rPr>
          <w:rFonts w:hint="eastAsia" w:hAnsi="宋体" w:cs="宋体"/>
          <w:color w:val="auto"/>
          <w:highlight w:val="none"/>
        </w:rPr>
        <w:t>第</w:t>
      </w:r>
      <w:r>
        <w:rPr>
          <w:rFonts w:hAnsi="宋体"/>
          <w:color w:val="auto"/>
          <w:highlight w:val="none"/>
        </w:rPr>
        <w:t>3</w:t>
      </w:r>
      <w:r>
        <w:rPr>
          <w:rFonts w:hint="eastAsia" w:hAnsi="宋体" w:cs="宋体"/>
          <w:color w:val="auto"/>
          <w:highlight w:val="none"/>
        </w:rPr>
        <w:t>种方式：</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cs="宋体"/>
          <w:color w:val="auto"/>
          <w:highlight w:val="none"/>
        </w:rPr>
        <w:t>。</w:t>
      </w:r>
    </w:p>
    <w:bookmarkEnd w:id="665"/>
    <w:bookmarkEnd w:id="666"/>
    <w:bookmarkEnd w:id="667"/>
    <w:bookmarkEnd w:id="668"/>
    <w:bookmarkEnd w:id="669"/>
    <w:bookmarkEnd w:id="670"/>
    <w:p w14:paraId="76200E94">
      <w:pPr>
        <w:pStyle w:val="5"/>
        <w:rPr>
          <w:color w:val="auto"/>
          <w:highlight w:val="none"/>
        </w:rPr>
      </w:pPr>
      <w:bookmarkStart w:id="819" w:name="_Toc297120505"/>
      <w:bookmarkStart w:id="820" w:name="_Toc296891245"/>
      <w:bookmarkStart w:id="821" w:name="_Toc296891033"/>
      <w:bookmarkStart w:id="822" w:name="_Toc292559410"/>
      <w:bookmarkStart w:id="823" w:name="_Toc292559915"/>
      <w:bookmarkStart w:id="824" w:name="_Toc296346706"/>
      <w:bookmarkStart w:id="825" w:name="_Toc297048391"/>
      <w:bookmarkStart w:id="826" w:name="_Toc296347204"/>
      <w:bookmarkStart w:id="827" w:name="_Toc296944544"/>
      <w:bookmarkStart w:id="828" w:name="_Toc296503205"/>
      <w:bookmarkStart w:id="829" w:name="_Toc373478395"/>
      <w:bookmarkStart w:id="830" w:name="_Toc373227748"/>
      <w:bookmarkStart w:id="831" w:name="_Toc22292"/>
      <w:bookmarkStart w:id="832" w:name="_Toc351203644"/>
      <w:bookmarkStart w:id="833" w:name="_Toc407135251"/>
      <w:bookmarkStart w:id="834" w:name="_Toc300935002"/>
      <w:bookmarkStart w:id="835" w:name="_Toc297216211"/>
      <w:bookmarkStart w:id="836" w:name="_Toc297123552"/>
      <w:bookmarkStart w:id="837" w:name="_Toc304295579"/>
      <w:bookmarkStart w:id="838" w:name="_Toc303539159"/>
      <w:bookmarkStart w:id="839" w:name="_Toc312678040"/>
      <w:r>
        <w:rPr>
          <w:color w:val="auto"/>
          <w:highlight w:val="none"/>
        </w:rPr>
        <w:t xml:space="preserve">12. </w:t>
      </w:r>
      <w:bookmarkEnd w:id="819"/>
      <w:bookmarkEnd w:id="820"/>
      <w:bookmarkEnd w:id="821"/>
      <w:bookmarkEnd w:id="822"/>
      <w:bookmarkEnd w:id="823"/>
      <w:bookmarkEnd w:id="824"/>
      <w:bookmarkEnd w:id="825"/>
      <w:bookmarkEnd w:id="826"/>
      <w:bookmarkEnd w:id="827"/>
      <w:bookmarkEnd w:id="828"/>
      <w:r>
        <w:rPr>
          <w:rFonts w:hint="eastAsia" w:cs="黑体"/>
          <w:color w:val="auto"/>
          <w:highlight w:val="none"/>
        </w:rPr>
        <w:t>合同价格、计量与支付</w:t>
      </w:r>
      <w:bookmarkEnd w:id="829"/>
      <w:bookmarkEnd w:id="830"/>
      <w:bookmarkEnd w:id="831"/>
      <w:bookmarkEnd w:id="832"/>
      <w:bookmarkEnd w:id="833"/>
    </w:p>
    <w:bookmarkEnd w:id="834"/>
    <w:bookmarkEnd w:id="835"/>
    <w:bookmarkEnd w:id="836"/>
    <w:bookmarkEnd w:id="837"/>
    <w:bookmarkEnd w:id="838"/>
    <w:bookmarkEnd w:id="839"/>
    <w:p w14:paraId="3C2D29BA">
      <w:pPr>
        <w:pStyle w:val="6"/>
        <w:rPr>
          <w:color w:val="auto"/>
          <w:highlight w:val="none"/>
        </w:rPr>
      </w:pPr>
      <w:bookmarkStart w:id="840" w:name="_Toc292559411"/>
      <w:bookmarkStart w:id="841" w:name="_Toc292559916"/>
      <w:bookmarkStart w:id="842" w:name="_Toc267251461"/>
      <w:bookmarkStart w:id="843" w:name="_Toc296346707"/>
      <w:bookmarkStart w:id="844" w:name="_Toc296891034"/>
      <w:bookmarkStart w:id="845" w:name="_Toc296503206"/>
      <w:bookmarkStart w:id="846" w:name="_Toc296347205"/>
      <w:bookmarkStart w:id="847" w:name="_Toc296944545"/>
      <w:bookmarkStart w:id="848" w:name="_Toc296891246"/>
      <w:bookmarkStart w:id="849" w:name="_Toc297120506"/>
      <w:bookmarkStart w:id="850" w:name="_Toc297048392"/>
      <w:bookmarkStart w:id="851" w:name="_Toc373478396"/>
      <w:bookmarkStart w:id="852" w:name="_Toc389065314"/>
      <w:bookmarkStart w:id="853" w:name="_Toc407135252"/>
      <w:bookmarkStart w:id="854" w:name="_Toc373227749"/>
      <w:bookmarkStart w:id="855" w:name="_Toc22927"/>
      <w:bookmarkStart w:id="856" w:name="_Toc303539160"/>
      <w:bookmarkStart w:id="857" w:name="_Toc300935003"/>
      <w:bookmarkStart w:id="858" w:name="_Toc312678041"/>
      <w:bookmarkStart w:id="859" w:name="_Toc304295580"/>
      <w:bookmarkStart w:id="860" w:name="_Toc297123553"/>
      <w:bookmarkStart w:id="861" w:name="_Toc297216212"/>
      <w:r>
        <w:rPr>
          <w:color w:val="auto"/>
          <w:highlight w:val="none"/>
        </w:rPr>
        <w:t xml:space="preserve">12.1 </w:t>
      </w:r>
      <w:r>
        <w:rPr>
          <w:rFonts w:hint="eastAsia" w:hAnsi="宋体" w:cs="黑体"/>
          <w:color w:val="auto"/>
          <w:highlight w:val="none"/>
        </w:rPr>
        <w:t>合</w:t>
      </w:r>
      <w:bookmarkEnd w:id="840"/>
      <w:bookmarkEnd w:id="841"/>
      <w:bookmarkEnd w:id="842"/>
      <w:r>
        <w:rPr>
          <w:rFonts w:hint="eastAsia" w:hAnsi="宋体" w:cs="黑体"/>
          <w:color w:val="auto"/>
          <w:highlight w:val="none"/>
        </w:rPr>
        <w:t>同价</w:t>
      </w:r>
      <w:bookmarkEnd w:id="843"/>
      <w:bookmarkEnd w:id="844"/>
      <w:bookmarkEnd w:id="845"/>
      <w:bookmarkEnd w:id="846"/>
      <w:bookmarkEnd w:id="847"/>
      <w:bookmarkEnd w:id="848"/>
      <w:bookmarkEnd w:id="849"/>
      <w:bookmarkEnd w:id="850"/>
      <w:r>
        <w:rPr>
          <w:rFonts w:hint="eastAsia" w:hAnsi="宋体" w:cs="黑体"/>
          <w:color w:val="auto"/>
          <w:highlight w:val="none"/>
        </w:rPr>
        <w:t>格形式</w:t>
      </w:r>
      <w:bookmarkEnd w:id="851"/>
      <w:bookmarkEnd w:id="852"/>
      <w:bookmarkEnd w:id="853"/>
      <w:bookmarkEnd w:id="854"/>
      <w:bookmarkEnd w:id="855"/>
    </w:p>
    <w:bookmarkEnd w:id="856"/>
    <w:bookmarkEnd w:id="857"/>
    <w:bookmarkEnd w:id="858"/>
    <w:bookmarkEnd w:id="859"/>
    <w:bookmarkEnd w:id="860"/>
    <w:bookmarkEnd w:id="861"/>
    <w:p w14:paraId="3C7F888C">
      <w:pPr>
        <w:spacing w:line="360" w:lineRule="auto"/>
        <w:ind w:firstLine="420" w:firstLineChars="200"/>
        <w:jc w:val="left"/>
        <w:rPr>
          <w:rFonts w:hAnsi="宋体"/>
          <w:color w:val="auto"/>
          <w:highlight w:val="none"/>
        </w:rPr>
      </w:pPr>
      <w:bookmarkStart w:id="862" w:name="_Toc389065315"/>
      <w:bookmarkStart w:id="863" w:name="_Toc373227750"/>
      <w:bookmarkStart w:id="864" w:name="_Toc373478397"/>
      <w:bookmarkStart w:id="865" w:name="_Toc304295581"/>
      <w:bookmarkStart w:id="866" w:name="_Toc300935004"/>
      <w:bookmarkStart w:id="867" w:name="_Toc297123554"/>
      <w:bookmarkStart w:id="868" w:name="_Toc297216213"/>
      <w:bookmarkStart w:id="869" w:name="_Toc312678042"/>
      <w:bookmarkStart w:id="870" w:name="_Toc303539161"/>
      <w:bookmarkStart w:id="871" w:name="_Toc296944546"/>
      <w:bookmarkStart w:id="872" w:name="_Toc297048393"/>
      <w:bookmarkStart w:id="873" w:name="_Toc296503207"/>
      <w:bookmarkStart w:id="874" w:name="_Toc297120507"/>
      <w:bookmarkStart w:id="875" w:name="_Toc296891035"/>
      <w:bookmarkStart w:id="876" w:name="_Toc296346708"/>
      <w:bookmarkStart w:id="877" w:name="_Toc292559917"/>
      <w:bookmarkStart w:id="878" w:name="_Toc296891247"/>
      <w:bookmarkStart w:id="879" w:name="_Toc292559412"/>
      <w:bookmarkStart w:id="880" w:name="_Toc296347206"/>
      <w:r>
        <w:rPr>
          <w:rFonts w:hint="eastAsia" w:hAnsi="宋体" w:cs="宋体"/>
          <w:color w:val="auto"/>
          <w:highlight w:val="none"/>
        </w:rPr>
        <w:t>本工程采用</w:t>
      </w:r>
      <w:r>
        <w:rPr>
          <w:rFonts w:hAnsi="宋体"/>
          <w:color w:val="auto"/>
          <w:highlight w:val="none"/>
          <w:u w:val="single"/>
        </w:rPr>
        <w:t xml:space="preserve">   </w:t>
      </w:r>
      <w:r>
        <w:rPr>
          <w:rFonts w:hint="eastAsia" w:hAnsi="宋体"/>
          <w:color w:val="auto"/>
          <w:highlight w:val="none"/>
          <w:u w:val="single"/>
        </w:rPr>
        <w:t>固定综合单价</w:t>
      </w:r>
      <w:r>
        <w:rPr>
          <w:rFonts w:hAnsi="宋体"/>
          <w:color w:val="auto"/>
          <w:highlight w:val="none"/>
          <w:u w:val="single"/>
        </w:rPr>
        <w:t xml:space="preserve">  </w:t>
      </w:r>
      <w:r>
        <w:rPr>
          <w:rFonts w:hint="eastAsia" w:hAnsi="宋体" w:cs="宋体"/>
          <w:color w:val="auto"/>
          <w:highlight w:val="none"/>
        </w:rPr>
        <w:t>合同价格形式，合同价格包含增值税，本工程计价时采用的增值税计税方法为：</w:t>
      </w:r>
      <w:r>
        <w:rPr>
          <w:rFonts w:hint="eastAsia" w:ascii="宋体" w:hAnsi="宋体" w:cs="宋体"/>
          <w:color w:val="auto"/>
          <w:highlight w:val="none"/>
        </w:rPr>
        <w:t>☑</w:t>
      </w:r>
      <w:r>
        <w:rPr>
          <w:rFonts w:hint="eastAsia" w:hAnsi="宋体" w:cs="宋体"/>
          <w:color w:val="auto"/>
          <w:highlight w:val="none"/>
        </w:rPr>
        <w:t xml:space="preserve">一般计税法   </w:t>
      </w:r>
      <w:r>
        <w:rPr>
          <w:rFonts w:hint="eastAsia" w:ascii="宋体" w:hAnsi="宋体" w:cs="宋体"/>
          <w:color w:val="auto"/>
          <w:highlight w:val="none"/>
        </w:rPr>
        <w:t>□</w:t>
      </w:r>
      <w:r>
        <w:rPr>
          <w:rFonts w:hint="eastAsia" w:hAnsi="宋体" w:cs="宋体"/>
          <w:color w:val="auto"/>
          <w:highlight w:val="none"/>
        </w:rPr>
        <w:t>简易计税法。</w:t>
      </w:r>
    </w:p>
    <w:p w14:paraId="283C71E4">
      <w:pPr>
        <w:spacing w:line="360" w:lineRule="auto"/>
        <w:ind w:firstLine="420" w:firstLineChars="200"/>
        <w:jc w:val="left"/>
        <w:rPr>
          <w:rFonts w:hAnsi="宋体"/>
          <w:color w:val="auto"/>
          <w:highlight w:val="none"/>
        </w:rPr>
      </w:pPr>
      <w:r>
        <w:rPr>
          <w:rFonts w:hint="eastAsia" w:hAnsi="宋体" w:cs="宋体"/>
          <w:color w:val="auto"/>
          <w:highlight w:val="none"/>
        </w:rPr>
        <w:t>（</w:t>
      </w:r>
      <w:r>
        <w:rPr>
          <w:rFonts w:hAnsi="宋体"/>
          <w:color w:val="auto"/>
          <w:highlight w:val="none"/>
        </w:rPr>
        <w:t>1</w:t>
      </w:r>
      <w:r>
        <w:rPr>
          <w:rFonts w:hint="eastAsia" w:hAnsi="宋体" w:cs="宋体"/>
          <w:color w:val="auto"/>
          <w:highlight w:val="none"/>
        </w:rPr>
        <w:t>）单价合同。</w:t>
      </w:r>
    </w:p>
    <w:p w14:paraId="4FFE59C4">
      <w:pPr>
        <w:spacing w:line="360" w:lineRule="auto"/>
        <w:ind w:firstLine="420" w:firstLineChars="200"/>
        <w:jc w:val="left"/>
        <w:rPr>
          <w:rFonts w:hAnsi="宋体"/>
          <w:color w:val="auto"/>
          <w:highlight w:val="none"/>
        </w:rPr>
      </w:pPr>
      <w:r>
        <w:rPr>
          <w:rFonts w:hint="eastAsia" w:hAnsi="宋体" w:cs="宋体"/>
          <w:color w:val="auto"/>
          <w:highlight w:val="none"/>
        </w:rPr>
        <w:t>采用综合单价合同方式时，工程量按建设单位、监理单位、施工单位三方确认的竣工图结算。</w:t>
      </w:r>
    </w:p>
    <w:p w14:paraId="76174CDE">
      <w:pPr>
        <w:spacing w:line="360" w:lineRule="auto"/>
        <w:ind w:firstLine="420" w:firstLineChars="200"/>
        <w:jc w:val="left"/>
        <w:rPr>
          <w:rFonts w:hAnsi="宋体"/>
          <w:color w:val="auto"/>
          <w:highlight w:val="none"/>
        </w:rPr>
      </w:pPr>
      <w:r>
        <w:rPr>
          <w:rFonts w:hint="eastAsia" w:hAnsi="宋体" w:cs="宋体"/>
          <w:color w:val="auto"/>
          <w:highlight w:val="none"/>
        </w:rPr>
        <w:t>综合单价包含的风险范围：</w:t>
      </w:r>
      <w:r>
        <w:rPr>
          <w:rFonts w:hint="eastAsia" w:hAnsi="宋体" w:cs="宋体"/>
          <w:color w:val="auto"/>
          <w:highlight w:val="none"/>
          <w:u w:val="single"/>
        </w:rPr>
        <w:t>除工程变更、项目特征不符、工程量清单缺项、工程量偏差、政策性调整、本工程《承包人提供主要材料和设备一览表》中约定的材料和设备价格变动风险以外的其他风险因素。</w:t>
      </w:r>
    </w:p>
    <w:p w14:paraId="49AFD02C">
      <w:pPr>
        <w:spacing w:line="360" w:lineRule="auto"/>
        <w:ind w:firstLine="420" w:firstLineChars="200"/>
        <w:jc w:val="left"/>
        <w:rPr>
          <w:rFonts w:hAnsi="宋体" w:cs="宋体"/>
          <w:color w:val="auto"/>
          <w:highlight w:val="none"/>
        </w:rPr>
      </w:pPr>
      <w:r>
        <w:rPr>
          <w:rFonts w:hint="eastAsia" w:hAnsi="宋体" w:cs="宋体"/>
          <w:color w:val="auto"/>
          <w:highlight w:val="none"/>
        </w:rPr>
        <w:t>风险范围以外合同价格的调整方法：</w:t>
      </w:r>
    </w:p>
    <w:p w14:paraId="64BD460D">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①工程变更</w:t>
      </w:r>
      <w:r>
        <w:rPr>
          <w:rFonts w:hint="eastAsia" w:ascii="Calibri" w:hAnsi="宋体" w:cs="宋体"/>
          <w:color w:val="auto"/>
          <w:highlight w:val="none"/>
        </w:rPr>
        <w:t>、项目特征不符、工程量清单缺项</w:t>
      </w:r>
      <w:r>
        <w:rPr>
          <w:rFonts w:hint="eastAsia" w:hAnsi="宋体" w:cs="宋体"/>
          <w:color w:val="auto"/>
          <w:highlight w:val="none"/>
        </w:rPr>
        <w:t>：按</w:t>
      </w:r>
      <w:r>
        <w:rPr>
          <w:rFonts w:hAnsi="宋体" w:cs="宋体"/>
          <w:color w:val="auto"/>
          <w:highlight w:val="none"/>
        </w:rPr>
        <w:t>10.4.1</w:t>
      </w:r>
      <w:r>
        <w:rPr>
          <w:rFonts w:hint="eastAsia" w:hAnsi="宋体" w:cs="宋体"/>
          <w:color w:val="auto"/>
          <w:highlight w:val="none"/>
        </w:rPr>
        <w:t>变更估价原则的约定调整。</w:t>
      </w:r>
    </w:p>
    <w:p w14:paraId="0DD6D8F5">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②</w:t>
      </w:r>
      <w:r>
        <w:rPr>
          <w:rFonts w:hint="eastAsia" w:ascii="Calibri" w:hAnsi="宋体" w:cs="宋体"/>
          <w:color w:val="auto"/>
          <w:highlight w:val="none"/>
        </w:rPr>
        <w:t>工程量偏差：按1.13工程量清单错误修正的约定调整。</w:t>
      </w:r>
    </w:p>
    <w:p w14:paraId="264C4214">
      <w:pPr>
        <w:spacing w:line="360" w:lineRule="auto"/>
        <w:ind w:firstLine="420" w:firstLineChars="200"/>
        <w:jc w:val="left"/>
        <w:rPr>
          <w:rFonts w:hAnsi="宋体" w:cs="宋体"/>
          <w:color w:val="auto"/>
          <w:highlight w:val="none"/>
        </w:rPr>
      </w:pPr>
      <w:r>
        <w:rPr>
          <w:rFonts w:hint="eastAsia" w:hAnsi="宋体" w:cs="宋体"/>
          <w:color w:val="auto"/>
          <w:highlight w:val="none"/>
        </w:rPr>
        <w:t>③政策性调整：</w:t>
      </w:r>
      <w:r>
        <w:rPr>
          <w:rFonts w:hint="eastAsia" w:ascii="仿宋_GB2312" w:hAnsi="宋体"/>
          <w:color w:val="auto"/>
          <w:highlight w:val="none"/>
        </w:rPr>
        <w:t>按自治区</w:t>
      </w:r>
      <w:r>
        <w:rPr>
          <w:rFonts w:hint="eastAsia" w:ascii="仿宋_GB2312" w:hAnsi="宋体"/>
          <w:color w:val="auto"/>
          <w:highlight w:val="none"/>
          <w:lang w:eastAsia="zh-CN"/>
        </w:rPr>
        <w:t>住房和城乡建设厅</w:t>
      </w:r>
      <w:r>
        <w:rPr>
          <w:rFonts w:hint="eastAsia" w:ascii="仿宋_GB2312" w:hAnsi="宋体"/>
          <w:color w:val="auto"/>
          <w:highlight w:val="none"/>
        </w:rPr>
        <w:t>或工程所在地住房城乡建设主管部门颁布的文件执行</w:t>
      </w:r>
      <w:r>
        <w:rPr>
          <w:rFonts w:hint="eastAsia" w:hAnsi="宋体" w:cs="宋体"/>
          <w:color w:val="auto"/>
          <w:highlight w:val="none"/>
        </w:rPr>
        <w:t>。</w:t>
      </w:r>
    </w:p>
    <w:p w14:paraId="7F020ECF">
      <w:pPr>
        <w:spacing w:line="360" w:lineRule="auto"/>
        <w:ind w:firstLine="420" w:firstLineChars="200"/>
        <w:jc w:val="left"/>
        <w:rPr>
          <w:rFonts w:hAnsi="宋体" w:cs="宋体"/>
          <w:color w:val="auto"/>
          <w:highlight w:val="none"/>
        </w:rPr>
      </w:pPr>
      <w:r>
        <w:rPr>
          <w:rFonts w:hint="eastAsia" w:hAnsi="宋体" w:cs="宋体"/>
          <w:color w:val="auto"/>
          <w:highlight w:val="none"/>
        </w:rPr>
        <w:t>④材料价格风险：按</w:t>
      </w:r>
      <w:r>
        <w:rPr>
          <w:rFonts w:hAnsi="宋体" w:cs="宋体"/>
          <w:color w:val="auto"/>
          <w:highlight w:val="none"/>
        </w:rPr>
        <w:t>11.1</w:t>
      </w:r>
      <w:r>
        <w:rPr>
          <w:rFonts w:hint="eastAsia" w:hAnsi="宋体" w:cs="宋体"/>
          <w:color w:val="auto"/>
          <w:highlight w:val="none"/>
        </w:rPr>
        <w:t>的约定调整。</w:t>
      </w:r>
    </w:p>
    <w:p w14:paraId="79CECA4B">
      <w:pPr>
        <w:spacing w:line="360" w:lineRule="auto"/>
        <w:ind w:firstLine="420" w:firstLineChars="200"/>
        <w:jc w:val="left"/>
        <w:rPr>
          <w:rFonts w:hAnsi="宋体"/>
          <w:color w:val="auto"/>
          <w:highlight w:val="none"/>
        </w:rPr>
      </w:pPr>
      <w:r>
        <w:rPr>
          <w:rFonts w:hint="eastAsia" w:hAnsi="宋体" w:cs="宋体"/>
          <w:color w:val="auto"/>
          <w:highlight w:val="none"/>
        </w:rPr>
        <w:t>⑤</w:t>
      </w:r>
      <w:r>
        <w:rPr>
          <w:rFonts w:hint="eastAsia" w:hAnsi="宋体" w:cs="宋体"/>
          <w:color w:val="auto"/>
          <w:highlight w:val="none"/>
          <w:lang w:eastAsia="zh-CN"/>
        </w:rPr>
        <w:t>其他</w:t>
      </w:r>
      <w:r>
        <w:rPr>
          <w:rFonts w:hint="eastAsia" w:hAnsi="宋体" w:cs="宋体"/>
          <w:color w:val="auto"/>
          <w:highlight w:val="none"/>
        </w:rPr>
        <w:t>：</w:t>
      </w:r>
      <w:r>
        <w:rPr>
          <w:rFonts w:hAnsi="宋体"/>
          <w:color w:val="auto"/>
          <w:highlight w:val="none"/>
          <w:u w:val="single"/>
        </w:rPr>
        <w:t xml:space="preserve">                                                  </w:t>
      </w:r>
      <w:r>
        <w:rPr>
          <w:rFonts w:hint="eastAsia" w:hAnsi="宋体" w:cs="宋体"/>
          <w:color w:val="auto"/>
          <w:highlight w:val="none"/>
        </w:rPr>
        <w:t>。</w:t>
      </w:r>
    </w:p>
    <w:p w14:paraId="7505D7D3">
      <w:pPr>
        <w:spacing w:line="360" w:lineRule="auto"/>
        <w:ind w:firstLine="420" w:firstLineChars="200"/>
        <w:jc w:val="left"/>
        <w:rPr>
          <w:rFonts w:hAnsi="宋体"/>
          <w:color w:val="auto"/>
          <w:highlight w:val="none"/>
        </w:rPr>
      </w:pPr>
      <w:r>
        <w:rPr>
          <w:rFonts w:hint="eastAsia" w:hAnsi="宋体" w:cs="宋体"/>
          <w:color w:val="auto"/>
          <w:highlight w:val="none"/>
        </w:rPr>
        <w:t>（</w:t>
      </w:r>
      <w:r>
        <w:rPr>
          <w:rFonts w:hAnsi="宋体"/>
          <w:color w:val="auto"/>
          <w:highlight w:val="none"/>
        </w:rPr>
        <w:t>2</w:t>
      </w:r>
      <w:r>
        <w:rPr>
          <w:rFonts w:hint="eastAsia" w:hAnsi="宋体" w:cs="宋体"/>
          <w:color w:val="auto"/>
          <w:highlight w:val="none"/>
        </w:rPr>
        <w:t>）总价合同。</w:t>
      </w:r>
    </w:p>
    <w:p w14:paraId="3CCEA56C">
      <w:pPr>
        <w:spacing w:line="360" w:lineRule="auto"/>
        <w:ind w:firstLine="420" w:firstLineChars="200"/>
        <w:jc w:val="left"/>
        <w:rPr>
          <w:rFonts w:hAnsi="宋体"/>
          <w:color w:val="auto"/>
          <w:highlight w:val="none"/>
        </w:rPr>
      </w:pPr>
      <w:r>
        <w:rPr>
          <w:rFonts w:hint="eastAsia" w:hAnsi="宋体" w:cs="宋体"/>
          <w:color w:val="auto"/>
          <w:highlight w:val="none"/>
        </w:rPr>
        <w:t>总价包含的风险范围：包含除工程变更、政策性调整、</w:t>
      </w:r>
      <w:r>
        <w:rPr>
          <w:rFonts w:hint="eastAsia" w:hAnsi="宋体" w:cs="宋体"/>
          <w:color w:val="auto"/>
          <w:highlight w:val="none"/>
          <w:u w:val="single"/>
        </w:rPr>
        <w:t>本工程《承包人提供主要材料和设备一览表》中约定的材料和设备价格变动风险以外的其他风险。除工程变更外，结算时不再对招标施工图对应的工程量重新计量</w:t>
      </w:r>
      <w:r>
        <w:rPr>
          <w:rFonts w:hAnsi="宋体"/>
          <w:color w:val="auto"/>
          <w:highlight w:val="none"/>
          <w:u w:val="single"/>
        </w:rPr>
        <w:t xml:space="preserve">    </w:t>
      </w:r>
      <w:r>
        <w:rPr>
          <w:rFonts w:hint="eastAsia" w:hAnsi="宋体" w:cs="宋体"/>
          <w:color w:val="auto"/>
          <w:highlight w:val="none"/>
        </w:rPr>
        <w:t>。</w:t>
      </w:r>
    </w:p>
    <w:p w14:paraId="47422D9A">
      <w:pPr>
        <w:spacing w:line="360" w:lineRule="auto"/>
        <w:ind w:firstLine="420" w:firstLineChars="200"/>
        <w:jc w:val="left"/>
        <w:rPr>
          <w:rFonts w:hint="eastAsia" w:cs="宋体"/>
          <w:color w:val="auto"/>
          <w:highlight w:val="none"/>
        </w:rPr>
      </w:pPr>
      <w:r>
        <w:rPr>
          <w:rFonts w:hint="eastAsia" w:cs="宋体"/>
          <w:color w:val="auto"/>
          <w:highlight w:val="none"/>
        </w:rPr>
        <w:t>风险范围以外合同价格的调整方法：</w:t>
      </w:r>
    </w:p>
    <w:p w14:paraId="3FE281B2">
      <w:pPr>
        <w:spacing w:line="360" w:lineRule="auto"/>
        <w:ind w:firstLine="420" w:firstLineChars="200"/>
        <w:jc w:val="left"/>
        <w:rPr>
          <w:rFonts w:hint="eastAsia" w:hAnsi="宋体" w:cs="宋体"/>
          <w:color w:val="auto"/>
          <w:highlight w:val="none"/>
        </w:rPr>
      </w:pPr>
      <w:r>
        <w:rPr>
          <w:color w:val="auto"/>
          <w:highlight w:val="none"/>
        </w:rPr>
        <w:t xml:space="preserve"> </w:t>
      </w:r>
      <w:r>
        <w:rPr>
          <w:rFonts w:hint="eastAsia" w:hAnsi="宋体" w:cs="宋体"/>
          <w:color w:val="auto"/>
          <w:highlight w:val="none"/>
        </w:rPr>
        <w:t>①工程变更：按</w:t>
      </w:r>
      <w:r>
        <w:rPr>
          <w:rFonts w:hAnsi="宋体" w:cs="宋体"/>
          <w:color w:val="auto"/>
          <w:highlight w:val="none"/>
        </w:rPr>
        <w:t>10.4.1</w:t>
      </w:r>
      <w:r>
        <w:rPr>
          <w:rFonts w:hint="eastAsia" w:hAnsi="宋体" w:cs="宋体"/>
          <w:color w:val="auto"/>
          <w:highlight w:val="none"/>
        </w:rPr>
        <w:t>变更估价原则的约定调整。</w:t>
      </w:r>
    </w:p>
    <w:p w14:paraId="1BF3748E">
      <w:pPr>
        <w:spacing w:line="360" w:lineRule="auto"/>
        <w:ind w:firstLine="420" w:firstLineChars="200"/>
        <w:jc w:val="left"/>
        <w:rPr>
          <w:rFonts w:hAnsi="宋体" w:cs="宋体"/>
          <w:color w:val="auto"/>
          <w:highlight w:val="none"/>
        </w:rPr>
      </w:pPr>
      <w:r>
        <w:rPr>
          <w:rFonts w:hint="eastAsia" w:hAnsi="宋体" w:cs="宋体"/>
          <w:color w:val="auto"/>
          <w:highlight w:val="none"/>
        </w:rPr>
        <w:t>②政策性调整：</w:t>
      </w:r>
      <w:r>
        <w:rPr>
          <w:rFonts w:hint="eastAsia" w:ascii="仿宋_GB2312" w:hAnsi="宋体"/>
          <w:color w:val="auto"/>
          <w:highlight w:val="none"/>
        </w:rPr>
        <w:t>按自治区</w:t>
      </w:r>
      <w:r>
        <w:rPr>
          <w:rFonts w:hint="eastAsia" w:ascii="仿宋_GB2312" w:hAnsi="宋体"/>
          <w:color w:val="auto"/>
          <w:highlight w:val="none"/>
          <w:lang w:eastAsia="zh-CN"/>
        </w:rPr>
        <w:t>住房和城乡建设厅</w:t>
      </w:r>
      <w:r>
        <w:rPr>
          <w:rFonts w:hint="eastAsia" w:ascii="仿宋_GB2312" w:hAnsi="宋体"/>
          <w:color w:val="auto"/>
          <w:highlight w:val="none"/>
        </w:rPr>
        <w:t>或工程所在地住房城乡建设主管部门颁布的文件执行</w:t>
      </w:r>
      <w:r>
        <w:rPr>
          <w:rFonts w:hint="eastAsia" w:hAnsi="宋体" w:cs="宋体"/>
          <w:color w:val="auto"/>
          <w:highlight w:val="none"/>
        </w:rPr>
        <w:t>。</w:t>
      </w:r>
    </w:p>
    <w:p w14:paraId="67805F7E">
      <w:pPr>
        <w:spacing w:line="360" w:lineRule="auto"/>
        <w:ind w:firstLine="420" w:firstLineChars="200"/>
        <w:jc w:val="left"/>
        <w:rPr>
          <w:rFonts w:hAnsi="宋体" w:cs="宋体"/>
          <w:color w:val="auto"/>
          <w:highlight w:val="none"/>
        </w:rPr>
      </w:pPr>
      <w:r>
        <w:rPr>
          <w:rFonts w:hint="eastAsia" w:hAnsi="宋体" w:cs="宋体"/>
          <w:color w:val="auto"/>
          <w:highlight w:val="none"/>
        </w:rPr>
        <w:t>③材料价格风险：按</w:t>
      </w:r>
      <w:r>
        <w:rPr>
          <w:rFonts w:hAnsi="宋体" w:cs="宋体"/>
          <w:color w:val="auto"/>
          <w:highlight w:val="none"/>
        </w:rPr>
        <w:t>11.1</w:t>
      </w:r>
      <w:r>
        <w:rPr>
          <w:rFonts w:hint="eastAsia" w:hAnsi="宋体" w:cs="宋体"/>
          <w:color w:val="auto"/>
          <w:highlight w:val="none"/>
        </w:rPr>
        <w:t>的约定调整。</w:t>
      </w:r>
    </w:p>
    <w:p w14:paraId="684E49E0">
      <w:pPr>
        <w:spacing w:line="360" w:lineRule="auto"/>
        <w:ind w:firstLine="420" w:firstLineChars="200"/>
        <w:jc w:val="left"/>
        <w:rPr>
          <w:rFonts w:hAnsi="宋体"/>
          <w:color w:val="auto"/>
          <w:highlight w:val="none"/>
        </w:rPr>
      </w:pPr>
      <w:r>
        <w:rPr>
          <w:rFonts w:hAnsi="宋体" w:cs="宋体"/>
          <w:color w:val="auto"/>
          <w:highlight w:val="none"/>
        </w:rPr>
        <w:fldChar w:fldCharType="begin"/>
      </w:r>
      <w:r>
        <w:rPr>
          <w:rFonts w:hAnsi="宋体" w:cs="宋体"/>
          <w:color w:val="auto"/>
          <w:highlight w:val="none"/>
        </w:rPr>
        <w:instrText xml:space="preserve"> </w:instrText>
      </w:r>
      <w:r>
        <w:rPr>
          <w:rFonts w:hint="eastAsia" w:hAnsi="宋体" w:cs="宋体"/>
          <w:color w:val="auto"/>
          <w:highlight w:val="none"/>
        </w:rPr>
        <w:instrText xml:space="preserve">= 4 \* GB3</w:instrText>
      </w:r>
      <w:r>
        <w:rPr>
          <w:rFonts w:hAnsi="宋体" w:cs="宋体"/>
          <w:color w:val="auto"/>
          <w:highlight w:val="none"/>
        </w:rPr>
        <w:instrText xml:space="preserve"> </w:instrText>
      </w:r>
      <w:r>
        <w:rPr>
          <w:rFonts w:hAnsi="宋体" w:cs="宋体"/>
          <w:color w:val="auto"/>
          <w:highlight w:val="none"/>
        </w:rPr>
        <w:fldChar w:fldCharType="separate"/>
      </w:r>
      <w:r>
        <w:rPr>
          <w:rFonts w:hint="eastAsia" w:hAnsi="宋体" w:cs="宋体"/>
          <w:color w:val="auto"/>
          <w:highlight w:val="none"/>
        </w:rPr>
        <w:t>④</w:t>
      </w:r>
      <w:r>
        <w:rPr>
          <w:rFonts w:hint="eastAsia" w:hAnsi="宋体" w:cs="宋体"/>
          <w:color w:val="auto"/>
          <w:highlight w:val="none"/>
          <w:lang w:eastAsia="zh-CN"/>
        </w:rPr>
        <w:t>其他</w:t>
      </w:r>
      <w:r>
        <w:rPr>
          <w:rFonts w:hAnsi="宋体" w:cs="宋体"/>
          <w:color w:val="auto"/>
          <w:highlight w:val="none"/>
        </w:rPr>
        <w:fldChar w:fldCharType="end"/>
      </w:r>
      <w:r>
        <w:rPr>
          <w:rFonts w:hint="eastAsia" w:hAnsi="宋体" w:cs="宋体"/>
          <w:color w:val="auto"/>
          <w:highlight w:val="none"/>
        </w:rPr>
        <w:t>：</w:t>
      </w:r>
      <w:r>
        <w:rPr>
          <w:rFonts w:hAnsi="宋体"/>
          <w:color w:val="auto"/>
          <w:highlight w:val="none"/>
          <w:u w:val="single"/>
        </w:rPr>
        <w:t xml:space="preserve">                                                  </w:t>
      </w:r>
      <w:r>
        <w:rPr>
          <w:rFonts w:hint="eastAsia" w:hAnsi="宋体" w:cs="宋体"/>
          <w:color w:val="auto"/>
          <w:highlight w:val="none"/>
        </w:rPr>
        <w:t>。</w:t>
      </w:r>
    </w:p>
    <w:p w14:paraId="216987EA">
      <w:pPr>
        <w:spacing w:line="360" w:lineRule="auto"/>
        <w:ind w:firstLine="420" w:firstLineChars="200"/>
        <w:jc w:val="left"/>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）其他价格方式：</w:t>
      </w:r>
      <w:r>
        <w:rPr>
          <w:color w:val="auto"/>
          <w:highlight w:val="none"/>
          <w:u w:val="single"/>
        </w:rPr>
        <w:t xml:space="preserve">                                       </w:t>
      </w:r>
      <w:r>
        <w:rPr>
          <w:rFonts w:hint="eastAsia" w:cs="宋体"/>
          <w:color w:val="auto"/>
          <w:highlight w:val="none"/>
        </w:rPr>
        <w:t>。</w:t>
      </w:r>
    </w:p>
    <w:p w14:paraId="7452274C">
      <w:pPr>
        <w:pStyle w:val="6"/>
        <w:rPr>
          <w:color w:val="auto"/>
          <w:highlight w:val="none"/>
        </w:rPr>
      </w:pPr>
      <w:bookmarkStart w:id="881" w:name="_Toc407135253"/>
      <w:bookmarkStart w:id="882" w:name="_Toc13611"/>
      <w:r>
        <w:rPr>
          <w:color w:val="auto"/>
          <w:highlight w:val="none"/>
        </w:rPr>
        <w:t xml:space="preserve">12.2 </w:t>
      </w:r>
      <w:r>
        <w:rPr>
          <w:rFonts w:hint="eastAsia" w:hAnsi="宋体" w:cs="黑体"/>
          <w:color w:val="auto"/>
          <w:highlight w:val="none"/>
        </w:rPr>
        <w:t>预付款</w:t>
      </w:r>
      <w:bookmarkEnd w:id="862"/>
      <w:bookmarkEnd w:id="863"/>
      <w:bookmarkEnd w:id="864"/>
      <w:bookmarkEnd w:id="881"/>
      <w:bookmarkEnd w:id="882"/>
    </w:p>
    <w:bookmarkEnd w:id="865"/>
    <w:bookmarkEnd w:id="866"/>
    <w:bookmarkEnd w:id="867"/>
    <w:bookmarkEnd w:id="868"/>
    <w:bookmarkEnd w:id="869"/>
    <w:bookmarkEnd w:id="870"/>
    <w:p w14:paraId="26DC6747">
      <w:pPr>
        <w:spacing w:line="360" w:lineRule="auto"/>
        <w:ind w:firstLine="420" w:firstLineChars="200"/>
        <w:jc w:val="left"/>
        <w:rPr>
          <w:color w:val="auto"/>
          <w:highlight w:val="none"/>
        </w:rPr>
      </w:pPr>
      <w:r>
        <w:rPr>
          <w:color w:val="auto"/>
          <w:highlight w:val="none"/>
        </w:rPr>
        <w:t xml:space="preserve">12.2.1 </w:t>
      </w:r>
      <w:r>
        <w:rPr>
          <w:rFonts w:hint="eastAsia" w:hAnsi="宋体" w:cs="宋体"/>
          <w:color w:val="auto"/>
          <w:highlight w:val="none"/>
        </w:rPr>
        <w:t>预付款的支付</w:t>
      </w:r>
    </w:p>
    <w:p w14:paraId="35C700D3">
      <w:pPr>
        <w:spacing w:line="360" w:lineRule="auto"/>
        <w:ind w:firstLine="420" w:firstLineChars="200"/>
        <w:jc w:val="left"/>
        <w:rPr>
          <w:color w:val="auto"/>
          <w:highlight w:val="none"/>
        </w:rPr>
      </w:pPr>
      <w:r>
        <w:rPr>
          <w:rFonts w:hint="eastAsia" w:hAnsi="宋体" w:cs="宋体"/>
          <w:color w:val="auto"/>
          <w:highlight w:val="none"/>
        </w:rPr>
        <w:t>预付款支付比例</w:t>
      </w:r>
      <w:r>
        <w:rPr>
          <w:rFonts w:hint="eastAsia" w:hAnsi="宋体" w:cs="宋体"/>
          <w:color w:val="auto"/>
          <w:highlight w:val="none"/>
          <w:lang w:val="en-US" w:eastAsia="zh-CN"/>
        </w:rPr>
        <w:t>：</w:t>
      </w:r>
      <w:r>
        <w:rPr>
          <w:color w:val="auto"/>
          <w:highlight w:val="none"/>
          <w:u w:val="single"/>
        </w:rPr>
        <w:t xml:space="preserve"> </w:t>
      </w:r>
      <w:r>
        <w:rPr>
          <w:rFonts w:hint="eastAsia"/>
          <w:color w:val="auto"/>
          <w:highlight w:val="none"/>
          <w:u w:val="single"/>
          <w:lang w:val="en-US" w:eastAsia="zh-CN"/>
        </w:rPr>
        <w:t xml:space="preserve">                   </w:t>
      </w:r>
      <w:r>
        <w:rPr>
          <w:rFonts w:hint="eastAsia" w:hAnsi="宋体" w:cs="宋体"/>
          <w:color w:val="auto"/>
          <w:highlight w:val="none"/>
        </w:rPr>
        <w:t>。</w:t>
      </w:r>
    </w:p>
    <w:p w14:paraId="4A203D44">
      <w:pPr>
        <w:spacing w:line="360" w:lineRule="auto"/>
        <w:ind w:firstLine="420" w:firstLineChars="200"/>
        <w:jc w:val="left"/>
        <w:rPr>
          <w:color w:val="auto"/>
          <w:highlight w:val="none"/>
        </w:rPr>
      </w:pPr>
      <w:r>
        <w:rPr>
          <w:rFonts w:hint="eastAsia" w:hAnsi="宋体" w:cs="宋体"/>
          <w:color w:val="auto"/>
          <w:highlight w:val="none"/>
        </w:rPr>
        <w:t>预付款支付期限：</w:t>
      </w:r>
      <w:r>
        <w:rPr>
          <w:rFonts w:hint="eastAsia" w:ascii="新宋体" w:hAnsi="新宋体" w:eastAsia="新宋体" w:cs="新宋体"/>
          <w:i w:val="0"/>
          <w:iCs w:val="0"/>
          <w:caps w:val="0"/>
          <w:color w:val="auto"/>
          <w:spacing w:val="0"/>
          <w:sz w:val="21"/>
          <w:szCs w:val="21"/>
          <w:highlight w:val="none"/>
          <w:u w:val="single"/>
          <w:shd w:val="clear" w:color="auto" w:fill="FFFFFF"/>
          <w:lang w:val="en-US" w:eastAsia="zh-CN"/>
        </w:rPr>
        <w:t xml:space="preserve">                           </w:t>
      </w:r>
      <w:r>
        <w:rPr>
          <w:rFonts w:hint="eastAsia" w:hAnsi="宋体" w:cs="宋体"/>
          <w:color w:val="auto"/>
          <w:highlight w:val="none"/>
        </w:rPr>
        <w:t>。</w:t>
      </w:r>
    </w:p>
    <w:p w14:paraId="682B00FD">
      <w:pPr>
        <w:spacing w:line="360" w:lineRule="auto"/>
        <w:ind w:firstLine="420" w:firstLineChars="200"/>
        <w:jc w:val="left"/>
        <w:rPr>
          <w:color w:val="auto"/>
          <w:highlight w:val="none"/>
        </w:rPr>
      </w:pPr>
      <w:r>
        <w:rPr>
          <w:rFonts w:hint="eastAsia" w:hAnsi="宋体" w:cs="宋体"/>
          <w:color w:val="auto"/>
          <w:highlight w:val="none"/>
        </w:rPr>
        <w:t>预付款扣回的方式：</w:t>
      </w:r>
      <w:r>
        <w:rPr>
          <w:rFonts w:hint="eastAsia" w:hAnsi="宋体" w:cs="宋体"/>
          <w:color w:val="auto"/>
          <w:highlight w:val="none"/>
          <w:u w:val="single"/>
          <w:lang w:val="en-US" w:eastAsia="zh-CN"/>
        </w:rPr>
        <w:t xml:space="preserve">                          </w:t>
      </w:r>
      <w:r>
        <w:rPr>
          <w:rStyle w:val="27"/>
          <w:rFonts w:hint="eastAsia" w:ascii="宋体" w:hAnsi="宋体" w:cs="宋体"/>
          <w:color w:val="auto"/>
          <w:kern w:val="0"/>
          <w:szCs w:val="21"/>
          <w:highlight w:val="none"/>
          <w:u w:val="single"/>
          <w:lang w:val="en-US" w:eastAsia="zh-CN"/>
        </w:rPr>
        <w:t xml:space="preserve"> </w:t>
      </w:r>
      <w:r>
        <w:rPr>
          <w:rFonts w:hint="eastAsia" w:hAnsi="宋体" w:cs="宋体"/>
          <w:color w:val="auto"/>
          <w:highlight w:val="none"/>
        </w:rPr>
        <w:t>。</w:t>
      </w:r>
    </w:p>
    <w:p w14:paraId="15BD8B3E">
      <w:pPr>
        <w:spacing w:line="360" w:lineRule="auto"/>
        <w:ind w:firstLine="420" w:firstLineChars="200"/>
        <w:jc w:val="left"/>
        <w:rPr>
          <w:color w:val="auto"/>
          <w:highlight w:val="none"/>
        </w:rPr>
      </w:pPr>
      <w:r>
        <w:rPr>
          <w:color w:val="auto"/>
          <w:highlight w:val="none"/>
        </w:rPr>
        <w:t xml:space="preserve">12.2.2 </w:t>
      </w:r>
      <w:r>
        <w:rPr>
          <w:rFonts w:hint="eastAsia" w:hAnsi="宋体" w:cs="宋体"/>
          <w:color w:val="auto"/>
          <w:highlight w:val="none"/>
        </w:rPr>
        <w:t>预付款担保</w:t>
      </w:r>
    </w:p>
    <w:p w14:paraId="01D58EB7">
      <w:pPr>
        <w:spacing w:line="360" w:lineRule="auto"/>
        <w:ind w:firstLine="420" w:firstLineChars="200"/>
        <w:jc w:val="left"/>
        <w:rPr>
          <w:color w:val="auto"/>
          <w:highlight w:val="none"/>
        </w:rPr>
      </w:pPr>
      <w:r>
        <w:rPr>
          <w:rFonts w:hint="eastAsia" w:hAnsi="宋体" w:cs="宋体"/>
          <w:color w:val="auto"/>
          <w:highlight w:val="none"/>
        </w:rPr>
        <w:t>承包人提交预付款担保的期限：</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162D4D20">
      <w:pPr>
        <w:spacing w:line="360" w:lineRule="auto"/>
        <w:ind w:firstLine="420" w:firstLineChars="200"/>
        <w:jc w:val="left"/>
        <w:rPr>
          <w:rFonts w:hAnsi="宋体"/>
          <w:color w:val="auto"/>
          <w:highlight w:val="none"/>
        </w:rPr>
      </w:pPr>
      <w:r>
        <w:rPr>
          <w:rFonts w:hint="eastAsia" w:hAnsi="宋体" w:cs="宋体"/>
          <w:color w:val="auto"/>
          <w:highlight w:val="none"/>
        </w:rPr>
        <w:t>预付款担保的形式为：</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bookmarkEnd w:id="871"/>
    <w:bookmarkEnd w:id="872"/>
    <w:bookmarkEnd w:id="873"/>
    <w:bookmarkEnd w:id="874"/>
    <w:bookmarkEnd w:id="875"/>
    <w:bookmarkEnd w:id="876"/>
    <w:bookmarkEnd w:id="877"/>
    <w:bookmarkEnd w:id="878"/>
    <w:bookmarkEnd w:id="879"/>
    <w:bookmarkEnd w:id="880"/>
    <w:p w14:paraId="7673FB6A">
      <w:pPr>
        <w:pStyle w:val="6"/>
        <w:rPr>
          <w:color w:val="auto"/>
          <w:highlight w:val="none"/>
        </w:rPr>
      </w:pPr>
      <w:bookmarkStart w:id="883" w:name="_Toc389065316"/>
      <w:bookmarkStart w:id="884" w:name="_Toc373478398"/>
      <w:bookmarkStart w:id="885" w:name="_Toc407135254"/>
      <w:bookmarkStart w:id="886" w:name="_Toc9888"/>
      <w:bookmarkStart w:id="887" w:name="_Toc373227751"/>
      <w:r>
        <w:rPr>
          <w:color w:val="auto"/>
          <w:highlight w:val="none"/>
        </w:rPr>
        <w:t xml:space="preserve">12.3 </w:t>
      </w:r>
      <w:r>
        <w:rPr>
          <w:rFonts w:hint="eastAsia" w:hAnsi="宋体" w:cs="黑体"/>
          <w:color w:val="auto"/>
          <w:highlight w:val="none"/>
        </w:rPr>
        <w:t>计量</w:t>
      </w:r>
      <w:bookmarkEnd w:id="883"/>
      <w:bookmarkEnd w:id="884"/>
      <w:bookmarkEnd w:id="885"/>
      <w:bookmarkEnd w:id="886"/>
      <w:bookmarkEnd w:id="887"/>
    </w:p>
    <w:p w14:paraId="5AFB5857">
      <w:pPr>
        <w:spacing w:line="360" w:lineRule="auto"/>
        <w:ind w:firstLine="420" w:firstLineChars="200"/>
        <w:jc w:val="left"/>
        <w:rPr>
          <w:color w:val="auto"/>
          <w:highlight w:val="none"/>
        </w:rPr>
      </w:pPr>
      <w:r>
        <w:rPr>
          <w:color w:val="auto"/>
          <w:highlight w:val="none"/>
        </w:rPr>
        <w:t xml:space="preserve">12.3.1 </w:t>
      </w:r>
      <w:r>
        <w:rPr>
          <w:rFonts w:hint="eastAsia" w:hAnsi="宋体" w:cs="宋体"/>
          <w:color w:val="auto"/>
          <w:highlight w:val="none"/>
        </w:rPr>
        <w:t>计量原则</w:t>
      </w:r>
    </w:p>
    <w:p w14:paraId="43E5844E">
      <w:pPr>
        <w:spacing w:line="360" w:lineRule="auto"/>
        <w:ind w:firstLine="420" w:firstLineChars="200"/>
        <w:jc w:val="left"/>
        <w:rPr>
          <w:rFonts w:ascii="Times New Roman" w:hAnsi="Times New Roman" w:eastAsia="宋体" w:cs="Times New Roman"/>
          <w:color w:val="auto"/>
          <w:highlight w:val="none"/>
          <w:u w:val="single"/>
        </w:rPr>
      </w:pPr>
      <w:r>
        <w:rPr>
          <w:rFonts w:hint="eastAsia" w:hAnsi="宋体" w:cs="宋体"/>
          <w:color w:val="auto"/>
          <w:highlight w:val="none"/>
        </w:rPr>
        <w:t>工程量计算规则：</w:t>
      </w:r>
      <w:r>
        <w:rPr>
          <w:rFonts w:hint="eastAsia" w:ascii="Times New Roman" w:hAnsi="Times New Roman" w:eastAsia="宋体" w:cs="Times New Roman"/>
          <w:color w:val="auto"/>
          <w:highlight w:val="none"/>
          <w:u w:val="single"/>
        </w:rPr>
        <w:t>工程的计量均以《建设工程工程量清单计价规范》（</w:t>
      </w:r>
      <w:r>
        <w:rPr>
          <w:rFonts w:ascii="Times New Roman" w:hAnsi="Times New Roman" w:eastAsia="宋体" w:cs="Times New Roman"/>
          <w:color w:val="auto"/>
          <w:highlight w:val="none"/>
          <w:u w:val="single"/>
        </w:rPr>
        <w:t>GB50500</w:t>
      </w:r>
      <w:r>
        <w:rPr>
          <w:rFonts w:hint="eastAsia" w:ascii="Times New Roman" w:hAnsi="Times New Roman" w:eastAsia="宋体" w:cs="Times New Roman"/>
          <w:color w:val="auto"/>
          <w:highlight w:val="none"/>
          <w:u w:val="single"/>
        </w:rPr>
        <w:t>－</w:t>
      </w:r>
      <w:r>
        <w:rPr>
          <w:rFonts w:ascii="Times New Roman" w:hAnsi="Times New Roman" w:eastAsia="宋体" w:cs="Times New Roman"/>
          <w:color w:val="auto"/>
          <w:highlight w:val="none"/>
          <w:u w:val="single"/>
        </w:rPr>
        <w:t>2013</w:t>
      </w:r>
      <w:r>
        <w:rPr>
          <w:rFonts w:hint="eastAsia" w:ascii="Times New Roman" w:hAnsi="Times New Roman" w:eastAsia="宋体" w:cs="Times New Roman"/>
          <w:color w:val="auto"/>
          <w:highlight w:val="none"/>
          <w:u w:val="single"/>
        </w:rPr>
        <w:t>）</w:t>
      </w:r>
      <w:r>
        <w:rPr>
          <w:rFonts w:hint="eastAsia" w:cs="Times New Roman"/>
          <w:color w:val="auto"/>
          <w:highlight w:val="none"/>
          <w:u w:val="single"/>
          <w:lang w:eastAsia="zh-CN"/>
        </w:rPr>
        <w:t>及其</w:t>
      </w:r>
      <w:r>
        <w:rPr>
          <w:rFonts w:hint="eastAsia" w:ascii="Times New Roman" w:hAnsi="Times New Roman" w:eastAsia="宋体" w:cs="Times New Roman"/>
          <w:color w:val="auto"/>
          <w:highlight w:val="none"/>
          <w:u w:val="single"/>
        </w:rPr>
        <w:t>广西壮族自治区实施细则、《建设工程工程量清单计算规范》（</w:t>
      </w:r>
      <w:r>
        <w:rPr>
          <w:rFonts w:ascii="Times New Roman" w:hAnsi="Times New Roman" w:eastAsia="宋体" w:cs="Times New Roman"/>
          <w:color w:val="auto"/>
          <w:highlight w:val="none"/>
          <w:u w:val="single"/>
        </w:rPr>
        <w:t>GB50854~50862</w:t>
      </w:r>
      <w:r>
        <w:rPr>
          <w:rFonts w:hint="eastAsia" w:ascii="Times New Roman" w:hAnsi="Times New Roman" w:eastAsia="宋体" w:cs="Times New Roman"/>
          <w:color w:val="auto"/>
          <w:highlight w:val="none"/>
          <w:u w:val="single"/>
        </w:rPr>
        <w:t>－</w:t>
      </w:r>
      <w:r>
        <w:rPr>
          <w:rFonts w:ascii="Times New Roman" w:hAnsi="Times New Roman" w:eastAsia="宋体" w:cs="Times New Roman"/>
          <w:color w:val="auto"/>
          <w:highlight w:val="none"/>
          <w:u w:val="single"/>
        </w:rPr>
        <w:t>2013</w:t>
      </w:r>
      <w:r>
        <w:rPr>
          <w:rFonts w:hint="eastAsia" w:ascii="Times New Roman" w:hAnsi="Times New Roman" w:eastAsia="宋体" w:cs="Times New Roman"/>
          <w:color w:val="auto"/>
          <w:highlight w:val="none"/>
          <w:u w:val="single"/>
        </w:rPr>
        <w:t>）及其广西实施细则、本工程补充项目清单为准。</w:t>
      </w:r>
    </w:p>
    <w:p w14:paraId="3D0D3B1F">
      <w:pPr>
        <w:spacing w:line="360" w:lineRule="auto"/>
        <w:ind w:firstLine="420" w:firstLineChars="200"/>
        <w:jc w:val="left"/>
        <w:rPr>
          <w:color w:val="auto"/>
          <w:highlight w:val="none"/>
        </w:rPr>
      </w:pPr>
      <w:r>
        <w:rPr>
          <w:color w:val="auto"/>
          <w:highlight w:val="none"/>
        </w:rPr>
        <w:t xml:space="preserve">12.3.2 </w:t>
      </w:r>
      <w:r>
        <w:rPr>
          <w:rFonts w:hint="eastAsia" w:hAnsi="宋体" w:cs="宋体"/>
          <w:color w:val="auto"/>
          <w:highlight w:val="none"/>
        </w:rPr>
        <w:t>计量周期</w:t>
      </w:r>
    </w:p>
    <w:p w14:paraId="54E311D2">
      <w:pPr>
        <w:spacing w:line="360" w:lineRule="auto"/>
        <w:ind w:firstLine="420" w:firstLineChars="200"/>
        <w:jc w:val="left"/>
        <w:rPr>
          <w:color w:val="auto"/>
          <w:highlight w:val="none"/>
        </w:rPr>
      </w:pPr>
      <w:r>
        <w:rPr>
          <w:rFonts w:hint="eastAsia" w:hAnsi="宋体" w:cs="宋体"/>
          <w:color w:val="auto"/>
          <w:highlight w:val="none"/>
        </w:rPr>
        <w:t>关于计量周期的约定：</w:t>
      </w:r>
      <w:r>
        <w:rPr>
          <w:rFonts w:hint="eastAsia" w:hAnsi="宋体" w:cs="宋体"/>
          <w:color w:val="auto"/>
          <w:highlight w:val="none"/>
          <w:u w:val="single"/>
        </w:rPr>
        <w:t>每月</w:t>
      </w:r>
      <w:r>
        <w:rPr>
          <w:color w:val="auto"/>
          <w:highlight w:val="none"/>
          <w:u w:val="single"/>
        </w:rPr>
        <w:t>25</w:t>
      </w:r>
      <w:r>
        <w:rPr>
          <w:rFonts w:hint="eastAsia" w:hAnsi="宋体" w:cs="宋体"/>
          <w:color w:val="auto"/>
          <w:highlight w:val="none"/>
          <w:u w:val="single"/>
        </w:rPr>
        <w:t>日前</w:t>
      </w:r>
      <w:r>
        <w:rPr>
          <w:rFonts w:hint="eastAsia" w:hAnsi="宋体" w:cs="宋体"/>
          <w:color w:val="auto"/>
          <w:highlight w:val="none"/>
        </w:rPr>
        <w:t>。</w:t>
      </w:r>
    </w:p>
    <w:p w14:paraId="3D80D402">
      <w:pPr>
        <w:spacing w:line="360" w:lineRule="auto"/>
        <w:ind w:firstLine="420" w:firstLineChars="200"/>
        <w:jc w:val="left"/>
        <w:outlineLvl w:val="0"/>
        <w:rPr>
          <w:color w:val="auto"/>
          <w:highlight w:val="none"/>
        </w:rPr>
      </w:pPr>
      <w:r>
        <w:rPr>
          <w:color w:val="auto"/>
          <w:highlight w:val="none"/>
        </w:rPr>
        <w:t xml:space="preserve">12.3.3 </w:t>
      </w:r>
      <w:r>
        <w:rPr>
          <w:rFonts w:hint="eastAsia" w:hAnsi="宋体" w:cs="宋体"/>
          <w:color w:val="auto"/>
          <w:highlight w:val="none"/>
        </w:rPr>
        <w:t>单价合同的计量</w:t>
      </w:r>
    </w:p>
    <w:p w14:paraId="5A24E11B">
      <w:pPr>
        <w:spacing w:line="360" w:lineRule="auto"/>
        <w:ind w:firstLine="420" w:firstLineChars="200"/>
        <w:jc w:val="left"/>
        <w:rPr>
          <w:color w:val="auto"/>
          <w:highlight w:val="none"/>
        </w:rPr>
      </w:pPr>
      <w:r>
        <w:rPr>
          <w:rFonts w:hint="eastAsia" w:hAnsi="宋体" w:cs="宋体"/>
          <w:color w:val="auto"/>
          <w:highlight w:val="none"/>
        </w:rPr>
        <w:t>关于单价合同计量的约定：</w:t>
      </w:r>
    </w:p>
    <w:p w14:paraId="7C5D8355">
      <w:pPr>
        <w:spacing w:line="360" w:lineRule="auto"/>
        <w:ind w:firstLine="441" w:firstLineChars="210"/>
        <w:rPr>
          <w:color w:val="auto"/>
          <w:highlight w:val="none"/>
        </w:rPr>
      </w:pPr>
      <w:r>
        <w:rPr>
          <w:rFonts w:hint="eastAsia"/>
          <w:color w:val="auto"/>
          <w:highlight w:val="none"/>
          <w:lang w:eastAsia="zh-CN"/>
        </w:rPr>
        <w:t>（1）</w:t>
      </w:r>
      <w:r>
        <w:rPr>
          <w:color w:val="auto"/>
          <w:highlight w:val="none"/>
        </w:rPr>
        <w:t xml:space="preserve"> </w:t>
      </w:r>
      <w:r>
        <w:rPr>
          <w:rFonts w:hint="eastAsia" w:hAnsi="宋体" w:cs="宋体"/>
          <w:color w:val="auto"/>
          <w:highlight w:val="none"/>
        </w:rPr>
        <w:t>工程量清单所列的工程量，不能作为承包人按合同履行其责任依据，实际施工中发生的工程量增加或减少并不影响承包人履行合同的责任，工程结算以完成的实际工程量为准。</w:t>
      </w:r>
    </w:p>
    <w:p w14:paraId="48DFC518">
      <w:pPr>
        <w:spacing w:line="360" w:lineRule="auto"/>
        <w:ind w:firstLine="441" w:firstLineChars="210"/>
        <w:rPr>
          <w:color w:val="auto"/>
          <w:highlight w:val="none"/>
        </w:rPr>
      </w:pPr>
      <w:r>
        <w:rPr>
          <w:rFonts w:hint="eastAsia"/>
          <w:color w:val="auto"/>
          <w:highlight w:val="none"/>
          <w:lang w:eastAsia="zh-CN"/>
        </w:rPr>
        <w:t>（2）</w:t>
      </w:r>
      <w:r>
        <w:rPr>
          <w:color w:val="auto"/>
          <w:highlight w:val="none"/>
        </w:rPr>
        <w:t xml:space="preserve"> </w:t>
      </w:r>
      <w:r>
        <w:rPr>
          <w:rFonts w:hint="eastAsia" w:hAnsi="宋体" w:cs="宋体"/>
          <w:color w:val="auto"/>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7D3E379D">
      <w:pPr>
        <w:spacing w:line="360" w:lineRule="auto"/>
        <w:ind w:firstLine="420" w:firstLineChars="200"/>
        <w:jc w:val="left"/>
        <w:rPr>
          <w:color w:val="auto"/>
          <w:highlight w:val="none"/>
        </w:rPr>
      </w:pPr>
      <w:r>
        <w:rPr>
          <w:color w:val="auto"/>
          <w:highlight w:val="none"/>
        </w:rPr>
        <w:t xml:space="preserve">12.3.4 </w:t>
      </w:r>
      <w:r>
        <w:rPr>
          <w:rFonts w:hint="eastAsia" w:hAnsi="宋体" w:cs="宋体"/>
          <w:color w:val="auto"/>
          <w:highlight w:val="none"/>
        </w:rPr>
        <w:t>总价合同的计量</w:t>
      </w:r>
    </w:p>
    <w:p w14:paraId="0DA12185">
      <w:pPr>
        <w:spacing w:line="360" w:lineRule="auto"/>
        <w:ind w:firstLine="420" w:firstLineChars="200"/>
        <w:jc w:val="left"/>
        <w:rPr>
          <w:rFonts w:cs="宋体"/>
          <w:color w:val="auto"/>
          <w:highlight w:val="none"/>
        </w:rPr>
      </w:pPr>
      <w:r>
        <w:rPr>
          <w:rFonts w:hint="eastAsia" w:ascii="Calibri" w:hAnsi="宋体" w:cs="宋体"/>
          <w:color w:val="auto"/>
          <w:highlight w:val="none"/>
        </w:rPr>
        <w:t>（1）总价合同计量约定：</w:t>
      </w:r>
      <w:r>
        <w:rPr>
          <w:rFonts w:hint="eastAsia" w:hAnsi="宋体" w:cs="宋体"/>
          <w:color w:val="auto"/>
          <w:highlight w:val="none"/>
        </w:rPr>
        <w:t>进度款按支付分解表支付</w:t>
      </w:r>
      <w:r>
        <w:rPr>
          <w:rFonts w:hint="eastAsia" w:ascii="宋体" w:hAnsi="宋体" w:cs="宋体"/>
          <w:color w:val="auto"/>
          <w:kern w:val="0"/>
          <w:highlight w:val="none"/>
        </w:rPr>
        <w:t>，</w:t>
      </w:r>
      <w:r>
        <w:rPr>
          <w:rFonts w:hint="eastAsia" w:cs="宋体"/>
          <w:color w:val="auto"/>
          <w:highlight w:val="none"/>
        </w:rPr>
        <w:t>支付分解表在招标完成后签合同之前制定，具体详见本专用合同条款12.4.6。</w:t>
      </w:r>
    </w:p>
    <w:p w14:paraId="0149E954">
      <w:pPr>
        <w:spacing w:line="360" w:lineRule="auto"/>
        <w:ind w:firstLine="420" w:firstLineChars="200"/>
        <w:jc w:val="left"/>
        <w:rPr>
          <w:color w:val="auto"/>
          <w:highlight w:val="none"/>
        </w:rPr>
      </w:pPr>
      <w:r>
        <w:rPr>
          <w:color w:val="auto"/>
          <w:highlight w:val="none"/>
        </w:rPr>
        <w:t xml:space="preserve">12.3.6 </w:t>
      </w:r>
      <w:r>
        <w:rPr>
          <w:rFonts w:hint="eastAsia" w:hAnsi="宋体" w:cs="宋体"/>
          <w:color w:val="auto"/>
          <w:highlight w:val="none"/>
        </w:rPr>
        <w:t>其他价格形式合同的计量</w:t>
      </w:r>
    </w:p>
    <w:p w14:paraId="1D67E876">
      <w:pPr>
        <w:pStyle w:val="34"/>
        <w:ind w:firstLine="420" w:firstLineChars="200"/>
        <w:rPr>
          <w:color w:val="auto"/>
          <w:highlight w:val="none"/>
          <w:u w:val="single"/>
        </w:rPr>
      </w:pPr>
      <w:r>
        <w:rPr>
          <w:rFonts w:hint="eastAsia" w:ascii="Calibri" w:hAnsi="宋体" w:eastAsia="宋体" w:cs="宋体"/>
          <w:bCs w:val="0"/>
          <w:color w:val="auto"/>
          <w:spacing w:val="0"/>
          <w:kern w:val="2"/>
          <w:sz w:val="21"/>
          <w:szCs w:val="24"/>
          <w:highlight w:val="none"/>
          <w:lang w:val="en-US" w:eastAsia="zh-CN" w:bidi="ar-SA"/>
        </w:rPr>
        <w:t xml:space="preserve">其他价格形式的计量方式和程序： </w:t>
      </w:r>
      <w:r>
        <w:rPr>
          <w:rFonts w:hint="eastAsia" w:ascii="Calibri" w:hAnsi="宋体" w:eastAsia="宋体" w:cs="宋体"/>
          <w:bCs w:val="0"/>
          <w:color w:val="auto"/>
          <w:spacing w:val="0"/>
          <w:kern w:val="2"/>
          <w:sz w:val="21"/>
          <w:szCs w:val="24"/>
          <w:highlight w:val="none"/>
          <w:u w:val="single"/>
          <w:lang w:val="en-US" w:eastAsia="zh-CN" w:bidi="ar-SA"/>
        </w:rPr>
        <w:t xml:space="preserve">   /    </w:t>
      </w:r>
      <w:r>
        <w:rPr>
          <w:rFonts w:hint="eastAsia" w:ascii="Calibri" w:hAnsi="宋体" w:eastAsia="宋体" w:cs="宋体"/>
          <w:bCs w:val="0"/>
          <w:color w:val="auto"/>
          <w:spacing w:val="0"/>
          <w:kern w:val="2"/>
          <w:sz w:val="21"/>
          <w:szCs w:val="24"/>
          <w:highlight w:val="none"/>
          <w:lang w:val="en-US" w:eastAsia="zh-CN" w:bidi="ar-SA"/>
        </w:rPr>
        <w:t xml:space="preserve">  。</w:t>
      </w:r>
    </w:p>
    <w:p w14:paraId="1C22DC9C">
      <w:pPr>
        <w:pStyle w:val="6"/>
        <w:rPr>
          <w:color w:val="auto"/>
          <w:highlight w:val="none"/>
        </w:rPr>
      </w:pPr>
      <w:bookmarkStart w:id="888" w:name="_Toc373227752"/>
      <w:bookmarkStart w:id="889" w:name="_Toc373478399"/>
      <w:bookmarkStart w:id="890" w:name="_Toc389065317"/>
      <w:bookmarkStart w:id="891" w:name="_Toc407135255"/>
      <w:bookmarkStart w:id="892" w:name="_Toc32018"/>
      <w:r>
        <w:rPr>
          <w:color w:val="auto"/>
          <w:highlight w:val="none"/>
        </w:rPr>
        <w:t xml:space="preserve">12.4 </w:t>
      </w:r>
      <w:r>
        <w:rPr>
          <w:rFonts w:hint="eastAsia" w:cs="黑体"/>
          <w:color w:val="auto"/>
          <w:highlight w:val="none"/>
        </w:rPr>
        <w:t>工程进度款支付</w:t>
      </w:r>
      <w:bookmarkEnd w:id="888"/>
      <w:bookmarkEnd w:id="889"/>
      <w:bookmarkEnd w:id="890"/>
      <w:bookmarkEnd w:id="891"/>
      <w:bookmarkEnd w:id="892"/>
    </w:p>
    <w:p w14:paraId="28FFBEE2">
      <w:pPr>
        <w:spacing w:line="360" w:lineRule="auto"/>
        <w:ind w:firstLine="420" w:firstLineChars="200"/>
        <w:jc w:val="left"/>
        <w:rPr>
          <w:color w:val="auto"/>
          <w:highlight w:val="none"/>
        </w:rPr>
      </w:pPr>
      <w:bookmarkStart w:id="893" w:name="_Toc297216215"/>
      <w:bookmarkStart w:id="894" w:name="_Toc300935006"/>
      <w:bookmarkStart w:id="895" w:name="_Toc303539163"/>
      <w:bookmarkStart w:id="896" w:name="_Toc296891039"/>
      <w:bookmarkStart w:id="897" w:name="_Toc296347210"/>
      <w:bookmarkStart w:id="898" w:name="_Toc292559416"/>
      <w:bookmarkStart w:id="899" w:name="_Toc296944550"/>
      <w:bookmarkStart w:id="900" w:name="_Toc292559921"/>
      <w:bookmarkStart w:id="901" w:name="_Toc297123556"/>
      <w:bookmarkStart w:id="902" w:name="_Toc296503211"/>
      <w:bookmarkStart w:id="903" w:name="_Toc297120511"/>
      <w:bookmarkStart w:id="904" w:name="_Toc297048397"/>
      <w:bookmarkStart w:id="905" w:name="_Toc296346712"/>
      <w:bookmarkStart w:id="906" w:name="_Toc296891251"/>
      <w:r>
        <w:rPr>
          <w:color w:val="auto"/>
          <w:highlight w:val="none"/>
        </w:rPr>
        <w:t xml:space="preserve">12.4.1 </w:t>
      </w:r>
      <w:r>
        <w:rPr>
          <w:rFonts w:hint="eastAsia" w:hAnsi="宋体" w:cs="宋体"/>
          <w:color w:val="auto"/>
          <w:highlight w:val="none"/>
        </w:rPr>
        <w:t>付款周期</w:t>
      </w:r>
    </w:p>
    <w:p w14:paraId="45530EAE">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关于付款周期的约定：</w:t>
      </w:r>
    </w:p>
    <w:p w14:paraId="146904E1">
      <w:pPr>
        <w:spacing w:line="360" w:lineRule="auto"/>
        <w:ind w:firstLine="420" w:firstLineChars="200"/>
        <w:jc w:val="left"/>
        <w:rPr>
          <w:rFonts w:hint="eastAsia" w:ascii="宋体" w:hAnsi="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en-US" w:eastAsia="zh-CN"/>
        </w:rPr>
        <w:t>签订合同开工后15天内支付合同总额的</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 xml:space="preserve">0%；施工过程中发包人按规定的审批程序支付工程进度款，工程款原则上按月支付，支付方式为银行转账，支付的项目进度款限额不超过项目总工程量的 85%，工程变更部分进度款支付限额为已完成工程量的 70%；工程完工验收达到质量要求后，工程款支付至合同价款的 85%；结算价经审定后，工程款支付至结算总价的 97%；发包人按工程结算总价的 3%预留工程质量保修金， 待缺陷责任期满后返还(无息)；质量保修金的返还，并不能免除承包人按照合同约定应承担的质量保修责任和应履行的质量保修义务。 </w:t>
      </w:r>
    </w:p>
    <w:p w14:paraId="2EB456AA">
      <w:pPr>
        <w:spacing w:line="360" w:lineRule="auto"/>
        <w:ind w:firstLine="420" w:firstLineChars="200"/>
        <w:jc w:val="left"/>
        <w:rPr>
          <w:color w:val="auto"/>
          <w:highlight w:val="none"/>
        </w:rPr>
      </w:pPr>
      <w:r>
        <w:rPr>
          <w:color w:val="auto"/>
          <w:highlight w:val="none"/>
        </w:rPr>
        <w:t xml:space="preserve">12.4.2 </w:t>
      </w:r>
      <w:r>
        <w:rPr>
          <w:rFonts w:hint="eastAsia" w:hAnsi="宋体" w:cs="宋体"/>
          <w:color w:val="auto"/>
          <w:highlight w:val="none"/>
        </w:rPr>
        <w:t>进度付款申请单的编制</w:t>
      </w:r>
    </w:p>
    <w:p w14:paraId="5E3E3186">
      <w:pPr>
        <w:spacing w:line="360" w:lineRule="auto"/>
        <w:ind w:firstLine="420" w:firstLineChars="200"/>
        <w:jc w:val="left"/>
        <w:rPr>
          <w:color w:val="auto"/>
          <w:highlight w:val="none"/>
          <w:u w:val="single"/>
        </w:rPr>
      </w:pPr>
      <w:r>
        <w:rPr>
          <w:rFonts w:hint="eastAsia" w:hAnsi="宋体" w:cs="宋体"/>
          <w:color w:val="auto"/>
          <w:highlight w:val="none"/>
        </w:rPr>
        <w:t>关于进度付款申请单编制的约定：</w:t>
      </w:r>
      <w:r>
        <w:rPr>
          <w:color w:val="auto"/>
          <w:highlight w:val="none"/>
          <w:u w:val="single"/>
        </w:rPr>
        <w:t xml:space="preserve">  </w:t>
      </w:r>
      <w:r>
        <w:rPr>
          <w:rFonts w:hint="eastAsia"/>
          <w:color w:val="auto"/>
          <w:highlight w:val="none"/>
          <w:u w:val="single"/>
        </w:rPr>
        <w:t>按照本合同通用条款第 12.4.2 条执行</w:t>
      </w:r>
      <w:r>
        <w:rPr>
          <w:color w:val="auto"/>
          <w:highlight w:val="none"/>
          <w:u w:val="single"/>
        </w:rPr>
        <w:t xml:space="preserve">   </w:t>
      </w:r>
      <w:r>
        <w:rPr>
          <w:rFonts w:hint="eastAsia" w:hAnsi="宋体" w:cs="宋体"/>
          <w:color w:val="auto"/>
          <w:highlight w:val="none"/>
        </w:rPr>
        <w:t>。</w:t>
      </w:r>
    </w:p>
    <w:p w14:paraId="3F75A799">
      <w:pPr>
        <w:spacing w:line="360" w:lineRule="auto"/>
        <w:ind w:firstLine="420" w:firstLineChars="200"/>
        <w:jc w:val="left"/>
        <w:rPr>
          <w:color w:val="auto"/>
          <w:highlight w:val="none"/>
        </w:rPr>
      </w:pPr>
      <w:r>
        <w:rPr>
          <w:color w:val="auto"/>
          <w:highlight w:val="none"/>
        </w:rPr>
        <w:t>1</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color w:val="auto"/>
          <w:highlight w:val="none"/>
        </w:rPr>
        <w:t xml:space="preserve">2.4.3 </w:t>
      </w:r>
      <w:r>
        <w:rPr>
          <w:rFonts w:hint="eastAsia" w:hAnsi="宋体" w:cs="宋体"/>
          <w:color w:val="auto"/>
          <w:highlight w:val="none"/>
        </w:rPr>
        <w:t>进度付款申请单的提交</w:t>
      </w:r>
    </w:p>
    <w:p w14:paraId="3B874FFB">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）单价合同进度付款申请单提交的约定：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4168071">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）总价合同进度付款申请单提交的约定：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D659E54">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3</w:t>
      </w:r>
      <w:r>
        <w:rPr>
          <w:rFonts w:hint="eastAsia" w:hAnsi="宋体" w:cs="宋体"/>
          <w:color w:val="auto"/>
          <w:highlight w:val="none"/>
        </w:rPr>
        <w:t>）其他价格形式合同进度付款申请单提交的约定：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546E4083">
      <w:pPr>
        <w:spacing w:line="360" w:lineRule="auto"/>
        <w:ind w:firstLine="420" w:firstLineChars="200"/>
        <w:jc w:val="left"/>
        <w:rPr>
          <w:color w:val="auto"/>
          <w:highlight w:val="none"/>
        </w:rPr>
      </w:pPr>
      <w:r>
        <w:rPr>
          <w:color w:val="auto"/>
          <w:highlight w:val="none"/>
        </w:rPr>
        <w:t xml:space="preserve">12.4.4 </w:t>
      </w:r>
      <w:r>
        <w:rPr>
          <w:rFonts w:hint="eastAsia" w:hAnsi="宋体" w:cs="宋体"/>
          <w:color w:val="auto"/>
          <w:highlight w:val="none"/>
        </w:rPr>
        <w:t>进度款审核和支付</w:t>
      </w:r>
    </w:p>
    <w:p w14:paraId="37C2EC8D">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）监理人审查并报送发包人的期限：</w:t>
      </w:r>
      <w:r>
        <w:rPr>
          <w:color w:val="auto"/>
          <w:highlight w:val="none"/>
          <w:u w:val="single"/>
        </w:rPr>
        <w:t xml:space="preserve"> </w:t>
      </w:r>
      <w:r>
        <w:rPr>
          <w:rFonts w:hint="eastAsia"/>
          <w:color w:val="auto"/>
          <w:highlight w:val="none"/>
          <w:u w:val="single"/>
        </w:rPr>
        <w:t>监理人应在收到承包人进度付款申请单以及相关资料之日起 7 天内完成审查并报送发包人</w:t>
      </w:r>
      <w:r>
        <w:rPr>
          <w:color w:val="auto"/>
          <w:highlight w:val="none"/>
          <w:u w:val="single"/>
        </w:rPr>
        <w:t xml:space="preserve"> </w:t>
      </w:r>
      <w:r>
        <w:rPr>
          <w:rFonts w:hint="eastAsia" w:hAnsi="宋体" w:cs="宋体"/>
          <w:color w:val="auto"/>
          <w:highlight w:val="none"/>
        </w:rPr>
        <w:t>。</w:t>
      </w:r>
    </w:p>
    <w:p w14:paraId="3F44CA0D">
      <w:pPr>
        <w:spacing w:line="360" w:lineRule="auto"/>
        <w:ind w:firstLine="420" w:firstLineChars="200"/>
        <w:jc w:val="left"/>
        <w:rPr>
          <w:color w:val="auto"/>
          <w:highlight w:val="none"/>
          <w:u w:val="single"/>
        </w:rPr>
      </w:pPr>
      <w:r>
        <w:rPr>
          <w:rFonts w:hint="eastAsia" w:hAnsi="宋体" w:cs="宋体"/>
          <w:color w:val="auto"/>
          <w:highlight w:val="none"/>
        </w:rPr>
        <w:t>发包人完成审批并签发进度款支付证书的期限：</w:t>
      </w:r>
      <w:r>
        <w:rPr>
          <w:color w:val="auto"/>
          <w:highlight w:val="none"/>
          <w:u w:val="single"/>
        </w:rPr>
        <w:t xml:space="preserve"> </w:t>
      </w:r>
      <w:r>
        <w:rPr>
          <w:rFonts w:hint="eastAsia"/>
          <w:color w:val="auto"/>
          <w:highlight w:val="none"/>
          <w:u w:val="single"/>
        </w:rPr>
        <w:t>发包人应在收到监理人审查通过的承包人进度付款申请单以及相关资料后及时按要求完成审批并签发进度款审批表报</w:t>
      </w:r>
      <w:r>
        <w:rPr>
          <w:rFonts w:hint="eastAsia"/>
          <w:color w:val="auto"/>
          <w:highlight w:val="none"/>
          <w:u w:val="single"/>
          <w:lang w:val="en-US" w:eastAsia="zh-CN"/>
        </w:rPr>
        <w:t>市</w:t>
      </w:r>
      <w:r>
        <w:rPr>
          <w:rFonts w:hint="eastAsia"/>
          <w:color w:val="auto"/>
          <w:highlight w:val="none"/>
          <w:u w:val="single"/>
        </w:rPr>
        <w:t xml:space="preserve">财政局审批 </w:t>
      </w:r>
      <w:r>
        <w:rPr>
          <w:rFonts w:hint="eastAsia" w:hAnsi="宋体" w:cs="宋体"/>
          <w:color w:val="auto"/>
          <w:highlight w:val="none"/>
        </w:rPr>
        <w:t>。</w:t>
      </w:r>
    </w:p>
    <w:p w14:paraId="0DD5EBAF">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）发包人支付进度款的期限：</w:t>
      </w:r>
      <w:r>
        <w:rPr>
          <w:color w:val="auto"/>
          <w:highlight w:val="none"/>
          <w:u w:val="single"/>
        </w:rPr>
        <w:t xml:space="preserve"> </w:t>
      </w:r>
      <w:r>
        <w:rPr>
          <w:rFonts w:hint="eastAsia"/>
          <w:color w:val="auto"/>
          <w:highlight w:val="none"/>
          <w:u w:val="single"/>
        </w:rPr>
        <w:t>发包人应在进度款支付证书或临时进度款支付证书签发后及时报</w:t>
      </w:r>
      <w:r>
        <w:rPr>
          <w:rFonts w:hint="eastAsia"/>
          <w:color w:val="auto"/>
          <w:highlight w:val="none"/>
          <w:u w:val="single"/>
          <w:lang w:val="en-US" w:eastAsia="zh-CN"/>
        </w:rPr>
        <w:t>市</w:t>
      </w:r>
      <w:r>
        <w:rPr>
          <w:rFonts w:hint="eastAsia"/>
          <w:color w:val="auto"/>
          <w:highlight w:val="none"/>
          <w:u w:val="single"/>
        </w:rPr>
        <w:t>财政局审批完成支付</w:t>
      </w:r>
      <w:r>
        <w:rPr>
          <w:rFonts w:hint="eastAsia" w:hAnsi="宋体" w:cs="宋体"/>
          <w:color w:val="auto"/>
          <w:highlight w:val="none"/>
        </w:rPr>
        <w:t>。</w:t>
      </w:r>
    </w:p>
    <w:p w14:paraId="2F642401">
      <w:pPr>
        <w:spacing w:line="360" w:lineRule="auto"/>
        <w:ind w:firstLine="525" w:firstLineChars="250"/>
        <w:jc w:val="left"/>
        <w:rPr>
          <w:color w:val="auto"/>
          <w:highlight w:val="none"/>
        </w:rPr>
      </w:pPr>
      <w:r>
        <w:rPr>
          <w:rFonts w:hint="eastAsia" w:hAnsi="宋体" w:cs="宋体"/>
          <w:color w:val="auto"/>
          <w:highlight w:val="none"/>
        </w:rPr>
        <w:t>发包人逾期支付进度款的违约金的计算方式：</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171A04F1">
      <w:pPr>
        <w:spacing w:line="360" w:lineRule="auto"/>
        <w:ind w:firstLine="630" w:firstLineChars="300"/>
        <w:rPr>
          <w:rFonts w:hAnsi="宋体" w:cs="宋体"/>
          <w:color w:val="auto"/>
          <w:highlight w:val="none"/>
        </w:rPr>
      </w:pPr>
      <w:r>
        <w:rPr>
          <w:rFonts w:hint="eastAsia" w:hAnsi="宋体" w:cs="宋体"/>
          <w:color w:val="auto"/>
          <w:highlight w:val="none"/>
        </w:rPr>
        <w:t>进度款支付方式：</w:t>
      </w:r>
      <w:r>
        <w:rPr>
          <w:rFonts w:hint="eastAsia" w:hAnsi="宋体" w:cs="宋体"/>
          <w:color w:val="auto"/>
          <w:highlight w:val="none"/>
          <w:u w:val="single"/>
        </w:rPr>
        <w:t>银行转账</w:t>
      </w:r>
      <w:r>
        <w:rPr>
          <w:rFonts w:hint="eastAsia" w:hAnsi="宋体" w:cs="宋体"/>
          <w:color w:val="auto"/>
          <w:highlight w:val="none"/>
        </w:rPr>
        <w:t>。</w:t>
      </w:r>
      <w:r>
        <w:rPr>
          <w:rFonts w:hint="eastAsia"/>
          <w:color w:val="auto"/>
          <w:highlight w:val="none"/>
        </w:rPr>
        <w:t>进度款支付申请（核准）表见合同附件11。</w:t>
      </w:r>
    </w:p>
    <w:p w14:paraId="6EC07C15">
      <w:pPr>
        <w:spacing w:line="360" w:lineRule="auto"/>
        <w:ind w:firstLine="525" w:firstLineChars="250"/>
        <w:jc w:val="left"/>
        <w:rPr>
          <w:rFonts w:hint="eastAsia" w:hAnsi="宋体"/>
          <w:color w:val="auto"/>
          <w:highlight w:val="none"/>
        </w:rPr>
      </w:pPr>
      <w:r>
        <w:rPr>
          <w:rFonts w:hint="eastAsia" w:hAnsi="宋体"/>
          <w:color w:val="auto"/>
          <w:highlight w:val="none"/>
        </w:rPr>
        <w:t>（3） 农民工工资支付</w:t>
      </w:r>
    </w:p>
    <w:p w14:paraId="719F61F9">
      <w:pPr>
        <w:autoSpaceDE w:val="0"/>
        <w:autoSpaceDN w:val="0"/>
        <w:adjustRightInd w:val="0"/>
        <w:spacing w:line="360" w:lineRule="auto"/>
        <w:ind w:firstLine="420" w:firstLineChars="200"/>
        <w:jc w:val="left"/>
        <w:rPr>
          <w:rFonts w:hint="eastAsia" w:hAnsi="宋体"/>
          <w:color w:val="auto"/>
          <w:highlight w:val="none"/>
        </w:rPr>
      </w:pPr>
      <w:r>
        <w:rPr>
          <w:rFonts w:hint="eastAsia" w:hAnsi="宋体" w:cs="宋体"/>
          <w:color w:val="auto"/>
          <w:kern w:val="0"/>
          <w:highlight w:val="none"/>
        </w:rPr>
        <w:t>1）农民工工资应与</w:t>
      </w:r>
      <w:r>
        <w:rPr>
          <w:rFonts w:hint="eastAsia" w:hAnsi="宋体" w:cs="宋体"/>
          <w:color w:val="auto"/>
          <w:kern w:val="0"/>
          <w:highlight w:val="none"/>
          <w:lang w:eastAsia="zh-CN"/>
        </w:rPr>
        <w:t>其他</w:t>
      </w:r>
      <w:r>
        <w:rPr>
          <w:rFonts w:hint="eastAsia" w:hAnsi="宋体" w:cs="宋体"/>
          <w:color w:val="auto"/>
          <w:kern w:val="0"/>
          <w:highlight w:val="none"/>
        </w:rPr>
        <w:t>工程进度款分</w:t>
      </w:r>
      <w:r>
        <w:rPr>
          <w:rFonts w:hint="eastAsia" w:hAnsi="宋体" w:cs="宋体"/>
          <w:color w:val="auto"/>
          <w:kern w:val="0"/>
          <w:highlight w:val="none"/>
          <w:lang w:eastAsia="zh-CN"/>
        </w:rPr>
        <w:t>账</w:t>
      </w:r>
      <w:r>
        <w:rPr>
          <w:rFonts w:hint="eastAsia" w:hAnsi="宋体" w:cs="宋体"/>
          <w:color w:val="auto"/>
          <w:kern w:val="0"/>
          <w:highlight w:val="none"/>
        </w:rPr>
        <w:t>管理。承包人向发包人申请工程进度款时必须把工人工资部分单独列明，如果未单独列明，监理单位不得签支付证书等支付工程款的手续，发包人单位不得审批和支付工程款。发包人必须把工程款分</w:t>
      </w:r>
      <w:r>
        <w:rPr>
          <w:rFonts w:hint="eastAsia" w:hAnsi="宋体" w:cs="宋体"/>
          <w:color w:val="auto"/>
          <w:kern w:val="0"/>
          <w:highlight w:val="none"/>
          <w:lang w:eastAsia="zh-CN"/>
        </w:rPr>
        <w:t>账</w:t>
      </w:r>
      <w:r>
        <w:rPr>
          <w:rFonts w:hint="eastAsia" w:hAnsi="宋体" w:cs="宋体"/>
          <w:color w:val="auto"/>
          <w:kern w:val="0"/>
          <w:highlight w:val="none"/>
        </w:rPr>
        <w:t>出来的农民工工资转入承包人工人工资支付专用账户专户，转入专户环节必须有银行流水凭证。</w:t>
      </w:r>
    </w:p>
    <w:p w14:paraId="5EDA1ED3">
      <w:pPr>
        <w:spacing w:line="360" w:lineRule="auto"/>
        <w:ind w:firstLine="525" w:firstLineChars="250"/>
        <w:jc w:val="left"/>
        <w:rPr>
          <w:rFonts w:hint="eastAsia" w:hAnsi="宋体"/>
          <w:color w:val="auto"/>
          <w:highlight w:val="none"/>
        </w:rPr>
      </w:pPr>
      <w:r>
        <w:rPr>
          <w:rFonts w:hint="eastAsia" w:hAnsi="宋体"/>
          <w:color w:val="auto"/>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10%，其余工程进度款项由发包人支付到承包人的单位基本户。</w:t>
      </w:r>
    </w:p>
    <w:p w14:paraId="6CCF0A00">
      <w:pPr>
        <w:spacing w:line="360" w:lineRule="auto"/>
        <w:ind w:firstLine="525" w:firstLineChars="250"/>
        <w:jc w:val="left"/>
        <w:rPr>
          <w:rFonts w:hint="eastAsia" w:hAnsi="宋体"/>
          <w:color w:val="auto"/>
          <w:highlight w:val="none"/>
        </w:rPr>
      </w:pPr>
      <w:r>
        <w:rPr>
          <w:rFonts w:hint="eastAsia" w:hAnsi="宋体"/>
          <w:color w:val="auto"/>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10%。其余分包工程进度款项由承包人支付到分包人的单位基本户。</w:t>
      </w:r>
    </w:p>
    <w:p w14:paraId="68E583CD">
      <w:pPr>
        <w:spacing w:line="360" w:lineRule="auto"/>
        <w:ind w:firstLine="525" w:firstLineChars="250"/>
        <w:jc w:val="left"/>
        <w:rPr>
          <w:rFonts w:hint="eastAsia" w:hAnsi="宋体"/>
          <w:color w:val="auto"/>
          <w:highlight w:val="none"/>
        </w:rPr>
      </w:pPr>
      <w:r>
        <w:rPr>
          <w:rFonts w:hint="eastAsia" w:hAnsi="宋体"/>
          <w:color w:val="auto"/>
          <w:highlight w:val="none"/>
        </w:rPr>
        <w:t>4）凡未向付款单位提供农民工工资专户的，或者请款单位在申请工程进度款时未将人工费单列的，付款单位有权拒绝支付工程进度款。</w:t>
      </w:r>
    </w:p>
    <w:p w14:paraId="27467BA7">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5）农民工工资使用要求：专款专用，除发放工人工资外，不得用于其他用途。</w:t>
      </w:r>
    </w:p>
    <w:p w14:paraId="75DC30F7">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6）承包人将农民工工资</w:t>
      </w:r>
      <w:r>
        <w:rPr>
          <w:rFonts w:hAnsi="宋体" w:cs="宋体"/>
          <w:color w:val="auto"/>
          <w:kern w:val="0"/>
          <w:highlight w:val="none"/>
        </w:rPr>
        <w:t>支付</w:t>
      </w:r>
      <w:r>
        <w:rPr>
          <w:rFonts w:hint="eastAsia" w:hAnsi="宋体" w:cs="宋体"/>
          <w:color w:val="auto"/>
          <w:kern w:val="0"/>
          <w:highlight w:val="none"/>
        </w:rPr>
        <w:t>情况定期报告发包人和监理单位，并提供相应的材料接受建设行政主管部门和劳动保障行政主管部门对此事项监管。</w:t>
      </w:r>
    </w:p>
    <w:p w14:paraId="536B66B7">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（4）农民工工资支付专用账户：</w:t>
      </w:r>
      <w:r>
        <w:rPr>
          <w:rFonts w:hAnsi="宋体" w:cs="宋体"/>
          <w:color w:val="auto"/>
          <w:kern w:val="0"/>
          <w:highlight w:val="none"/>
        </w:rPr>
        <w:t>××××</w:t>
      </w:r>
      <w:r>
        <w:rPr>
          <w:rFonts w:hint="eastAsia" w:hAnsi="宋体" w:cs="宋体"/>
          <w:color w:val="auto"/>
          <w:kern w:val="0"/>
          <w:highlight w:val="none"/>
        </w:rPr>
        <w:t>公司农民工工资支付专用账户</w:t>
      </w:r>
      <w:r>
        <w:rPr>
          <w:rFonts w:hAnsi="宋体" w:cs="宋体"/>
          <w:color w:val="auto"/>
          <w:kern w:val="0"/>
          <w:highlight w:val="none"/>
        </w:rPr>
        <w:t xml:space="preserve"> </w:t>
      </w:r>
      <w:r>
        <w:rPr>
          <w:rFonts w:hint="eastAsia" w:hAnsi="宋体" w:cs="宋体"/>
          <w:color w:val="auto"/>
          <w:kern w:val="0"/>
          <w:highlight w:val="none"/>
        </w:rPr>
        <w:t>。账号：</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Ansi="宋体" w:cs="宋体"/>
          <w:color w:val="auto"/>
          <w:kern w:val="0"/>
          <w:highlight w:val="none"/>
        </w:rPr>
        <w:t>。</w:t>
      </w:r>
    </w:p>
    <w:p w14:paraId="75B1FE14">
      <w:pPr>
        <w:spacing w:line="360" w:lineRule="auto"/>
        <w:ind w:firstLine="525" w:firstLineChars="250"/>
        <w:jc w:val="left"/>
        <w:rPr>
          <w:rFonts w:hAnsi="宋体"/>
          <w:color w:val="auto"/>
          <w:highlight w:val="none"/>
        </w:rPr>
      </w:pPr>
      <w:r>
        <w:rPr>
          <w:color w:val="auto"/>
          <w:highlight w:val="none"/>
        </w:rPr>
        <w:t xml:space="preserve">12.4.6 </w:t>
      </w:r>
      <w:r>
        <w:rPr>
          <w:rFonts w:hint="eastAsia" w:hAnsi="宋体" w:cs="宋体"/>
          <w:color w:val="auto"/>
          <w:highlight w:val="none"/>
        </w:rPr>
        <w:t>支付分解表的编制</w:t>
      </w:r>
    </w:p>
    <w:p w14:paraId="445529CF">
      <w:pPr>
        <w:spacing w:line="360" w:lineRule="auto"/>
        <w:ind w:firstLine="525" w:firstLineChars="250"/>
        <w:jc w:val="left"/>
        <w:rPr>
          <w:rFonts w:hint="eastAsia" w:ascii="Times New Roman" w:hAnsi="宋体" w:eastAsia="宋体" w:cs="宋体"/>
          <w:color w:val="auto"/>
          <w:highlight w:val="none"/>
        </w:rPr>
      </w:pPr>
      <w:r>
        <w:rPr>
          <w:rFonts w:hint="eastAsia"/>
          <w:color w:val="auto"/>
          <w:highlight w:val="none"/>
        </w:rPr>
        <w:t>（</w:t>
      </w:r>
      <w:r>
        <w:rPr>
          <w:color w:val="auto"/>
          <w:highlight w:val="none"/>
        </w:rPr>
        <w:t>1</w:t>
      </w:r>
      <w:r>
        <w:rPr>
          <w:rFonts w:hint="eastAsia"/>
          <w:color w:val="auto"/>
          <w:highlight w:val="none"/>
        </w:rPr>
        <w:t>）</w:t>
      </w:r>
      <w:r>
        <w:rPr>
          <w:rFonts w:hAnsi="宋体"/>
          <w:color w:val="auto"/>
          <w:highlight w:val="none"/>
        </w:rPr>
        <w:t xml:space="preserve"> </w:t>
      </w:r>
      <w:r>
        <w:rPr>
          <w:rFonts w:hint="eastAsia" w:hAnsi="宋体" w:cs="宋体"/>
          <w:color w:val="auto"/>
          <w:highlight w:val="none"/>
        </w:rPr>
        <w:t>总价合同支付分解表的编制与审批：</w:t>
      </w:r>
      <w:r>
        <w:rPr>
          <w:color w:val="auto"/>
          <w:highlight w:val="none"/>
          <w:u w:val="single"/>
        </w:rPr>
        <w:t xml:space="preserve"> </w:t>
      </w:r>
      <w:r>
        <w:rPr>
          <w:rFonts w:hint="eastAsia" w:ascii="Times New Roman" w:hAnsi="宋体" w:eastAsia="宋体" w:cs="宋体"/>
          <w:color w:val="auto"/>
          <w:highlight w:val="none"/>
          <w:u w:val="single"/>
        </w:rPr>
        <w:t xml:space="preserve"> 总价合同支付</w:t>
      </w:r>
      <w:r>
        <w:rPr>
          <w:rFonts w:hint="eastAsia" w:hAnsi="宋体" w:cs="宋体"/>
          <w:color w:val="auto"/>
          <w:highlight w:val="none"/>
          <w:u w:val="single"/>
          <w:lang w:eastAsia="zh-CN"/>
        </w:rPr>
        <w:t>分</w:t>
      </w:r>
      <w:r>
        <w:rPr>
          <w:rFonts w:hint="eastAsia" w:ascii="Times New Roman" w:hAnsi="宋体" w:eastAsia="宋体" w:cs="宋体"/>
          <w:color w:val="auto"/>
          <w:highlight w:val="none"/>
          <w:u w:val="single"/>
        </w:rPr>
        <w:t>解表在招标完成后由发包人和承包人共同编制</w:t>
      </w:r>
      <w:r>
        <w:rPr>
          <w:rFonts w:hint="eastAsia" w:hAnsi="宋体" w:cs="宋体"/>
          <w:color w:val="auto"/>
          <w:highlight w:val="none"/>
          <w:u w:val="single"/>
          <w:lang w:eastAsia="zh-CN"/>
        </w:rPr>
        <w:t>，由</w:t>
      </w:r>
      <w:r>
        <w:rPr>
          <w:rFonts w:hint="eastAsia" w:ascii="Times New Roman" w:hAnsi="宋体" w:eastAsia="宋体" w:cs="宋体"/>
          <w:color w:val="auto"/>
          <w:highlight w:val="none"/>
          <w:u w:val="single"/>
        </w:rPr>
        <w:t>发包人审批，并作为本合同内容。</w:t>
      </w:r>
    </w:p>
    <w:p w14:paraId="25792305">
      <w:pPr>
        <w:spacing w:line="360" w:lineRule="auto"/>
        <w:ind w:firstLine="525" w:firstLineChars="250"/>
        <w:jc w:val="left"/>
        <w:rPr>
          <w:rFonts w:hint="eastAsia" w:ascii="Times New Roman" w:hAnsi="宋体" w:eastAsia="宋体" w:cs="宋体"/>
          <w:color w:val="auto"/>
          <w:highlight w:val="none"/>
        </w:rPr>
      </w:pPr>
      <w:r>
        <w:rPr>
          <w:rFonts w:hint="eastAsia"/>
          <w:color w:val="auto"/>
          <w:highlight w:val="none"/>
        </w:rPr>
        <w:t>（2）</w:t>
      </w:r>
      <w:r>
        <w:rPr>
          <w:rFonts w:hint="eastAsia" w:hAnsi="宋体" w:cs="宋体"/>
          <w:color w:val="auto"/>
          <w:highlight w:val="none"/>
        </w:rPr>
        <w:t>单价合同的总价项目支付分解表的编制与审批：</w:t>
      </w:r>
      <w:r>
        <w:rPr>
          <w:rFonts w:hint="eastAsia" w:ascii="Times New Roman" w:hAnsi="宋体" w:eastAsia="宋体" w:cs="宋体"/>
          <w:color w:val="auto"/>
          <w:highlight w:val="none"/>
        </w:rPr>
        <w:t>总价项目不采用支付分解表的方式计算，而按《建设工程工程量清单计价规范（GB50500-2013）广西壮族自治区实施细则》的规定执行。</w:t>
      </w:r>
    </w:p>
    <w:bookmarkEnd w:id="671"/>
    <w:p w14:paraId="15736451">
      <w:pPr>
        <w:pStyle w:val="5"/>
        <w:rPr>
          <w:color w:val="auto"/>
          <w:highlight w:val="none"/>
        </w:rPr>
      </w:pPr>
      <w:bookmarkStart w:id="907" w:name="_Toc373478400"/>
      <w:bookmarkStart w:id="908" w:name="_Toc373227753"/>
      <w:bookmarkStart w:id="909" w:name="_Toc351203645"/>
      <w:bookmarkStart w:id="910" w:name="_Toc4664"/>
      <w:bookmarkStart w:id="911" w:name="_Toc407135256"/>
      <w:bookmarkStart w:id="912" w:name="_Toc389065318"/>
      <w:bookmarkStart w:id="913" w:name="_Toc296944558"/>
      <w:bookmarkStart w:id="914" w:name="_Toc297123564"/>
      <w:bookmarkStart w:id="915" w:name="_Toc292559424"/>
      <w:bookmarkStart w:id="916" w:name="_Toc297216223"/>
      <w:bookmarkStart w:id="917" w:name="_Toc303539172"/>
      <w:bookmarkStart w:id="918" w:name="_Toc296346720"/>
      <w:bookmarkStart w:id="919" w:name="_Toc296891047"/>
      <w:bookmarkStart w:id="920" w:name="_Toc296347218"/>
      <w:bookmarkStart w:id="921" w:name="_Toc297048405"/>
      <w:bookmarkStart w:id="922" w:name="_Toc296891259"/>
      <w:bookmarkStart w:id="923" w:name="_Toc296503219"/>
      <w:bookmarkStart w:id="924" w:name="_Toc304295593"/>
      <w:bookmarkStart w:id="925" w:name="_Toc312678053"/>
      <w:bookmarkStart w:id="926" w:name="_Toc297120519"/>
      <w:bookmarkStart w:id="927" w:name="_Toc300935015"/>
      <w:bookmarkStart w:id="928" w:name="_Toc292559929"/>
      <w:r>
        <w:rPr>
          <w:color w:val="auto"/>
          <w:highlight w:val="none"/>
        </w:rPr>
        <w:t xml:space="preserve">13. </w:t>
      </w:r>
      <w:r>
        <w:rPr>
          <w:rFonts w:hint="eastAsia" w:cs="黑体"/>
          <w:color w:val="auto"/>
          <w:highlight w:val="none"/>
        </w:rPr>
        <w:t>验收和工程试车</w:t>
      </w:r>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14:paraId="770854D0">
      <w:pPr>
        <w:pStyle w:val="6"/>
        <w:rPr>
          <w:color w:val="auto"/>
          <w:highlight w:val="none"/>
        </w:rPr>
      </w:pPr>
      <w:bookmarkStart w:id="929" w:name="_Toc32388"/>
      <w:bookmarkStart w:id="930" w:name="_Toc389065319"/>
      <w:bookmarkStart w:id="931" w:name="_Toc373227754"/>
      <w:bookmarkStart w:id="932" w:name="_Toc373478401"/>
      <w:bookmarkStart w:id="933" w:name="_Toc407135257"/>
      <w:r>
        <w:rPr>
          <w:color w:val="auto"/>
          <w:highlight w:val="none"/>
        </w:rPr>
        <w:t xml:space="preserve">13.1 </w:t>
      </w:r>
      <w:r>
        <w:rPr>
          <w:rFonts w:hint="eastAsia" w:cs="黑体"/>
          <w:color w:val="auto"/>
          <w:highlight w:val="none"/>
        </w:rPr>
        <w:t>分部分项工程验收</w:t>
      </w:r>
      <w:bookmarkEnd w:id="929"/>
      <w:bookmarkEnd w:id="930"/>
      <w:bookmarkEnd w:id="931"/>
      <w:bookmarkEnd w:id="932"/>
      <w:bookmarkEnd w:id="933"/>
    </w:p>
    <w:p w14:paraId="499D054F">
      <w:pPr>
        <w:spacing w:line="360" w:lineRule="auto"/>
        <w:ind w:firstLine="420" w:firstLineChars="200"/>
        <w:jc w:val="left"/>
        <w:rPr>
          <w:color w:val="auto"/>
          <w:highlight w:val="none"/>
        </w:rPr>
      </w:pPr>
      <w:r>
        <w:rPr>
          <w:color w:val="auto"/>
          <w:highlight w:val="none"/>
        </w:rPr>
        <w:t>13.1.2</w:t>
      </w:r>
      <w:r>
        <w:rPr>
          <w:rFonts w:hint="eastAsia" w:hAnsi="宋体" w:cs="宋体"/>
          <w:color w:val="auto"/>
          <w:highlight w:val="none"/>
        </w:rPr>
        <w:t>监理人不能按时进行验收时，应提前</w:t>
      </w:r>
      <w:r>
        <w:rPr>
          <w:color w:val="auto"/>
          <w:highlight w:val="none"/>
          <w:u w:val="single"/>
        </w:rPr>
        <w:t xml:space="preserve">  </w:t>
      </w:r>
      <w:r>
        <w:rPr>
          <w:rFonts w:hint="eastAsia"/>
          <w:color w:val="auto"/>
          <w:highlight w:val="none"/>
          <w:u w:val="single"/>
        </w:rPr>
        <w:t>24</w:t>
      </w:r>
      <w:r>
        <w:rPr>
          <w:color w:val="auto"/>
          <w:highlight w:val="none"/>
          <w:u w:val="single"/>
        </w:rPr>
        <w:t xml:space="preserve">  </w:t>
      </w:r>
      <w:r>
        <w:rPr>
          <w:rFonts w:hint="eastAsia" w:hAnsi="宋体" w:cs="宋体"/>
          <w:color w:val="auto"/>
          <w:highlight w:val="none"/>
        </w:rPr>
        <w:t>小时提交书面延期要求。</w:t>
      </w:r>
    </w:p>
    <w:p w14:paraId="6657BA61">
      <w:pPr>
        <w:spacing w:line="360" w:lineRule="auto"/>
        <w:ind w:firstLine="420" w:firstLineChars="200"/>
        <w:jc w:val="left"/>
        <w:rPr>
          <w:b/>
          <w:bCs/>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rPr>
        <w:t>48</w:t>
      </w:r>
      <w:r>
        <w:rPr>
          <w:color w:val="auto"/>
          <w:highlight w:val="none"/>
          <w:u w:val="single"/>
        </w:rPr>
        <w:t xml:space="preserve"> </w:t>
      </w:r>
      <w:r>
        <w:rPr>
          <w:rFonts w:hint="eastAsia" w:hAnsi="宋体" w:cs="宋体"/>
          <w:color w:val="auto"/>
          <w:highlight w:val="none"/>
        </w:rPr>
        <w:t>小时。</w:t>
      </w:r>
    </w:p>
    <w:p w14:paraId="71AE8DBA">
      <w:pPr>
        <w:pStyle w:val="6"/>
        <w:rPr>
          <w:color w:val="auto"/>
          <w:highlight w:val="none"/>
        </w:rPr>
      </w:pPr>
      <w:bookmarkStart w:id="934" w:name="_Toc389065320"/>
      <w:bookmarkStart w:id="935" w:name="_Toc407135258"/>
      <w:bookmarkStart w:id="936" w:name="_Toc373478402"/>
      <w:bookmarkStart w:id="937" w:name="_Toc373227755"/>
      <w:bookmarkStart w:id="938" w:name="_Toc5847"/>
      <w:bookmarkStart w:id="939" w:name="_Toc296891051"/>
      <w:bookmarkStart w:id="940" w:name="_Toc303539173"/>
      <w:bookmarkStart w:id="941" w:name="_Toc312678056"/>
      <w:bookmarkStart w:id="942" w:name="_Toc297120523"/>
      <w:bookmarkStart w:id="943" w:name="_Toc297123565"/>
      <w:bookmarkStart w:id="944" w:name="_Toc296944562"/>
      <w:bookmarkStart w:id="945" w:name="_Toc296891263"/>
      <w:bookmarkStart w:id="946" w:name="_Toc304295596"/>
      <w:bookmarkStart w:id="947" w:name="_Toc292559933"/>
      <w:bookmarkStart w:id="948" w:name="_Toc297048409"/>
      <w:bookmarkStart w:id="949" w:name="_Toc296347222"/>
      <w:bookmarkStart w:id="950" w:name="_Toc297216224"/>
      <w:bookmarkStart w:id="951" w:name="_Toc292559428"/>
      <w:bookmarkStart w:id="952" w:name="_Toc296346724"/>
      <w:bookmarkStart w:id="953" w:name="_Toc300935016"/>
      <w:bookmarkStart w:id="954" w:name="_Toc296503223"/>
      <w:bookmarkStart w:id="955" w:name="_Toc267251472"/>
      <w:bookmarkStart w:id="956" w:name="_Toc267251473"/>
      <w:bookmarkStart w:id="957" w:name="_Toc267251476"/>
      <w:bookmarkStart w:id="958" w:name="_Toc267251470"/>
      <w:bookmarkStart w:id="959" w:name="_Toc267251474"/>
      <w:bookmarkStart w:id="960" w:name="_Toc267251471"/>
      <w:bookmarkStart w:id="961" w:name="_Toc267251475"/>
      <w:r>
        <w:rPr>
          <w:color w:val="auto"/>
          <w:highlight w:val="none"/>
        </w:rPr>
        <w:t xml:space="preserve">13.2 </w:t>
      </w:r>
      <w:r>
        <w:rPr>
          <w:rFonts w:hint="eastAsia" w:hAnsi="宋体" w:cs="黑体"/>
          <w:color w:val="auto"/>
          <w:highlight w:val="none"/>
        </w:rPr>
        <w:t>竣工验收</w:t>
      </w:r>
      <w:bookmarkEnd w:id="934"/>
      <w:bookmarkEnd w:id="935"/>
      <w:bookmarkEnd w:id="936"/>
      <w:bookmarkEnd w:id="937"/>
      <w:bookmarkEnd w:id="938"/>
    </w:p>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14:paraId="53716DA7">
      <w:pPr>
        <w:spacing w:line="360" w:lineRule="auto"/>
        <w:ind w:firstLine="420" w:firstLineChars="200"/>
        <w:jc w:val="left"/>
        <w:rPr>
          <w:color w:val="auto"/>
          <w:highlight w:val="none"/>
        </w:rPr>
      </w:pPr>
      <w:bookmarkStart w:id="962" w:name="_Toc280868704"/>
      <w:bookmarkStart w:id="963" w:name="_Toc280868705"/>
      <w:bookmarkStart w:id="964" w:name="_Toc280868706"/>
      <w:bookmarkStart w:id="965" w:name="_Toc280868707"/>
      <w:bookmarkStart w:id="966" w:name="_Toc280868708"/>
      <w:bookmarkStart w:id="967" w:name="_Toc280868709"/>
      <w:r>
        <w:rPr>
          <w:color w:val="auto"/>
          <w:highlight w:val="none"/>
        </w:rPr>
        <w:t>13.2.1</w:t>
      </w:r>
      <w:r>
        <w:rPr>
          <w:rFonts w:hint="eastAsia" w:hAnsi="宋体" w:cs="宋体"/>
          <w:color w:val="auto"/>
          <w:highlight w:val="none"/>
        </w:rPr>
        <w:t>竣工验收条件</w:t>
      </w:r>
    </w:p>
    <w:p w14:paraId="5636F055">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承包人负责整理和提交的竣工验收资料应当符合工程所在地建设行政主管部门和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城市建设档案管理机构有关施工资料的要求，具体内容包括：</w:t>
      </w:r>
      <w:r>
        <w:rPr>
          <w:color w:val="auto"/>
          <w:highlight w:val="none"/>
          <w:u w:val="single"/>
        </w:rPr>
        <w:t xml:space="preserve"> </w:t>
      </w:r>
      <w:r>
        <w:rPr>
          <w:rFonts w:hint="eastAsia"/>
          <w:color w:val="auto"/>
          <w:highlight w:val="none"/>
          <w:u w:val="single"/>
        </w:rPr>
        <w:t>承包人负责整理和提交的竣工验收资料应当符合工程所在地建设行政主管部门和</w:t>
      </w:r>
      <w:r>
        <w:rPr>
          <w:rFonts w:hint="eastAsia"/>
          <w:color w:val="auto"/>
          <w:highlight w:val="none"/>
          <w:u w:val="single"/>
          <w:lang w:eastAsia="zh-CN"/>
        </w:rPr>
        <w:t>（</w:t>
      </w:r>
      <w:r>
        <w:rPr>
          <w:rFonts w:hint="eastAsia"/>
          <w:color w:val="auto"/>
          <w:highlight w:val="none"/>
          <w:u w:val="single"/>
        </w:rPr>
        <w:t>或</w:t>
      </w:r>
      <w:r>
        <w:rPr>
          <w:rFonts w:hint="eastAsia"/>
          <w:color w:val="auto"/>
          <w:highlight w:val="none"/>
          <w:u w:val="single"/>
          <w:lang w:eastAsia="zh-CN"/>
        </w:rPr>
        <w:t>）</w:t>
      </w:r>
      <w:r>
        <w:rPr>
          <w:rFonts w:hint="eastAsia"/>
          <w:color w:val="auto"/>
          <w:highlight w:val="none"/>
          <w:u w:val="single"/>
        </w:rPr>
        <w:t xml:space="preserve">城市建设档案管理机构有关施工资料的要求，具体内容包括：按建设行政主管部门和（或）城市建设档案管理机构的要求 </w:t>
      </w:r>
      <w:r>
        <w:rPr>
          <w:rFonts w:hint="eastAsia" w:hAnsi="宋体" w:cs="宋体"/>
          <w:color w:val="auto"/>
          <w:highlight w:val="none"/>
        </w:rPr>
        <w:t>。</w:t>
      </w:r>
    </w:p>
    <w:p w14:paraId="56E4F7A5">
      <w:pPr>
        <w:spacing w:line="360" w:lineRule="auto"/>
        <w:ind w:firstLine="420" w:firstLineChars="200"/>
        <w:rPr>
          <w:color w:val="auto"/>
          <w:highlight w:val="none"/>
        </w:rPr>
      </w:pPr>
      <w:r>
        <w:rPr>
          <w:rFonts w:hint="eastAsia" w:hAnsi="宋体" w:cs="宋体"/>
          <w:color w:val="auto"/>
          <w:highlight w:val="none"/>
        </w:rPr>
        <w:t>竣工验收资料的份数：</w:t>
      </w:r>
      <w:r>
        <w:rPr>
          <w:color w:val="auto"/>
          <w:highlight w:val="none"/>
          <w:u w:val="single"/>
        </w:rPr>
        <w:t xml:space="preserve">   </w:t>
      </w:r>
      <w:r>
        <w:rPr>
          <w:rStyle w:val="27"/>
          <w:rFonts w:hint="eastAsia" w:ascii="宋体" w:hAnsi="宋体" w:cs="宋体"/>
          <w:color w:val="auto"/>
          <w:szCs w:val="21"/>
          <w:highlight w:val="none"/>
          <w:u w:val="single"/>
        </w:rPr>
        <w:t>按</w:t>
      </w:r>
      <w:r>
        <w:rPr>
          <w:rStyle w:val="27"/>
          <w:rFonts w:hint="eastAsia" w:ascii="宋体" w:hAnsi="宋体" w:cs="宋体"/>
          <w:color w:val="auto"/>
          <w:szCs w:val="21"/>
          <w:highlight w:val="none"/>
          <w:u w:val="single"/>
          <w:lang w:val="en-US" w:eastAsia="zh-CN"/>
        </w:rPr>
        <w:t>发包人要求执行</w:t>
      </w:r>
      <w:r>
        <w:rPr>
          <w:color w:val="auto"/>
          <w:highlight w:val="none"/>
          <w:u w:val="single"/>
        </w:rPr>
        <w:t xml:space="preserve">   </w:t>
      </w:r>
      <w:r>
        <w:rPr>
          <w:rFonts w:hint="eastAsia" w:hAnsi="宋体" w:cs="宋体"/>
          <w:color w:val="auto"/>
          <w:highlight w:val="none"/>
        </w:rPr>
        <w:t>。</w:t>
      </w:r>
    </w:p>
    <w:p w14:paraId="0EDDE09F">
      <w:pPr>
        <w:spacing w:line="360" w:lineRule="auto"/>
        <w:ind w:firstLine="420" w:firstLineChars="200"/>
        <w:jc w:val="left"/>
        <w:rPr>
          <w:color w:val="auto"/>
          <w:highlight w:val="none"/>
        </w:rPr>
      </w:pPr>
      <w:r>
        <w:rPr>
          <w:rFonts w:hint="eastAsia" w:hAnsi="宋体" w:cs="宋体"/>
          <w:color w:val="auto"/>
          <w:highlight w:val="none"/>
        </w:rPr>
        <w:t>承包人提供竣工图的约定：</w:t>
      </w:r>
      <w:r>
        <w:rPr>
          <w:rFonts w:hint="eastAsia" w:hAnsi="宋体" w:cs="宋体"/>
          <w:color w:val="auto"/>
          <w:highlight w:val="none"/>
          <w:u w:val="single"/>
        </w:rPr>
        <w:t>竣工验收正式通过后 15 天，提供竣工图 6 套。</w:t>
      </w:r>
    </w:p>
    <w:p w14:paraId="0598845C">
      <w:pPr>
        <w:spacing w:line="360" w:lineRule="auto"/>
        <w:ind w:firstLine="420" w:firstLineChars="200"/>
        <w:jc w:val="left"/>
        <w:rPr>
          <w:color w:val="auto"/>
          <w:highlight w:val="none"/>
        </w:rPr>
      </w:pPr>
      <w:r>
        <w:rPr>
          <w:color w:val="auto"/>
          <w:highlight w:val="none"/>
        </w:rPr>
        <w:t>13.2.2</w:t>
      </w:r>
      <w:r>
        <w:rPr>
          <w:rFonts w:hint="eastAsia" w:hAnsi="宋体" w:cs="宋体"/>
          <w:color w:val="auto"/>
          <w:highlight w:val="none"/>
        </w:rPr>
        <w:t>竣工验收程序</w:t>
      </w:r>
    </w:p>
    <w:bookmarkEnd w:id="962"/>
    <w:p w14:paraId="45D6FC7F">
      <w:pPr>
        <w:spacing w:line="360" w:lineRule="auto"/>
        <w:ind w:firstLine="420" w:firstLineChars="200"/>
        <w:jc w:val="left"/>
        <w:rPr>
          <w:color w:val="auto"/>
          <w:highlight w:val="none"/>
          <w:u w:val="single"/>
        </w:rPr>
      </w:pPr>
      <w:r>
        <w:rPr>
          <w:rFonts w:hint="eastAsia" w:hAnsi="宋体" w:cs="宋体"/>
          <w:color w:val="auto"/>
          <w:kern w:val="0"/>
          <w:highlight w:val="none"/>
        </w:rPr>
        <w:t>关于竣工验收程序的约定：</w:t>
      </w:r>
      <w:r>
        <w:rPr>
          <w:color w:val="auto"/>
          <w:highlight w:val="none"/>
          <w:u w:val="single"/>
        </w:rPr>
        <w:t xml:space="preserve">  </w:t>
      </w:r>
      <w:r>
        <w:rPr>
          <w:rFonts w:hint="eastAsia"/>
          <w:color w:val="auto"/>
          <w:highlight w:val="none"/>
          <w:u w:val="single"/>
        </w:rPr>
        <w:t>按照本合同通用条款第 13.2.2 条执行</w:t>
      </w:r>
      <w:r>
        <w:rPr>
          <w:color w:val="auto"/>
          <w:highlight w:val="none"/>
          <w:u w:val="single"/>
        </w:rPr>
        <w:t xml:space="preserve">    </w:t>
      </w:r>
      <w:r>
        <w:rPr>
          <w:rFonts w:hint="eastAsia" w:hAnsi="宋体" w:cs="宋体"/>
          <w:color w:val="auto"/>
          <w:highlight w:val="none"/>
        </w:rPr>
        <w:t>。</w:t>
      </w:r>
    </w:p>
    <w:p w14:paraId="2C40D02D">
      <w:pPr>
        <w:spacing w:line="360" w:lineRule="auto"/>
        <w:ind w:firstLine="420" w:firstLineChars="200"/>
        <w:jc w:val="left"/>
        <w:rPr>
          <w:color w:val="auto"/>
          <w:highlight w:val="none"/>
        </w:rPr>
      </w:pPr>
      <w:r>
        <w:rPr>
          <w:rFonts w:hint="eastAsia" w:hAnsi="宋体" w:cs="宋体"/>
          <w:color w:val="auto"/>
          <w:kern w:val="0"/>
          <w:highlight w:val="none"/>
        </w:rPr>
        <w:t>发包人不按照本项约定组织竣工验收、颁发工程接收证书的违约金的计算方法：</w:t>
      </w:r>
      <w:r>
        <w:rPr>
          <w:color w:val="auto"/>
          <w:highlight w:val="none"/>
          <w:u w:val="single"/>
        </w:rPr>
        <w:t xml:space="preserve"> </w:t>
      </w:r>
      <w:r>
        <w:rPr>
          <w:rFonts w:hint="eastAsia"/>
          <w:color w:val="auto"/>
          <w:highlight w:val="none"/>
          <w:u w:val="single"/>
        </w:rPr>
        <w:t xml:space="preserve">发包人不按本合同通用条款第 13.2.2 条约定组织竣工验收、颁发工程接收证书的，每逾期一天，按签约合同价的万分之三向承包人支付违约金。此项违约金总额不超过签约合同价的百分之二 </w:t>
      </w:r>
      <w:r>
        <w:rPr>
          <w:rFonts w:hint="eastAsia" w:hAnsi="宋体" w:cs="宋体"/>
          <w:color w:val="auto"/>
          <w:highlight w:val="none"/>
        </w:rPr>
        <w:t>。</w:t>
      </w:r>
    </w:p>
    <w:bookmarkEnd w:id="963"/>
    <w:p w14:paraId="2630DBB6">
      <w:pPr>
        <w:spacing w:line="360" w:lineRule="auto"/>
        <w:ind w:firstLine="420" w:firstLineChars="200"/>
        <w:jc w:val="left"/>
        <w:rPr>
          <w:color w:val="auto"/>
          <w:highlight w:val="none"/>
        </w:rPr>
      </w:pPr>
      <w:r>
        <w:rPr>
          <w:color w:val="auto"/>
          <w:highlight w:val="none"/>
        </w:rPr>
        <w:t>13.2.5</w:t>
      </w:r>
      <w:r>
        <w:rPr>
          <w:rFonts w:hint="eastAsia" w:hAnsi="宋体" w:cs="宋体"/>
          <w:color w:val="auto"/>
          <w:highlight w:val="none"/>
        </w:rPr>
        <w:t>移交、接收全部与部分工程</w:t>
      </w:r>
    </w:p>
    <w:bookmarkEnd w:id="964"/>
    <w:p w14:paraId="731E9911">
      <w:pPr>
        <w:spacing w:line="360" w:lineRule="auto"/>
        <w:ind w:firstLine="420" w:firstLineChars="200"/>
        <w:jc w:val="left"/>
        <w:rPr>
          <w:color w:val="auto"/>
          <w:kern w:val="0"/>
          <w:highlight w:val="none"/>
        </w:rPr>
      </w:pPr>
      <w:r>
        <w:rPr>
          <w:rFonts w:hint="eastAsia" w:hAnsi="宋体" w:cs="宋体"/>
          <w:color w:val="auto"/>
          <w:kern w:val="0"/>
          <w:highlight w:val="none"/>
        </w:rPr>
        <w:t>承包人向发包人移交工程的期限：</w:t>
      </w:r>
      <w:r>
        <w:rPr>
          <w:rFonts w:hint="eastAsia"/>
          <w:color w:val="auto"/>
          <w:highlight w:val="none"/>
          <w:u w:val="single"/>
        </w:rPr>
        <w:t xml:space="preserve">在颁发工程接收证书后 7 天内完成工程的移交 </w:t>
      </w:r>
      <w:r>
        <w:rPr>
          <w:rFonts w:hint="eastAsia" w:hAnsi="宋体" w:cs="宋体"/>
          <w:color w:val="auto"/>
          <w:highlight w:val="none"/>
        </w:rPr>
        <w:t>。</w:t>
      </w:r>
    </w:p>
    <w:p w14:paraId="4CC6D041">
      <w:pPr>
        <w:spacing w:line="360" w:lineRule="auto"/>
        <w:ind w:firstLine="420" w:firstLineChars="200"/>
        <w:jc w:val="left"/>
        <w:rPr>
          <w:color w:val="auto"/>
          <w:highlight w:val="none"/>
          <w:u w:val="single"/>
        </w:rPr>
      </w:pPr>
      <w:r>
        <w:rPr>
          <w:rFonts w:hint="eastAsia" w:hAnsi="宋体" w:cs="宋体"/>
          <w:color w:val="auto"/>
          <w:kern w:val="0"/>
          <w:highlight w:val="none"/>
        </w:rPr>
        <w:t>发包人未按本合同约定接收全部或部分工程的，违约金的计算方法为：</w:t>
      </w:r>
      <w:r>
        <w:rPr>
          <w:rFonts w:hint="eastAsia"/>
          <w:color w:val="auto"/>
          <w:highlight w:val="none"/>
          <w:u w:val="single"/>
        </w:rPr>
        <w:t xml:space="preserve">发包人无正当理由不接收工程的，发包人自应当接收工程之日起，承担工程照管、成品保护、保管等与工程有关的各项费用，并每逾期一天接收，按签约合同价的万分之三向承包人支付违约金。此项违约金总额不超过签约合同价的百分之二 </w:t>
      </w:r>
      <w:r>
        <w:rPr>
          <w:rFonts w:hint="eastAsia" w:hAnsi="宋体" w:cs="宋体"/>
          <w:color w:val="auto"/>
          <w:highlight w:val="none"/>
        </w:rPr>
        <w:t>。</w:t>
      </w:r>
    </w:p>
    <w:bookmarkEnd w:id="965"/>
    <w:p w14:paraId="326C05D9">
      <w:pPr>
        <w:spacing w:line="360" w:lineRule="auto"/>
        <w:ind w:firstLine="420" w:firstLineChars="200"/>
        <w:jc w:val="left"/>
        <w:rPr>
          <w:color w:val="auto"/>
          <w:highlight w:val="none"/>
          <w:u w:val="single"/>
        </w:rPr>
      </w:pPr>
      <w:r>
        <w:rPr>
          <w:rFonts w:hint="eastAsia" w:hAnsi="宋体" w:cs="宋体"/>
          <w:color w:val="auto"/>
          <w:highlight w:val="none"/>
        </w:rPr>
        <w:t>承包人未按时移交工程的，违约金的计算方法为：</w:t>
      </w:r>
      <w:r>
        <w:rPr>
          <w:color w:val="auto"/>
          <w:highlight w:val="none"/>
          <w:u w:val="single"/>
        </w:rPr>
        <w:t xml:space="preserve"> </w:t>
      </w:r>
      <w:r>
        <w:rPr>
          <w:rFonts w:hint="eastAsia"/>
          <w:color w:val="auto"/>
          <w:highlight w:val="none"/>
          <w:u w:val="single"/>
        </w:rPr>
        <w:t xml:space="preserve">承包人无正当理由不移交工程的，承包人应承担工程照管、成品保护、保管等与工程有关的各项费用，并每逾期一天移交，按签约合同价的万分之三向发包人支付违约金。此项违约金总额不超过签约合同价的百分之二 </w:t>
      </w:r>
      <w:r>
        <w:rPr>
          <w:rFonts w:hint="eastAsia" w:hAnsi="宋体" w:cs="宋体"/>
          <w:color w:val="auto"/>
          <w:highlight w:val="none"/>
        </w:rPr>
        <w:t>。</w:t>
      </w:r>
    </w:p>
    <w:p w14:paraId="753A62E9">
      <w:pPr>
        <w:pStyle w:val="6"/>
        <w:rPr>
          <w:color w:val="auto"/>
          <w:highlight w:val="none"/>
        </w:rPr>
      </w:pPr>
      <w:bookmarkStart w:id="968" w:name="_Toc21734"/>
      <w:bookmarkStart w:id="969" w:name="_Toc373478403"/>
      <w:bookmarkStart w:id="970" w:name="_Toc373227756"/>
      <w:bookmarkStart w:id="971" w:name="_Toc407135259"/>
      <w:bookmarkStart w:id="972" w:name="_Toc389065321"/>
      <w:r>
        <w:rPr>
          <w:color w:val="auto"/>
          <w:highlight w:val="none"/>
        </w:rPr>
        <w:t xml:space="preserve">13.3 </w:t>
      </w:r>
      <w:r>
        <w:rPr>
          <w:rFonts w:hint="eastAsia" w:hAnsi="宋体" w:cs="黑体"/>
          <w:color w:val="auto"/>
          <w:highlight w:val="none"/>
        </w:rPr>
        <w:t>工程试车</w:t>
      </w:r>
      <w:bookmarkEnd w:id="968"/>
      <w:bookmarkEnd w:id="969"/>
      <w:bookmarkEnd w:id="970"/>
      <w:bookmarkEnd w:id="971"/>
      <w:bookmarkEnd w:id="972"/>
    </w:p>
    <w:bookmarkEnd w:id="966"/>
    <w:p w14:paraId="6F30F57E">
      <w:pPr>
        <w:spacing w:line="360" w:lineRule="auto"/>
        <w:ind w:firstLine="420" w:firstLineChars="200"/>
        <w:jc w:val="left"/>
        <w:rPr>
          <w:color w:val="auto"/>
          <w:kern w:val="0"/>
          <w:highlight w:val="none"/>
        </w:rPr>
      </w:pPr>
      <w:r>
        <w:rPr>
          <w:color w:val="auto"/>
          <w:kern w:val="0"/>
          <w:highlight w:val="none"/>
        </w:rPr>
        <w:t xml:space="preserve">13.3.1 </w:t>
      </w:r>
      <w:r>
        <w:rPr>
          <w:rFonts w:hint="eastAsia" w:hAnsi="宋体" w:cs="宋体"/>
          <w:color w:val="auto"/>
          <w:kern w:val="0"/>
          <w:highlight w:val="none"/>
        </w:rPr>
        <w:t>试车程序</w:t>
      </w:r>
    </w:p>
    <w:p w14:paraId="47E0DFC8">
      <w:pPr>
        <w:spacing w:line="360" w:lineRule="auto"/>
        <w:ind w:firstLine="420" w:firstLineChars="200"/>
        <w:jc w:val="left"/>
        <w:rPr>
          <w:color w:val="auto"/>
          <w:highlight w:val="none"/>
          <w:u w:val="single"/>
        </w:rPr>
      </w:pPr>
      <w:r>
        <w:rPr>
          <w:rFonts w:hint="eastAsia" w:hAnsi="宋体" w:cs="宋体"/>
          <w:color w:val="auto"/>
          <w:kern w:val="0"/>
          <w:highlight w:val="none"/>
        </w:rPr>
        <w:t>工程试车内容：</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5104A9F5">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）单机无负荷试车费用由</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kern w:val="0"/>
          <w:highlight w:val="none"/>
        </w:rPr>
        <w:t>承担；</w:t>
      </w:r>
    </w:p>
    <w:p w14:paraId="1A360EA8">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）无负荷联动试车费用由</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kern w:val="0"/>
          <w:highlight w:val="none"/>
        </w:rPr>
        <w:t>承担。</w:t>
      </w:r>
    </w:p>
    <w:p w14:paraId="6CD03794">
      <w:pPr>
        <w:spacing w:line="360" w:lineRule="auto"/>
        <w:ind w:firstLine="420" w:firstLineChars="200"/>
        <w:jc w:val="left"/>
        <w:rPr>
          <w:color w:val="auto"/>
          <w:kern w:val="0"/>
          <w:highlight w:val="none"/>
        </w:rPr>
      </w:pPr>
      <w:r>
        <w:rPr>
          <w:color w:val="auto"/>
          <w:kern w:val="0"/>
          <w:highlight w:val="none"/>
        </w:rPr>
        <w:t xml:space="preserve">13.3.3 </w:t>
      </w:r>
      <w:r>
        <w:rPr>
          <w:rFonts w:hint="eastAsia" w:hAnsi="宋体" w:cs="宋体"/>
          <w:color w:val="auto"/>
          <w:kern w:val="0"/>
          <w:highlight w:val="none"/>
        </w:rPr>
        <w:t>投料试车</w:t>
      </w:r>
    </w:p>
    <w:p w14:paraId="79E81659">
      <w:pPr>
        <w:spacing w:line="360" w:lineRule="auto"/>
        <w:ind w:firstLine="420" w:firstLineChars="200"/>
        <w:jc w:val="left"/>
        <w:rPr>
          <w:color w:val="auto"/>
          <w:highlight w:val="none"/>
          <w:u w:val="single"/>
        </w:rPr>
      </w:pPr>
      <w:r>
        <w:rPr>
          <w:rFonts w:hint="eastAsia" w:hAnsi="宋体" w:cs="宋体"/>
          <w:color w:val="auto"/>
          <w:kern w:val="0"/>
          <w:highlight w:val="none"/>
        </w:rPr>
        <w:t>关于投料试车相关事项的约定：</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7532503F">
      <w:pPr>
        <w:pStyle w:val="6"/>
        <w:rPr>
          <w:color w:val="auto"/>
          <w:highlight w:val="none"/>
        </w:rPr>
      </w:pPr>
      <w:bookmarkStart w:id="973" w:name="_Toc373478404"/>
      <w:bookmarkStart w:id="974" w:name="_Toc389065322"/>
      <w:bookmarkStart w:id="975" w:name="_Toc27026"/>
      <w:bookmarkStart w:id="976" w:name="_Toc407135260"/>
      <w:bookmarkStart w:id="977" w:name="_Toc373227757"/>
      <w:r>
        <w:rPr>
          <w:color w:val="auto"/>
          <w:highlight w:val="none"/>
        </w:rPr>
        <w:t xml:space="preserve">13.6 </w:t>
      </w:r>
      <w:r>
        <w:rPr>
          <w:rFonts w:hint="eastAsia" w:hAnsi="宋体" w:cs="黑体"/>
          <w:color w:val="auto"/>
          <w:highlight w:val="none"/>
        </w:rPr>
        <w:t>竣工退场</w:t>
      </w:r>
      <w:bookmarkEnd w:id="973"/>
      <w:bookmarkEnd w:id="974"/>
      <w:bookmarkEnd w:id="975"/>
      <w:bookmarkEnd w:id="976"/>
      <w:bookmarkEnd w:id="977"/>
    </w:p>
    <w:p w14:paraId="12F37FE5">
      <w:pPr>
        <w:spacing w:line="360" w:lineRule="auto"/>
        <w:ind w:firstLine="420" w:firstLineChars="200"/>
        <w:jc w:val="left"/>
        <w:outlineLvl w:val="0"/>
        <w:rPr>
          <w:color w:val="auto"/>
          <w:kern w:val="0"/>
          <w:highlight w:val="none"/>
        </w:rPr>
      </w:pPr>
      <w:r>
        <w:rPr>
          <w:color w:val="auto"/>
          <w:kern w:val="0"/>
          <w:highlight w:val="none"/>
        </w:rPr>
        <w:t xml:space="preserve">13.6.1 </w:t>
      </w:r>
      <w:r>
        <w:rPr>
          <w:rFonts w:hint="eastAsia" w:hAnsi="宋体" w:cs="宋体"/>
          <w:color w:val="auto"/>
          <w:kern w:val="0"/>
          <w:highlight w:val="none"/>
        </w:rPr>
        <w:t>竣工退场</w:t>
      </w:r>
    </w:p>
    <w:p w14:paraId="000C4124">
      <w:pPr>
        <w:spacing w:line="360" w:lineRule="auto"/>
        <w:ind w:firstLine="420" w:firstLineChars="200"/>
        <w:jc w:val="left"/>
        <w:rPr>
          <w:color w:val="auto"/>
          <w:kern w:val="0"/>
          <w:highlight w:val="none"/>
        </w:rPr>
      </w:pPr>
      <w:r>
        <w:rPr>
          <w:rFonts w:hint="eastAsia" w:hAnsi="宋体" w:cs="宋体"/>
          <w:color w:val="auto"/>
          <w:kern w:val="0"/>
          <w:highlight w:val="none"/>
        </w:rPr>
        <w:t>承包人完成竣工退场的期限：</w:t>
      </w:r>
      <w:r>
        <w:rPr>
          <w:color w:val="auto"/>
          <w:highlight w:val="none"/>
          <w:u w:val="single"/>
        </w:rPr>
        <w:t xml:space="preserve"> </w:t>
      </w:r>
      <w:r>
        <w:rPr>
          <w:rFonts w:hint="eastAsia"/>
          <w:color w:val="auto"/>
          <w:highlight w:val="none"/>
          <w:u w:val="single"/>
        </w:rPr>
        <w:t>按《通用条款》第 13.6.1 款执行</w:t>
      </w:r>
      <w:r>
        <w:rPr>
          <w:color w:val="auto"/>
          <w:highlight w:val="none"/>
          <w:u w:val="single"/>
        </w:rPr>
        <w:t xml:space="preserve">    </w:t>
      </w:r>
      <w:r>
        <w:rPr>
          <w:rFonts w:hint="eastAsia" w:hAnsi="宋体" w:cs="宋体"/>
          <w:color w:val="auto"/>
          <w:kern w:val="0"/>
          <w:highlight w:val="none"/>
        </w:rPr>
        <w:t>。</w:t>
      </w:r>
    </w:p>
    <w:p w14:paraId="6102CE33">
      <w:pPr>
        <w:pStyle w:val="5"/>
        <w:rPr>
          <w:color w:val="auto"/>
          <w:highlight w:val="none"/>
        </w:rPr>
      </w:pPr>
      <w:bookmarkStart w:id="978" w:name="_Toc351203646"/>
      <w:bookmarkStart w:id="979" w:name="_Toc373227758"/>
      <w:bookmarkStart w:id="980" w:name="_Toc389065323"/>
      <w:bookmarkStart w:id="981" w:name="_Toc407135261"/>
      <w:bookmarkStart w:id="982" w:name="_Toc373478405"/>
      <w:bookmarkStart w:id="983" w:name="_Toc21303"/>
      <w:r>
        <w:rPr>
          <w:color w:val="auto"/>
          <w:highlight w:val="none"/>
        </w:rPr>
        <w:t xml:space="preserve">14. </w:t>
      </w:r>
      <w:r>
        <w:rPr>
          <w:rFonts w:hint="eastAsia" w:hAnsi="宋体" w:cs="黑体"/>
          <w:color w:val="auto"/>
          <w:highlight w:val="none"/>
        </w:rPr>
        <w:t>竣工结算</w:t>
      </w:r>
      <w:bookmarkEnd w:id="978"/>
      <w:bookmarkEnd w:id="979"/>
      <w:bookmarkEnd w:id="980"/>
      <w:bookmarkEnd w:id="981"/>
      <w:bookmarkEnd w:id="982"/>
      <w:bookmarkEnd w:id="983"/>
    </w:p>
    <w:p w14:paraId="386787B5">
      <w:pPr>
        <w:pStyle w:val="6"/>
        <w:rPr>
          <w:color w:val="auto"/>
          <w:highlight w:val="none"/>
        </w:rPr>
      </w:pPr>
      <w:bookmarkStart w:id="984" w:name="_Toc373478406"/>
      <w:bookmarkStart w:id="985" w:name="_Toc373227759"/>
      <w:bookmarkStart w:id="986" w:name="_Toc407135262"/>
      <w:bookmarkStart w:id="987" w:name="_Toc389065324"/>
      <w:bookmarkStart w:id="988" w:name="_Toc8889"/>
      <w:r>
        <w:rPr>
          <w:color w:val="auto"/>
          <w:highlight w:val="none"/>
        </w:rPr>
        <w:t xml:space="preserve">14.1 </w:t>
      </w:r>
      <w:r>
        <w:rPr>
          <w:rFonts w:hint="eastAsia" w:hAnsi="宋体" w:cs="黑体"/>
          <w:color w:val="auto"/>
          <w:highlight w:val="none"/>
        </w:rPr>
        <w:t>竣工付款申请</w:t>
      </w:r>
      <w:bookmarkEnd w:id="984"/>
      <w:bookmarkEnd w:id="985"/>
      <w:bookmarkEnd w:id="986"/>
      <w:bookmarkEnd w:id="987"/>
      <w:bookmarkEnd w:id="988"/>
    </w:p>
    <w:p w14:paraId="2D0AA4B1">
      <w:pPr>
        <w:spacing w:line="360" w:lineRule="auto"/>
        <w:ind w:firstLine="420" w:firstLineChars="200"/>
        <w:jc w:val="left"/>
        <w:rPr>
          <w:color w:val="auto"/>
          <w:highlight w:val="none"/>
        </w:rPr>
      </w:pPr>
      <w:r>
        <w:rPr>
          <w:rFonts w:hint="eastAsia" w:hAnsi="宋体" w:cs="宋体"/>
          <w:color w:val="auto"/>
          <w:highlight w:val="none"/>
        </w:rPr>
        <w:t>承包人提交竣工付款申请单的期限：</w:t>
      </w:r>
      <w:r>
        <w:rPr>
          <w:color w:val="auto"/>
          <w:highlight w:val="none"/>
          <w:u w:val="single"/>
        </w:rPr>
        <w:t xml:space="preserve"> </w:t>
      </w:r>
      <w:r>
        <w:rPr>
          <w:rFonts w:hint="eastAsia"/>
          <w:color w:val="auto"/>
          <w:highlight w:val="none"/>
          <w:u w:val="single"/>
        </w:rPr>
        <w:t>承包人应在工程竣工验收合格之日起 28 天内向发包人和监理人提交竣工结算申请单</w:t>
      </w:r>
      <w:r>
        <w:rPr>
          <w:color w:val="auto"/>
          <w:highlight w:val="none"/>
          <w:u w:val="single"/>
        </w:rPr>
        <w:t xml:space="preserve">  </w:t>
      </w:r>
      <w:r>
        <w:rPr>
          <w:rFonts w:hint="eastAsia" w:hAnsi="宋体" w:cs="宋体"/>
          <w:color w:val="auto"/>
          <w:highlight w:val="none"/>
        </w:rPr>
        <w:t>。</w:t>
      </w:r>
    </w:p>
    <w:p w14:paraId="5BF954FF">
      <w:pPr>
        <w:spacing w:line="360" w:lineRule="auto"/>
        <w:ind w:firstLine="420" w:firstLineChars="200"/>
        <w:jc w:val="left"/>
        <w:rPr>
          <w:color w:val="auto"/>
          <w:highlight w:val="none"/>
          <w:u w:val="single"/>
        </w:rPr>
      </w:pPr>
      <w:r>
        <w:rPr>
          <w:rFonts w:hint="eastAsia" w:hAnsi="宋体" w:cs="宋体"/>
          <w:color w:val="auto"/>
          <w:highlight w:val="none"/>
        </w:rPr>
        <w:t>竣工付款申请单应包括的内容：</w:t>
      </w:r>
      <w:r>
        <w:rPr>
          <w:rFonts w:hint="eastAsia"/>
          <w:color w:val="auto"/>
          <w:highlight w:val="none"/>
          <w:u w:val="single"/>
        </w:rPr>
        <w:t xml:space="preserve">（1）竣工结算合同价格；（2）发包人已支付承包人的款项；（3）应扣留的质量保证金；（4）发包人应支付承包人的合同价款 </w:t>
      </w:r>
      <w:r>
        <w:rPr>
          <w:rFonts w:hint="eastAsia" w:hAnsi="宋体" w:cs="宋体"/>
          <w:color w:val="auto"/>
          <w:highlight w:val="none"/>
        </w:rPr>
        <w:t>。竣工结算款支付申请（核准）表见合同附件12。</w:t>
      </w:r>
    </w:p>
    <w:p w14:paraId="7E385A0F">
      <w:pPr>
        <w:pStyle w:val="6"/>
        <w:rPr>
          <w:color w:val="auto"/>
          <w:highlight w:val="none"/>
        </w:rPr>
      </w:pPr>
      <w:bookmarkStart w:id="989" w:name="_Toc17550"/>
      <w:bookmarkStart w:id="990" w:name="_Toc373227760"/>
      <w:bookmarkStart w:id="991" w:name="_Toc407135263"/>
      <w:bookmarkStart w:id="992" w:name="_Toc389065325"/>
      <w:bookmarkStart w:id="993" w:name="_Toc373478407"/>
      <w:r>
        <w:rPr>
          <w:color w:val="auto"/>
          <w:highlight w:val="none"/>
        </w:rPr>
        <w:t xml:space="preserve">14.2 </w:t>
      </w:r>
      <w:r>
        <w:rPr>
          <w:rFonts w:hint="eastAsia" w:hAnsi="宋体" w:cs="黑体"/>
          <w:color w:val="auto"/>
          <w:highlight w:val="none"/>
        </w:rPr>
        <w:t>竣工结算审核</w:t>
      </w:r>
      <w:bookmarkEnd w:id="989"/>
      <w:bookmarkEnd w:id="990"/>
      <w:bookmarkEnd w:id="991"/>
      <w:bookmarkEnd w:id="992"/>
      <w:bookmarkEnd w:id="993"/>
    </w:p>
    <w:p w14:paraId="2F0A478C">
      <w:pPr>
        <w:spacing w:line="360" w:lineRule="auto"/>
        <w:ind w:firstLine="420" w:firstLineChars="200"/>
        <w:jc w:val="left"/>
        <w:rPr>
          <w:color w:val="auto"/>
          <w:highlight w:val="none"/>
        </w:rPr>
      </w:pPr>
      <w:r>
        <w:rPr>
          <w:rFonts w:hint="eastAsia" w:hAnsi="宋体" w:cs="宋体"/>
          <w:color w:val="auto"/>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D16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3DB667C">
            <w:pPr>
              <w:spacing w:line="360" w:lineRule="auto"/>
              <w:rPr>
                <w:color w:val="auto"/>
                <w:highlight w:val="none"/>
              </w:rPr>
            </w:pPr>
          </w:p>
        </w:tc>
        <w:tc>
          <w:tcPr>
            <w:tcW w:w="2466" w:type="dxa"/>
            <w:noWrap w:val="0"/>
            <w:vAlign w:val="center"/>
          </w:tcPr>
          <w:p w14:paraId="412A7433">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675E493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21DA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B446C65">
            <w:pPr>
              <w:spacing w:line="360" w:lineRule="auto"/>
              <w:jc w:val="center"/>
              <w:rPr>
                <w:color w:val="auto"/>
                <w:highlight w:val="none"/>
              </w:rPr>
            </w:pPr>
            <w:r>
              <w:rPr>
                <w:color w:val="auto"/>
                <w:highlight w:val="none"/>
              </w:rPr>
              <w:t>1</w:t>
            </w:r>
          </w:p>
        </w:tc>
        <w:tc>
          <w:tcPr>
            <w:tcW w:w="2466" w:type="dxa"/>
            <w:noWrap w:val="0"/>
            <w:vAlign w:val="center"/>
          </w:tcPr>
          <w:p w14:paraId="4687167D">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5B3816E">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2721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E8438F5">
            <w:pPr>
              <w:spacing w:line="360" w:lineRule="auto"/>
              <w:jc w:val="center"/>
              <w:rPr>
                <w:color w:val="auto"/>
                <w:highlight w:val="none"/>
              </w:rPr>
            </w:pPr>
            <w:r>
              <w:rPr>
                <w:color w:val="auto"/>
                <w:highlight w:val="none"/>
              </w:rPr>
              <w:t>2</w:t>
            </w:r>
          </w:p>
        </w:tc>
        <w:tc>
          <w:tcPr>
            <w:tcW w:w="2466" w:type="dxa"/>
            <w:noWrap w:val="0"/>
            <w:vAlign w:val="center"/>
          </w:tcPr>
          <w:p w14:paraId="1D73E05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0814192E">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4D52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A5431A5">
            <w:pPr>
              <w:spacing w:line="360" w:lineRule="auto"/>
              <w:jc w:val="center"/>
              <w:rPr>
                <w:color w:val="auto"/>
                <w:highlight w:val="none"/>
              </w:rPr>
            </w:pPr>
            <w:r>
              <w:rPr>
                <w:color w:val="auto"/>
                <w:highlight w:val="none"/>
              </w:rPr>
              <w:t>3</w:t>
            </w:r>
          </w:p>
        </w:tc>
        <w:tc>
          <w:tcPr>
            <w:tcW w:w="2466" w:type="dxa"/>
            <w:noWrap w:val="0"/>
            <w:vAlign w:val="center"/>
          </w:tcPr>
          <w:p w14:paraId="09610105">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13EA99B3">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2FA0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F2DA8A8">
            <w:pPr>
              <w:spacing w:line="360" w:lineRule="auto"/>
              <w:jc w:val="center"/>
              <w:rPr>
                <w:color w:val="auto"/>
                <w:highlight w:val="none"/>
              </w:rPr>
            </w:pPr>
            <w:r>
              <w:rPr>
                <w:color w:val="auto"/>
                <w:highlight w:val="none"/>
              </w:rPr>
              <w:t>4</w:t>
            </w:r>
          </w:p>
        </w:tc>
        <w:tc>
          <w:tcPr>
            <w:tcW w:w="2466" w:type="dxa"/>
            <w:noWrap w:val="0"/>
            <w:vAlign w:val="center"/>
          </w:tcPr>
          <w:p w14:paraId="3BE6C0F6">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24E7855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106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7FEB031">
            <w:pPr>
              <w:spacing w:line="360" w:lineRule="auto"/>
              <w:jc w:val="center"/>
              <w:rPr>
                <w:color w:val="auto"/>
                <w:highlight w:val="none"/>
              </w:rPr>
            </w:pPr>
            <w:r>
              <w:rPr>
                <w:rFonts w:hint="eastAsia"/>
                <w:color w:val="auto"/>
                <w:highlight w:val="none"/>
              </w:rPr>
              <w:t>5</w:t>
            </w:r>
          </w:p>
        </w:tc>
        <w:tc>
          <w:tcPr>
            <w:tcW w:w="2466" w:type="dxa"/>
            <w:noWrap w:val="0"/>
            <w:vAlign w:val="center"/>
          </w:tcPr>
          <w:p w14:paraId="6DBEAF8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w:t>
            </w:r>
            <w:r>
              <w:rPr>
                <w:rFonts w:hint="eastAsia"/>
                <w:color w:val="auto"/>
                <w:highlight w:val="none"/>
                <w:lang w:eastAsia="zh-CN"/>
              </w:rPr>
              <w:t>（</w:t>
            </w:r>
            <w:r>
              <w:rPr>
                <w:rFonts w:hint="eastAsia"/>
                <w:color w:val="auto"/>
                <w:highlight w:val="none"/>
              </w:rPr>
              <w:t>不足0.5亿不增加</w:t>
            </w:r>
            <w:r>
              <w:rPr>
                <w:rFonts w:hint="eastAsia"/>
                <w:color w:val="auto"/>
                <w:highlight w:val="none"/>
                <w:lang w:eastAsia="zh-CN"/>
              </w:rPr>
              <w:t>）</w:t>
            </w:r>
          </w:p>
        </w:tc>
        <w:tc>
          <w:tcPr>
            <w:tcW w:w="5967" w:type="dxa"/>
            <w:noWrap w:val="0"/>
            <w:vAlign w:val="center"/>
          </w:tcPr>
          <w:p w14:paraId="368CE417">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281A067B">
      <w:pPr>
        <w:spacing w:line="360" w:lineRule="auto"/>
        <w:ind w:firstLine="420" w:firstLineChars="200"/>
        <w:jc w:val="left"/>
        <w:rPr>
          <w:rFonts w:hAnsi="宋体"/>
          <w:color w:val="auto"/>
          <w:highlight w:val="none"/>
        </w:rPr>
      </w:pPr>
      <w:r>
        <w:rPr>
          <w:rFonts w:hint="eastAsia" w:hAnsi="宋体" w:cs="宋体"/>
          <w:color w:val="auto"/>
          <w:highlight w:val="none"/>
        </w:rPr>
        <w:t>因承包人提供的结算资料不完整而需要补充或承包人不按时对账耽误时间时，审查时间应相应顺延。</w:t>
      </w:r>
    </w:p>
    <w:p w14:paraId="429F5093">
      <w:pPr>
        <w:spacing w:line="400" w:lineRule="exact"/>
        <w:ind w:firstLine="411" w:firstLineChars="196"/>
        <w:rPr>
          <w:rFonts w:hAnsi="宋体"/>
          <w:color w:val="auto"/>
          <w:highlight w:val="none"/>
        </w:rPr>
      </w:pPr>
      <w:r>
        <w:rPr>
          <w:rFonts w:hint="eastAsia" w:hAnsi="宋体" w:cs="宋体"/>
          <w:color w:val="auto"/>
          <w:highlight w:val="none"/>
        </w:rPr>
        <w:t>竣工结算审核约定：</w:t>
      </w:r>
    </w:p>
    <w:p w14:paraId="58CB2E89">
      <w:pPr>
        <w:spacing w:line="400" w:lineRule="exact"/>
        <w:ind w:firstLine="411" w:firstLineChars="196"/>
        <w:rPr>
          <w:rFonts w:hAnsi="宋体"/>
          <w:color w:val="auto"/>
          <w:highlight w:val="none"/>
          <w:u w:val="single"/>
        </w:rPr>
      </w:pPr>
      <w:r>
        <w:rPr>
          <w:rFonts w:hint="eastAsia" w:hAnsi="宋体"/>
          <w:color w:val="auto"/>
          <w:highlight w:val="none"/>
          <w:u w:val="single"/>
          <w:lang w:eastAsia="zh-CN"/>
        </w:rPr>
        <w:t>1.</w:t>
      </w:r>
      <w:r>
        <w:rPr>
          <w:rFonts w:hint="eastAsia" w:hAnsi="宋体" w:cs="宋体"/>
          <w:color w:val="auto"/>
          <w:highlight w:val="none"/>
          <w:u w:val="single"/>
        </w:rPr>
        <w:t>工程竣工验收报告经发包人认可后</w:t>
      </w:r>
      <w:r>
        <w:rPr>
          <w:rFonts w:hint="eastAsia" w:hAnsi="宋体"/>
          <w:color w:val="auto"/>
          <w:highlight w:val="none"/>
          <w:u w:val="single"/>
        </w:rPr>
        <w:t>28</w:t>
      </w:r>
      <w:r>
        <w:rPr>
          <w:rFonts w:hint="eastAsia" w:hAnsi="宋体" w:cs="宋体"/>
          <w:color w:val="auto"/>
          <w:highlight w:val="none"/>
          <w:u w:val="single"/>
        </w:rPr>
        <w:t>天内，承包人向发包人递交竣工验收合格资料及完整的结算资料和报告，双方按照本工程合同约定的价格形式及价款调整办法进行工程竣工结算。</w:t>
      </w:r>
      <w:r>
        <w:rPr>
          <w:rFonts w:hAnsi="宋体"/>
          <w:color w:val="auto"/>
          <w:highlight w:val="none"/>
          <w:u w:val="single"/>
        </w:rPr>
        <w:t>2</w:t>
      </w:r>
      <w:r>
        <w:rPr>
          <w:rFonts w:hint="eastAsia" w:hAnsi="宋体" w:cs="宋体"/>
          <w:color w:val="auto"/>
          <w:highlight w:val="none"/>
          <w:u w:val="single"/>
        </w:rPr>
        <w:t>、发包人收到承包人递交的竣工结算报告及结算资料后按要求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7日内提出异议，必要时合同当事人要当面核对，直至完成工程竣工结算。除非有特殊情形，否则从承包人递交竣工结算报告到完成竣工结算的时间应控制在“发包人审核竣工付款申请单的期限”要求的时间范围内。3.发包人按审定后的竣工结算价款，通知经办银行向承包人支付结算价款。</w:t>
      </w:r>
    </w:p>
    <w:p w14:paraId="7E47E36F">
      <w:pPr>
        <w:spacing w:line="360" w:lineRule="auto"/>
        <w:jc w:val="left"/>
        <w:rPr>
          <w:color w:val="auto"/>
          <w:highlight w:val="none"/>
          <w:u w:val="single"/>
        </w:rPr>
      </w:pPr>
      <w:r>
        <w:rPr>
          <w:rFonts w:hint="eastAsia" w:hAnsi="宋体" w:cs="宋体"/>
          <w:color w:val="auto"/>
          <w:highlight w:val="none"/>
        </w:rPr>
        <w:t>备注：对于国有投资项目结算审核约定，双方可结合各地政府或有关部门出台的管理规定进行局部调整</w:t>
      </w:r>
    </w:p>
    <w:p w14:paraId="259C6A88">
      <w:pPr>
        <w:pStyle w:val="6"/>
        <w:rPr>
          <w:color w:val="auto"/>
          <w:highlight w:val="none"/>
        </w:rPr>
      </w:pPr>
      <w:bookmarkStart w:id="994" w:name="_Toc373227761"/>
      <w:bookmarkStart w:id="995" w:name="_Toc373478408"/>
      <w:bookmarkStart w:id="996" w:name="_Toc19694"/>
      <w:bookmarkStart w:id="997" w:name="_Toc389065326"/>
      <w:bookmarkStart w:id="998" w:name="_Toc407135264"/>
      <w:r>
        <w:rPr>
          <w:color w:val="auto"/>
          <w:highlight w:val="none"/>
        </w:rPr>
        <w:t xml:space="preserve">14.4 </w:t>
      </w:r>
      <w:r>
        <w:rPr>
          <w:rFonts w:hint="eastAsia" w:hAnsi="宋体" w:cs="黑体"/>
          <w:color w:val="auto"/>
          <w:highlight w:val="none"/>
        </w:rPr>
        <w:t>最终结清</w:t>
      </w:r>
      <w:bookmarkEnd w:id="994"/>
      <w:bookmarkEnd w:id="995"/>
      <w:bookmarkEnd w:id="996"/>
      <w:bookmarkEnd w:id="997"/>
      <w:bookmarkEnd w:id="998"/>
    </w:p>
    <w:p w14:paraId="2040BA06">
      <w:pPr>
        <w:spacing w:line="360" w:lineRule="auto"/>
        <w:ind w:firstLine="420" w:firstLineChars="200"/>
        <w:jc w:val="left"/>
        <w:rPr>
          <w:color w:val="auto"/>
          <w:kern w:val="0"/>
          <w:highlight w:val="none"/>
        </w:rPr>
      </w:pPr>
      <w:r>
        <w:rPr>
          <w:color w:val="auto"/>
          <w:kern w:val="0"/>
          <w:highlight w:val="none"/>
        </w:rPr>
        <w:t xml:space="preserve">14.4.1 </w:t>
      </w:r>
      <w:r>
        <w:rPr>
          <w:rFonts w:hint="eastAsia" w:hAnsi="宋体" w:cs="宋体"/>
          <w:color w:val="auto"/>
          <w:kern w:val="0"/>
          <w:highlight w:val="none"/>
        </w:rPr>
        <w:t>最终结清申请单</w:t>
      </w:r>
    </w:p>
    <w:p w14:paraId="4A709AD5">
      <w:pPr>
        <w:spacing w:line="360" w:lineRule="auto"/>
        <w:ind w:firstLine="420" w:firstLineChars="200"/>
        <w:jc w:val="left"/>
        <w:rPr>
          <w:color w:val="auto"/>
          <w:kern w:val="0"/>
          <w:highlight w:val="none"/>
        </w:rPr>
      </w:pPr>
      <w:r>
        <w:rPr>
          <w:rFonts w:hint="eastAsia" w:hAnsi="宋体" w:cs="宋体"/>
          <w:color w:val="auto"/>
          <w:kern w:val="0"/>
          <w:highlight w:val="none"/>
        </w:rPr>
        <w:t>承包人提交最终结清申请单的份数：</w:t>
      </w:r>
      <w:r>
        <w:rPr>
          <w:color w:val="auto"/>
          <w:highlight w:val="none"/>
          <w:u w:val="single"/>
        </w:rPr>
        <w:t xml:space="preserve">      </w:t>
      </w:r>
      <w:r>
        <w:rPr>
          <w:rFonts w:hint="eastAsia"/>
          <w:color w:val="auto"/>
          <w:highlight w:val="none"/>
          <w:u w:val="single"/>
        </w:rPr>
        <w:t>叁份</w:t>
      </w:r>
      <w:r>
        <w:rPr>
          <w:color w:val="auto"/>
          <w:highlight w:val="none"/>
          <w:u w:val="single"/>
        </w:rPr>
        <w:t xml:space="preserve">          </w:t>
      </w:r>
      <w:r>
        <w:rPr>
          <w:rFonts w:hint="eastAsia" w:hAnsi="宋体" w:cs="宋体"/>
          <w:color w:val="auto"/>
          <w:highlight w:val="none"/>
        </w:rPr>
        <w:t>。</w:t>
      </w:r>
    </w:p>
    <w:p w14:paraId="52FA3C26">
      <w:pPr>
        <w:spacing w:line="360" w:lineRule="auto"/>
        <w:ind w:firstLine="420" w:firstLineChars="200"/>
        <w:jc w:val="left"/>
        <w:rPr>
          <w:color w:val="auto"/>
          <w:highlight w:val="none"/>
        </w:rPr>
      </w:pPr>
      <w:r>
        <w:rPr>
          <w:rFonts w:hint="eastAsia" w:hAnsi="宋体" w:cs="宋体"/>
          <w:color w:val="auto"/>
          <w:kern w:val="0"/>
          <w:highlight w:val="none"/>
        </w:rPr>
        <w:t>承包人提交最终结算申请单的期限：</w:t>
      </w:r>
      <w:r>
        <w:rPr>
          <w:color w:val="auto"/>
          <w:highlight w:val="none"/>
          <w:u w:val="single"/>
        </w:rPr>
        <w:t xml:space="preserve">  </w:t>
      </w:r>
      <w:r>
        <w:rPr>
          <w:rFonts w:hint="eastAsia"/>
          <w:color w:val="auto"/>
          <w:highlight w:val="none"/>
          <w:u w:val="single"/>
        </w:rPr>
        <w:t>应在缺陷责任期终止证书颁发之日起 7 天内提交</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54331800">
      <w:pPr>
        <w:spacing w:line="360" w:lineRule="auto"/>
        <w:ind w:firstLine="420" w:firstLineChars="200"/>
        <w:jc w:val="left"/>
        <w:rPr>
          <w:color w:val="auto"/>
          <w:highlight w:val="none"/>
        </w:rPr>
      </w:pPr>
      <w:r>
        <w:rPr>
          <w:rFonts w:hint="eastAsia"/>
          <w:color w:val="auto"/>
          <w:highlight w:val="none"/>
        </w:rPr>
        <w:t>最终结算款支付申请（核准）表见合同附件13。</w:t>
      </w:r>
    </w:p>
    <w:p w14:paraId="2453E26B">
      <w:pPr>
        <w:spacing w:line="360" w:lineRule="auto"/>
        <w:ind w:firstLine="420" w:firstLineChars="200"/>
        <w:jc w:val="left"/>
        <w:rPr>
          <w:color w:val="auto"/>
          <w:highlight w:val="none"/>
        </w:rPr>
      </w:pPr>
      <w:r>
        <w:rPr>
          <w:color w:val="auto"/>
          <w:highlight w:val="none"/>
        </w:rPr>
        <w:t xml:space="preserve">14.4.2 </w:t>
      </w:r>
      <w:r>
        <w:rPr>
          <w:rFonts w:hint="eastAsia" w:hAnsi="宋体" w:cs="宋体"/>
          <w:color w:val="auto"/>
          <w:highlight w:val="none"/>
        </w:rPr>
        <w:t>最终结清证书和支付</w:t>
      </w:r>
    </w:p>
    <w:p w14:paraId="4FBBB76E">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）发包人完成最终结清申请单的审批并颁发最终结清证书的期限：</w:t>
      </w:r>
      <w:r>
        <w:rPr>
          <w:color w:val="auto"/>
          <w:highlight w:val="none"/>
          <w:u w:val="single"/>
        </w:rPr>
        <w:t xml:space="preserve"> </w:t>
      </w:r>
      <w:r>
        <w:rPr>
          <w:rFonts w:hint="eastAsia"/>
          <w:color w:val="auto"/>
          <w:highlight w:val="none"/>
          <w:u w:val="single"/>
        </w:rPr>
        <w:t>发包人应在收到承包人提交的最终结清申请单之日起 14 天内完成审批并向承包人颁发最终结清证书</w:t>
      </w:r>
      <w:r>
        <w:rPr>
          <w:color w:val="auto"/>
          <w:highlight w:val="none"/>
          <w:u w:val="single"/>
        </w:rPr>
        <w:t xml:space="preserve">  </w:t>
      </w:r>
      <w:r>
        <w:rPr>
          <w:rFonts w:hint="eastAsia" w:hAnsi="宋体" w:cs="宋体"/>
          <w:color w:val="auto"/>
          <w:highlight w:val="none"/>
        </w:rPr>
        <w:t>。</w:t>
      </w:r>
    </w:p>
    <w:p w14:paraId="3C6668B5">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）发包人完成支付的期限：</w:t>
      </w:r>
      <w:r>
        <w:rPr>
          <w:color w:val="auto"/>
          <w:highlight w:val="none"/>
          <w:u w:val="single"/>
        </w:rPr>
        <w:t xml:space="preserve"> </w:t>
      </w:r>
      <w:r>
        <w:rPr>
          <w:rFonts w:hint="eastAsia"/>
          <w:color w:val="auto"/>
          <w:highlight w:val="none"/>
          <w:u w:val="single"/>
        </w:rPr>
        <w:t>发包人应在颁发最终结清证书后报财政局审批完成支付</w:t>
      </w:r>
      <w:r>
        <w:rPr>
          <w:color w:val="auto"/>
          <w:highlight w:val="none"/>
          <w:u w:val="single"/>
        </w:rPr>
        <w:t xml:space="preserve"> </w:t>
      </w:r>
      <w:r>
        <w:rPr>
          <w:rFonts w:hint="eastAsia" w:hAnsi="宋体" w:cs="宋体"/>
          <w:color w:val="auto"/>
          <w:highlight w:val="none"/>
        </w:rPr>
        <w:t>。</w:t>
      </w:r>
    </w:p>
    <w:bookmarkEnd w:id="955"/>
    <w:bookmarkEnd w:id="956"/>
    <w:bookmarkEnd w:id="957"/>
    <w:bookmarkEnd w:id="958"/>
    <w:bookmarkEnd w:id="959"/>
    <w:bookmarkEnd w:id="960"/>
    <w:bookmarkEnd w:id="961"/>
    <w:bookmarkEnd w:id="967"/>
    <w:p w14:paraId="46249CB1">
      <w:pPr>
        <w:pStyle w:val="5"/>
        <w:rPr>
          <w:color w:val="auto"/>
          <w:highlight w:val="none"/>
        </w:rPr>
      </w:pPr>
      <w:bookmarkStart w:id="999" w:name="_Toc351203647"/>
      <w:bookmarkStart w:id="1000" w:name="_Toc389065327"/>
      <w:bookmarkStart w:id="1001" w:name="_Toc373227762"/>
      <w:bookmarkStart w:id="1002" w:name="_Toc407135265"/>
      <w:bookmarkStart w:id="1003" w:name="_Toc373478409"/>
      <w:bookmarkStart w:id="1004" w:name="_Toc19809"/>
      <w:bookmarkStart w:id="1005" w:name="_Toc267251483"/>
      <w:bookmarkStart w:id="1006" w:name="_Toc267251484"/>
      <w:bookmarkStart w:id="1007" w:name="_Toc267251482"/>
      <w:bookmarkStart w:id="1008" w:name="_Toc267251485"/>
      <w:bookmarkStart w:id="1009" w:name="_Toc267251490"/>
      <w:bookmarkStart w:id="1010" w:name="_Toc267251489"/>
      <w:bookmarkStart w:id="1011" w:name="_Toc267251488"/>
      <w:bookmarkStart w:id="1012" w:name="_Toc267251486"/>
      <w:bookmarkStart w:id="1013" w:name="_Toc267251499"/>
      <w:bookmarkStart w:id="1014" w:name="_Toc267251503"/>
      <w:bookmarkStart w:id="1015" w:name="_Toc267251501"/>
      <w:bookmarkStart w:id="1016" w:name="_Toc267251495"/>
      <w:bookmarkStart w:id="1017" w:name="_Toc267251494"/>
      <w:bookmarkStart w:id="1018" w:name="_Toc267251502"/>
      <w:bookmarkStart w:id="1019" w:name="_Toc267251492"/>
      <w:bookmarkStart w:id="1020" w:name="_Toc267251493"/>
      <w:bookmarkStart w:id="1021" w:name="_Toc267251497"/>
      <w:bookmarkStart w:id="1022" w:name="_Toc267251496"/>
      <w:bookmarkStart w:id="1023" w:name="_Toc267251491"/>
      <w:bookmarkStart w:id="1024" w:name="_Toc267251498"/>
      <w:bookmarkStart w:id="1025" w:name="_Toc267251506"/>
      <w:bookmarkStart w:id="1026" w:name="_Toc267251504"/>
      <w:bookmarkStart w:id="1027" w:name="_Toc267251507"/>
      <w:bookmarkStart w:id="1028" w:name="_Toc267251508"/>
      <w:bookmarkStart w:id="1029" w:name="_Toc267251513"/>
      <w:bookmarkStart w:id="1030" w:name="_Toc267251514"/>
      <w:bookmarkStart w:id="1031" w:name="_Toc267251515"/>
      <w:bookmarkStart w:id="1032" w:name="_Toc267251510"/>
      <w:bookmarkStart w:id="1033" w:name="_Toc267251511"/>
      <w:bookmarkStart w:id="1034" w:name="_Toc267251509"/>
      <w:r>
        <w:rPr>
          <w:color w:val="auto"/>
          <w:highlight w:val="none"/>
        </w:rPr>
        <w:t xml:space="preserve">15. </w:t>
      </w:r>
      <w:r>
        <w:rPr>
          <w:rFonts w:hint="eastAsia" w:cs="黑体"/>
          <w:color w:val="auto"/>
          <w:highlight w:val="none"/>
        </w:rPr>
        <w:t>缺陷责任期与保修</w:t>
      </w:r>
      <w:bookmarkEnd w:id="999"/>
      <w:bookmarkEnd w:id="1000"/>
      <w:bookmarkEnd w:id="1001"/>
      <w:bookmarkEnd w:id="1002"/>
      <w:bookmarkEnd w:id="1003"/>
      <w:bookmarkEnd w:id="1004"/>
    </w:p>
    <w:p w14:paraId="39620973">
      <w:pPr>
        <w:pStyle w:val="6"/>
        <w:rPr>
          <w:color w:val="auto"/>
          <w:highlight w:val="none"/>
        </w:rPr>
      </w:pPr>
      <w:bookmarkStart w:id="1035" w:name="_Toc407135266"/>
      <w:bookmarkStart w:id="1036" w:name="_Toc373478410"/>
      <w:bookmarkStart w:id="1037" w:name="_Toc389065328"/>
      <w:bookmarkStart w:id="1038" w:name="_Toc373227763"/>
      <w:r>
        <w:rPr>
          <w:color w:val="auto"/>
          <w:highlight w:val="none"/>
        </w:rPr>
        <w:t xml:space="preserve">15.2 </w:t>
      </w:r>
      <w:r>
        <w:rPr>
          <w:rFonts w:hint="eastAsia" w:hAnsi="宋体" w:cs="黑体"/>
          <w:color w:val="auto"/>
          <w:highlight w:val="none"/>
        </w:rPr>
        <w:t>缺陷责任期</w:t>
      </w:r>
      <w:bookmarkEnd w:id="1005"/>
      <w:bookmarkEnd w:id="1035"/>
      <w:bookmarkEnd w:id="1036"/>
      <w:bookmarkEnd w:id="1037"/>
      <w:bookmarkEnd w:id="1038"/>
    </w:p>
    <w:p w14:paraId="5B06C952">
      <w:pPr>
        <w:spacing w:line="360" w:lineRule="auto"/>
        <w:ind w:firstLine="420" w:firstLineChars="200"/>
        <w:jc w:val="left"/>
        <w:rPr>
          <w:color w:val="auto"/>
          <w:highlight w:val="none"/>
          <w:u w:val="single"/>
        </w:rPr>
      </w:pPr>
      <w:r>
        <w:rPr>
          <w:rFonts w:hint="eastAsia" w:hAnsi="宋体" w:cs="宋体"/>
          <w:color w:val="auto"/>
          <w:highlight w:val="none"/>
        </w:rPr>
        <w:t>缺陷责任期的具体期限：</w:t>
      </w:r>
      <w:r>
        <w:rPr>
          <w:color w:val="auto"/>
          <w:highlight w:val="none"/>
          <w:u w:val="single"/>
        </w:rPr>
        <w:t xml:space="preserve"> </w:t>
      </w:r>
      <w:r>
        <w:rPr>
          <w:rFonts w:hint="eastAsia"/>
          <w:color w:val="auto"/>
          <w:highlight w:val="none"/>
          <w:u w:val="single"/>
          <w:lang w:val="en-US" w:eastAsia="zh-CN"/>
        </w:rPr>
        <w:t>12</w:t>
      </w:r>
      <w:r>
        <w:rPr>
          <w:rFonts w:hint="eastAsia"/>
          <w:color w:val="auto"/>
          <w:highlight w:val="none"/>
          <w:u w:val="single"/>
        </w:rPr>
        <w:t>个月</w:t>
      </w:r>
      <w:r>
        <w:rPr>
          <w:color w:val="auto"/>
          <w:highlight w:val="none"/>
          <w:u w:val="single"/>
        </w:rPr>
        <w:t xml:space="preserve">   </w:t>
      </w:r>
      <w:r>
        <w:rPr>
          <w:rFonts w:hint="eastAsia" w:hAnsi="宋体" w:cs="宋体"/>
          <w:color w:val="auto"/>
          <w:highlight w:val="none"/>
        </w:rPr>
        <w:t>。</w:t>
      </w:r>
    </w:p>
    <w:p w14:paraId="5AEE0A5B">
      <w:pPr>
        <w:pStyle w:val="6"/>
        <w:rPr>
          <w:color w:val="auto"/>
          <w:highlight w:val="none"/>
        </w:rPr>
      </w:pPr>
      <w:bookmarkStart w:id="1039" w:name="_Toc373478411"/>
      <w:bookmarkStart w:id="1040" w:name="_Toc389065329"/>
      <w:bookmarkStart w:id="1041" w:name="_Toc407135267"/>
      <w:bookmarkStart w:id="1042" w:name="_Toc23593"/>
      <w:bookmarkStart w:id="1043" w:name="_Toc373227764"/>
      <w:r>
        <w:rPr>
          <w:color w:val="auto"/>
          <w:highlight w:val="none"/>
        </w:rPr>
        <w:t xml:space="preserve">15.3 </w:t>
      </w:r>
      <w:r>
        <w:rPr>
          <w:rFonts w:hint="eastAsia" w:hAnsi="宋体" w:cs="黑体"/>
          <w:color w:val="auto"/>
          <w:highlight w:val="none"/>
        </w:rPr>
        <w:t>质量保证金</w:t>
      </w:r>
      <w:bookmarkEnd w:id="1039"/>
      <w:bookmarkEnd w:id="1040"/>
      <w:bookmarkEnd w:id="1041"/>
      <w:bookmarkEnd w:id="1042"/>
      <w:bookmarkEnd w:id="1043"/>
    </w:p>
    <w:p w14:paraId="16D9CC70">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关于是否扣留质量保证金的约定：</w:t>
      </w:r>
      <w:r>
        <w:rPr>
          <w:color w:val="auto"/>
          <w:highlight w:val="none"/>
          <w:u w:val="single"/>
        </w:rPr>
        <w:t xml:space="preserve">   </w:t>
      </w:r>
      <w:r>
        <w:rPr>
          <w:rFonts w:hint="eastAsia"/>
          <w:color w:val="auto"/>
          <w:highlight w:val="none"/>
          <w:u w:val="single"/>
        </w:rPr>
        <w:t>是</w:t>
      </w:r>
      <w:r>
        <w:rPr>
          <w:color w:val="auto"/>
          <w:highlight w:val="none"/>
          <w:u w:val="single"/>
        </w:rPr>
        <w:t xml:space="preserve">   </w:t>
      </w:r>
      <w:r>
        <w:rPr>
          <w:rFonts w:hint="eastAsia" w:hAnsi="宋体" w:cs="宋体"/>
          <w:color w:val="auto"/>
          <w:highlight w:val="none"/>
        </w:rPr>
        <w:t>。</w:t>
      </w:r>
    </w:p>
    <w:p w14:paraId="11ACD65C">
      <w:pPr>
        <w:spacing w:line="360" w:lineRule="auto"/>
        <w:ind w:firstLine="420" w:firstLineChars="200"/>
        <w:jc w:val="left"/>
        <w:rPr>
          <w:color w:val="auto"/>
          <w:highlight w:val="none"/>
        </w:rPr>
      </w:pPr>
      <w:r>
        <w:rPr>
          <w:rFonts w:hint="eastAsia" w:hAnsi="宋体" w:cs="宋体"/>
          <w:color w:val="auto"/>
          <w:highlight w:val="none"/>
        </w:rPr>
        <w:t>在工程项目竣工前，承包人按专用合同条款第3.7条提供履约担保的，发包人不得同时预留工程质量保证金。</w:t>
      </w:r>
    </w:p>
    <w:p w14:paraId="58C6C431">
      <w:pPr>
        <w:spacing w:line="360" w:lineRule="auto"/>
        <w:ind w:firstLine="420" w:firstLineChars="200"/>
        <w:jc w:val="left"/>
        <w:outlineLvl w:val="0"/>
        <w:rPr>
          <w:color w:val="auto"/>
          <w:highlight w:val="none"/>
        </w:rPr>
      </w:pPr>
      <w:r>
        <w:rPr>
          <w:color w:val="auto"/>
          <w:highlight w:val="none"/>
        </w:rPr>
        <w:t xml:space="preserve">15.3.1 </w:t>
      </w:r>
      <w:r>
        <w:rPr>
          <w:rFonts w:hint="eastAsia" w:hAnsi="宋体" w:cs="宋体"/>
          <w:color w:val="auto"/>
          <w:highlight w:val="none"/>
        </w:rPr>
        <w:t>承包人提供质量保证金的方式</w:t>
      </w:r>
    </w:p>
    <w:p w14:paraId="5013AE17">
      <w:pPr>
        <w:spacing w:line="360" w:lineRule="auto"/>
        <w:ind w:firstLine="420" w:firstLineChars="200"/>
        <w:jc w:val="left"/>
        <w:rPr>
          <w:color w:val="auto"/>
          <w:highlight w:val="none"/>
        </w:rPr>
      </w:pPr>
      <w:r>
        <w:rPr>
          <w:rFonts w:hint="eastAsia" w:hAnsi="宋体" w:cs="宋体"/>
          <w:color w:val="auto"/>
          <w:highlight w:val="none"/>
        </w:rPr>
        <w:t>质量保证金采用以下第</w:t>
      </w:r>
      <w:r>
        <w:rPr>
          <w:color w:val="auto"/>
          <w:highlight w:val="none"/>
          <w:u w:val="single"/>
        </w:rPr>
        <w:t xml:space="preserve">  </w:t>
      </w:r>
      <w:r>
        <w:rPr>
          <w:rFonts w:hint="eastAsia"/>
          <w:color w:val="auto"/>
          <w:highlight w:val="none"/>
          <w:u w:val="single"/>
        </w:rPr>
        <w:t>（2）</w:t>
      </w:r>
      <w:r>
        <w:rPr>
          <w:color w:val="auto"/>
          <w:highlight w:val="none"/>
          <w:u w:val="single"/>
        </w:rPr>
        <w:t xml:space="preserve">   </w:t>
      </w:r>
      <w:r>
        <w:rPr>
          <w:rFonts w:hint="eastAsia" w:hAnsi="宋体" w:cs="宋体"/>
          <w:color w:val="auto"/>
          <w:highlight w:val="none"/>
        </w:rPr>
        <w:t>种方式：</w:t>
      </w:r>
    </w:p>
    <w:p w14:paraId="21198ABE">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）质量保证金保函，保证金额为：</w:t>
      </w:r>
      <w:r>
        <w:rPr>
          <w:color w:val="auto"/>
          <w:kern w:val="0"/>
          <w:highlight w:val="none"/>
          <w:u w:val="single"/>
        </w:rPr>
        <w:t xml:space="preserve">                   </w:t>
      </w:r>
      <w:r>
        <w:rPr>
          <w:rFonts w:hint="eastAsia" w:hAnsi="宋体" w:cs="宋体"/>
          <w:color w:val="auto"/>
          <w:kern w:val="0"/>
          <w:highlight w:val="none"/>
        </w:rPr>
        <w:t>；</w:t>
      </w:r>
    </w:p>
    <w:p w14:paraId="689A9D7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rFonts w:hint="eastAsia" w:hAnsi="宋体" w:cs="宋体"/>
          <w:color w:val="auto"/>
          <w:highlight w:val="none"/>
        </w:rPr>
        <w:t>发包人按工程价款结算总额的</w:t>
      </w:r>
      <w:r>
        <w:rPr>
          <w:rFonts w:hAnsi="宋体"/>
          <w:color w:val="auto"/>
          <w:highlight w:val="none"/>
          <w:u w:val="single"/>
        </w:rPr>
        <w:t xml:space="preserve"> </w:t>
      </w:r>
      <w:r>
        <w:rPr>
          <w:rFonts w:hint="eastAsia" w:hAnsi="宋体"/>
          <w:color w:val="auto"/>
          <w:highlight w:val="none"/>
          <w:u w:val="single"/>
        </w:rPr>
        <w:t>3</w:t>
      </w:r>
      <w:r>
        <w:rPr>
          <w:rFonts w:hAnsi="宋体"/>
          <w:color w:val="auto"/>
          <w:highlight w:val="none"/>
          <w:u w:val="single"/>
        </w:rPr>
        <w:t xml:space="preserve">  </w:t>
      </w:r>
      <w:r>
        <w:rPr>
          <w:color w:val="auto"/>
          <w:highlight w:val="none"/>
        </w:rPr>
        <w:t>%</w:t>
      </w:r>
      <w:r>
        <w:rPr>
          <w:rFonts w:hint="eastAsia" w:cs="宋体"/>
          <w:color w:val="auto"/>
          <w:highlight w:val="none"/>
        </w:rPr>
        <w:t>（不得超过</w:t>
      </w:r>
      <w:r>
        <w:rPr>
          <w:color w:val="auto"/>
          <w:highlight w:val="none"/>
        </w:rPr>
        <w:t>3%</w:t>
      </w:r>
      <w:r>
        <w:rPr>
          <w:rFonts w:hint="eastAsia" w:cs="宋体"/>
          <w:color w:val="auto"/>
          <w:highlight w:val="none"/>
        </w:rPr>
        <w:t>）</w:t>
      </w:r>
      <w:r>
        <w:rPr>
          <w:rFonts w:hint="eastAsia" w:hAnsi="宋体" w:cs="宋体"/>
          <w:color w:val="auto"/>
          <w:highlight w:val="none"/>
        </w:rPr>
        <w:t>预留工程质量保证金，待缺陷责任期满后返还，是否付息及利息计算方式为：</w:t>
      </w:r>
      <w:r>
        <w:rPr>
          <w:rFonts w:hint="eastAsia" w:hAnsi="宋体" w:cs="宋体"/>
          <w:color w:val="auto"/>
          <w:highlight w:val="none"/>
          <w:u w:val="single"/>
        </w:rPr>
        <w:t xml:space="preserve">    无息     </w:t>
      </w:r>
      <w:r>
        <w:rPr>
          <w:rFonts w:hint="eastAsia" w:hAnsi="宋体" w:cs="宋体"/>
          <w:color w:val="auto"/>
          <w:kern w:val="0"/>
          <w:highlight w:val="none"/>
        </w:rPr>
        <w:t>；</w:t>
      </w:r>
    </w:p>
    <w:p w14:paraId="5DD6C17E">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）其他方式</w:t>
      </w:r>
      <w:r>
        <w:rPr>
          <w:rFonts w:hint="eastAsia" w:cs="宋体"/>
          <w:color w:val="auto"/>
          <w:kern w:val="0"/>
          <w:highlight w:val="none"/>
        </w:rPr>
        <w:t>：</w:t>
      </w:r>
      <w:r>
        <w:rPr>
          <w:rFonts w:hAnsi="宋体"/>
          <w:color w:val="auto"/>
          <w:highlight w:val="none"/>
          <w:u w:val="single"/>
        </w:rPr>
        <w:t xml:space="preserve">      </w:t>
      </w:r>
      <w:r>
        <w:rPr>
          <w:rFonts w:hint="eastAsia" w:hAnsi="宋体"/>
          <w:color w:val="auto"/>
          <w:highlight w:val="none"/>
          <w:u w:val="single"/>
        </w:rPr>
        <w:t>/</w:t>
      </w:r>
      <w:r>
        <w:rPr>
          <w:rFonts w:hAnsi="宋体"/>
          <w:color w:val="auto"/>
          <w:highlight w:val="none"/>
          <w:u w:val="single"/>
        </w:rPr>
        <w:t xml:space="preserve">          </w:t>
      </w:r>
      <w:r>
        <w:rPr>
          <w:rFonts w:hint="eastAsia" w:hAnsi="宋体" w:cs="宋体"/>
          <w:color w:val="auto"/>
          <w:highlight w:val="none"/>
        </w:rPr>
        <w:t>。</w:t>
      </w:r>
    </w:p>
    <w:p w14:paraId="32D64197">
      <w:pPr>
        <w:spacing w:line="360" w:lineRule="auto"/>
        <w:ind w:firstLine="420" w:firstLineChars="200"/>
        <w:jc w:val="left"/>
        <w:rPr>
          <w:color w:val="auto"/>
          <w:highlight w:val="none"/>
        </w:rPr>
      </w:pPr>
      <w:r>
        <w:rPr>
          <w:color w:val="auto"/>
          <w:highlight w:val="none"/>
        </w:rPr>
        <w:t xml:space="preserve">15.3.2 </w:t>
      </w:r>
      <w:r>
        <w:rPr>
          <w:rFonts w:hint="eastAsia" w:hAnsi="宋体" w:cs="宋体"/>
          <w:color w:val="auto"/>
          <w:highlight w:val="none"/>
        </w:rPr>
        <w:t>质量保证金的扣留</w:t>
      </w:r>
    </w:p>
    <w:p w14:paraId="727AD0EA">
      <w:pPr>
        <w:spacing w:line="360" w:lineRule="auto"/>
        <w:ind w:firstLine="420" w:firstLineChars="200"/>
        <w:jc w:val="left"/>
        <w:rPr>
          <w:color w:val="auto"/>
          <w:highlight w:val="none"/>
        </w:rPr>
      </w:pPr>
      <w:r>
        <w:rPr>
          <w:rFonts w:hint="eastAsia" w:hAnsi="宋体" w:cs="宋体"/>
          <w:color w:val="auto"/>
          <w:highlight w:val="none"/>
        </w:rPr>
        <w:t>质量保证金的扣留采取以下第</w:t>
      </w:r>
      <w:r>
        <w:rPr>
          <w:color w:val="auto"/>
          <w:highlight w:val="none"/>
          <w:u w:val="single"/>
        </w:rPr>
        <w:t xml:space="preserve">  </w:t>
      </w:r>
      <w:r>
        <w:rPr>
          <w:rFonts w:hint="eastAsia"/>
          <w:color w:val="auto"/>
          <w:highlight w:val="none"/>
          <w:u w:val="single"/>
        </w:rPr>
        <w:t>（2）</w:t>
      </w:r>
      <w:r>
        <w:rPr>
          <w:color w:val="auto"/>
          <w:highlight w:val="none"/>
          <w:u w:val="single"/>
        </w:rPr>
        <w:t xml:space="preserve">   </w:t>
      </w:r>
      <w:r>
        <w:rPr>
          <w:rFonts w:hint="eastAsia" w:hAnsi="宋体" w:cs="宋体"/>
          <w:color w:val="auto"/>
          <w:highlight w:val="none"/>
        </w:rPr>
        <w:t>种方式：</w:t>
      </w:r>
    </w:p>
    <w:p w14:paraId="591963E7">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）在</w:t>
      </w:r>
      <w:r>
        <w:rPr>
          <w:rFonts w:hAnsi="宋体" w:cs="宋体"/>
          <w:color w:val="auto"/>
          <w:kern w:val="0"/>
          <w:highlight w:val="none"/>
        </w:rPr>
        <w:t>不缴纳</w:t>
      </w:r>
      <w:r>
        <w:rPr>
          <w:rFonts w:hint="eastAsia" w:hAnsi="宋体" w:cs="宋体"/>
          <w:color w:val="auto"/>
          <w:kern w:val="0"/>
          <w:highlight w:val="none"/>
          <w:lang w:eastAsia="zh-CN"/>
        </w:rPr>
        <w:t>履约</w:t>
      </w:r>
      <w:r>
        <w:rPr>
          <w:rFonts w:hint="eastAsia" w:hAnsi="宋体" w:cs="宋体"/>
          <w:color w:val="auto"/>
          <w:kern w:val="0"/>
          <w:highlight w:val="none"/>
        </w:rPr>
        <w:t>保</w:t>
      </w:r>
      <w:r>
        <w:rPr>
          <w:rFonts w:hAnsi="宋体" w:cs="宋体"/>
          <w:color w:val="auto"/>
          <w:kern w:val="0"/>
          <w:highlight w:val="none"/>
        </w:rPr>
        <w:t>证金情况下</w:t>
      </w:r>
      <w:r>
        <w:rPr>
          <w:rFonts w:hint="eastAsia" w:hAnsi="宋体" w:cs="宋体"/>
          <w:color w:val="auto"/>
          <w:kern w:val="0"/>
          <w:highlight w:val="none"/>
        </w:rPr>
        <w:t>，按支付工程进度款时逐次扣留，质量保证金的计算基数不包括预付款的支付、扣回以及价格调整的金额；</w:t>
      </w:r>
    </w:p>
    <w:p w14:paraId="48FEB6EC">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）工程竣工结算时，一次性扣留质量保证金，</w:t>
      </w:r>
      <w:r>
        <w:rPr>
          <w:rFonts w:hAnsi="宋体" w:cs="宋体"/>
          <w:color w:val="auto"/>
          <w:kern w:val="0"/>
          <w:highlight w:val="none"/>
        </w:rPr>
        <w:t>由承包人以银行保函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保函金额不得高</w:t>
      </w:r>
      <w:r>
        <w:rPr>
          <w:rFonts w:hint="eastAsia" w:hAnsi="宋体" w:cs="宋体"/>
          <w:color w:val="auto"/>
          <w:kern w:val="0"/>
          <w:highlight w:val="none"/>
        </w:rPr>
        <w:t>于</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hAnsi="宋体" w:cs="宋体"/>
          <w:color w:val="auto"/>
          <w:kern w:val="0"/>
          <w:highlight w:val="none"/>
        </w:rPr>
        <w:t>；</w:t>
      </w:r>
    </w:p>
    <w:p w14:paraId="47A4CC11">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）其他扣留方式</w:t>
      </w:r>
      <w:r>
        <w:rPr>
          <w:rFonts w:hint="eastAsia" w:hAnsi="宋体" w:cs="宋体"/>
          <w:color w:val="auto"/>
          <w:kern w:val="0"/>
          <w:highlight w:val="none"/>
          <w:lang w:eastAsia="zh-CN"/>
        </w:rPr>
        <w:t>：</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4FD8646B">
      <w:pPr>
        <w:spacing w:line="360" w:lineRule="auto"/>
        <w:ind w:firstLine="420" w:firstLineChars="200"/>
        <w:jc w:val="left"/>
        <w:rPr>
          <w:color w:val="auto"/>
          <w:kern w:val="0"/>
          <w:highlight w:val="none"/>
          <w:u w:val="single"/>
        </w:rPr>
      </w:pPr>
      <w:r>
        <w:rPr>
          <w:rFonts w:hint="eastAsia" w:hAnsi="宋体" w:cs="宋体"/>
          <w:color w:val="auto"/>
          <w:highlight w:val="none"/>
        </w:rPr>
        <w:t>关于质量保证金的补充约定：</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bookmarkEnd w:id="1006"/>
    <w:bookmarkEnd w:id="1007"/>
    <w:p w14:paraId="1961E8D7">
      <w:pPr>
        <w:pStyle w:val="6"/>
        <w:rPr>
          <w:color w:val="auto"/>
          <w:highlight w:val="none"/>
        </w:rPr>
      </w:pPr>
      <w:bookmarkStart w:id="1044" w:name="_Toc407135268"/>
      <w:bookmarkStart w:id="1045" w:name="_Toc373227765"/>
      <w:bookmarkStart w:id="1046" w:name="_Toc389065330"/>
      <w:bookmarkStart w:id="1047" w:name="_Toc373478412"/>
      <w:bookmarkStart w:id="1048" w:name="_Toc29764"/>
      <w:r>
        <w:rPr>
          <w:color w:val="auto"/>
          <w:highlight w:val="none"/>
        </w:rPr>
        <w:t xml:space="preserve">15.4 </w:t>
      </w:r>
      <w:r>
        <w:rPr>
          <w:rFonts w:hint="eastAsia" w:hAnsi="宋体" w:cs="黑体"/>
          <w:color w:val="auto"/>
          <w:highlight w:val="none"/>
        </w:rPr>
        <w:t>保修</w:t>
      </w:r>
      <w:bookmarkEnd w:id="1044"/>
      <w:bookmarkEnd w:id="1045"/>
      <w:bookmarkEnd w:id="1046"/>
      <w:bookmarkEnd w:id="1047"/>
      <w:bookmarkEnd w:id="1048"/>
    </w:p>
    <w:bookmarkEnd w:id="1008"/>
    <w:p w14:paraId="495E82AA">
      <w:pPr>
        <w:spacing w:line="360" w:lineRule="auto"/>
        <w:ind w:firstLine="409" w:firstLineChars="195"/>
        <w:jc w:val="left"/>
        <w:outlineLvl w:val="0"/>
        <w:rPr>
          <w:color w:val="auto"/>
          <w:highlight w:val="none"/>
        </w:rPr>
      </w:pPr>
      <w:r>
        <w:rPr>
          <w:color w:val="auto"/>
          <w:highlight w:val="none"/>
        </w:rPr>
        <w:t xml:space="preserve">15.4.1 </w:t>
      </w:r>
      <w:r>
        <w:rPr>
          <w:rFonts w:hint="eastAsia" w:hAnsi="宋体" w:cs="宋体"/>
          <w:color w:val="auto"/>
          <w:highlight w:val="none"/>
        </w:rPr>
        <w:t>保修责任</w:t>
      </w:r>
    </w:p>
    <w:p w14:paraId="72F57A1B">
      <w:pPr>
        <w:spacing w:line="360" w:lineRule="auto"/>
        <w:ind w:firstLine="409" w:firstLineChars="195"/>
        <w:jc w:val="left"/>
        <w:rPr>
          <w:rFonts w:hAnsi="宋体"/>
          <w:color w:val="auto"/>
          <w:kern w:val="0"/>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见附件工程质量保修书</w:t>
      </w:r>
      <w:r>
        <w:rPr>
          <w:color w:val="auto"/>
          <w:kern w:val="0"/>
          <w:highlight w:val="none"/>
          <w:u w:val="single"/>
        </w:rPr>
        <w:t xml:space="preserve">    </w:t>
      </w:r>
      <w:r>
        <w:rPr>
          <w:rFonts w:hint="eastAsia" w:hAnsi="宋体" w:cs="宋体"/>
          <w:color w:val="auto"/>
          <w:kern w:val="0"/>
          <w:highlight w:val="none"/>
        </w:rPr>
        <w:t>。</w:t>
      </w:r>
    </w:p>
    <w:p w14:paraId="2BDC8D0A">
      <w:pPr>
        <w:spacing w:line="360" w:lineRule="auto"/>
        <w:ind w:firstLine="409" w:firstLineChars="195"/>
        <w:jc w:val="left"/>
        <w:rPr>
          <w:color w:val="auto"/>
          <w:kern w:val="0"/>
          <w:highlight w:val="none"/>
          <w:u w:val="single"/>
        </w:rPr>
      </w:pPr>
      <w:r>
        <w:rPr>
          <w:rFonts w:hint="eastAsia" w:ascii="宋体" w:hAnsi="宋体" w:cs="宋体"/>
          <w:color w:val="auto"/>
          <w:highlight w:val="none"/>
        </w:rPr>
        <w:t>工程保修书具体内容见合同附件2。</w:t>
      </w:r>
    </w:p>
    <w:p w14:paraId="5CD386D6">
      <w:pPr>
        <w:spacing w:line="360" w:lineRule="auto"/>
        <w:ind w:firstLine="409" w:firstLineChars="195"/>
        <w:jc w:val="left"/>
        <w:rPr>
          <w:color w:val="auto"/>
          <w:highlight w:val="none"/>
        </w:rPr>
      </w:pPr>
      <w:r>
        <w:rPr>
          <w:color w:val="auto"/>
          <w:highlight w:val="none"/>
        </w:rPr>
        <w:t xml:space="preserve">15.4.3 </w:t>
      </w:r>
      <w:r>
        <w:rPr>
          <w:rFonts w:hint="eastAsia" w:hAnsi="宋体" w:cs="宋体"/>
          <w:color w:val="auto"/>
          <w:highlight w:val="none"/>
        </w:rPr>
        <w:t>修复通知</w:t>
      </w:r>
    </w:p>
    <w:p w14:paraId="1AE19D77">
      <w:pPr>
        <w:spacing w:line="360" w:lineRule="auto"/>
        <w:ind w:firstLine="409" w:firstLineChars="195"/>
        <w:jc w:val="left"/>
        <w:rPr>
          <w:color w:val="auto"/>
          <w:kern w:val="0"/>
          <w:highlight w:val="none"/>
          <w:u w:val="single"/>
        </w:rPr>
      </w:pPr>
      <w:r>
        <w:rPr>
          <w:rFonts w:hint="eastAsia" w:hAnsi="宋体" w:cs="宋体"/>
          <w:color w:val="auto"/>
          <w:kern w:val="0"/>
          <w:highlight w:val="none"/>
        </w:rPr>
        <w:t>承包人收到保修通知并到达工程现场的合理时间：</w:t>
      </w:r>
      <w:r>
        <w:rPr>
          <w:color w:val="auto"/>
          <w:kern w:val="0"/>
          <w:highlight w:val="none"/>
          <w:u w:val="single"/>
        </w:rPr>
        <w:t xml:space="preserve">  </w:t>
      </w:r>
      <w:r>
        <w:rPr>
          <w:rFonts w:hint="eastAsia"/>
          <w:color w:val="auto"/>
          <w:kern w:val="0"/>
          <w:highlight w:val="none"/>
          <w:u w:val="single"/>
        </w:rPr>
        <w:t>收到通知后 24 小时内</w:t>
      </w:r>
      <w:r>
        <w:rPr>
          <w:color w:val="auto"/>
          <w:kern w:val="0"/>
          <w:highlight w:val="none"/>
          <w:u w:val="single"/>
        </w:rPr>
        <w:t xml:space="preserve">    </w:t>
      </w:r>
      <w:r>
        <w:rPr>
          <w:rFonts w:hint="eastAsia" w:hAnsi="宋体" w:cs="宋体"/>
          <w:color w:val="auto"/>
          <w:kern w:val="0"/>
          <w:highlight w:val="none"/>
        </w:rPr>
        <w:t>。</w:t>
      </w:r>
    </w:p>
    <w:bookmarkEnd w:id="1009"/>
    <w:bookmarkEnd w:id="1010"/>
    <w:bookmarkEnd w:id="1011"/>
    <w:bookmarkEnd w:id="1012"/>
    <w:p w14:paraId="0561DC5D">
      <w:pPr>
        <w:pStyle w:val="5"/>
        <w:rPr>
          <w:color w:val="auto"/>
          <w:highlight w:val="none"/>
        </w:rPr>
      </w:pPr>
      <w:bookmarkStart w:id="1049" w:name="_Toc407135269"/>
      <w:bookmarkStart w:id="1050" w:name="_Toc389065331"/>
      <w:bookmarkStart w:id="1051" w:name="_Toc351203648"/>
      <w:bookmarkStart w:id="1052" w:name="_Toc19501"/>
      <w:bookmarkStart w:id="1053" w:name="_Toc373227766"/>
      <w:bookmarkStart w:id="1054" w:name="_Toc373478413"/>
      <w:bookmarkStart w:id="1055" w:name="_Toc280868717"/>
      <w:bookmarkStart w:id="1056" w:name="_Toc280868718"/>
      <w:r>
        <w:rPr>
          <w:color w:val="auto"/>
          <w:highlight w:val="none"/>
        </w:rPr>
        <w:t xml:space="preserve">16. </w:t>
      </w:r>
      <w:r>
        <w:rPr>
          <w:rFonts w:hint="eastAsia" w:hAnsi="宋体" w:cs="黑体"/>
          <w:color w:val="auto"/>
          <w:highlight w:val="none"/>
        </w:rPr>
        <w:t>违约</w:t>
      </w:r>
      <w:bookmarkEnd w:id="1049"/>
      <w:bookmarkEnd w:id="1050"/>
      <w:bookmarkEnd w:id="1051"/>
      <w:bookmarkEnd w:id="1052"/>
      <w:bookmarkEnd w:id="1053"/>
      <w:bookmarkEnd w:id="1054"/>
    </w:p>
    <w:p w14:paraId="7D4E32C5">
      <w:pPr>
        <w:pStyle w:val="6"/>
        <w:rPr>
          <w:color w:val="auto"/>
          <w:highlight w:val="none"/>
        </w:rPr>
      </w:pPr>
      <w:bookmarkStart w:id="1057" w:name="_Toc373227767"/>
      <w:bookmarkStart w:id="1058" w:name="_Toc389065332"/>
      <w:bookmarkStart w:id="1059" w:name="_Toc407135270"/>
      <w:bookmarkStart w:id="1060" w:name="_Toc32058"/>
      <w:bookmarkStart w:id="1061" w:name="_Toc373478414"/>
      <w:r>
        <w:rPr>
          <w:color w:val="auto"/>
          <w:highlight w:val="none"/>
        </w:rPr>
        <w:t xml:space="preserve">16.1 </w:t>
      </w:r>
      <w:r>
        <w:rPr>
          <w:rFonts w:hint="eastAsia" w:hAnsi="宋体" w:cs="黑体"/>
          <w:color w:val="auto"/>
          <w:highlight w:val="none"/>
        </w:rPr>
        <w:t>发包人违约</w:t>
      </w:r>
      <w:bookmarkEnd w:id="1057"/>
      <w:bookmarkEnd w:id="1058"/>
      <w:bookmarkEnd w:id="1059"/>
      <w:bookmarkEnd w:id="1060"/>
      <w:bookmarkEnd w:id="1061"/>
    </w:p>
    <w:p w14:paraId="5A7C96B1">
      <w:pPr>
        <w:spacing w:line="360" w:lineRule="auto"/>
        <w:ind w:firstLine="420" w:firstLineChars="200"/>
        <w:jc w:val="left"/>
        <w:rPr>
          <w:color w:val="auto"/>
          <w:highlight w:val="none"/>
        </w:rPr>
      </w:pPr>
      <w:r>
        <w:rPr>
          <w:color w:val="auto"/>
          <w:highlight w:val="none"/>
        </w:rPr>
        <w:t>16.1.1</w:t>
      </w:r>
      <w:r>
        <w:rPr>
          <w:rFonts w:hint="eastAsia" w:hAnsi="宋体" w:cs="宋体"/>
          <w:color w:val="auto"/>
          <w:highlight w:val="none"/>
        </w:rPr>
        <w:t>发包人违约的情形</w:t>
      </w:r>
    </w:p>
    <w:p w14:paraId="1657AAE7">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发包人违约的其他情形：</w:t>
      </w:r>
      <w:r>
        <w:rPr>
          <w:color w:val="auto"/>
          <w:kern w:val="0"/>
          <w:highlight w:val="none"/>
          <w:u w:val="single"/>
        </w:rPr>
        <w:t xml:space="preserve">   </w:t>
      </w:r>
      <w:r>
        <w:rPr>
          <w:rFonts w:hint="eastAsia"/>
          <w:color w:val="auto"/>
          <w:kern w:val="0"/>
          <w:highlight w:val="none"/>
          <w:u w:val="single"/>
        </w:rPr>
        <w:t>详见本合同通用条款第 16.1.1 项</w:t>
      </w:r>
      <w:r>
        <w:rPr>
          <w:color w:val="auto"/>
          <w:kern w:val="0"/>
          <w:highlight w:val="none"/>
          <w:u w:val="single"/>
        </w:rPr>
        <w:t xml:space="preserve">  </w:t>
      </w:r>
      <w:r>
        <w:rPr>
          <w:rFonts w:hint="eastAsia" w:hAnsi="宋体" w:cs="宋体"/>
          <w:color w:val="auto"/>
          <w:kern w:val="0"/>
          <w:highlight w:val="none"/>
        </w:rPr>
        <w:t>。</w:t>
      </w:r>
    </w:p>
    <w:p w14:paraId="1667BA6B">
      <w:pPr>
        <w:spacing w:line="360" w:lineRule="auto"/>
        <w:ind w:firstLine="420" w:firstLineChars="200"/>
        <w:jc w:val="left"/>
        <w:outlineLvl w:val="0"/>
        <w:rPr>
          <w:color w:val="auto"/>
          <w:kern w:val="0"/>
          <w:highlight w:val="none"/>
        </w:rPr>
      </w:pPr>
      <w:r>
        <w:rPr>
          <w:color w:val="auto"/>
          <w:kern w:val="0"/>
          <w:highlight w:val="none"/>
        </w:rPr>
        <w:t xml:space="preserve">16.1.2 </w:t>
      </w:r>
      <w:r>
        <w:rPr>
          <w:rFonts w:hint="eastAsia" w:hAnsi="宋体" w:cs="宋体"/>
          <w:color w:val="auto"/>
          <w:kern w:val="0"/>
          <w:highlight w:val="none"/>
        </w:rPr>
        <w:t>发包人违约的责任</w:t>
      </w:r>
    </w:p>
    <w:p w14:paraId="22930411">
      <w:pPr>
        <w:spacing w:line="360" w:lineRule="auto"/>
        <w:ind w:firstLine="420" w:firstLineChars="200"/>
        <w:jc w:val="left"/>
        <w:rPr>
          <w:color w:val="auto"/>
          <w:kern w:val="0"/>
          <w:highlight w:val="none"/>
        </w:rPr>
      </w:pPr>
      <w:r>
        <w:rPr>
          <w:rFonts w:hint="eastAsia" w:hAnsi="宋体" w:cs="宋体"/>
          <w:color w:val="auto"/>
          <w:kern w:val="0"/>
          <w:highlight w:val="none"/>
        </w:rPr>
        <w:t>发包人违约责任的承担方式和计算方法：</w:t>
      </w:r>
    </w:p>
    <w:p w14:paraId="1041420B">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）因发包人原因未能在计划开工日期前</w:t>
      </w:r>
      <w:r>
        <w:rPr>
          <w:color w:val="auto"/>
          <w:kern w:val="0"/>
          <w:highlight w:val="none"/>
        </w:rPr>
        <w:t>7</w:t>
      </w:r>
      <w:r>
        <w:rPr>
          <w:rFonts w:hint="eastAsia" w:hAnsi="宋体" w:cs="宋体"/>
          <w:color w:val="auto"/>
          <w:kern w:val="0"/>
          <w:highlight w:val="none"/>
        </w:rPr>
        <w:t>天内下达开工通知的违约责任：</w:t>
      </w:r>
      <w:r>
        <w:rPr>
          <w:rFonts w:hint="eastAsia"/>
          <w:color w:val="auto"/>
          <w:kern w:val="0"/>
          <w:highlight w:val="none"/>
          <w:u w:val="single"/>
        </w:rPr>
        <w:t>工程开工日期延误，由发包人承担违约责任，且工期顺延</w:t>
      </w:r>
      <w:r>
        <w:rPr>
          <w:color w:val="auto"/>
          <w:kern w:val="0"/>
          <w:highlight w:val="none"/>
          <w:u w:val="single"/>
        </w:rPr>
        <w:t xml:space="preserve">  </w:t>
      </w:r>
      <w:r>
        <w:rPr>
          <w:rFonts w:hint="eastAsia" w:hAnsi="宋体" w:cs="宋体"/>
          <w:color w:val="auto"/>
          <w:kern w:val="0"/>
          <w:highlight w:val="none"/>
        </w:rPr>
        <w:t>。</w:t>
      </w:r>
    </w:p>
    <w:p w14:paraId="2F90EA79">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）因发包人原因未能按合同约定支付合同价款的违约责任：</w:t>
      </w:r>
      <w:r>
        <w:rPr>
          <w:color w:val="auto"/>
          <w:kern w:val="0"/>
          <w:highlight w:val="none"/>
          <w:u w:val="single"/>
        </w:rPr>
        <w:t xml:space="preserve"> </w:t>
      </w:r>
      <w:r>
        <w:rPr>
          <w:rFonts w:hint="eastAsia"/>
          <w:color w:val="auto"/>
          <w:kern w:val="0"/>
          <w:highlight w:val="none"/>
          <w:u w:val="single"/>
        </w:rPr>
        <w:t xml:space="preserve">从延误之日起按照 5000 元/日支付违约金，工期顺延 </w:t>
      </w:r>
      <w:r>
        <w:rPr>
          <w:color w:val="auto"/>
          <w:kern w:val="0"/>
          <w:highlight w:val="none"/>
          <w:u w:val="single"/>
        </w:rPr>
        <w:t xml:space="preserve">  </w:t>
      </w:r>
      <w:r>
        <w:rPr>
          <w:rFonts w:hint="eastAsia" w:hAnsi="宋体" w:cs="宋体"/>
          <w:color w:val="auto"/>
          <w:kern w:val="0"/>
          <w:highlight w:val="none"/>
        </w:rPr>
        <w:t>。</w:t>
      </w:r>
    </w:p>
    <w:p w14:paraId="3FD7A50D">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）发包人违反第</w:t>
      </w:r>
      <w:r>
        <w:rPr>
          <w:color w:val="auto"/>
          <w:kern w:val="0"/>
          <w:highlight w:val="none"/>
        </w:rPr>
        <w:t>10.1</w:t>
      </w:r>
      <w:r>
        <w:rPr>
          <w:rFonts w:hint="eastAsia" w:hAnsi="宋体" w:cs="宋体"/>
          <w:color w:val="auto"/>
          <w:kern w:val="0"/>
          <w:highlight w:val="none"/>
        </w:rPr>
        <w:t>款〔变更的范围〕第（</w:t>
      </w:r>
      <w:r>
        <w:rPr>
          <w:color w:val="auto"/>
          <w:kern w:val="0"/>
          <w:highlight w:val="none"/>
        </w:rPr>
        <w:t>2</w:t>
      </w:r>
      <w:r>
        <w:rPr>
          <w:rFonts w:hint="eastAsia" w:hAnsi="宋体" w:cs="宋体"/>
          <w:color w:val="auto"/>
          <w:kern w:val="0"/>
          <w:highlight w:val="none"/>
        </w:rPr>
        <w:t>）项约定，自行实施被取消的工作或转由他人实施的违约责任：</w:t>
      </w:r>
      <w:r>
        <w:rPr>
          <w:color w:val="auto"/>
          <w:kern w:val="0"/>
          <w:highlight w:val="none"/>
          <w:u w:val="single"/>
        </w:rPr>
        <w:t xml:space="preserve"> </w:t>
      </w:r>
      <w:r>
        <w:rPr>
          <w:rFonts w:hint="eastAsia"/>
          <w:color w:val="auto"/>
          <w:kern w:val="0"/>
          <w:highlight w:val="none"/>
          <w:u w:val="single"/>
        </w:rPr>
        <w:t>发包人按发包人自行实施或转由他人实施的工程量结算价的百分之十向承包人支付违约金</w:t>
      </w:r>
      <w:r>
        <w:rPr>
          <w:color w:val="auto"/>
          <w:kern w:val="0"/>
          <w:highlight w:val="none"/>
          <w:u w:val="single"/>
        </w:rPr>
        <w:t xml:space="preserve"> </w:t>
      </w:r>
      <w:r>
        <w:rPr>
          <w:rFonts w:hint="eastAsia" w:hAnsi="宋体" w:cs="宋体"/>
          <w:color w:val="auto"/>
          <w:kern w:val="0"/>
          <w:highlight w:val="none"/>
        </w:rPr>
        <w:t>。</w:t>
      </w:r>
    </w:p>
    <w:p w14:paraId="2353E5D0">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4</w:t>
      </w:r>
      <w:r>
        <w:rPr>
          <w:rFonts w:hint="eastAsia" w:hAnsi="宋体" w:cs="宋体"/>
          <w:color w:val="auto"/>
          <w:kern w:val="0"/>
          <w:highlight w:val="none"/>
        </w:rPr>
        <w:t>）发包人提供的材料、工程设备的规格、数量或质量不符合合同约定，或因发包人原因导致交货日期延误或交货地点变更等情况的违约责任：</w:t>
      </w:r>
      <w:r>
        <w:rPr>
          <w:color w:val="auto"/>
          <w:kern w:val="0"/>
          <w:highlight w:val="none"/>
          <w:u w:val="single"/>
        </w:rPr>
        <w:t xml:space="preserve">           </w:t>
      </w:r>
      <w:r>
        <w:rPr>
          <w:rFonts w:hint="eastAsia"/>
          <w:color w:val="auto"/>
          <w:kern w:val="0"/>
          <w:highlight w:val="none"/>
          <w:u w:val="single"/>
        </w:rPr>
        <w:t>无</w:t>
      </w:r>
      <w:r>
        <w:rPr>
          <w:color w:val="auto"/>
          <w:kern w:val="0"/>
          <w:highlight w:val="none"/>
          <w:u w:val="single"/>
        </w:rPr>
        <w:t xml:space="preserve">                 </w:t>
      </w:r>
      <w:r>
        <w:rPr>
          <w:rFonts w:hint="eastAsia" w:hAnsi="宋体" w:cs="宋体"/>
          <w:color w:val="auto"/>
          <w:kern w:val="0"/>
          <w:highlight w:val="none"/>
        </w:rPr>
        <w:t>。</w:t>
      </w:r>
    </w:p>
    <w:p w14:paraId="2DAF56F9">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5</w:t>
      </w:r>
      <w:r>
        <w:rPr>
          <w:rFonts w:hint="eastAsia" w:hAnsi="宋体" w:cs="宋体"/>
          <w:color w:val="auto"/>
          <w:kern w:val="0"/>
          <w:highlight w:val="none"/>
        </w:rPr>
        <w:t>）因发包人违反合同约定造成暂停施工的违约责任：</w:t>
      </w:r>
      <w:r>
        <w:rPr>
          <w:color w:val="auto"/>
          <w:kern w:val="0"/>
          <w:highlight w:val="none"/>
          <w:u w:val="single"/>
        </w:rPr>
        <w:t xml:space="preserve"> </w:t>
      </w:r>
      <w:r>
        <w:rPr>
          <w:rFonts w:hint="eastAsia"/>
          <w:color w:val="auto"/>
          <w:kern w:val="0"/>
          <w:highlight w:val="none"/>
          <w:u w:val="single"/>
        </w:rPr>
        <w:t>由此造成的工期延期，由发包人承担，且工期顺延</w:t>
      </w:r>
      <w:r>
        <w:rPr>
          <w:color w:val="auto"/>
          <w:kern w:val="0"/>
          <w:highlight w:val="none"/>
          <w:u w:val="single"/>
        </w:rPr>
        <w:t xml:space="preserve"> </w:t>
      </w:r>
      <w:r>
        <w:rPr>
          <w:rFonts w:hint="eastAsia" w:hAnsi="宋体" w:cs="宋体"/>
          <w:color w:val="auto"/>
          <w:kern w:val="0"/>
          <w:highlight w:val="none"/>
        </w:rPr>
        <w:t>。</w:t>
      </w:r>
    </w:p>
    <w:p w14:paraId="499E767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）发包人无正当理由没有在约定期限内发出复工指示，导致承包人无法复工的违约责任：</w:t>
      </w:r>
      <w:r>
        <w:rPr>
          <w:color w:val="auto"/>
          <w:kern w:val="0"/>
          <w:highlight w:val="none"/>
          <w:u w:val="single"/>
        </w:rPr>
        <w:t xml:space="preserve">  </w:t>
      </w:r>
      <w:r>
        <w:rPr>
          <w:rFonts w:hint="eastAsia"/>
          <w:color w:val="auto"/>
          <w:kern w:val="0"/>
          <w:highlight w:val="none"/>
          <w:u w:val="single"/>
        </w:rPr>
        <w:t>由此造成的工期延期由发包人承担，且向承包人支付工期延期违约金。工期每延期一天的违约金为签约合同价的万分之三，此项违约金的限额为签约合同价的百分之二。承包人</w:t>
      </w:r>
      <w:r>
        <w:rPr>
          <w:rFonts w:hint="eastAsia"/>
          <w:color w:val="auto"/>
          <w:kern w:val="0"/>
          <w:highlight w:val="none"/>
          <w:u w:val="single"/>
          <w:lang w:eastAsia="zh-CN"/>
        </w:rPr>
        <w:t>因</w:t>
      </w:r>
      <w:r>
        <w:rPr>
          <w:rFonts w:hint="eastAsia"/>
          <w:color w:val="auto"/>
          <w:kern w:val="0"/>
          <w:highlight w:val="none"/>
          <w:u w:val="single"/>
        </w:rPr>
        <w:t>发包人工期延期造成的损失，由发包人承担</w:t>
      </w:r>
      <w:r>
        <w:rPr>
          <w:color w:val="auto"/>
          <w:kern w:val="0"/>
          <w:highlight w:val="none"/>
          <w:u w:val="single"/>
        </w:rPr>
        <w:t xml:space="preserve">  </w:t>
      </w:r>
      <w:r>
        <w:rPr>
          <w:rFonts w:hint="eastAsia" w:hAnsi="宋体" w:cs="宋体"/>
          <w:color w:val="auto"/>
          <w:kern w:val="0"/>
          <w:highlight w:val="none"/>
        </w:rPr>
        <w:t>。</w:t>
      </w:r>
    </w:p>
    <w:p w14:paraId="539F6683">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7</w:t>
      </w:r>
      <w:r>
        <w:rPr>
          <w:rFonts w:hint="eastAsia" w:hAnsi="宋体" w:cs="宋体"/>
          <w:color w:val="auto"/>
          <w:kern w:val="0"/>
          <w:highlight w:val="none"/>
        </w:rPr>
        <w:t>）其他：</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5FA5DE3A">
      <w:pPr>
        <w:spacing w:line="360" w:lineRule="auto"/>
        <w:ind w:firstLine="420" w:firstLineChars="200"/>
        <w:jc w:val="left"/>
        <w:rPr>
          <w:color w:val="auto"/>
          <w:highlight w:val="none"/>
        </w:rPr>
      </w:pPr>
      <w:r>
        <w:rPr>
          <w:color w:val="auto"/>
          <w:highlight w:val="none"/>
        </w:rPr>
        <w:t xml:space="preserve">16.1.3 </w:t>
      </w:r>
      <w:r>
        <w:rPr>
          <w:rFonts w:hint="eastAsia" w:hAnsi="宋体" w:cs="宋体"/>
          <w:color w:val="auto"/>
          <w:highlight w:val="none"/>
        </w:rPr>
        <w:t>因发包人违约解除合同</w:t>
      </w:r>
    </w:p>
    <w:p w14:paraId="48AADE2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承包人按</w:t>
      </w:r>
      <w:r>
        <w:rPr>
          <w:color w:val="auto"/>
          <w:kern w:val="0"/>
          <w:highlight w:val="none"/>
        </w:rPr>
        <w:t>16.1.1</w:t>
      </w:r>
      <w:r>
        <w:rPr>
          <w:rFonts w:hint="eastAsia" w:hAnsi="宋体" w:cs="宋体"/>
          <w:color w:val="auto"/>
          <w:kern w:val="0"/>
          <w:highlight w:val="none"/>
        </w:rPr>
        <w:t>项〔发包人违约的情形〕约定暂停施工满</w:t>
      </w:r>
      <w:r>
        <w:rPr>
          <w:color w:val="auto"/>
          <w:kern w:val="0"/>
          <w:highlight w:val="none"/>
          <w:u w:val="single"/>
        </w:rPr>
        <w:t xml:space="preserve">  </w:t>
      </w:r>
      <w:r>
        <w:rPr>
          <w:rFonts w:hint="eastAsia"/>
          <w:color w:val="auto"/>
          <w:kern w:val="0"/>
          <w:highlight w:val="none"/>
          <w:u w:val="single"/>
        </w:rPr>
        <w:t>7</w:t>
      </w:r>
      <w:r>
        <w:rPr>
          <w:color w:val="auto"/>
          <w:kern w:val="0"/>
          <w:highlight w:val="none"/>
          <w:u w:val="single"/>
        </w:rPr>
        <w:t xml:space="preserve">  </w:t>
      </w:r>
      <w:r>
        <w:rPr>
          <w:rFonts w:hint="eastAsia" w:hAnsi="宋体" w:cs="宋体"/>
          <w:color w:val="auto"/>
          <w:kern w:val="0"/>
          <w:highlight w:val="none"/>
        </w:rPr>
        <w:t>天后发包人仍不纠正其违约行为并致使合同目的不能实现的，承包人有权解除合同。</w:t>
      </w:r>
    </w:p>
    <w:p w14:paraId="54FFA68C">
      <w:pPr>
        <w:pStyle w:val="6"/>
        <w:rPr>
          <w:color w:val="auto"/>
          <w:highlight w:val="none"/>
        </w:rPr>
      </w:pPr>
      <w:bookmarkStart w:id="1062" w:name="_Toc373478415"/>
      <w:bookmarkStart w:id="1063" w:name="_Toc389065333"/>
      <w:bookmarkStart w:id="1064" w:name="_Toc13160"/>
      <w:bookmarkStart w:id="1065" w:name="_Toc373227768"/>
      <w:bookmarkStart w:id="1066" w:name="_Toc407135271"/>
      <w:r>
        <w:rPr>
          <w:color w:val="auto"/>
          <w:highlight w:val="none"/>
        </w:rPr>
        <w:t xml:space="preserve">16.2 </w:t>
      </w:r>
      <w:r>
        <w:rPr>
          <w:rFonts w:hint="eastAsia" w:hAnsi="宋体" w:cs="黑体"/>
          <w:color w:val="auto"/>
          <w:highlight w:val="none"/>
        </w:rPr>
        <w:t>承包人违约</w:t>
      </w:r>
      <w:bookmarkEnd w:id="1062"/>
      <w:bookmarkEnd w:id="1063"/>
      <w:bookmarkEnd w:id="1064"/>
      <w:bookmarkEnd w:id="1065"/>
      <w:bookmarkEnd w:id="1066"/>
    </w:p>
    <w:p w14:paraId="6551CE97">
      <w:pPr>
        <w:spacing w:line="360" w:lineRule="auto"/>
        <w:ind w:firstLine="420" w:firstLineChars="200"/>
        <w:jc w:val="left"/>
        <w:rPr>
          <w:color w:val="auto"/>
          <w:kern w:val="0"/>
          <w:highlight w:val="none"/>
        </w:rPr>
      </w:pPr>
      <w:r>
        <w:rPr>
          <w:color w:val="auto"/>
          <w:kern w:val="0"/>
          <w:highlight w:val="none"/>
        </w:rPr>
        <w:t xml:space="preserve">16.2.1 </w:t>
      </w:r>
      <w:r>
        <w:rPr>
          <w:rFonts w:hint="eastAsia" w:hAnsi="宋体" w:cs="宋体"/>
          <w:color w:val="auto"/>
          <w:kern w:val="0"/>
          <w:highlight w:val="none"/>
        </w:rPr>
        <w:t>承包人违约的情形</w:t>
      </w:r>
    </w:p>
    <w:p w14:paraId="3B3C62C5">
      <w:pPr>
        <w:spacing w:line="360" w:lineRule="auto"/>
        <w:ind w:firstLine="420" w:firstLineChars="200"/>
        <w:jc w:val="left"/>
        <w:rPr>
          <w:color w:val="auto"/>
          <w:kern w:val="0"/>
          <w:highlight w:val="none"/>
          <w:u w:val="single"/>
        </w:rPr>
      </w:pPr>
      <w:r>
        <w:rPr>
          <w:rFonts w:hint="eastAsia" w:hAnsi="宋体" w:cs="宋体"/>
          <w:color w:val="auto"/>
          <w:kern w:val="0"/>
          <w:highlight w:val="none"/>
        </w:rPr>
        <w:t>承包人违约的其他情形：</w:t>
      </w:r>
      <w:r>
        <w:rPr>
          <w:color w:val="auto"/>
          <w:kern w:val="0"/>
          <w:highlight w:val="none"/>
          <w:u w:val="single"/>
        </w:rPr>
        <w:t xml:space="preserve">  </w:t>
      </w:r>
      <w:r>
        <w:rPr>
          <w:rFonts w:hint="eastAsia"/>
          <w:color w:val="auto"/>
          <w:kern w:val="0"/>
          <w:highlight w:val="none"/>
          <w:u w:val="single"/>
        </w:rPr>
        <w:t>详见本合同通用条款第 16.2.1 项</w:t>
      </w:r>
      <w:r>
        <w:rPr>
          <w:color w:val="auto"/>
          <w:kern w:val="0"/>
          <w:highlight w:val="none"/>
          <w:u w:val="single"/>
        </w:rPr>
        <w:t xml:space="preserve"> </w:t>
      </w:r>
      <w:r>
        <w:rPr>
          <w:rFonts w:hint="eastAsia" w:hAnsi="宋体" w:cs="宋体"/>
          <w:color w:val="auto"/>
          <w:kern w:val="0"/>
          <w:highlight w:val="none"/>
        </w:rPr>
        <w:t>。</w:t>
      </w:r>
    </w:p>
    <w:p w14:paraId="4971AD1C">
      <w:pPr>
        <w:spacing w:line="360" w:lineRule="auto"/>
        <w:ind w:firstLine="420" w:firstLineChars="200"/>
        <w:jc w:val="left"/>
        <w:outlineLvl w:val="0"/>
        <w:rPr>
          <w:color w:val="auto"/>
          <w:kern w:val="0"/>
          <w:highlight w:val="none"/>
        </w:rPr>
      </w:pPr>
      <w:r>
        <w:rPr>
          <w:color w:val="auto"/>
          <w:kern w:val="0"/>
          <w:highlight w:val="none"/>
        </w:rPr>
        <w:t>16.2.2</w:t>
      </w:r>
      <w:r>
        <w:rPr>
          <w:rFonts w:hint="eastAsia" w:hAnsi="宋体" w:cs="宋体"/>
          <w:color w:val="auto"/>
          <w:kern w:val="0"/>
          <w:highlight w:val="none"/>
        </w:rPr>
        <w:t>承包人违约的责任</w:t>
      </w:r>
    </w:p>
    <w:p w14:paraId="1F48FF1A">
      <w:pPr>
        <w:spacing w:line="360" w:lineRule="auto"/>
        <w:ind w:firstLine="420" w:firstLineChars="200"/>
        <w:jc w:val="left"/>
        <w:rPr>
          <w:color w:val="auto"/>
          <w:kern w:val="0"/>
          <w:highlight w:val="none"/>
        </w:rPr>
      </w:pPr>
      <w:r>
        <w:rPr>
          <w:rFonts w:hint="eastAsia" w:hAnsi="宋体" w:cs="宋体"/>
          <w:color w:val="auto"/>
          <w:kern w:val="0"/>
          <w:highlight w:val="none"/>
        </w:rPr>
        <w:t>承包人违约责任的承担方式和计算方法：</w:t>
      </w:r>
    </w:p>
    <w:p w14:paraId="1776B5DF">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）条内容情形的，承包人无条件返工处理，修复至工程质量要求并承担相关费用，并在发包人规定的时间内完成返工，否则发包人有权扣罚该分项工程</w:t>
      </w:r>
      <w:r>
        <w:rPr>
          <w:color w:val="auto"/>
          <w:kern w:val="0"/>
          <w:highlight w:val="none"/>
        </w:rPr>
        <w:t>10%</w:t>
      </w:r>
      <w:r>
        <w:rPr>
          <w:rFonts w:hint="eastAsia" w:hAnsi="宋体" w:cs="宋体"/>
          <w:color w:val="auto"/>
          <w:kern w:val="0"/>
          <w:highlight w:val="none"/>
        </w:rPr>
        <w:t>的工程款作为处罚。</w:t>
      </w:r>
    </w:p>
    <w:p w14:paraId="159EE117">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）条情形的，或经监理人检验认为修复质量不合格而承包人拒绝再进行修补的，发包人将扣除承包人全部质量保证金。</w:t>
      </w:r>
    </w:p>
    <w:p w14:paraId="660D882F">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）承包人有本专用合同条款</w:t>
      </w:r>
      <w:r>
        <w:rPr>
          <w:color w:val="auto"/>
          <w:kern w:val="0"/>
          <w:highlight w:val="none"/>
        </w:rPr>
        <w:t>3.2</w:t>
      </w:r>
      <w:r>
        <w:rPr>
          <w:rFonts w:hint="eastAsia" w:hAnsi="宋体" w:cs="宋体"/>
          <w:color w:val="auto"/>
          <w:kern w:val="0"/>
          <w:highlight w:val="none"/>
        </w:rPr>
        <w:t>、</w:t>
      </w:r>
      <w:r>
        <w:rPr>
          <w:color w:val="auto"/>
          <w:kern w:val="0"/>
          <w:highlight w:val="none"/>
        </w:rPr>
        <w:t>3.3</w:t>
      </w:r>
      <w:r>
        <w:rPr>
          <w:rFonts w:hint="eastAsia" w:hAnsi="宋体" w:cs="宋体"/>
          <w:color w:val="auto"/>
          <w:kern w:val="0"/>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67346FA8">
      <w:pPr>
        <w:spacing w:line="360" w:lineRule="auto"/>
        <w:ind w:firstLine="420" w:firstLineChars="200"/>
        <w:jc w:val="left"/>
        <w:rPr>
          <w:rFonts w:hAnsi="宋体"/>
          <w:color w:val="auto"/>
          <w:highlight w:val="none"/>
        </w:rPr>
      </w:pPr>
      <w:r>
        <w:rPr>
          <w:color w:val="auto"/>
          <w:highlight w:val="none"/>
        </w:rPr>
        <w:t xml:space="preserve">16.2.3 </w:t>
      </w:r>
      <w:r>
        <w:rPr>
          <w:rFonts w:hint="eastAsia" w:hAnsi="宋体" w:cs="宋体"/>
          <w:color w:val="auto"/>
          <w:highlight w:val="none"/>
        </w:rPr>
        <w:t>因承包人违约解除合同</w:t>
      </w:r>
    </w:p>
    <w:p w14:paraId="2360BB26">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关于承包人违约解除合同的特别约定：</w:t>
      </w:r>
      <w:r>
        <w:rPr>
          <w:rFonts w:hint="eastAsia" w:hAnsi="宋体" w:cs="宋体"/>
          <w:color w:val="auto"/>
          <w:kern w:val="0"/>
          <w:highlight w:val="none"/>
          <w:u w:val="single"/>
        </w:rPr>
        <w:t>承包人有违反以下情况之一的，发包人有权解除合同，并没收其全部履约保证金</w:t>
      </w:r>
      <w:r>
        <w:rPr>
          <w:rFonts w:hint="eastAsia" w:hAnsi="宋体" w:cs="宋体"/>
          <w:color w:val="auto"/>
          <w:kern w:val="0"/>
          <w:highlight w:val="none"/>
        </w:rPr>
        <w:t>。</w:t>
      </w:r>
    </w:p>
    <w:p w14:paraId="4CAB29C9">
      <w:pPr>
        <w:spacing w:line="360" w:lineRule="auto"/>
        <w:ind w:firstLine="420" w:firstLineChars="200"/>
        <w:jc w:val="left"/>
        <w:rPr>
          <w:rFonts w:hAnsi="宋体"/>
          <w:color w:val="auto"/>
          <w:kern w:val="0"/>
          <w:highlight w:val="none"/>
        </w:rPr>
      </w:pPr>
      <w:r>
        <w:rPr>
          <w:rFonts w:hint="eastAsia"/>
          <w:color w:val="auto"/>
          <w:kern w:val="0"/>
          <w:highlight w:val="none"/>
          <w:lang w:eastAsia="zh-CN"/>
        </w:rPr>
        <w:t>（1）</w:t>
      </w:r>
      <w:r>
        <w:rPr>
          <w:rFonts w:hint="eastAsia" w:hAnsi="宋体" w:cs="宋体"/>
          <w:color w:val="auto"/>
          <w:kern w:val="0"/>
          <w:highlight w:val="none"/>
        </w:rPr>
        <w:t>承包人无正当理由不按开工通知的要求及时进场组织施工和不按签订协议书时商定的进度计划有效地开展施工准备，造成工期延误的；</w:t>
      </w:r>
    </w:p>
    <w:p w14:paraId="1EC5B03C">
      <w:pPr>
        <w:spacing w:line="360" w:lineRule="auto"/>
        <w:ind w:firstLine="420" w:firstLineChars="200"/>
        <w:jc w:val="left"/>
        <w:rPr>
          <w:rFonts w:hAnsi="宋体"/>
          <w:color w:val="auto"/>
          <w:kern w:val="0"/>
          <w:highlight w:val="none"/>
        </w:rPr>
      </w:pPr>
      <w:r>
        <w:rPr>
          <w:rFonts w:hint="eastAsia"/>
          <w:color w:val="auto"/>
          <w:kern w:val="0"/>
          <w:highlight w:val="none"/>
          <w:lang w:eastAsia="zh-CN"/>
        </w:rPr>
        <w:t>（2）</w:t>
      </w:r>
      <w:r>
        <w:rPr>
          <w:rFonts w:hint="eastAsia" w:hAnsi="宋体" w:cs="宋体"/>
          <w:color w:val="auto"/>
          <w:kern w:val="0"/>
          <w:highlight w:val="none"/>
        </w:rPr>
        <w:t>承包人违反本合同通用条款第</w:t>
      </w:r>
      <w:r>
        <w:rPr>
          <w:color w:val="auto"/>
          <w:kern w:val="0"/>
          <w:highlight w:val="none"/>
        </w:rPr>
        <w:t>3.5</w:t>
      </w:r>
      <w:r>
        <w:rPr>
          <w:rFonts w:hint="eastAsia" w:hAnsi="宋体" w:cs="宋体"/>
          <w:color w:val="auto"/>
          <w:kern w:val="0"/>
          <w:highlight w:val="none"/>
        </w:rPr>
        <w:t>条规定私自将合同或合同的任何部分或任何权利转让给其他人，或私自将工程或工程的一部分分包出去的；</w:t>
      </w:r>
    </w:p>
    <w:p w14:paraId="234AB579">
      <w:pPr>
        <w:spacing w:line="360" w:lineRule="auto"/>
        <w:ind w:firstLine="420" w:firstLineChars="200"/>
        <w:jc w:val="left"/>
        <w:rPr>
          <w:rFonts w:hAnsi="宋体"/>
          <w:color w:val="auto"/>
          <w:kern w:val="0"/>
          <w:highlight w:val="none"/>
        </w:rPr>
      </w:pPr>
      <w:r>
        <w:rPr>
          <w:rFonts w:hint="eastAsia"/>
          <w:color w:val="auto"/>
          <w:kern w:val="0"/>
          <w:highlight w:val="none"/>
          <w:lang w:eastAsia="zh-CN"/>
        </w:rPr>
        <w:t>（3）</w:t>
      </w:r>
      <w:r>
        <w:rPr>
          <w:rFonts w:hint="eastAsia" w:hAnsi="宋体" w:cs="宋体"/>
          <w:color w:val="auto"/>
          <w:kern w:val="0"/>
          <w:highlight w:val="none"/>
        </w:rPr>
        <w:t>未经监理人批准，承包人私自将已按投标文件承诺进入工地的工程设备、施工设备、临时工程或材料撤离工地的；</w:t>
      </w:r>
    </w:p>
    <w:p w14:paraId="73884197">
      <w:pPr>
        <w:spacing w:line="360" w:lineRule="auto"/>
        <w:ind w:firstLine="420" w:firstLineChars="200"/>
        <w:jc w:val="left"/>
        <w:rPr>
          <w:color w:val="auto"/>
          <w:kern w:val="0"/>
          <w:highlight w:val="none"/>
        </w:rPr>
      </w:pPr>
      <w:r>
        <w:rPr>
          <w:rFonts w:hint="eastAsia"/>
          <w:color w:val="auto"/>
          <w:kern w:val="0"/>
          <w:highlight w:val="none"/>
          <w:lang w:eastAsia="zh-CN"/>
        </w:rPr>
        <w:t>（4）</w:t>
      </w:r>
      <w:r>
        <w:rPr>
          <w:rFonts w:hint="eastAsia" w:hAnsi="宋体" w:cs="宋体"/>
          <w:color w:val="auto"/>
          <w:kern w:val="0"/>
          <w:highlight w:val="none"/>
        </w:rPr>
        <w:t>由于承包人原因拒绝按合同进度计划及时完成合同规定的工程，而又未采取有效措施赶上进度，造成工期严重延误的；</w:t>
      </w:r>
    </w:p>
    <w:p w14:paraId="6F6EAB3E">
      <w:pPr>
        <w:spacing w:line="360" w:lineRule="auto"/>
        <w:ind w:firstLine="420" w:firstLineChars="200"/>
        <w:rPr>
          <w:color w:val="auto"/>
          <w:kern w:val="0"/>
          <w:highlight w:val="none"/>
        </w:rPr>
      </w:pPr>
      <w:r>
        <w:rPr>
          <w:rFonts w:hint="eastAsia"/>
          <w:color w:val="auto"/>
          <w:kern w:val="0"/>
          <w:highlight w:val="none"/>
          <w:lang w:eastAsia="zh-CN"/>
        </w:rPr>
        <w:t>（5）</w:t>
      </w:r>
      <w:r>
        <w:rPr>
          <w:rFonts w:hint="eastAsia"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6A24BD68">
      <w:pPr>
        <w:spacing w:line="360" w:lineRule="auto"/>
        <w:ind w:firstLine="420" w:firstLineChars="200"/>
        <w:rPr>
          <w:color w:val="auto"/>
          <w:kern w:val="0"/>
          <w:highlight w:val="none"/>
        </w:rPr>
      </w:pPr>
      <w:r>
        <w:rPr>
          <w:rFonts w:hint="eastAsia"/>
          <w:color w:val="auto"/>
          <w:kern w:val="0"/>
          <w:highlight w:val="none"/>
          <w:lang w:eastAsia="zh-CN"/>
        </w:rPr>
        <w:t>（6）</w:t>
      </w:r>
      <w:r>
        <w:rPr>
          <w:rFonts w:hint="eastAsia" w:hAnsi="宋体" w:cs="宋体"/>
          <w:color w:val="auto"/>
          <w:kern w:val="0"/>
          <w:highlight w:val="none"/>
        </w:rPr>
        <w:t>合同签订</w:t>
      </w:r>
      <w:r>
        <w:rPr>
          <w:rFonts w:hint="eastAsia" w:ascii="仿宋_GB2312" w:hAnsi="宋体" w:cs="宋体"/>
          <w:color w:val="auto"/>
          <w:highlight w:val="none"/>
        </w:rPr>
        <w:t>且具备法定开工条件后</w:t>
      </w:r>
      <w:r>
        <w:rPr>
          <w:rFonts w:hint="eastAsia" w:hAnsi="宋体" w:cs="宋体"/>
          <w:color w:val="auto"/>
          <w:kern w:val="0"/>
          <w:highlight w:val="none"/>
        </w:rPr>
        <w:t>之日起十五日内，承包人无法按合同规定及投标文件的承诺进场经监理工程师认可的该</w:t>
      </w:r>
      <w:r>
        <w:rPr>
          <w:rFonts w:hAnsi="宋体" w:cs="宋体"/>
          <w:color w:val="auto"/>
          <w:kern w:val="0"/>
          <w:highlight w:val="none"/>
        </w:rPr>
        <w:t>施工</w:t>
      </w:r>
      <w:r>
        <w:rPr>
          <w:rFonts w:hint="eastAsia" w:hAnsi="宋体" w:cs="宋体"/>
          <w:color w:val="auto"/>
          <w:kern w:val="0"/>
          <w:highlight w:val="none"/>
        </w:rPr>
        <w:t>阶段</w:t>
      </w:r>
      <w:r>
        <w:rPr>
          <w:rFonts w:hAnsi="宋体" w:cs="宋体"/>
          <w:color w:val="auto"/>
          <w:kern w:val="0"/>
          <w:highlight w:val="none"/>
        </w:rPr>
        <w:t>应有的</w:t>
      </w:r>
      <w:r>
        <w:rPr>
          <w:rFonts w:hint="eastAsia" w:hAnsi="宋体" w:cs="宋体"/>
          <w:color w:val="auto"/>
          <w:kern w:val="0"/>
          <w:highlight w:val="none"/>
        </w:rPr>
        <w:t>全部人员和机械的。</w:t>
      </w:r>
    </w:p>
    <w:p w14:paraId="48800A92">
      <w:pPr>
        <w:spacing w:line="360" w:lineRule="auto"/>
        <w:ind w:firstLine="420" w:firstLineChars="200"/>
        <w:rPr>
          <w:color w:val="auto"/>
          <w:kern w:val="0"/>
          <w:highlight w:val="none"/>
        </w:rPr>
      </w:pPr>
      <w:r>
        <w:rPr>
          <w:rFonts w:hint="eastAsia" w:hAnsi="宋体" w:cs="宋体"/>
          <w:color w:val="auto"/>
          <w:kern w:val="0"/>
          <w:highlight w:val="none"/>
        </w:rPr>
        <w:t>发包人继续使用承包人在施工现场的材料、设备、临时工程、承包人文件和由承包人或以其名义编制的其他文件的费用承担方式：</w:t>
      </w:r>
      <w:r>
        <w:rPr>
          <w:color w:val="auto"/>
          <w:kern w:val="0"/>
          <w:highlight w:val="none"/>
          <w:u w:val="single"/>
        </w:rPr>
        <w:t xml:space="preserve"> </w:t>
      </w:r>
      <w:r>
        <w:rPr>
          <w:rFonts w:hint="eastAsia"/>
          <w:color w:val="auto"/>
          <w:kern w:val="0"/>
          <w:highlight w:val="none"/>
          <w:u w:val="single"/>
        </w:rPr>
        <w:t>由承包人及发包人双方盘点实际数量，按承包人采购价格核算实际价值，并由发包人向承包人支付</w:t>
      </w:r>
      <w:r>
        <w:rPr>
          <w:color w:val="auto"/>
          <w:kern w:val="0"/>
          <w:highlight w:val="none"/>
          <w:u w:val="single"/>
        </w:rPr>
        <w:t xml:space="preserve"> </w:t>
      </w:r>
      <w:r>
        <w:rPr>
          <w:rFonts w:hint="eastAsia" w:hAnsi="宋体" w:cs="宋体"/>
          <w:color w:val="auto"/>
          <w:kern w:val="0"/>
          <w:highlight w:val="none"/>
        </w:rPr>
        <w:t>。</w:t>
      </w:r>
    </w:p>
    <w:p w14:paraId="32047572">
      <w:pPr>
        <w:pStyle w:val="5"/>
        <w:rPr>
          <w:color w:val="auto"/>
          <w:highlight w:val="none"/>
        </w:rPr>
      </w:pPr>
      <w:bookmarkStart w:id="1067" w:name="_Toc373227769"/>
      <w:bookmarkStart w:id="1068" w:name="_Toc389065334"/>
      <w:bookmarkStart w:id="1069" w:name="_Toc351203649"/>
      <w:bookmarkStart w:id="1070" w:name="_Toc407135272"/>
      <w:bookmarkStart w:id="1071" w:name="_Toc373478416"/>
      <w:bookmarkStart w:id="1072" w:name="_Toc6609"/>
      <w:r>
        <w:rPr>
          <w:color w:val="auto"/>
          <w:highlight w:val="none"/>
        </w:rPr>
        <w:t xml:space="preserve">17. </w:t>
      </w:r>
      <w:r>
        <w:rPr>
          <w:rFonts w:hint="eastAsia" w:hAnsi="宋体" w:cs="黑体"/>
          <w:color w:val="auto"/>
          <w:highlight w:val="none"/>
        </w:rPr>
        <w:t>不可抗力</w:t>
      </w:r>
      <w:bookmarkEnd w:id="1067"/>
      <w:bookmarkEnd w:id="1068"/>
      <w:bookmarkEnd w:id="1069"/>
      <w:bookmarkEnd w:id="1070"/>
      <w:bookmarkEnd w:id="1071"/>
      <w:bookmarkEnd w:id="1072"/>
      <w:r>
        <w:rPr>
          <w:color w:val="auto"/>
          <w:highlight w:val="none"/>
        </w:rPr>
        <w:t xml:space="preserve"> </w:t>
      </w:r>
      <w:bookmarkEnd w:id="1055"/>
    </w:p>
    <w:p w14:paraId="4F42EFCD">
      <w:pPr>
        <w:pStyle w:val="6"/>
        <w:rPr>
          <w:color w:val="auto"/>
          <w:highlight w:val="none"/>
        </w:rPr>
      </w:pPr>
      <w:bookmarkStart w:id="1073" w:name="_Toc23789"/>
      <w:bookmarkStart w:id="1074" w:name="_Toc373227770"/>
      <w:bookmarkStart w:id="1075" w:name="_Toc389065335"/>
      <w:bookmarkStart w:id="1076" w:name="_Toc373478417"/>
      <w:bookmarkStart w:id="1077" w:name="_Toc407135273"/>
      <w:r>
        <w:rPr>
          <w:color w:val="auto"/>
          <w:highlight w:val="none"/>
        </w:rPr>
        <w:t xml:space="preserve">17.1 </w:t>
      </w:r>
      <w:r>
        <w:rPr>
          <w:rFonts w:hint="eastAsia" w:cs="黑体"/>
          <w:color w:val="auto"/>
          <w:highlight w:val="none"/>
        </w:rPr>
        <w:t>不可抗力的确认</w:t>
      </w:r>
      <w:bookmarkEnd w:id="1073"/>
      <w:bookmarkEnd w:id="1074"/>
      <w:bookmarkEnd w:id="1075"/>
      <w:bookmarkEnd w:id="1076"/>
      <w:bookmarkEnd w:id="1077"/>
    </w:p>
    <w:p w14:paraId="2F47B3DC">
      <w:pPr>
        <w:spacing w:line="360" w:lineRule="auto"/>
        <w:ind w:firstLine="420" w:firstLineChars="200"/>
        <w:jc w:val="left"/>
        <w:rPr>
          <w:color w:val="auto"/>
          <w:kern w:val="0"/>
          <w:highlight w:val="none"/>
          <w:u w:val="single"/>
        </w:rPr>
      </w:pPr>
      <w:r>
        <w:rPr>
          <w:rFonts w:hint="eastAsia" w:hAnsi="宋体" w:cs="宋体"/>
          <w:color w:val="auto"/>
          <w:highlight w:val="none"/>
        </w:rPr>
        <w:t>除通用合同条款约定的不可抗力事件之外，视为不可抗力的其他情形：</w:t>
      </w:r>
      <w:r>
        <w:rPr>
          <w:color w:val="auto"/>
          <w:kern w:val="0"/>
          <w:highlight w:val="none"/>
          <w:u w:val="single"/>
        </w:rPr>
        <w:t xml:space="preserve">   </w:t>
      </w:r>
      <w:r>
        <w:rPr>
          <w:rFonts w:hint="eastAsia"/>
          <w:color w:val="auto"/>
          <w:kern w:val="0"/>
          <w:highlight w:val="none"/>
          <w:u w:val="single"/>
        </w:rPr>
        <w:t>1、（6）级以上的地震；2、（10）级以上的持续（3）天的大风；3、日降雨量大于50mm的雨日超过1天</w:t>
      </w:r>
      <w:r>
        <w:rPr>
          <w:rFonts w:hint="eastAsia"/>
          <w:color w:val="auto"/>
          <w:kern w:val="0"/>
          <w:highlight w:val="none"/>
          <w:u w:val="single"/>
          <w:lang w:eastAsia="zh-CN"/>
        </w:rPr>
        <w:t>；</w:t>
      </w:r>
      <w:r>
        <w:rPr>
          <w:rFonts w:hint="eastAsia"/>
          <w:color w:val="auto"/>
          <w:kern w:val="0"/>
          <w:highlight w:val="none"/>
          <w:u w:val="single"/>
        </w:rPr>
        <w:t>4、（50）年以上未发生过，持续（3）天的高温天气；5、（50）年以上未发生过，持续（3）天的严寒天气；6、（50）年以上未发生过的洪水。</w:t>
      </w:r>
      <w:r>
        <w:rPr>
          <w:color w:val="auto"/>
          <w:kern w:val="0"/>
          <w:highlight w:val="none"/>
          <w:u w:val="single"/>
        </w:rPr>
        <w:t xml:space="preserve"> </w:t>
      </w:r>
      <w:r>
        <w:rPr>
          <w:rFonts w:hint="eastAsia" w:hAnsi="宋体" w:cs="宋体"/>
          <w:color w:val="auto"/>
          <w:kern w:val="0"/>
          <w:highlight w:val="none"/>
        </w:rPr>
        <w:t>。</w:t>
      </w:r>
    </w:p>
    <w:p w14:paraId="45792786">
      <w:pPr>
        <w:pStyle w:val="6"/>
        <w:rPr>
          <w:color w:val="auto"/>
          <w:highlight w:val="none"/>
        </w:rPr>
      </w:pPr>
      <w:bookmarkStart w:id="1078" w:name="_Toc15617"/>
      <w:bookmarkStart w:id="1079" w:name="_Toc389065336"/>
      <w:bookmarkStart w:id="1080" w:name="_Toc373478418"/>
      <w:bookmarkStart w:id="1081" w:name="_Toc373227771"/>
      <w:bookmarkStart w:id="1082" w:name="_Toc407135274"/>
      <w:r>
        <w:rPr>
          <w:color w:val="auto"/>
          <w:highlight w:val="none"/>
        </w:rPr>
        <w:t xml:space="preserve">17.4 </w:t>
      </w:r>
      <w:r>
        <w:rPr>
          <w:rFonts w:hint="eastAsia" w:cs="黑体"/>
          <w:color w:val="auto"/>
          <w:highlight w:val="none"/>
        </w:rPr>
        <w:t>因不可抗力解除合同</w:t>
      </w:r>
      <w:bookmarkEnd w:id="1078"/>
      <w:bookmarkEnd w:id="1079"/>
      <w:bookmarkEnd w:id="1080"/>
      <w:bookmarkEnd w:id="1081"/>
      <w:bookmarkEnd w:id="1082"/>
    </w:p>
    <w:p w14:paraId="1D903632">
      <w:pPr>
        <w:spacing w:line="360" w:lineRule="auto"/>
        <w:ind w:firstLine="420" w:firstLineChars="200"/>
        <w:jc w:val="left"/>
        <w:rPr>
          <w:color w:val="auto"/>
          <w:highlight w:val="none"/>
        </w:rPr>
      </w:pPr>
      <w:r>
        <w:rPr>
          <w:rFonts w:hint="eastAsia" w:hAnsi="宋体" w:cs="宋体"/>
          <w:color w:val="auto"/>
          <w:highlight w:val="none"/>
        </w:rPr>
        <w:t>合同解除后，发包人应在商定或确定发包人应支付款项后</w:t>
      </w:r>
      <w:r>
        <w:rPr>
          <w:color w:val="auto"/>
          <w:highlight w:val="none"/>
          <w:u w:val="single"/>
        </w:rPr>
        <w:t xml:space="preserve">  </w:t>
      </w:r>
      <w:r>
        <w:rPr>
          <w:rFonts w:hint="eastAsia"/>
          <w:color w:val="auto"/>
          <w:highlight w:val="none"/>
          <w:u w:val="single"/>
        </w:rPr>
        <w:t>30</w:t>
      </w:r>
      <w:r>
        <w:rPr>
          <w:color w:val="auto"/>
          <w:highlight w:val="none"/>
          <w:u w:val="single"/>
        </w:rPr>
        <w:t xml:space="preserve">  </w:t>
      </w:r>
      <w:r>
        <w:rPr>
          <w:rFonts w:hint="eastAsia" w:hAnsi="宋体" w:cs="宋体"/>
          <w:color w:val="auto"/>
          <w:highlight w:val="none"/>
        </w:rPr>
        <w:t>天内完成款项的支付。</w:t>
      </w:r>
    </w:p>
    <w:p w14:paraId="32816A14">
      <w:pPr>
        <w:pStyle w:val="5"/>
        <w:keepNext/>
        <w:keepLines/>
        <w:pageBreakBefore w:val="0"/>
        <w:widowControl w:val="0"/>
        <w:kinsoku/>
        <w:wordWrap/>
        <w:overflowPunct/>
        <w:topLinePunct w:val="0"/>
        <w:autoSpaceDE/>
        <w:autoSpaceDN/>
        <w:bidi w:val="0"/>
        <w:adjustRightInd/>
        <w:snapToGrid/>
        <w:spacing w:before="0" w:after="0"/>
        <w:textAlignment w:val="auto"/>
        <w:rPr>
          <w:color w:val="auto"/>
          <w:highlight w:val="none"/>
        </w:rPr>
      </w:pPr>
      <w:bookmarkStart w:id="1083" w:name="_Toc15167"/>
      <w:bookmarkStart w:id="1084" w:name="_Toc389065337"/>
      <w:bookmarkStart w:id="1085" w:name="_Toc407135275"/>
      <w:bookmarkStart w:id="1086" w:name="_Toc351203650"/>
      <w:bookmarkStart w:id="1087" w:name="_Toc373478419"/>
      <w:bookmarkStart w:id="1088" w:name="_Toc373227772"/>
      <w:r>
        <w:rPr>
          <w:color w:val="auto"/>
          <w:highlight w:val="none"/>
        </w:rPr>
        <w:t xml:space="preserve">18. </w:t>
      </w:r>
      <w:r>
        <w:rPr>
          <w:rFonts w:hint="eastAsia" w:hAnsi="宋体" w:cs="黑体"/>
          <w:color w:val="auto"/>
          <w:highlight w:val="none"/>
        </w:rPr>
        <w:t>保险</w:t>
      </w:r>
      <w:bookmarkEnd w:id="1083"/>
      <w:bookmarkEnd w:id="1084"/>
      <w:bookmarkEnd w:id="1085"/>
      <w:bookmarkEnd w:id="1086"/>
      <w:bookmarkEnd w:id="1087"/>
      <w:bookmarkEnd w:id="1088"/>
    </w:p>
    <w:bookmarkEnd w:id="1056"/>
    <w:p w14:paraId="264F6E4C">
      <w:pPr>
        <w:pStyle w:val="6"/>
        <w:keepNext/>
        <w:keepLines/>
        <w:pageBreakBefore w:val="0"/>
        <w:widowControl w:val="0"/>
        <w:kinsoku/>
        <w:wordWrap/>
        <w:overflowPunct/>
        <w:topLinePunct w:val="0"/>
        <w:autoSpaceDE/>
        <w:autoSpaceDN/>
        <w:bidi w:val="0"/>
        <w:adjustRightInd/>
        <w:snapToGrid/>
        <w:textAlignment w:val="auto"/>
        <w:rPr>
          <w:color w:val="auto"/>
          <w:highlight w:val="none"/>
        </w:rPr>
      </w:pPr>
      <w:bookmarkStart w:id="1089" w:name="_Toc373478420"/>
      <w:bookmarkStart w:id="1090" w:name="_Toc407135276"/>
      <w:bookmarkStart w:id="1091" w:name="_Toc389065338"/>
      <w:bookmarkStart w:id="1092" w:name="_Toc373227773"/>
      <w:bookmarkStart w:id="1093" w:name="_Toc21764"/>
      <w:r>
        <w:rPr>
          <w:color w:val="auto"/>
          <w:highlight w:val="none"/>
        </w:rPr>
        <w:t xml:space="preserve">18.1 </w:t>
      </w:r>
      <w:r>
        <w:rPr>
          <w:rFonts w:hint="eastAsia" w:hAnsi="宋体" w:cs="黑体"/>
          <w:color w:val="auto"/>
          <w:highlight w:val="none"/>
        </w:rPr>
        <w:t>工程保险</w:t>
      </w:r>
      <w:bookmarkEnd w:id="1089"/>
      <w:bookmarkEnd w:id="1090"/>
      <w:bookmarkEnd w:id="1091"/>
      <w:bookmarkEnd w:id="1092"/>
      <w:bookmarkEnd w:id="1093"/>
    </w:p>
    <w:p w14:paraId="5A575197">
      <w:pPr>
        <w:spacing w:line="360" w:lineRule="auto"/>
        <w:ind w:firstLine="420" w:firstLineChars="200"/>
        <w:jc w:val="left"/>
        <w:rPr>
          <w:color w:val="auto"/>
          <w:highlight w:val="none"/>
        </w:rPr>
      </w:pPr>
      <w:r>
        <w:rPr>
          <w:rFonts w:hint="eastAsia" w:hAnsi="宋体" w:cs="宋体"/>
          <w:color w:val="auto"/>
          <w:highlight w:val="none"/>
        </w:rPr>
        <w:t>关于工程保险的特别约定：</w:t>
      </w:r>
      <w:r>
        <w:rPr>
          <w:color w:val="auto"/>
          <w:kern w:val="0"/>
          <w:highlight w:val="none"/>
          <w:u w:val="single"/>
        </w:rPr>
        <w:t xml:space="preserve"> </w:t>
      </w:r>
      <w:r>
        <w:rPr>
          <w:rFonts w:hint="eastAsia"/>
          <w:color w:val="auto"/>
          <w:kern w:val="0"/>
          <w:highlight w:val="none"/>
          <w:u w:val="single"/>
        </w:rPr>
        <w:t>承包人必须到</w:t>
      </w:r>
      <w:r>
        <w:rPr>
          <w:rFonts w:hint="eastAsia"/>
          <w:color w:val="auto"/>
          <w:kern w:val="0"/>
          <w:highlight w:val="none"/>
          <w:u w:val="single"/>
          <w:lang w:val="en-US" w:eastAsia="zh-CN"/>
        </w:rPr>
        <w:t>陆川县</w:t>
      </w:r>
      <w:r>
        <w:rPr>
          <w:rFonts w:hint="eastAsia" w:ascii="Times New Roman" w:hAnsi="Times New Roman" w:eastAsia="宋体" w:cs="Times New Roman"/>
          <w:color w:val="auto"/>
          <w:kern w:val="0"/>
          <w:highlight w:val="none"/>
          <w:u w:val="single"/>
        </w:rPr>
        <w:t>社会保障局为</w:t>
      </w:r>
      <w:r>
        <w:rPr>
          <w:rFonts w:hint="eastAsia"/>
          <w:color w:val="auto"/>
          <w:kern w:val="0"/>
          <w:highlight w:val="none"/>
          <w:u w:val="single"/>
        </w:rPr>
        <w:t xml:space="preserve">其施工现场的全部作业人员办理工伤保险并支付保险费，费用含在合同总价内 </w:t>
      </w:r>
      <w:r>
        <w:rPr>
          <w:color w:val="auto"/>
          <w:kern w:val="0"/>
          <w:highlight w:val="none"/>
          <w:u w:val="single"/>
        </w:rPr>
        <w:t xml:space="preserve">   </w:t>
      </w:r>
      <w:r>
        <w:rPr>
          <w:rFonts w:hint="eastAsia" w:hAnsi="宋体" w:cs="宋体"/>
          <w:color w:val="auto"/>
          <w:kern w:val="0"/>
          <w:highlight w:val="none"/>
        </w:rPr>
        <w:t>。</w:t>
      </w:r>
    </w:p>
    <w:p w14:paraId="3C53221F">
      <w:pPr>
        <w:pStyle w:val="6"/>
        <w:rPr>
          <w:color w:val="auto"/>
          <w:highlight w:val="none"/>
        </w:rPr>
      </w:pPr>
      <w:bookmarkStart w:id="1094" w:name="_Toc373227774"/>
      <w:bookmarkStart w:id="1095" w:name="_Toc373478421"/>
      <w:bookmarkStart w:id="1096" w:name="_Toc389065339"/>
      <w:bookmarkStart w:id="1097" w:name="_Toc14953"/>
      <w:bookmarkStart w:id="1098" w:name="_Toc407135277"/>
      <w:r>
        <w:rPr>
          <w:color w:val="auto"/>
          <w:highlight w:val="none"/>
        </w:rPr>
        <w:t xml:space="preserve">18.3 </w:t>
      </w:r>
      <w:r>
        <w:rPr>
          <w:rFonts w:hint="eastAsia" w:hAnsi="宋体" w:cs="黑体"/>
          <w:color w:val="auto"/>
          <w:highlight w:val="none"/>
        </w:rPr>
        <w:t>其他保险</w:t>
      </w:r>
      <w:bookmarkEnd w:id="1094"/>
      <w:bookmarkEnd w:id="1095"/>
      <w:bookmarkEnd w:id="1096"/>
      <w:bookmarkEnd w:id="1097"/>
      <w:bookmarkEnd w:id="1098"/>
    </w:p>
    <w:p w14:paraId="2B7F28ED">
      <w:pPr>
        <w:spacing w:line="360" w:lineRule="auto"/>
        <w:ind w:firstLine="420" w:firstLineChars="200"/>
        <w:jc w:val="left"/>
        <w:rPr>
          <w:color w:val="auto"/>
          <w:kern w:val="0"/>
          <w:highlight w:val="none"/>
        </w:rPr>
      </w:pPr>
      <w:r>
        <w:rPr>
          <w:rFonts w:hint="eastAsia" w:hAnsi="宋体" w:cs="宋体"/>
          <w:color w:val="auto"/>
          <w:highlight w:val="none"/>
        </w:rPr>
        <w:t>关于其他保险的约定：</w:t>
      </w:r>
      <w:r>
        <w:rPr>
          <w:rFonts w:hAnsi="宋体"/>
          <w:color w:val="auto"/>
          <w:highlight w:val="none"/>
          <w:u w:val="single"/>
        </w:rPr>
        <w:t xml:space="preserve"> </w:t>
      </w:r>
      <w:r>
        <w:rPr>
          <w:rFonts w:hint="eastAsia" w:hAnsi="宋体"/>
          <w:color w:val="auto"/>
          <w:highlight w:val="none"/>
          <w:u w:val="single"/>
        </w:rPr>
        <w:t xml:space="preserve"> / </w:t>
      </w:r>
      <w:r>
        <w:rPr>
          <w:rFonts w:hAnsi="宋体"/>
          <w:color w:val="auto"/>
          <w:highlight w:val="none"/>
          <w:u w:val="single"/>
        </w:rPr>
        <w:t xml:space="preserve">  </w:t>
      </w:r>
      <w:r>
        <w:rPr>
          <w:rFonts w:hint="eastAsia" w:hAnsi="宋体" w:cs="宋体"/>
          <w:color w:val="auto"/>
          <w:highlight w:val="none"/>
        </w:rPr>
        <w:t>。</w:t>
      </w:r>
    </w:p>
    <w:p w14:paraId="765EB539">
      <w:pPr>
        <w:spacing w:line="360" w:lineRule="auto"/>
        <w:ind w:firstLine="420" w:firstLineChars="200"/>
        <w:jc w:val="left"/>
        <w:rPr>
          <w:color w:val="auto"/>
          <w:highlight w:val="none"/>
          <w:u w:val="single"/>
        </w:rPr>
      </w:pPr>
      <w:r>
        <w:rPr>
          <w:rFonts w:hint="eastAsia" w:hAnsi="宋体" w:cs="宋体"/>
          <w:color w:val="auto"/>
          <w:highlight w:val="none"/>
        </w:rPr>
        <w:t>承包人是否应为其施工设备等办理财产保险：</w:t>
      </w:r>
      <w:r>
        <w:rPr>
          <w:color w:val="auto"/>
          <w:highlight w:val="none"/>
          <w:u w:val="single"/>
        </w:rPr>
        <w:t xml:space="preserve">      </w:t>
      </w:r>
      <w:r>
        <w:rPr>
          <w:rFonts w:hint="eastAsia"/>
          <w:color w:val="auto"/>
          <w:highlight w:val="none"/>
          <w:u w:val="single"/>
        </w:rPr>
        <w:t xml:space="preserve">由承包人自行决定是否投保 </w:t>
      </w:r>
      <w:r>
        <w:rPr>
          <w:color w:val="auto"/>
          <w:highlight w:val="none"/>
          <w:u w:val="single"/>
        </w:rPr>
        <w:t xml:space="preserve">    </w:t>
      </w:r>
      <w:r>
        <w:rPr>
          <w:rFonts w:hint="eastAsia" w:hAnsi="宋体" w:cs="宋体"/>
          <w:color w:val="auto"/>
          <w:highlight w:val="none"/>
        </w:rPr>
        <w:t>。</w:t>
      </w:r>
    </w:p>
    <w:p w14:paraId="33A3BF78">
      <w:pPr>
        <w:pStyle w:val="6"/>
        <w:rPr>
          <w:color w:val="auto"/>
          <w:highlight w:val="none"/>
        </w:rPr>
      </w:pPr>
      <w:bookmarkStart w:id="1099" w:name="_Toc389065340"/>
      <w:bookmarkStart w:id="1100" w:name="_Toc373227775"/>
      <w:bookmarkStart w:id="1101" w:name="_Toc24972"/>
      <w:bookmarkStart w:id="1102" w:name="_Toc407135278"/>
      <w:bookmarkStart w:id="1103" w:name="_Toc373478422"/>
      <w:r>
        <w:rPr>
          <w:color w:val="auto"/>
          <w:highlight w:val="none"/>
        </w:rPr>
        <w:t xml:space="preserve">18.7 </w:t>
      </w:r>
      <w:r>
        <w:rPr>
          <w:rFonts w:hint="eastAsia" w:hAnsi="宋体" w:cs="黑体"/>
          <w:color w:val="auto"/>
          <w:highlight w:val="none"/>
        </w:rPr>
        <w:t>通知义务</w:t>
      </w:r>
      <w:bookmarkEnd w:id="1099"/>
      <w:bookmarkEnd w:id="1100"/>
      <w:bookmarkEnd w:id="1101"/>
      <w:bookmarkEnd w:id="1102"/>
      <w:bookmarkEnd w:id="1103"/>
    </w:p>
    <w:p w14:paraId="7DEA11F0">
      <w:pPr>
        <w:spacing w:line="360" w:lineRule="auto"/>
        <w:ind w:firstLine="420" w:firstLineChars="200"/>
        <w:jc w:val="left"/>
        <w:rPr>
          <w:color w:val="auto"/>
          <w:highlight w:val="none"/>
          <w:u w:val="single"/>
        </w:rPr>
      </w:pPr>
      <w:r>
        <w:rPr>
          <w:rFonts w:hint="eastAsia" w:hAnsi="宋体" w:cs="宋体"/>
          <w:color w:val="auto"/>
          <w:kern w:val="0"/>
          <w:highlight w:val="none"/>
        </w:rPr>
        <w:t>关于变更保险合同时的通知义务的约定：</w:t>
      </w:r>
      <w:r>
        <w:rPr>
          <w:color w:val="auto"/>
          <w:highlight w:val="none"/>
          <w:u w:val="single"/>
        </w:rPr>
        <w:t xml:space="preserve">   </w:t>
      </w:r>
      <w:r>
        <w:rPr>
          <w:rFonts w:hint="eastAsia"/>
          <w:color w:val="auto"/>
          <w:highlight w:val="none"/>
          <w:u w:val="single"/>
        </w:rPr>
        <w:t>由承包人自行决定是否投保</w:t>
      </w:r>
      <w:r>
        <w:rPr>
          <w:color w:val="auto"/>
          <w:highlight w:val="none"/>
          <w:u w:val="single"/>
        </w:rPr>
        <w:t xml:space="preserve">       </w:t>
      </w:r>
      <w:r>
        <w:rPr>
          <w:rFonts w:hint="eastAsia" w:hAnsi="宋体" w:cs="宋体"/>
          <w:color w:val="auto"/>
          <w:highlight w:val="none"/>
        </w:rPr>
        <w:t>。</w:t>
      </w:r>
    </w:p>
    <w:bookmarkEnd w:id="1013"/>
    <w:bookmarkEnd w:id="1014"/>
    <w:bookmarkEnd w:id="1015"/>
    <w:bookmarkEnd w:id="1016"/>
    <w:bookmarkEnd w:id="1017"/>
    <w:bookmarkEnd w:id="1018"/>
    <w:bookmarkEnd w:id="1019"/>
    <w:bookmarkEnd w:id="1020"/>
    <w:bookmarkEnd w:id="1021"/>
    <w:bookmarkEnd w:id="1022"/>
    <w:bookmarkEnd w:id="1023"/>
    <w:bookmarkEnd w:id="1024"/>
    <w:p w14:paraId="44B99507">
      <w:pPr>
        <w:pStyle w:val="5"/>
        <w:keepNext/>
        <w:keepLines/>
        <w:pageBreakBefore w:val="0"/>
        <w:widowControl w:val="0"/>
        <w:kinsoku/>
        <w:wordWrap/>
        <w:overflowPunct/>
        <w:topLinePunct w:val="0"/>
        <w:autoSpaceDE/>
        <w:autoSpaceDN/>
        <w:bidi w:val="0"/>
        <w:adjustRightInd/>
        <w:snapToGrid/>
        <w:spacing w:before="0" w:after="0"/>
        <w:textAlignment w:val="auto"/>
        <w:rPr>
          <w:color w:val="auto"/>
          <w:highlight w:val="none"/>
        </w:rPr>
      </w:pPr>
      <w:bookmarkStart w:id="1104" w:name="_Toc22496"/>
      <w:bookmarkStart w:id="1105" w:name="_Toc407135279"/>
      <w:bookmarkStart w:id="1106" w:name="_Toc351203651"/>
      <w:bookmarkStart w:id="1107" w:name="_Toc373227776"/>
      <w:bookmarkStart w:id="1108" w:name="_Toc373478423"/>
      <w:bookmarkStart w:id="1109" w:name="_Toc389065341"/>
      <w:r>
        <w:rPr>
          <w:color w:val="auto"/>
          <w:highlight w:val="none"/>
        </w:rPr>
        <w:t xml:space="preserve">20. </w:t>
      </w:r>
      <w:r>
        <w:rPr>
          <w:rFonts w:hint="eastAsia" w:hAnsi="宋体" w:cs="黑体"/>
          <w:color w:val="auto"/>
          <w:highlight w:val="none"/>
        </w:rPr>
        <w:t>争议解决</w:t>
      </w:r>
      <w:bookmarkEnd w:id="1104"/>
      <w:bookmarkEnd w:id="1105"/>
      <w:bookmarkEnd w:id="1106"/>
      <w:bookmarkEnd w:id="1107"/>
      <w:bookmarkEnd w:id="1108"/>
      <w:bookmarkEnd w:id="1109"/>
    </w:p>
    <w:bookmarkEnd w:id="1025"/>
    <w:bookmarkEnd w:id="1026"/>
    <w:p w14:paraId="58C1DB97">
      <w:pPr>
        <w:pStyle w:val="6"/>
        <w:keepNext/>
        <w:keepLines/>
        <w:pageBreakBefore w:val="0"/>
        <w:widowControl w:val="0"/>
        <w:kinsoku/>
        <w:wordWrap/>
        <w:overflowPunct/>
        <w:topLinePunct w:val="0"/>
        <w:autoSpaceDE/>
        <w:autoSpaceDN/>
        <w:bidi w:val="0"/>
        <w:adjustRightInd/>
        <w:snapToGrid/>
        <w:textAlignment w:val="auto"/>
        <w:rPr>
          <w:color w:val="auto"/>
          <w:highlight w:val="none"/>
        </w:rPr>
      </w:pPr>
      <w:bookmarkStart w:id="1110" w:name="_Toc373227777"/>
      <w:bookmarkStart w:id="1111" w:name="_Toc407135280"/>
      <w:bookmarkStart w:id="1112" w:name="_Toc373478424"/>
      <w:bookmarkStart w:id="1113" w:name="_Toc389065342"/>
      <w:bookmarkStart w:id="1114" w:name="_Toc7323"/>
      <w:r>
        <w:rPr>
          <w:color w:val="auto"/>
          <w:highlight w:val="none"/>
        </w:rPr>
        <w:t xml:space="preserve">20.3 </w:t>
      </w:r>
      <w:r>
        <w:rPr>
          <w:rFonts w:hint="eastAsia" w:hAnsi="宋体" w:cs="黑体"/>
          <w:color w:val="auto"/>
          <w:highlight w:val="none"/>
        </w:rPr>
        <w:t>争</w:t>
      </w:r>
      <w:bookmarkEnd w:id="1027"/>
      <w:r>
        <w:rPr>
          <w:rFonts w:hint="eastAsia" w:hAnsi="宋体" w:cs="黑体"/>
          <w:color w:val="auto"/>
          <w:highlight w:val="none"/>
        </w:rPr>
        <w:t>议评审</w:t>
      </w:r>
      <w:bookmarkEnd w:id="1110"/>
      <w:bookmarkEnd w:id="1111"/>
      <w:bookmarkEnd w:id="1112"/>
      <w:bookmarkEnd w:id="1113"/>
      <w:bookmarkEnd w:id="1114"/>
    </w:p>
    <w:p w14:paraId="08BD4E67">
      <w:pPr>
        <w:spacing w:line="360" w:lineRule="auto"/>
        <w:ind w:left="149" w:leftChars="71" w:firstLine="315" w:firstLineChars="150"/>
        <w:jc w:val="left"/>
        <w:rPr>
          <w:color w:val="auto"/>
          <w:highlight w:val="none"/>
          <w:u w:val="single"/>
        </w:rPr>
      </w:pPr>
      <w:r>
        <w:rPr>
          <w:rFonts w:hint="eastAsia" w:hAnsi="宋体" w:cs="宋体"/>
          <w:color w:val="auto"/>
          <w:highlight w:val="none"/>
        </w:rPr>
        <w:t>合同当事人是否同意将工程争议提交争议评审小组决定：</w:t>
      </w:r>
      <w:r>
        <w:rPr>
          <w:color w:val="auto"/>
          <w:highlight w:val="none"/>
          <w:u w:val="single"/>
        </w:rPr>
        <w:t xml:space="preserve">    </w:t>
      </w:r>
      <w:r>
        <w:rPr>
          <w:rFonts w:hint="eastAsia"/>
          <w:color w:val="auto"/>
          <w:highlight w:val="none"/>
          <w:u w:val="single"/>
        </w:rPr>
        <w:t>由双方另行协商</w:t>
      </w:r>
      <w:r>
        <w:rPr>
          <w:color w:val="auto"/>
          <w:highlight w:val="none"/>
          <w:u w:val="single"/>
        </w:rPr>
        <w:t xml:space="preserve">   </w:t>
      </w:r>
      <w:r>
        <w:rPr>
          <w:rFonts w:hint="eastAsia" w:hAnsi="宋体" w:cs="宋体"/>
          <w:color w:val="auto"/>
          <w:highlight w:val="none"/>
        </w:rPr>
        <w:t>。</w:t>
      </w:r>
    </w:p>
    <w:p w14:paraId="33B90B9B">
      <w:pPr>
        <w:spacing w:line="360" w:lineRule="auto"/>
        <w:ind w:firstLine="420" w:firstLineChars="200"/>
        <w:jc w:val="left"/>
        <w:outlineLvl w:val="0"/>
        <w:rPr>
          <w:color w:val="auto"/>
          <w:highlight w:val="none"/>
        </w:rPr>
      </w:pPr>
      <w:r>
        <w:rPr>
          <w:color w:val="auto"/>
          <w:highlight w:val="none"/>
        </w:rPr>
        <w:t xml:space="preserve">20.3.1 </w:t>
      </w:r>
      <w:r>
        <w:rPr>
          <w:rFonts w:hint="eastAsia" w:hAnsi="宋体" w:cs="宋体"/>
          <w:color w:val="auto"/>
          <w:highlight w:val="none"/>
        </w:rPr>
        <w:t>争议评审小组的确定</w:t>
      </w:r>
    </w:p>
    <w:p w14:paraId="1F616132">
      <w:pPr>
        <w:spacing w:line="360" w:lineRule="auto"/>
        <w:ind w:firstLine="420" w:firstLineChars="200"/>
        <w:jc w:val="left"/>
        <w:rPr>
          <w:color w:val="auto"/>
          <w:highlight w:val="none"/>
          <w:u w:val="single"/>
        </w:rPr>
      </w:pPr>
      <w:r>
        <w:rPr>
          <w:rFonts w:hint="eastAsia" w:hAnsi="宋体" w:cs="宋体"/>
          <w:color w:val="auto"/>
          <w:highlight w:val="none"/>
        </w:rPr>
        <w:t>争议评审小组成员的确定：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36679CCF">
      <w:pPr>
        <w:spacing w:line="360" w:lineRule="auto"/>
        <w:ind w:firstLine="420" w:firstLineChars="200"/>
        <w:jc w:val="left"/>
        <w:rPr>
          <w:color w:val="auto"/>
          <w:highlight w:val="none"/>
        </w:rPr>
      </w:pPr>
      <w:r>
        <w:rPr>
          <w:rFonts w:hint="eastAsia" w:hAnsi="宋体" w:cs="宋体"/>
          <w:color w:val="auto"/>
          <w:highlight w:val="none"/>
        </w:rPr>
        <w:t>选定争议评审员的期限：</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348CDB25">
      <w:pPr>
        <w:spacing w:line="360" w:lineRule="auto"/>
        <w:ind w:firstLine="420" w:firstLineChars="200"/>
        <w:jc w:val="left"/>
        <w:rPr>
          <w:color w:val="auto"/>
          <w:highlight w:val="none"/>
        </w:rPr>
      </w:pPr>
      <w:r>
        <w:rPr>
          <w:rFonts w:hint="eastAsia" w:hAnsi="宋体" w:cs="宋体"/>
          <w:color w:val="auto"/>
          <w:highlight w:val="none"/>
        </w:rPr>
        <w:t>争议评审小组成员的报酬承担方式：</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5AB34BEA">
      <w:pPr>
        <w:spacing w:line="360" w:lineRule="auto"/>
        <w:ind w:firstLine="420" w:firstLineChars="200"/>
        <w:jc w:val="left"/>
        <w:rPr>
          <w:color w:val="auto"/>
          <w:highlight w:val="none"/>
        </w:rPr>
      </w:pPr>
      <w:r>
        <w:rPr>
          <w:rFonts w:hint="eastAsia" w:hAnsi="宋体" w:cs="宋体"/>
          <w:color w:val="auto"/>
          <w:highlight w:val="none"/>
        </w:rPr>
        <w:t>其他事项的约定：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13870C3B">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20.3.2 </w:t>
      </w:r>
      <w:r>
        <w:rPr>
          <w:rFonts w:hint="eastAsia" w:hAnsi="宋体" w:cs="宋体"/>
          <w:color w:val="auto"/>
          <w:kern w:val="0"/>
          <w:highlight w:val="none"/>
        </w:rPr>
        <w:t>争议评审小组的决定</w:t>
      </w:r>
    </w:p>
    <w:p w14:paraId="6298D8E6">
      <w:pPr>
        <w:spacing w:line="360" w:lineRule="auto"/>
        <w:ind w:firstLine="420" w:firstLineChars="200"/>
        <w:jc w:val="left"/>
        <w:rPr>
          <w:color w:val="auto"/>
          <w:highlight w:val="none"/>
        </w:rPr>
      </w:pPr>
      <w:r>
        <w:rPr>
          <w:rFonts w:hint="eastAsia" w:hAnsi="宋体" w:cs="宋体"/>
          <w:color w:val="auto"/>
          <w:highlight w:val="none"/>
        </w:rPr>
        <w:t>合同当事人关于本项的约定：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07C9A4B4">
      <w:pPr>
        <w:pStyle w:val="6"/>
        <w:rPr>
          <w:color w:val="auto"/>
          <w:highlight w:val="none"/>
        </w:rPr>
      </w:pPr>
      <w:bookmarkStart w:id="1115" w:name="_Toc373478425"/>
      <w:bookmarkStart w:id="1116" w:name="_Toc407135281"/>
      <w:bookmarkStart w:id="1117" w:name="_Toc22134"/>
      <w:bookmarkStart w:id="1118" w:name="_Toc373227778"/>
      <w:bookmarkStart w:id="1119" w:name="_Toc389065343"/>
      <w:r>
        <w:rPr>
          <w:color w:val="auto"/>
          <w:highlight w:val="none"/>
        </w:rPr>
        <w:t xml:space="preserve">20.4 </w:t>
      </w:r>
      <w:r>
        <w:rPr>
          <w:rFonts w:hint="eastAsia" w:hAnsi="宋体" w:cs="黑体"/>
          <w:color w:val="auto"/>
          <w:highlight w:val="none"/>
        </w:rPr>
        <w:t>仲裁或诉讼</w:t>
      </w:r>
      <w:bookmarkEnd w:id="1028"/>
      <w:bookmarkEnd w:id="1115"/>
      <w:bookmarkEnd w:id="1116"/>
      <w:bookmarkEnd w:id="1117"/>
      <w:bookmarkEnd w:id="1118"/>
      <w:bookmarkEnd w:id="1119"/>
    </w:p>
    <w:p w14:paraId="3D02928F">
      <w:pPr>
        <w:spacing w:line="360" w:lineRule="auto"/>
        <w:ind w:firstLine="420" w:firstLineChars="200"/>
        <w:rPr>
          <w:color w:val="auto"/>
          <w:highlight w:val="none"/>
        </w:rPr>
      </w:pPr>
      <w:r>
        <w:rPr>
          <w:rFonts w:hint="eastAsia" w:hAnsi="宋体" w:cs="宋体"/>
          <w:color w:val="auto"/>
          <w:highlight w:val="none"/>
        </w:rPr>
        <w:t>因合同及合同有关事项发生的争议，按下列第</w:t>
      </w:r>
      <w:r>
        <w:rPr>
          <w:color w:val="auto"/>
          <w:highlight w:val="none"/>
          <w:u w:val="single"/>
        </w:rPr>
        <w:t xml:space="preserve">  </w:t>
      </w:r>
      <w:r>
        <w:rPr>
          <w:rFonts w:hint="eastAsia"/>
          <w:color w:val="auto"/>
          <w:highlight w:val="none"/>
          <w:u w:val="single"/>
        </w:rPr>
        <w:t>（1）</w:t>
      </w:r>
      <w:r>
        <w:rPr>
          <w:color w:val="auto"/>
          <w:highlight w:val="none"/>
          <w:u w:val="single"/>
        </w:rPr>
        <w:t xml:space="preserve">   </w:t>
      </w:r>
      <w:r>
        <w:rPr>
          <w:rFonts w:hint="eastAsia" w:hAnsi="宋体" w:cs="宋体"/>
          <w:color w:val="auto"/>
          <w:highlight w:val="none"/>
        </w:rPr>
        <w:t>种方式解决：</w:t>
      </w:r>
    </w:p>
    <w:p w14:paraId="346290EA">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）提请</w:t>
      </w:r>
      <w:r>
        <w:rPr>
          <w:color w:val="auto"/>
          <w:highlight w:val="none"/>
          <w:u w:val="single"/>
        </w:rPr>
        <w:t xml:space="preserve">  </w:t>
      </w:r>
      <w:r>
        <w:rPr>
          <w:rFonts w:hint="eastAsia"/>
          <w:color w:val="auto"/>
          <w:highlight w:val="none"/>
          <w:u w:val="single"/>
        </w:rPr>
        <w:t>玉林市</w:t>
      </w:r>
      <w:r>
        <w:rPr>
          <w:color w:val="auto"/>
          <w:highlight w:val="none"/>
          <w:u w:val="single"/>
        </w:rPr>
        <w:t xml:space="preserve">   </w:t>
      </w:r>
      <w:r>
        <w:rPr>
          <w:rFonts w:hint="eastAsia" w:hAnsi="宋体" w:cs="宋体"/>
          <w:color w:val="auto"/>
          <w:highlight w:val="none"/>
        </w:rPr>
        <w:t>仲裁委员会按照该会仲裁规则进行仲裁，仲裁裁决是终局的，对合同双方均有约束力。</w:t>
      </w:r>
    </w:p>
    <w:p w14:paraId="2B57FC12">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）向</w:t>
      </w:r>
      <w:r>
        <w:rPr>
          <w:color w:val="auto"/>
          <w:highlight w:val="none"/>
          <w:u w:val="single"/>
        </w:rPr>
        <w:t xml:space="preserve">    </w:t>
      </w:r>
      <w:r>
        <w:rPr>
          <w:rFonts w:hint="eastAsia"/>
          <w:color w:val="auto"/>
          <w:highlight w:val="none"/>
          <w:u w:val="single"/>
          <w:lang w:val="en-US" w:eastAsia="zh-CN"/>
        </w:rPr>
        <w:t>陆川县</w:t>
      </w:r>
      <w:r>
        <w:rPr>
          <w:color w:val="auto"/>
          <w:highlight w:val="none"/>
          <w:u w:val="single"/>
        </w:rPr>
        <w:t xml:space="preserve">   </w:t>
      </w:r>
      <w:r>
        <w:rPr>
          <w:rFonts w:hint="eastAsia" w:hAnsi="宋体" w:cs="宋体"/>
          <w:color w:val="auto"/>
          <w:highlight w:val="none"/>
        </w:rPr>
        <w:t>人民法院起诉。</w:t>
      </w:r>
      <w:bookmarkEnd w:id="1029"/>
      <w:bookmarkEnd w:id="1030"/>
      <w:bookmarkEnd w:id="1031"/>
      <w:bookmarkEnd w:id="1032"/>
      <w:bookmarkEnd w:id="1033"/>
      <w:bookmarkEnd w:id="1034"/>
    </w:p>
    <w:p w14:paraId="118685A0">
      <w:pPr>
        <w:spacing w:line="360" w:lineRule="auto"/>
        <w:ind w:firstLine="480" w:firstLineChars="200"/>
        <w:jc w:val="left"/>
        <w:rPr>
          <w:rFonts w:hint="eastAsia" w:ascii="仿宋_GB2312" w:hAnsi="仿宋_GB2312" w:eastAsia="仿宋_GB2312" w:cs="仿宋_GB2312"/>
          <w:color w:val="auto"/>
          <w:sz w:val="24"/>
          <w:highlight w:val="none"/>
        </w:rPr>
      </w:pPr>
    </w:p>
    <w:p w14:paraId="05D8134C">
      <w:pPr>
        <w:spacing w:line="360" w:lineRule="auto"/>
        <w:jc w:val="left"/>
        <w:rPr>
          <w:rFonts w:eastAsia="黑体"/>
          <w:b/>
          <w:color w:val="auto"/>
          <w:sz w:val="24"/>
          <w:highlight w:val="none"/>
        </w:rPr>
      </w:pPr>
      <w:r>
        <w:rPr>
          <w:rFonts w:eastAsia="仿宋_GB2312"/>
          <w:color w:val="auto"/>
          <w:sz w:val="24"/>
          <w:highlight w:val="none"/>
        </w:rPr>
        <w:br w:type="page"/>
      </w:r>
      <w:bookmarkStart w:id="1120" w:name="_Toc351203652"/>
      <w:r>
        <w:rPr>
          <w:rFonts w:eastAsia="黑体"/>
          <w:b/>
          <w:color w:val="auto"/>
          <w:sz w:val="24"/>
          <w:highlight w:val="none"/>
        </w:rPr>
        <w:t>附件</w:t>
      </w:r>
      <w:bookmarkEnd w:id="1120"/>
    </w:p>
    <w:p w14:paraId="2E46B9AF">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协议书附件：</w:t>
      </w:r>
    </w:p>
    <w:p w14:paraId="7FE2C615">
      <w:pPr>
        <w:spacing w:line="360" w:lineRule="auto"/>
        <w:jc w:val="left"/>
        <w:outlineLvl w:val="0"/>
        <w:rPr>
          <w:rFonts w:hint="eastAsia" w:ascii="宋体" w:hAnsi="宋体" w:eastAsia="宋体" w:cs="宋体"/>
          <w:color w:val="auto"/>
          <w:sz w:val="21"/>
          <w:szCs w:val="21"/>
          <w:highlight w:val="none"/>
        </w:rPr>
      </w:pPr>
      <w:bookmarkStart w:id="1121" w:name="_Toc13053"/>
      <w:bookmarkStart w:id="1122" w:name="_Toc2234"/>
      <w:bookmarkStart w:id="1123" w:name="_Toc14634"/>
      <w:r>
        <w:rPr>
          <w:rFonts w:hint="eastAsia" w:ascii="宋体" w:hAnsi="宋体" w:eastAsia="宋体" w:cs="宋体"/>
          <w:color w:val="auto"/>
          <w:sz w:val="21"/>
          <w:szCs w:val="21"/>
          <w:highlight w:val="none"/>
        </w:rPr>
        <w:t>附件1：承包人承揽工程项目一览表</w:t>
      </w:r>
      <w:bookmarkEnd w:id="1121"/>
      <w:bookmarkEnd w:id="1122"/>
      <w:bookmarkEnd w:id="1123"/>
    </w:p>
    <w:p w14:paraId="0F007E0F">
      <w:pPr>
        <w:spacing w:line="360" w:lineRule="auto"/>
        <w:jc w:val="left"/>
        <w:outlineLvl w:val="0"/>
        <w:rPr>
          <w:rFonts w:hint="eastAsia" w:ascii="宋体" w:hAnsi="宋体" w:eastAsia="宋体" w:cs="宋体"/>
          <w:color w:val="auto"/>
          <w:sz w:val="21"/>
          <w:szCs w:val="21"/>
          <w:highlight w:val="none"/>
        </w:rPr>
      </w:pPr>
      <w:bookmarkStart w:id="1124" w:name="_Toc28194"/>
      <w:bookmarkStart w:id="1125" w:name="_Toc25420"/>
      <w:bookmarkStart w:id="1126" w:name="_Toc31659"/>
      <w:r>
        <w:rPr>
          <w:rFonts w:hint="eastAsia" w:ascii="宋体" w:hAnsi="宋体" w:eastAsia="宋体" w:cs="宋体"/>
          <w:color w:val="auto"/>
          <w:sz w:val="21"/>
          <w:szCs w:val="21"/>
          <w:highlight w:val="none"/>
        </w:rPr>
        <w:t>附件2：工程质量保修书</w:t>
      </w:r>
      <w:bookmarkEnd w:id="1124"/>
      <w:bookmarkEnd w:id="1125"/>
      <w:bookmarkEnd w:id="1126"/>
    </w:p>
    <w:p w14:paraId="10494DD9">
      <w:pPr>
        <w:spacing w:line="360" w:lineRule="auto"/>
        <w:jc w:val="left"/>
        <w:outlineLvl w:val="0"/>
        <w:rPr>
          <w:rFonts w:hint="eastAsia" w:ascii="宋体" w:hAnsi="宋体" w:eastAsia="宋体" w:cs="宋体"/>
          <w:color w:val="auto"/>
          <w:sz w:val="21"/>
          <w:szCs w:val="21"/>
          <w:highlight w:val="none"/>
        </w:rPr>
      </w:pPr>
      <w:bookmarkStart w:id="1127" w:name="_Toc21670"/>
      <w:bookmarkStart w:id="1128" w:name="_Toc22089"/>
      <w:bookmarkStart w:id="1129" w:name="_Toc598"/>
      <w:r>
        <w:rPr>
          <w:rFonts w:hint="eastAsia" w:ascii="宋体" w:hAnsi="宋体" w:eastAsia="宋体" w:cs="宋体"/>
          <w:color w:val="auto"/>
          <w:sz w:val="21"/>
          <w:szCs w:val="21"/>
          <w:highlight w:val="none"/>
        </w:rPr>
        <w:t>附件3：主要建设工程文件目录</w:t>
      </w:r>
      <w:bookmarkEnd w:id="1127"/>
      <w:bookmarkEnd w:id="1128"/>
      <w:bookmarkEnd w:id="1129"/>
    </w:p>
    <w:p w14:paraId="75FCFC1C">
      <w:pPr>
        <w:spacing w:line="360" w:lineRule="auto"/>
        <w:jc w:val="left"/>
        <w:outlineLvl w:val="0"/>
        <w:rPr>
          <w:rFonts w:hint="eastAsia" w:ascii="宋体" w:hAnsi="宋体" w:eastAsia="宋体" w:cs="宋体"/>
          <w:color w:val="auto"/>
          <w:sz w:val="21"/>
          <w:szCs w:val="21"/>
          <w:highlight w:val="none"/>
        </w:rPr>
      </w:pPr>
      <w:bookmarkStart w:id="1130" w:name="_Toc21252"/>
      <w:bookmarkStart w:id="1131" w:name="_Toc18392"/>
      <w:bookmarkStart w:id="1132" w:name="_Toc19261"/>
      <w:r>
        <w:rPr>
          <w:rFonts w:hint="eastAsia" w:ascii="宋体" w:hAnsi="宋体" w:eastAsia="宋体" w:cs="宋体"/>
          <w:color w:val="auto"/>
          <w:sz w:val="21"/>
          <w:szCs w:val="21"/>
          <w:highlight w:val="none"/>
        </w:rPr>
        <w:t>附件4：承包人用于本工程施工的机械设备表</w:t>
      </w:r>
      <w:bookmarkEnd w:id="1130"/>
      <w:bookmarkEnd w:id="1131"/>
      <w:bookmarkEnd w:id="1132"/>
    </w:p>
    <w:p w14:paraId="6234D391">
      <w:pPr>
        <w:spacing w:line="360" w:lineRule="auto"/>
        <w:jc w:val="left"/>
        <w:outlineLvl w:val="0"/>
        <w:rPr>
          <w:rFonts w:hint="eastAsia" w:ascii="宋体" w:hAnsi="宋体" w:eastAsia="宋体" w:cs="宋体"/>
          <w:color w:val="auto"/>
          <w:sz w:val="21"/>
          <w:szCs w:val="21"/>
          <w:highlight w:val="none"/>
        </w:rPr>
      </w:pPr>
      <w:bookmarkStart w:id="1133" w:name="_Toc23659"/>
      <w:bookmarkStart w:id="1134" w:name="_Toc31025"/>
      <w:bookmarkStart w:id="1135" w:name="_Toc24202"/>
      <w:r>
        <w:rPr>
          <w:rFonts w:hint="eastAsia" w:ascii="宋体" w:hAnsi="宋体" w:eastAsia="宋体" w:cs="宋体"/>
          <w:color w:val="auto"/>
          <w:sz w:val="21"/>
          <w:szCs w:val="21"/>
          <w:highlight w:val="none"/>
        </w:rPr>
        <w:t>附件5：承包人主要施工管理人员表</w:t>
      </w:r>
      <w:bookmarkEnd w:id="1133"/>
      <w:bookmarkEnd w:id="1134"/>
      <w:bookmarkEnd w:id="1135"/>
    </w:p>
    <w:p w14:paraId="37AB1E5C">
      <w:pPr>
        <w:spacing w:line="360" w:lineRule="auto"/>
        <w:jc w:val="left"/>
        <w:rPr>
          <w:rFonts w:eastAsia="仿宋_GB2312"/>
          <w:color w:val="auto"/>
          <w:sz w:val="24"/>
          <w:highlight w:val="none"/>
        </w:rPr>
      </w:pPr>
    </w:p>
    <w:p w14:paraId="29F66E63">
      <w:pPr>
        <w:spacing w:line="360" w:lineRule="auto"/>
        <w:jc w:val="left"/>
        <w:rPr>
          <w:rFonts w:eastAsia="仿宋_GB2312"/>
          <w:color w:val="auto"/>
          <w:sz w:val="30"/>
          <w:szCs w:val="32"/>
          <w:highlight w:val="none"/>
        </w:rPr>
      </w:pPr>
    </w:p>
    <w:p w14:paraId="705C38A6">
      <w:pPr>
        <w:spacing w:line="360" w:lineRule="auto"/>
        <w:jc w:val="left"/>
        <w:rPr>
          <w:rFonts w:eastAsia="仿宋_GB2312"/>
          <w:color w:val="auto"/>
          <w:sz w:val="30"/>
          <w:szCs w:val="32"/>
          <w:highlight w:val="none"/>
        </w:rPr>
      </w:pPr>
    </w:p>
    <w:p w14:paraId="57F06C98">
      <w:pPr>
        <w:spacing w:line="360" w:lineRule="auto"/>
        <w:jc w:val="left"/>
        <w:rPr>
          <w:rFonts w:eastAsia="仿宋_GB2312"/>
          <w:color w:val="auto"/>
          <w:sz w:val="30"/>
          <w:szCs w:val="32"/>
          <w:highlight w:val="none"/>
        </w:rPr>
      </w:pPr>
    </w:p>
    <w:p w14:paraId="79C78D31">
      <w:pPr>
        <w:spacing w:line="360" w:lineRule="auto"/>
        <w:jc w:val="left"/>
        <w:rPr>
          <w:rFonts w:eastAsia="黑体"/>
          <w:color w:val="auto"/>
          <w:sz w:val="30"/>
          <w:szCs w:val="30"/>
          <w:highlight w:val="none"/>
        </w:rPr>
        <w:sectPr>
          <w:footerReference r:id="rId13" w:type="first"/>
          <w:footerReference r:id="rId12" w:type="default"/>
          <w:pgSz w:w="11906" w:h="16838"/>
          <w:pgMar w:top="1134" w:right="1134" w:bottom="1134" w:left="1134" w:header="720" w:footer="992" w:gutter="0"/>
          <w:pgNumType w:fmt="decimal"/>
          <w:cols w:space="720" w:num="1"/>
          <w:titlePg/>
          <w:docGrid w:type="lines" w:linePitch="312" w:charSpace="0"/>
        </w:sectPr>
      </w:pPr>
    </w:p>
    <w:p w14:paraId="6082979D">
      <w:pPr>
        <w:spacing w:before="156" w:beforeLines="50" w:after="156" w:afterLines="50" w:line="440" w:lineRule="exact"/>
        <w:jc w:val="left"/>
        <w:outlineLvl w:val="0"/>
        <w:rPr>
          <w:rFonts w:hint="eastAsia" w:ascii="仿宋_GB2312" w:eastAsia="仿宋_GB2312"/>
          <w:color w:val="auto"/>
          <w:sz w:val="30"/>
          <w:szCs w:val="30"/>
          <w:highlight w:val="none"/>
        </w:rPr>
      </w:pPr>
      <w:bookmarkStart w:id="1136" w:name="_Toc4855"/>
      <w:bookmarkStart w:id="1137" w:name="_Toc7540"/>
      <w:bookmarkStart w:id="1138" w:name="_Toc25163"/>
      <w:r>
        <w:rPr>
          <w:rFonts w:hint="eastAsia" w:ascii="仿宋_GB2312" w:eastAsia="仿宋_GB2312"/>
          <w:color w:val="auto"/>
          <w:sz w:val="30"/>
          <w:szCs w:val="30"/>
          <w:highlight w:val="none"/>
        </w:rPr>
        <w:t>附件1：</w:t>
      </w:r>
      <w:bookmarkEnd w:id="1136"/>
      <w:bookmarkEnd w:id="1137"/>
      <w:bookmarkEnd w:id="1138"/>
    </w:p>
    <w:p w14:paraId="30DDCD62">
      <w:pPr>
        <w:spacing w:before="156" w:beforeLines="50" w:after="156" w:afterLines="50" w:line="440" w:lineRule="exact"/>
        <w:jc w:val="center"/>
        <w:rPr>
          <w:rFonts w:hint="eastAsia" w:eastAsia="黑体"/>
          <w:color w:val="auto"/>
          <w:sz w:val="30"/>
          <w:szCs w:val="30"/>
          <w:highlight w:val="none"/>
        </w:rPr>
      </w:pPr>
      <w:r>
        <w:rPr>
          <w:rFonts w:eastAsia="黑体"/>
          <w:color w:val="auto"/>
          <w:sz w:val="30"/>
          <w:szCs w:val="30"/>
          <w:highlight w:val="none"/>
        </w:rPr>
        <w:t>承包人承揽工程项目一览表</w:t>
      </w:r>
    </w:p>
    <w:tbl>
      <w:tblPr>
        <w:tblStyle w:val="2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6D95F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461B2C5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单位工程名称</w:t>
            </w:r>
          </w:p>
        </w:tc>
        <w:tc>
          <w:tcPr>
            <w:tcW w:w="1843" w:type="dxa"/>
            <w:tcBorders>
              <w:top w:val="single" w:color="auto" w:sz="12" w:space="0"/>
              <w:bottom w:val="double" w:color="auto" w:sz="6" w:space="0"/>
            </w:tcBorders>
            <w:noWrap w:val="0"/>
            <w:vAlign w:val="center"/>
          </w:tcPr>
          <w:p w14:paraId="58C69B2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建设规模</w:t>
            </w:r>
          </w:p>
        </w:tc>
        <w:tc>
          <w:tcPr>
            <w:tcW w:w="1417" w:type="dxa"/>
            <w:tcBorders>
              <w:top w:val="single" w:color="auto" w:sz="12" w:space="0"/>
              <w:bottom w:val="double" w:color="auto" w:sz="6" w:space="0"/>
            </w:tcBorders>
            <w:noWrap w:val="0"/>
            <w:vAlign w:val="center"/>
          </w:tcPr>
          <w:p w14:paraId="2AF46AD7">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建筑面积</w:t>
            </w:r>
            <w:r>
              <w:rPr>
                <w:rFonts w:hint="eastAsia" w:eastAsia="仿宋_GB2312"/>
                <w:color w:val="auto"/>
                <w:sz w:val="28"/>
                <w:szCs w:val="30"/>
                <w:highlight w:val="none"/>
                <w:lang w:eastAsia="zh-CN"/>
              </w:rPr>
              <w:t>（</w:t>
            </w:r>
            <w:r>
              <w:rPr>
                <w:rFonts w:eastAsia="仿宋_GB2312"/>
                <w:color w:val="auto"/>
                <w:sz w:val="28"/>
                <w:szCs w:val="30"/>
                <w:highlight w:val="none"/>
              </w:rPr>
              <w:t>平方米</w:t>
            </w:r>
            <w:r>
              <w:rPr>
                <w:rFonts w:hint="eastAsia" w:eastAsia="仿宋_GB2312"/>
                <w:color w:val="auto"/>
                <w:sz w:val="28"/>
                <w:szCs w:val="30"/>
                <w:highlight w:val="none"/>
                <w:lang w:eastAsia="zh-CN"/>
              </w:rPr>
              <w:t>）</w:t>
            </w:r>
          </w:p>
        </w:tc>
        <w:tc>
          <w:tcPr>
            <w:tcW w:w="2410" w:type="dxa"/>
            <w:tcBorders>
              <w:top w:val="single" w:color="auto" w:sz="12" w:space="0"/>
              <w:bottom w:val="double" w:color="auto" w:sz="6" w:space="0"/>
            </w:tcBorders>
            <w:noWrap w:val="0"/>
            <w:vAlign w:val="center"/>
          </w:tcPr>
          <w:p w14:paraId="210E57A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结构</w:t>
            </w:r>
            <w:r>
              <w:rPr>
                <w:rFonts w:hint="eastAsia" w:eastAsia="仿宋_GB2312"/>
                <w:color w:val="auto"/>
                <w:sz w:val="28"/>
                <w:szCs w:val="30"/>
                <w:highlight w:val="none"/>
              </w:rPr>
              <w:t>形式</w:t>
            </w:r>
          </w:p>
        </w:tc>
        <w:tc>
          <w:tcPr>
            <w:tcW w:w="850" w:type="dxa"/>
            <w:tcBorders>
              <w:top w:val="single" w:color="auto" w:sz="12" w:space="0"/>
              <w:bottom w:val="double" w:color="auto" w:sz="6" w:space="0"/>
            </w:tcBorders>
            <w:noWrap w:val="0"/>
            <w:vAlign w:val="center"/>
          </w:tcPr>
          <w:p w14:paraId="2E622F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层数</w:t>
            </w:r>
          </w:p>
        </w:tc>
        <w:tc>
          <w:tcPr>
            <w:tcW w:w="1560" w:type="dxa"/>
            <w:tcBorders>
              <w:top w:val="single" w:color="auto" w:sz="12" w:space="0"/>
              <w:bottom w:val="double" w:color="auto" w:sz="6" w:space="0"/>
            </w:tcBorders>
            <w:noWrap w:val="0"/>
            <w:vAlign w:val="center"/>
          </w:tcPr>
          <w:p w14:paraId="40480058">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2126" w:type="dxa"/>
            <w:tcBorders>
              <w:top w:val="single" w:color="auto" w:sz="12" w:space="0"/>
              <w:bottom w:val="double" w:color="auto" w:sz="6" w:space="0"/>
            </w:tcBorders>
            <w:noWrap w:val="0"/>
            <w:vAlign w:val="center"/>
          </w:tcPr>
          <w:p w14:paraId="2A900C7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设备安装内容</w:t>
            </w:r>
          </w:p>
        </w:tc>
        <w:tc>
          <w:tcPr>
            <w:tcW w:w="1417" w:type="dxa"/>
            <w:tcBorders>
              <w:top w:val="single" w:color="auto" w:sz="12" w:space="0"/>
              <w:bottom w:val="double" w:color="auto" w:sz="6" w:space="0"/>
            </w:tcBorders>
            <w:noWrap w:val="0"/>
            <w:vAlign w:val="center"/>
          </w:tcPr>
          <w:p w14:paraId="6ADA245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合同价格（元）</w:t>
            </w:r>
          </w:p>
        </w:tc>
        <w:tc>
          <w:tcPr>
            <w:tcW w:w="851" w:type="dxa"/>
            <w:tcBorders>
              <w:top w:val="single" w:color="auto" w:sz="12" w:space="0"/>
              <w:bottom w:val="double" w:color="auto" w:sz="6" w:space="0"/>
            </w:tcBorders>
            <w:noWrap w:val="0"/>
            <w:vAlign w:val="center"/>
          </w:tcPr>
          <w:p w14:paraId="469AB830">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开工日期</w:t>
            </w:r>
          </w:p>
        </w:tc>
        <w:tc>
          <w:tcPr>
            <w:tcW w:w="850" w:type="dxa"/>
            <w:tcBorders>
              <w:top w:val="single" w:color="auto" w:sz="12" w:space="0"/>
              <w:bottom w:val="double" w:color="auto" w:sz="6" w:space="0"/>
            </w:tcBorders>
            <w:noWrap w:val="0"/>
            <w:vAlign w:val="center"/>
          </w:tcPr>
          <w:p w14:paraId="3DFB63F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竣工日期</w:t>
            </w:r>
          </w:p>
        </w:tc>
      </w:tr>
      <w:tr w14:paraId="15B6B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01A73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double" w:color="auto" w:sz="6" w:space="0"/>
              <w:bottom w:val="single" w:color="auto" w:sz="6" w:space="0"/>
            </w:tcBorders>
            <w:noWrap w:val="0"/>
            <w:vAlign w:val="center"/>
          </w:tcPr>
          <w:p w14:paraId="78935A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double" w:color="auto" w:sz="6" w:space="0"/>
              <w:bottom w:val="single" w:color="auto" w:sz="6" w:space="0"/>
            </w:tcBorders>
            <w:noWrap w:val="0"/>
            <w:vAlign w:val="center"/>
          </w:tcPr>
          <w:p w14:paraId="313FD5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double" w:color="auto" w:sz="6" w:space="0"/>
              <w:bottom w:val="single" w:color="auto" w:sz="6" w:space="0"/>
            </w:tcBorders>
            <w:noWrap w:val="0"/>
            <w:vAlign w:val="center"/>
          </w:tcPr>
          <w:p w14:paraId="265AC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059D16A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double" w:color="auto" w:sz="6" w:space="0"/>
              <w:bottom w:val="single" w:color="auto" w:sz="6" w:space="0"/>
            </w:tcBorders>
            <w:noWrap w:val="0"/>
            <w:vAlign w:val="center"/>
          </w:tcPr>
          <w:p w14:paraId="2A88D4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double" w:color="auto" w:sz="6" w:space="0"/>
              <w:bottom w:val="single" w:color="auto" w:sz="6" w:space="0"/>
            </w:tcBorders>
            <w:noWrap w:val="0"/>
            <w:vAlign w:val="center"/>
          </w:tcPr>
          <w:p w14:paraId="7452BA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double" w:color="auto" w:sz="6" w:space="0"/>
              <w:bottom w:val="single" w:color="auto" w:sz="6" w:space="0"/>
            </w:tcBorders>
            <w:noWrap w:val="0"/>
            <w:vAlign w:val="center"/>
          </w:tcPr>
          <w:p w14:paraId="59A2E7E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double" w:color="auto" w:sz="6" w:space="0"/>
              <w:bottom w:val="single" w:color="auto" w:sz="6" w:space="0"/>
            </w:tcBorders>
            <w:noWrap w:val="0"/>
            <w:vAlign w:val="center"/>
          </w:tcPr>
          <w:p w14:paraId="06C5C7C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7B2C3F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733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643C3F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364A48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6CB66B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71AC2A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5151FD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3B7F4A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0EE1C12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F58B0B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408138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110075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9D44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B1787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367953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4EDC7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34037B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6E301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00A820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693A66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65F55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5A075B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1373D36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8E7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58B5E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739244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1E6FE6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0F8563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69F56EF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4B7D27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37D3190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1CE1A8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647606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5EC1A1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0B6F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1E7094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7F7884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BCFC5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26FF54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56C72A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4CE0EE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4BF4B7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14FFB6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134F2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75A8AE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1A39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F9643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1E7790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649D3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6D490B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31804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1AE0498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195D85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55D784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6320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0FEC1BD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828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0430F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123436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333F1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7DC711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020584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1AE45E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00DF45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685A1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2AFA78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49B77E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A1D0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1EC16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57E6BC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4E8B20F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43B44B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7EBC89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6F6675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3B1311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00B3E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04B6A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4600B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7418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82D08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3E91B2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7496D1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399E56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0AC1A4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049A87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7E70360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3993F3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5181CE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279C5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E450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7751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1127A6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46C95A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4F6018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2EB9A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49ACB6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6E0D19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FE4452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50162D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61853C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71A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7FFA1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35379F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6D3A7A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2571AB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738CE6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5ED751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195D35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5CB14A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310082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DE6DC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5B3B03D4">
      <w:pPr>
        <w:spacing w:line="440" w:lineRule="exact"/>
        <w:rPr>
          <w:rFonts w:eastAsia="仿宋_GB2312"/>
          <w:b/>
          <w:color w:val="auto"/>
          <w:sz w:val="30"/>
          <w:szCs w:val="30"/>
          <w:highlight w:val="none"/>
        </w:rPr>
        <w:sectPr>
          <w:pgSz w:w="16838" w:h="11906" w:orient="landscape"/>
          <w:pgMar w:top="1554" w:right="1418" w:bottom="1531" w:left="1418" w:header="851" w:footer="992" w:gutter="0"/>
          <w:pgNumType w:fmt="decimal"/>
          <w:cols w:space="720" w:num="1"/>
          <w:titlePg/>
          <w:docGrid w:type="linesAndChars" w:linePitch="312" w:charSpace="0"/>
        </w:sectPr>
      </w:pPr>
    </w:p>
    <w:p w14:paraId="22C98A60">
      <w:pPr>
        <w:spacing w:line="440" w:lineRule="exact"/>
        <w:outlineLvl w:val="0"/>
        <w:rPr>
          <w:rFonts w:hint="eastAsia" w:ascii="宋体" w:hAnsi="宋体" w:eastAsia="宋体" w:cs="宋体"/>
          <w:color w:val="auto"/>
          <w:sz w:val="21"/>
          <w:szCs w:val="21"/>
          <w:highlight w:val="none"/>
        </w:rPr>
      </w:pPr>
      <w:bookmarkStart w:id="1139" w:name="_Toc5569"/>
      <w:bookmarkStart w:id="1140" w:name="_Toc28302"/>
      <w:bookmarkStart w:id="1141" w:name="_Toc16803"/>
      <w:r>
        <w:rPr>
          <w:rFonts w:hint="eastAsia" w:ascii="宋体" w:hAnsi="宋体" w:eastAsia="宋体" w:cs="宋体"/>
          <w:color w:val="auto"/>
          <w:sz w:val="21"/>
          <w:szCs w:val="21"/>
          <w:highlight w:val="none"/>
        </w:rPr>
        <w:t>附</w:t>
      </w:r>
      <w:bookmarkStart w:id="1142" w:name="_Toc296891266"/>
      <w:bookmarkStart w:id="1143" w:name="_Toc296347225"/>
      <w:bookmarkStart w:id="1144" w:name="_Toc267261693"/>
      <w:bookmarkStart w:id="1145" w:name="_Toc296891054"/>
      <w:bookmarkStart w:id="1146" w:name="_Toc296944565"/>
      <w:bookmarkStart w:id="1147" w:name="_Toc296346727"/>
      <w:bookmarkStart w:id="1148" w:name="_Toc296503226"/>
      <w:r>
        <w:rPr>
          <w:rFonts w:hint="eastAsia" w:ascii="宋体" w:hAnsi="宋体" w:eastAsia="宋体" w:cs="宋体"/>
          <w:color w:val="auto"/>
          <w:sz w:val="21"/>
          <w:szCs w:val="21"/>
          <w:highlight w:val="none"/>
        </w:rPr>
        <w:t>件2：</w:t>
      </w:r>
      <w:bookmarkEnd w:id="1139"/>
      <w:bookmarkEnd w:id="1140"/>
      <w:bookmarkEnd w:id="1141"/>
      <w:bookmarkEnd w:id="1142"/>
      <w:bookmarkEnd w:id="1143"/>
      <w:bookmarkEnd w:id="1144"/>
      <w:bookmarkEnd w:id="1145"/>
      <w:bookmarkEnd w:id="1146"/>
      <w:bookmarkEnd w:id="1147"/>
      <w:bookmarkEnd w:id="1148"/>
      <w:r>
        <w:rPr>
          <w:rFonts w:hint="eastAsia" w:ascii="宋体" w:hAnsi="宋体" w:eastAsia="宋体" w:cs="宋体"/>
          <w:color w:val="auto"/>
          <w:sz w:val="21"/>
          <w:szCs w:val="21"/>
          <w:highlight w:val="none"/>
        </w:rPr>
        <w:t xml:space="preserve">    </w:t>
      </w:r>
    </w:p>
    <w:p w14:paraId="5A19955A">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工程质量保修书（房屋建筑工程）</w:t>
      </w:r>
    </w:p>
    <w:p w14:paraId="0A0EF4B3">
      <w:pPr>
        <w:spacing w:line="440" w:lineRule="exact"/>
        <w:ind w:firstLine="420" w:firstLineChars="200"/>
        <w:rPr>
          <w:color w:val="auto"/>
          <w:highlight w:val="none"/>
        </w:rPr>
      </w:pPr>
      <w:r>
        <w:rPr>
          <w:rFonts w:hint="eastAsia" w:hAnsi="宋体" w:cs="宋体"/>
          <w:color w:val="auto"/>
          <w:highlight w:val="none"/>
        </w:rPr>
        <w:t>发包人（全称）：</w:t>
      </w:r>
      <w:r>
        <w:rPr>
          <w:color w:val="auto"/>
          <w:highlight w:val="none"/>
          <w:u w:val="single"/>
        </w:rPr>
        <w:t xml:space="preserve">                                </w:t>
      </w:r>
      <w:r>
        <w:rPr>
          <w:color w:val="auto"/>
          <w:highlight w:val="none"/>
        </w:rPr>
        <w:t xml:space="preserve"> </w:t>
      </w:r>
    </w:p>
    <w:p w14:paraId="3D4905CE">
      <w:pPr>
        <w:spacing w:line="440" w:lineRule="exact"/>
        <w:ind w:firstLine="420" w:firstLineChars="200"/>
        <w:rPr>
          <w:color w:val="auto"/>
          <w:highlight w:val="none"/>
        </w:rPr>
      </w:pPr>
      <w:r>
        <w:rPr>
          <w:rFonts w:hint="eastAsia" w:hAnsi="宋体" w:cs="宋体"/>
          <w:color w:val="auto"/>
          <w:highlight w:val="none"/>
        </w:rPr>
        <w:t>承包人（全称）：</w:t>
      </w:r>
      <w:r>
        <w:rPr>
          <w:color w:val="auto"/>
          <w:highlight w:val="none"/>
          <w:u w:val="single"/>
        </w:rPr>
        <w:t xml:space="preserve">                                </w:t>
      </w:r>
      <w:r>
        <w:rPr>
          <w:color w:val="auto"/>
          <w:highlight w:val="none"/>
        </w:rPr>
        <w:t xml:space="preserve"> </w:t>
      </w:r>
    </w:p>
    <w:p w14:paraId="2E2DF9D5">
      <w:pPr>
        <w:spacing w:line="440" w:lineRule="exact"/>
        <w:rPr>
          <w:color w:val="auto"/>
          <w:highlight w:val="none"/>
        </w:rPr>
      </w:pPr>
    </w:p>
    <w:p w14:paraId="46A4B6B7">
      <w:pPr>
        <w:spacing w:line="360" w:lineRule="auto"/>
        <w:ind w:firstLine="420" w:firstLineChars="200"/>
        <w:rPr>
          <w:rFonts w:hAnsi="宋体"/>
          <w:color w:val="auto"/>
          <w:highlight w:val="none"/>
        </w:rPr>
      </w:pPr>
      <w:r>
        <w:rPr>
          <w:rFonts w:hint="eastAsia" w:hAnsi="宋体" w:cs="宋体"/>
          <w:color w:val="auto"/>
          <w:highlight w:val="none"/>
        </w:rPr>
        <w:t>发包人和承包人根据《中华人民共和国建筑法》和《建设工程质量管理条例》，经协商一致就</w:t>
      </w:r>
      <w:r>
        <w:rPr>
          <w:color w:val="auto"/>
          <w:highlight w:val="none"/>
          <w:u w:val="single"/>
        </w:rPr>
        <w:t xml:space="preserve">                                   </w:t>
      </w:r>
      <w:r>
        <w:rPr>
          <w:rFonts w:hint="eastAsia" w:hAnsi="宋体" w:cs="宋体"/>
          <w:color w:val="auto"/>
          <w:highlight w:val="none"/>
        </w:rPr>
        <w:t>（工程全称）签订工程质量保修书。</w:t>
      </w:r>
    </w:p>
    <w:p w14:paraId="1E0BEB41">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5094A8DA">
      <w:pPr>
        <w:spacing w:line="360" w:lineRule="auto"/>
        <w:ind w:firstLine="420" w:firstLineChars="200"/>
        <w:rPr>
          <w:color w:val="auto"/>
          <w:highlight w:val="none"/>
        </w:rPr>
      </w:pPr>
      <w:r>
        <w:rPr>
          <w:rFonts w:hint="eastAsia" w:hAnsi="宋体" w:cs="宋体"/>
          <w:color w:val="auto"/>
          <w:highlight w:val="none"/>
        </w:rPr>
        <w:t>承包人在质量保修期内，按照有关法律规定和合同约定，承担工程质量保修责任。</w:t>
      </w:r>
    </w:p>
    <w:p w14:paraId="31CE7CC7">
      <w:pPr>
        <w:spacing w:line="360" w:lineRule="auto"/>
        <w:ind w:firstLine="420"/>
        <w:rPr>
          <w:rFonts w:hAnsi="宋体"/>
          <w:color w:val="auto"/>
          <w:highlight w:val="none"/>
        </w:rPr>
      </w:pPr>
      <w:r>
        <w:rPr>
          <w:rFonts w:hint="eastAsia" w:hAnsi="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E7F921C">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372E1225">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二、质量保修期</w:t>
      </w:r>
    </w:p>
    <w:p w14:paraId="01FC0E9A">
      <w:pPr>
        <w:spacing w:line="360" w:lineRule="auto"/>
        <w:ind w:firstLine="420"/>
        <w:rPr>
          <w:rFonts w:hAnsi="宋体"/>
          <w:color w:val="auto"/>
          <w:highlight w:val="none"/>
        </w:rPr>
      </w:pPr>
      <w:r>
        <w:rPr>
          <w:rFonts w:hint="eastAsia" w:hAnsi="宋体" w:cs="宋体"/>
          <w:color w:val="auto"/>
          <w:highlight w:val="none"/>
        </w:rPr>
        <w:t>根据《建设工程质量管理条例》及有关规定，工程的质量保修期如下：</w:t>
      </w:r>
    </w:p>
    <w:p w14:paraId="6036BCDF">
      <w:pPr>
        <w:spacing w:line="360" w:lineRule="auto"/>
        <w:ind w:firstLine="420"/>
        <w:rPr>
          <w:rFonts w:hAnsi="宋体"/>
          <w:color w:val="auto"/>
          <w:highlight w:val="none"/>
        </w:rPr>
      </w:pPr>
      <w:r>
        <w:rPr>
          <w:rFonts w:hint="eastAsia"/>
          <w:color w:val="auto"/>
          <w:highlight w:val="none"/>
          <w:lang w:eastAsia="zh-CN"/>
        </w:rPr>
        <w:t>1.</w:t>
      </w:r>
      <w:r>
        <w:rPr>
          <w:rFonts w:hint="eastAsia" w:hAnsi="宋体" w:cs="宋体"/>
          <w:color w:val="auto"/>
          <w:highlight w:val="none"/>
        </w:rPr>
        <w:t>地基基础工程和主体结构工程为设计文件规定的工程合理使用年限；</w:t>
      </w:r>
    </w:p>
    <w:p w14:paraId="16435710">
      <w:pPr>
        <w:spacing w:line="360" w:lineRule="auto"/>
        <w:ind w:firstLine="420"/>
        <w:rPr>
          <w:rFonts w:hAnsi="宋体"/>
          <w:color w:val="auto"/>
          <w:highlight w:val="none"/>
        </w:rPr>
      </w:pPr>
      <w:r>
        <w:rPr>
          <w:rFonts w:hint="eastAsia"/>
          <w:color w:val="auto"/>
          <w:highlight w:val="none"/>
          <w:lang w:eastAsia="zh-CN"/>
        </w:rPr>
        <w:t>2.</w:t>
      </w:r>
      <w:r>
        <w:rPr>
          <w:rFonts w:hint="eastAsia" w:hAnsi="宋体" w:cs="宋体"/>
          <w:color w:val="auto"/>
          <w:highlight w:val="none"/>
        </w:rPr>
        <w:t>屋面防水工程、有防水要求的卫生间、房间和外墙面的防渗为</w:t>
      </w:r>
      <w:r>
        <w:rPr>
          <w:color w:val="auto"/>
          <w:highlight w:val="none"/>
          <w:u w:val="single"/>
        </w:rPr>
        <w:t xml:space="preserve">        </w:t>
      </w:r>
      <w:r>
        <w:rPr>
          <w:rFonts w:hint="eastAsia" w:hAnsi="宋体" w:cs="宋体"/>
          <w:color w:val="auto"/>
          <w:highlight w:val="none"/>
        </w:rPr>
        <w:t>年；</w:t>
      </w:r>
    </w:p>
    <w:p w14:paraId="066C3573">
      <w:pPr>
        <w:spacing w:line="360" w:lineRule="auto"/>
        <w:ind w:firstLine="420"/>
        <w:rPr>
          <w:rFonts w:hAnsi="宋体"/>
          <w:color w:val="auto"/>
          <w:highlight w:val="none"/>
        </w:rPr>
      </w:pPr>
      <w:r>
        <w:rPr>
          <w:rFonts w:hint="eastAsia"/>
          <w:color w:val="auto"/>
          <w:highlight w:val="none"/>
          <w:lang w:eastAsia="zh-CN"/>
        </w:rPr>
        <w:t>3.</w:t>
      </w:r>
      <w:r>
        <w:rPr>
          <w:rFonts w:hint="eastAsia" w:hAnsi="宋体" w:cs="宋体"/>
          <w:color w:val="auto"/>
          <w:highlight w:val="none"/>
        </w:rPr>
        <w:t>装修工程为</w:t>
      </w:r>
      <w:r>
        <w:rPr>
          <w:color w:val="auto"/>
          <w:highlight w:val="none"/>
          <w:u w:val="single"/>
        </w:rPr>
        <w:t xml:space="preserve">         </w:t>
      </w:r>
      <w:r>
        <w:rPr>
          <w:rFonts w:hint="eastAsia" w:hAnsi="宋体" w:cs="宋体"/>
          <w:color w:val="auto"/>
          <w:highlight w:val="none"/>
        </w:rPr>
        <w:t>年；</w:t>
      </w:r>
    </w:p>
    <w:p w14:paraId="5133E576">
      <w:pPr>
        <w:spacing w:line="360" w:lineRule="auto"/>
        <w:ind w:firstLine="420"/>
        <w:rPr>
          <w:rFonts w:hAnsi="宋体"/>
          <w:color w:val="auto"/>
          <w:highlight w:val="none"/>
        </w:rPr>
      </w:pPr>
      <w:r>
        <w:rPr>
          <w:rFonts w:hint="eastAsia"/>
          <w:color w:val="auto"/>
          <w:highlight w:val="none"/>
          <w:lang w:eastAsia="zh-CN"/>
        </w:rPr>
        <w:t>4.</w:t>
      </w:r>
      <w:r>
        <w:rPr>
          <w:rFonts w:hint="eastAsia" w:hAnsi="宋体" w:cs="宋体"/>
          <w:color w:val="auto"/>
          <w:highlight w:val="none"/>
        </w:rPr>
        <w:t>电气管线、给排水管道、设备安装工程为</w:t>
      </w:r>
      <w:r>
        <w:rPr>
          <w:color w:val="auto"/>
          <w:highlight w:val="none"/>
          <w:u w:val="single"/>
        </w:rPr>
        <w:t xml:space="preserve">         </w:t>
      </w:r>
      <w:r>
        <w:rPr>
          <w:rFonts w:hint="eastAsia" w:hAnsi="宋体" w:cs="宋体"/>
          <w:color w:val="auto"/>
          <w:highlight w:val="none"/>
        </w:rPr>
        <w:t>年；</w:t>
      </w:r>
    </w:p>
    <w:p w14:paraId="18CBF3C3">
      <w:pPr>
        <w:spacing w:line="360" w:lineRule="auto"/>
        <w:ind w:firstLine="420"/>
        <w:rPr>
          <w:rFonts w:hAnsi="宋体"/>
          <w:color w:val="auto"/>
          <w:highlight w:val="none"/>
        </w:rPr>
      </w:pPr>
      <w:r>
        <w:rPr>
          <w:rFonts w:hint="eastAsia"/>
          <w:color w:val="auto"/>
          <w:highlight w:val="none"/>
          <w:lang w:eastAsia="zh-CN"/>
        </w:rPr>
        <w:t>5.</w:t>
      </w:r>
      <w:r>
        <w:rPr>
          <w:rFonts w:hint="eastAsia" w:hAnsi="宋体" w:cs="宋体"/>
          <w:color w:val="auto"/>
          <w:highlight w:val="none"/>
        </w:rPr>
        <w:t>供热与供冷系统为</w:t>
      </w:r>
      <w:r>
        <w:rPr>
          <w:color w:val="auto"/>
          <w:highlight w:val="none"/>
          <w:u w:val="single"/>
        </w:rPr>
        <w:t xml:space="preserve">         </w:t>
      </w:r>
      <w:r>
        <w:rPr>
          <w:rFonts w:hint="eastAsia" w:hAnsi="宋体" w:cs="宋体"/>
          <w:color w:val="auto"/>
          <w:highlight w:val="none"/>
        </w:rPr>
        <w:t>个采暖期、供冷期；</w:t>
      </w:r>
    </w:p>
    <w:p w14:paraId="0832A117">
      <w:pPr>
        <w:spacing w:line="360" w:lineRule="auto"/>
        <w:ind w:firstLine="420"/>
        <w:rPr>
          <w:rFonts w:hAnsi="宋体"/>
          <w:color w:val="auto"/>
          <w:highlight w:val="none"/>
        </w:rPr>
      </w:pPr>
      <w:r>
        <w:rPr>
          <w:rFonts w:hint="eastAsia"/>
          <w:color w:val="auto"/>
          <w:highlight w:val="none"/>
          <w:lang w:eastAsia="zh-CN"/>
        </w:rPr>
        <w:t>6.</w:t>
      </w:r>
      <w:r>
        <w:rPr>
          <w:rFonts w:hint="eastAsia" w:hAnsi="宋体" w:cs="宋体"/>
          <w:color w:val="auto"/>
          <w:highlight w:val="none"/>
        </w:rPr>
        <w:t>住宅小区内的给排水设施、道路等配套工程为</w:t>
      </w:r>
      <w:r>
        <w:rPr>
          <w:color w:val="auto"/>
          <w:highlight w:val="none"/>
          <w:u w:val="single"/>
        </w:rPr>
        <w:t xml:space="preserve">         </w:t>
      </w:r>
      <w:r>
        <w:rPr>
          <w:rFonts w:hint="eastAsia" w:hAnsi="宋体" w:cs="宋体"/>
          <w:color w:val="auto"/>
          <w:highlight w:val="none"/>
        </w:rPr>
        <w:t>年；</w:t>
      </w:r>
    </w:p>
    <w:p w14:paraId="65C6CBCC">
      <w:pPr>
        <w:spacing w:line="360" w:lineRule="auto"/>
        <w:ind w:firstLine="420"/>
        <w:rPr>
          <w:rFonts w:hAnsi="宋体"/>
          <w:color w:val="auto"/>
          <w:highlight w:val="none"/>
        </w:rPr>
      </w:pPr>
      <w:r>
        <w:rPr>
          <w:rFonts w:hint="eastAsia"/>
          <w:color w:val="auto"/>
          <w:highlight w:val="none"/>
          <w:lang w:eastAsia="zh-CN"/>
        </w:rPr>
        <w:t>7.</w:t>
      </w:r>
      <w:r>
        <w:rPr>
          <w:rFonts w:hint="eastAsia" w:hAnsi="宋体" w:cs="宋体"/>
          <w:color w:val="auto"/>
          <w:highlight w:val="none"/>
        </w:rPr>
        <w:t>其他项目保修期限约定如下：</w:t>
      </w:r>
    </w:p>
    <w:p w14:paraId="0BE4ED74">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519B90F8">
      <w:pPr>
        <w:spacing w:line="360" w:lineRule="auto"/>
        <w:ind w:firstLine="420"/>
        <w:rPr>
          <w:rFonts w:hAnsi="宋体"/>
          <w:color w:val="auto"/>
          <w:highlight w:val="none"/>
        </w:rPr>
      </w:pPr>
      <w:r>
        <w:rPr>
          <w:rFonts w:hint="eastAsia" w:hAnsi="宋体" w:cs="宋体"/>
          <w:color w:val="auto"/>
          <w:highlight w:val="none"/>
        </w:rPr>
        <w:t>质量保修期自工程竣工验收合格之日起计算。</w:t>
      </w:r>
    </w:p>
    <w:p w14:paraId="68AED3F2">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三、缺陷责任期</w:t>
      </w:r>
    </w:p>
    <w:p w14:paraId="27764607">
      <w:pPr>
        <w:spacing w:line="360" w:lineRule="auto"/>
        <w:ind w:firstLine="420"/>
        <w:rPr>
          <w:rFonts w:hAnsi="宋体"/>
          <w:color w:val="auto"/>
          <w:highlight w:val="none"/>
        </w:rPr>
      </w:pPr>
      <w:r>
        <w:rPr>
          <w:rFonts w:hint="eastAsia" w:hAnsi="宋体" w:cs="宋体"/>
          <w:color w:val="auto"/>
          <w:highlight w:val="none"/>
        </w:rPr>
        <w:t>工程缺陷责任期为</w:t>
      </w:r>
      <w:r>
        <w:rPr>
          <w:color w:val="auto"/>
          <w:highlight w:val="none"/>
          <w:u w:val="single"/>
        </w:rPr>
        <w:t xml:space="preserve">        </w:t>
      </w:r>
      <w:r>
        <w:rPr>
          <w:rFonts w:hint="eastAsia" w:hAnsi="宋体" w:cs="宋体"/>
          <w:color w:val="auto"/>
          <w:highlight w:val="none"/>
        </w:rPr>
        <w:t>个月（最长不超过</w:t>
      </w:r>
      <w:r>
        <w:rPr>
          <w:rFonts w:hAnsi="宋体"/>
          <w:color w:val="auto"/>
          <w:highlight w:val="none"/>
        </w:rPr>
        <w:t>24</w:t>
      </w:r>
      <w:r>
        <w:rPr>
          <w:rFonts w:hint="eastAsia" w:hAnsi="宋体" w:cs="宋体"/>
          <w:color w:val="auto"/>
          <w:highlight w:val="none"/>
        </w:rPr>
        <w:t>个月），缺陷责任期自工程竣工验收合格之日起计算。单位工程先于全部工程进行验收，单位工程缺陷责任期自单位工程验收合格之日起算。</w:t>
      </w:r>
    </w:p>
    <w:p w14:paraId="071AF11E">
      <w:pPr>
        <w:spacing w:line="360" w:lineRule="auto"/>
        <w:ind w:firstLine="420"/>
        <w:rPr>
          <w:rFonts w:hAnsi="宋体"/>
          <w:color w:val="auto"/>
          <w:highlight w:val="none"/>
        </w:rPr>
      </w:pPr>
      <w:r>
        <w:rPr>
          <w:rFonts w:hint="eastAsia"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ascii="仿宋_GB2312" w:hAnsi="宋体"/>
          <w:color w:val="auto"/>
          <w:highlight w:val="none"/>
          <w:u w:val="single"/>
        </w:rPr>
        <w:t xml:space="preserve">  </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hAnsi="宋体" w:cs="宋体"/>
          <w:color w:val="auto"/>
          <w:highlight w:val="none"/>
        </w:rPr>
        <w:t>发包人应退还剩余的质量保证金。</w:t>
      </w:r>
    </w:p>
    <w:p w14:paraId="0D5B0FE1">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四、质量保修责任</w:t>
      </w:r>
    </w:p>
    <w:p w14:paraId="6A687206">
      <w:pPr>
        <w:spacing w:line="360" w:lineRule="auto"/>
        <w:ind w:left="105" w:leftChars="50" w:firstLine="430" w:firstLineChars="205"/>
        <w:rPr>
          <w:rFonts w:hAnsi="宋体"/>
          <w:color w:val="auto"/>
          <w:highlight w:val="none"/>
        </w:rPr>
      </w:pPr>
      <w:r>
        <w:rPr>
          <w:rFonts w:hint="eastAsia"/>
          <w:color w:val="auto"/>
          <w:highlight w:val="none"/>
          <w:lang w:eastAsia="zh-CN"/>
        </w:rPr>
        <w:t>1.</w:t>
      </w:r>
      <w:r>
        <w:rPr>
          <w:rFonts w:hint="eastAsia" w:hAnsi="宋体" w:cs="宋体"/>
          <w:color w:val="auto"/>
          <w:highlight w:val="none"/>
        </w:rPr>
        <w:t>属于保修范围、内容的项目，承包人应当在接到保修通知之日起</w:t>
      </w:r>
      <w:r>
        <w:rPr>
          <w:color w:val="auto"/>
          <w:highlight w:val="none"/>
          <w:u w:val="single"/>
        </w:rPr>
        <w:t xml:space="preserve">      </w:t>
      </w:r>
      <w:r>
        <w:rPr>
          <w:rFonts w:hint="eastAsia" w:hAnsi="宋体" w:cs="宋体"/>
          <w:color w:val="auto"/>
          <w:highlight w:val="none"/>
        </w:rPr>
        <w:t>天内派人保修。承包人不在约定期限内派人保修的，发包人可以委托他人修理，修理费用从质量保证金内扣除。</w:t>
      </w:r>
    </w:p>
    <w:p w14:paraId="4ACA4890">
      <w:pPr>
        <w:spacing w:line="360" w:lineRule="auto"/>
        <w:ind w:firstLine="420"/>
        <w:rPr>
          <w:rFonts w:hAnsi="宋体"/>
          <w:color w:val="auto"/>
          <w:highlight w:val="none"/>
        </w:rPr>
      </w:pPr>
      <w:r>
        <w:rPr>
          <w:rFonts w:hint="eastAsia"/>
          <w:color w:val="auto"/>
          <w:highlight w:val="none"/>
          <w:lang w:eastAsia="zh-CN"/>
        </w:rPr>
        <w:t>2.</w:t>
      </w:r>
      <w:r>
        <w:rPr>
          <w:rFonts w:hint="eastAsia" w:hAnsi="宋体" w:cs="宋体"/>
          <w:color w:val="auto"/>
          <w:highlight w:val="none"/>
        </w:rPr>
        <w:t>发生紧急事故需抢修的，承包人在接到事故通知后，应当立即到达事故现场抢修。</w:t>
      </w:r>
    </w:p>
    <w:p w14:paraId="49FD5D9A">
      <w:pPr>
        <w:spacing w:line="360" w:lineRule="auto"/>
        <w:ind w:firstLine="420"/>
        <w:rPr>
          <w:rFonts w:hAnsi="宋体"/>
          <w:color w:val="auto"/>
          <w:highlight w:val="none"/>
        </w:rPr>
      </w:pPr>
      <w:r>
        <w:rPr>
          <w:rFonts w:hint="eastAsia"/>
          <w:color w:val="auto"/>
          <w:highlight w:val="none"/>
          <w:lang w:eastAsia="zh-CN"/>
        </w:rPr>
        <w:t>3.</w:t>
      </w:r>
      <w:r>
        <w:rPr>
          <w:rFonts w:hint="eastAsia"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0884014">
      <w:pPr>
        <w:spacing w:line="360" w:lineRule="auto"/>
        <w:ind w:firstLine="420"/>
        <w:rPr>
          <w:rFonts w:hAnsi="宋体"/>
          <w:color w:val="auto"/>
          <w:highlight w:val="none"/>
        </w:rPr>
      </w:pPr>
      <w:r>
        <w:rPr>
          <w:rFonts w:hint="eastAsia"/>
          <w:color w:val="auto"/>
          <w:highlight w:val="none"/>
          <w:lang w:eastAsia="zh-CN"/>
        </w:rPr>
        <w:t>4.</w:t>
      </w:r>
      <w:r>
        <w:rPr>
          <w:rFonts w:hint="eastAsia" w:hAnsi="宋体" w:cs="宋体"/>
          <w:color w:val="auto"/>
          <w:highlight w:val="none"/>
        </w:rPr>
        <w:t>质量保修完成后，由发包人组织验收。</w:t>
      </w:r>
    </w:p>
    <w:p w14:paraId="49B0978F">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五、保修费用</w:t>
      </w:r>
    </w:p>
    <w:p w14:paraId="417C4AE1">
      <w:pPr>
        <w:tabs>
          <w:tab w:val="left" w:pos="7380"/>
        </w:tabs>
        <w:spacing w:line="360" w:lineRule="auto"/>
        <w:ind w:firstLine="420"/>
        <w:rPr>
          <w:rFonts w:hAnsi="宋体"/>
          <w:color w:val="auto"/>
          <w:highlight w:val="none"/>
        </w:rPr>
      </w:pPr>
      <w:r>
        <w:rPr>
          <w:rFonts w:hint="eastAsia" w:hAnsi="宋体" w:cs="宋体"/>
          <w:color w:val="auto"/>
          <w:highlight w:val="none"/>
        </w:rPr>
        <w:t>保修费用由造成质量缺陷的责任方承担。</w:t>
      </w:r>
    </w:p>
    <w:p w14:paraId="183E4848">
      <w:pPr>
        <w:spacing w:line="360" w:lineRule="auto"/>
        <w:ind w:firstLine="420"/>
        <w:rPr>
          <w:rFonts w:ascii="黑体" w:hAnsi="宋体" w:eastAsia="黑体" w:cs="黑体"/>
          <w:color w:val="auto"/>
          <w:highlight w:val="none"/>
        </w:rPr>
      </w:pPr>
      <w:r>
        <w:rPr>
          <w:rFonts w:hint="eastAsia" w:ascii="黑体" w:hAnsi="宋体" w:eastAsia="黑体" w:cs="黑体"/>
          <w:color w:val="auto"/>
          <w:highlight w:val="none"/>
        </w:rPr>
        <w:t>六、双方约定的其他工程质量保修事项：</w:t>
      </w:r>
      <w:r>
        <w:rPr>
          <w:rFonts w:ascii="黑体" w:hAnsi="宋体" w:eastAsia="黑体" w:cs="黑体"/>
          <w:color w:val="auto"/>
          <w:highlight w:val="none"/>
        </w:rPr>
        <w:t xml:space="preserve"> </w:t>
      </w:r>
    </w:p>
    <w:p w14:paraId="15936E86">
      <w:pPr>
        <w:spacing w:line="360" w:lineRule="auto"/>
        <w:ind w:firstLine="420" w:firstLineChars="200"/>
        <w:jc w:val="left"/>
        <w:rPr>
          <w:color w:val="auto"/>
          <w:highlight w:val="none"/>
        </w:rPr>
      </w:pPr>
      <w:r>
        <w:rPr>
          <w:color w:val="auto"/>
          <w:highlight w:val="none"/>
          <w:u w:val="single"/>
        </w:rPr>
        <w:t xml:space="preserve">                                                                                                                                                             </w:t>
      </w:r>
      <w:r>
        <w:rPr>
          <w:rFonts w:hint="eastAsia" w:hAnsi="宋体" w:cs="宋体"/>
          <w:color w:val="auto"/>
          <w:highlight w:val="none"/>
        </w:rPr>
        <w:t>。</w:t>
      </w:r>
    </w:p>
    <w:p w14:paraId="4206C501">
      <w:pPr>
        <w:spacing w:line="360" w:lineRule="auto"/>
        <w:ind w:firstLine="399" w:firstLineChars="190"/>
        <w:rPr>
          <w:color w:val="auto"/>
          <w:highlight w:val="none"/>
        </w:rPr>
      </w:pPr>
      <w:r>
        <w:rPr>
          <w:rFonts w:hint="eastAsia" w:hAnsi="宋体" w:cs="宋体"/>
          <w:color w:val="auto"/>
          <w:highlight w:val="none"/>
        </w:rPr>
        <w:t>工程质量保修书由发包人、承包人在工程竣工验收前共同签署，作为施工合同附件，其有效期限至保修期满。</w:t>
      </w:r>
    </w:p>
    <w:p w14:paraId="04D456C1">
      <w:pPr>
        <w:spacing w:line="360" w:lineRule="auto"/>
        <w:ind w:firstLine="420"/>
        <w:rPr>
          <w:color w:val="auto"/>
          <w:highlight w:val="none"/>
        </w:rPr>
      </w:pPr>
    </w:p>
    <w:p w14:paraId="5E211EC7">
      <w:pPr>
        <w:spacing w:line="360" w:lineRule="auto"/>
        <w:rPr>
          <w:color w:val="auto"/>
          <w:highlight w:val="none"/>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p>
    <w:p w14:paraId="755B94AC">
      <w:pPr>
        <w:spacing w:line="360" w:lineRule="auto"/>
        <w:rPr>
          <w:color w:val="auto"/>
          <w:highlight w:val="none"/>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rFonts w:ascii="宋体" w:hAnsi="宋体"/>
          <w:color w:val="auto"/>
          <w:highlight w:val="none"/>
          <w:u w:val="single"/>
        </w:rPr>
        <w:t></w:t>
      </w:r>
    </w:p>
    <w:p w14:paraId="18B15D03">
      <w:pPr>
        <w:spacing w:line="360" w:lineRule="auto"/>
        <w:rPr>
          <w:color w:val="auto"/>
          <w:highlight w:val="none"/>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6031FB27">
      <w:pPr>
        <w:spacing w:line="360" w:lineRule="auto"/>
        <w:rPr>
          <w:color w:val="auto"/>
          <w:highlight w:val="none"/>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0C1B57D5">
      <w:pPr>
        <w:spacing w:line="360" w:lineRule="auto"/>
        <w:rPr>
          <w:color w:val="auto"/>
          <w:highlight w:val="none"/>
        </w:rPr>
      </w:pPr>
      <w:r>
        <w:rPr>
          <w:rFonts w:hAnsi="宋体"/>
          <w:color w:val="auto"/>
          <w:highlight w:val="none"/>
        </w:rPr>
        <w:t>电</w:t>
      </w:r>
      <w:r>
        <w:rPr>
          <w:color w:val="auto"/>
          <w:highlight w:val="none"/>
        </w:rPr>
        <w:t xml:space="preserve">  </w:t>
      </w:r>
      <w:r>
        <w:rPr>
          <w:rFonts w:hAnsi="宋体"/>
          <w:color w:val="auto"/>
          <w:highlight w:val="none"/>
        </w:rPr>
        <w:t>话：</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4EE3DEB7">
      <w:pPr>
        <w:spacing w:line="360" w:lineRule="auto"/>
        <w:rPr>
          <w:color w:val="auto"/>
          <w:highlight w:val="none"/>
        </w:rPr>
      </w:pPr>
      <w:r>
        <w:rPr>
          <w:rFonts w:hAnsi="宋体"/>
          <w:color w:val="auto"/>
          <w:highlight w:val="none"/>
        </w:rPr>
        <w:t>传</w:t>
      </w:r>
      <w:r>
        <w:rPr>
          <w:color w:val="auto"/>
          <w:highlight w:val="none"/>
        </w:rPr>
        <w:t xml:space="preserve">  </w:t>
      </w:r>
      <w:r>
        <w:rPr>
          <w:rFonts w:hAnsi="宋体"/>
          <w:color w:val="auto"/>
          <w:highlight w:val="none"/>
        </w:rPr>
        <w:t>真：</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rFonts w:ascii="宋体" w:hAnsi="宋体"/>
          <w:color w:val="auto"/>
          <w:highlight w:val="none"/>
          <w:u w:val="single"/>
        </w:rPr>
        <w:t></w:t>
      </w:r>
    </w:p>
    <w:p w14:paraId="1A126F05">
      <w:pPr>
        <w:spacing w:line="360" w:lineRule="auto"/>
        <w:rPr>
          <w:color w:val="auto"/>
          <w:highlight w:val="none"/>
        </w:rPr>
      </w:pPr>
      <w:r>
        <w:rPr>
          <w:rFonts w:hAnsi="宋体"/>
          <w:color w:val="auto"/>
          <w:highlight w:val="none"/>
        </w:rPr>
        <w:t>开户银行：</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79BFD8C0">
      <w:pPr>
        <w:tabs>
          <w:tab w:val="left" w:pos="2880"/>
          <w:tab w:val="left" w:pos="3060"/>
          <w:tab w:val="left" w:pos="4500"/>
        </w:tabs>
        <w:spacing w:line="360" w:lineRule="auto"/>
        <w:rPr>
          <w:color w:val="auto"/>
          <w:highlight w:val="none"/>
        </w:rPr>
      </w:pPr>
      <w:r>
        <w:rPr>
          <w:rFonts w:hAnsi="宋体"/>
          <w:color w:val="auto"/>
          <w:highlight w:val="none"/>
        </w:rPr>
        <w:t>账</w:t>
      </w:r>
      <w:r>
        <w:rPr>
          <w:color w:val="auto"/>
          <w:highlight w:val="none"/>
        </w:rPr>
        <w:t xml:space="preserve">  </w:t>
      </w:r>
      <w:r>
        <w:rPr>
          <w:rFonts w:hAnsi="宋体"/>
          <w:color w:val="auto"/>
          <w:highlight w:val="none"/>
        </w:rPr>
        <w:t>号：</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3F9EB608">
      <w:pPr>
        <w:tabs>
          <w:tab w:val="left" w:pos="7200"/>
          <w:tab w:val="left" w:pos="7380"/>
          <w:tab w:val="left" w:pos="7560"/>
        </w:tabs>
        <w:spacing w:line="360" w:lineRule="auto"/>
        <w:rPr>
          <w:color w:val="auto"/>
          <w:highlight w:val="none"/>
        </w:rPr>
      </w:pPr>
      <w:r>
        <w:rPr>
          <w:rFonts w:hAnsi="宋体"/>
          <w:color w:val="auto"/>
          <w:highlight w:val="none"/>
        </w:rPr>
        <w:t>邮政编码：</w:t>
      </w:r>
      <w:r>
        <w:rPr>
          <w:color w:val="auto"/>
          <w:highlight w:val="none"/>
          <w:u w:val="single"/>
        </w:rPr>
        <w:t xml:space="preserve"> </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09F0961F">
      <w:pPr>
        <w:spacing w:line="440" w:lineRule="exact"/>
        <w:rPr>
          <w:rFonts w:eastAsia="黑体"/>
          <w:color w:val="auto"/>
          <w:sz w:val="30"/>
          <w:szCs w:val="30"/>
          <w:highlight w:val="none"/>
        </w:rPr>
      </w:pPr>
      <w:r>
        <w:rPr>
          <w:rFonts w:hint="eastAsia" w:ascii="宋体" w:hAnsi="宋体" w:eastAsia="宋体" w:cs="宋体"/>
          <w:b/>
          <w:color w:val="auto"/>
          <w:sz w:val="21"/>
          <w:szCs w:val="21"/>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95F6E40">
      <w:pPr>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7129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491AB6EC">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2CD8E15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629CB1D7">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noWrap w:val="0"/>
            <w:vAlign w:val="center"/>
          </w:tcPr>
          <w:p w14:paraId="161D6FF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0853C1ED">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2A0FF262">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DB1E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0DDF5E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2A8645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40D3E4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1811CE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54FA3F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677C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B02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0C550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noWrap w:val="0"/>
            <w:vAlign w:val="center"/>
          </w:tcPr>
          <w:p w14:paraId="1B659B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554615B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noWrap w:val="0"/>
            <w:vAlign w:val="center"/>
          </w:tcPr>
          <w:p w14:paraId="426C86E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232481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noWrap w:val="0"/>
            <w:vAlign w:val="center"/>
          </w:tcPr>
          <w:p w14:paraId="62C552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9BEC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BD805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0E7AC1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B9BF6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D2498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52490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282F95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C9A8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7CB44D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2913BC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01CDA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0BC549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6E5B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F5373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0EA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5FC01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2763D6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D80A3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31419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C580E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A120C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C88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DFBFD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C3B80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777E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2A32A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311D6AC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EF068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58E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DBE79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0F948B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4AB73B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1BB5C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4246E76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9D906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4ED1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AD89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5CCFAFF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F8877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217CF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D70E7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DBAF0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B1C9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9C823E7">
            <w:pPr>
              <w:rPr>
                <w:rFonts w:ascii="Calibri" w:hAnsi="Calibri" w:eastAsia="仿宋_GB2312"/>
                <w:color w:val="auto"/>
                <w:sz w:val="30"/>
                <w:szCs w:val="30"/>
                <w:highlight w:val="none"/>
              </w:rPr>
            </w:pPr>
          </w:p>
        </w:tc>
        <w:tc>
          <w:tcPr>
            <w:tcW w:w="1276" w:type="dxa"/>
            <w:noWrap w:val="0"/>
            <w:vAlign w:val="top"/>
          </w:tcPr>
          <w:p w14:paraId="46660FFE">
            <w:pPr>
              <w:rPr>
                <w:rFonts w:ascii="Calibri" w:hAnsi="Calibri" w:eastAsia="仿宋_GB2312"/>
                <w:color w:val="auto"/>
                <w:sz w:val="30"/>
                <w:szCs w:val="30"/>
                <w:highlight w:val="none"/>
              </w:rPr>
            </w:pPr>
          </w:p>
        </w:tc>
        <w:tc>
          <w:tcPr>
            <w:tcW w:w="1450" w:type="dxa"/>
            <w:noWrap w:val="0"/>
            <w:vAlign w:val="top"/>
          </w:tcPr>
          <w:p w14:paraId="12AB66FF">
            <w:pPr>
              <w:rPr>
                <w:rFonts w:ascii="Calibri" w:hAnsi="Calibri" w:eastAsia="仿宋_GB2312"/>
                <w:color w:val="auto"/>
                <w:sz w:val="30"/>
                <w:szCs w:val="30"/>
                <w:highlight w:val="none"/>
              </w:rPr>
            </w:pPr>
          </w:p>
        </w:tc>
        <w:tc>
          <w:tcPr>
            <w:tcW w:w="1243" w:type="dxa"/>
            <w:noWrap w:val="0"/>
            <w:vAlign w:val="top"/>
          </w:tcPr>
          <w:p w14:paraId="59822C45">
            <w:pPr>
              <w:rPr>
                <w:rFonts w:ascii="Calibri" w:hAnsi="Calibri" w:eastAsia="仿宋_GB2312"/>
                <w:color w:val="auto"/>
                <w:sz w:val="30"/>
                <w:szCs w:val="30"/>
                <w:highlight w:val="none"/>
              </w:rPr>
            </w:pPr>
          </w:p>
        </w:tc>
        <w:tc>
          <w:tcPr>
            <w:tcW w:w="1450" w:type="dxa"/>
            <w:noWrap w:val="0"/>
            <w:vAlign w:val="top"/>
          </w:tcPr>
          <w:p w14:paraId="0287A0EE">
            <w:pPr>
              <w:rPr>
                <w:rFonts w:ascii="Calibri" w:hAnsi="Calibri" w:eastAsia="仿宋_GB2312"/>
                <w:color w:val="auto"/>
                <w:sz w:val="30"/>
                <w:szCs w:val="30"/>
                <w:highlight w:val="none"/>
              </w:rPr>
            </w:pPr>
          </w:p>
        </w:tc>
        <w:tc>
          <w:tcPr>
            <w:tcW w:w="1667" w:type="dxa"/>
            <w:noWrap w:val="0"/>
            <w:vAlign w:val="top"/>
          </w:tcPr>
          <w:p w14:paraId="4B5B47C4">
            <w:pPr>
              <w:rPr>
                <w:rFonts w:ascii="Calibri" w:hAnsi="Calibri" w:eastAsia="仿宋_GB2312"/>
                <w:color w:val="auto"/>
                <w:sz w:val="30"/>
                <w:szCs w:val="30"/>
                <w:highlight w:val="none"/>
              </w:rPr>
            </w:pPr>
          </w:p>
        </w:tc>
      </w:tr>
      <w:tr w14:paraId="321A4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4D59B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51943D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5AAA598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3BBDF4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B90B68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2D04CF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0BBA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E7642EE">
            <w:pPr>
              <w:rPr>
                <w:rFonts w:ascii="Calibri" w:hAnsi="Calibri" w:eastAsia="仿宋_GB2312"/>
                <w:color w:val="auto"/>
                <w:sz w:val="30"/>
                <w:szCs w:val="30"/>
                <w:highlight w:val="none"/>
              </w:rPr>
            </w:pPr>
          </w:p>
        </w:tc>
        <w:tc>
          <w:tcPr>
            <w:tcW w:w="1276" w:type="dxa"/>
            <w:noWrap w:val="0"/>
            <w:vAlign w:val="top"/>
          </w:tcPr>
          <w:p w14:paraId="68C30119">
            <w:pPr>
              <w:rPr>
                <w:rFonts w:ascii="Calibri" w:hAnsi="Calibri" w:eastAsia="仿宋_GB2312"/>
                <w:color w:val="auto"/>
                <w:sz w:val="30"/>
                <w:szCs w:val="30"/>
                <w:highlight w:val="none"/>
              </w:rPr>
            </w:pPr>
          </w:p>
        </w:tc>
        <w:tc>
          <w:tcPr>
            <w:tcW w:w="1450" w:type="dxa"/>
            <w:noWrap w:val="0"/>
            <w:vAlign w:val="top"/>
          </w:tcPr>
          <w:p w14:paraId="2BDFA828">
            <w:pPr>
              <w:rPr>
                <w:rFonts w:ascii="Calibri" w:hAnsi="Calibri" w:eastAsia="仿宋_GB2312"/>
                <w:color w:val="auto"/>
                <w:sz w:val="30"/>
                <w:szCs w:val="30"/>
                <w:highlight w:val="none"/>
              </w:rPr>
            </w:pPr>
          </w:p>
        </w:tc>
        <w:tc>
          <w:tcPr>
            <w:tcW w:w="1243" w:type="dxa"/>
            <w:noWrap w:val="0"/>
            <w:vAlign w:val="top"/>
          </w:tcPr>
          <w:p w14:paraId="5D854114">
            <w:pPr>
              <w:rPr>
                <w:rFonts w:ascii="Calibri" w:hAnsi="Calibri" w:eastAsia="仿宋_GB2312"/>
                <w:color w:val="auto"/>
                <w:sz w:val="30"/>
                <w:szCs w:val="30"/>
                <w:highlight w:val="none"/>
              </w:rPr>
            </w:pPr>
          </w:p>
        </w:tc>
        <w:tc>
          <w:tcPr>
            <w:tcW w:w="1450" w:type="dxa"/>
            <w:noWrap w:val="0"/>
            <w:vAlign w:val="top"/>
          </w:tcPr>
          <w:p w14:paraId="0E358B82">
            <w:pPr>
              <w:rPr>
                <w:rFonts w:ascii="Calibri" w:hAnsi="Calibri" w:eastAsia="仿宋_GB2312"/>
                <w:color w:val="auto"/>
                <w:sz w:val="30"/>
                <w:szCs w:val="30"/>
                <w:highlight w:val="none"/>
              </w:rPr>
            </w:pPr>
          </w:p>
        </w:tc>
        <w:tc>
          <w:tcPr>
            <w:tcW w:w="1667" w:type="dxa"/>
            <w:noWrap w:val="0"/>
            <w:vAlign w:val="top"/>
          </w:tcPr>
          <w:p w14:paraId="553F6945">
            <w:pPr>
              <w:rPr>
                <w:rFonts w:ascii="Calibri" w:hAnsi="Calibri" w:eastAsia="仿宋_GB2312"/>
                <w:color w:val="auto"/>
                <w:sz w:val="30"/>
                <w:szCs w:val="30"/>
                <w:highlight w:val="none"/>
              </w:rPr>
            </w:pPr>
          </w:p>
        </w:tc>
      </w:tr>
      <w:tr w14:paraId="0B84D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24F41BF">
            <w:pPr>
              <w:rPr>
                <w:rFonts w:ascii="Calibri" w:hAnsi="Calibri" w:eastAsia="仿宋_GB2312"/>
                <w:color w:val="auto"/>
                <w:sz w:val="30"/>
                <w:szCs w:val="30"/>
                <w:highlight w:val="none"/>
              </w:rPr>
            </w:pPr>
          </w:p>
        </w:tc>
        <w:tc>
          <w:tcPr>
            <w:tcW w:w="1276" w:type="dxa"/>
            <w:noWrap w:val="0"/>
            <w:vAlign w:val="top"/>
          </w:tcPr>
          <w:p w14:paraId="6FD87344">
            <w:pPr>
              <w:rPr>
                <w:rFonts w:ascii="Calibri" w:hAnsi="Calibri" w:eastAsia="仿宋_GB2312"/>
                <w:color w:val="auto"/>
                <w:sz w:val="30"/>
                <w:szCs w:val="30"/>
                <w:highlight w:val="none"/>
              </w:rPr>
            </w:pPr>
          </w:p>
        </w:tc>
        <w:tc>
          <w:tcPr>
            <w:tcW w:w="1450" w:type="dxa"/>
            <w:noWrap w:val="0"/>
            <w:vAlign w:val="top"/>
          </w:tcPr>
          <w:p w14:paraId="3451A76F">
            <w:pPr>
              <w:rPr>
                <w:rFonts w:ascii="Calibri" w:hAnsi="Calibri" w:eastAsia="仿宋_GB2312"/>
                <w:color w:val="auto"/>
                <w:sz w:val="30"/>
                <w:szCs w:val="30"/>
                <w:highlight w:val="none"/>
              </w:rPr>
            </w:pPr>
          </w:p>
        </w:tc>
        <w:tc>
          <w:tcPr>
            <w:tcW w:w="1243" w:type="dxa"/>
            <w:noWrap w:val="0"/>
            <w:vAlign w:val="top"/>
          </w:tcPr>
          <w:p w14:paraId="69019E3B">
            <w:pPr>
              <w:rPr>
                <w:rFonts w:ascii="Calibri" w:hAnsi="Calibri" w:eastAsia="仿宋_GB2312"/>
                <w:color w:val="auto"/>
                <w:sz w:val="30"/>
                <w:szCs w:val="30"/>
                <w:highlight w:val="none"/>
              </w:rPr>
            </w:pPr>
          </w:p>
        </w:tc>
        <w:tc>
          <w:tcPr>
            <w:tcW w:w="1450" w:type="dxa"/>
            <w:noWrap w:val="0"/>
            <w:vAlign w:val="top"/>
          </w:tcPr>
          <w:p w14:paraId="3B615F4B">
            <w:pPr>
              <w:rPr>
                <w:rFonts w:ascii="Calibri" w:hAnsi="Calibri" w:eastAsia="仿宋_GB2312"/>
                <w:color w:val="auto"/>
                <w:sz w:val="30"/>
                <w:szCs w:val="30"/>
                <w:highlight w:val="none"/>
              </w:rPr>
            </w:pPr>
          </w:p>
        </w:tc>
        <w:tc>
          <w:tcPr>
            <w:tcW w:w="1667" w:type="dxa"/>
            <w:noWrap w:val="0"/>
            <w:vAlign w:val="top"/>
          </w:tcPr>
          <w:p w14:paraId="7B8C9EDF">
            <w:pPr>
              <w:rPr>
                <w:rFonts w:ascii="Calibri" w:hAnsi="Calibri" w:eastAsia="仿宋_GB2312"/>
                <w:color w:val="auto"/>
                <w:sz w:val="30"/>
                <w:szCs w:val="30"/>
                <w:highlight w:val="none"/>
              </w:rPr>
            </w:pPr>
          </w:p>
        </w:tc>
      </w:tr>
      <w:tr w14:paraId="6B97D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D3CFD35">
            <w:pPr>
              <w:rPr>
                <w:rFonts w:ascii="Calibri" w:hAnsi="Calibri" w:eastAsia="仿宋_GB2312"/>
                <w:color w:val="auto"/>
                <w:sz w:val="30"/>
                <w:szCs w:val="30"/>
                <w:highlight w:val="none"/>
              </w:rPr>
            </w:pPr>
          </w:p>
        </w:tc>
        <w:tc>
          <w:tcPr>
            <w:tcW w:w="1276" w:type="dxa"/>
            <w:noWrap w:val="0"/>
            <w:vAlign w:val="top"/>
          </w:tcPr>
          <w:p w14:paraId="4F531111">
            <w:pPr>
              <w:rPr>
                <w:rFonts w:ascii="Calibri" w:hAnsi="Calibri" w:eastAsia="仿宋_GB2312"/>
                <w:color w:val="auto"/>
                <w:sz w:val="30"/>
                <w:szCs w:val="30"/>
                <w:highlight w:val="none"/>
              </w:rPr>
            </w:pPr>
          </w:p>
        </w:tc>
        <w:tc>
          <w:tcPr>
            <w:tcW w:w="1450" w:type="dxa"/>
            <w:noWrap w:val="0"/>
            <w:vAlign w:val="top"/>
          </w:tcPr>
          <w:p w14:paraId="261D0935">
            <w:pPr>
              <w:rPr>
                <w:rFonts w:ascii="Calibri" w:hAnsi="Calibri" w:eastAsia="仿宋_GB2312"/>
                <w:color w:val="auto"/>
                <w:sz w:val="30"/>
                <w:szCs w:val="30"/>
                <w:highlight w:val="none"/>
              </w:rPr>
            </w:pPr>
          </w:p>
        </w:tc>
        <w:tc>
          <w:tcPr>
            <w:tcW w:w="1243" w:type="dxa"/>
            <w:noWrap w:val="0"/>
            <w:vAlign w:val="top"/>
          </w:tcPr>
          <w:p w14:paraId="2EB2BF9A">
            <w:pPr>
              <w:rPr>
                <w:rFonts w:ascii="Calibri" w:hAnsi="Calibri" w:eastAsia="仿宋_GB2312"/>
                <w:color w:val="auto"/>
                <w:sz w:val="30"/>
                <w:szCs w:val="30"/>
                <w:highlight w:val="none"/>
              </w:rPr>
            </w:pPr>
          </w:p>
        </w:tc>
        <w:tc>
          <w:tcPr>
            <w:tcW w:w="1450" w:type="dxa"/>
            <w:noWrap w:val="0"/>
            <w:vAlign w:val="top"/>
          </w:tcPr>
          <w:p w14:paraId="6FD93AB5">
            <w:pPr>
              <w:rPr>
                <w:rFonts w:ascii="Calibri" w:hAnsi="Calibri" w:eastAsia="仿宋_GB2312"/>
                <w:color w:val="auto"/>
                <w:sz w:val="30"/>
                <w:szCs w:val="30"/>
                <w:highlight w:val="none"/>
              </w:rPr>
            </w:pPr>
          </w:p>
        </w:tc>
        <w:tc>
          <w:tcPr>
            <w:tcW w:w="1667" w:type="dxa"/>
            <w:noWrap w:val="0"/>
            <w:vAlign w:val="top"/>
          </w:tcPr>
          <w:p w14:paraId="6F7923DA">
            <w:pPr>
              <w:rPr>
                <w:rFonts w:ascii="Calibri" w:hAnsi="Calibri" w:eastAsia="仿宋_GB2312"/>
                <w:color w:val="auto"/>
                <w:sz w:val="30"/>
                <w:szCs w:val="30"/>
                <w:highlight w:val="none"/>
              </w:rPr>
            </w:pPr>
          </w:p>
        </w:tc>
      </w:tr>
      <w:tr w14:paraId="518EF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F0FD10B">
            <w:pPr>
              <w:rPr>
                <w:rFonts w:ascii="Calibri" w:hAnsi="Calibri" w:eastAsia="仿宋_GB2312"/>
                <w:color w:val="auto"/>
                <w:sz w:val="30"/>
                <w:szCs w:val="30"/>
                <w:highlight w:val="none"/>
              </w:rPr>
            </w:pPr>
          </w:p>
        </w:tc>
        <w:tc>
          <w:tcPr>
            <w:tcW w:w="1276" w:type="dxa"/>
            <w:noWrap w:val="0"/>
            <w:vAlign w:val="top"/>
          </w:tcPr>
          <w:p w14:paraId="7E5888C3">
            <w:pPr>
              <w:rPr>
                <w:rFonts w:ascii="Calibri" w:hAnsi="Calibri" w:eastAsia="仿宋_GB2312"/>
                <w:color w:val="auto"/>
                <w:sz w:val="30"/>
                <w:szCs w:val="30"/>
                <w:highlight w:val="none"/>
              </w:rPr>
            </w:pPr>
          </w:p>
        </w:tc>
        <w:tc>
          <w:tcPr>
            <w:tcW w:w="1450" w:type="dxa"/>
            <w:noWrap w:val="0"/>
            <w:vAlign w:val="top"/>
          </w:tcPr>
          <w:p w14:paraId="471E427D">
            <w:pPr>
              <w:rPr>
                <w:rFonts w:ascii="Calibri" w:hAnsi="Calibri" w:eastAsia="仿宋_GB2312"/>
                <w:color w:val="auto"/>
                <w:sz w:val="30"/>
                <w:szCs w:val="30"/>
                <w:highlight w:val="none"/>
              </w:rPr>
            </w:pPr>
          </w:p>
        </w:tc>
        <w:tc>
          <w:tcPr>
            <w:tcW w:w="1243" w:type="dxa"/>
            <w:noWrap w:val="0"/>
            <w:vAlign w:val="top"/>
          </w:tcPr>
          <w:p w14:paraId="5AA871DC">
            <w:pPr>
              <w:rPr>
                <w:rFonts w:ascii="Calibri" w:hAnsi="Calibri" w:eastAsia="仿宋_GB2312"/>
                <w:color w:val="auto"/>
                <w:sz w:val="30"/>
                <w:szCs w:val="30"/>
                <w:highlight w:val="none"/>
              </w:rPr>
            </w:pPr>
          </w:p>
        </w:tc>
        <w:tc>
          <w:tcPr>
            <w:tcW w:w="1450" w:type="dxa"/>
            <w:noWrap w:val="0"/>
            <w:vAlign w:val="top"/>
          </w:tcPr>
          <w:p w14:paraId="0CED90DB">
            <w:pPr>
              <w:rPr>
                <w:rFonts w:ascii="Calibri" w:hAnsi="Calibri" w:eastAsia="仿宋_GB2312"/>
                <w:color w:val="auto"/>
                <w:sz w:val="30"/>
                <w:szCs w:val="30"/>
                <w:highlight w:val="none"/>
              </w:rPr>
            </w:pPr>
          </w:p>
        </w:tc>
        <w:tc>
          <w:tcPr>
            <w:tcW w:w="1667" w:type="dxa"/>
            <w:noWrap w:val="0"/>
            <w:vAlign w:val="top"/>
          </w:tcPr>
          <w:p w14:paraId="2D7E1096">
            <w:pPr>
              <w:rPr>
                <w:rFonts w:ascii="Calibri" w:hAnsi="Calibri" w:eastAsia="仿宋_GB2312"/>
                <w:color w:val="auto"/>
                <w:sz w:val="30"/>
                <w:szCs w:val="30"/>
                <w:highlight w:val="none"/>
              </w:rPr>
            </w:pPr>
          </w:p>
        </w:tc>
      </w:tr>
      <w:tr w14:paraId="7C052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3E35DC2">
            <w:pPr>
              <w:rPr>
                <w:rFonts w:ascii="Calibri" w:hAnsi="Calibri" w:eastAsia="仿宋_GB2312"/>
                <w:color w:val="auto"/>
                <w:sz w:val="30"/>
                <w:szCs w:val="30"/>
                <w:highlight w:val="none"/>
              </w:rPr>
            </w:pPr>
          </w:p>
        </w:tc>
        <w:tc>
          <w:tcPr>
            <w:tcW w:w="1276" w:type="dxa"/>
            <w:noWrap w:val="0"/>
            <w:vAlign w:val="top"/>
          </w:tcPr>
          <w:p w14:paraId="19AB4839">
            <w:pPr>
              <w:rPr>
                <w:rFonts w:ascii="Calibri" w:hAnsi="Calibri" w:eastAsia="仿宋_GB2312"/>
                <w:color w:val="auto"/>
                <w:sz w:val="30"/>
                <w:szCs w:val="30"/>
                <w:highlight w:val="none"/>
              </w:rPr>
            </w:pPr>
          </w:p>
        </w:tc>
        <w:tc>
          <w:tcPr>
            <w:tcW w:w="1450" w:type="dxa"/>
            <w:noWrap w:val="0"/>
            <w:vAlign w:val="top"/>
          </w:tcPr>
          <w:p w14:paraId="245DD847">
            <w:pPr>
              <w:rPr>
                <w:rFonts w:ascii="Calibri" w:hAnsi="Calibri" w:eastAsia="仿宋_GB2312"/>
                <w:color w:val="auto"/>
                <w:sz w:val="30"/>
                <w:szCs w:val="30"/>
                <w:highlight w:val="none"/>
              </w:rPr>
            </w:pPr>
          </w:p>
        </w:tc>
        <w:tc>
          <w:tcPr>
            <w:tcW w:w="1243" w:type="dxa"/>
            <w:noWrap w:val="0"/>
            <w:vAlign w:val="top"/>
          </w:tcPr>
          <w:p w14:paraId="26B32626">
            <w:pPr>
              <w:rPr>
                <w:rFonts w:ascii="Calibri" w:hAnsi="Calibri" w:eastAsia="仿宋_GB2312"/>
                <w:color w:val="auto"/>
                <w:sz w:val="30"/>
                <w:szCs w:val="30"/>
                <w:highlight w:val="none"/>
              </w:rPr>
            </w:pPr>
          </w:p>
        </w:tc>
        <w:tc>
          <w:tcPr>
            <w:tcW w:w="1450" w:type="dxa"/>
            <w:noWrap w:val="0"/>
            <w:vAlign w:val="top"/>
          </w:tcPr>
          <w:p w14:paraId="3F25E4EB">
            <w:pPr>
              <w:rPr>
                <w:rFonts w:ascii="Calibri" w:hAnsi="Calibri" w:eastAsia="仿宋_GB2312"/>
                <w:color w:val="auto"/>
                <w:sz w:val="30"/>
                <w:szCs w:val="30"/>
                <w:highlight w:val="none"/>
              </w:rPr>
            </w:pPr>
          </w:p>
        </w:tc>
        <w:tc>
          <w:tcPr>
            <w:tcW w:w="1667" w:type="dxa"/>
            <w:noWrap w:val="0"/>
            <w:vAlign w:val="top"/>
          </w:tcPr>
          <w:p w14:paraId="2CA33738">
            <w:pPr>
              <w:rPr>
                <w:rFonts w:ascii="Calibri" w:hAnsi="Calibri" w:eastAsia="仿宋_GB2312"/>
                <w:color w:val="auto"/>
                <w:sz w:val="30"/>
                <w:szCs w:val="30"/>
                <w:highlight w:val="none"/>
              </w:rPr>
            </w:pPr>
          </w:p>
        </w:tc>
      </w:tr>
      <w:tr w14:paraId="75EC9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809ECC5">
            <w:pPr>
              <w:rPr>
                <w:rFonts w:ascii="Calibri" w:hAnsi="Calibri" w:eastAsia="仿宋_GB2312"/>
                <w:color w:val="auto"/>
                <w:sz w:val="30"/>
                <w:szCs w:val="30"/>
                <w:highlight w:val="none"/>
              </w:rPr>
            </w:pPr>
          </w:p>
        </w:tc>
        <w:tc>
          <w:tcPr>
            <w:tcW w:w="1276" w:type="dxa"/>
            <w:noWrap w:val="0"/>
            <w:vAlign w:val="top"/>
          </w:tcPr>
          <w:p w14:paraId="790541F6">
            <w:pPr>
              <w:rPr>
                <w:rFonts w:ascii="Calibri" w:hAnsi="Calibri" w:eastAsia="仿宋_GB2312"/>
                <w:color w:val="auto"/>
                <w:sz w:val="30"/>
                <w:szCs w:val="30"/>
                <w:highlight w:val="none"/>
              </w:rPr>
            </w:pPr>
          </w:p>
        </w:tc>
        <w:tc>
          <w:tcPr>
            <w:tcW w:w="1450" w:type="dxa"/>
            <w:noWrap w:val="0"/>
            <w:vAlign w:val="top"/>
          </w:tcPr>
          <w:p w14:paraId="687D6DF4">
            <w:pPr>
              <w:rPr>
                <w:rFonts w:ascii="Calibri" w:hAnsi="Calibri" w:eastAsia="仿宋_GB2312"/>
                <w:color w:val="auto"/>
                <w:sz w:val="30"/>
                <w:szCs w:val="30"/>
                <w:highlight w:val="none"/>
              </w:rPr>
            </w:pPr>
          </w:p>
        </w:tc>
        <w:tc>
          <w:tcPr>
            <w:tcW w:w="1243" w:type="dxa"/>
            <w:noWrap w:val="0"/>
            <w:vAlign w:val="top"/>
          </w:tcPr>
          <w:p w14:paraId="416B1777">
            <w:pPr>
              <w:rPr>
                <w:rFonts w:ascii="Calibri" w:hAnsi="Calibri" w:eastAsia="仿宋_GB2312"/>
                <w:color w:val="auto"/>
                <w:sz w:val="30"/>
                <w:szCs w:val="30"/>
                <w:highlight w:val="none"/>
              </w:rPr>
            </w:pPr>
          </w:p>
        </w:tc>
        <w:tc>
          <w:tcPr>
            <w:tcW w:w="1450" w:type="dxa"/>
            <w:noWrap w:val="0"/>
            <w:vAlign w:val="top"/>
          </w:tcPr>
          <w:p w14:paraId="589ACC36">
            <w:pPr>
              <w:rPr>
                <w:rFonts w:ascii="Calibri" w:hAnsi="Calibri" w:eastAsia="仿宋_GB2312"/>
                <w:color w:val="auto"/>
                <w:sz w:val="30"/>
                <w:szCs w:val="30"/>
                <w:highlight w:val="none"/>
              </w:rPr>
            </w:pPr>
          </w:p>
        </w:tc>
        <w:tc>
          <w:tcPr>
            <w:tcW w:w="1667" w:type="dxa"/>
            <w:noWrap w:val="0"/>
            <w:vAlign w:val="top"/>
          </w:tcPr>
          <w:p w14:paraId="2D619398">
            <w:pPr>
              <w:rPr>
                <w:rFonts w:ascii="Calibri" w:hAnsi="Calibri" w:eastAsia="仿宋_GB2312"/>
                <w:color w:val="auto"/>
                <w:sz w:val="30"/>
                <w:szCs w:val="30"/>
                <w:highlight w:val="none"/>
              </w:rPr>
            </w:pPr>
          </w:p>
        </w:tc>
      </w:tr>
      <w:tr w14:paraId="3C3DD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43B65B6">
            <w:pPr>
              <w:rPr>
                <w:rFonts w:ascii="Calibri" w:hAnsi="Calibri" w:eastAsia="仿宋_GB2312"/>
                <w:color w:val="auto"/>
                <w:sz w:val="30"/>
                <w:szCs w:val="30"/>
                <w:highlight w:val="none"/>
              </w:rPr>
            </w:pPr>
          </w:p>
        </w:tc>
        <w:tc>
          <w:tcPr>
            <w:tcW w:w="1276" w:type="dxa"/>
            <w:noWrap w:val="0"/>
            <w:vAlign w:val="top"/>
          </w:tcPr>
          <w:p w14:paraId="48269092">
            <w:pPr>
              <w:rPr>
                <w:rFonts w:ascii="Calibri" w:hAnsi="Calibri" w:eastAsia="仿宋_GB2312"/>
                <w:color w:val="auto"/>
                <w:sz w:val="30"/>
                <w:szCs w:val="30"/>
                <w:highlight w:val="none"/>
              </w:rPr>
            </w:pPr>
          </w:p>
        </w:tc>
        <w:tc>
          <w:tcPr>
            <w:tcW w:w="1450" w:type="dxa"/>
            <w:noWrap w:val="0"/>
            <w:vAlign w:val="top"/>
          </w:tcPr>
          <w:p w14:paraId="3B350151">
            <w:pPr>
              <w:rPr>
                <w:rFonts w:ascii="Calibri" w:hAnsi="Calibri" w:eastAsia="仿宋_GB2312"/>
                <w:color w:val="auto"/>
                <w:sz w:val="30"/>
                <w:szCs w:val="30"/>
                <w:highlight w:val="none"/>
              </w:rPr>
            </w:pPr>
          </w:p>
        </w:tc>
        <w:tc>
          <w:tcPr>
            <w:tcW w:w="1243" w:type="dxa"/>
            <w:noWrap w:val="0"/>
            <w:vAlign w:val="top"/>
          </w:tcPr>
          <w:p w14:paraId="0EEF6010">
            <w:pPr>
              <w:rPr>
                <w:rFonts w:ascii="Calibri" w:hAnsi="Calibri" w:eastAsia="仿宋_GB2312"/>
                <w:color w:val="auto"/>
                <w:sz w:val="30"/>
                <w:szCs w:val="30"/>
                <w:highlight w:val="none"/>
              </w:rPr>
            </w:pPr>
          </w:p>
        </w:tc>
        <w:tc>
          <w:tcPr>
            <w:tcW w:w="1450" w:type="dxa"/>
            <w:noWrap w:val="0"/>
            <w:vAlign w:val="top"/>
          </w:tcPr>
          <w:p w14:paraId="4C0AF3CB">
            <w:pPr>
              <w:rPr>
                <w:rFonts w:ascii="Calibri" w:hAnsi="Calibri" w:eastAsia="仿宋_GB2312"/>
                <w:color w:val="auto"/>
                <w:sz w:val="30"/>
                <w:szCs w:val="30"/>
                <w:highlight w:val="none"/>
              </w:rPr>
            </w:pPr>
          </w:p>
        </w:tc>
        <w:tc>
          <w:tcPr>
            <w:tcW w:w="1667" w:type="dxa"/>
            <w:noWrap w:val="0"/>
            <w:vAlign w:val="top"/>
          </w:tcPr>
          <w:p w14:paraId="4BF4D471">
            <w:pPr>
              <w:rPr>
                <w:rFonts w:ascii="Calibri" w:hAnsi="Calibri" w:eastAsia="仿宋_GB2312"/>
                <w:color w:val="auto"/>
                <w:sz w:val="30"/>
                <w:szCs w:val="30"/>
                <w:highlight w:val="none"/>
              </w:rPr>
            </w:pPr>
          </w:p>
        </w:tc>
      </w:tr>
      <w:tr w14:paraId="26816D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B654E7">
            <w:pPr>
              <w:rPr>
                <w:rFonts w:ascii="Calibri" w:hAnsi="Calibri" w:eastAsia="仿宋_GB2312"/>
                <w:color w:val="auto"/>
                <w:sz w:val="30"/>
                <w:szCs w:val="30"/>
                <w:highlight w:val="none"/>
              </w:rPr>
            </w:pPr>
          </w:p>
        </w:tc>
        <w:tc>
          <w:tcPr>
            <w:tcW w:w="1276" w:type="dxa"/>
            <w:noWrap w:val="0"/>
            <w:vAlign w:val="top"/>
          </w:tcPr>
          <w:p w14:paraId="5EC7A164">
            <w:pPr>
              <w:rPr>
                <w:rFonts w:ascii="Calibri" w:hAnsi="Calibri" w:eastAsia="仿宋_GB2312"/>
                <w:color w:val="auto"/>
                <w:sz w:val="30"/>
                <w:szCs w:val="30"/>
                <w:highlight w:val="none"/>
              </w:rPr>
            </w:pPr>
          </w:p>
        </w:tc>
        <w:tc>
          <w:tcPr>
            <w:tcW w:w="1450" w:type="dxa"/>
            <w:noWrap w:val="0"/>
            <w:vAlign w:val="top"/>
          </w:tcPr>
          <w:p w14:paraId="09C80E5D">
            <w:pPr>
              <w:rPr>
                <w:rFonts w:ascii="Calibri" w:hAnsi="Calibri" w:eastAsia="仿宋_GB2312"/>
                <w:color w:val="auto"/>
                <w:sz w:val="30"/>
                <w:szCs w:val="30"/>
                <w:highlight w:val="none"/>
              </w:rPr>
            </w:pPr>
          </w:p>
        </w:tc>
        <w:tc>
          <w:tcPr>
            <w:tcW w:w="1243" w:type="dxa"/>
            <w:noWrap w:val="0"/>
            <w:vAlign w:val="top"/>
          </w:tcPr>
          <w:p w14:paraId="71A98705">
            <w:pPr>
              <w:rPr>
                <w:rFonts w:ascii="Calibri" w:hAnsi="Calibri" w:eastAsia="仿宋_GB2312"/>
                <w:color w:val="auto"/>
                <w:sz w:val="30"/>
                <w:szCs w:val="30"/>
                <w:highlight w:val="none"/>
              </w:rPr>
            </w:pPr>
          </w:p>
        </w:tc>
        <w:tc>
          <w:tcPr>
            <w:tcW w:w="1450" w:type="dxa"/>
            <w:noWrap w:val="0"/>
            <w:vAlign w:val="top"/>
          </w:tcPr>
          <w:p w14:paraId="0CC6DAF8">
            <w:pPr>
              <w:rPr>
                <w:rFonts w:ascii="Calibri" w:hAnsi="Calibri" w:eastAsia="仿宋_GB2312"/>
                <w:color w:val="auto"/>
                <w:sz w:val="30"/>
                <w:szCs w:val="30"/>
                <w:highlight w:val="none"/>
              </w:rPr>
            </w:pPr>
          </w:p>
        </w:tc>
        <w:tc>
          <w:tcPr>
            <w:tcW w:w="1667" w:type="dxa"/>
            <w:noWrap w:val="0"/>
            <w:vAlign w:val="top"/>
          </w:tcPr>
          <w:p w14:paraId="7F8A6E7F">
            <w:pPr>
              <w:rPr>
                <w:rFonts w:ascii="Calibri" w:hAnsi="Calibri" w:eastAsia="仿宋_GB2312"/>
                <w:color w:val="auto"/>
                <w:sz w:val="30"/>
                <w:szCs w:val="30"/>
                <w:highlight w:val="none"/>
              </w:rPr>
            </w:pPr>
          </w:p>
        </w:tc>
      </w:tr>
      <w:tr w14:paraId="22760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E6E1973">
            <w:pPr>
              <w:rPr>
                <w:rFonts w:ascii="Calibri" w:hAnsi="Calibri" w:eastAsia="仿宋_GB2312"/>
                <w:color w:val="auto"/>
                <w:sz w:val="30"/>
                <w:szCs w:val="30"/>
                <w:highlight w:val="none"/>
              </w:rPr>
            </w:pPr>
          </w:p>
        </w:tc>
        <w:tc>
          <w:tcPr>
            <w:tcW w:w="1276" w:type="dxa"/>
            <w:noWrap w:val="0"/>
            <w:vAlign w:val="top"/>
          </w:tcPr>
          <w:p w14:paraId="6ED8C284">
            <w:pPr>
              <w:rPr>
                <w:rFonts w:ascii="Calibri" w:hAnsi="Calibri" w:eastAsia="仿宋_GB2312"/>
                <w:color w:val="auto"/>
                <w:sz w:val="30"/>
                <w:szCs w:val="30"/>
                <w:highlight w:val="none"/>
              </w:rPr>
            </w:pPr>
          </w:p>
        </w:tc>
        <w:tc>
          <w:tcPr>
            <w:tcW w:w="1450" w:type="dxa"/>
            <w:noWrap w:val="0"/>
            <w:vAlign w:val="top"/>
          </w:tcPr>
          <w:p w14:paraId="2DC70371">
            <w:pPr>
              <w:rPr>
                <w:rFonts w:ascii="Calibri" w:hAnsi="Calibri" w:eastAsia="仿宋_GB2312"/>
                <w:color w:val="auto"/>
                <w:sz w:val="30"/>
                <w:szCs w:val="30"/>
                <w:highlight w:val="none"/>
              </w:rPr>
            </w:pPr>
          </w:p>
        </w:tc>
        <w:tc>
          <w:tcPr>
            <w:tcW w:w="1243" w:type="dxa"/>
            <w:noWrap w:val="0"/>
            <w:vAlign w:val="top"/>
          </w:tcPr>
          <w:p w14:paraId="0680CB3E">
            <w:pPr>
              <w:rPr>
                <w:rFonts w:ascii="Calibri" w:hAnsi="Calibri" w:eastAsia="仿宋_GB2312"/>
                <w:color w:val="auto"/>
                <w:sz w:val="30"/>
                <w:szCs w:val="30"/>
                <w:highlight w:val="none"/>
              </w:rPr>
            </w:pPr>
          </w:p>
        </w:tc>
        <w:tc>
          <w:tcPr>
            <w:tcW w:w="1450" w:type="dxa"/>
            <w:noWrap w:val="0"/>
            <w:vAlign w:val="top"/>
          </w:tcPr>
          <w:p w14:paraId="6A70AEBE">
            <w:pPr>
              <w:rPr>
                <w:rFonts w:ascii="Calibri" w:hAnsi="Calibri" w:eastAsia="仿宋_GB2312"/>
                <w:color w:val="auto"/>
                <w:sz w:val="30"/>
                <w:szCs w:val="30"/>
                <w:highlight w:val="none"/>
              </w:rPr>
            </w:pPr>
          </w:p>
        </w:tc>
        <w:tc>
          <w:tcPr>
            <w:tcW w:w="1667" w:type="dxa"/>
            <w:noWrap w:val="0"/>
            <w:vAlign w:val="top"/>
          </w:tcPr>
          <w:p w14:paraId="71B9631D">
            <w:pPr>
              <w:rPr>
                <w:rFonts w:ascii="Calibri" w:hAnsi="Calibri" w:eastAsia="仿宋_GB2312"/>
                <w:color w:val="auto"/>
                <w:sz w:val="30"/>
                <w:szCs w:val="30"/>
                <w:highlight w:val="none"/>
              </w:rPr>
            </w:pPr>
          </w:p>
        </w:tc>
      </w:tr>
    </w:tbl>
    <w:p w14:paraId="21E8223D">
      <w:pPr>
        <w:spacing w:line="440" w:lineRule="exact"/>
        <w:outlineLvl w:val="0"/>
        <w:rPr>
          <w:rFonts w:eastAsia="黑体"/>
          <w:color w:val="auto"/>
          <w:sz w:val="30"/>
          <w:szCs w:val="30"/>
          <w:highlight w:val="none"/>
        </w:rPr>
      </w:pPr>
      <w:r>
        <w:rPr>
          <w:rFonts w:eastAsia="仿宋_GB2312"/>
          <w:color w:val="auto"/>
          <w:sz w:val="30"/>
          <w:szCs w:val="30"/>
          <w:highlight w:val="none"/>
        </w:rPr>
        <w:br w:type="page"/>
      </w:r>
      <w:bookmarkStart w:id="1149" w:name="_Toc27993"/>
      <w:bookmarkStart w:id="1150" w:name="_Toc19103"/>
      <w:bookmarkStart w:id="1151" w:name="_Toc5368"/>
      <w:r>
        <w:rPr>
          <w:rFonts w:eastAsia="仿宋_GB2312"/>
          <w:color w:val="auto"/>
          <w:sz w:val="30"/>
          <w:szCs w:val="30"/>
          <w:highlight w:val="none"/>
        </w:rPr>
        <w:t>附</w:t>
      </w:r>
      <w:bookmarkStart w:id="1152" w:name="_Toc296503227"/>
      <w:bookmarkStart w:id="1153" w:name="_Toc296944566"/>
      <w:bookmarkStart w:id="1154" w:name="_Toc267261698"/>
      <w:bookmarkStart w:id="1155" w:name="_Toc296346728"/>
      <w:bookmarkStart w:id="1156" w:name="_Toc296891055"/>
      <w:bookmarkStart w:id="1157" w:name="_Toc296347226"/>
      <w:bookmarkStart w:id="1158" w:name="_Toc296891267"/>
      <w:r>
        <w:rPr>
          <w:rFonts w:eastAsia="仿宋_GB2312"/>
          <w:color w:val="auto"/>
          <w:sz w:val="30"/>
          <w:szCs w:val="30"/>
          <w:highlight w:val="none"/>
        </w:rPr>
        <w:t>件</w:t>
      </w:r>
      <w:r>
        <w:rPr>
          <w:rFonts w:hint="eastAsia" w:eastAsia="仿宋_GB2312"/>
          <w:color w:val="auto"/>
          <w:sz w:val="30"/>
          <w:szCs w:val="30"/>
          <w:highlight w:val="none"/>
        </w:rPr>
        <w:t>4</w:t>
      </w:r>
      <w:r>
        <w:rPr>
          <w:rFonts w:eastAsia="仿宋_GB2312"/>
          <w:color w:val="auto"/>
          <w:sz w:val="30"/>
          <w:szCs w:val="30"/>
          <w:highlight w:val="none"/>
        </w:rPr>
        <w:t>：</w:t>
      </w:r>
      <w:bookmarkEnd w:id="1149"/>
      <w:bookmarkEnd w:id="1150"/>
      <w:bookmarkEnd w:id="1151"/>
    </w:p>
    <w:bookmarkEnd w:id="1152"/>
    <w:bookmarkEnd w:id="1153"/>
    <w:bookmarkEnd w:id="1154"/>
    <w:bookmarkEnd w:id="1155"/>
    <w:bookmarkEnd w:id="1156"/>
    <w:bookmarkEnd w:id="1157"/>
    <w:bookmarkEnd w:id="1158"/>
    <w:p w14:paraId="674349E4">
      <w:pPr>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承包人用于本工程施工的机械设备表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551C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6FFCFF32">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序号</w:t>
            </w:r>
          </w:p>
        </w:tc>
        <w:tc>
          <w:tcPr>
            <w:tcW w:w="1418" w:type="dxa"/>
            <w:tcBorders>
              <w:top w:val="single" w:color="auto" w:sz="12" w:space="0"/>
              <w:bottom w:val="double" w:color="auto" w:sz="6" w:space="0"/>
            </w:tcBorders>
            <w:noWrap w:val="0"/>
            <w:vAlign w:val="center"/>
          </w:tcPr>
          <w:p w14:paraId="5F415A20">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机械或设备名称</w:t>
            </w:r>
          </w:p>
        </w:tc>
        <w:tc>
          <w:tcPr>
            <w:tcW w:w="850" w:type="dxa"/>
            <w:tcBorders>
              <w:top w:val="single" w:color="auto" w:sz="12" w:space="0"/>
              <w:bottom w:val="double" w:color="auto" w:sz="6" w:space="0"/>
            </w:tcBorders>
            <w:noWrap w:val="0"/>
            <w:vAlign w:val="center"/>
          </w:tcPr>
          <w:p w14:paraId="0FAF38AF">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规格型号</w:t>
            </w:r>
          </w:p>
        </w:tc>
        <w:tc>
          <w:tcPr>
            <w:tcW w:w="1058" w:type="dxa"/>
            <w:tcBorders>
              <w:top w:val="single" w:color="auto" w:sz="12" w:space="0"/>
              <w:bottom w:val="double" w:color="auto" w:sz="6" w:space="0"/>
            </w:tcBorders>
            <w:noWrap w:val="0"/>
            <w:vAlign w:val="center"/>
          </w:tcPr>
          <w:p w14:paraId="527065A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数量</w:t>
            </w:r>
          </w:p>
        </w:tc>
        <w:tc>
          <w:tcPr>
            <w:tcW w:w="880" w:type="dxa"/>
            <w:tcBorders>
              <w:top w:val="single" w:color="auto" w:sz="12" w:space="0"/>
              <w:bottom w:val="double" w:color="auto" w:sz="6" w:space="0"/>
            </w:tcBorders>
            <w:noWrap w:val="0"/>
            <w:vAlign w:val="center"/>
          </w:tcPr>
          <w:p w14:paraId="04A0BF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产地</w:t>
            </w:r>
          </w:p>
        </w:tc>
        <w:tc>
          <w:tcPr>
            <w:tcW w:w="1020" w:type="dxa"/>
            <w:tcBorders>
              <w:top w:val="single" w:color="auto" w:sz="12" w:space="0"/>
              <w:bottom w:val="double" w:color="auto" w:sz="6" w:space="0"/>
            </w:tcBorders>
            <w:noWrap w:val="0"/>
            <w:vAlign w:val="center"/>
          </w:tcPr>
          <w:p w14:paraId="2F998991">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制造年份</w:t>
            </w:r>
          </w:p>
        </w:tc>
        <w:tc>
          <w:tcPr>
            <w:tcW w:w="1480" w:type="dxa"/>
            <w:tcBorders>
              <w:top w:val="single" w:color="auto" w:sz="12" w:space="0"/>
              <w:bottom w:val="double" w:color="auto" w:sz="6" w:space="0"/>
            </w:tcBorders>
            <w:noWrap w:val="0"/>
            <w:vAlign w:val="center"/>
          </w:tcPr>
          <w:p w14:paraId="17F42BF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额定功率</w:t>
            </w:r>
            <w:r>
              <w:rPr>
                <w:rFonts w:hint="eastAsia" w:eastAsia="仿宋_GB2312"/>
                <w:color w:val="auto"/>
                <w:sz w:val="28"/>
                <w:szCs w:val="30"/>
                <w:highlight w:val="none"/>
                <w:lang w:eastAsia="zh-CN"/>
              </w:rPr>
              <w:t>（</w:t>
            </w:r>
            <w:r>
              <w:rPr>
                <w:rFonts w:eastAsia="仿宋_GB2312"/>
                <w:color w:val="auto"/>
                <w:sz w:val="28"/>
                <w:szCs w:val="30"/>
                <w:highlight w:val="none"/>
              </w:rPr>
              <w:t>kW</w:t>
            </w:r>
            <w:r>
              <w:rPr>
                <w:rFonts w:hint="eastAsia" w:eastAsia="仿宋_GB2312"/>
                <w:color w:val="auto"/>
                <w:sz w:val="28"/>
                <w:szCs w:val="30"/>
                <w:highlight w:val="none"/>
                <w:lang w:eastAsia="zh-CN"/>
              </w:rPr>
              <w:t>）</w:t>
            </w:r>
          </w:p>
        </w:tc>
        <w:tc>
          <w:tcPr>
            <w:tcW w:w="1020" w:type="dxa"/>
            <w:tcBorders>
              <w:top w:val="single" w:color="auto" w:sz="12" w:space="0"/>
              <w:bottom w:val="double" w:color="auto" w:sz="6" w:space="0"/>
            </w:tcBorders>
            <w:noWrap w:val="0"/>
            <w:vAlign w:val="center"/>
          </w:tcPr>
          <w:p w14:paraId="2B7D502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921" w:type="dxa"/>
            <w:tcBorders>
              <w:top w:val="single" w:color="auto" w:sz="12" w:space="0"/>
              <w:bottom w:val="double" w:color="auto" w:sz="6" w:space="0"/>
            </w:tcBorders>
            <w:noWrap w:val="0"/>
            <w:vAlign w:val="center"/>
          </w:tcPr>
          <w:p w14:paraId="6610BA37">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备注</w:t>
            </w:r>
          </w:p>
        </w:tc>
      </w:tr>
      <w:tr w14:paraId="5D6A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0EAC5B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double" w:color="auto" w:sz="6" w:space="0"/>
              <w:bottom w:val="single" w:color="auto" w:sz="6" w:space="0"/>
            </w:tcBorders>
            <w:noWrap w:val="0"/>
            <w:vAlign w:val="center"/>
          </w:tcPr>
          <w:p w14:paraId="0CA5FB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318282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double" w:color="auto" w:sz="6" w:space="0"/>
              <w:bottom w:val="single" w:color="auto" w:sz="6" w:space="0"/>
            </w:tcBorders>
            <w:noWrap w:val="0"/>
            <w:vAlign w:val="center"/>
          </w:tcPr>
          <w:p w14:paraId="737BD0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double" w:color="auto" w:sz="6" w:space="0"/>
              <w:bottom w:val="single" w:color="auto" w:sz="6" w:space="0"/>
            </w:tcBorders>
            <w:noWrap w:val="0"/>
            <w:vAlign w:val="center"/>
          </w:tcPr>
          <w:p w14:paraId="1BB9D6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58CBBB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double" w:color="auto" w:sz="6" w:space="0"/>
              <w:bottom w:val="single" w:color="auto" w:sz="6" w:space="0"/>
            </w:tcBorders>
            <w:noWrap w:val="0"/>
            <w:vAlign w:val="center"/>
          </w:tcPr>
          <w:p w14:paraId="0EC579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1331CC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double" w:color="auto" w:sz="6" w:space="0"/>
              <w:bottom w:val="single" w:color="auto" w:sz="6" w:space="0"/>
            </w:tcBorders>
            <w:noWrap w:val="0"/>
            <w:vAlign w:val="center"/>
          </w:tcPr>
          <w:p w14:paraId="331125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60F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1C225F0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nil"/>
            </w:tcBorders>
            <w:noWrap w:val="0"/>
            <w:vAlign w:val="center"/>
          </w:tcPr>
          <w:p w14:paraId="15A3A7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E42EA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nil"/>
            </w:tcBorders>
            <w:noWrap w:val="0"/>
            <w:vAlign w:val="center"/>
          </w:tcPr>
          <w:p w14:paraId="76AC1D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nil"/>
            </w:tcBorders>
            <w:noWrap w:val="0"/>
            <w:vAlign w:val="center"/>
          </w:tcPr>
          <w:p w14:paraId="0E12BB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32E85A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nil"/>
            </w:tcBorders>
            <w:noWrap w:val="0"/>
            <w:vAlign w:val="center"/>
          </w:tcPr>
          <w:p w14:paraId="40CBC8F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6942B8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nil"/>
            </w:tcBorders>
            <w:noWrap w:val="0"/>
            <w:vAlign w:val="center"/>
          </w:tcPr>
          <w:p w14:paraId="24C7E1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F68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50041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36137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474229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1CE677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34F738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64148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528C95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DA56F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DED37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3442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9C26D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0A385D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7A6F10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2966F0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569B6C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266E5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03C685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09ABE5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24484C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E8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C68F9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22496F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D1E7F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7E4C97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57E03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053768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6E86F8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3D9B1B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ABAD3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2A5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A6739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D5C25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6A863B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0F7029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663C79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C8377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4A8538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4EC66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79F0DA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FF4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EE5472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413D9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912B0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6F230C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58491D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69C6B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4F2208E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12735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16F8F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56A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AEEAAF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66D480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5683ECE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267FCE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693B79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E664B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71AFB3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3F700E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DB3C1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4EFE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CABEA3F">
            <w:pPr>
              <w:rPr>
                <w:rFonts w:ascii="Calibri" w:hAnsi="Calibri" w:eastAsia="仿宋_GB2312"/>
                <w:color w:val="auto"/>
                <w:sz w:val="30"/>
                <w:szCs w:val="30"/>
                <w:highlight w:val="none"/>
              </w:rPr>
            </w:pPr>
          </w:p>
        </w:tc>
        <w:tc>
          <w:tcPr>
            <w:tcW w:w="1418" w:type="dxa"/>
            <w:noWrap w:val="0"/>
            <w:vAlign w:val="top"/>
          </w:tcPr>
          <w:p w14:paraId="76F3C907">
            <w:pPr>
              <w:rPr>
                <w:rFonts w:ascii="Calibri" w:hAnsi="Calibri" w:eastAsia="仿宋_GB2312"/>
                <w:color w:val="auto"/>
                <w:sz w:val="30"/>
                <w:szCs w:val="30"/>
                <w:highlight w:val="none"/>
              </w:rPr>
            </w:pPr>
          </w:p>
        </w:tc>
        <w:tc>
          <w:tcPr>
            <w:tcW w:w="850" w:type="dxa"/>
            <w:noWrap w:val="0"/>
            <w:vAlign w:val="top"/>
          </w:tcPr>
          <w:p w14:paraId="27BB9BCD">
            <w:pPr>
              <w:rPr>
                <w:rFonts w:ascii="Calibri" w:hAnsi="Calibri" w:eastAsia="仿宋_GB2312"/>
                <w:color w:val="auto"/>
                <w:sz w:val="30"/>
                <w:szCs w:val="30"/>
                <w:highlight w:val="none"/>
              </w:rPr>
            </w:pPr>
          </w:p>
        </w:tc>
        <w:tc>
          <w:tcPr>
            <w:tcW w:w="1058" w:type="dxa"/>
            <w:noWrap w:val="0"/>
            <w:vAlign w:val="top"/>
          </w:tcPr>
          <w:p w14:paraId="6A7CA578">
            <w:pPr>
              <w:rPr>
                <w:rFonts w:ascii="Calibri" w:hAnsi="Calibri" w:eastAsia="仿宋_GB2312"/>
                <w:color w:val="auto"/>
                <w:sz w:val="30"/>
                <w:szCs w:val="30"/>
                <w:highlight w:val="none"/>
              </w:rPr>
            </w:pPr>
          </w:p>
        </w:tc>
        <w:tc>
          <w:tcPr>
            <w:tcW w:w="880" w:type="dxa"/>
            <w:noWrap w:val="0"/>
            <w:vAlign w:val="top"/>
          </w:tcPr>
          <w:p w14:paraId="6318B290">
            <w:pPr>
              <w:rPr>
                <w:rFonts w:ascii="Calibri" w:hAnsi="Calibri" w:eastAsia="仿宋_GB2312"/>
                <w:color w:val="auto"/>
                <w:sz w:val="30"/>
                <w:szCs w:val="30"/>
                <w:highlight w:val="none"/>
              </w:rPr>
            </w:pPr>
          </w:p>
        </w:tc>
        <w:tc>
          <w:tcPr>
            <w:tcW w:w="1020" w:type="dxa"/>
            <w:noWrap w:val="0"/>
            <w:vAlign w:val="top"/>
          </w:tcPr>
          <w:p w14:paraId="44D99BDE">
            <w:pPr>
              <w:rPr>
                <w:rFonts w:ascii="Calibri" w:hAnsi="Calibri" w:eastAsia="仿宋_GB2312"/>
                <w:color w:val="auto"/>
                <w:sz w:val="30"/>
                <w:szCs w:val="30"/>
                <w:highlight w:val="none"/>
              </w:rPr>
            </w:pPr>
          </w:p>
        </w:tc>
        <w:tc>
          <w:tcPr>
            <w:tcW w:w="1480" w:type="dxa"/>
            <w:noWrap w:val="0"/>
            <w:vAlign w:val="top"/>
          </w:tcPr>
          <w:p w14:paraId="2B787177">
            <w:pPr>
              <w:rPr>
                <w:rFonts w:ascii="Calibri" w:hAnsi="Calibri" w:eastAsia="仿宋_GB2312"/>
                <w:color w:val="auto"/>
                <w:sz w:val="30"/>
                <w:szCs w:val="30"/>
                <w:highlight w:val="none"/>
              </w:rPr>
            </w:pPr>
          </w:p>
        </w:tc>
        <w:tc>
          <w:tcPr>
            <w:tcW w:w="1020" w:type="dxa"/>
            <w:noWrap w:val="0"/>
            <w:vAlign w:val="top"/>
          </w:tcPr>
          <w:p w14:paraId="45CA836B">
            <w:pPr>
              <w:rPr>
                <w:rFonts w:ascii="Calibri" w:hAnsi="Calibri" w:eastAsia="仿宋_GB2312"/>
                <w:color w:val="auto"/>
                <w:sz w:val="30"/>
                <w:szCs w:val="30"/>
                <w:highlight w:val="none"/>
              </w:rPr>
            </w:pPr>
          </w:p>
        </w:tc>
        <w:tc>
          <w:tcPr>
            <w:tcW w:w="921" w:type="dxa"/>
            <w:noWrap w:val="0"/>
            <w:vAlign w:val="top"/>
          </w:tcPr>
          <w:p w14:paraId="446E0DED">
            <w:pPr>
              <w:rPr>
                <w:rFonts w:ascii="Calibri" w:hAnsi="Calibri" w:eastAsia="仿宋_GB2312"/>
                <w:color w:val="auto"/>
                <w:sz w:val="30"/>
                <w:szCs w:val="30"/>
                <w:highlight w:val="none"/>
              </w:rPr>
            </w:pPr>
          </w:p>
        </w:tc>
      </w:tr>
      <w:tr w14:paraId="3CDFDE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09594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46A543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77614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4DE46D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27F1D6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34833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589A72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33E92F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4F420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17B4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ED20F8B">
            <w:pPr>
              <w:rPr>
                <w:rFonts w:ascii="Calibri" w:hAnsi="Calibri" w:eastAsia="仿宋_GB2312"/>
                <w:color w:val="auto"/>
                <w:sz w:val="30"/>
                <w:szCs w:val="30"/>
                <w:highlight w:val="none"/>
              </w:rPr>
            </w:pPr>
          </w:p>
        </w:tc>
        <w:tc>
          <w:tcPr>
            <w:tcW w:w="1418" w:type="dxa"/>
            <w:noWrap w:val="0"/>
            <w:vAlign w:val="top"/>
          </w:tcPr>
          <w:p w14:paraId="2AE0A8F7">
            <w:pPr>
              <w:rPr>
                <w:rFonts w:ascii="Calibri" w:hAnsi="Calibri" w:eastAsia="仿宋_GB2312"/>
                <w:color w:val="auto"/>
                <w:sz w:val="30"/>
                <w:szCs w:val="30"/>
                <w:highlight w:val="none"/>
              </w:rPr>
            </w:pPr>
          </w:p>
        </w:tc>
        <w:tc>
          <w:tcPr>
            <w:tcW w:w="850" w:type="dxa"/>
            <w:noWrap w:val="0"/>
            <w:vAlign w:val="top"/>
          </w:tcPr>
          <w:p w14:paraId="34B06109">
            <w:pPr>
              <w:rPr>
                <w:rFonts w:ascii="Calibri" w:hAnsi="Calibri" w:eastAsia="仿宋_GB2312"/>
                <w:color w:val="auto"/>
                <w:sz w:val="30"/>
                <w:szCs w:val="30"/>
                <w:highlight w:val="none"/>
              </w:rPr>
            </w:pPr>
          </w:p>
        </w:tc>
        <w:tc>
          <w:tcPr>
            <w:tcW w:w="1058" w:type="dxa"/>
            <w:noWrap w:val="0"/>
            <w:vAlign w:val="top"/>
          </w:tcPr>
          <w:p w14:paraId="17323A13">
            <w:pPr>
              <w:rPr>
                <w:rFonts w:ascii="Calibri" w:hAnsi="Calibri" w:eastAsia="仿宋_GB2312"/>
                <w:color w:val="auto"/>
                <w:sz w:val="30"/>
                <w:szCs w:val="30"/>
                <w:highlight w:val="none"/>
              </w:rPr>
            </w:pPr>
          </w:p>
        </w:tc>
        <w:tc>
          <w:tcPr>
            <w:tcW w:w="880" w:type="dxa"/>
            <w:noWrap w:val="0"/>
            <w:vAlign w:val="top"/>
          </w:tcPr>
          <w:p w14:paraId="28FE04AB">
            <w:pPr>
              <w:rPr>
                <w:rFonts w:ascii="Calibri" w:hAnsi="Calibri" w:eastAsia="仿宋_GB2312"/>
                <w:color w:val="auto"/>
                <w:sz w:val="30"/>
                <w:szCs w:val="30"/>
                <w:highlight w:val="none"/>
              </w:rPr>
            </w:pPr>
          </w:p>
        </w:tc>
        <w:tc>
          <w:tcPr>
            <w:tcW w:w="1020" w:type="dxa"/>
            <w:noWrap w:val="0"/>
            <w:vAlign w:val="top"/>
          </w:tcPr>
          <w:p w14:paraId="4D09B42B">
            <w:pPr>
              <w:rPr>
                <w:rFonts w:ascii="Calibri" w:hAnsi="Calibri" w:eastAsia="仿宋_GB2312"/>
                <w:color w:val="auto"/>
                <w:sz w:val="30"/>
                <w:szCs w:val="30"/>
                <w:highlight w:val="none"/>
              </w:rPr>
            </w:pPr>
          </w:p>
        </w:tc>
        <w:tc>
          <w:tcPr>
            <w:tcW w:w="1480" w:type="dxa"/>
            <w:noWrap w:val="0"/>
            <w:vAlign w:val="top"/>
          </w:tcPr>
          <w:p w14:paraId="43466C94">
            <w:pPr>
              <w:rPr>
                <w:rFonts w:ascii="Calibri" w:hAnsi="Calibri" w:eastAsia="仿宋_GB2312"/>
                <w:color w:val="auto"/>
                <w:sz w:val="30"/>
                <w:szCs w:val="30"/>
                <w:highlight w:val="none"/>
              </w:rPr>
            </w:pPr>
          </w:p>
        </w:tc>
        <w:tc>
          <w:tcPr>
            <w:tcW w:w="1020" w:type="dxa"/>
            <w:noWrap w:val="0"/>
            <w:vAlign w:val="top"/>
          </w:tcPr>
          <w:p w14:paraId="0923A77A">
            <w:pPr>
              <w:rPr>
                <w:rFonts w:ascii="Calibri" w:hAnsi="Calibri" w:eastAsia="仿宋_GB2312"/>
                <w:color w:val="auto"/>
                <w:sz w:val="30"/>
                <w:szCs w:val="30"/>
                <w:highlight w:val="none"/>
              </w:rPr>
            </w:pPr>
          </w:p>
        </w:tc>
        <w:tc>
          <w:tcPr>
            <w:tcW w:w="921" w:type="dxa"/>
            <w:noWrap w:val="0"/>
            <w:vAlign w:val="top"/>
          </w:tcPr>
          <w:p w14:paraId="5BE4CD20">
            <w:pPr>
              <w:rPr>
                <w:rFonts w:ascii="Calibri" w:hAnsi="Calibri" w:eastAsia="仿宋_GB2312"/>
                <w:color w:val="auto"/>
                <w:sz w:val="30"/>
                <w:szCs w:val="30"/>
                <w:highlight w:val="none"/>
              </w:rPr>
            </w:pPr>
          </w:p>
        </w:tc>
      </w:tr>
      <w:tr w14:paraId="582B44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7629A87">
            <w:pPr>
              <w:rPr>
                <w:rFonts w:ascii="Calibri" w:hAnsi="Calibri" w:eastAsia="仿宋_GB2312"/>
                <w:color w:val="auto"/>
                <w:sz w:val="30"/>
                <w:szCs w:val="30"/>
                <w:highlight w:val="none"/>
              </w:rPr>
            </w:pPr>
          </w:p>
        </w:tc>
        <w:tc>
          <w:tcPr>
            <w:tcW w:w="1418" w:type="dxa"/>
            <w:noWrap w:val="0"/>
            <w:vAlign w:val="top"/>
          </w:tcPr>
          <w:p w14:paraId="753FB143">
            <w:pPr>
              <w:rPr>
                <w:rFonts w:ascii="Calibri" w:hAnsi="Calibri" w:eastAsia="仿宋_GB2312"/>
                <w:color w:val="auto"/>
                <w:sz w:val="30"/>
                <w:szCs w:val="30"/>
                <w:highlight w:val="none"/>
              </w:rPr>
            </w:pPr>
          </w:p>
        </w:tc>
        <w:tc>
          <w:tcPr>
            <w:tcW w:w="850" w:type="dxa"/>
            <w:noWrap w:val="0"/>
            <w:vAlign w:val="top"/>
          </w:tcPr>
          <w:p w14:paraId="4AAD1334">
            <w:pPr>
              <w:rPr>
                <w:rFonts w:ascii="Calibri" w:hAnsi="Calibri" w:eastAsia="仿宋_GB2312"/>
                <w:color w:val="auto"/>
                <w:sz w:val="30"/>
                <w:szCs w:val="30"/>
                <w:highlight w:val="none"/>
              </w:rPr>
            </w:pPr>
          </w:p>
        </w:tc>
        <w:tc>
          <w:tcPr>
            <w:tcW w:w="1058" w:type="dxa"/>
            <w:noWrap w:val="0"/>
            <w:vAlign w:val="top"/>
          </w:tcPr>
          <w:p w14:paraId="1F7A5A12">
            <w:pPr>
              <w:rPr>
                <w:rFonts w:ascii="Calibri" w:hAnsi="Calibri" w:eastAsia="仿宋_GB2312"/>
                <w:color w:val="auto"/>
                <w:sz w:val="30"/>
                <w:szCs w:val="30"/>
                <w:highlight w:val="none"/>
              </w:rPr>
            </w:pPr>
          </w:p>
        </w:tc>
        <w:tc>
          <w:tcPr>
            <w:tcW w:w="880" w:type="dxa"/>
            <w:noWrap w:val="0"/>
            <w:vAlign w:val="top"/>
          </w:tcPr>
          <w:p w14:paraId="041C62AB">
            <w:pPr>
              <w:rPr>
                <w:rFonts w:ascii="Calibri" w:hAnsi="Calibri" w:eastAsia="仿宋_GB2312"/>
                <w:color w:val="auto"/>
                <w:sz w:val="30"/>
                <w:szCs w:val="30"/>
                <w:highlight w:val="none"/>
              </w:rPr>
            </w:pPr>
          </w:p>
        </w:tc>
        <w:tc>
          <w:tcPr>
            <w:tcW w:w="1020" w:type="dxa"/>
            <w:noWrap w:val="0"/>
            <w:vAlign w:val="top"/>
          </w:tcPr>
          <w:p w14:paraId="7042D02B">
            <w:pPr>
              <w:rPr>
                <w:rFonts w:ascii="Calibri" w:hAnsi="Calibri" w:eastAsia="仿宋_GB2312"/>
                <w:color w:val="auto"/>
                <w:sz w:val="30"/>
                <w:szCs w:val="30"/>
                <w:highlight w:val="none"/>
              </w:rPr>
            </w:pPr>
          </w:p>
        </w:tc>
        <w:tc>
          <w:tcPr>
            <w:tcW w:w="1480" w:type="dxa"/>
            <w:noWrap w:val="0"/>
            <w:vAlign w:val="top"/>
          </w:tcPr>
          <w:p w14:paraId="36BD89EA">
            <w:pPr>
              <w:rPr>
                <w:rFonts w:ascii="Calibri" w:hAnsi="Calibri" w:eastAsia="仿宋_GB2312"/>
                <w:color w:val="auto"/>
                <w:sz w:val="30"/>
                <w:szCs w:val="30"/>
                <w:highlight w:val="none"/>
              </w:rPr>
            </w:pPr>
          </w:p>
        </w:tc>
        <w:tc>
          <w:tcPr>
            <w:tcW w:w="1020" w:type="dxa"/>
            <w:noWrap w:val="0"/>
            <w:vAlign w:val="top"/>
          </w:tcPr>
          <w:p w14:paraId="6551E387">
            <w:pPr>
              <w:rPr>
                <w:rFonts w:ascii="Calibri" w:hAnsi="Calibri" w:eastAsia="仿宋_GB2312"/>
                <w:color w:val="auto"/>
                <w:sz w:val="30"/>
                <w:szCs w:val="30"/>
                <w:highlight w:val="none"/>
              </w:rPr>
            </w:pPr>
          </w:p>
        </w:tc>
        <w:tc>
          <w:tcPr>
            <w:tcW w:w="921" w:type="dxa"/>
            <w:noWrap w:val="0"/>
            <w:vAlign w:val="top"/>
          </w:tcPr>
          <w:p w14:paraId="5DEC6E8F">
            <w:pPr>
              <w:rPr>
                <w:rFonts w:ascii="Calibri" w:hAnsi="Calibri" w:eastAsia="仿宋_GB2312"/>
                <w:color w:val="auto"/>
                <w:sz w:val="30"/>
                <w:szCs w:val="30"/>
                <w:highlight w:val="none"/>
              </w:rPr>
            </w:pPr>
          </w:p>
        </w:tc>
      </w:tr>
      <w:tr w14:paraId="14323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8A63A3E">
            <w:pPr>
              <w:rPr>
                <w:rFonts w:ascii="Calibri" w:hAnsi="Calibri" w:eastAsia="仿宋_GB2312"/>
                <w:color w:val="auto"/>
                <w:sz w:val="30"/>
                <w:szCs w:val="30"/>
                <w:highlight w:val="none"/>
              </w:rPr>
            </w:pPr>
          </w:p>
        </w:tc>
        <w:tc>
          <w:tcPr>
            <w:tcW w:w="1418" w:type="dxa"/>
            <w:noWrap w:val="0"/>
            <w:vAlign w:val="top"/>
          </w:tcPr>
          <w:p w14:paraId="1C7F46D6">
            <w:pPr>
              <w:rPr>
                <w:rFonts w:ascii="Calibri" w:hAnsi="Calibri" w:eastAsia="仿宋_GB2312"/>
                <w:color w:val="auto"/>
                <w:sz w:val="30"/>
                <w:szCs w:val="30"/>
                <w:highlight w:val="none"/>
              </w:rPr>
            </w:pPr>
          </w:p>
        </w:tc>
        <w:tc>
          <w:tcPr>
            <w:tcW w:w="850" w:type="dxa"/>
            <w:noWrap w:val="0"/>
            <w:vAlign w:val="top"/>
          </w:tcPr>
          <w:p w14:paraId="492FA62B">
            <w:pPr>
              <w:rPr>
                <w:rFonts w:ascii="Calibri" w:hAnsi="Calibri" w:eastAsia="仿宋_GB2312"/>
                <w:color w:val="auto"/>
                <w:sz w:val="30"/>
                <w:szCs w:val="30"/>
                <w:highlight w:val="none"/>
              </w:rPr>
            </w:pPr>
          </w:p>
        </w:tc>
        <w:tc>
          <w:tcPr>
            <w:tcW w:w="1058" w:type="dxa"/>
            <w:noWrap w:val="0"/>
            <w:vAlign w:val="top"/>
          </w:tcPr>
          <w:p w14:paraId="03687FC1">
            <w:pPr>
              <w:rPr>
                <w:rFonts w:ascii="Calibri" w:hAnsi="Calibri" w:eastAsia="仿宋_GB2312"/>
                <w:color w:val="auto"/>
                <w:sz w:val="30"/>
                <w:szCs w:val="30"/>
                <w:highlight w:val="none"/>
              </w:rPr>
            </w:pPr>
          </w:p>
        </w:tc>
        <w:tc>
          <w:tcPr>
            <w:tcW w:w="880" w:type="dxa"/>
            <w:noWrap w:val="0"/>
            <w:vAlign w:val="top"/>
          </w:tcPr>
          <w:p w14:paraId="08233CA0">
            <w:pPr>
              <w:rPr>
                <w:rFonts w:ascii="Calibri" w:hAnsi="Calibri" w:eastAsia="仿宋_GB2312"/>
                <w:color w:val="auto"/>
                <w:sz w:val="30"/>
                <w:szCs w:val="30"/>
                <w:highlight w:val="none"/>
              </w:rPr>
            </w:pPr>
          </w:p>
        </w:tc>
        <w:tc>
          <w:tcPr>
            <w:tcW w:w="1020" w:type="dxa"/>
            <w:noWrap w:val="0"/>
            <w:vAlign w:val="top"/>
          </w:tcPr>
          <w:p w14:paraId="11387FB3">
            <w:pPr>
              <w:rPr>
                <w:rFonts w:ascii="Calibri" w:hAnsi="Calibri" w:eastAsia="仿宋_GB2312"/>
                <w:color w:val="auto"/>
                <w:sz w:val="30"/>
                <w:szCs w:val="30"/>
                <w:highlight w:val="none"/>
              </w:rPr>
            </w:pPr>
          </w:p>
        </w:tc>
        <w:tc>
          <w:tcPr>
            <w:tcW w:w="1480" w:type="dxa"/>
            <w:noWrap w:val="0"/>
            <w:vAlign w:val="top"/>
          </w:tcPr>
          <w:p w14:paraId="3EAFDACB">
            <w:pPr>
              <w:rPr>
                <w:rFonts w:ascii="Calibri" w:hAnsi="Calibri" w:eastAsia="仿宋_GB2312"/>
                <w:color w:val="auto"/>
                <w:sz w:val="30"/>
                <w:szCs w:val="30"/>
                <w:highlight w:val="none"/>
              </w:rPr>
            </w:pPr>
          </w:p>
        </w:tc>
        <w:tc>
          <w:tcPr>
            <w:tcW w:w="1020" w:type="dxa"/>
            <w:noWrap w:val="0"/>
            <w:vAlign w:val="top"/>
          </w:tcPr>
          <w:p w14:paraId="375C82DC">
            <w:pPr>
              <w:rPr>
                <w:rFonts w:ascii="Calibri" w:hAnsi="Calibri" w:eastAsia="仿宋_GB2312"/>
                <w:color w:val="auto"/>
                <w:sz w:val="30"/>
                <w:szCs w:val="30"/>
                <w:highlight w:val="none"/>
              </w:rPr>
            </w:pPr>
          </w:p>
        </w:tc>
        <w:tc>
          <w:tcPr>
            <w:tcW w:w="921" w:type="dxa"/>
            <w:noWrap w:val="0"/>
            <w:vAlign w:val="top"/>
          </w:tcPr>
          <w:p w14:paraId="060A9564">
            <w:pPr>
              <w:rPr>
                <w:rFonts w:ascii="Calibri" w:hAnsi="Calibri" w:eastAsia="仿宋_GB2312"/>
                <w:color w:val="auto"/>
                <w:sz w:val="30"/>
                <w:szCs w:val="30"/>
                <w:highlight w:val="none"/>
              </w:rPr>
            </w:pPr>
          </w:p>
        </w:tc>
      </w:tr>
      <w:tr w14:paraId="3B84E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A3A0192">
            <w:pPr>
              <w:rPr>
                <w:rFonts w:ascii="Calibri" w:hAnsi="Calibri" w:eastAsia="仿宋_GB2312"/>
                <w:color w:val="auto"/>
                <w:sz w:val="30"/>
                <w:szCs w:val="30"/>
                <w:highlight w:val="none"/>
              </w:rPr>
            </w:pPr>
          </w:p>
        </w:tc>
        <w:tc>
          <w:tcPr>
            <w:tcW w:w="1418" w:type="dxa"/>
            <w:noWrap w:val="0"/>
            <w:vAlign w:val="top"/>
          </w:tcPr>
          <w:p w14:paraId="02503292">
            <w:pPr>
              <w:rPr>
                <w:rFonts w:ascii="Calibri" w:hAnsi="Calibri" w:eastAsia="仿宋_GB2312"/>
                <w:color w:val="auto"/>
                <w:sz w:val="30"/>
                <w:szCs w:val="30"/>
                <w:highlight w:val="none"/>
              </w:rPr>
            </w:pPr>
          </w:p>
        </w:tc>
        <w:tc>
          <w:tcPr>
            <w:tcW w:w="850" w:type="dxa"/>
            <w:noWrap w:val="0"/>
            <w:vAlign w:val="top"/>
          </w:tcPr>
          <w:p w14:paraId="4E328676">
            <w:pPr>
              <w:rPr>
                <w:rFonts w:ascii="Calibri" w:hAnsi="Calibri" w:eastAsia="仿宋_GB2312"/>
                <w:color w:val="auto"/>
                <w:sz w:val="30"/>
                <w:szCs w:val="30"/>
                <w:highlight w:val="none"/>
              </w:rPr>
            </w:pPr>
          </w:p>
        </w:tc>
        <w:tc>
          <w:tcPr>
            <w:tcW w:w="1058" w:type="dxa"/>
            <w:noWrap w:val="0"/>
            <w:vAlign w:val="top"/>
          </w:tcPr>
          <w:p w14:paraId="4496E5E4">
            <w:pPr>
              <w:rPr>
                <w:rFonts w:ascii="Calibri" w:hAnsi="Calibri" w:eastAsia="仿宋_GB2312"/>
                <w:color w:val="auto"/>
                <w:sz w:val="30"/>
                <w:szCs w:val="30"/>
                <w:highlight w:val="none"/>
              </w:rPr>
            </w:pPr>
          </w:p>
        </w:tc>
        <w:tc>
          <w:tcPr>
            <w:tcW w:w="880" w:type="dxa"/>
            <w:noWrap w:val="0"/>
            <w:vAlign w:val="top"/>
          </w:tcPr>
          <w:p w14:paraId="1F8B706D">
            <w:pPr>
              <w:rPr>
                <w:rFonts w:ascii="Calibri" w:hAnsi="Calibri" w:eastAsia="仿宋_GB2312"/>
                <w:color w:val="auto"/>
                <w:sz w:val="30"/>
                <w:szCs w:val="30"/>
                <w:highlight w:val="none"/>
              </w:rPr>
            </w:pPr>
          </w:p>
        </w:tc>
        <w:tc>
          <w:tcPr>
            <w:tcW w:w="1020" w:type="dxa"/>
            <w:noWrap w:val="0"/>
            <w:vAlign w:val="top"/>
          </w:tcPr>
          <w:p w14:paraId="2B196D3C">
            <w:pPr>
              <w:rPr>
                <w:rFonts w:ascii="Calibri" w:hAnsi="Calibri" w:eastAsia="仿宋_GB2312"/>
                <w:color w:val="auto"/>
                <w:sz w:val="30"/>
                <w:szCs w:val="30"/>
                <w:highlight w:val="none"/>
              </w:rPr>
            </w:pPr>
          </w:p>
        </w:tc>
        <w:tc>
          <w:tcPr>
            <w:tcW w:w="1480" w:type="dxa"/>
            <w:noWrap w:val="0"/>
            <w:vAlign w:val="top"/>
          </w:tcPr>
          <w:p w14:paraId="0588605C">
            <w:pPr>
              <w:rPr>
                <w:rFonts w:ascii="Calibri" w:hAnsi="Calibri" w:eastAsia="仿宋_GB2312"/>
                <w:color w:val="auto"/>
                <w:sz w:val="30"/>
                <w:szCs w:val="30"/>
                <w:highlight w:val="none"/>
              </w:rPr>
            </w:pPr>
          </w:p>
        </w:tc>
        <w:tc>
          <w:tcPr>
            <w:tcW w:w="1020" w:type="dxa"/>
            <w:noWrap w:val="0"/>
            <w:vAlign w:val="top"/>
          </w:tcPr>
          <w:p w14:paraId="2EF39313">
            <w:pPr>
              <w:rPr>
                <w:rFonts w:ascii="Calibri" w:hAnsi="Calibri" w:eastAsia="仿宋_GB2312"/>
                <w:color w:val="auto"/>
                <w:sz w:val="30"/>
                <w:szCs w:val="30"/>
                <w:highlight w:val="none"/>
              </w:rPr>
            </w:pPr>
          </w:p>
        </w:tc>
        <w:tc>
          <w:tcPr>
            <w:tcW w:w="921" w:type="dxa"/>
            <w:noWrap w:val="0"/>
            <w:vAlign w:val="top"/>
          </w:tcPr>
          <w:p w14:paraId="0839474D">
            <w:pPr>
              <w:rPr>
                <w:rFonts w:ascii="Calibri" w:hAnsi="Calibri" w:eastAsia="仿宋_GB2312"/>
                <w:color w:val="auto"/>
                <w:sz w:val="30"/>
                <w:szCs w:val="30"/>
                <w:highlight w:val="none"/>
              </w:rPr>
            </w:pPr>
          </w:p>
        </w:tc>
      </w:tr>
      <w:tr w14:paraId="6A055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B607C29">
            <w:pPr>
              <w:rPr>
                <w:rFonts w:ascii="Calibri" w:hAnsi="Calibri" w:eastAsia="仿宋_GB2312"/>
                <w:color w:val="auto"/>
                <w:sz w:val="30"/>
                <w:szCs w:val="30"/>
                <w:highlight w:val="none"/>
              </w:rPr>
            </w:pPr>
          </w:p>
        </w:tc>
        <w:tc>
          <w:tcPr>
            <w:tcW w:w="1418" w:type="dxa"/>
            <w:noWrap w:val="0"/>
            <w:vAlign w:val="top"/>
          </w:tcPr>
          <w:p w14:paraId="5C4981C6">
            <w:pPr>
              <w:rPr>
                <w:rFonts w:ascii="Calibri" w:hAnsi="Calibri" w:eastAsia="仿宋_GB2312"/>
                <w:color w:val="auto"/>
                <w:sz w:val="30"/>
                <w:szCs w:val="30"/>
                <w:highlight w:val="none"/>
              </w:rPr>
            </w:pPr>
          </w:p>
        </w:tc>
        <w:tc>
          <w:tcPr>
            <w:tcW w:w="850" w:type="dxa"/>
            <w:noWrap w:val="0"/>
            <w:vAlign w:val="top"/>
          </w:tcPr>
          <w:p w14:paraId="4D2E64C9">
            <w:pPr>
              <w:rPr>
                <w:rFonts w:ascii="Calibri" w:hAnsi="Calibri" w:eastAsia="仿宋_GB2312"/>
                <w:color w:val="auto"/>
                <w:sz w:val="30"/>
                <w:szCs w:val="30"/>
                <w:highlight w:val="none"/>
              </w:rPr>
            </w:pPr>
          </w:p>
        </w:tc>
        <w:tc>
          <w:tcPr>
            <w:tcW w:w="1058" w:type="dxa"/>
            <w:noWrap w:val="0"/>
            <w:vAlign w:val="top"/>
          </w:tcPr>
          <w:p w14:paraId="506BA8C8">
            <w:pPr>
              <w:rPr>
                <w:rFonts w:ascii="Calibri" w:hAnsi="Calibri" w:eastAsia="仿宋_GB2312"/>
                <w:color w:val="auto"/>
                <w:sz w:val="30"/>
                <w:szCs w:val="30"/>
                <w:highlight w:val="none"/>
              </w:rPr>
            </w:pPr>
          </w:p>
        </w:tc>
        <w:tc>
          <w:tcPr>
            <w:tcW w:w="880" w:type="dxa"/>
            <w:noWrap w:val="0"/>
            <w:vAlign w:val="top"/>
          </w:tcPr>
          <w:p w14:paraId="3406BBB7">
            <w:pPr>
              <w:rPr>
                <w:rFonts w:ascii="Calibri" w:hAnsi="Calibri" w:eastAsia="仿宋_GB2312"/>
                <w:color w:val="auto"/>
                <w:sz w:val="30"/>
                <w:szCs w:val="30"/>
                <w:highlight w:val="none"/>
              </w:rPr>
            </w:pPr>
          </w:p>
        </w:tc>
        <w:tc>
          <w:tcPr>
            <w:tcW w:w="1020" w:type="dxa"/>
            <w:noWrap w:val="0"/>
            <w:vAlign w:val="top"/>
          </w:tcPr>
          <w:p w14:paraId="4E58F7F2">
            <w:pPr>
              <w:rPr>
                <w:rFonts w:ascii="Calibri" w:hAnsi="Calibri" w:eastAsia="仿宋_GB2312"/>
                <w:color w:val="auto"/>
                <w:sz w:val="30"/>
                <w:szCs w:val="30"/>
                <w:highlight w:val="none"/>
              </w:rPr>
            </w:pPr>
          </w:p>
        </w:tc>
        <w:tc>
          <w:tcPr>
            <w:tcW w:w="1480" w:type="dxa"/>
            <w:noWrap w:val="0"/>
            <w:vAlign w:val="top"/>
          </w:tcPr>
          <w:p w14:paraId="4B29D2BC">
            <w:pPr>
              <w:rPr>
                <w:rFonts w:ascii="Calibri" w:hAnsi="Calibri" w:eastAsia="仿宋_GB2312"/>
                <w:color w:val="auto"/>
                <w:sz w:val="30"/>
                <w:szCs w:val="30"/>
                <w:highlight w:val="none"/>
              </w:rPr>
            </w:pPr>
          </w:p>
        </w:tc>
        <w:tc>
          <w:tcPr>
            <w:tcW w:w="1020" w:type="dxa"/>
            <w:noWrap w:val="0"/>
            <w:vAlign w:val="top"/>
          </w:tcPr>
          <w:p w14:paraId="0396030A">
            <w:pPr>
              <w:rPr>
                <w:rFonts w:ascii="Calibri" w:hAnsi="Calibri" w:eastAsia="仿宋_GB2312"/>
                <w:color w:val="auto"/>
                <w:sz w:val="30"/>
                <w:szCs w:val="30"/>
                <w:highlight w:val="none"/>
              </w:rPr>
            </w:pPr>
          </w:p>
        </w:tc>
        <w:tc>
          <w:tcPr>
            <w:tcW w:w="921" w:type="dxa"/>
            <w:noWrap w:val="0"/>
            <w:vAlign w:val="top"/>
          </w:tcPr>
          <w:p w14:paraId="71BE40D9">
            <w:pPr>
              <w:rPr>
                <w:rFonts w:ascii="Calibri" w:hAnsi="Calibri" w:eastAsia="仿宋_GB2312"/>
                <w:color w:val="auto"/>
                <w:sz w:val="30"/>
                <w:szCs w:val="30"/>
                <w:highlight w:val="none"/>
              </w:rPr>
            </w:pPr>
          </w:p>
        </w:tc>
      </w:tr>
      <w:tr w14:paraId="6A00D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0ACC20E">
            <w:pPr>
              <w:rPr>
                <w:rFonts w:ascii="Calibri" w:hAnsi="Calibri" w:eastAsia="仿宋_GB2312"/>
                <w:color w:val="auto"/>
                <w:sz w:val="30"/>
                <w:szCs w:val="30"/>
                <w:highlight w:val="none"/>
              </w:rPr>
            </w:pPr>
          </w:p>
        </w:tc>
        <w:tc>
          <w:tcPr>
            <w:tcW w:w="1418" w:type="dxa"/>
            <w:noWrap w:val="0"/>
            <w:vAlign w:val="top"/>
          </w:tcPr>
          <w:p w14:paraId="56E755D8">
            <w:pPr>
              <w:rPr>
                <w:rFonts w:ascii="Calibri" w:hAnsi="Calibri" w:eastAsia="仿宋_GB2312"/>
                <w:color w:val="auto"/>
                <w:sz w:val="30"/>
                <w:szCs w:val="30"/>
                <w:highlight w:val="none"/>
              </w:rPr>
            </w:pPr>
          </w:p>
        </w:tc>
        <w:tc>
          <w:tcPr>
            <w:tcW w:w="850" w:type="dxa"/>
            <w:noWrap w:val="0"/>
            <w:vAlign w:val="top"/>
          </w:tcPr>
          <w:p w14:paraId="2ECC932F">
            <w:pPr>
              <w:rPr>
                <w:rFonts w:ascii="Calibri" w:hAnsi="Calibri" w:eastAsia="仿宋_GB2312"/>
                <w:color w:val="auto"/>
                <w:sz w:val="30"/>
                <w:szCs w:val="30"/>
                <w:highlight w:val="none"/>
              </w:rPr>
            </w:pPr>
          </w:p>
        </w:tc>
        <w:tc>
          <w:tcPr>
            <w:tcW w:w="1058" w:type="dxa"/>
            <w:noWrap w:val="0"/>
            <w:vAlign w:val="top"/>
          </w:tcPr>
          <w:p w14:paraId="41BA6CB9">
            <w:pPr>
              <w:rPr>
                <w:rFonts w:ascii="Calibri" w:hAnsi="Calibri" w:eastAsia="仿宋_GB2312"/>
                <w:color w:val="auto"/>
                <w:sz w:val="30"/>
                <w:szCs w:val="30"/>
                <w:highlight w:val="none"/>
              </w:rPr>
            </w:pPr>
          </w:p>
        </w:tc>
        <w:tc>
          <w:tcPr>
            <w:tcW w:w="880" w:type="dxa"/>
            <w:noWrap w:val="0"/>
            <w:vAlign w:val="top"/>
          </w:tcPr>
          <w:p w14:paraId="49395563">
            <w:pPr>
              <w:rPr>
                <w:rFonts w:ascii="Calibri" w:hAnsi="Calibri" w:eastAsia="仿宋_GB2312"/>
                <w:color w:val="auto"/>
                <w:sz w:val="30"/>
                <w:szCs w:val="30"/>
                <w:highlight w:val="none"/>
              </w:rPr>
            </w:pPr>
          </w:p>
        </w:tc>
        <w:tc>
          <w:tcPr>
            <w:tcW w:w="1020" w:type="dxa"/>
            <w:noWrap w:val="0"/>
            <w:vAlign w:val="top"/>
          </w:tcPr>
          <w:p w14:paraId="0D1D9DED">
            <w:pPr>
              <w:rPr>
                <w:rFonts w:ascii="Calibri" w:hAnsi="Calibri" w:eastAsia="仿宋_GB2312"/>
                <w:color w:val="auto"/>
                <w:sz w:val="30"/>
                <w:szCs w:val="30"/>
                <w:highlight w:val="none"/>
              </w:rPr>
            </w:pPr>
          </w:p>
        </w:tc>
        <w:tc>
          <w:tcPr>
            <w:tcW w:w="1480" w:type="dxa"/>
            <w:noWrap w:val="0"/>
            <w:vAlign w:val="top"/>
          </w:tcPr>
          <w:p w14:paraId="0E0C6B19">
            <w:pPr>
              <w:rPr>
                <w:rFonts w:ascii="Calibri" w:hAnsi="Calibri" w:eastAsia="仿宋_GB2312"/>
                <w:color w:val="auto"/>
                <w:sz w:val="30"/>
                <w:szCs w:val="30"/>
                <w:highlight w:val="none"/>
              </w:rPr>
            </w:pPr>
          </w:p>
        </w:tc>
        <w:tc>
          <w:tcPr>
            <w:tcW w:w="1020" w:type="dxa"/>
            <w:noWrap w:val="0"/>
            <w:vAlign w:val="top"/>
          </w:tcPr>
          <w:p w14:paraId="3EC1F073">
            <w:pPr>
              <w:rPr>
                <w:rFonts w:ascii="Calibri" w:hAnsi="Calibri" w:eastAsia="仿宋_GB2312"/>
                <w:color w:val="auto"/>
                <w:sz w:val="30"/>
                <w:szCs w:val="30"/>
                <w:highlight w:val="none"/>
              </w:rPr>
            </w:pPr>
          </w:p>
        </w:tc>
        <w:tc>
          <w:tcPr>
            <w:tcW w:w="921" w:type="dxa"/>
            <w:noWrap w:val="0"/>
            <w:vAlign w:val="top"/>
          </w:tcPr>
          <w:p w14:paraId="4E3AE967">
            <w:pPr>
              <w:rPr>
                <w:rFonts w:ascii="Calibri" w:hAnsi="Calibri" w:eastAsia="仿宋_GB2312"/>
                <w:color w:val="auto"/>
                <w:sz w:val="30"/>
                <w:szCs w:val="30"/>
                <w:highlight w:val="none"/>
              </w:rPr>
            </w:pPr>
          </w:p>
        </w:tc>
      </w:tr>
      <w:tr w14:paraId="5D386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28BCDE3">
            <w:pPr>
              <w:rPr>
                <w:rFonts w:ascii="Calibri" w:hAnsi="Calibri" w:eastAsia="仿宋_GB2312"/>
                <w:color w:val="auto"/>
                <w:sz w:val="30"/>
                <w:szCs w:val="30"/>
                <w:highlight w:val="none"/>
              </w:rPr>
            </w:pPr>
          </w:p>
        </w:tc>
        <w:tc>
          <w:tcPr>
            <w:tcW w:w="1418" w:type="dxa"/>
            <w:noWrap w:val="0"/>
            <w:vAlign w:val="top"/>
          </w:tcPr>
          <w:p w14:paraId="07D7DD51">
            <w:pPr>
              <w:rPr>
                <w:rFonts w:ascii="Calibri" w:hAnsi="Calibri" w:eastAsia="仿宋_GB2312"/>
                <w:color w:val="auto"/>
                <w:sz w:val="30"/>
                <w:szCs w:val="30"/>
                <w:highlight w:val="none"/>
              </w:rPr>
            </w:pPr>
          </w:p>
        </w:tc>
        <w:tc>
          <w:tcPr>
            <w:tcW w:w="850" w:type="dxa"/>
            <w:noWrap w:val="0"/>
            <w:vAlign w:val="top"/>
          </w:tcPr>
          <w:p w14:paraId="51719593">
            <w:pPr>
              <w:rPr>
                <w:rFonts w:ascii="Calibri" w:hAnsi="Calibri" w:eastAsia="仿宋_GB2312"/>
                <w:color w:val="auto"/>
                <w:sz w:val="30"/>
                <w:szCs w:val="30"/>
                <w:highlight w:val="none"/>
              </w:rPr>
            </w:pPr>
          </w:p>
        </w:tc>
        <w:tc>
          <w:tcPr>
            <w:tcW w:w="1058" w:type="dxa"/>
            <w:noWrap w:val="0"/>
            <w:vAlign w:val="top"/>
          </w:tcPr>
          <w:p w14:paraId="4C5345CD">
            <w:pPr>
              <w:rPr>
                <w:rFonts w:ascii="Calibri" w:hAnsi="Calibri" w:eastAsia="仿宋_GB2312"/>
                <w:color w:val="auto"/>
                <w:sz w:val="30"/>
                <w:szCs w:val="30"/>
                <w:highlight w:val="none"/>
              </w:rPr>
            </w:pPr>
          </w:p>
        </w:tc>
        <w:tc>
          <w:tcPr>
            <w:tcW w:w="880" w:type="dxa"/>
            <w:noWrap w:val="0"/>
            <w:vAlign w:val="top"/>
          </w:tcPr>
          <w:p w14:paraId="6C837316">
            <w:pPr>
              <w:rPr>
                <w:rFonts w:ascii="Calibri" w:hAnsi="Calibri" w:eastAsia="仿宋_GB2312"/>
                <w:color w:val="auto"/>
                <w:sz w:val="30"/>
                <w:szCs w:val="30"/>
                <w:highlight w:val="none"/>
              </w:rPr>
            </w:pPr>
          </w:p>
        </w:tc>
        <w:tc>
          <w:tcPr>
            <w:tcW w:w="1020" w:type="dxa"/>
            <w:noWrap w:val="0"/>
            <w:vAlign w:val="top"/>
          </w:tcPr>
          <w:p w14:paraId="38132E56">
            <w:pPr>
              <w:rPr>
                <w:rFonts w:ascii="Calibri" w:hAnsi="Calibri" w:eastAsia="仿宋_GB2312"/>
                <w:color w:val="auto"/>
                <w:sz w:val="30"/>
                <w:szCs w:val="30"/>
                <w:highlight w:val="none"/>
              </w:rPr>
            </w:pPr>
          </w:p>
        </w:tc>
        <w:tc>
          <w:tcPr>
            <w:tcW w:w="1480" w:type="dxa"/>
            <w:noWrap w:val="0"/>
            <w:vAlign w:val="top"/>
          </w:tcPr>
          <w:p w14:paraId="3FAB6FA7">
            <w:pPr>
              <w:rPr>
                <w:rFonts w:ascii="Calibri" w:hAnsi="Calibri" w:eastAsia="仿宋_GB2312"/>
                <w:color w:val="auto"/>
                <w:sz w:val="30"/>
                <w:szCs w:val="30"/>
                <w:highlight w:val="none"/>
              </w:rPr>
            </w:pPr>
          </w:p>
        </w:tc>
        <w:tc>
          <w:tcPr>
            <w:tcW w:w="1020" w:type="dxa"/>
            <w:noWrap w:val="0"/>
            <w:vAlign w:val="top"/>
          </w:tcPr>
          <w:p w14:paraId="5BD31893">
            <w:pPr>
              <w:rPr>
                <w:rFonts w:ascii="Calibri" w:hAnsi="Calibri" w:eastAsia="仿宋_GB2312"/>
                <w:color w:val="auto"/>
                <w:sz w:val="30"/>
                <w:szCs w:val="30"/>
                <w:highlight w:val="none"/>
              </w:rPr>
            </w:pPr>
          </w:p>
        </w:tc>
        <w:tc>
          <w:tcPr>
            <w:tcW w:w="921" w:type="dxa"/>
            <w:noWrap w:val="0"/>
            <w:vAlign w:val="top"/>
          </w:tcPr>
          <w:p w14:paraId="116F5CC9">
            <w:pPr>
              <w:rPr>
                <w:rFonts w:ascii="Calibri" w:hAnsi="Calibri" w:eastAsia="仿宋_GB2312"/>
                <w:color w:val="auto"/>
                <w:sz w:val="30"/>
                <w:szCs w:val="30"/>
                <w:highlight w:val="none"/>
              </w:rPr>
            </w:pPr>
          </w:p>
        </w:tc>
      </w:tr>
      <w:tr w14:paraId="1DEE5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78A6826">
            <w:pPr>
              <w:rPr>
                <w:rFonts w:ascii="Calibri" w:hAnsi="Calibri" w:eastAsia="仿宋_GB2312"/>
                <w:color w:val="auto"/>
                <w:sz w:val="30"/>
                <w:szCs w:val="30"/>
                <w:highlight w:val="none"/>
              </w:rPr>
            </w:pPr>
          </w:p>
        </w:tc>
        <w:tc>
          <w:tcPr>
            <w:tcW w:w="1418" w:type="dxa"/>
            <w:noWrap w:val="0"/>
            <w:vAlign w:val="top"/>
          </w:tcPr>
          <w:p w14:paraId="7EF47457">
            <w:pPr>
              <w:rPr>
                <w:rFonts w:ascii="Calibri" w:hAnsi="Calibri" w:eastAsia="仿宋_GB2312"/>
                <w:color w:val="auto"/>
                <w:sz w:val="30"/>
                <w:szCs w:val="30"/>
                <w:highlight w:val="none"/>
              </w:rPr>
            </w:pPr>
          </w:p>
        </w:tc>
        <w:tc>
          <w:tcPr>
            <w:tcW w:w="850" w:type="dxa"/>
            <w:noWrap w:val="0"/>
            <w:vAlign w:val="top"/>
          </w:tcPr>
          <w:p w14:paraId="16D19B24">
            <w:pPr>
              <w:rPr>
                <w:rFonts w:ascii="Calibri" w:hAnsi="Calibri" w:eastAsia="仿宋_GB2312"/>
                <w:color w:val="auto"/>
                <w:sz w:val="30"/>
                <w:szCs w:val="30"/>
                <w:highlight w:val="none"/>
              </w:rPr>
            </w:pPr>
          </w:p>
        </w:tc>
        <w:tc>
          <w:tcPr>
            <w:tcW w:w="1058" w:type="dxa"/>
            <w:noWrap w:val="0"/>
            <w:vAlign w:val="top"/>
          </w:tcPr>
          <w:p w14:paraId="77025E68">
            <w:pPr>
              <w:rPr>
                <w:rFonts w:ascii="Calibri" w:hAnsi="Calibri" w:eastAsia="仿宋_GB2312"/>
                <w:color w:val="auto"/>
                <w:sz w:val="30"/>
                <w:szCs w:val="30"/>
                <w:highlight w:val="none"/>
              </w:rPr>
            </w:pPr>
          </w:p>
        </w:tc>
        <w:tc>
          <w:tcPr>
            <w:tcW w:w="880" w:type="dxa"/>
            <w:noWrap w:val="0"/>
            <w:vAlign w:val="top"/>
          </w:tcPr>
          <w:p w14:paraId="2DD0C8EE">
            <w:pPr>
              <w:rPr>
                <w:rFonts w:ascii="Calibri" w:hAnsi="Calibri" w:eastAsia="仿宋_GB2312"/>
                <w:color w:val="auto"/>
                <w:sz w:val="30"/>
                <w:szCs w:val="30"/>
                <w:highlight w:val="none"/>
              </w:rPr>
            </w:pPr>
          </w:p>
        </w:tc>
        <w:tc>
          <w:tcPr>
            <w:tcW w:w="1020" w:type="dxa"/>
            <w:noWrap w:val="0"/>
            <w:vAlign w:val="top"/>
          </w:tcPr>
          <w:p w14:paraId="2772A9C6">
            <w:pPr>
              <w:rPr>
                <w:rFonts w:ascii="Calibri" w:hAnsi="Calibri" w:eastAsia="仿宋_GB2312"/>
                <w:color w:val="auto"/>
                <w:sz w:val="30"/>
                <w:szCs w:val="30"/>
                <w:highlight w:val="none"/>
              </w:rPr>
            </w:pPr>
          </w:p>
        </w:tc>
        <w:tc>
          <w:tcPr>
            <w:tcW w:w="1480" w:type="dxa"/>
            <w:noWrap w:val="0"/>
            <w:vAlign w:val="top"/>
          </w:tcPr>
          <w:p w14:paraId="122E0FC4">
            <w:pPr>
              <w:rPr>
                <w:rFonts w:ascii="Calibri" w:hAnsi="Calibri" w:eastAsia="仿宋_GB2312"/>
                <w:color w:val="auto"/>
                <w:sz w:val="30"/>
                <w:szCs w:val="30"/>
                <w:highlight w:val="none"/>
              </w:rPr>
            </w:pPr>
          </w:p>
        </w:tc>
        <w:tc>
          <w:tcPr>
            <w:tcW w:w="1020" w:type="dxa"/>
            <w:noWrap w:val="0"/>
            <w:vAlign w:val="top"/>
          </w:tcPr>
          <w:p w14:paraId="193F3728">
            <w:pPr>
              <w:rPr>
                <w:rFonts w:ascii="Calibri" w:hAnsi="Calibri" w:eastAsia="仿宋_GB2312"/>
                <w:color w:val="auto"/>
                <w:sz w:val="30"/>
                <w:szCs w:val="30"/>
                <w:highlight w:val="none"/>
              </w:rPr>
            </w:pPr>
          </w:p>
        </w:tc>
        <w:tc>
          <w:tcPr>
            <w:tcW w:w="921" w:type="dxa"/>
            <w:noWrap w:val="0"/>
            <w:vAlign w:val="top"/>
          </w:tcPr>
          <w:p w14:paraId="5FD44389">
            <w:pPr>
              <w:rPr>
                <w:rFonts w:ascii="Calibri" w:hAnsi="Calibri" w:eastAsia="仿宋_GB2312"/>
                <w:color w:val="auto"/>
                <w:sz w:val="30"/>
                <w:szCs w:val="30"/>
                <w:highlight w:val="none"/>
              </w:rPr>
            </w:pPr>
          </w:p>
        </w:tc>
      </w:tr>
    </w:tbl>
    <w:p w14:paraId="419BE23B">
      <w:pPr>
        <w:spacing w:line="440" w:lineRule="exact"/>
        <w:outlineLvl w:val="0"/>
        <w:rPr>
          <w:rFonts w:eastAsia="仿宋_GB2312"/>
          <w:color w:val="auto"/>
          <w:sz w:val="30"/>
          <w:szCs w:val="30"/>
          <w:highlight w:val="none"/>
        </w:rPr>
      </w:pPr>
      <w:bookmarkStart w:id="1159" w:name="_Toc10102"/>
      <w:bookmarkStart w:id="1160" w:name="_Toc23921"/>
      <w:bookmarkStart w:id="1161" w:name="_Toc25370"/>
    </w:p>
    <w:p w14:paraId="38610DCC">
      <w:pPr>
        <w:spacing w:line="440" w:lineRule="exact"/>
        <w:outlineLvl w:val="0"/>
        <w:rPr>
          <w:rFonts w:eastAsia="仿宋_GB2312"/>
          <w:color w:val="auto"/>
          <w:sz w:val="30"/>
          <w:szCs w:val="30"/>
          <w:highlight w:val="none"/>
        </w:rPr>
      </w:pPr>
    </w:p>
    <w:p w14:paraId="52569E5A">
      <w:pPr>
        <w:spacing w:line="440" w:lineRule="exact"/>
        <w:outlineLvl w:val="0"/>
        <w:rPr>
          <w:rFonts w:eastAsia="黑体"/>
          <w:color w:val="auto"/>
          <w:sz w:val="30"/>
          <w:szCs w:val="30"/>
          <w:highlight w:val="none"/>
        </w:rPr>
      </w:pPr>
      <w:r>
        <w:rPr>
          <w:rFonts w:eastAsia="仿宋_GB2312"/>
          <w:color w:val="auto"/>
          <w:sz w:val="30"/>
          <w:szCs w:val="30"/>
          <w:highlight w:val="none"/>
        </w:rPr>
        <w:t>附</w:t>
      </w:r>
      <w:bookmarkStart w:id="1162" w:name="_Toc296347227"/>
      <w:bookmarkStart w:id="1163" w:name="_Toc296891056"/>
      <w:bookmarkStart w:id="1164" w:name="_Toc296891268"/>
      <w:bookmarkStart w:id="1165" w:name="_Toc267261699"/>
      <w:bookmarkStart w:id="1166" w:name="_Toc296503228"/>
      <w:bookmarkStart w:id="1167" w:name="_Toc296346729"/>
      <w:bookmarkStart w:id="1168" w:name="_Toc296944567"/>
      <w:r>
        <w:rPr>
          <w:rFonts w:eastAsia="仿宋_GB2312"/>
          <w:color w:val="auto"/>
          <w:sz w:val="30"/>
          <w:szCs w:val="30"/>
          <w:highlight w:val="none"/>
        </w:rPr>
        <w:t>件</w:t>
      </w:r>
      <w:r>
        <w:rPr>
          <w:rFonts w:hint="eastAsia" w:eastAsia="仿宋_GB2312"/>
          <w:color w:val="auto"/>
          <w:sz w:val="30"/>
          <w:szCs w:val="30"/>
          <w:highlight w:val="none"/>
        </w:rPr>
        <w:t>5</w:t>
      </w:r>
      <w:r>
        <w:rPr>
          <w:rFonts w:eastAsia="仿宋_GB2312"/>
          <w:color w:val="auto"/>
          <w:sz w:val="30"/>
          <w:szCs w:val="30"/>
          <w:highlight w:val="none"/>
        </w:rPr>
        <w:t>：</w:t>
      </w:r>
      <w:bookmarkEnd w:id="1159"/>
      <w:bookmarkEnd w:id="1160"/>
      <w:bookmarkEnd w:id="1161"/>
    </w:p>
    <w:bookmarkEnd w:id="1162"/>
    <w:bookmarkEnd w:id="1163"/>
    <w:bookmarkEnd w:id="1164"/>
    <w:bookmarkEnd w:id="1165"/>
    <w:bookmarkEnd w:id="1166"/>
    <w:bookmarkEnd w:id="1167"/>
    <w:bookmarkEnd w:id="1168"/>
    <w:p w14:paraId="5AB0782B">
      <w:pPr>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承包人主要施工管理人员表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BEAA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374717C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418" w:type="dxa"/>
            <w:tcBorders>
              <w:top w:val="single" w:color="auto" w:sz="12" w:space="0"/>
              <w:bottom w:val="double" w:color="auto" w:sz="6" w:space="0"/>
            </w:tcBorders>
            <w:noWrap w:val="0"/>
            <w:vAlign w:val="center"/>
          </w:tcPr>
          <w:p w14:paraId="4CC8E10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134" w:type="dxa"/>
            <w:tcBorders>
              <w:top w:val="single" w:color="auto" w:sz="12" w:space="0"/>
              <w:bottom w:val="double" w:color="auto" w:sz="6" w:space="0"/>
            </w:tcBorders>
            <w:noWrap w:val="0"/>
            <w:vAlign w:val="center"/>
          </w:tcPr>
          <w:p w14:paraId="3F2175C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134" w:type="dxa"/>
            <w:tcBorders>
              <w:top w:val="single" w:color="auto" w:sz="12" w:space="0"/>
              <w:bottom w:val="double" w:color="auto" w:sz="6" w:space="0"/>
            </w:tcBorders>
            <w:noWrap w:val="0"/>
            <w:vAlign w:val="center"/>
          </w:tcPr>
          <w:p w14:paraId="093BCA4A">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4252" w:type="dxa"/>
            <w:tcBorders>
              <w:top w:val="single" w:color="auto" w:sz="12" w:space="0"/>
              <w:bottom w:val="double" w:color="auto" w:sz="6" w:space="0"/>
            </w:tcBorders>
            <w:noWrap w:val="0"/>
            <w:vAlign w:val="center"/>
          </w:tcPr>
          <w:p w14:paraId="28632AFB">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330ED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4B4F2974">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2EE9A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07EBC1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418" w:type="dxa"/>
            <w:tcBorders>
              <w:top w:val="nil"/>
            </w:tcBorders>
            <w:noWrap w:val="0"/>
            <w:vAlign w:val="center"/>
          </w:tcPr>
          <w:p w14:paraId="79448328">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top w:val="nil"/>
            </w:tcBorders>
            <w:noWrap w:val="0"/>
            <w:vAlign w:val="center"/>
          </w:tcPr>
          <w:p w14:paraId="4AC4F2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top w:val="nil"/>
            </w:tcBorders>
            <w:noWrap w:val="0"/>
            <w:vAlign w:val="center"/>
          </w:tcPr>
          <w:p w14:paraId="2161C7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top w:val="nil"/>
            </w:tcBorders>
            <w:noWrap w:val="0"/>
            <w:vAlign w:val="center"/>
          </w:tcPr>
          <w:p w14:paraId="1AFD40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424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7ECB9F1A">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5CA0FAF3">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47D4B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016F3C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5ECA4D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0EFB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F60A1EC">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786C2DCC">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1A2FC3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D5691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FA52B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E9F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58AED87E">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2F813645">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F4CAA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22DCB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05089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033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0D0AC87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2B9F1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27110A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418" w:type="dxa"/>
            <w:noWrap w:val="0"/>
            <w:vAlign w:val="center"/>
          </w:tcPr>
          <w:p w14:paraId="3675309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E1DA3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ED49C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1BB17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B627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A1E458F">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418" w:type="dxa"/>
            <w:noWrap w:val="0"/>
            <w:vAlign w:val="center"/>
          </w:tcPr>
          <w:p w14:paraId="36F2D9CD">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D87B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9E39E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FBEF8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5155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719242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418" w:type="dxa"/>
            <w:noWrap w:val="0"/>
            <w:vAlign w:val="center"/>
          </w:tcPr>
          <w:p w14:paraId="5199AA67">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9A40F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901A7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8C48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466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CC5FCE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418" w:type="dxa"/>
            <w:noWrap w:val="0"/>
            <w:vAlign w:val="center"/>
          </w:tcPr>
          <w:p w14:paraId="1F6EEADF">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03275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23BE28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AD3DD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4321F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041E61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418" w:type="dxa"/>
            <w:noWrap w:val="0"/>
            <w:vAlign w:val="center"/>
          </w:tcPr>
          <w:p w14:paraId="64FBBE85">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D6E95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1C428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644B85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4E4C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3851B3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418" w:type="dxa"/>
            <w:noWrap w:val="0"/>
            <w:vAlign w:val="center"/>
          </w:tcPr>
          <w:p w14:paraId="37A187D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7B6DA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FCA6D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218EC6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A13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7DDC04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418" w:type="dxa"/>
            <w:noWrap w:val="0"/>
            <w:vAlign w:val="center"/>
          </w:tcPr>
          <w:p w14:paraId="7B08D8BA">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C1ADA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0BB51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4DA5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C0C3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ED8BE6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418" w:type="dxa"/>
            <w:noWrap w:val="0"/>
            <w:vAlign w:val="center"/>
          </w:tcPr>
          <w:p w14:paraId="78513AD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2B6A2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4F539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581D8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DDEA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136DC1E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3D0772E2">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DE2B2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DE95F2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686945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FFE6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0113201">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nil"/>
            </w:tcBorders>
            <w:noWrap w:val="0"/>
            <w:vAlign w:val="center"/>
          </w:tcPr>
          <w:p w14:paraId="2AA44F1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nil"/>
            </w:tcBorders>
            <w:noWrap w:val="0"/>
            <w:vAlign w:val="center"/>
          </w:tcPr>
          <w:p w14:paraId="7E7C9C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nil"/>
            </w:tcBorders>
            <w:noWrap w:val="0"/>
            <w:vAlign w:val="center"/>
          </w:tcPr>
          <w:p w14:paraId="2192C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nil"/>
            </w:tcBorders>
            <w:noWrap w:val="0"/>
            <w:vAlign w:val="center"/>
          </w:tcPr>
          <w:p w14:paraId="1D7EFC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B28B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7550D36">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4DFD8B3E">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07D29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579DF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62977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2E8A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69C2CBD5">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3F3FF0D4">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950A5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4D86A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8C52B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91B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A8AFE1B">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63585F02">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9D955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41F61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59D38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E40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56BEEF03">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single" w:color="auto" w:sz="12" w:space="0"/>
            </w:tcBorders>
            <w:noWrap w:val="0"/>
            <w:vAlign w:val="center"/>
          </w:tcPr>
          <w:p w14:paraId="1F50C11F">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single" w:color="auto" w:sz="12" w:space="0"/>
            </w:tcBorders>
            <w:noWrap w:val="0"/>
            <w:vAlign w:val="center"/>
          </w:tcPr>
          <w:p w14:paraId="418432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single" w:color="auto" w:sz="12" w:space="0"/>
            </w:tcBorders>
            <w:noWrap w:val="0"/>
            <w:vAlign w:val="center"/>
          </w:tcPr>
          <w:p w14:paraId="1ADBE3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single" w:color="auto" w:sz="12" w:space="0"/>
            </w:tcBorders>
            <w:noWrap w:val="0"/>
            <w:vAlign w:val="center"/>
          </w:tcPr>
          <w:p w14:paraId="3C58E7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206CB878">
      <w:pPr>
        <w:pStyle w:val="49"/>
        <w:wordWrap w:val="0"/>
        <w:spacing w:line="540" w:lineRule="exact"/>
        <w:ind w:firstLine="0" w:firstLineChars="0"/>
        <w:rPr>
          <w:rStyle w:val="27"/>
          <w:rFonts w:hint="eastAsia" w:ascii="宋体" w:hAnsi="宋体" w:eastAsia="宋体" w:cs="宋体"/>
          <w:b/>
          <w:color w:val="auto"/>
          <w:sz w:val="30"/>
          <w:szCs w:val="30"/>
          <w:highlight w:val="none"/>
        </w:rPr>
      </w:pPr>
    </w:p>
    <w:p w14:paraId="64E57F47">
      <w:pPr>
        <w:pStyle w:val="34"/>
        <w:pageBreakBefore w:val="0"/>
        <w:kinsoku/>
        <w:wordWrap/>
        <w:overflowPunct/>
        <w:topLinePunct w:val="0"/>
        <w:autoSpaceDE/>
        <w:autoSpaceDN/>
        <w:bidi w:val="0"/>
        <w:adjustRightInd/>
        <w:snapToGrid/>
        <w:spacing w:line="500" w:lineRule="exact"/>
        <w:textAlignment w:val="auto"/>
        <w:rPr>
          <w:rFonts w:hint="default" w:ascii="宋体" w:hAnsi="宋体" w:eastAsia="宋体" w:cs="宋体"/>
          <w:b/>
          <w:bCs/>
          <w:color w:val="auto"/>
          <w:spacing w:val="0"/>
          <w:kern w:val="2"/>
          <w:sz w:val="22"/>
          <w:szCs w:val="22"/>
          <w:u w:val="none"/>
          <w:lang w:val="en-US" w:eastAsia="zh-CN" w:bidi="ar-SA"/>
        </w:rPr>
      </w:pPr>
    </w:p>
    <w:p w14:paraId="4663830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新宋体" w:hAnsi="新宋体" w:eastAsia="新宋体" w:cs="新宋体"/>
          <w:color w:val="auto"/>
        </w:rPr>
      </w:pPr>
    </w:p>
    <w:sectPr>
      <w:footerReference r:id="rId15" w:type="first"/>
      <w:footerReference r:id="rId14" w:type="default"/>
      <w:pgSz w:w="11906" w:h="16838"/>
      <w:pgMar w:top="1134" w:right="1140" w:bottom="1134" w:left="1140" w:header="709" w:footer="709"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BDE996-AC3B-4917-8CCE-15D7F19F421D}"/>
  </w:font>
  <w:font w:name="黑体">
    <w:panose1 w:val="02010609060101010101"/>
    <w:charset w:val="86"/>
    <w:family w:val="auto"/>
    <w:pitch w:val="default"/>
    <w:sig w:usb0="800002BF" w:usb1="38CF7CFA" w:usb2="00000016" w:usb3="00000000" w:csb0="00040001" w:csb1="00000000"/>
    <w:embedRegular r:id="rId2" w:fontKey="{AA72D804-D8FE-4123-9672-E1D56F33D534}"/>
  </w:font>
  <w:font w:name="Courier New">
    <w:panose1 w:val="02070309020205020404"/>
    <w:charset w:val="01"/>
    <w:family w:val="modern"/>
    <w:pitch w:val="default"/>
    <w:sig w:usb0="E0002EFF" w:usb1="C0007843" w:usb2="00000009" w:usb3="00000000" w:csb0="400001FF" w:csb1="FFFF0000"/>
    <w:embedRegular r:id="rId3" w:fontKey="{5BB6D0CC-6B3E-4B8E-8840-0C7F089C2BE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7D37B34-485F-4297-A777-F12A57F03B32}"/>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8AD687A7-9EBB-49FF-8E6C-E7B4AFB699A7}"/>
  </w:font>
  <w:font w:name="仿宋">
    <w:panose1 w:val="02010609060101010101"/>
    <w:charset w:val="86"/>
    <w:family w:val="auto"/>
    <w:pitch w:val="default"/>
    <w:sig w:usb0="800002BF" w:usb1="38CF7CFA" w:usb2="00000016" w:usb3="00000000" w:csb0="00040001" w:csb1="00000000"/>
    <w:embedRegular r:id="rId6" w:fontKey="{F2F820A2-319F-4D5E-B9EF-CFEEDE52BEA4}"/>
  </w:font>
  <w:font w:name="华文楷体">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0C1BD31F-9AA9-405F-9F9A-C29A9F800283}"/>
  </w:font>
  <w:font w:name="新宋体">
    <w:panose1 w:val="02010609030101010101"/>
    <w:charset w:val="86"/>
    <w:family w:val="auto"/>
    <w:pitch w:val="default"/>
    <w:sig w:usb0="00000283" w:usb1="288F0000" w:usb2="00000006" w:usb3="00000000" w:csb0="00040001" w:csb1="00000000"/>
    <w:embedRegular r:id="rId8" w:fontKey="{49C28866-21BA-4BB4-B75E-F919EF071C11}"/>
  </w:font>
  <w:font w:name="Arial Unicode MS">
    <w:panose1 w:val="020B0604020202020204"/>
    <w:charset w:val="86"/>
    <w:family w:val="roman"/>
    <w:pitch w:val="default"/>
    <w:sig w:usb0="FFFFFFFF" w:usb1="E9FFFFFF" w:usb2="0000003F" w:usb3="00000000" w:csb0="603F01FF" w:csb1="FFFF0000"/>
    <w:embedRegular r:id="rId9" w:fontKey="{702D07D0-1FAB-4F52-8EF3-53ADC7E4CD70}"/>
  </w:font>
  <w:font w:name="方正小标宋简体">
    <w:altName w:val="黑体"/>
    <w:panose1 w:val="00000000000000000000"/>
    <w:charset w:val="86"/>
    <w:family w:val="script"/>
    <w:pitch w:val="default"/>
    <w:sig w:usb0="00000000" w:usb1="00000000" w:usb2="00000010" w:usb3="00000000" w:csb0="00040000" w:csb1="00000000"/>
    <w:embedRegular r:id="rId10" w:fontKey="{614F9EE0-9A83-4F11-BCE0-890DFAD1BE1D}"/>
  </w:font>
  <w:font w:name="华文中宋">
    <w:panose1 w:val="02010600040101010101"/>
    <w:charset w:val="86"/>
    <w:family w:val="auto"/>
    <w:pitch w:val="default"/>
    <w:sig w:usb0="00000287" w:usb1="080F0000" w:usb2="00000000" w:usb3="00000000" w:csb0="0004009F" w:csb1="DFD70000"/>
    <w:embedRegular r:id="rId11" w:fontKey="{1D0BC304-23E8-4410-82E2-BC49CCD3CBEF}"/>
  </w:font>
  <w:font w:name="MS Mincho">
    <w:altName w:val="MS UI Gothic"/>
    <w:panose1 w:val="02020609040205080304"/>
    <w:charset w:val="80"/>
    <w:family w:val="modern"/>
    <w:pitch w:val="default"/>
    <w:sig w:usb0="00000000" w:usb1="00000000" w:usb2="00000012" w:usb3="00000000" w:csb0="4002009F" w:csb1="DFD70000"/>
    <w:embedRegular r:id="rId12" w:fontKey="{2EA53A92-98DC-4AB6-9056-EF6C9B0ACD86}"/>
  </w:font>
  <w:font w:name="MS UI Gothic">
    <w:panose1 w:val="020B0600070205080204"/>
    <w:charset w:val="80"/>
    <w:family w:val="auto"/>
    <w:pitch w:val="default"/>
    <w:sig w:usb0="E00002FF" w:usb1="6AC7FDFB" w:usb2="08000012" w:usb3="00000000" w:csb0="4002009F" w:csb1="DFD70000"/>
  </w:font>
  <w:font w:name="WPSEMBED2">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BBE1C">
    <w:pPr>
      <w:pStyle w:val="17"/>
      <w:tabs>
        <w:tab w:val="center" w:pos="4873"/>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833D">
    <w:pPr>
      <w:pStyle w:val="17"/>
      <w:rPr>
        <w:rFonts w:hint="eastAsia" w:ascii="仿宋" w:hAnsi="仿宋" w:eastAsia="仿宋" w:cs="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54704">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554704">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9907">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78DB5">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778DB5">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5FA02">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97E9B">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D497E9B">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A8425">
    <w:pPr>
      <w:pStyle w:val="17"/>
      <w:jc w:val="center"/>
      <w:rPr>
        <w:rFonts w:ascii="宋体" w:hAns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BA785">
                          <w:pPr>
                            <w:pStyle w:val="1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0BA785">
                    <w:pPr>
                      <w:pStyle w:val="1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65104">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1213136">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46YzRAQAAog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xuOmM0QEAAKIDAAAOAAAAAAAAAAEAIAAAAB8BAABk&#10;cnMvZTJvRG9jLnhtbFBLBQYAAAAABgAGAFkBAABiBQAAAAA=&#10;">
              <v:fill on="f" focussize="0,0"/>
              <v:stroke on="f" weight="0.5pt"/>
              <v:imagedata o:title=""/>
              <o:lock v:ext="edit" aspectratio="f"/>
              <v:textbox inset="0mm,0mm,0mm,0mm" style="mso-fit-shape-to-text:t;">
                <w:txbxContent>
                  <w:p w14:paraId="11213136">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EB15A">
    <w:pPr>
      <w:pStyle w:val="17"/>
      <w:rPr>
        <w:rFonts w:hint="eastAsia" w:ascii="仿宋" w:hAnsi="仿宋" w:eastAsia="仿宋" w:cs="仿宋"/>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C831F">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8DC831F">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AE2B">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93740">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6F93740">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208D4">
    <w:pPr>
      <w:pStyle w:val="19"/>
      <w:pBdr>
        <w:bottom w:val="none" w:color="auto" w:sz="0" w:space="1"/>
      </w:pBdr>
      <w:wordWrap w:val="0"/>
      <w:jc w:val="both"/>
      <w:rPr>
        <w:rFonts w:hint="eastAsia" w:ascii="仿宋" w:hAnsi="仿宋" w:eastAsia="仿宋" w:cs="仿宋"/>
        <w:sz w:val="21"/>
        <w:szCs w:val="21"/>
        <w:u w:val="single"/>
        <w:lang w:eastAsia="zh-CN"/>
      </w:rPr>
    </w:pPr>
    <w:r>
      <w:rPr>
        <w:rFonts w:hint="eastAsia" w:ascii="仿宋" w:hAnsi="仿宋" w:eastAsia="仿宋" w:cs="仿宋"/>
        <w:sz w:val="21"/>
        <w:szCs w:val="21"/>
        <w:u w:val="single"/>
        <w:lang w:val="en-US" w:eastAsia="zh-CN"/>
      </w:rPr>
      <w:t xml:space="preserve"> </w:t>
    </w:r>
    <w:r>
      <w:rPr>
        <w:rFonts w:hint="eastAsia" w:ascii="Times New Roman" w:hAnsi="Times New Roman" w:cs="Times New Roman"/>
        <w:color w:val="000000"/>
        <w:kern w:val="2"/>
        <w:sz w:val="20"/>
        <w:szCs w:val="20"/>
        <w:u w:val="single"/>
        <w:lang w:val="en-US" w:eastAsia="zh-CN" w:bidi="ar-SA"/>
      </w:rPr>
      <w:t>陆川县第三中学挡土墙项目</w:t>
    </w:r>
    <w:r>
      <w:rPr>
        <w:rFonts w:hint="eastAsia" w:ascii="Times New Roman" w:hAnsi="Times New Roman" w:eastAsia="宋体" w:cs="Times New Roman"/>
        <w:color w:val="000000"/>
        <w:kern w:val="2"/>
        <w:sz w:val="20"/>
        <w:szCs w:val="20"/>
        <w:u w:val="single"/>
        <w:lang w:val="en-US" w:eastAsia="zh-CN" w:bidi="ar-SA"/>
      </w:rPr>
      <w:t xml:space="preserve">                                   </w:t>
    </w:r>
    <w:r>
      <w:rPr>
        <w:rFonts w:hint="eastAsia" w:ascii="Times New Roman" w:hAnsi="Times New Roman" w:cs="Times New Roman"/>
        <w:color w:val="000000"/>
        <w:kern w:val="2"/>
        <w:sz w:val="20"/>
        <w:szCs w:val="20"/>
        <w:u w:val="single"/>
        <w:lang w:val="en-US" w:eastAsia="zh-CN" w:bidi="ar-SA"/>
      </w:rPr>
      <w:t xml:space="preserve">          </w:t>
    </w:r>
    <w:r>
      <w:rPr>
        <w:rFonts w:hint="eastAsia" w:ascii="Times New Roman" w:hAnsi="Times New Roman" w:eastAsia="宋体" w:cs="Times New Roman"/>
        <w:color w:val="000000"/>
        <w:kern w:val="2"/>
        <w:sz w:val="20"/>
        <w:szCs w:val="20"/>
        <w:u w:val="single"/>
        <w:lang w:val="en-US" w:eastAsia="zh-CN" w:bidi="ar-SA"/>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E16A">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DE3B4">
    <w:pPr>
      <w:pStyle w:val="19"/>
      <w:pBdr>
        <w:bottom w:val="none" w:color="auto" w:sz="0" w:space="1"/>
      </w:pBdr>
      <w:wordWrap w:val="0"/>
      <w:jc w:val="both"/>
      <w:rPr>
        <w:rFonts w:hint="eastAsia" w:ascii="宋体" w:hAnsi="宋体" w:eastAsia="宋体" w:cs="宋体"/>
        <w:sz w:val="18"/>
        <w:szCs w:val="18"/>
        <w:u w:val="single"/>
        <w:lang w:val="en-US" w:eastAsia="zh-CN"/>
      </w:rPr>
    </w:pPr>
  </w:p>
  <w:p w14:paraId="7B6C1A05">
    <w:pPr>
      <w:pStyle w:val="19"/>
      <w:pBdr>
        <w:bottom w:val="none" w:color="auto" w:sz="0" w:space="1"/>
      </w:pBdr>
      <w:wordWrap w:val="0"/>
      <w:jc w:val="both"/>
      <w:rPr>
        <w:rFonts w:hint="eastAsia" w:ascii="仿宋" w:hAnsi="仿宋" w:eastAsia="仿宋" w:cs="仿宋"/>
        <w:sz w:val="18"/>
        <w:szCs w:val="18"/>
        <w:u w:val="single"/>
        <w:lang w:eastAsia="zh-CN"/>
      </w:rPr>
    </w:pPr>
    <w:r>
      <w:rPr>
        <w:rFonts w:hint="eastAsia" w:ascii="宋体" w:hAnsi="宋体" w:eastAsia="宋体" w:cs="宋体"/>
        <w:sz w:val="18"/>
        <w:szCs w:val="18"/>
        <w:u w:val="single"/>
        <w:lang w:val="en-US" w:eastAsia="zh-CN"/>
      </w:rPr>
      <w:t xml:space="preserve"> </w:t>
    </w:r>
    <w:r>
      <w:rPr>
        <w:rFonts w:hint="eastAsia" w:hAnsi="宋体" w:cs="宋体"/>
        <w:color w:val="000000"/>
        <w:kern w:val="2"/>
        <w:sz w:val="18"/>
        <w:szCs w:val="18"/>
        <w:u w:val="single"/>
        <w:lang w:val="en-US" w:eastAsia="zh-CN" w:bidi="ar-SA"/>
      </w:rPr>
      <w:t>陆川县第三中学挡土墙项目</w:t>
    </w:r>
    <w:r>
      <w:rPr>
        <w:rFonts w:hint="eastAsia" w:ascii="Times New Roman" w:hAnsi="Times New Roman" w:eastAsia="宋体" w:cs="Times New Roman"/>
        <w:color w:val="000000"/>
        <w:kern w:val="2"/>
        <w:sz w:val="18"/>
        <w:szCs w:val="18"/>
        <w:u w:val="single"/>
        <w:lang w:val="en-US" w:eastAsia="zh-CN" w:bidi="ar-SA"/>
      </w:rPr>
      <w:t xml:space="preserve">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9DDAF">
    <w:pPr>
      <w:pStyle w:val="1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ABB8">
    <w:pPr>
      <w:pStyle w:val="19"/>
      <w:jc w:val="both"/>
      <w:rPr>
        <w:rFonts w:hint="eastAsia" w:hAnsi="宋体" w:cs="宋体"/>
        <w:color w:val="000000"/>
        <w:kern w:val="2"/>
        <w:sz w:val="18"/>
        <w:szCs w:val="18"/>
        <w:u w:val="none"/>
        <w:lang w:val="en-US" w:eastAsia="zh-CN" w:bidi="ar-SA"/>
      </w:rPr>
    </w:pPr>
  </w:p>
  <w:p w14:paraId="0978474B">
    <w:pPr>
      <w:pStyle w:val="19"/>
      <w:jc w:val="both"/>
      <w:rPr>
        <w:u w:val="none"/>
      </w:rPr>
    </w:pPr>
    <w:r>
      <w:rPr>
        <w:rFonts w:hint="eastAsia" w:hAnsi="宋体" w:cs="宋体"/>
        <w:color w:val="auto"/>
        <w:kern w:val="2"/>
        <w:sz w:val="18"/>
        <w:szCs w:val="18"/>
        <w:u w:val="none"/>
        <w:lang w:val="en-US" w:eastAsia="zh-CN" w:bidi="ar-SA"/>
      </w:rPr>
      <w:t>陆川县第三中学挡土墙项目</w:t>
    </w:r>
    <w:r>
      <w:rPr>
        <w:rFonts w:hint="eastAsia" w:ascii="Times New Roman" w:hAnsi="Times New Roman" w:eastAsia="宋体" w:cs="Times New Roman"/>
        <w:color w:val="auto"/>
        <w:kern w:val="2"/>
        <w:sz w:val="18"/>
        <w:szCs w:val="18"/>
        <w:u w:val="none"/>
        <w:lang w:val="en-US" w:eastAsia="zh-CN" w:bidi="ar-SA"/>
      </w:rPr>
      <w:t xml:space="preserve">   </w:t>
    </w:r>
    <w:r>
      <w:rPr>
        <w:rFonts w:hint="eastAsia" w:ascii="Times New Roman" w:hAnsi="Times New Roman" w:cs="Times New Roman"/>
        <w:color w:val="auto"/>
        <w:kern w:val="2"/>
        <w:sz w:val="18"/>
        <w:szCs w:val="18"/>
        <w:u w:val="none"/>
        <w:lang w:val="en-US" w:eastAsia="zh-CN" w:bidi="ar-SA"/>
      </w:rPr>
      <w:t xml:space="preserve">                                                              </w:t>
    </w:r>
    <w:r>
      <w:rPr>
        <w:rFonts w:hint="eastAsia" w:ascii="Times New Roman" w:hAnsi="Times New Roman" w:eastAsia="宋体" w:cs="Times New Roman"/>
        <w:color w:val="auto"/>
        <w:kern w:val="2"/>
        <w:sz w:val="18"/>
        <w:szCs w:val="18"/>
        <w:u w:val="none"/>
        <w:lang w:val="en-US" w:eastAsia="zh-CN" w:bidi="ar-SA"/>
      </w:rPr>
      <w:t>竞争性磋商文件</w:t>
    </w:r>
    <w:r>
      <w:rPr>
        <w:rFonts w:hint="eastAsia" w:ascii="Times New Roman" w:hAnsi="Times New Roman" w:cs="Times New Roman"/>
        <w:color w:val="auto"/>
        <w:kern w:val="2"/>
        <w:sz w:val="18"/>
        <w:szCs w:val="18"/>
        <w:u w:val="none"/>
        <w:lang w:val="en-US" w:eastAsia="zh-CN" w:bidi="ar-SA"/>
      </w:rPr>
      <w:t xml:space="preserve">   </w:t>
    </w:r>
    <w:r>
      <w:rPr>
        <w:rFonts w:hint="eastAsia" w:ascii="Times New Roman" w:hAnsi="Times New Roman" w:cs="Times New Roman"/>
        <w:color w:val="000000"/>
        <w:kern w:val="2"/>
        <w:sz w:val="20"/>
        <w:szCs w:val="20"/>
        <w:u w:val="none"/>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5C9B1"/>
    <w:multiLevelType w:val="singleLevel"/>
    <w:tmpl w:val="9015C9B1"/>
    <w:lvl w:ilvl="0" w:tentative="0">
      <w:start w:val="1"/>
      <w:numFmt w:val="decimal"/>
      <w:pStyle w:val="10"/>
      <w:lvlText w:val="%1."/>
      <w:lvlJc w:val="left"/>
      <w:pPr>
        <w:tabs>
          <w:tab w:val="left" w:pos="360"/>
        </w:tabs>
        <w:ind w:left="360" w:hanging="360"/>
      </w:pPr>
    </w:lvl>
  </w:abstractNum>
  <w:abstractNum w:abstractNumId="1">
    <w:nsid w:val="BBB49D14"/>
    <w:multiLevelType w:val="singleLevel"/>
    <w:tmpl w:val="BBB49D14"/>
    <w:lvl w:ilvl="0" w:tentative="0">
      <w:start w:val="1"/>
      <w:numFmt w:val="decimal"/>
      <w:suff w:val="nothing"/>
      <w:lvlText w:val="（%1）"/>
      <w:lvlJc w:val="left"/>
    </w:lvl>
  </w:abstractNum>
  <w:abstractNum w:abstractNumId="2">
    <w:nsid w:val="C9B98332"/>
    <w:multiLevelType w:val="singleLevel"/>
    <w:tmpl w:val="C9B98332"/>
    <w:lvl w:ilvl="0" w:tentative="0">
      <w:start w:val="1"/>
      <w:numFmt w:val="decimal"/>
      <w:suff w:val="space"/>
      <w:lvlText w:val="%1."/>
      <w:lvlJc w:val="left"/>
    </w:lvl>
  </w:abstractNum>
  <w:abstractNum w:abstractNumId="3">
    <w:nsid w:val="EEBEA075"/>
    <w:multiLevelType w:val="singleLevel"/>
    <w:tmpl w:val="EEBEA075"/>
    <w:lvl w:ilvl="0" w:tentative="0">
      <w:start w:val="5"/>
      <w:numFmt w:val="chineseCounting"/>
      <w:suff w:val="space"/>
      <w:lvlText w:val="第%1章"/>
      <w:lvlJc w:val="left"/>
      <w:rPr>
        <w:rFonts w:hint="eastAsia"/>
      </w:rPr>
    </w:lvl>
  </w:abstractNum>
  <w:abstractNum w:abstractNumId="4">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7"/>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430CA5B"/>
    <w:multiLevelType w:val="singleLevel"/>
    <w:tmpl w:val="0430CA5B"/>
    <w:lvl w:ilvl="0" w:tentative="0">
      <w:start w:val="1"/>
      <w:numFmt w:val="decimal"/>
      <w:suff w:val="space"/>
      <w:lvlText w:val="（%1)"/>
      <w:lvlJc w:val="left"/>
    </w:lvl>
  </w:abstractNum>
  <w:abstractNum w:abstractNumId="6">
    <w:nsid w:val="113DBF7C"/>
    <w:multiLevelType w:val="singleLevel"/>
    <w:tmpl w:val="113DBF7C"/>
    <w:lvl w:ilvl="0" w:tentative="0">
      <w:start w:val="4"/>
      <w:numFmt w:val="chineseCounting"/>
      <w:suff w:val="nothing"/>
      <w:lvlText w:val="%1、"/>
      <w:lvlJc w:val="left"/>
      <w:rPr>
        <w:rFonts w:hint="eastAsia"/>
      </w:rPr>
    </w:lvl>
  </w:abstractNum>
  <w:abstractNum w:abstractNumId="7">
    <w:nsid w:val="31AB483B"/>
    <w:multiLevelType w:val="multilevel"/>
    <w:tmpl w:val="31AB483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355344FF"/>
    <w:multiLevelType w:val="singleLevel"/>
    <w:tmpl w:val="355344FF"/>
    <w:lvl w:ilvl="0" w:tentative="0">
      <w:start w:val="1"/>
      <w:numFmt w:val="chineseCounting"/>
      <w:suff w:val="nothing"/>
      <w:lvlText w:val="%1、"/>
      <w:lvlJc w:val="left"/>
      <w:rPr>
        <w:rFonts w:hint="eastAsia"/>
      </w:rPr>
    </w:lvl>
  </w:abstractNum>
  <w:abstractNum w:abstractNumId="10">
    <w:nsid w:val="5498E193"/>
    <w:multiLevelType w:val="singleLevel"/>
    <w:tmpl w:val="5498E193"/>
    <w:lvl w:ilvl="0" w:tentative="0">
      <w:start w:val="11"/>
      <w:numFmt w:val="decimal"/>
      <w:suff w:val="space"/>
      <w:lvlText w:val="%1."/>
      <w:lvlJc w:val="left"/>
    </w:lvl>
  </w:abstractNum>
  <w:num w:numId="1">
    <w:abstractNumId w:val="4"/>
  </w:num>
  <w:num w:numId="2">
    <w:abstractNumId w:val="8"/>
  </w:num>
  <w:num w:numId="3">
    <w:abstractNumId w:val="0"/>
  </w:num>
  <w:num w:numId="4">
    <w:abstractNumId w:val="6"/>
  </w:num>
  <w:num w:numId="5">
    <w:abstractNumId w:val="9"/>
  </w:num>
  <w:num w:numId="6">
    <w:abstractNumId w:val="3"/>
  </w:num>
  <w:num w:numId="7">
    <w:abstractNumId w:val="2"/>
  </w:num>
  <w:num w:numId="8">
    <w:abstractNumId w:val="7"/>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dit="forms" w:enforcement="1" w:cryptProviderType="rsaFull" w:cryptAlgorithmClass="hash" w:cryptAlgorithmType="typeAny" w:cryptAlgorithmSid="4" w:cryptSpinCount="0" w:hash="8xJEVmBG/W91etvD2HT2tozWJcM=" w:salt="Lb3K2Cu+zt6RpnqRCo5nL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OTI5MzRhYjk4NTBiNjk2MTE2ZjY4MWZkM2JmZTEifQ=="/>
  </w:docVars>
  <w:rsids>
    <w:rsidRoot w:val="694E3676"/>
    <w:rsid w:val="00225378"/>
    <w:rsid w:val="003A6B66"/>
    <w:rsid w:val="0058523E"/>
    <w:rsid w:val="00593A04"/>
    <w:rsid w:val="00643BE3"/>
    <w:rsid w:val="00724E62"/>
    <w:rsid w:val="00784799"/>
    <w:rsid w:val="008B1170"/>
    <w:rsid w:val="00A6244D"/>
    <w:rsid w:val="00A87F74"/>
    <w:rsid w:val="00BC757B"/>
    <w:rsid w:val="00BE1545"/>
    <w:rsid w:val="00C50B26"/>
    <w:rsid w:val="01394CDE"/>
    <w:rsid w:val="014B7B3B"/>
    <w:rsid w:val="015C46CF"/>
    <w:rsid w:val="016A0CCB"/>
    <w:rsid w:val="01853E11"/>
    <w:rsid w:val="01891B53"/>
    <w:rsid w:val="0195514C"/>
    <w:rsid w:val="01964270"/>
    <w:rsid w:val="01A91993"/>
    <w:rsid w:val="01B33237"/>
    <w:rsid w:val="01BD126D"/>
    <w:rsid w:val="01D37272"/>
    <w:rsid w:val="01E52B01"/>
    <w:rsid w:val="01E90844"/>
    <w:rsid w:val="020E4222"/>
    <w:rsid w:val="021138F7"/>
    <w:rsid w:val="022C0A8A"/>
    <w:rsid w:val="02351C6D"/>
    <w:rsid w:val="02571C51"/>
    <w:rsid w:val="025A704C"/>
    <w:rsid w:val="02820350"/>
    <w:rsid w:val="02B54D98"/>
    <w:rsid w:val="02CC0F3B"/>
    <w:rsid w:val="02D7012A"/>
    <w:rsid w:val="03166B78"/>
    <w:rsid w:val="03172610"/>
    <w:rsid w:val="034473BB"/>
    <w:rsid w:val="03653EFA"/>
    <w:rsid w:val="036B1623"/>
    <w:rsid w:val="036C7261"/>
    <w:rsid w:val="03863E70"/>
    <w:rsid w:val="039449F6"/>
    <w:rsid w:val="039D7B38"/>
    <w:rsid w:val="039E11BA"/>
    <w:rsid w:val="03BD3D36"/>
    <w:rsid w:val="0402799B"/>
    <w:rsid w:val="042446F9"/>
    <w:rsid w:val="04425FE9"/>
    <w:rsid w:val="046248DD"/>
    <w:rsid w:val="047168CE"/>
    <w:rsid w:val="04762DCC"/>
    <w:rsid w:val="04966335"/>
    <w:rsid w:val="049A7BD3"/>
    <w:rsid w:val="04A71B2E"/>
    <w:rsid w:val="04B07CB0"/>
    <w:rsid w:val="04B8362B"/>
    <w:rsid w:val="04D56E5D"/>
    <w:rsid w:val="052851DF"/>
    <w:rsid w:val="056D353A"/>
    <w:rsid w:val="05883ED0"/>
    <w:rsid w:val="05A63E97"/>
    <w:rsid w:val="05C3315A"/>
    <w:rsid w:val="05EF4620"/>
    <w:rsid w:val="05F96B7B"/>
    <w:rsid w:val="05FF4CF8"/>
    <w:rsid w:val="0623466C"/>
    <w:rsid w:val="0630252B"/>
    <w:rsid w:val="064047AA"/>
    <w:rsid w:val="064E5119"/>
    <w:rsid w:val="065C14C2"/>
    <w:rsid w:val="066A4721"/>
    <w:rsid w:val="066C4408"/>
    <w:rsid w:val="066E1317"/>
    <w:rsid w:val="06700957"/>
    <w:rsid w:val="0688128A"/>
    <w:rsid w:val="06897EFF"/>
    <w:rsid w:val="068D6FDD"/>
    <w:rsid w:val="069A3EBB"/>
    <w:rsid w:val="06BA0E7C"/>
    <w:rsid w:val="06C07699"/>
    <w:rsid w:val="06C76C7A"/>
    <w:rsid w:val="06F96EC4"/>
    <w:rsid w:val="07083D36"/>
    <w:rsid w:val="077566D6"/>
    <w:rsid w:val="07786736"/>
    <w:rsid w:val="078E51B9"/>
    <w:rsid w:val="07BA73E3"/>
    <w:rsid w:val="07D8668E"/>
    <w:rsid w:val="081C5B30"/>
    <w:rsid w:val="08430582"/>
    <w:rsid w:val="0858227F"/>
    <w:rsid w:val="0865674A"/>
    <w:rsid w:val="086A1FB2"/>
    <w:rsid w:val="087658EC"/>
    <w:rsid w:val="08836BD0"/>
    <w:rsid w:val="08892439"/>
    <w:rsid w:val="089868C2"/>
    <w:rsid w:val="08D308B5"/>
    <w:rsid w:val="08DE0208"/>
    <w:rsid w:val="091343F8"/>
    <w:rsid w:val="092175CA"/>
    <w:rsid w:val="09420839"/>
    <w:rsid w:val="09463911"/>
    <w:rsid w:val="095742E5"/>
    <w:rsid w:val="096864F2"/>
    <w:rsid w:val="096E162E"/>
    <w:rsid w:val="097053A7"/>
    <w:rsid w:val="09AB63DF"/>
    <w:rsid w:val="09C676BC"/>
    <w:rsid w:val="09D73678"/>
    <w:rsid w:val="09EA5159"/>
    <w:rsid w:val="09ED4C49"/>
    <w:rsid w:val="0A0C0215"/>
    <w:rsid w:val="0A0E1C34"/>
    <w:rsid w:val="0A181847"/>
    <w:rsid w:val="0A2F0DBE"/>
    <w:rsid w:val="0A2F2177"/>
    <w:rsid w:val="0A342100"/>
    <w:rsid w:val="0A36039E"/>
    <w:rsid w:val="0A3E078F"/>
    <w:rsid w:val="0A6E5D8A"/>
    <w:rsid w:val="0A7D7D7B"/>
    <w:rsid w:val="0A892207"/>
    <w:rsid w:val="0A9B6453"/>
    <w:rsid w:val="0AA12CA0"/>
    <w:rsid w:val="0AB15C77"/>
    <w:rsid w:val="0AB94B2B"/>
    <w:rsid w:val="0AC37758"/>
    <w:rsid w:val="0ACC2AB1"/>
    <w:rsid w:val="0AF02C43"/>
    <w:rsid w:val="0AF73FD1"/>
    <w:rsid w:val="0B204BAA"/>
    <w:rsid w:val="0B297F03"/>
    <w:rsid w:val="0B6161A3"/>
    <w:rsid w:val="0B642CE9"/>
    <w:rsid w:val="0B7332FE"/>
    <w:rsid w:val="0B8213C1"/>
    <w:rsid w:val="0BEB340A"/>
    <w:rsid w:val="0BFF7C6D"/>
    <w:rsid w:val="0C0B7609"/>
    <w:rsid w:val="0C1F4E62"/>
    <w:rsid w:val="0C3152C1"/>
    <w:rsid w:val="0C394176"/>
    <w:rsid w:val="0C547201"/>
    <w:rsid w:val="0C62191E"/>
    <w:rsid w:val="0C696A7E"/>
    <w:rsid w:val="0C811298"/>
    <w:rsid w:val="0CD36378"/>
    <w:rsid w:val="0CD518E9"/>
    <w:rsid w:val="0CD97582"/>
    <w:rsid w:val="0CE02843"/>
    <w:rsid w:val="0CF67C2C"/>
    <w:rsid w:val="0CFC245B"/>
    <w:rsid w:val="0D156991"/>
    <w:rsid w:val="0D1F67DA"/>
    <w:rsid w:val="0D9A01E0"/>
    <w:rsid w:val="0DD368FF"/>
    <w:rsid w:val="0DD71E98"/>
    <w:rsid w:val="0DE16873"/>
    <w:rsid w:val="0DE64ADF"/>
    <w:rsid w:val="0E046358"/>
    <w:rsid w:val="0E2A619D"/>
    <w:rsid w:val="0E35096D"/>
    <w:rsid w:val="0E451A23"/>
    <w:rsid w:val="0E4E34C9"/>
    <w:rsid w:val="0E60079A"/>
    <w:rsid w:val="0E7C7503"/>
    <w:rsid w:val="0E92603E"/>
    <w:rsid w:val="0EC75A69"/>
    <w:rsid w:val="0ED41F2A"/>
    <w:rsid w:val="0EDF1DC9"/>
    <w:rsid w:val="0EE563F4"/>
    <w:rsid w:val="0EEF4FBF"/>
    <w:rsid w:val="0F152C78"/>
    <w:rsid w:val="0F1B4006"/>
    <w:rsid w:val="0F3F3E2C"/>
    <w:rsid w:val="0F4672D5"/>
    <w:rsid w:val="0F5A68DD"/>
    <w:rsid w:val="0F603AD1"/>
    <w:rsid w:val="0F73799F"/>
    <w:rsid w:val="0F783207"/>
    <w:rsid w:val="0F7A2ADB"/>
    <w:rsid w:val="0F890F70"/>
    <w:rsid w:val="0F9A2299"/>
    <w:rsid w:val="0FCF1A1F"/>
    <w:rsid w:val="0FDA17CC"/>
    <w:rsid w:val="0FFE195E"/>
    <w:rsid w:val="100B00D7"/>
    <w:rsid w:val="10134CDE"/>
    <w:rsid w:val="1024127E"/>
    <w:rsid w:val="102E38C6"/>
    <w:rsid w:val="10596B94"/>
    <w:rsid w:val="105C62FE"/>
    <w:rsid w:val="10790FE5"/>
    <w:rsid w:val="107E39A7"/>
    <w:rsid w:val="10C5247C"/>
    <w:rsid w:val="10E42CCD"/>
    <w:rsid w:val="10EA5A3E"/>
    <w:rsid w:val="10F62606"/>
    <w:rsid w:val="111A3F67"/>
    <w:rsid w:val="11353965"/>
    <w:rsid w:val="116E41C5"/>
    <w:rsid w:val="1186357B"/>
    <w:rsid w:val="1191737B"/>
    <w:rsid w:val="119836EC"/>
    <w:rsid w:val="11D230A2"/>
    <w:rsid w:val="11E64458"/>
    <w:rsid w:val="11EE77B0"/>
    <w:rsid w:val="120B0362"/>
    <w:rsid w:val="12241424"/>
    <w:rsid w:val="124762E8"/>
    <w:rsid w:val="12505D75"/>
    <w:rsid w:val="127777A6"/>
    <w:rsid w:val="128679E9"/>
    <w:rsid w:val="12BF58DE"/>
    <w:rsid w:val="12C64070"/>
    <w:rsid w:val="12C66037"/>
    <w:rsid w:val="12D70244"/>
    <w:rsid w:val="12E50BB3"/>
    <w:rsid w:val="12F9465F"/>
    <w:rsid w:val="13001549"/>
    <w:rsid w:val="13052701"/>
    <w:rsid w:val="131B2827"/>
    <w:rsid w:val="1340009F"/>
    <w:rsid w:val="13427DB4"/>
    <w:rsid w:val="13533D6F"/>
    <w:rsid w:val="137B1518"/>
    <w:rsid w:val="13A91BE1"/>
    <w:rsid w:val="13B54A2A"/>
    <w:rsid w:val="13BD568C"/>
    <w:rsid w:val="13C22CA3"/>
    <w:rsid w:val="13DB3D64"/>
    <w:rsid w:val="13F111A4"/>
    <w:rsid w:val="13F310AE"/>
    <w:rsid w:val="13F60B9E"/>
    <w:rsid w:val="13FA243C"/>
    <w:rsid w:val="145C4EA5"/>
    <w:rsid w:val="145F6743"/>
    <w:rsid w:val="14787805"/>
    <w:rsid w:val="14916941"/>
    <w:rsid w:val="14991C55"/>
    <w:rsid w:val="14AB3737"/>
    <w:rsid w:val="14E96948"/>
    <w:rsid w:val="14F41A64"/>
    <w:rsid w:val="151B6B0E"/>
    <w:rsid w:val="151C4634"/>
    <w:rsid w:val="15253E18"/>
    <w:rsid w:val="154C41C9"/>
    <w:rsid w:val="15543DCE"/>
    <w:rsid w:val="158703BA"/>
    <w:rsid w:val="15A00DC2"/>
    <w:rsid w:val="15A05265"/>
    <w:rsid w:val="15B95A53"/>
    <w:rsid w:val="15DA0777"/>
    <w:rsid w:val="15EC3507"/>
    <w:rsid w:val="1603092B"/>
    <w:rsid w:val="160F6C00"/>
    <w:rsid w:val="1641578F"/>
    <w:rsid w:val="164E081E"/>
    <w:rsid w:val="16680A46"/>
    <w:rsid w:val="16831C06"/>
    <w:rsid w:val="168626AD"/>
    <w:rsid w:val="16AD12B7"/>
    <w:rsid w:val="16D231FD"/>
    <w:rsid w:val="16E15B36"/>
    <w:rsid w:val="17000FF0"/>
    <w:rsid w:val="17057BF5"/>
    <w:rsid w:val="171A4A2F"/>
    <w:rsid w:val="17237EFC"/>
    <w:rsid w:val="172F4AF3"/>
    <w:rsid w:val="17546308"/>
    <w:rsid w:val="1763654B"/>
    <w:rsid w:val="176C3651"/>
    <w:rsid w:val="17C71556"/>
    <w:rsid w:val="17E70F2A"/>
    <w:rsid w:val="17F618C4"/>
    <w:rsid w:val="180E64B6"/>
    <w:rsid w:val="18147845"/>
    <w:rsid w:val="181A3AAB"/>
    <w:rsid w:val="181B7D6E"/>
    <w:rsid w:val="183C74C7"/>
    <w:rsid w:val="183D061D"/>
    <w:rsid w:val="185B5474"/>
    <w:rsid w:val="186A7A04"/>
    <w:rsid w:val="186C763D"/>
    <w:rsid w:val="188E5849"/>
    <w:rsid w:val="18AD3F21"/>
    <w:rsid w:val="18ED431E"/>
    <w:rsid w:val="18FE3F48"/>
    <w:rsid w:val="19037FE5"/>
    <w:rsid w:val="1912647A"/>
    <w:rsid w:val="191C10A7"/>
    <w:rsid w:val="194F4FD8"/>
    <w:rsid w:val="196964A3"/>
    <w:rsid w:val="198804EA"/>
    <w:rsid w:val="198A4263"/>
    <w:rsid w:val="199F4BEF"/>
    <w:rsid w:val="19A03A86"/>
    <w:rsid w:val="19A54BF8"/>
    <w:rsid w:val="19B337B9"/>
    <w:rsid w:val="19E27BFB"/>
    <w:rsid w:val="1A0062D3"/>
    <w:rsid w:val="1A3F6FD0"/>
    <w:rsid w:val="1A6C3968"/>
    <w:rsid w:val="1A815666"/>
    <w:rsid w:val="1A9F3D3E"/>
    <w:rsid w:val="1ABD5F72"/>
    <w:rsid w:val="1ABE15F4"/>
    <w:rsid w:val="1AE06CAF"/>
    <w:rsid w:val="1AEE1F9A"/>
    <w:rsid w:val="1B1262BE"/>
    <w:rsid w:val="1B143444"/>
    <w:rsid w:val="1B1A46CC"/>
    <w:rsid w:val="1B242DC3"/>
    <w:rsid w:val="1B291859"/>
    <w:rsid w:val="1B3501FE"/>
    <w:rsid w:val="1B3E70B3"/>
    <w:rsid w:val="1B59213E"/>
    <w:rsid w:val="1B5A3204"/>
    <w:rsid w:val="1B6B3C20"/>
    <w:rsid w:val="1B740D26"/>
    <w:rsid w:val="1BAA299A"/>
    <w:rsid w:val="1C00080C"/>
    <w:rsid w:val="1C0A168B"/>
    <w:rsid w:val="1C490AD1"/>
    <w:rsid w:val="1C6C5EA1"/>
    <w:rsid w:val="1C850D11"/>
    <w:rsid w:val="1C855354"/>
    <w:rsid w:val="1CAA0778"/>
    <w:rsid w:val="1CBA393A"/>
    <w:rsid w:val="1CC10C37"/>
    <w:rsid w:val="1CD22153"/>
    <w:rsid w:val="1CD35F20"/>
    <w:rsid w:val="1D464944"/>
    <w:rsid w:val="1D681FD3"/>
    <w:rsid w:val="1D6923E1"/>
    <w:rsid w:val="1D7768AC"/>
    <w:rsid w:val="1D78713B"/>
    <w:rsid w:val="1D9D57AA"/>
    <w:rsid w:val="1DAC03EC"/>
    <w:rsid w:val="1DC075CA"/>
    <w:rsid w:val="1DD91315"/>
    <w:rsid w:val="1DE84488"/>
    <w:rsid w:val="1DF3687A"/>
    <w:rsid w:val="1DFB1E95"/>
    <w:rsid w:val="1E190976"/>
    <w:rsid w:val="1E3E73CA"/>
    <w:rsid w:val="1E4C7D38"/>
    <w:rsid w:val="1E7D4396"/>
    <w:rsid w:val="1EA243B9"/>
    <w:rsid w:val="1EAC4C7B"/>
    <w:rsid w:val="1EAE454F"/>
    <w:rsid w:val="1EC43FBB"/>
    <w:rsid w:val="1ED80850"/>
    <w:rsid w:val="1EEC32CA"/>
    <w:rsid w:val="1F114ADE"/>
    <w:rsid w:val="1F3A2287"/>
    <w:rsid w:val="1F3D58D3"/>
    <w:rsid w:val="1F52137F"/>
    <w:rsid w:val="1F5275D0"/>
    <w:rsid w:val="1F7F659E"/>
    <w:rsid w:val="1F84126A"/>
    <w:rsid w:val="1F923788"/>
    <w:rsid w:val="1F923E71"/>
    <w:rsid w:val="1F933745"/>
    <w:rsid w:val="1FA45952"/>
    <w:rsid w:val="1FDA349D"/>
    <w:rsid w:val="1FDE0E64"/>
    <w:rsid w:val="1FF64F88"/>
    <w:rsid w:val="20052811"/>
    <w:rsid w:val="20160FBA"/>
    <w:rsid w:val="204131A1"/>
    <w:rsid w:val="20895274"/>
    <w:rsid w:val="20915ED7"/>
    <w:rsid w:val="209239FD"/>
    <w:rsid w:val="20971013"/>
    <w:rsid w:val="209D487B"/>
    <w:rsid w:val="20A0611A"/>
    <w:rsid w:val="20A3345E"/>
    <w:rsid w:val="20A51982"/>
    <w:rsid w:val="20BB41A0"/>
    <w:rsid w:val="20D52A5A"/>
    <w:rsid w:val="20D83B05"/>
    <w:rsid w:val="20FA3A7C"/>
    <w:rsid w:val="211D776A"/>
    <w:rsid w:val="215A451A"/>
    <w:rsid w:val="215E21B4"/>
    <w:rsid w:val="216B497A"/>
    <w:rsid w:val="21886A3B"/>
    <w:rsid w:val="21905D83"/>
    <w:rsid w:val="219F63D1"/>
    <w:rsid w:val="21B1257A"/>
    <w:rsid w:val="21E64000"/>
    <w:rsid w:val="21F3097B"/>
    <w:rsid w:val="22066531"/>
    <w:rsid w:val="222526EF"/>
    <w:rsid w:val="2228286B"/>
    <w:rsid w:val="226118D9"/>
    <w:rsid w:val="22631AF5"/>
    <w:rsid w:val="227419B5"/>
    <w:rsid w:val="22806203"/>
    <w:rsid w:val="22AC349C"/>
    <w:rsid w:val="22B52EE5"/>
    <w:rsid w:val="22BD7457"/>
    <w:rsid w:val="22CD29F8"/>
    <w:rsid w:val="22CF0F38"/>
    <w:rsid w:val="22E22A19"/>
    <w:rsid w:val="22F015DA"/>
    <w:rsid w:val="230010F2"/>
    <w:rsid w:val="23360FB7"/>
    <w:rsid w:val="23517B9F"/>
    <w:rsid w:val="237B192E"/>
    <w:rsid w:val="2380427B"/>
    <w:rsid w:val="23AF4BB2"/>
    <w:rsid w:val="23BC547F"/>
    <w:rsid w:val="23E27848"/>
    <w:rsid w:val="241237D2"/>
    <w:rsid w:val="241C1F5B"/>
    <w:rsid w:val="241E038C"/>
    <w:rsid w:val="24370B7B"/>
    <w:rsid w:val="244871F4"/>
    <w:rsid w:val="244942AA"/>
    <w:rsid w:val="247753E3"/>
    <w:rsid w:val="2479050C"/>
    <w:rsid w:val="248D41FB"/>
    <w:rsid w:val="24B14D99"/>
    <w:rsid w:val="24BC27E6"/>
    <w:rsid w:val="24CA5E5B"/>
    <w:rsid w:val="24D523A7"/>
    <w:rsid w:val="24D67580"/>
    <w:rsid w:val="24DF7846"/>
    <w:rsid w:val="24ED38F7"/>
    <w:rsid w:val="25232A7A"/>
    <w:rsid w:val="252455FC"/>
    <w:rsid w:val="25320969"/>
    <w:rsid w:val="255A1523"/>
    <w:rsid w:val="255B6BAA"/>
    <w:rsid w:val="255E5BD0"/>
    <w:rsid w:val="25761ED8"/>
    <w:rsid w:val="257B4CC6"/>
    <w:rsid w:val="25815CE3"/>
    <w:rsid w:val="2584600A"/>
    <w:rsid w:val="259049AF"/>
    <w:rsid w:val="25D30D3F"/>
    <w:rsid w:val="25F024DF"/>
    <w:rsid w:val="26243349"/>
    <w:rsid w:val="2637344B"/>
    <w:rsid w:val="263942ED"/>
    <w:rsid w:val="267964AE"/>
    <w:rsid w:val="269229A8"/>
    <w:rsid w:val="26B24DF9"/>
    <w:rsid w:val="26B75F6B"/>
    <w:rsid w:val="26B77A91"/>
    <w:rsid w:val="26F40F6D"/>
    <w:rsid w:val="26FB054E"/>
    <w:rsid w:val="271635D9"/>
    <w:rsid w:val="271C5387"/>
    <w:rsid w:val="272A0E33"/>
    <w:rsid w:val="27565784"/>
    <w:rsid w:val="275859A0"/>
    <w:rsid w:val="275F6D2E"/>
    <w:rsid w:val="27637EA1"/>
    <w:rsid w:val="27A110F5"/>
    <w:rsid w:val="27A74232"/>
    <w:rsid w:val="27B119B4"/>
    <w:rsid w:val="27B33C90"/>
    <w:rsid w:val="27C43035"/>
    <w:rsid w:val="27D843EB"/>
    <w:rsid w:val="27DF1C1D"/>
    <w:rsid w:val="280C6C60"/>
    <w:rsid w:val="280E42B1"/>
    <w:rsid w:val="281F25B1"/>
    <w:rsid w:val="28215D92"/>
    <w:rsid w:val="28461C9C"/>
    <w:rsid w:val="28577A06"/>
    <w:rsid w:val="286363AA"/>
    <w:rsid w:val="286E6AFD"/>
    <w:rsid w:val="2886653D"/>
    <w:rsid w:val="28B10F71"/>
    <w:rsid w:val="28B44E58"/>
    <w:rsid w:val="28C055AB"/>
    <w:rsid w:val="28CA642A"/>
    <w:rsid w:val="28CB3926"/>
    <w:rsid w:val="28F06D67"/>
    <w:rsid w:val="28FD019E"/>
    <w:rsid w:val="29211DC2"/>
    <w:rsid w:val="29371F90"/>
    <w:rsid w:val="29567CBD"/>
    <w:rsid w:val="295E4DC4"/>
    <w:rsid w:val="29605CF1"/>
    <w:rsid w:val="296A5517"/>
    <w:rsid w:val="297445E7"/>
    <w:rsid w:val="299407E6"/>
    <w:rsid w:val="2996455E"/>
    <w:rsid w:val="299B7DC6"/>
    <w:rsid w:val="29AF73CD"/>
    <w:rsid w:val="29C410CB"/>
    <w:rsid w:val="29E467B7"/>
    <w:rsid w:val="29EA390C"/>
    <w:rsid w:val="2A1132FB"/>
    <w:rsid w:val="2A1831C5"/>
    <w:rsid w:val="2A232A65"/>
    <w:rsid w:val="2A321A45"/>
    <w:rsid w:val="2A336250"/>
    <w:rsid w:val="2A467D32"/>
    <w:rsid w:val="2A6F70DE"/>
    <w:rsid w:val="2AB47391"/>
    <w:rsid w:val="2AD74E2E"/>
    <w:rsid w:val="2AEF0831"/>
    <w:rsid w:val="2AF43C32"/>
    <w:rsid w:val="2AFB5F62"/>
    <w:rsid w:val="2B0025D7"/>
    <w:rsid w:val="2B065713"/>
    <w:rsid w:val="2B1114D4"/>
    <w:rsid w:val="2B582436"/>
    <w:rsid w:val="2B5E649A"/>
    <w:rsid w:val="2B6C5576"/>
    <w:rsid w:val="2B7D5189"/>
    <w:rsid w:val="2BDB26FC"/>
    <w:rsid w:val="2BDD3FF4"/>
    <w:rsid w:val="2C002162"/>
    <w:rsid w:val="2C151290"/>
    <w:rsid w:val="2C295D59"/>
    <w:rsid w:val="2C3A5674"/>
    <w:rsid w:val="2C471B3F"/>
    <w:rsid w:val="2C535312"/>
    <w:rsid w:val="2C712037"/>
    <w:rsid w:val="2C7A0167"/>
    <w:rsid w:val="2C7D5862"/>
    <w:rsid w:val="2C983CFB"/>
    <w:rsid w:val="2C9C41FE"/>
    <w:rsid w:val="2CA80956"/>
    <w:rsid w:val="2CAD22EA"/>
    <w:rsid w:val="2CC500C4"/>
    <w:rsid w:val="2CD86C3B"/>
    <w:rsid w:val="2CDF446E"/>
    <w:rsid w:val="2CDF7B40"/>
    <w:rsid w:val="2D1F486A"/>
    <w:rsid w:val="2D2C5FB8"/>
    <w:rsid w:val="2D393B7E"/>
    <w:rsid w:val="2D5B7F98"/>
    <w:rsid w:val="2D614E83"/>
    <w:rsid w:val="2D6230D5"/>
    <w:rsid w:val="2D6B7AAF"/>
    <w:rsid w:val="2D6C3F53"/>
    <w:rsid w:val="2D887326"/>
    <w:rsid w:val="2D9A60D9"/>
    <w:rsid w:val="2DAE5E11"/>
    <w:rsid w:val="2DBB4593"/>
    <w:rsid w:val="2DE54661"/>
    <w:rsid w:val="2DEA190A"/>
    <w:rsid w:val="2DEE4968"/>
    <w:rsid w:val="2DF57369"/>
    <w:rsid w:val="2E00644A"/>
    <w:rsid w:val="2E13617D"/>
    <w:rsid w:val="2E181C50"/>
    <w:rsid w:val="2E3F51C4"/>
    <w:rsid w:val="2E50117F"/>
    <w:rsid w:val="2E60310A"/>
    <w:rsid w:val="2E6E3B96"/>
    <w:rsid w:val="2E7C09DF"/>
    <w:rsid w:val="2E8A0DE4"/>
    <w:rsid w:val="2EA20D1E"/>
    <w:rsid w:val="2EBA6F40"/>
    <w:rsid w:val="2EF44200"/>
    <w:rsid w:val="2EF5578F"/>
    <w:rsid w:val="2F132A17"/>
    <w:rsid w:val="2F1542D3"/>
    <w:rsid w:val="2F19273E"/>
    <w:rsid w:val="2F6E51EC"/>
    <w:rsid w:val="2FA2210D"/>
    <w:rsid w:val="2FAB0637"/>
    <w:rsid w:val="2FBE480E"/>
    <w:rsid w:val="2FCD4A51"/>
    <w:rsid w:val="2FF664C4"/>
    <w:rsid w:val="30085A89"/>
    <w:rsid w:val="30120F5C"/>
    <w:rsid w:val="30137621"/>
    <w:rsid w:val="301C02EE"/>
    <w:rsid w:val="303626F5"/>
    <w:rsid w:val="303633D2"/>
    <w:rsid w:val="30561E5F"/>
    <w:rsid w:val="30622FEF"/>
    <w:rsid w:val="306A22A0"/>
    <w:rsid w:val="307B6271"/>
    <w:rsid w:val="307F795E"/>
    <w:rsid w:val="30934E8F"/>
    <w:rsid w:val="30B40117"/>
    <w:rsid w:val="30C97D27"/>
    <w:rsid w:val="310A6DB4"/>
    <w:rsid w:val="310D2353"/>
    <w:rsid w:val="31132938"/>
    <w:rsid w:val="31601E70"/>
    <w:rsid w:val="317F1D7B"/>
    <w:rsid w:val="3186135C"/>
    <w:rsid w:val="31C3610C"/>
    <w:rsid w:val="31CF2D03"/>
    <w:rsid w:val="31D10829"/>
    <w:rsid w:val="31EA18EB"/>
    <w:rsid w:val="32103170"/>
    <w:rsid w:val="32754A82"/>
    <w:rsid w:val="32820442"/>
    <w:rsid w:val="32841682"/>
    <w:rsid w:val="328A3B1A"/>
    <w:rsid w:val="32990C1B"/>
    <w:rsid w:val="32B55A55"/>
    <w:rsid w:val="32B61940"/>
    <w:rsid w:val="32CB5278"/>
    <w:rsid w:val="33075200"/>
    <w:rsid w:val="33154745"/>
    <w:rsid w:val="33413EDE"/>
    <w:rsid w:val="33784BF7"/>
    <w:rsid w:val="3381460F"/>
    <w:rsid w:val="338748EA"/>
    <w:rsid w:val="339B682A"/>
    <w:rsid w:val="33A15FD9"/>
    <w:rsid w:val="33A902AB"/>
    <w:rsid w:val="33B7001B"/>
    <w:rsid w:val="33CC2995"/>
    <w:rsid w:val="33ED7470"/>
    <w:rsid w:val="33F407FF"/>
    <w:rsid w:val="34116E7E"/>
    <w:rsid w:val="341B5D8B"/>
    <w:rsid w:val="341C4BE7"/>
    <w:rsid w:val="342235BE"/>
    <w:rsid w:val="342D358E"/>
    <w:rsid w:val="343F6D1F"/>
    <w:rsid w:val="344277BC"/>
    <w:rsid w:val="34441786"/>
    <w:rsid w:val="34651714"/>
    <w:rsid w:val="34684D49"/>
    <w:rsid w:val="34763909"/>
    <w:rsid w:val="34833930"/>
    <w:rsid w:val="34965153"/>
    <w:rsid w:val="34A264AC"/>
    <w:rsid w:val="34B52527"/>
    <w:rsid w:val="34E00D83"/>
    <w:rsid w:val="350C1B78"/>
    <w:rsid w:val="3538471B"/>
    <w:rsid w:val="35435B71"/>
    <w:rsid w:val="35702107"/>
    <w:rsid w:val="35C661CB"/>
    <w:rsid w:val="35C91817"/>
    <w:rsid w:val="35CF2D60"/>
    <w:rsid w:val="35E86141"/>
    <w:rsid w:val="35F51433"/>
    <w:rsid w:val="36392E40"/>
    <w:rsid w:val="36405F7D"/>
    <w:rsid w:val="364D2448"/>
    <w:rsid w:val="36877708"/>
    <w:rsid w:val="36B536E8"/>
    <w:rsid w:val="36C00E6C"/>
    <w:rsid w:val="36E06CFA"/>
    <w:rsid w:val="37037608"/>
    <w:rsid w:val="370E1BD7"/>
    <w:rsid w:val="37272945"/>
    <w:rsid w:val="3738188C"/>
    <w:rsid w:val="374324BD"/>
    <w:rsid w:val="374E6478"/>
    <w:rsid w:val="377203B8"/>
    <w:rsid w:val="37734130"/>
    <w:rsid w:val="378F4EB7"/>
    <w:rsid w:val="37980C01"/>
    <w:rsid w:val="37AF4771"/>
    <w:rsid w:val="37CB1876"/>
    <w:rsid w:val="38170F5F"/>
    <w:rsid w:val="382974C8"/>
    <w:rsid w:val="383218F5"/>
    <w:rsid w:val="383B4C4E"/>
    <w:rsid w:val="383C4522"/>
    <w:rsid w:val="3853709A"/>
    <w:rsid w:val="387719FE"/>
    <w:rsid w:val="388C36FB"/>
    <w:rsid w:val="38983E4E"/>
    <w:rsid w:val="38AF2F46"/>
    <w:rsid w:val="38D97FC3"/>
    <w:rsid w:val="390239BE"/>
    <w:rsid w:val="3905043C"/>
    <w:rsid w:val="390B742C"/>
    <w:rsid w:val="39522A4F"/>
    <w:rsid w:val="395835DE"/>
    <w:rsid w:val="3960563F"/>
    <w:rsid w:val="39665CFB"/>
    <w:rsid w:val="398E78CA"/>
    <w:rsid w:val="3995213C"/>
    <w:rsid w:val="39CA46E3"/>
    <w:rsid w:val="39D37108"/>
    <w:rsid w:val="39E82BB3"/>
    <w:rsid w:val="3A3C68BF"/>
    <w:rsid w:val="3A424D31"/>
    <w:rsid w:val="3A540249"/>
    <w:rsid w:val="3A886068"/>
    <w:rsid w:val="3A9248CD"/>
    <w:rsid w:val="3A9834F2"/>
    <w:rsid w:val="3AB331C1"/>
    <w:rsid w:val="3AC16F61"/>
    <w:rsid w:val="3ADB0022"/>
    <w:rsid w:val="3ADF335C"/>
    <w:rsid w:val="3AED5FA8"/>
    <w:rsid w:val="3AFE1F63"/>
    <w:rsid w:val="3B024015"/>
    <w:rsid w:val="3B077069"/>
    <w:rsid w:val="3B083F8B"/>
    <w:rsid w:val="3B1E43B3"/>
    <w:rsid w:val="3B225C51"/>
    <w:rsid w:val="3B37375B"/>
    <w:rsid w:val="3B5878C5"/>
    <w:rsid w:val="3B8E32E7"/>
    <w:rsid w:val="3BA26D92"/>
    <w:rsid w:val="3BB23479"/>
    <w:rsid w:val="3BD340EA"/>
    <w:rsid w:val="3BD602EF"/>
    <w:rsid w:val="3BE2110A"/>
    <w:rsid w:val="3BE70C49"/>
    <w:rsid w:val="3BF35840"/>
    <w:rsid w:val="3C0A04E7"/>
    <w:rsid w:val="3C0A2960"/>
    <w:rsid w:val="3C1C4D96"/>
    <w:rsid w:val="3C3C47FA"/>
    <w:rsid w:val="3C460065"/>
    <w:rsid w:val="3C616C4D"/>
    <w:rsid w:val="3C6A6406"/>
    <w:rsid w:val="3C6D55F2"/>
    <w:rsid w:val="3C776471"/>
    <w:rsid w:val="3C7C5835"/>
    <w:rsid w:val="3C8E0F9D"/>
    <w:rsid w:val="3CB56181"/>
    <w:rsid w:val="3CBA010B"/>
    <w:rsid w:val="3CC60375"/>
    <w:rsid w:val="3CCD6091"/>
    <w:rsid w:val="3CDE029E"/>
    <w:rsid w:val="3CE4475D"/>
    <w:rsid w:val="3D406863"/>
    <w:rsid w:val="3D600CB3"/>
    <w:rsid w:val="3D7B5AED"/>
    <w:rsid w:val="3D803103"/>
    <w:rsid w:val="3D94095C"/>
    <w:rsid w:val="3DAE7C70"/>
    <w:rsid w:val="3DB64D77"/>
    <w:rsid w:val="3DBF3C2B"/>
    <w:rsid w:val="3DCE4010"/>
    <w:rsid w:val="3DD21D54"/>
    <w:rsid w:val="3DEC2546"/>
    <w:rsid w:val="3DF064DB"/>
    <w:rsid w:val="3DFE0BF8"/>
    <w:rsid w:val="3E0728CE"/>
    <w:rsid w:val="3E154DAD"/>
    <w:rsid w:val="3E285C74"/>
    <w:rsid w:val="3E310BD1"/>
    <w:rsid w:val="3E4800C5"/>
    <w:rsid w:val="3E787981"/>
    <w:rsid w:val="3E7C44A5"/>
    <w:rsid w:val="3EA03A5D"/>
    <w:rsid w:val="3EB72B54"/>
    <w:rsid w:val="3ED6747E"/>
    <w:rsid w:val="3EDF3E59"/>
    <w:rsid w:val="3EFC5866"/>
    <w:rsid w:val="3EFE0783"/>
    <w:rsid w:val="3F2301EA"/>
    <w:rsid w:val="3F361630"/>
    <w:rsid w:val="3F375A43"/>
    <w:rsid w:val="3F3C12AC"/>
    <w:rsid w:val="3F41262A"/>
    <w:rsid w:val="3F4C7741"/>
    <w:rsid w:val="3F4D1395"/>
    <w:rsid w:val="3F5751EC"/>
    <w:rsid w:val="3FA94B93"/>
    <w:rsid w:val="3FAD415A"/>
    <w:rsid w:val="400D3374"/>
    <w:rsid w:val="400D65EC"/>
    <w:rsid w:val="40267F92"/>
    <w:rsid w:val="40592ECB"/>
    <w:rsid w:val="405930EC"/>
    <w:rsid w:val="40704BED"/>
    <w:rsid w:val="4081341A"/>
    <w:rsid w:val="40884808"/>
    <w:rsid w:val="408D1DBF"/>
    <w:rsid w:val="40B557B9"/>
    <w:rsid w:val="40CC37CF"/>
    <w:rsid w:val="40DD6794"/>
    <w:rsid w:val="40E340D5"/>
    <w:rsid w:val="40FA15B8"/>
    <w:rsid w:val="40FE2CBD"/>
    <w:rsid w:val="41013D81"/>
    <w:rsid w:val="41095B52"/>
    <w:rsid w:val="412012F5"/>
    <w:rsid w:val="41384ACC"/>
    <w:rsid w:val="41401283"/>
    <w:rsid w:val="41594397"/>
    <w:rsid w:val="416B7C26"/>
    <w:rsid w:val="416C231C"/>
    <w:rsid w:val="41962EF5"/>
    <w:rsid w:val="420E6F2F"/>
    <w:rsid w:val="422C1AAB"/>
    <w:rsid w:val="42707BEA"/>
    <w:rsid w:val="427F2929"/>
    <w:rsid w:val="4284248E"/>
    <w:rsid w:val="42864D18"/>
    <w:rsid w:val="42914900"/>
    <w:rsid w:val="429562DA"/>
    <w:rsid w:val="42AB29D0"/>
    <w:rsid w:val="42C26EBB"/>
    <w:rsid w:val="42C447F4"/>
    <w:rsid w:val="42E163F2"/>
    <w:rsid w:val="42F27ED7"/>
    <w:rsid w:val="42F45F49"/>
    <w:rsid w:val="43005EFE"/>
    <w:rsid w:val="43052685"/>
    <w:rsid w:val="43140575"/>
    <w:rsid w:val="43562D62"/>
    <w:rsid w:val="437E00E5"/>
    <w:rsid w:val="43B27D8E"/>
    <w:rsid w:val="43B34232"/>
    <w:rsid w:val="43C21CEF"/>
    <w:rsid w:val="43E048FB"/>
    <w:rsid w:val="43E3619A"/>
    <w:rsid w:val="43FC6264"/>
    <w:rsid w:val="44092DCB"/>
    <w:rsid w:val="4414507B"/>
    <w:rsid w:val="441E71D2"/>
    <w:rsid w:val="44566930"/>
    <w:rsid w:val="447C0AC8"/>
    <w:rsid w:val="4493196E"/>
    <w:rsid w:val="449D27EC"/>
    <w:rsid w:val="44C164DB"/>
    <w:rsid w:val="44DE20BF"/>
    <w:rsid w:val="450B3BFA"/>
    <w:rsid w:val="452627E2"/>
    <w:rsid w:val="453F38A4"/>
    <w:rsid w:val="456A4DC4"/>
    <w:rsid w:val="45C02C36"/>
    <w:rsid w:val="45CB161E"/>
    <w:rsid w:val="45D264C6"/>
    <w:rsid w:val="46255B1F"/>
    <w:rsid w:val="463351B6"/>
    <w:rsid w:val="46445615"/>
    <w:rsid w:val="465F5FAB"/>
    <w:rsid w:val="46780E1B"/>
    <w:rsid w:val="46A67FEE"/>
    <w:rsid w:val="46E26BDC"/>
    <w:rsid w:val="46F5427E"/>
    <w:rsid w:val="47072195"/>
    <w:rsid w:val="470D5D8D"/>
    <w:rsid w:val="471072A6"/>
    <w:rsid w:val="47172FCE"/>
    <w:rsid w:val="47176886"/>
    <w:rsid w:val="471E420C"/>
    <w:rsid w:val="47330D35"/>
    <w:rsid w:val="4761706C"/>
    <w:rsid w:val="4783216D"/>
    <w:rsid w:val="4798402A"/>
    <w:rsid w:val="47A766F5"/>
    <w:rsid w:val="47AF4D11"/>
    <w:rsid w:val="47BC742D"/>
    <w:rsid w:val="47D06A35"/>
    <w:rsid w:val="47E0311C"/>
    <w:rsid w:val="47EA7AF7"/>
    <w:rsid w:val="47FC5A7C"/>
    <w:rsid w:val="4803505C"/>
    <w:rsid w:val="480A1F47"/>
    <w:rsid w:val="48142DC6"/>
    <w:rsid w:val="481825A2"/>
    <w:rsid w:val="482A4397"/>
    <w:rsid w:val="48376AB4"/>
    <w:rsid w:val="483B65A4"/>
    <w:rsid w:val="48403BBB"/>
    <w:rsid w:val="484F02A2"/>
    <w:rsid w:val="485240C1"/>
    <w:rsid w:val="48621D83"/>
    <w:rsid w:val="486C2C02"/>
    <w:rsid w:val="48710218"/>
    <w:rsid w:val="487675DC"/>
    <w:rsid w:val="488C5FF8"/>
    <w:rsid w:val="48A01144"/>
    <w:rsid w:val="48A979B2"/>
    <w:rsid w:val="48BD530E"/>
    <w:rsid w:val="48DF1625"/>
    <w:rsid w:val="490109D9"/>
    <w:rsid w:val="4904108C"/>
    <w:rsid w:val="4928358B"/>
    <w:rsid w:val="49303C2F"/>
    <w:rsid w:val="494D2A33"/>
    <w:rsid w:val="49667651"/>
    <w:rsid w:val="49A962E3"/>
    <w:rsid w:val="49AA1C33"/>
    <w:rsid w:val="49AC3B47"/>
    <w:rsid w:val="49CB3958"/>
    <w:rsid w:val="49D2118A"/>
    <w:rsid w:val="49DE368B"/>
    <w:rsid w:val="49EF5898"/>
    <w:rsid w:val="49FE5ADB"/>
    <w:rsid w:val="4A696166"/>
    <w:rsid w:val="4A6F0787"/>
    <w:rsid w:val="4A8E50B1"/>
    <w:rsid w:val="4A9357E4"/>
    <w:rsid w:val="4AD870BB"/>
    <w:rsid w:val="4ADE5503"/>
    <w:rsid w:val="4AF64A04"/>
    <w:rsid w:val="4B1355B6"/>
    <w:rsid w:val="4B14769A"/>
    <w:rsid w:val="4B1B446B"/>
    <w:rsid w:val="4B2477C4"/>
    <w:rsid w:val="4B47151E"/>
    <w:rsid w:val="4B5E0F27"/>
    <w:rsid w:val="4B616322"/>
    <w:rsid w:val="4B7818BD"/>
    <w:rsid w:val="4B977B4C"/>
    <w:rsid w:val="4BC804C2"/>
    <w:rsid w:val="4BC82845"/>
    <w:rsid w:val="4BDC33B4"/>
    <w:rsid w:val="4BE86A43"/>
    <w:rsid w:val="4BF76B91"/>
    <w:rsid w:val="4C066EC9"/>
    <w:rsid w:val="4C14451D"/>
    <w:rsid w:val="4C1635B0"/>
    <w:rsid w:val="4C243449"/>
    <w:rsid w:val="4C2F01CE"/>
    <w:rsid w:val="4C3E6663"/>
    <w:rsid w:val="4CA05B6E"/>
    <w:rsid w:val="4CB60D7D"/>
    <w:rsid w:val="4CCD02B2"/>
    <w:rsid w:val="4CEC13D1"/>
    <w:rsid w:val="4CF7058C"/>
    <w:rsid w:val="4D6E7AD9"/>
    <w:rsid w:val="4D704F42"/>
    <w:rsid w:val="4D7560B4"/>
    <w:rsid w:val="4D785BA5"/>
    <w:rsid w:val="4DDC66B4"/>
    <w:rsid w:val="4DDE24C4"/>
    <w:rsid w:val="4DE00B2A"/>
    <w:rsid w:val="4DE35714"/>
    <w:rsid w:val="4DEB2042"/>
    <w:rsid w:val="4DEE5E67"/>
    <w:rsid w:val="4DF647A7"/>
    <w:rsid w:val="4E0A1360"/>
    <w:rsid w:val="4E121B55"/>
    <w:rsid w:val="4E2D4BE1"/>
    <w:rsid w:val="4E3E6DEE"/>
    <w:rsid w:val="4E434405"/>
    <w:rsid w:val="4E526C20"/>
    <w:rsid w:val="4E5352BB"/>
    <w:rsid w:val="4E697925"/>
    <w:rsid w:val="4E6B74B7"/>
    <w:rsid w:val="4E946A0E"/>
    <w:rsid w:val="4EC15F85"/>
    <w:rsid w:val="4EDE5EDB"/>
    <w:rsid w:val="4EE259CC"/>
    <w:rsid w:val="4EEE716C"/>
    <w:rsid w:val="4EF474AD"/>
    <w:rsid w:val="4F1D2EA8"/>
    <w:rsid w:val="4F3124AF"/>
    <w:rsid w:val="4F3B332E"/>
    <w:rsid w:val="4F3D572A"/>
    <w:rsid w:val="4F475AAF"/>
    <w:rsid w:val="4F716D4F"/>
    <w:rsid w:val="4F734876"/>
    <w:rsid w:val="4FAA6EA7"/>
    <w:rsid w:val="4FBA24A4"/>
    <w:rsid w:val="4FF5172F"/>
    <w:rsid w:val="4FFE6835"/>
    <w:rsid w:val="501A56F4"/>
    <w:rsid w:val="50285660"/>
    <w:rsid w:val="502B5150"/>
    <w:rsid w:val="503F29AA"/>
    <w:rsid w:val="505E1082"/>
    <w:rsid w:val="507431FD"/>
    <w:rsid w:val="507F3C4C"/>
    <w:rsid w:val="508567BA"/>
    <w:rsid w:val="508F3931"/>
    <w:rsid w:val="5095081C"/>
    <w:rsid w:val="50B74C36"/>
    <w:rsid w:val="50B97362"/>
    <w:rsid w:val="50BD049E"/>
    <w:rsid w:val="50ED0658"/>
    <w:rsid w:val="51344B3B"/>
    <w:rsid w:val="51360251"/>
    <w:rsid w:val="513F5357"/>
    <w:rsid w:val="51976F41"/>
    <w:rsid w:val="519C1CF5"/>
    <w:rsid w:val="51A11B6E"/>
    <w:rsid w:val="51D84E64"/>
    <w:rsid w:val="520143BB"/>
    <w:rsid w:val="520E0886"/>
    <w:rsid w:val="52296714"/>
    <w:rsid w:val="522B58DB"/>
    <w:rsid w:val="52350BA2"/>
    <w:rsid w:val="523D116B"/>
    <w:rsid w:val="525210BA"/>
    <w:rsid w:val="52595FA5"/>
    <w:rsid w:val="52614E59"/>
    <w:rsid w:val="52760EC8"/>
    <w:rsid w:val="52786D8B"/>
    <w:rsid w:val="528902D6"/>
    <w:rsid w:val="529671F9"/>
    <w:rsid w:val="52AD009F"/>
    <w:rsid w:val="52B21B59"/>
    <w:rsid w:val="52C13B4A"/>
    <w:rsid w:val="52EF06B7"/>
    <w:rsid w:val="531225F7"/>
    <w:rsid w:val="532F039B"/>
    <w:rsid w:val="53346A12"/>
    <w:rsid w:val="53426A39"/>
    <w:rsid w:val="5345477B"/>
    <w:rsid w:val="53465AE9"/>
    <w:rsid w:val="535952E5"/>
    <w:rsid w:val="535D7D17"/>
    <w:rsid w:val="538857C5"/>
    <w:rsid w:val="53A94D0A"/>
    <w:rsid w:val="53B13BBE"/>
    <w:rsid w:val="53CC09F8"/>
    <w:rsid w:val="53DB785D"/>
    <w:rsid w:val="53E144A4"/>
    <w:rsid w:val="53E2646E"/>
    <w:rsid w:val="541F1E2F"/>
    <w:rsid w:val="542004D9"/>
    <w:rsid w:val="54316AAD"/>
    <w:rsid w:val="54414F42"/>
    <w:rsid w:val="54484523"/>
    <w:rsid w:val="5449029B"/>
    <w:rsid w:val="545021E6"/>
    <w:rsid w:val="54514437"/>
    <w:rsid w:val="54674583"/>
    <w:rsid w:val="54751090"/>
    <w:rsid w:val="549079CA"/>
    <w:rsid w:val="54907C78"/>
    <w:rsid w:val="54994D7E"/>
    <w:rsid w:val="549B4D55"/>
    <w:rsid w:val="54D2203E"/>
    <w:rsid w:val="54FE4BE1"/>
    <w:rsid w:val="55066AD1"/>
    <w:rsid w:val="550A3375"/>
    <w:rsid w:val="553625CD"/>
    <w:rsid w:val="553E3E9A"/>
    <w:rsid w:val="55480552"/>
    <w:rsid w:val="55482300"/>
    <w:rsid w:val="555B4829"/>
    <w:rsid w:val="55651104"/>
    <w:rsid w:val="556C2493"/>
    <w:rsid w:val="55711857"/>
    <w:rsid w:val="55823A64"/>
    <w:rsid w:val="559E5949"/>
    <w:rsid w:val="55A03EEB"/>
    <w:rsid w:val="55A3444E"/>
    <w:rsid w:val="55BA31FE"/>
    <w:rsid w:val="55C03F98"/>
    <w:rsid w:val="55D911AB"/>
    <w:rsid w:val="55EC35D4"/>
    <w:rsid w:val="55F34962"/>
    <w:rsid w:val="566030AC"/>
    <w:rsid w:val="567726CA"/>
    <w:rsid w:val="5679633B"/>
    <w:rsid w:val="56890E23"/>
    <w:rsid w:val="56B75990"/>
    <w:rsid w:val="56BC4D54"/>
    <w:rsid w:val="56BF65F2"/>
    <w:rsid w:val="56CE6835"/>
    <w:rsid w:val="56D4209E"/>
    <w:rsid w:val="56DC4FDF"/>
    <w:rsid w:val="56F75D8C"/>
    <w:rsid w:val="5716352D"/>
    <w:rsid w:val="57407733"/>
    <w:rsid w:val="575B456D"/>
    <w:rsid w:val="575D2010"/>
    <w:rsid w:val="576158FB"/>
    <w:rsid w:val="57877110"/>
    <w:rsid w:val="57AF314A"/>
    <w:rsid w:val="57C55E8A"/>
    <w:rsid w:val="57D92987"/>
    <w:rsid w:val="57E9504D"/>
    <w:rsid w:val="58154EB0"/>
    <w:rsid w:val="5824666E"/>
    <w:rsid w:val="582726A1"/>
    <w:rsid w:val="582A7B63"/>
    <w:rsid w:val="582E57DE"/>
    <w:rsid w:val="5842136F"/>
    <w:rsid w:val="58535244"/>
    <w:rsid w:val="58584C11"/>
    <w:rsid w:val="586438F5"/>
    <w:rsid w:val="586B4C84"/>
    <w:rsid w:val="586E7F1B"/>
    <w:rsid w:val="5875340D"/>
    <w:rsid w:val="58775B87"/>
    <w:rsid w:val="58C7108F"/>
    <w:rsid w:val="58DE7204"/>
    <w:rsid w:val="58F60663"/>
    <w:rsid w:val="590A1887"/>
    <w:rsid w:val="590E6891"/>
    <w:rsid w:val="59305585"/>
    <w:rsid w:val="593E5EF4"/>
    <w:rsid w:val="594D6137"/>
    <w:rsid w:val="59725B9E"/>
    <w:rsid w:val="599706DB"/>
    <w:rsid w:val="59AD307A"/>
    <w:rsid w:val="59B52880"/>
    <w:rsid w:val="59D620C4"/>
    <w:rsid w:val="59D86349"/>
    <w:rsid w:val="59E56370"/>
    <w:rsid w:val="5A056BF8"/>
    <w:rsid w:val="5A087973"/>
    <w:rsid w:val="5A0E58C7"/>
    <w:rsid w:val="5A37030F"/>
    <w:rsid w:val="5A765C66"/>
    <w:rsid w:val="5A7A11AE"/>
    <w:rsid w:val="5A93401E"/>
    <w:rsid w:val="5AA04FCD"/>
    <w:rsid w:val="5AB32912"/>
    <w:rsid w:val="5AD308BE"/>
    <w:rsid w:val="5AD36B10"/>
    <w:rsid w:val="5AD563E4"/>
    <w:rsid w:val="5AE66D23"/>
    <w:rsid w:val="5AE76118"/>
    <w:rsid w:val="5AF50835"/>
    <w:rsid w:val="5B046CCA"/>
    <w:rsid w:val="5B117094"/>
    <w:rsid w:val="5B172EA1"/>
    <w:rsid w:val="5B174C4F"/>
    <w:rsid w:val="5B242EC8"/>
    <w:rsid w:val="5B6634E0"/>
    <w:rsid w:val="5B670A10"/>
    <w:rsid w:val="5B726F99"/>
    <w:rsid w:val="5B8D3163"/>
    <w:rsid w:val="5B9021DF"/>
    <w:rsid w:val="5BA745D3"/>
    <w:rsid w:val="5BB64468"/>
    <w:rsid w:val="5BC052E6"/>
    <w:rsid w:val="5BD963A8"/>
    <w:rsid w:val="5BF73132"/>
    <w:rsid w:val="5C163158"/>
    <w:rsid w:val="5C3435DF"/>
    <w:rsid w:val="5C4F3413"/>
    <w:rsid w:val="5C545A2F"/>
    <w:rsid w:val="5C5E240A"/>
    <w:rsid w:val="5C6271FA"/>
    <w:rsid w:val="5C743E1A"/>
    <w:rsid w:val="5C846314"/>
    <w:rsid w:val="5CAC13C7"/>
    <w:rsid w:val="5CE2303B"/>
    <w:rsid w:val="5CF2304D"/>
    <w:rsid w:val="5D260029"/>
    <w:rsid w:val="5D3D7710"/>
    <w:rsid w:val="5D485594"/>
    <w:rsid w:val="5D4D6706"/>
    <w:rsid w:val="5D59154F"/>
    <w:rsid w:val="5D5C3F14"/>
    <w:rsid w:val="5D5C4B9B"/>
    <w:rsid w:val="5D617996"/>
    <w:rsid w:val="5D8365CC"/>
    <w:rsid w:val="5DA16A52"/>
    <w:rsid w:val="5DB06224"/>
    <w:rsid w:val="5DEC30C9"/>
    <w:rsid w:val="5DF262C7"/>
    <w:rsid w:val="5E022B74"/>
    <w:rsid w:val="5E483371"/>
    <w:rsid w:val="5E546B2B"/>
    <w:rsid w:val="5E5B4E53"/>
    <w:rsid w:val="5E7303EE"/>
    <w:rsid w:val="5E7D126D"/>
    <w:rsid w:val="5E9F5687"/>
    <w:rsid w:val="5EA92116"/>
    <w:rsid w:val="5EDD1D0C"/>
    <w:rsid w:val="5EDE3506"/>
    <w:rsid w:val="5EF332DD"/>
    <w:rsid w:val="5EF70334"/>
    <w:rsid w:val="5F0F66F3"/>
    <w:rsid w:val="5F291D7F"/>
    <w:rsid w:val="5F386F2E"/>
    <w:rsid w:val="5F9A19AB"/>
    <w:rsid w:val="5FA97E40"/>
    <w:rsid w:val="5FAD5B82"/>
    <w:rsid w:val="5FBC5DC5"/>
    <w:rsid w:val="5FC37153"/>
    <w:rsid w:val="5FD0085A"/>
    <w:rsid w:val="5FE315A4"/>
    <w:rsid w:val="5FEA0B84"/>
    <w:rsid w:val="5FF92B75"/>
    <w:rsid w:val="5FFE29C2"/>
    <w:rsid w:val="6022031E"/>
    <w:rsid w:val="604007A4"/>
    <w:rsid w:val="605F7185"/>
    <w:rsid w:val="60714C07"/>
    <w:rsid w:val="60916776"/>
    <w:rsid w:val="60B51282"/>
    <w:rsid w:val="60DD4CF0"/>
    <w:rsid w:val="610D2300"/>
    <w:rsid w:val="611C05BC"/>
    <w:rsid w:val="611F14A6"/>
    <w:rsid w:val="611F660B"/>
    <w:rsid w:val="612D4780"/>
    <w:rsid w:val="6166248C"/>
    <w:rsid w:val="61785D1C"/>
    <w:rsid w:val="61811D44"/>
    <w:rsid w:val="618F176C"/>
    <w:rsid w:val="61AB60F1"/>
    <w:rsid w:val="61BD6634"/>
    <w:rsid w:val="61DF5D9B"/>
    <w:rsid w:val="61ED7A5F"/>
    <w:rsid w:val="61F15E2B"/>
    <w:rsid w:val="61F25ACE"/>
    <w:rsid w:val="620224E4"/>
    <w:rsid w:val="6205336E"/>
    <w:rsid w:val="620B5DB0"/>
    <w:rsid w:val="621243C2"/>
    <w:rsid w:val="62334436"/>
    <w:rsid w:val="624B51DE"/>
    <w:rsid w:val="6250365E"/>
    <w:rsid w:val="62582A4B"/>
    <w:rsid w:val="62712E97"/>
    <w:rsid w:val="627911C5"/>
    <w:rsid w:val="62942AB2"/>
    <w:rsid w:val="62B47227"/>
    <w:rsid w:val="62C70D09"/>
    <w:rsid w:val="62FF575B"/>
    <w:rsid w:val="630A47EF"/>
    <w:rsid w:val="63155F18"/>
    <w:rsid w:val="63161C90"/>
    <w:rsid w:val="63252675"/>
    <w:rsid w:val="633A772C"/>
    <w:rsid w:val="63451CD6"/>
    <w:rsid w:val="63554566"/>
    <w:rsid w:val="636341BB"/>
    <w:rsid w:val="63665785"/>
    <w:rsid w:val="638906B4"/>
    <w:rsid w:val="63B05C41"/>
    <w:rsid w:val="63B84AF5"/>
    <w:rsid w:val="63E458EA"/>
    <w:rsid w:val="63EC1FE1"/>
    <w:rsid w:val="63F57AF7"/>
    <w:rsid w:val="63F911B7"/>
    <w:rsid w:val="64144421"/>
    <w:rsid w:val="642108EC"/>
    <w:rsid w:val="642F4DB7"/>
    <w:rsid w:val="64416899"/>
    <w:rsid w:val="64754395"/>
    <w:rsid w:val="64BB050F"/>
    <w:rsid w:val="64EA6F30"/>
    <w:rsid w:val="64EF7842"/>
    <w:rsid w:val="64F920B9"/>
    <w:rsid w:val="650E11D7"/>
    <w:rsid w:val="650E70C3"/>
    <w:rsid w:val="651D2E62"/>
    <w:rsid w:val="654A5C21"/>
    <w:rsid w:val="65554AD3"/>
    <w:rsid w:val="658654B1"/>
    <w:rsid w:val="659410CD"/>
    <w:rsid w:val="65CC6636"/>
    <w:rsid w:val="65D11E9E"/>
    <w:rsid w:val="66006826"/>
    <w:rsid w:val="660E4EA0"/>
    <w:rsid w:val="662446C4"/>
    <w:rsid w:val="662A244F"/>
    <w:rsid w:val="66392ACE"/>
    <w:rsid w:val="663C4D0D"/>
    <w:rsid w:val="66404971"/>
    <w:rsid w:val="667431B0"/>
    <w:rsid w:val="668A2779"/>
    <w:rsid w:val="66C51A03"/>
    <w:rsid w:val="66DA0257"/>
    <w:rsid w:val="66E77BCB"/>
    <w:rsid w:val="670B08C3"/>
    <w:rsid w:val="67220C03"/>
    <w:rsid w:val="672422F9"/>
    <w:rsid w:val="6744321F"/>
    <w:rsid w:val="674F4BE5"/>
    <w:rsid w:val="675B6199"/>
    <w:rsid w:val="67852F40"/>
    <w:rsid w:val="679F04A6"/>
    <w:rsid w:val="67BA708E"/>
    <w:rsid w:val="67C97044"/>
    <w:rsid w:val="67D363A2"/>
    <w:rsid w:val="67D73F9C"/>
    <w:rsid w:val="68113934"/>
    <w:rsid w:val="685A261F"/>
    <w:rsid w:val="6864524C"/>
    <w:rsid w:val="68810BE9"/>
    <w:rsid w:val="688B0A2A"/>
    <w:rsid w:val="68993147"/>
    <w:rsid w:val="68A550EB"/>
    <w:rsid w:val="68C55CEA"/>
    <w:rsid w:val="68CF0F8B"/>
    <w:rsid w:val="68E25F70"/>
    <w:rsid w:val="68FE744E"/>
    <w:rsid w:val="690A194F"/>
    <w:rsid w:val="69115259"/>
    <w:rsid w:val="69474951"/>
    <w:rsid w:val="694A61EF"/>
    <w:rsid w:val="694E3676"/>
    <w:rsid w:val="695B664F"/>
    <w:rsid w:val="69605F59"/>
    <w:rsid w:val="697274F4"/>
    <w:rsid w:val="697907BE"/>
    <w:rsid w:val="69A41DA4"/>
    <w:rsid w:val="69A43B52"/>
    <w:rsid w:val="69AE49D0"/>
    <w:rsid w:val="69C72B58"/>
    <w:rsid w:val="69C75A92"/>
    <w:rsid w:val="69D13C2E"/>
    <w:rsid w:val="69DF102E"/>
    <w:rsid w:val="69EC32FE"/>
    <w:rsid w:val="6A14250A"/>
    <w:rsid w:val="6A242EE4"/>
    <w:rsid w:val="6A927E4E"/>
    <w:rsid w:val="6A975464"/>
    <w:rsid w:val="6A9F44CF"/>
    <w:rsid w:val="6AAF0A00"/>
    <w:rsid w:val="6AB51D8E"/>
    <w:rsid w:val="6ADF0DF8"/>
    <w:rsid w:val="6B0074AE"/>
    <w:rsid w:val="6B056872"/>
    <w:rsid w:val="6B086362"/>
    <w:rsid w:val="6B340F05"/>
    <w:rsid w:val="6B3C54D1"/>
    <w:rsid w:val="6B4D0219"/>
    <w:rsid w:val="6B6A0DCB"/>
    <w:rsid w:val="6B6E6E6E"/>
    <w:rsid w:val="6B71550B"/>
    <w:rsid w:val="6BA10CD4"/>
    <w:rsid w:val="6BD91AAD"/>
    <w:rsid w:val="6C2471CC"/>
    <w:rsid w:val="6C33740F"/>
    <w:rsid w:val="6C4468F5"/>
    <w:rsid w:val="6C4B2AF4"/>
    <w:rsid w:val="6C613F7C"/>
    <w:rsid w:val="6C687E1F"/>
    <w:rsid w:val="6C783074"/>
    <w:rsid w:val="6C8B6187"/>
    <w:rsid w:val="6C9B0944"/>
    <w:rsid w:val="6CCF4999"/>
    <w:rsid w:val="6CE81DB6"/>
    <w:rsid w:val="6CF04094"/>
    <w:rsid w:val="6CF50B68"/>
    <w:rsid w:val="6D056FFD"/>
    <w:rsid w:val="6D286848"/>
    <w:rsid w:val="6D3D3A1E"/>
    <w:rsid w:val="6D58637C"/>
    <w:rsid w:val="6D763A57"/>
    <w:rsid w:val="6D77332B"/>
    <w:rsid w:val="6D837F22"/>
    <w:rsid w:val="6D851EEC"/>
    <w:rsid w:val="6D910891"/>
    <w:rsid w:val="6D9D5488"/>
    <w:rsid w:val="6DC24EEE"/>
    <w:rsid w:val="6DDC038C"/>
    <w:rsid w:val="6DE406B7"/>
    <w:rsid w:val="6DE804D2"/>
    <w:rsid w:val="6DF467E4"/>
    <w:rsid w:val="6E153270"/>
    <w:rsid w:val="6E182D60"/>
    <w:rsid w:val="6E192634"/>
    <w:rsid w:val="6E324088"/>
    <w:rsid w:val="6E7855AD"/>
    <w:rsid w:val="6E9A19C7"/>
    <w:rsid w:val="6EB5235D"/>
    <w:rsid w:val="6EC95E08"/>
    <w:rsid w:val="6EED0BAC"/>
    <w:rsid w:val="6EFF1A27"/>
    <w:rsid w:val="6F215C44"/>
    <w:rsid w:val="6F3911E0"/>
    <w:rsid w:val="6F543924"/>
    <w:rsid w:val="6F5E29F5"/>
    <w:rsid w:val="6F6A75EB"/>
    <w:rsid w:val="6F7A0905"/>
    <w:rsid w:val="6F806E0F"/>
    <w:rsid w:val="6F9B1553"/>
    <w:rsid w:val="6FA128E1"/>
    <w:rsid w:val="6FB571C0"/>
    <w:rsid w:val="6FD45BF8"/>
    <w:rsid w:val="6FD54667"/>
    <w:rsid w:val="6FDC4EEF"/>
    <w:rsid w:val="6FF559D2"/>
    <w:rsid w:val="6FFD3FBC"/>
    <w:rsid w:val="700215D2"/>
    <w:rsid w:val="70132BCA"/>
    <w:rsid w:val="701D640C"/>
    <w:rsid w:val="7023779A"/>
    <w:rsid w:val="702552C0"/>
    <w:rsid w:val="70353372"/>
    <w:rsid w:val="703B2D36"/>
    <w:rsid w:val="706E310B"/>
    <w:rsid w:val="70822713"/>
    <w:rsid w:val="70840695"/>
    <w:rsid w:val="70967F6C"/>
    <w:rsid w:val="70A94143"/>
    <w:rsid w:val="70A97C9F"/>
    <w:rsid w:val="70DF5DB7"/>
    <w:rsid w:val="70E138DD"/>
    <w:rsid w:val="71145A61"/>
    <w:rsid w:val="71525E28"/>
    <w:rsid w:val="71776831"/>
    <w:rsid w:val="719464CB"/>
    <w:rsid w:val="71B42BD6"/>
    <w:rsid w:val="71C90A4F"/>
    <w:rsid w:val="72141A90"/>
    <w:rsid w:val="724834E8"/>
    <w:rsid w:val="725D0EDE"/>
    <w:rsid w:val="725E2D0C"/>
    <w:rsid w:val="727D13E4"/>
    <w:rsid w:val="727E771E"/>
    <w:rsid w:val="72B34E05"/>
    <w:rsid w:val="72BD5C84"/>
    <w:rsid w:val="72C05BB6"/>
    <w:rsid w:val="72DC25AE"/>
    <w:rsid w:val="72E52269"/>
    <w:rsid w:val="72E74AAF"/>
    <w:rsid w:val="72EC0317"/>
    <w:rsid w:val="72FC67AC"/>
    <w:rsid w:val="73104F88"/>
    <w:rsid w:val="73155AC0"/>
    <w:rsid w:val="732301DD"/>
    <w:rsid w:val="73335F46"/>
    <w:rsid w:val="73357F10"/>
    <w:rsid w:val="73430839"/>
    <w:rsid w:val="7355410F"/>
    <w:rsid w:val="735F1455"/>
    <w:rsid w:val="738B61C4"/>
    <w:rsid w:val="73B61051"/>
    <w:rsid w:val="73D2575F"/>
    <w:rsid w:val="73E44525"/>
    <w:rsid w:val="74123ADF"/>
    <w:rsid w:val="745A1340"/>
    <w:rsid w:val="745D14CD"/>
    <w:rsid w:val="746F2F07"/>
    <w:rsid w:val="74705EA6"/>
    <w:rsid w:val="747131CA"/>
    <w:rsid w:val="74982505"/>
    <w:rsid w:val="74AC4028"/>
    <w:rsid w:val="74AE31FF"/>
    <w:rsid w:val="74DF0134"/>
    <w:rsid w:val="74F355FB"/>
    <w:rsid w:val="751D0C5C"/>
    <w:rsid w:val="753E74AE"/>
    <w:rsid w:val="7548217D"/>
    <w:rsid w:val="7556556B"/>
    <w:rsid w:val="75572211"/>
    <w:rsid w:val="7561323F"/>
    <w:rsid w:val="7562169B"/>
    <w:rsid w:val="756744F4"/>
    <w:rsid w:val="756B19C7"/>
    <w:rsid w:val="757E433A"/>
    <w:rsid w:val="75BD53C1"/>
    <w:rsid w:val="75C15A8B"/>
    <w:rsid w:val="75C80BC8"/>
    <w:rsid w:val="75CD3EE2"/>
    <w:rsid w:val="75F776FF"/>
    <w:rsid w:val="75FB4D1F"/>
    <w:rsid w:val="75FE45EA"/>
    <w:rsid w:val="761262E7"/>
    <w:rsid w:val="766D176F"/>
    <w:rsid w:val="76AF247D"/>
    <w:rsid w:val="76AF6792"/>
    <w:rsid w:val="76D31F1A"/>
    <w:rsid w:val="76D355FD"/>
    <w:rsid w:val="76E658AE"/>
    <w:rsid w:val="76F854DD"/>
    <w:rsid w:val="76FA74A7"/>
    <w:rsid w:val="7722255A"/>
    <w:rsid w:val="77444884"/>
    <w:rsid w:val="778E5E41"/>
    <w:rsid w:val="77932854"/>
    <w:rsid w:val="7796475D"/>
    <w:rsid w:val="77BC5BA1"/>
    <w:rsid w:val="77C9763B"/>
    <w:rsid w:val="77EF594B"/>
    <w:rsid w:val="78370287"/>
    <w:rsid w:val="786477EF"/>
    <w:rsid w:val="787212BF"/>
    <w:rsid w:val="787230FD"/>
    <w:rsid w:val="78A05156"/>
    <w:rsid w:val="78A13F8E"/>
    <w:rsid w:val="78AB597D"/>
    <w:rsid w:val="78CC4E73"/>
    <w:rsid w:val="78F47F26"/>
    <w:rsid w:val="79295E21"/>
    <w:rsid w:val="79330DC4"/>
    <w:rsid w:val="793F284C"/>
    <w:rsid w:val="795A422D"/>
    <w:rsid w:val="796208E9"/>
    <w:rsid w:val="79627C1F"/>
    <w:rsid w:val="79984D55"/>
    <w:rsid w:val="79C06CE4"/>
    <w:rsid w:val="79CC49FF"/>
    <w:rsid w:val="79D14D3C"/>
    <w:rsid w:val="79D175DE"/>
    <w:rsid w:val="79ED366F"/>
    <w:rsid w:val="7A067F11"/>
    <w:rsid w:val="7A106FE1"/>
    <w:rsid w:val="7A2B76DE"/>
    <w:rsid w:val="7A37631C"/>
    <w:rsid w:val="7A9F19C6"/>
    <w:rsid w:val="7AAB2866"/>
    <w:rsid w:val="7ABE6A3D"/>
    <w:rsid w:val="7AD324E9"/>
    <w:rsid w:val="7AE91D0C"/>
    <w:rsid w:val="7AEF3E12"/>
    <w:rsid w:val="7B2B2E5F"/>
    <w:rsid w:val="7B41349D"/>
    <w:rsid w:val="7B494559"/>
    <w:rsid w:val="7B513A73"/>
    <w:rsid w:val="7B560A24"/>
    <w:rsid w:val="7B6729E7"/>
    <w:rsid w:val="7B71585E"/>
    <w:rsid w:val="7B863469"/>
    <w:rsid w:val="7B904DD2"/>
    <w:rsid w:val="7BC71922"/>
    <w:rsid w:val="7BC77B74"/>
    <w:rsid w:val="7BD16F42"/>
    <w:rsid w:val="7BD302C6"/>
    <w:rsid w:val="7BDA3403"/>
    <w:rsid w:val="7BED75DA"/>
    <w:rsid w:val="7C4D1018"/>
    <w:rsid w:val="7C526968"/>
    <w:rsid w:val="7C692410"/>
    <w:rsid w:val="7C741AA9"/>
    <w:rsid w:val="7C816BD9"/>
    <w:rsid w:val="7C943EFA"/>
    <w:rsid w:val="7CB43C54"/>
    <w:rsid w:val="7CDB5685"/>
    <w:rsid w:val="7CF90201"/>
    <w:rsid w:val="7D1666BD"/>
    <w:rsid w:val="7D2747F6"/>
    <w:rsid w:val="7D2A396D"/>
    <w:rsid w:val="7D33726F"/>
    <w:rsid w:val="7D562F5D"/>
    <w:rsid w:val="7D8F646F"/>
    <w:rsid w:val="7D9D1940"/>
    <w:rsid w:val="7DA17C34"/>
    <w:rsid w:val="7DA41F1A"/>
    <w:rsid w:val="7DAB14FB"/>
    <w:rsid w:val="7DE95B7F"/>
    <w:rsid w:val="7DEE13E8"/>
    <w:rsid w:val="7DF06F0E"/>
    <w:rsid w:val="7DF917A4"/>
    <w:rsid w:val="7E265025"/>
    <w:rsid w:val="7E2968C4"/>
    <w:rsid w:val="7E325778"/>
    <w:rsid w:val="7E5461D9"/>
    <w:rsid w:val="7E6E42D6"/>
    <w:rsid w:val="7E6F306E"/>
    <w:rsid w:val="7E9632CE"/>
    <w:rsid w:val="7E97090B"/>
    <w:rsid w:val="7E9C7916"/>
    <w:rsid w:val="7EB75C7D"/>
    <w:rsid w:val="7EF0118F"/>
    <w:rsid w:val="7F010FD9"/>
    <w:rsid w:val="7F374A93"/>
    <w:rsid w:val="7F4A6AF1"/>
    <w:rsid w:val="7F5434CC"/>
    <w:rsid w:val="7F58120E"/>
    <w:rsid w:val="7F604567"/>
    <w:rsid w:val="7F6C2F0C"/>
    <w:rsid w:val="7F7B4FF4"/>
    <w:rsid w:val="7F903397"/>
    <w:rsid w:val="7FC033DE"/>
    <w:rsid w:val="7FF7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spacing w:line="340" w:lineRule="exact"/>
      <w:outlineLvl w:val="0"/>
    </w:pPr>
    <w:rPr>
      <w:b/>
      <w:bCs/>
    </w:rPr>
  </w:style>
  <w:style w:type="paragraph" w:styleId="5">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line="600" w:lineRule="exact"/>
      <w:ind w:firstLine="643" w:firstLineChars="200"/>
      <w:outlineLvl w:val="2"/>
    </w:pPr>
    <w:rPr>
      <w:b/>
      <w:bCs/>
      <w:sz w:val="32"/>
      <w:szCs w:val="32"/>
    </w:rPr>
  </w:style>
  <w:style w:type="paragraph" w:styleId="7">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8">
    <w:name w:val="heading 5"/>
    <w:basedOn w:val="1"/>
    <w:next w:val="9"/>
    <w:qFormat/>
    <w:uiPriority w:val="0"/>
    <w:pPr>
      <w:keepNext/>
      <w:keepLines/>
      <w:numPr>
        <w:ilvl w:val="4"/>
        <w:numId w:val="2"/>
      </w:numPr>
      <w:spacing w:before="280" w:after="290" w:line="376" w:lineRule="auto"/>
      <w:outlineLvl w:val="4"/>
    </w:pPr>
    <w:rPr>
      <w:rFonts w:ascii="Times New Roman" w:hAnsi="Times New Roman" w:eastAsia="宋体" w:cs="Times New Roman"/>
      <w:b/>
      <w:sz w:val="28"/>
      <w:szCs w:val="24"/>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unhideWhenUsed/>
    <w:qFormat/>
    <w:uiPriority w:val="0"/>
    <w:pPr>
      <w:spacing w:after="120"/>
    </w:pPr>
  </w:style>
  <w:style w:type="paragraph" w:styleId="9">
    <w:name w:val="Normal Indent"/>
    <w:basedOn w:val="1"/>
    <w:qFormat/>
    <w:uiPriority w:val="0"/>
    <w:pPr>
      <w:ind w:firstLine="420"/>
    </w:pPr>
    <w:rPr>
      <w:szCs w:val="20"/>
    </w:rPr>
  </w:style>
  <w:style w:type="paragraph" w:styleId="10">
    <w:name w:val="List Number"/>
    <w:basedOn w:val="1"/>
    <w:qFormat/>
    <w:uiPriority w:val="0"/>
    <w:pPr>
      <w:numPr>
        <w:ilvl w:val="0"/>
        <w:numId w:val="3"/>
      </w:numPr>
    </w:pPr>
  </w:style>
  <w:style w:type="paragraph" w:styleId="11">
    <w:name w:val="annotation text"/>
    <w:basedOn w:val="1"/>
    <w:qFormat/>
    <w:uiPriority w:val="0"/>
    <w:pPr>
      <w:jc w:val="left"/>
    </w:pPr>
  </w:style>
  <w:style w:type="paragraph" w:styleId="12">
    <w:name w:val="Body Text 3"/>
    <w:basedOn w:val="1"/>
    <w:unhideWhenUsed/>
    <w:qFormat/>
    <w:uiPriority w:val="99"/>
    <w:pPr>
      <w:spacing w:after="120"/>
    </w:pPr>
    <w:rPr>
      <w:sz w:val="16"/>
      <w:szCs w:val="16"/>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pPr>
      <w:ind w:left="100" w:leftChars="2500"/>
    </w:pPr>
    <w:rPr>
      <w:spacing w:val="30"/>
      <w:sz w:val="28"/>
    </w:rPr>
  </w:style>
  <w:style w:type="paragraph" w:styleId="17">
    <w:name w:val="footer"/>
    <w:basedOn w:val="1"/>
    <w:qFormat/>
    <w:uiPriority w:val="0"/>
    <w:pPr>
      <w:tabs>
        <w:tab w:val="center" w:pos="4153"/>
        <w:tab w:val="right" w:pos="8306"/>
      </w:tabs>
      <w:snapToGrid w:val="0"/>
      <w:jc w:val="left"/>
    </w:pPr>
    <w:rPr>
      <w:rFonts w:ascii="宋体" w:hAnsi="Courier New"/>
      <w:sz w:val="18"/>
      <w:szCs w:val="20"/>
    </w:rPr>
  </w:style>
  <w:style w:type="paragraph" w:styleId="18">
    <w:name w:val="envelope return"/>
    <w:basedOn w:val="1"/>
    <w:qFormat/>
    <w:uiPriority w:val="99"/>
    <w:pPr>
      <w:snapToGrid w:val="0"/>
    </w:pPr>
    <w:rPr>
      <w:rFonts w:ascii="Arial" w:hAnsi="Arial"/>
    </w:rPr>
  </w:style>
  <w:style w:type="paragraph" w:styleId="19">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0">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21">
    <w:name w:val="Subtitle"/>
    <w:basedOn w:val="1"/>
    <w:next w:val="1"/>
    <w:qFormat/>
    <w:uiPriority w:val="0"/>
    <w:pPr>
      <w:spacing w:before="240" w:beforeLines="0" w:after="60" w:afterLines="0" w:line="312" w:lineRule="auto"/>
      <w:jc w:val="center"/>
      <w:outlineLvl w:val="1"/>
    </w:pPr>
    <w:rPr>
      <w:rFonts w:ascii="Cambria" w:hAnsi="Cambria"/>
      <w:b/>
      <w:bCs/>
      <w:kern w:val="28"/>
      <w:sz w:val="32"/>
      <w:szCs w:val="32"/>
    </w:rPr>
  </w:style>
  <w:style w:type="paragraph" w:styleId="22">
    <w:name w:val="Body Text 2"/>
    <w:basedOn w:val="1"/>
    <w:qFormat/>
    <w:uiPriority w:val="0"/>
    <w:pPr>
      <w:spacing w:after="120" w:line="480" w:lineRule="auto"/>
    </w:pPr>
    <w:rPr>
      <w:rFonts w:ascii="Times New Roman" w:hAnsi="Times New Roman" w:eastAsia="宋体" w:cs="Times New Roman"/>
      <w:kern w:val="0"/>
      <w:sz w:val="20"/>
      <w:szCs w:val="24"/>
    </w:rPr>
  </w:style>
  <w:style w:type="paragraph" w:styleId="23">
    <w:name w:val="Normal (Web)"/>
    <w:basedOn w:val="1"/>
    <w:qFormat/>
    <w:uiPriority w:val="99"/>
    <w:pPr>
      <w:spacing w:before="75" w:after="75"/>
      <w:jc w:val="left"/>
    </w:pPr>
    <w:rPr>
      <w:kern w:val="0"/>
      <w:sz w:val="24"/>
    </w:rPr>
  </w:style>
  <w:style w:type="paragraph" w:styleId="24">
    <w:name w:val="Title"/>
    <w:basedOn w:val="1"/>
    <w:qFormat/>
    <w:uiPriority w:val="0"/>
    <w:pPr>
      <w:spacing w:before="240" w:after="60"/>
      <w:jc w:val="center"/>
      <w:outlineLvl w:val="0"/>
    </w:pPr>
    <w:rPr>
      <w:rFonts w:ascii="Arial" w:hAnsi="Arial" w:cs="Arial"/>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Emphasis"/>
    <w:basedOn w:val="27"/>
    <w:qFormat/>
    <w:uiPriority w:val="0"/>
    <w:rPr>
      <w:i/>
    </w:rPr>
  </w:style>
  <w:style w:type="character" w:styleId="31">
    <w:name w:val="Hyperlink"/>
    <w:basedOn w:val="27"/>
    <w:qFormat/>
    <w:uiPriority w:val="0"/>
    <w:rPr>
      <w:color w:val="0000FF"/>
      <w:u w:val="single"/>
    </w:rPr>
  </w:style>
  <w:style w:type="character" w:styleId="32">
    <w:name w:val="HTML Sample"/>
    <w:basedOn w:val="27"/>
    <w:qFormat/>
    <w:uiPriority w:val="0"/>
    <w:rPr>
      <w:rFonts w:ascii="Courier New" w:hAnsi="Courier New"/>
    </w:rPr>
  </w:style>
  <w:style w:type="paragraph" w:customStyle="1" w:styleId="3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4">
    <w:name w:val="表格文字"/>
    <w:basedOn w:val="1"/>
    <w:next w:val="3"/>
    <w:qFormat/>
    <w:uiPriority w:val="0"/>
    <w:pPr>
      <w:spacing w:before="25" w:after="25"/>
      <w:jc w:val="left"/>
    </w:pPr>
    <w:rPr>
      <w:rFonts w:ascii="Verdana" w:hAnsi="Verdana"/>
      <w:bCs/>
      <w:spacing w:val="10"/>
      <w:kern w:val="0"/>
      <w:sz w:val="24"/>
    </w:rPr>
  </w:style>
  <w:style w:type="paragraph" w:customStyle="1" w:styleId="35">
    <w:name w:val="Default"/>
    <w:next w:val="36"/>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6">
    <w:name w:val="正文文字 6"/>
    <w:next w:val="1"/>
    <w:qFormat/>
    <w:uiPriority w:val="99"/>
    <w:pPr>
      <w:widowControl w:val="0"/>
      <w:ind w:left="240"/>
      <w:jc w:val="both"/>
    </w:pPr>
    <w:rPr>
      <w:rFonts w:ascii="宋体" w:hAnsi="Calibri" w:eastAsia="宋体" w:cs="Times New Roman"/>
      <w:b/>
      <w:bCs/>
      <w:kern w:val="2"/>
      <w:sz w:val="32"/>
      <w:szCs w:val="32"/>
      <w:lang w:val="en-US" w:eastAsia="zh-CN" w:bidi="ar-SA"/>
    </w:rPr>
  </w:style>
  <w:style w:type="paragraph" w:styleId="37">
    <w:name w:val="List Paragraph"/>
    <w:basedOn w:val="1"/>
    <w:qFormat/>
    <w:uiPriority w:val="34"/>
    <w:pPr>
      <w:ind w:firstLine="420" w:firstLineChars="200"/>
    </w:pPr>
  </w:style>
  <w:style w:type="paragraph" w:customStyle="1" w:styleId="38">
    <w:name w:val="正文2"/>
    <w:basedOn w:val="1"/>
    <w:qFormat/>
    <w:uiPriority w:val="0"/>
    <w:pPr>
      <w:adjustRightInd w:val="0"/>
      <w:spacing w:before="156" w:line="360" w:lineRule="auto"/>
      <w:ind w:firstLine="510" w:firstLineChars="200"/>
    </w:pPr>
    <w:rPr>
      <w:sz w:val="24"/>
      <w:szCs w:val="20"/>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Char Char Char1"/>
    <w:basedOn w:val="1"/>
    <w:qFormat/>
    <w:uiPriority w:val="0"/>
    <w:rPr>
      <w:rFonts w:ascii="Tahoma" w:hAnsi="Tahoma" w:eastAsia="宋体" w:cs="Times New Roman"/>
      <w:sz w:val="24"/>
      <w:szCs w:val="20"/>
    </w:rPr>
  </w:style>
  <w:style w:type="paragraph" w:customStyle="1" w:styleId="41">
    <w:name w:val="列出段落1"/>
    <w:basedOn w:val="1"/>
    <w:qFormat/>
    <w:uiPriority w:val="0"/>
    <w:pPr>
      <w:widowControl w:val="0"/>
      <w:adjustRightInd/>
      <w:snapToGrid/>
      <w:spacing w:after="0"/>
      <w:ind w:firstLine="420" w:firstLineChars="200"/>
      <w:jc w:val="both"/>
    </w:pPr>
    <w:rPr>
      <w:rFonts w:ascii="宋体" w:hAnsi="宋体"/>
    </w:rPr>
  </w:style>
  <w:style w:type="paragraph" w:customStyle="1" w:styleId="42">
    <w:name w:val="p15"/>
    <w:basedOn w:val="1"/>
    <w:qFormat/>
    <w:uiPriority w:val="0"/>
    <w:pPr>
      <w:widowControl/>
    </w:pPr>
    <w:rPr>
      <w:rFonts w:ascii="宋体" w:hAnsi="宋体" w:cs="宋体"/>
      <w:kern w:val="0"/>
      <w:szCs w:val="21"/>
    </w:rPr>
  </w:style>
  <w:style w:type="paragraph" w:customStyle="1" w:styleId="43">
    <w:name w:val="普通文字 Char2"/>
    <w:basedOn w:val="1"/>
    <w:qFormat/>
    <w:uiPriority w:val="0"/>
    <w:pPr>
      <w:widowControl/>
    </w:pPr>
    <w:rPr>
      <w:rFonts w:ascii="宋体" w:hAnsi="宋体" w:cs="宋体"/>
      <w:color w:val="000000"/>
      <w:kern w:val="0"/>
      <w:szCs w:val="21"/>
    </w:rPr>
  </w:style>
  <w:style w:type="character" w:customStyle="1" w:styleId="44">
    <w:name w:val="纯文本 Char1"/>
    <w:qFormat/>
    <w:uiPriority w:val="0"/>
    <w:rPr>
      <w:rFonts w:ascii="宋体" w:hAnsi="Courier New" w:eastAsia="宋体" w:cs="Courier New"/>
      <w:kern w:val="2"/>
      <w:sz w:val="21"/>
      <w:szCs w:val="21"/>
      <w:lang w:val="en-US" w:eastAsia="zh-CN" w:bidi="ar-SA"/>
    </w:rPr>
  </w:style>
  <w:style w:type="paragraph" w:styleId="4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Body text|1"/>
    <w:basedOn w:val="1"/>
    <w:qFormat/>
    <w:uiPriority w:val="0"/>
    <w:pPr>
      <w:widowControl w:val="0"/>
      <w:shd w:val="clear" w:color="auto" w:fill="auto"/>
      <w:spacing w:line="382" w:lineRule="auto"/>
      <w:ind w:firstLine="400"/>
    </w:pPr>
    <w:rPr>
      <w:rFonts w:ascii="宋体" w:hAnsi="宋体" w:eastAsia="宋体" w:cs="宋体"/>
      <w:sz w:val="20"/>
      <w:szCs w:val="20"/>
      <w:u w:val="none"/>
      <w:shd w:val="clear" w:color="auto" w:fill="auto"/>
      <w:lang w:val="zh-TW" w:eastAsia="zh-TW" w:bidi="zh-TW"/>
    </w:rPr>
  </w:style>
  <w:style w:type="paragraph" w:customStyle="1" w:styleId="47">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2"/>
    <w:next w:val="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纯文本_1"/>
    <w:basedOn w:val="49"/>
    <w:next w:val="49"/>
    <w:qFormat/>
    <w:uiPriority w:val="0"/>
    <w:rPr>
      <w:rFonts w:ascii="宋体" w:hAnsi="Courier New"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bcc2656a-9b52-429c-b9af-aa1364c1310f</errorID>
      <errorWord>：/</errorWord>
      <group>L1_Punc</group>
      <groupName>标点问题</groupName>
      <ability>L2_Punc</ability>
      <abilityName>标点符号检查</abilityName>
      <candidateList>
        <item>：</item>
      </candidateList>
      <explain/>
      <paraID>50429F20</paraID>
      <start>6</start>
      <end>8</end>
      <status>ignored</status>
      <modifiedWord/>
      <trackRevisions>false</trackRevisions>
    </reviewItem>
    <reviewItem>
      <errorID>1655aad5-ddf6-4abd-9035-f3824f2479fc</errorID>
      <errorWord>己</errorWord>
      <group>L1_Word</group>
      <groupName>字词问题</groupName>
      <ability>L2_Typo</ability>
      <abilityName>字词错误</abilityName>
      <candidateList>
        <item>已</item>
      </candidateList>
      <explain>存在字形相近字词的误用。</explain>
      <paraID>26C4A826</paraID>
      <start>2</start>
      <end>3</end>
      <status>modified</status>
      <modifiedWord>已</modifiedWord>
      <trackRevisions>false</trackRevisions>
    </reviewItem>
    <reviewItem>
      <errorID>5c0465e9-42c8-4181-a25a-09b3a1c100b9</errorID>
      <errorWord>涉及到</errorWord>
      <group>L1_Grammar</group>
      <groupName>语法问题</groupName>
      <ability>L2_Grammar</ability>
      <abilityName>语法错误</abilityName>
      <candidateList>
        <item>涉及</item>
      </candidateList>
      <explain>〈动〉牵涉到；关联到：案子～好几个人｜这个问题～面很广。</explain>
      <paraID>4FBF0C37</paraID>
      <start>29</start>
      <end>31</end>
      <status>modified</status>
      <modifiedWord>涉及</modifiedWord>
      <trackRevisions>false</trackRevisions>
    </reviewItem>
    <reviewItem>
      <errorID>894bd289-2561-4268-84c1-e4d3705b2c8f</errorID>
      <errorWord>法律、法规</errorWord>
      <group>L1_Word</group>
      <groupName>字词问题</groupName>
      <ability>L2_Typo</ability>
      <abilityName>字词错误</abilityName>
      <candidateList>
        <item>法律法规</item>
      </candidateList>
      <explain/>
      <paraID>7BA77D3C</paraID>
      <start>38</start>
      <end>42</end>
      <status>modified</status>
      <modifiedWord>法律法规</modifiedWord>
      <trackRevisions>false</trackRevisions>
    </reviewItem>
    <reviewItem>
      <errorID>2212004c-8362-4c43-9bad-9d19378addb9</errorID>
      <errorWord>超</errorWord>
      <group>L1_Word</group>
      <groupName>字词问题</groupName>
      <ability>L2_Typo</ability>
      <abilityName>字词错误</abilityName>
      <candidateList>
        <item>超过</item>
      </candidateList>
      <explain/>
      <paraID>23738815</paraID>
      <start>280</start>
      <end>282</end>
      <status>modified</status>
      <modifiedWord>超过</modifiedWord>
      <trackRevisions>false</trackRevisions>
    </reviewItem>
    <reviewItem>
      <errorID>66b953ad-533f-4a24-a239-1f85c5e14d28</errorID>
      <errorWord>操作合</errorWord>
      <group>L1_Word</group>
      <groupName>字词问题</groupName>
      <ability>L2_Typo</ability>
      <abilityName>字词错误</abilityName>
      <candidateList>
        <item>操作台</item>
      </candidateList>
      <explain/>
      <paraID>389C2379</paraID>
      <start>9</start>
      <end>12</end>
      <status>ignored</status>
      <modifiedWord/>
      <trackRevisions>false</trackRevisions>
    </reviewItem>
    <reviewItem>
      <errorID>712fce92-9916-4076-8cfa-86a5ef9f6567</errorID>
      <errorWord>详见在</errorWord>
      <group>L1_Word</group>
      <groupName>字词问题</groupName>
      <ability>L2_Typo</ability>
      <abilityName>字词错误</abilityName>
      <candidateList>
        <item>详见</item>
      </candidateList>
      <explain/>
      <paraID>76A8012E</paraID>
      <start>62</start>
      <end>64</end>
      <status>modified</status>
      <modifiedWord>详见</modifiedWord>
      <trackRevisions>false</trackRevisions>
    </reviewItem>
    <reviewItem>
      <errorID>e51199c4-40b3-47fd-b037-927da30ec6a9</errorID>
      <errorWord>，</errorWord>
      <group>L1_Word</group>
      <groupName>字词问题</groupName>
      <ability>L2_Typo</ability>
      <abilityName>字词错误</abilityName>
      <candidateList>
        <item>，在</item>
      </candidateList>
      <explain/>
      <paraID>19287E5F</paraID>
      <start>36</start>
      <end>38</end>
      <status>modified</status>
      <modifiedWord>，在</modifiedWord>
      <trackRevisions>false</trackRevisions>
    </reviewItem>
    <reviewItem>
      <errorID>e7b2c4f0-4fa1-47af-a0bd-b254b7ad1df7</errorID>
      <errorWord>间</errorWord>
      <group>L1_Word</group>
      <groupName>字词问题</groupName>
      <ability>L2_Typo</ability>
      <abilityName>字词错误</abilityName>
      <candidateList>
        <item>间之</item>
      </candidateList>
      <explain/>
      <paraID>379BC232</paraID>
      <start>14</start>
      <end>15</end>
      <status>ignored</status>
      <modifiedWord/>
      <trackRevisions>false</trackRevisions>
    </reviewItem>
    <reviewItem>
      <errorID>c37cd4ec-cf6c-42d8-b62a-6b8bbe0f5e71</errorID>
      <errorWord>做出</errorWord>
      <group>L1_Word</group>
      <groupName>字词问题</groupName>
      <ability>L2_Typo</ability>
      <abilityName>字词错误</abilityName>
      <candidateList>
        <item>作出</item>
      </candidateList>
      <explain/>
      <paraID>22374BFF</paraID>
      <start>64</start>
      <end>66</end>
      <status>modified</status>
      <modifiedWord>作出</modifiedWord>
      <trackRevisions>false</trackRevisions>
    </reviewItem>
    <reviewItem>
      <errorID>374b5569-5a4b-4866-a92b-3251093cd0ab</errorID>
      <errorWord>须</errorWord>
      <group>L1_Word</group>
      <groupName>字词问题</groupName>
      <ability>L2_Typo</ability>
      <abilityName>字词错误</abilityName>
      <candidateList>
        <item>需</item>
      </candidateList>
      <explain>存在发音相同字词的误用。</explain>
      <paraID>143CF621</paraID>
      <start>78</start>
      <end>79</end>
      <status>ignored</status>
      <modifiedWord/>
      <trackRevisions>false</trackRevisions>
    </reviewItem>
    <reviewItem>
      <errorID>ffd34644-91fa-4dab-9db8-253e390da811</errorID>
      <errorWord>档土墙</errorWord>
      <group>L1_Word</group>
      <groupName>字词问题</groupName>
      <ability>L2_Typo</ability>
      <abilityName>字词错误</abilityName>
      <candidateList>
        <item>挡土墙</item>
      </candidateList>
      <explain/>
      <paraID>450209BE</paraID>
      <start>34</start>
      <end>37</end>
      <status>modified</status>
      <modifiedWord>挡土墙</modifiedWord>
      <trackRevisions>false</trackRevisions>
    </reviewItem>
    <reviewItem>
      <errorID>70e637b9-89a7-44d9-8291-be0c4c185ec3</errorID>
      <errorWord>)</errorWord>
      <group>L1_Format</group>
      <groupName>格式问题</groupName>
      <ability>L2_HalfPunc</ability>
      <abilityName>全半角检查</abilityName>
      <candidateList>
        <item>）</item>
      </candidateList>
      <explain>文本全半角错误。</explain>
      <paraID>45A2712E</paraID>
      <start>49</start>
      <end>50</end>
      <status>modified</status>
      <modifiedWord>）</modifiedWord>
      <trackRevisions>false</trackRevisions>
    </reviewItem>
    <reviewItem>
      <errorID>2006cd08-5960-4b2a-a48a-245d6bbaa788</errorID>
      <errorWord>)</errorWord>
      <group>L1_Format</group>
      <groupName>格式问题</groupName>
      <ability>L2_HalfPunc</ability>
      <abilityName>全半角检查</abilityName>
      <candidateList>
        <item>）</item>
      </candidateList>
      <explain>文本全半角错误。</explain>
      <paraID>45A2712E</paraID>
      <start>74</start>
      <end>75</end>
      <status>modified</status>
      <modifiedWord>）</modifiedWord>
      <trackRevisions>false</trackRevisions>
    </reviewItem>
    <reviewItem>
      <errorID>1da4c116-9940-4714-b029-7269ddab9722</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41544B77</paraID>
      <start>19</start>
      <end>21</end>
      <status>ignored</status>
      <modifiedWord/>
      <trackRevisions>false</trackRevisions>
    </reviewItem>
    <reviewItem>
      <errorID>8af9f9d2-609b-4844-bbd6-c188f74c0991</errorID>
      <errorWord>法律、法规</errorWord>
      <group>L1_Word</group>
      <groupName>字词问题</groupName>
      <ability>L2_Typo</ability>
      <abilityName>字词错误</abilityName>
      <candidateList>
        <item>法律法规</item>
      </candidateList>
      <explain/>
      <paraID>4117E9D1</paraID>
      <start>3</start>
      <end>7</end>
      <status>modified</status>
      <modifiedWord>法律法规</modifiedWord>
      <trackRevisions>false</trackRevisions>
    </reviewItem>
    <reviewItem>
      <errorID>3ce42b9e-4a4b-4fe3-9c8b-45c55e7df183</errorID>
      <errorWord>:</errorWord>
      <group>L1_Format</group>
      <groupName>格式问题</groupName>
      <ability>L2_HalfPunc</ability>
      <abilityName>全半角检查</abilityName>
      <candidateList>
        <item>：</item>
      </candidateList>
      <explain>文本全半角错误。</explain>
      <paraID>23114804</paraID>
      <start>5</start>
      <end>6</end>
      <status>modified</status>
      <modifiedWord>：</modifiedWord>
      <trackRevisions>false</trackRevisions>
    </reviewItem>
    <reviewItem>
      <errorID>9f530814-3cad-4eb4-8fca-ceba4d121193</errorID>
      <errorWord>:</errorWord>
      <group>L1_Format</group>
      <groupName>格式问题</groupName>
      <ability>L2_HalfPunc</ability>
      <abilityName>全半角检查</abilityName>
      <candidateList>
        <item>：</item>
      </candidateList>
      <explain>文本全半角错误。</explain>
      <paraID>3EA84F25</paraID>
      <start>5</start>
      <end>6</end>
      <status>modified</status>
      <modifiedWord>：</modifiedWord>
      <trackRevisions>false</trackRevisions>
    </reviewItem>
    <reviewItem>
      <errorID>c7262147-f66f-4a29-83d3-74c8e66a317a</errorID>
      <errorWord>自控</errorWord>
      <group>L1_Word</group>
      <groupName>字词问题</groupName>
      <ability>L2_Typo</ability>
      <abilityName>字词错误</abilityName>
      <candidateList>
        <item>质控</item>
      </candidateList>
      <explain>存在发音相近字词的误用。</explain>
      <paraID>5A705307</paraID>
      <start>60</start>
      <end>62</end>
      <status>ignored</status>
      <modifiedWord/>
      <trackRevisions>false</trackRevisions>
    </reviewItem>
    <reviewItem>
      <errorID>cac2f487-7372-4bc0-a40a-0a84b7653fe0</errorID>
      <errorWord>自控</errorWord>
      <group>L1_Word</group>
      <groupName>字词问题</groupName>
      <ability>L2_Typo</ability>
      <abilityName>字词错误</abilityName>
      <candidateList>
        <item>质控</item>
      </candidateList>
      <explain>存在发音相近字词的误用。</explain>
      <paraID>32E0E135</paraID>
      <start>54</start>
      <end>56</end>
      <status>ignored</status>
      <modifiedWord/>
      <trackRevisions>false</trackRevisions>
    </reviewItem>
    <reviewItem>
      <errorID>3d8eefcc-2762-49df-9b4e-706960950c3b</errorID>
      <errorWord>自控</errorWord>
      <group>L1_Word</group>
      <groupName>字词问题</groupName>
      <ability>L2_Typo</ability>
      <abilityName>字词错误</abilityName>
      <candidateList>
        <item>质控</item>
      </candidateList>
      <explain>存在发音相近字词的误用。</explain>
      <paraID>248288FC</paraID>
      <start>56</start>
      <end>58</end>
      <status>ignored</status>
      <modifiedWord/>
      <trackRevisions>false</trackRevisions>
    </reviewItem>
    <reviewItem>
      <errorID>653ed45f-4e4b-483d-b0b6-37442477917f</errorID>
      <errorWord>，</errorWord>
      <group>L1_Word</group>
      <groupName>字词问题</groupName>
      <ability>L2_Typo</ability>
      <abilityName>字词错误</abilityName>
      <candidateList>
        <item>，具</item>
      </candidateList>
      <explain/>
      <paraID>383B88BE</paraID>
      <start>15</start>
      <end>16</end>
      <status>ignored</status>
      <modifiedWord/>
      <trackRevisions>false</trackRevisions>
    </reviewItem>
    <reviewItem>
      <errorID>4dc668cd-ab70-4d83-8c6a-6d0c1d2618a6</errorID>
      <errorWord>，</errorWord>
      <group>L1_Word</group>
      <groupName>字词问题</groupName>
      <ability>L2_Typo</ability>
      <abilityName>字词错误</abilityName>
      <candidateList>
        <item>，具</item>
      </candidateList>
      <explain/>
      <paraID>383B88BE</paraID>
      <start>69</start>
      <end>70</end>
      <status>ignored</status>
      <modifiedWord/>
      <trackRevisions>false</trackRevisions>
    </reviewItem>
    <reviewItem>
      <errorID>d95472e4-be08-4465-a802-0da0dfa2cf58</errorID>
      <errorWord>，</errorWord>
      <group>L1_Word</group>
      <groupName>字词问题</groupName>
      <ability>L2_Typo</ability>
      <abilityName>字词错误</abilityName>
      <candidateList>
        <item>，具</item>
      </candidateList>
      <explain/>
      <paraID>173244CD</paraID>
      <start>15</start>
      <end>16</end>
      <status>ignored</status>
      <modifiedWord/>
      <trackRevisions>false</trackRevisions>
    </reviewItem>
    <reviewItem>
      <errorID>270ac8de-28fd-4444-a4c0-38d75a3bf352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6D727F17</paraID>
      <start>79</start>
      <end>81</end>
      <status>modified</status>
      <modifiedWord>》《</modifiedWord>
      <trackRevisions>false</trackRevisions>
    </reviewItem>
    <reviewItem>
      <errorID>b098712c-e475-4f1b-af3f-6a7e4fde7599</errorID>
      <errorWord>：/。</errorWord>
      <group>L1_Punc</group>
      <groupName>标点问题</groupName>
      <ability>L2_Punc</ability>
      <abilityName>标点符号检查</abilityName>
      <candidateList>
        <item>：</item>
      </candidateList>
      <explain/>
      <paraID>2BC2F797</paraID>
      <start>35</start>
      <end>38</end>
      <status>ignored</status>
      <modifiedWord/>
      <trackRevisions>false</trackRevisions>
    </reviewItem>
    <reviewItem>
      <errorID>25751a13-6cbb-4892-b49f-39128a6dfcbf</errorID>
      <errorWord>。</errorWord>
      <group>L1_Punc</group>
      <groupName>标点问题</groupName>
      <ability>L2_Punc</ability>
      <abilityName>标点符号检查</abilityName>
      <candidateList/>
      <explain/>
      <paraID> 8FB040B</paraID>
      <start>69</start>
      <end>70</end>
      <status>ignored</status>
      <modifiedWord/>
      <trackRevisions>false</trackRevisions>
    </reviewItem>
    <reviewItem>
      <errorID>aab1839b-1584-4909-8d26-a4a47028c400</errorID>
      <errorWord>房</errorWord>
      <group>L1_Word</group>
      <groupName>字词问题</groupName>
      <ability>L2_Typo</ability>
      <abilityName>字词错误</abilityName>
      <candidateList>
        <item>房和</item>
      </candidateList>
      <explain/>
      <paraID>6D7A61D8</paraID>
      <start>31</start>
      <end>33</end>
      <status>modified</status>
      <modifiedWord>房和</modifiedWord>
      <trackRevisions>false</trackRevisions>
    </reviewItem>
    <reviewItem>
      <errorID>6d07427c-5bae-4674-9e4c-28a60f4278ab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4C902F33</paraID>
      <start>27</start>
      <end>29</end>
      <status>modified</status>
      <modifiedWord>》《</modifiedWord>
      <trackRevisions>false</trackRevisions>
    </reviewItem>
    <reviewItem>
      <errorID>337b71d9-357c-47a8-9b92-8532c39dcae5</errorID>
      <errorWord>股东大会</errorWord>
      <group>L1_Word</group>
      <groupName>字词问题</groupName>
      <ability>L2_Typo</ability>
      <abilityName>字词错误</abilityName>
      <candidateList>
        <item>股东会</item>
      </candidateList>
      <explain/>
      <paraID>7EE035C7</paraID>
      <start>113</start>
      <end>117</end>
      <status>ignored</status>
      <modifiedWord/>
      <trackRevisions>false</trackRevisions>
    </reviewItem>
    <reviewItem>
      <errorID>f9b9d225-6b9c-47a7-a0b5-f3289f5a3517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1E1A388D</paraID>
      <start>99</start>
      <end>100</end>
      <status>ignored</status>
      <modifiedWord/>
      <trackRevisions>false</trackRevisions>
    </reviewItem>
    <reviewItem>
      <errorID>da557d3f-9ae7-4496-8b19-aac868bc594a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7035C9DC</paraID>
      <start>0</start>
      <end>2</end>
      <status>modified</status>
      <modifiedWord>1.</modifiedWord>
      <trackRevisions>false</trackRevisions>
    </reviewItem>
    <reviewItem>
      <errorID>a696b172-6b6e-4a8e-9892-bfc9eb0c21c3</errorID>
      <errorWord>(</errorWord>
      <group>L1_Format</group>
      <groupName>格式问题</groupName>
      <ability>L2_HalfPunc</ability>
      <abilityName>全半角检查</abilityName>
      <candidateList>
        <item>（</item>
      </candidateList>
      <explain>文本全半角错误。</explain>
      <paraID>7035C9DC</paraID>
      <start>74</start>
      <end>75</end>
      <status>modified</status>
      <modifiedWord>（</modifiedWord>
      <trackRevisions>false</trackRevisions>
    </reviewItem>
    <reviewItem>
      <errorID>1ea65348-e395-41ca-a75f-e198f2565364</errorID>
      <errorWord>(</errorWord>
      <group>L1_Format</group>
      <groupName>格式问题</groupName>
      <ability>L2_HalfPunc</ability>
      <abilityName>全半角检查</abilityName>
      <candidateList>
        <item>（</item>
      </candidateList>
      <explain>文本全半角错误。</explain>
      <paraID>7035C9DC</paraID>
      <start>91</start>
      <end>92</end>
      <status>modified</status>
      <modifiedWord>（</modifiedWord>
      <trackRevisions>false</trackRevisions>
    </reviewItem>
    <reviewItem>
      <errorID>510164f0-9cdf-46ac-8380-43f2ed65b89a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64C204C</paraID>
      <start>0</start>
      <end>2</end>
      <status>modified</status>
      <modifiedWord>2.</modifiedWord>
      <trackRevisions>false</trackRevisions>
    </reviewItem>
    <reviewItem>
      <errorID>ff100fa7-12a5-47e4-b092-76944faed5a6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7EBFC30A</paraID>
      <start>0</start>
      <end>2</end>
      <status>modified</status>
      <modifiedWord>3.</modifiedWord>
      <trackRevisions>false</trackRevisions>
    </reviewItem>
    <reviewItem>
      <errorID>e2f48348-82e6-47e6-9e7d-01247f2dcd8a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10A5D896</paraID>
      <start>0</start>
      <end>2</end>
      <status>modified</status>
      <modifiedWord>4.</modifiedWord>
      <trackRevisions>false</trackRevisions>
    </reviewItem>
    <reviewItem>
      <errorID>366a1d56-9b5e-47d2-8956-65be8ad654b4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363D7C6D</paraID>
      <start>0</start>
      <end>2</end>
      <status>modified</status>
      <modifiedWord>5.</modifiedWord>
      <trackRevisions>false</trackRevisions>
    </reviewItem>
    <reviewItem>
      <errorID>7159a5c6-4ad2-43f9-85d5-61020a80b638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7D79B6</paraID>
      <start>0</start>
      <end>2</end>
      <status>modified</status>
      <modifiedWord>6.</modifiedWord>
      <trackRevisions>false</trackRevisions>
    </reviewItem>
    <reviewItem>
      <errorID>3374c1b0-28a2-4bc3-9220-8371274320ea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162DC666</paraID>
      <start>0</start>
      <end>2</end>
      <status>modified</status>
      <modifiedWord>1.</modifiedWord>
      <trackRevisions>false</trackRevisions>
    </reviewItem>
    <reviewItem>
      <errorID>dc02eb57-9cc5-432e-bf46-4f6ce1f168ea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52A73BD3</paraID>
      <start>0</start>
      <end>2</end>
      <status>modified</status>
      <modifiedWord>2.</modifiedWord>
      <trackRevisions>false</trackRevisions>
    </reviewItem>
    <reviewItem>
      <errorID>bba9d909-eebd-40d8-8cf2-faa8100c30cf</errorID>
      <errorWord>KW</errorWord>
      <group>L1_Word</group>
      <groupName>字词问题</groupName>
      <ability>L2_Typo</ability>
      <abilityName>字词错误</abilityName>
      <candidateList>
        <item>kW</item>
      </candidateList>
      <explain/>
      <paraID>5C140F36</paraID>
      <start>1</start>
      <end>3</end>
      <status>modified</status>
      <modifiedWord>kW</modifiedWord>
      <trackRevisions>false</trackRevisions>
    </reviewItem>
    <reviewItem>
      <errorID>60095253-6b1b-4719-8fd8-17a3321845e3</errorID>
      <errorWord>成效</errorWord>
      <group>L1_Word</group>
      <groupName>字词问题</groupName>
      <ability>L2_Typo</ability>
      <abilityName>字词错误</abilityName>
      <candidateList>
        <item>成型</item>
      </candidateList>
      <explain/>
      <paraID>6811774C</paraID>
      <start>38</start>
      <end>40</end>
      <status>ignored</status>
      <modifiedWord/>
      <trackRevisions>false</trackRevisions>
    </reviewItem>
    <reviewItem>
      <errorID>eb416b1a-f11a-48de-993f-ee81749749ba</errorID>
      <errorWord>件</errorWord>
      <group>L1_Word</group>
      <groupName>字词问题</groupName>
      <ability>L2_Typo</ability>
      <abilityName>字词错误</abilityName>
      <candidateList>
        <item>件和</item>
      </candidateList>
      <explain/>
      <paraID>6811774C</paraID>
      <start>50</start>
      <end>51</end>
      <status>ignored</status>
      <modifiedWord/>
      <trackRevisions>false</trackRevisions>
    </reviewItem>
    <reviewItem>
      <errorID>755a9aa5-cec4-4cdc-b855-bd9d30582f5f</errorID>
      <errorWord>。】</errorWord>
      <group>L1_Punc</group>
      <groupName>标点问题</groupName>
      <ability>L2_Punc</ability>
      <abilityName>标点符号检查</abilityName>
      <candidateList>
        <item>】</item>
      </candidateList>
      <explain/>
      <paraID>54D5DE86</paraID>
      <start>63</start>
      <end>64</end>
      <status>modified</status>
      <modifiedWord>】</modifiedWord>
      <trackRevisions>false</trackRevisions>
    </reviewItem>
    <reviewItem>
      <errorID>bd5a5a77-e1c5-434f-a6df-7084796de895</errorID>
      <errorWord>提出质疑</errorWord>
      <group>L1_Grammar</group>
      <groupName>语法问题</groupName>
      <ability>L2_Grammar</ability>
      <abilityName>语法错误</abilityName>
      <candidateList>
        <item>质疑</item>
      </candidateList>
      <explain>〈动〉提出疑问：～问难。</explain>
      <paraID> 6059C86</paraID>
      <start>53</start>
      <end>57</end>
      <status>ignored</status>
      <modifiedWord/>
      <trackRevisions>false</trackRevisions>
    </reviewItem>
    <reviewItem>
      <errorID>6935b887-2ad0-4e39-bd4b-47b85260e482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504F8171</paraID>
      <start>13</start>
      <end>15</end>
      <status>modified</status>
      <modifiedWord>》《</modifiedWord>
      <trackRevisions>false</trackRevisions>
    </reviewItem>
    <reviewItem>
      <errorID>3ef23cb2-2a26-4d8c-bcb3-36b7d47dac40</errorID>
      <errorWord>(</errorWord>
      <group>L1_Format</group>
      <groupName>格式问题</groupName>
      <ability>L2_HalfPunc</ability>
      <abilityName>全半角检查</abilityName>
      <candidateList>
        <item>（</item>
      </candidateList>
      <explain>文本全半角错误。</explain>
      <paraID>4D0CEAF7</paraID>
      <start>24</start>
      <end>25</end>
      <status>modified</status>
      <modifiedWord>（</modifiedWord>
      <trackRevisions>false</trackRevisions>
    </reviewItem>
    <reviewItem>
      <errorID>e0641744-25f3-4e3c-b81e-fb03dfa92606</errorID>
      <errorWord>(</errorWord>
      <group>L1_Format</group>
      <groupName>格式问题</groupName>
      <ability>L2_HalfPunc</ability>
      <abilityName>全半角检查</abilityName>
      <candidateList>
        <item>（</item>
      </candidateList>
      <explain>文本全半角错误。</explain>
      <paraID>49C3B6CF</paraID>
      <start>22</start>
      <end>23</end>
      <status>modified</status>
      <modifiedWord>（</modifiedWord>
      <trackRevisions>false</trackRevisions>
    </reviewItem>
    <reviewItem>
      <errorID>9226ae5e-c312-461d-abf5-1949bbfe49ed</errorID>
      <errorWord>(</errorWord>
      <group>L1_Format</group>
      <groupName>格式问题</groupName>
      <ability>L2_HalfPunc</ability>
      <abilityName>全半角检查</abilityName>
      <candidateList>
        <item>（</item>
      </candidateList>
      <explain>文本全半角错误。</explain>
      <paraID>3BD4BEFC</paraID>
      <start>22</start>
      <end>23</end>
      <status>modified</status>
      <modifiedWord>（</modifiedWord>
      <trackRevisions>false</trackRevisions>
    </reviewItem>
    <reviewItem>
      <errorID>5500f295-480d-43b1-a644-33d029b7216f</errorID>
      <errorWord>(</errorWord>
      <group>L1_Format</group>
      <groupName>格式问题</groupName>
      <ability>L2_HalfPunc</ability>
      <abilityName>全半角检查</abilityName>
      <candidateList>
        <item>（</item>
      </candidateList>
      <explain>文本全半角错误。</explain>
      <paraID>793FBCEC</paraID>
      <start>22</start>
      <end>23</end>
      <status>modified</status>
      <modifiedWord>（</modifiedWord>
      <trackRevisions>false</trackRevisions>
    </reviewItem>
    <reviewItem>
      <errorID>91f61961-9882-4970-9d68-8320d96088aa</errorID>
      <errorWord>(</errorWord>
      <group>L1_Format</group>
      <groupName>格式问题</groupName>
      <ability>L2_HalfPunc</ability>
      <abilityName>全半角检查</abilityName>
      <candidateList>
        <item>（</item>
      </candidateList>
      <explain>文本全半角错误。</explain>
      <paraID>5C5712B0</paraID>
      <start>22</start>
      <end>23</end>
      <status>modified</status>
      <modifiedWord>（</modifiedWord>
      <trackRevisions>false</trackRevisions>
    </reviewItem>
    <reviewItem>
      <errorID>9fcbe772-78f2-4e70-a3e1-57e2a56e4a92</errorID>
      <errorWord>。</errorWord>
      <group>L1_Punc</group>
      <groupName>标点问题</groupName>
      <ability>L2_Punc</ability>
      <abilityName>标点符号检查</abilityName>
      <candidateList/>
      <explain/>
      <paraID> 320D812</paraID>
      <start>40</start>
      <end>41</end>
      <status>ignored</status>
      <modifiedWord/>
      <trackRevisions>false</trackRevisions>
    </reviewItem>
    <reviewItem>
      <errorID>ea858544-37e3-4e5d-b1e0-3dd95341dc6b</errorID>
      <errorWord>交纳</errorWord>
      <group>L1_Word</group>
      <groupName>字词问题</groupName>
      <ability>L2_Typo</ability>
      <abilityName>字词错误</abilityName>
      <candidateList>
        <item>缴纳</item>
      </candidateList>
      <explain>〈动〉交纳：～税款。</explain>
      <paraID>6C4EAEDF</paraID>
      <start>69</start>
      <end>71</end>
      <status>ignored</status>
      <modifiedWord/>
      <trackRevisions>false</trackRevisions>
    </reviewItem>
    <reviewItem>
      <errorID>6227f21a-f19d-41d3-a3ee-19f4443f671b</errorID>
      <errorWord>其它</errorWord>
      <group>L1_Word</group>
      <groupName>字词问题</groupName>
      <ability>L2_Alias</ability>
      <abilityName>也作/曾用词</abilityName>
      <candidateList>
        <item>其他</item>
      </candidateList>
      <explain>词汇[其它]为不规范表述或旧称，其规范书面表述为[其他]。</explain>
      <paraID>7202CEBE</paraID>
      <start>45</start>
      <end>47</end>
      <status>modified</status>
      <modifiedWord>其他</modifiedWord>
      <trackRevisions>false</trackRevisions>
    </reviewItem>
    <reviewItem>
      <errorID>df00a2cd-b093-447b-833e-fef987357b14</errorID>
      <errorWord>其它</errorWord>
      <group>L1_Word</group>
      <groupName>字词问题</groupName>
      <ability>L2_Alias</ability>
      <abilityName>也作/曾用词</abilityName>
      <candidateList>
        <item>其他</item>
      </candidateList>
      <explain>词汇[其它]为不规范表述或旧称，其规范书面表述为[其他]。</explain>
      <paraID>7202CEBE</paraID>
      <start>131</start>
      <end>133</end>
      <status>modified</status>
      <modifiedWord>其他</modifiedWord>
      <trackRevisions>false</trackRevisions>
    </reviewItem>
    <reviewItem>
      <errorID>cb3eb16f-b1a3-40e0-b14d-2e6217f603a0</errorID>
      <errorWord>其它</errorWord>
      <group>L1_Word</group>
      <groupName>字词问题</groupName>
      <ability>L2_Alias</ability>
      <abilityName>也作/曾用词</abilityName>
      <candidateList>
        <item>其他</item>
      </candidateList>
      <explain>词汇[其它]为不规范表述或旧称，其规范书面表述为[其他]。</explain>
      <paraID>229FAFA9</paraID>
      <start>129</start>
      <end>131</end>
      <status>modified</status>
      <modifiedWord>其他</modifiedWord>
      <trackRevisions>false</trackRevisions>
    </reviewItem>
    <reviewItem>
      <errorID>c4e4129c-cde8-4c55-8a48-ac9c30710760</errorID>
      <errorWord>商订</errorWord>
      <group>L1_Word</group>
      <groupName>字词问题</groupName>
      <ability>L2_Typo</ability>
      <abilityName>字词错误</abilityName>
      <candidateList>
        <item>商定</item>
      </candidateList>
      <explain/>
      <paraID>18A7EF6F</paraID>
      <start>123</start>
      <end>125</end>
      <status>ignored</status>
      <modifiedWord/>
      <trackRevisions>false</trackRevisions>
    </reviewItem>
    <reviewItem>
      <errorID>2ea72ce6-b076-4455-b5a0-f8ba76004689</errorID>
      <errorWord>工</errorWord>
      <group>L1_Word</group>
      <groupName>字词问题</groupName>
      <ability>L2_Typo</ability>
      <abilityName>字词错误</abilityName>
      <candidateList>
        <item>工现</item>
      </candidateList>
      <explain/>
      <paraID>15043D8D</paraID>
      <start>92</start>
      <end>94</end>
      <status>modified</status>
      <modifiedWord>工现</modifiedWord>
      <trackRevisions>false</trackRevisions>
    </reviewItem>
    <reviewItem>
      <errorID>9d0561ce-9600-4438-8cf4-62bd6781d614</errorID>
      <errorWord>费</errorWord>
      <group>L1_Word</group>
      <groupName>字词问题</groupName>
      <ability>L2_Typo</ability>
      <abilityName>字词错误</abilityName>
      <candidateList>
        <item>费用</item>
      </candidateList>
      <explain/>
      <paraID>2F74A617</paraID>
      <start>11</start>
      <end>12</end>
      <status>ignored</status>
      <modifiedWord/>
      <trackRevisions>false</trackRevisions>
    </reviewItem>
    <reviewItem>
      <errorID>3a23e88f-ad72-4d0b-b65c-f54ced725677</errorID>
      <errorWord>期限的</errorWord>
      <group>L1_Word</group>
      <groupName>字词问题</groupName>
      <ability>L2_Typo</ability>
      <abilityName>字词错误</abilityName>
      <candidateList>
        <item>期限</item>
      </candidateList>
      <explain/>
      <paraID>5DEECDC8</paraID>
      <start>14</start>
      <end>17</end>
      <status>ignored</status>
      <modifiedWord/>
      <trackRevisions>false</trackRevisions>
    </reviewItem>
    <reviewItem>
      <errorID>156eab07-4c2a-43d6-a327-ebcd1217fc99</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  35EA96</paraID>
      <start>30</start>
      <end>49</end>
      <status>ignored</status>
      <modifiedWord/>
      <trackRevisions>false</trackRevisions>
    </reviewItem>
    <reviewItem>
      <errorID>cec8ede8-412f-47d9-82f4-04b1541f34e3</errorID>
      <errorWord>变更的</errorWord>
      <group>L1_Word</group>
      <groupName>字词问题</groupName>
      <ability>L2_Typo</ability>
      <abilityName>字词错误</abilityName>
      <candidateList>
        <item>变更</item>
      </candidateList>
      <explain>〈动〉改变；变动：～原定赛程｜修订版的内容有些～。</explain>
      <paraID>394A188E</paraID>
      <start>2</start>
      <end>5</end>
      <status>ignored</status>
      <modifiedWord/>
      <trackRevisions>false</trackRevisions>
    </reviewItem>
    <reviewItem>
      <errorID>57833680-d36d-413a-af78-0e6fb80c2664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EF67FE3</paraID>
      <start>121</start>
      <end>122</end>
      <status>ignored</status>
      <modifiedWord/>
      <trackRevisions>false</trackRevisions>
    </reviewItem>
    <reviewItem>
      <errorID>86435cba-a611-4efc-965a-988433536065</errorID>
      <errorWord>其它</errorWord>
      <group>L1_Word</group>
      <groupName>字词问题</groupName>
      <ability>L2_Alias</ability>
      <abilityName>也作/曾用词</abilityName>
      <candidateList>
        <item>其他</item>
      </candidateList>
      <explain>词汇[其它]为不规范表述或旧称，其规范书面表述为[其他]。</explain>
      <paraID>79CECA4B</paraID>
      <start>1</start>
      <end>3</end>
      <status>modified</status>
      <modifiedWord>其他</modifiedWord>
      <trackRevisions>false</trackRevisions>
    </reviewItem>
    <reviewItem>
      <errorID>f8fca2bb-34f3-43e4-b20e-1a3046f05e01</errorID>
      <errorWord>其它</errorWord>
      <group>L1_Word</group>
      <groupName>字词问题</groupName>
      <ability>L2_Alias</ability>
      <abilityName>也作/曾用词</abilityName>
      <candidateList>
        <item>其他</item>
      </candidateList>
      <explain>词汇[其它]为不规范表述或旧称，其规范书面表述为[其他]。</explain>
      <paraID>684E49E0</paraID>
      <start>15</start>
      <end>18</end>
      <status>modified</status>
      <modifiedWord>其他 </modifiedWord>
      <trackRevisions>false</trackRevisions>
    </reviewItem>
    <reviewItem>
      <errorID>c83bd769-1504-4199-8cad-313e01c148d4</errorID>
      <errorWord>和及其</errorWord>
      <group>L1_Word</group>
      <groupName>字词问题</groupName>
      <ability>L2_Typo</ability>
      <abilityName>字词错误</abilityName>
      <candidateList>
        <item>及其</item>
      </candidateList>
      <explain/>
      <paraID>43E5844E</paraID>
      <start>44</start>
      <end>46</end>
      <status>modified</status>
      <modifiedWord>及其</modifiedWord>
      <trackRevisions>false</trackRevisions>
    </reviewItem>
    <reviewItem>
      <errorID>597eaaa6-cb77-4488-80ce-10c5edf312b7</errorID>
      <errorWord>签</errorWord>
      <group>L1_Word</group>
      <groupName>字词问题</groupName>
      <ability>L2_Typo</ability>
      <abilityName>字词错误</abilityName>
      <candidateList>
        <item>签订</item>
      </candidateList>
      <explain>〈动〉订立条约或合同并签字：两国～了贸易议定书和支付协定。</explain>
      <paraID> DA12185</paraID>
      <start>35</start>
      <end>36</end>
      <status>ignored</status>
      <modifiedWord/>
      <trackRevisions>false</trackRevisions>
    </reviewItem>
    <reviewItem>
      <errorID>be76a2c1-aa03-4794-885a-c4531e4a5426</errorID>
      <errorWord>其它</errorWord>
      <group>L1_Word</group>
      <groupName>字词问题</groupName>
      <ability>L2_Alias</ability>
      <abilityName>也作/曾用词</abilityName>
      <candidateList>
        <item>其他</item>
      </candidateList>
      <explain>词汇[其它]为不规范表述或旧称，其规范书面表述为[其他]。</explain>
      <paraID>719F61F9</paraID>
      <start>9</start>
      <end>11</end>
      <status>modified</status>
      <modifiedWord>其他</modifiedWord>
      <trackRevisions>false</trackRevisions>
    </reviewItem>
    <reviewItem>
      <errorID>7763726c-9fe7-46e4-9924-d526a754016e</errorID>
      <errorWord>分分</errorWord>
      <group>L1_Word</group>
      <groupName>字词问题</groupName>
      <ability>L2_Typo</ability>
      <abilityName>字词错误</abilityName>
      <candidateList>
        <item>分</item>
      </candidateList>
      <explain/>
      <paraID>445529CF</paraID>
      <start>28</start>
      <end>29</end>
      <status>modified</status>
      <modifiedWord>分</modifiedWord>
      <trackRevisions>false</trackRevisions>
    </reviewItem>
    <reviewItem>
      <errorID>2abb5c3f-366e-49e0-9cb2-b2fd0d91bd84</errorID>
      <errorWord>，</errorWord>
      <group>L1_Word</group>
      <groupName>字词问题</groupName>
      <ability>L2_Typo</ability>
      <abilityName>字词错误</abilityName>
      <candidateList>
        <item>，由</item>
      </candidateList>
      <explain/>
      <paraID>445529CF</paraID>
      <start>49</start>
      <end>51</end>
      <status>modified</status>
      <modifiedWord>，由</modifiedWord>
      <trackRevisions>false</trackRevisions>
    </reviewItem>
    <reviewItem>
      <errorID>cd651f3e-ac8e-436d-adcd-62fd2aa8cdb6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58CB2E89</paraID>
      <start>0</start>
      <end>2</end>
      <status>modified</status>
      <modifiedWord>1.</modifiedWord>
      <trackRevisions>false</trackRevisions>
    </reviewItem>
    <reviewItem>
      <errorID>47108f61-af5f-4511-be08-d385a99f1cb8</errorID>
      <errorWord>履</errorWord>
      <group>L1_Word</group>
      <groupName>字词问题</groupName>
      <ability>L2_Typo</ability>
      <abilityName>字词错误</abilityName>
      <candidateList>
        <item>履约</item>
      </candidateList>
      <explain/>
      <paraID>591963E7</paraID>
      <start>7</start>
      <end>9</end>
      <status>modified</status>
      <modifiedWord>履约</modifiedWord>
      <trackRevisions>false</trackRevisions>
    </reviewItem>
    <reviewItem>
      <errorID>f0c9fb25-b2aa-406e-86c0-cc6fa515b605</errorID>
      <errorWord>因为</errorWord>
      <group>L1_Word</group>
      <groupName>字词问题</groupName>
      <ability>L2_Typo</ability>
      <abilityName>字词错误</abilityName>
      <candidateList>
        <item>因</item>
      </candidateList>
      <explain/>
      <paraID>499E767F</paraID>
      <start>120</start>
      <end>121</end>
      <status>modified</status>
      <modifiedWord>因</modifiedWord>
      <trackRevisions>false</trackRevisions>
    </reviewItem>
    <reviewItem>
      <errorID>a2de11ed-14d0-4d6e-bfb9-44cdbee0686e</errorID>
      <errorWord>。</errorWord>
      <group>L1_Punc</group>
      <groupName>标点问题</groupName>
      <ability>L2_Punc</ability>
      <abilityName>标点符号检查</abilityName>
      <candidateList/>
      <explain/>
      <paraID>2E7F921C</paraID>
      <start>156</start>
      <end>157</end>
      <status>ignored</status>
      <modifiedWord/>
      <trackRevisions>false</trackRevisions>
    </reviewItem>
    <reviewItem>
      <errorID>61e3c8ad-9dbf-4fa3-be24-8f5358ce434a</errorID>
      <errorWord>。</errorWord>
      <group>L1_Punc</group>
      <groupName>标点问题</groupName>
      <ability>L2_Punc</ability>
      <abilityName>标点符号检查</abilityName>
      <candidateList/>
      <explain/>
      <paraID> BE4ED74</paraID>
      <start>157</start>
      <end>158</end>
      <status>ignored</status>
      <modifiedWord/>
      <trackRevisions>false</trackRevisions>
    </reviewItem>
    <reviewItem>
      <errorID>a1fd1490-7aee-4afa-9200-e5739a691951</errorID>
      <errorWord>。</errorWord>
      <group>L1_Punc</group>
      <groupName>标点问题</groupName>
      <ability>L2_Punc</ability>
      <abilityName>标点符号检查</abilityName>
      <candidateList/>
      <explain/>
      <paraID>15936E86</paraID>
      <start>157</start>
      <end>158</end>
      <status>ignored</status>
      <modifiedWord/>
      <trackRevisions>false</trackRevisions>
    </reviewItem>
    <reviewItem>
      <errorID>19a09ed8-92b9-4bc4-b671-e4ba0a488add</errorID>
      <errorWord>)</errorWord>
      <group>L1_Format</group>
      <groupName>格式问题</groupName>
      <ability>L2_HalfPunc</ability>
      <abilityName>全半角检查</abilityName>
      <candidateList>
        <item>）</item>
      </candidateList>
      <explain>文本全半角错误。</explain>
      <paraID>17F42BF9</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3ae641-74e9-458e-a7fa-46a68754460b}">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31134</Words>
  <Characters>33108</Characters>
  <Lines>0</Lines>
  <Paragraphs>0</Paragraphs>
  <TotalTime>57</TotalTime>
  <ScaleCrop>false</ScaleCrop>
  <LinksUpToDate>false</LinksUpToDate>
  <CharactersWithSpaces>35396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2022-04-15T03:44:00Z</dcterms:created>
  <dc:creator>春意浓浓</dc:creator>
  <cp:lastModifiedBy>Administrator</cp:lastModifiedBy>
  <cp:lastPrinted>2025-12-25T01:46:00Z</cp:lastPrinted>
  <dcterms:modified xsi:type="dcterms:W3CDTF">2026-08-14T07:34:47Z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D89FB83C20DD4E61BF97782ADF368474_13</vt:lpwstr>
  </property>
  <property fmtid="{D5CDD505-2E9C-101B-9397-08002B2CF9AE}" pid="4" name="commondata">
    <vt:lpwstr>eyJoZGlkIjoiMTI0NTM0OGFiMWU2NDFkZGJjYTk5NGYyZDlmNzA2NTgifQ==</vt:lpwstr>
  </property>
  <property fmtid="{D5CDD505-2E9C-101B-9397-08002B2CF9AE}" pid="5" name="KSOTemplateDocerSaveRecord">
    <vt:lpwstr>eyJoZGlkIjoiZmFiNzgwYWQ5YWQwY2UzOGQ0NTQyM2JmMmZlYmRkMDkiLCJ1c2VySWQiOiI0MDMzNzI1MTYifQ==</vt:lpwstr>
  </property>
</Properties>
</file>