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967788">
      <w:pPr>
        <w:spacing w:before="312" w:beforeLines="100" w:after="156" w:afterLines="50" w:line="360" w:lineRule="auto"/>
        <w:jc w:val="center"/>
        <w:rPr>
          <w:rFonts w:hint="eastAsia" w:ascii="方正小标宋简体" w:hAnsi="方正小标宋简体" w:eastAsia="方正小标宋简体" w:cs="方正小标宋简体"/>
          <w:b/>
          <w:color w:val="auto"/>
          <w:sz w:val="44"/>
          <w:szCs w:val="44"/>
          <w:highlight w:val="none"/>
        </w:rPr>
      </w:pPr>
      <w:bookmarkStart w:id="11" w:name="_GoBack"/>
      <w:bookmarkEnd w:id="11"/>
      <w:r>
        <w:rPr>
          <w:color w:val="auto"/>
          <w:highlight w:val="none"/>
          <w:lang w:eastAsia="zh-CN"/>
        </w:rPr>
        <w:drawing>
          <wp:anchor distT="0" distB="0" distL="114300" distR="114300" simplePos="0" relativeHeight="251670528" behindDoc="0" locked="0" layoutInCell="1" allowOverlap="1">
            <wp:simplePos x="0" y="0"/>
            <wp:positionH relativeFrom="column">
              <wp:posOffset>-609600</wp:posOffset>
            </wp:positionH>
            <wp:positionV relativeFrom="paragraph">
              <wp:posOffset>-393065</wp:posOffset>
            </wp:positionV>
            <wp:extent cx="6595110" cy="9377680"/>
            <wp:effectExtent l="0" t="0" r="15240" b="13970"/>
            <wp:wrapNone/>
            <wp:docPr id="3" name="图片 3" descr="60925d01-c730-4d15-8f75-c518dce51b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0925d01-c730-4d15-8f75-c518dce51b1c"/>
                    <pic:cNvPicPr>
                      <a:picLocks noChangeAspect="1"/>
                    </pic:cNvPicPr>
                  </pic:nvPicPr>
                  <pic:blipFill>
                    <a:blip r:embed="rId62"/>
                    <a:stretch>
                      <a:fillRect/>
                    </a:stretch>
                  </pic:blipFill>
                  <pic:spPr>
                    <a:xfrm>
                      <a:off x="0" y="0"/>
                      <a:ext cx="6595110" cy="9377680"/>
                    </a:xfrm>
                    <a:prstGeom prst="rect">
                      <a:avLst/>
                    </a:prstGeom>
                  </pic:spPr>
                </pic:pic>
              </a:graphicData>
            </a:graphic>
          </wp:anchor>
        </w:drawing>
      </w:r>
      <w:r>
        <w:rPr>
          <w:color w:val="auto"/>
          <w:highlight w:val="none"/>
          <w:lang w:eastAsia="zh-CN"/>
        </w:rPr>
        <w:drawing>
          <wp:anchor distT="0" distB="0" distL="114300" distR="114300" simplePos="0" relativeHeight="251668480" behindDoc="0" locked="0" layoutInCell="1" allowOverlap="1">
            <wp:simplePos x="0" y="0"/>
            <wp:positionH relativeFrom="column">
              <wp:posOffset>1485265</wp:posOffset>
            </wp:positionH>
            <wp:positionV relativeFrom="paragraph">
              <wp:posOffset>455930</wp:posOffset>
            </wp:positionV>
            <wp:extent cx="2696845" cy="2273300"/>
            <wp:effectExtent l="0" t="0" r="8255" b="12700"/>
            <wp:wrapNone/>
            <wp:docPr id="2" name="图片 13" descr="亿正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3" descr="亿正_画板 1"/>
                    <pic:cNvPicPr>
                      <a:picLocks noChangeAspect="1"/>
                    </pic:cNvPicPr>
                  </pic:nvPicPr>
                  <pic:blipFill>
                    <a:blip r:embed="rId63"/>
                    <a:srcRect l="5362" t="13403" r="6380" b="12199"/>
                    <a:stretch>
                      <a:fillRect/>
                    </a:stretch>
                  </pic:blipFill>
                  <pic:spPr>
                    <a:xfrm>
                      <a:off x="0" y="0"/>
                      <a:ext cx="2696845" cy="2273300"/>
                    </a:xfrm>
                    <a:prstGeom prst="rect">
                      <a:avLst/>
                    </a:prstGeom>
                    <a:noFill/>
                    <a:ln>
                      <a:noFill/>
                    </a:ln>
                  </pic:spPr>
                </pic:pic>
              </a:graphicData>
            </a:graphic>
          </wp:anchor>
        </w:drawing>
      </w:r>
    </w:p>
    <w:p w14:paraId="20D43BDF">
      <w:pPr>
        <w:snapToGrid w:val="0"/>
        <w:spacing w:before="156" w:beforeLines="50" w:line="360" w:lineRule="auto"/>
        <w:jc w:val="center"/>
        <w:rPr>
          <w:rFonts w:hint="eastAsia" w:ascii="华文新魏" w:hAnsi="宋体" w:eastAsia="华文新魏"/>
          <w:color w:val="auto"/>
          <w:sz w:val="72"/>
          <w:szCs w:val="72"/>
          <w:highlight w:val="none"/>
        </w:rPr>
      </w:pPr>
    </w:p>
    <w:p w14:paraId="3E7A376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华文新魏" w:hAnsi="宋体" w:eastAsia="华文新魏"/>
          <w:color w:val="auto"/>
          <w:sz w:val="72"/>
          <w:szCs w:val="72"/>
          <w:highlight w:val="none"/>
        </w:rPr>
      </w:pPr>
    </w:p>
    <w:p w14:paraId="03E9E95E">
      <w:pPr>
        <w:pStyle w:val="5"/>
        <w:spacing w:line="360" w:lineRule="auto"/>
        <w:jc w:val="center"/>
        <w:rPr>
          <w:rFonts w:hint="eastAsia" w:ascii="微软雅黑" w:hAnsi="微软雅黑" w:eastAsia="微软雅黑" w:cs="微软雅黑"/>
          <w:b/>
          <w:bCs/>
          <w:color w:val="auto"/>
          <w:sz w:val="56"/>
          <w:szCs w:val="56"/>
          <w:highlight w:val="none"/>
          <w:lang w:val="en-US" w:eastAsia="zh-CN"/>
        </w:rPr>
      </w:pPr>
    </w:p>
    <w:p w14:paraId="0A03EC83">
      <w:pPr>
        <w:pStyle w:val="5"/>
        <w:spacing w:line="360" w:lineRule="auto"/>
        <w:jc w:val="center"/>
        <w:rPr>
          <w:rFonts w:hint="eastAsia" w:hAnsi="宋体"/>
          <w:b/>
          <w:color w:val="auto"/>
          <w:sz w:val="72"/>
          <w:szCs w:val="72"/>
          <w:highlight w:val="none"/>
        </w:rPr>
      </w:pPr>
      <w:r>
        <w:rPr>
          <w:rFonts w:hint="eastAsia" w:ascii="微软雅黑" w:hAnsi="微软雅黑" w:eastAsia="微软雅黑" w:cs="微软雅黑"/>
          <w:b/>
          <w:bCs/>
          <w:color w:val="auto"/>
          <w:sz w:val="56"/>
          <w:szCs w:val="56"/>
          <w:highlight w:val="none"/>
        </w:rPr>
        <w:t>广西亿正工程咨询有限公司</w:t>
      </w:r>
    </w:p>
    <w:p w14:paraId="3613728C">
      <w:pPr>
        <w:jc w:val="center"/>
        <w:rPr>
          <w:color w:val="auto"/>
          <w:highlight w:val="none"/>
        </w:rPr>
      </w:pPr>
      <w:r>
        <w:rPr>
          <w:color w:val="auto"/>
          <w:spacing w:val="60"/>
          <w:sz w:val="72"/>
          <w:szCs w:val="72"/>
          <w:highlight w:val="none"/>
        </w:rPr>
        <mc:AlternateContent>
          <mc:Choice Requires="wps">
            <w:drawing>
              <wp:anchor distT="0" distB="0" distL="114300" distR="114300" simplePos="0" relativeHeight="251669504" behindDoc="0" locked="0" layoutInCell="1" allowOverlap="1">
                <wp:simplePos x="0" y="0"/>
                <wp:positionH relativeFrom="column">
                  <wp:posOffset>80645</wp:posOffset>
                </wp:positionH>
                <wp:positionV relativeFrom="paragraph">
                  <wp:posOffset>62865</wp:posOffset>
                </wp:positionV>
                <wp:extent cx="5600700" cy="635"/>
                <wp:effectExtent l="0" t="28575" r="0" b="46990"/>
                <wp:wrapNone/>
                <wp:docPr id="1" name="直接连接符 1"/>
                <wp:cNvGraphicFramePr/>
                <a:graphic xmlns:a="http://schemas.openxmlformats.org/drawingml/2006/main">
                  <a:graphicData uri="http://schemas.microsoft.com/office/word/2010/wordprocessingShape">
                    <wps:wsp>
                      <wps:cNvCnPr/>
                      <wps:spPr>
                        <a:xfrm flipV="1">
                          <a:off x="0" y="0"/>
                          <a:ext cx="5934075" cy="0"/>
                        </a:xfrm>
                        <a:prstGeom prst="line">
                          <a:avLst/>
                        </a:prstGeom>
                        <a:ln w="57150" cap="flat" cmpd="thinThick">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6.35pt;margin-top:4.95pt;height:0.05pt;width:441pt;z-index:251669504;mso-width-relative:page;mso-height-relative:page;" filled="f" stroked="t" coordsize="21600,21600" o:gfxdata="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AFuWD0gAAAAcBAAAPAAAAAAAAAAEAIAAAACIAAABkcnMvZG93&#10;bnJldi54bWxQSwECFAAUAAAACACHTuJAvN3+FQYCAAADBAAADgAAAAAAAAABACAAAAAhAQAAZHJz&#10;L2Uyb0RvYy54bWxQSwUGAAAAAAYABgBZAQAAmQUAAAAA&#10;">
                <v:fill on="f" focussize="0,0"/>
                <v:stroke weight="4.5pt" color="#000000" linestyle="thinThick" joinstyle="round"/>
                <v:imagedata o:title=""/>
                <o:lock v:ext="edit" aspectratio="f"/>
              </v:line>
            </w:pict>
          </mc:Fallback>
        </mc:AlternateContent>
      </w:r>
    </w:p>
    <w:p w14:paraId="08061E5E">
      <w:pPr>
        <w:snapToGrid w:val="0"/>
        <w:spacing w:before="156" w:beforeLines="50" w:line="360" w:lineRule="auto"/>
        <w:jc w:val="center"/>
        <w:rPr>
          <w:rFonts w:hint="eastAsia" w:ascii="宋体" w:hAnsi="宋体" w:eastAsia="宋体" w:cs="宋体"/>
          <w:b/>
          <w:color w:val="auto"/>
          <w:kern w:val="0"/>
          <w:sz w:val="72"/>
          <w:szCs w:val="72"/>
          <w:highlight w:val="none"/>
          <w:lang w:val="en-US" w:eastAsia="zh-CN" w:bidi="ar-SA"/>
        </w:rPr>
      </w:pPr>
      <w:r>
        <w:rPr>
          <w:rFonts w:hint="eastAsia" w:ascii="宋体" w:hAnsi="宋体" w:eastAsia="宋体" w:cs="宋体"/>
          <w:b/>
          <w:color w:val="auto"/>
          <w:kern w:val="0"/>
          <w:sz w:val="72"/>
          <w:szCs w:val="72"/>
          <w:highlight w:val="none"/>
          <w:lang w:val="en-US" w:eastAsia="zh-CN" w:bidi="ar-SA"/>
        </w:rPr>
        <w:t>竞争性磋商文件</w:t>
      </w:r>
    </w:p>
    <w:p w14:paraId="2982955E">
      <w:pPr>
        <w:pStyle w:val="13"/>
        <w:rPr>
          <w:rFonts w:hint="eastAsia"/>
          <w:color w:val="auto"/>
          <w:highlight w:val="none"/>
          <w:lang w:val="en-US" w:eastAsia="zh-CN"/>
        </w:rPr>
      </w:pPr>
    </w:p>
    <w:p w14:paraId="186E69AD">
      <w:pPr>
        <w:pStyle w:val="13"/>
        <w:rPr>
          <w:rFonts w:hint="eastAsia"/>
          <w:color w:val="auto"/>
          <w:highlight w:val="none"/>
        </w:rPr>
      </w:pPr>
    </w:p>
    <w:p w14:paraId="34B81277">
      <w:pPr>
        <w:spacing w:line="400" w:lineRule="exact"/>
        <w:ind w:left="0" w:leftChars="0" w:firstLine="440" w:firstLineChars="137"/>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lang w:eastAsia="zh-CN"/>
        </w:rPr>
        <w:t>项目名称：北流市2026年财政常态化帮扶资金项目复核验收服务</w:t>
      </w:r>
    </w:p>
    <w:p w14:paraId="73CF8D3F">
      <w:pPr>
        <w:spacing w:line="400" w:lineRule="exact"/>
        <w:ind w:left="0" w:leftChars="0" w:firstLine="440" w:firstLineChars="137"/>
        <w:rPr>
          <w:rFonts w:hint="eastAsia" w:ascii="宋体" w:hAnsi="宋体" w:eastAsia="宋体" w:cs="宋体"/>
          <w:b/>
          <w:color w:val="auto"/>
          <w:sz w:val="32"/>
          <w:szCs w:val="32"/>
          <w:highlight w:val="none"/>
          <w:lang w:eastAsia="zh-CN"/>
        </w:rPr>
      </w:pPr>
    </w:p>
    <w:p w14:paraId="24A52531">
      <w:pPr>
        <w:spacing w:line="400" w:lineRule="exact"/>
        <w:ind w:left="0" w:leftChars="0" w:firstLine="440" w:firstLineChars="137"/>
        <w:rPr>
          <w:rFonts w:hint="eastAsia" w:ascii="宋体" w:hAnsi="宋体" w:eastAsia="宋体" w:cs="宋体"/>
          <w:b/>
          <w:color w:val="auto"/>
          <w:sz w:val="32"/>
          <w:szCs w:val="32"/>
          <w:highlight w:val="none"/>
          <w:lang w:eastAsia="zh-CN"/>
        </w:rPr>
      </w:pPr>
      <w:bookmarkStart w:id="0" w:name="OLE_LINK6"/>
      <w:r>
        <w:rPr>
          <w:rFonts w:hint="eastAsia" w:ascii="宋体" w:hAnsi="宋体" w:eastAsia="宋体" w:cs="宋体"/>
          <w:b/>
          <w:color w:val="auto"/>
          <w:sz w:val="32"/>
          <w:szCs w:val="32"/>
          <w:highlight w:val="none"/>
          <w:lang w:eastAsia="zh-CN"/>
        </w:rPr>
        <w:t>项目编号：</w:t>
      </w:r>
      <w:bookmarkEnd w:id="0"/>
      <w:r>
        <w:rPr>
          <w:rFonts w:hint="eastAsia" w:ascii="宋体" w:hAnsi="宋体" w:eastAsia="宋体" w:cs="宋体"/>
          <w:b/>
          <w:color w:val="auto"/>
          <w:sz w:val="32"/>
          <w:szCs w:val="32"/>
          <w:highlight w:val="none"/>
          <w:lang w:eastAsia="zh-CN"/>
        </w:rPr>
        <w:t>YLZC2026-C3-810155-GXYZ</w:t>
      </w:r>
    </w:p>
    <w:p w14:paraId="010CB3F7">
      <w:pPr>
        <w:spacing w:line="400" w:lineRule="exact"/>
        <w:ind w:left="0" w:leftChars="0" w:firstLine="440" w:firstLineChars="137"/>
        <w:rPr>
          <w:rFonts w:hint="eastAsia" w:ascii="宋体" w:hAnsi="宋体" w:eastAsia="宋体" w:cs="宋体"/>
          <w:b/>
          <w:color w:val="auto"/>
          <w:sz w:val="32"/>
          <w:szCs w:val="32"/>
          <w:highlight w:val="none"/>
          <w:lang w:eastAsia="zh-CN"/>
        </w:rPr>
      </w:pPr>
    </w:p>
    <w:p w14:paraId="052C0CF9">
      <w:pPr>
        <w:spacing w:line="400" w:lineRule="exact"/>
        <w:ind w:left="0" w:leftChars="0" w:firstLine="440" w:firstLineChars="137"/>
        <w:rPr>
          <w:rFonts w:hint="eastAsia" w:ascii="宋体" w:hAnsi="宋体" w:eastAsia="宋体" w:cs="宋体"/>
          <w:b/>
          <w:color w:val="auto"/>
          <w:sz w:val="32"/>
          <w:szCs w:val="32"/>
          <w:highlight w:val="none"/>
          <w:lang w:eastAsia="zh-CN"/>
        </w:rPr>
      </w:pPr>
    </w:p>
    <w:p w14:paraId="63293BE2">
      <w:pPr>
        <w:spacing w:line="400" w:lineRule="exact"/>
        <w:ind w:left="0" w:leftChars="0" w:firstLine="440" w:firstLineChars="137"/>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lang w:eastAsia="zh-CN"/>
        </w:rPr>
        <w:t>采购人：北流市农业农村局（盖章）</w:t>
      </w:r>
    </w:p>
    <w:p w14:paraId="4B5AD0AC">
      <w:pPr>
        <w:spacing w:line="400" w:lineRule="exact"/>
        <w:ind w:left="0" w:leftChars="0" w:firstLine="440" w:firstLineChars="137"/>
        <w:rPr>
          <w:rFonts w:hint="eastAsia" w:ascii="宋体" w:hAnsi="宋体" w:eastAsia="宋体" w:cs="宋体"/>
          <w:b/>
          <w:color w:val="auto"/>
          <w:sz w:val="32"/>
          <w:szCs w:val="32"/>
          <w:highlight w:val="none"/>
          <w:lang w:eastAsia="zh-CN"/>
        </w:rPr>
      </w:pPr>
    </w:p>
    <w:p w14:paraId="6C7DB652">
      <w:pPr>
        <w:spacing w:line="400" w:lineRule="exact"/>
        <w:ind w:left="0" w:leftChars="0" w:firstLine="440" w:firstLineChars="137"/>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lang w:eastAsia="zh-CN"/>
        </w:rPr>
        <w:t>采购代理机构：</w:t>
      </w:r>
      <w:bookmarkStart w:id="1" w:name="OLE_LINK5"/>
      <w:r>
        <w:rPr>
          <w:rFonts w:hint="eastAsia" w:ascii="宋体" w:hAnsi="宋体" w:eastAsia="宋体" w:cs="宋体"/>
          <w:b/>
          <w:color w:val="auto"/>
          <w:sz w:val="32"/>
          <w:szCs w:val="32"/>
          <w:highlight w:val="none"/>
          <w:lang w:eastAsia="zh-CN"/>
        </w:rPr>
        <w:t>广西亿正工程咨询有限公司</w:t>
      </w:r>
      <w:bookmarkEnd w:id="1"/>
      <w:r>
        <w:rPr>
          <w:rFonts w:hint="eastAsia" w:ascii="宋体" w:hAnsi="宋体" w:eastAsia="宋体" w:cs="宋体"/>
          <w:b/>
          <w:color w:val="auto"/>
          <w:sz w:val="32"/>
          <w:szCs w:val="32"/>
          <w:highlight w:val="none"/>
          <w:lang w:eastAsia="zh-CN"/>
        </w:rPr>
        <w:t>（盖章）</w:t>
      </w:r>
    </w:p>
    <w:p w14:paraId="64D24243">
      <w:pPr>
        <w:spacing w:line="400" w:lineRule="exact"/>
        <w:ind w:left="0" w:leftChars="0" w:firstLine="440" w:firstLineChars="137"/>
        <w:rPr>
          <w:rFonts w:hint="eastAsia" w:ascii="宋体" w:hAnsi="宋体" w:eastAsia="宋体" w:cs="宋体"/>
          <w:b/>
          <w:color w:val="auto"/>
          <w:sz w:val="32"/>
          <w:szCs w:val="32"/>
          <w:highlight w:val="none"/>
          <w:lang w:eastAsia="zh-CN"/>
        </w:rPr>
      </w:pPr>
    </w:p>
    <w:p w14:paraId="7E00A3D8">
      <w:pPr>
        <w:spacing w:line="222" w:lineRule="auto"/>
        <w:jc w:val="center"/>
        <w:rPr>
          <w:rFonts w:ascii="仿宋" w:hAnsi="仿宋" w:eastAsia="仿宋" w:cs="仿宋"/>
          <w:color w:val="auto"/>
          <w:sz w:val="28"/>
          <w:szCs w:val="28"/>
          <w:highlight w:val="none"/>
        </w:rPr>
        <w:sectPr>
          <w:pgSz w:w="11910" w:h="16840"/>
          <w:pgMar w:top="1319" w:right="1303" w:bottom="0" w:left="1786" w:header="0" w:footer="0" w:gutter="0"/>
          <w:cols w:space="720" w:num="1"/>
        </w:sectPr>
      </w:pPr>
      <w:r>
        <w:rPr>
          <w:rFonts w:hint="eastAsia" w:ascii="宋体" w:hAnsi="宋体" w:eastAsia="宋体" w:cs="宋体"/>
          <w:b/>
          <w:color w:val="auto"/>
          <w:sz w:val="32"/>
          <w:szCs w:val="32"/>
          <w:highlight w:val="none"/>
          <w:lang w:val="en-US" w:eastAsia="zh-CN"/>
        </w:rPr>
        <w:t>2026</w:t>
      </w:r>
      <w:r>
        <w:rPr>
          <w:rFonts w:hint="eastAsia" w:ascii="宋体" w:hAnsi="宋体" w:eastAsia="宋体" w:cs="宋体"/>
          <w:b/>
          <w:color w:val="auto"/>
          <w:sz w:val="32"/>
          <w:szCs w:val="32"/>
          <w:highlight w:val="none"/>
          <w:lang w:eastAsia="zh-CN"/>
        </w:rPr>
        <w:t>年</w:t>
      </w:r>
      <w:r>
        <w:rPr>
          <w:rFonts w:hint="eastAsia" w:ascii="宋体" w:hAnsi="宋体" w:eastAsia="宋体" w:cs="宋体"/>
          <w:b/>
          <w:color w:val="auto"/>
          <w:sz w:val="32"/>
          <w:szCs w:val="32"/>
          <w:highlight w:val="none"/>
          <w:lang w:val="en-US" w:eastAsia="zh-CN"/>
        </w:rPr>
        <w:t>8</w:t>
      </w:r>
      <w:r>
        <w:rPr>
          <w:rFonts w:hint="eastAsia" w:ascii="宋体" w:hAnsi="宋体" w:eastAsia="宋体" w:cs="宋体"/>
          <w:b/>
          <w:color w:val="auto"/>
          <w:sz w:val="32"/>
          <w:szCs w:val="32"/>
          <w:highlight w:val="none"/>
          <w:lang w:eastAsia="zh-CN"/>
        </w:rPr>
        <w:t>月</w:t>
      </w:r>
      <w:r>
        <w:rPr>
          <w:rFonts w:ascii="仿宋_GB2312" w:hAnsi="宋体" w:eastAsia="仿宋_GB2312"/>
          <w:b/>
          <w:color w:val="auto"/>
          <w:sz w:val="32"/>
          <w:szCs w:val="32"/>
          <w:highlight w:val="none"/>
        </w:rPr>
        <w:br w:type="page"/>
      </w:r>
    </w:p>
    <w:p w14:paraId="118F8185">
      <w:pPr>
        <w:pStyle w:val="4"/>
        <w:spacing w:line="291" w:lineRule="auto"/>
        <w:rPr>
          <w:color w:val="auto"/>
          <w:highlight w:val="none"/>
        </w:rPr>
      </w:pPr>
    </w:p>
    <w:p w14:paraId="1382F701">
      <w:pPr>
        <w:pStyle w:val="4"/>
        <w:spacing w:line="291" w:lineRule="auto"/>
        <w:rPr>
          <w:color w:val="auto"/>
          <w:highlight w:val="none"/>
        </w:rPr>
      </w:pPr>
    </w:p>
    <w:sdt>
      <w:sdtPr>
        <w:rPr>
          <w:rFonts w:ascii="宋体" w:hAnsi="宋体" w:eastAsia="宋体" w:cs="宋体"/>
          <w:color w:val="auto"/>
          <w:sz w:val="43"/>
          <w:szCs w:val="43"/>
          <w:highlight w:val="none"/>
        </w:rPr>
        <w:id w:val="1"/>
        <w:docPartObj>
          <w:docPartGallery w:val="Table of Contents"/>
          <w:docPartUnique/>
        </w:docPartObj>
      </w:sdtPr>
      <w:sdtEndPr>
        <w:rPr>
          <w:rFonts w:ascii="宋体" w:hAnsi="宋体" w:eastAsia="宋体" w:cs="宋体"/>
          <w:color w:val="auto"/>
          <w:sz w:val="24"/>
          <w:szCs w:val="24"/>
          <w:highlight w:val="none"/>
        </w:rPr>
      </w:sdtEndPr>
      <w:sdtContent>
        <w:p w14:paraId="7BBB5A02">
          <w:pPr>
            <w:spacing w:before="139" w:line="226" w:lineRule="auto"/>
            <w:ind w:left="3869"/>
            <w:rPr>
              <w:rFonts w:ascii="宋体" w:hAnsi="宋体" w:eastAsia="宋体" w:cs="宋体"/>
              <w:color w:val="auto"/>
              <w:sz w:val="43"/>
              <w:szCs w:val="43"/>
              <w:highlight w:val="none"/>
            </w:rPr>
          </w:pPr>
          <w:bookmarkStart w:id="2" w:name="bookmark1"/>
          <w:bookmarkEnd w:id="2"/>
          <w:r>
            <w:rPr>
              <w:rFonts w:ascii="宋体" w:hAnsi="宋体" w:eastAsia="宋体" w:cs="宋体"/>
              <w:b/>
              <w:bCs/>
              <w:color w:val="auto"/>
              <w:spacing w:val="-51"/>
              <w:sz w:val="43"/>
              <w:szCs w:val="43"/>
              <w:highlight w:val="none"/>
            </w:rPr>
            <w:t>目录</w:t>
          </w:r>
        </w:p>
        <w:p w14:paraId="517EE996">
          <w:pPr>
            <w:pStyle w:val="4"/>
            <w:spacing w:line="291" w:lineRule="auto"/>
            <w:rPr>
              <w:color w:val="auto"/>
              <w:highlight w:val="none"/>
            </w:rPr>
          </w:pPr>
        </w:p>
        <w:p w14:paraId="1F12B23E">
          <w:pPr>
            <w:pStyle w:val="4"/>
            <w:spacing w:line="292" w:lineRule="auto"/>
            <w:rPr>
              <w:color w:val="auto"/>
              <w:highlight w:val="none"/>
            </w:rPr>
          </w:pPr>
        </w:p>
        <w:p w14:paraId="7AE9AE96">
          <w:pPr>
            <w:tabs>
              <w:tab w:val="right" w:leader="dot" w:pos="8860"/>
            </w:tabs>
            <w:spacing w:before="78" w:line="185" w:lineRule="auto"/>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"bookmark2" </w:instrText>
          </w:r>
          <w:r>
            <w:rPr>
              <w:color w:val="auto"/>
              <w:highlight w:val="none"/>
            </w:rPr>
            <w:fldChar w:fldCharType="separate"/>
          </w:r>
          <w:r>
            <w:rPr>
              <w:rFonts w:ascii="宋体" w:hAnsi="宋体" w:eastAsia="宋体" w:cs="宋体"/>
              <w:b/>
              <w:bCs/>
              <w:color w:val="auto"/>
              <w:spacing w:val="-3"/>
              <w:sz w:val="24"/>
              <w:szCs w:val="24"/>
              <w:highlight w:val="none"/>
            </w:rPr>
            <w:t>第一章竞争性磋商公告</w:t>
          </w:r>
          <w:r>
            <w:rPr>
              <w:rFonts w:ascii="宋体" w:hAnsi="宋体" w:eastAsia="宋体" w:cs="宋体"/>
              <w:color w:val="auto"/>
              <w:sz w:val="24"/>
              <w:szCs w:val="24"/>
              <w:highlight w:val="none"/>
              <w14:textOutline w14:w="4354" w14:cap="flat" w14:cmpd="sng">
                <w14:solidFill>
                  <w14:srgbClr w14:val="000000"/>
                </w14:solidFill>
                <w14:prstDash w14:val="solid"/>
                <w14:miter w14:val="0"/>
              </w14:textOutline>
            </w:rPr>
            <w:tab/>
          </w:r>
          <w:r>
            <w:rPr>
              <w:rFonts w:ascii="宋体" w:hAnsi="宋体" w:eastAsia="宋体" w:cs="宋体"/>
              <w:b/>
              <w:bCs/>
              <w:color w:val="auto"/>
              <w:spacing w:val="-15"/>
              <w:sz w:val="24"/>
              <w:szCs w:val="24"/>
              <w:highlight w:val="none"/>
            </w:rPr>
            <w:t>2</w:t>
          </w:r>
          <w:r>
            <w:rPr>
              <w:rFonts w:ascii="宋体" w:hAnsi="宋体" w:eastAsia="宋体" w:cs="宋体"/>
              <w:b/>
              <w:bCs/>
              <w:color w:val="auto"/>
              <w:spacing w:val="-15"/>
              <w:sz w:val="24"/>
              <w:szCs w:val="24"/>
              <w:highlight w:val="none"/>
            </w:rPr>
            <w:fldChar w:fldCharType="end"/>
          </w:r>
        </w:p>
        <w:p w14:paraId="29110A9F">
          <w:pPr>
            <w:pStyle w:val="4"/>
            <w:spacing w:line="305" w:lineRule="auto"/>
            <w:rPr>
              <w:color w:val="auto"/>
              <w:highlight w:val="none"/>
            </w:rPr>
          </w:pPr>
        </w:p>
        <w:p w14:paraId="3FF1C902">
          <w:pPr>
            <w:pStyle w:val="4"/>
            <w:spacing w:line="306" w:lineRule="auto"/>
            <w:rPr>
              <w:color w:val="auto"/>
              <w:highlight w:val="none"/>
            </w:rPr>
          </w:pPr>
        </w:p>
        <w:p w14:paraId="5FD61186">
          <w:pPr>
            <w:tabs>
              <w:tab w:val="right" w:leader="dot" w:pos="8860"/>
            </w:tabs>
            <w:spacing w:before="78" w:line="185" w:lineRule="auto"/>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"bookmark3" </w:instrText>
          </w:r>
          <w:r>
            <w:rPr>
              <w:color w:val="auto"/>
              <w:highlight w:val="none"/>
            </w:rPr>
            <w:fldChar w:fldCharType="separate"/>
          </w:r>
          <w:r>
            <w:rPr>
              <w:rFonts w:ascii="宋体" w:hAnsi="宋体" w:eastAsia="宋体" w:cs="宋体"/>
              <w:b/>
              <w:bCs/>
              <w:color w:val="auto"/>
              <w:spacing w:val="-3"/>
              <w:sz w:val="24"/>
              <w:szCs w:val="24"/>
              <w:highlight w:val="none"/>
            </w:rPr>
            <w:t>第二章供应商须知</w:t>
          </w:r>
          <w:r>
            <w:rPr>
              <w:rFonts w:ascii="宋体" w:hAnsi="宋体" w:eastAsia="宋体" w:cs="宋体"/>
              <w:color w:val="auto"/>
              <w:sz w:val="24"/>
              <w:szCs w:val="24"/>
              <w:highlight w:val="none"/>
              <w14:textOutline w14:w="4354" w14:cap="flat" w14:cmpd="sng">
                <w14:solidFill>
                  <w14:srgbClr w14:val="000000"/>
                </w14:solidFill>
                <w14:prstDash w14:val="solid"/>
                <w14:miter w14:val="0"/>
              </w14:textOutline>
            </w:rPr>
            <w:tab/>
          </w:r>
          <w:r>
            <w:rPr>
              <w:rFonts w:ascii="宋体" w:hAnsi="宋体" w:eastAsia="宋体" w:cs="宋体"/>
              <w:b/>
              <w:bCs/>
              <w:color w:val="auto"/>
              <w:spacing w:val="-17"/>
              <w:sz w:val="24"/>
              <w:szCs w:val="24"/>
              <w:highlight w:val="none"/>
            </w:rPr>
            <w:t>5</w:t>
          </w:r>
          <w:r>
            <w:rPr>
              <w:rFonts w:ascii="宋体" w:hAnsi="宋体" w:eastAsia="宋体" w:cs="宋体"/>
              <w:b/>
              <w:bCs/>
              <w:color w:val="auto"/>
              <w:spacing w:val="-17"/>
              <w:sz w:val="24"/>
              <w:szCs w:val="24"/>
              <w:highlight w:val="none"/>
            </w:rPr>
            <w:fldChar w:fldCharType="end"/>
          </w:r>
        </w:p>
        <w:p w14:paraId="1766A63F">
          <w:pPr>
            <w:pStyle w:val="4"/>
            <w:spacing w:line="305" w:lineRule="auto"/>
            <w:rPr>
              <w:color w:val="auto"/>
              <w:highlight w:val="none"/>
            </w:rPr>
          </w:pPr>
        </w:p>
        <w:p w14:paraId="3D4A7B2D">
          <w:pPr>
            <w:pStyle w:val="4"/>
            <w:spacing w:line="306" w:lineRule="auto"/>
            <w:rPr>
              <w:color w:val="auto"/>
              <w:highlight w:val="none"/>
            </w:rPr>
          </w:pPr>
        </w:p>
        <w:p w14:paraId="43766C56">
          <w:pPr>
            <w:tabs>
              <w:tab w:val="right" w:leader="dot" w:pos="8860"/>
            </w:tabs>
            <w:spacing w:before="78" w:line="185" w:lineRule="auto"/>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"bookmark4" </w:instrText>
          </w:r>
          <w:r>
            <w:rPr>
              <w:color w:val="auto"/>
              <w:highlight w:val="none"/>
            </w:rPr>
            <w:fldChar w:fldCharType="separate"/>
          </w:r>
          <w:r>
            <w:rPr>
              <w:rFonts w:ascii="宋体" w:hAnsi="宋体" w:eastAsia="宋体" w:cs="宋体"/>
              <w:b/>
              <w:bCs/>
              <w:color w:val="auto"/>
              <w:spacing w:val="-3"/>
              <w:sz w:val="24"/>
              <w:szCs w:val="24"/>
              <w:highlight w:val="none"/>
            </w:rPr>
            <w:t>第三章采购需求</w:t>
          </w:r>
          <w:r>
            <w:rPr>
              <w:rFonts w:ascii="宋体" w:hAnsi="宋体" w:eastAsia="宋体" w:cs="宋体"/>
              <w:color w:val="auto"/>
              <w:sz w:val="24"/>
              <w:szCs w:val="24"/>
              <w:highlight w:val="none"/>
              <w14:textOutline w14:w="4354" w14:cap="flat" w14:cmpd="sng">
                <w14:solidFill>
                  <w14:srgbClr w14:val="000000"/>
                </w14:solidFill>
                <w14:prstDash w14:val="solid"/>
                <w14:miter w14:val="0"/>
              </w14:textOutline>
            </w:rPr>
            <w:tab/>
          </w:r>
          <w:r>
            <w:rPr>
              <w:rFonts w:ascii="宋体" w:hAnsi="宋体" w:eastAsia="宋体" w:cs="宋体"/>
              <w:b/>
              <w:bCs/>
              <w:color w:val="auto"/>
              <w:spacing w:val="-8"/>
              <w:sz w:val="24"/>
              <w:szCs w:val="24"/>
              <w:highlight w:val="none"/>
            </w:rPr>
            <w:t>22</w:t>
          </w:r>
          <w:r>
            <w:rPr>
              <w:rFonts w:ascii="宋体" w:hAnsi="宋体" w:eastAsia="宋体" w:cs="宋体"/>
              <w:b/>
              <w:bCs/>
              <w:color w:val="auto"/>
              <w:spacing w:val="-8"/>
              <w:sz w:val="24"/>
              <w:szCs w:val="24"/>
              <w:highlight w:val="none"/>
            </w:rPr>
            <w:fldChar w:fldCharType="end"/>
          </w:r>
        </w:p>
        <w:p w14:paraId="41933FC2">
          <w:pPr>
            <w:pStyle w:val="4"/>
            <w:spacing w:line="305" w:lineRule="auto"/>
            <w:rPr>
              <w:color w:val="auto"/>
              <w:highlight w:val="none"/>
            </w:rPr>
          </w:pPr>
        </w:p>
        <w:p w14:paraId="460DCA3F">
          <w:pPr>
            <w:pStyle w:val="4"/>
            <w:spacing w:line="306" w:lineRule="auto"/>
            <w:rPr>
              <w:color w:val="auto"/>
              <w:highlight w:val="none"/>
            </w:rPr>
          </w:pPr>
        </w:p>
        <w:p w14:paraId="4D182457">
          <w:pPr>
            <w:tabs>
              <w:tab w:val="right" w:leader="dot" w:pos="8860"/>
            </w:tabs>
            <w:spacing w:before="78" w:line="185" w:lineRule="auto"/>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"bookmark5" </w:instrText>
          </w:r>
          <w:r>
            <w:rPr>
              <w:color w:val="auto"/>
              <w:highlight w:val="none"/>
            </w:rPr>
            <w:fldChar w:fldCharType="separate"/>
          </w:r>
          <w:r>
            <w:rPr>
              <w:rFonts w:ascii="宋体" w:hAnsi="宋体" w:eastAsia="宋体" w:cs="宋体"/>
              <w:b/>
              <w:bCs/>
              <w:color w:val="auto"/>
              <w:spacing w:val="-3"/>
              <w:sz w:val="24"/>
              <w:szCs w:val="24"/>
              <w:highlight w:val="none"/>
            </w:rPr>
            <w:t>第四章评审程序、评审方法和评审标准</w:t>
          </w:r>
          <w:r>
            <w:rPr>
              <w:rFonts w:ascii="宋体" w:hAnsi="宋体" w:eastAsia="宋体" w:cs="宋体"/>
              <w:color w:val="auto"/>
              <w:sz w:val="24"/>
              <w:szCs w:val="24"/>
              <w:highlight w:val="none"/>
              <w14:textOutline w14:w="4354" w14:cap="flat" w14:cmpd="sng">
                <w14:solidFill>
                  <w14:srgbClr w14:val="000000"/>
                </w14:solidFill>
                <w14:prstDash w14:val="solid"/>
                <w14:miter w14:val="0"/>
              </w14:textOutline>
            </w:rPr>
            <w:tab/>
          </w:r>
          <w:r>
            <w:rPr>
              <w:rFonts w:ascii="宋体" w:hAnsi="宋体" w:eastAsia="宋体" w:cs="宋体"/>
              <w:b/>
              <w:bCs/>
              <w:color w:val="auto"/>
              <w:spacing w:val="-8"/>
              <w:sz w:val="24"/>
              <w:szCs w:val="24"/>
              <w:highlight w:val="none"/>
            </w:rPr>
            <w:t>27</w:t>
          </w:r>
          <w:r>
            <w:rPr>
              <w:rFonts w:ascii="宋体" w:hAnsi="宋体" w:eastAsia="宋体" w:cs="宋体"/>
              <w:b/>
              <w:bCs/>
              <w:color w:val="auto"/>
              <w:spacing w:val="-8"/>
              <w:sz w:val="24"/>
              <w:szCs w:val="24"/>
              <w:highlight w:val="none"/>
            </w:rPr>
            <w:fldChar w:fldCharType="end"/>
          </w:r>
        </w:p>
        <w:p w14:paraId="126E377C">
          <w:pPr>
            <w:pStyle w:val="4"/>
            <w:spacing w:line="305" w:lineRule="auto"/>
            <w:rPr>
              <w:color w:val="auto"/>
              <w:highlight w:val="none"/>
            </w:rPr>
          </w:pPr>
        </w:p>
        <w:p w14:paraId="4B81502A">
          <w:pPr>
            <w:pStyle w:val="4"/>
            <w:spacing w:line="306" w:lineRule="auto"/>
            <w:rPr>
              <w:color w:val="auto"/>
              <w:highlight w:val="none"/>
            </w:rPr>
          </w:pPr>
        </w:p>
        <w:p w14:paraId="4E79A526">
          <w:pPr>
            <w:tabs>
              <w:tab w:val="right" w:leader="dot" w:pos="8860"/>
            </w:tabs>
            <w:spacing w:before="79" w:line="185" w:lineRule="auto"/>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"bookmark6" </w:instrText>
          </w:r>
          <w:r>
            <w:rPr>
              <w:color w:val="auto"/>
              <w:highlight w:val="none"/>
            </w:rPr>
            <w:fldChar w:fldCharType="separate"/>
          </w:r>
          <w:r>
            <w:rPr>
              <w:rFonts w:ascii="宋体" w:hAnsi="宋体" w:eastAsia="宋体" w:cs="宋体"/>
              <w:b/>
              <w:bCs/>
              <w:color w:val="auto"/>
              <w:spacing w:val="-6"/>
              <w:sz w:val="24"/>
              <w:szCs w:val="24"/>
              <w:highlight w:val="none"/>
            </w:rPr>
            <w:t>第五章响应文件格式</w:t>
          </w:r>
          <w:r>
            <w:rPr>
              <w:rFonts w:ascii="宋体" w:hAnsi="宋体" w:eastAsia="宋体" w:cs="宋体"/>
              <w:color w:val="auto"/>
              <w:sz w:val="24"/>
              <w:szCs w:val="24"/>
              <w:highlight w:val="none"/>
              <w14:textOutline w14:w="4354" w14:cap="flat" w14:cmpd="sng">
                <w14:solidFill>
                  <w14:srgbClr w14:val="000000"/>
                </w14:solidFill>
                <w14:prstDash w14:val="solid"/>
                <w14:miter w14:val="0"/>
              </w14:textOutline>
            </w:rPr>
            <w:tab/>
          </w:r>
          <w:r>
            <w:rPr>
              <w:rFonts w:ascii="宋体" w:hAnsi="宋体" w:eastAsia="宋体" w:cs="宋体"/>
              <w:b/>
              <w:bCs/>
              <w:color w:val="auto"/>
              <w:spacing w:val="-9"/>
              <w:sz w:val="24"/>
              <w:szCs w:val="24"/>
              <w:highlight w:val="none"/>
            </w:rPr>
            <w:t>34</w:t>
          </w:r>
          <w:r>
            <w:rPr>
              <w:rFonts w:ascii="宋体" w:hAnsi="宋体" w:eastAsia="宋体" w:cs="宋体"/>
              <w:b/>
              <w:bCs/>
              <w:color w:val="auto"/>
              <w:spacing w:val="-9"/>
              <w:sz w:val="24"/>
              <w:szCs w:val="24"/>
              <w:highlight w:val="none"/>
            </w:rPr>
            <w:fldChar w:fldCharType="end"/>
          </w:r>
        </w:p>
        <w:p w14:paraId="0FB470D6">
          <w:pPr>
            <w:pStyle w:val="4"/>
            <w:spacing w:line="305" w:lineRule="auto"/>
            <w:rPr>
              <w:color w:val="auto"/>
              <w:highlight w:val="none"/>
            </w:rPr>
          </w:pPr>
        </w:p>
        <w:p w14:paraId="0BB06B19">
          <w:pPr>
            <w:pStyle w:val="4"/>
            <w:spacing w:line="306" w:lineRule="auto"/>
            <w:rPr>
              <w:color w:val="auto"/>
              <w:highlight w:val="none"/>
            </w:rPr>
          </w:pPr>
        </w:p>
        <w:p w14:paraId="0F70D32B">
          <w:pPr>
            <w:tabs>
              <w:tab w:val="right" w:leader="dot" w:pos="8860"/>
            </w:tabs>
            <w:spacing w:before="78" w:line="219" w:lineRule="auto"/>
            <w:rPr>
              <w:rFonts w:ascii="宋体" w:hAnsi="宋体" w:eastAsia="宋体" w:cs="宋体"/>
              <w:color w:val="auto"/>
              <w:sz w:val="24"/>
              <w:szCs w:val="24"/>
              <w:highlight w:val="none"/>
            </w:rPr>
          </w:pPr>
          <w:r>
            <w:rPr>
              <w:color w:val="auto"/>
              <w:highlight w:val="none"/>
            </w:rPr>
            <w:fldChar w:fldCharType="begin"/>
          </w:r>
          <w:r>
            <w:rPr>
              <w:color w:val="auto"/>
              <w:highlight w:val="none"/>
            </w:rPr>
            <w:instrText xml:space="preserve"> HYPERLINK \l "bookmark7" </w:instrText>
          </w:r>
          <w:r>
            <w:rPr>
              <w:color w:val="auto"/>
              <w:highlight w:val="none"/>
            </w:rPr>
            <w:fldChar w:fldCharType="separate"/>
          </w:r>
          <w:r>
            <w:rPr>
              <w:rFonts w:ascii="宋体" w:hAnsi="宋体" w:eastAsia="宋体" w:cs="宋体"/>
              <w:b/>
              <w:bCs/>
              <w:color w:val="auto"/>
              <w:spacing w:val="-3"/>
              <w:sz w:val="24"/>
              <w:szCs w:val="24"/>
              <w:highlight w:val="none"/>
            </w:rPr>
            <w:t>第六章合同文本</w:t>
          </w:r>
          <w:r>
            <w:rPr>
              <w:rFonts w:ascii="宋体" w:hAnsi="宋体" w:eastAsia="宋体" w:cs="宋体"/>
              <w:color w:val="auto"/>
              <w:sz w:val="24"/>
              <w:szCs w:val="24"/>
              <w:highlight w:val="none"/>
              <w14:textOutline w14:w="4354" w14:cap="flat" w14:cmpd="sng">
                <w14:solidFill>
                  <w14:srgbClr w14:val="000000"/>
                </w14:solidFill>
                <w14:prstDash w14:val="solid"/>
                <w14:miter w14:val="0"/>
              </w14:textOutline>
            </w:rPr>
            <w:tab/>
          </w:r>
          <w:r>
            <w:rPr>
              <w:rFonts w:ascii="宋体" w:hAnsi="宋体" w:eastAsia="宋体" w:cs="宋体"/>
              <w:b/>
              <w:bCs/>
              <w:color w:val="auto"/>
              <w:spacing w:val="-7"/>
              <w:sz w:val="24"/>
              <w:szCs w:val="24"/>
              <w:highlight w:val="none"/>
            </w:rPr>
            <w:t>61</w:t>
          </w:r>
          <w:r>
            <w:rPr>
              <w:rFonts w:ascii="宋体" w:hAnsi="宋体" w:eastAsia="宋体" w:cs="宋体"/>
              <w:b/>
              <w:bCs/>
              <w:color w:val="auto"/>
              <w:spacing w:val="-7"/>
              <w:sz w:val="24"/>
              <w:szCs w:val="24"/>
              <w:highlight w:val="none"/>
            </w:rPr>
            <w:fldChar w:fldCharType="end"/>
          </w:r>
        </w:p>
      </w:sdtContent>
    </w:sdt>
    <w:p w14:paraId="798A7235">
      <w:pPr>
        <w:spacing w:line="219" w:lineRule="auto"/>
        <w:rPr>
          <w:rFonts w:ascii="宋体" w:hAnsi="宋体" w:eastAsia="宋体" w:cs="宋体"/>
          <w:color w:val="auto"/>
          <w:sz w:val="24"/>
          <w:szCs w:val="24"/>
          <w:highlight w:val="none"/>
        </w:rPr>
        <w:sectPr>
          <w:footerReference r:id="rId5" w:type="default"/>
          <w:pgSz w:w="11907" w:h="16839"/>
          <w:pgMar w:top="1431" w:right="1450" w:bottom="1154" w:left="1596" w:header="0" w:footer="952" w:gutter="0"/>
          <w:cols w:space="720" w:num="1"/>
        </w:sectPr>
      </w:pPr>
    </w:p>
    <w:p w14:paraId="262E4E4B">
      <w:pPr>
        <w:spacing w:before="140" w:line="222" w:lineRule="auto"/>
        <w:ind w:left="2304"/>
        <w:outlineLvl w:val="0"/>
        <w:rPr>
          <w:rFonts w:ascii="宋体" w:hAnsi="宋体" w:eastAsia="宋体" w:cs="宋体"/>
          <w:color w:val="auto"/>
          <w:sz w:val="43"/>
          <w:szCs w:val="43"/>
          <w:highlight w:val="none"/>
        </w:rPr>
      </w:pPr>
      <w:bookmarkStart w:id="3" w:name="bookmark1"/>
      <w:bookmarkEnd w:id="3"/>
      <w:r>
        <w:rPr>
          <w:rFonts w:ascii="宋体" w:hAnsi="宋体" w:eastAsia="宋体" w:cs="宋体"/>
          <w:b/>
          <w:bCs/>
          <w:color w:val="auto"/>
          <w:spacing w:val="5"/>
          <w:sz w:val="43"/>
          <w:szCs w:val="43"/>
          <w:highlight w:val="none"/>
        </w:rPr>
        <w:t>第一章竞争性磋商公告</w:t>
      </w:r>
    </w:p>
    <w:p w14:paraId="447C74F2">
      <w:pPr>
        <w:pStyle w:val="4"/>
        <w:spacing w:line="265" w:lineRule="auto"/>
        <w:rPr>
          <w:color w:val="auto"/>
          <w:highlight w:val="none"/>
        </w:rPr>
      </w:pPr>
    </w:p>
    <w:p w14:paraId="1B3B6B4A">
      <w:pPr>
        <w:spacing w:before="100" w:line="224" w:lineRule="auto"/>
        <w:ind w:left="3496"/>
        <w:rPr>
          <w:rFonts w:ascii="宋体" w:hAnsi="宋体" w:eastAsia="宋体" w:cs="宋体"/>
          <w:color w:val="auto"/>
          <w:sz w:val="31"/>
          <w:szCs w:val="31"/>
          <w:highlight w:val="none"/>
        </w:rPr>
      </w:pPr>
      <w:r>
        <w:rPr>
          <w:rFonts w:ascii="宋体" w:hAnsi="宋体" w:eastAsia="宋体" w:cs="宋体"/>
          <w:b/>
          <w:bCs/>
          <w:color w:val="auto"/>
          <w:spacing w:val="5"/>
          <w:sz w:val="31"/>
          <w:szCs w:val="31"/>
          <w:highlight w:val="none"/>
        </w:rPr>
        <w:t>竞争性磋商公告</w:t>
      </w:r>
    </w:p>
    <w:p w14:paraId="18FBB4D8">
      <w:pPr>
        <w:spacing w:before="149"/>
        <w:rPr>
          <w:color w:val="auto"/>
          <w:highlight w:val="none"/>
        </w:rPr>
      </w:pPr>
    </w:p>
    <w:tbl>
      <w:tblPr>
        <w:tblStyle w:val="11"/>
        <w:tblW w:w="9207"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07"/>
      </w:tblGrid>
      <w:tr w14:paraId="123C2339">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682" w:hRule="atLeast"/>
        </w:trPr>
        <w:tc>
          <w:tcPr>
            <w:tcW w:w="9207" w:type="dxa"/>
            <w:vAlign w:val="top"/>
          </w:tcPr>
          <w:p w14:paraId="5A65C4C2">
            <w:pPr>
              <w:pStyle w:val="12"/>
              <w:spacing w:before="53" w:line="221" w:lineRule="auto"/>
              <w:ind w:left="544"/>
              <w:rPr>
                <w:color w:val="auto"/>
                <w:highlight w:val="none"/>
              </w:rPr>
            </w:pPr>
            <w:r>
              <w:rPr>
                <w:color w:val="auto"/>
                <w:spacing w:val="-3"/>
                <w:highlight w:val="none"/>
              </w:rPr>
              <w:t>项目概况</w:t>
            </w:r>
          </w:p>
          <w:p w14:paraId="32299174">
            <w:pPr>
              <w:pStyle w:val="12"/>
              <w:spacing w:before="156" w:line="355" w:lineRule="auto"/>
              <w:ind w:left="121" w:right="111" w:firstLine="419"/>
              <w:rPr>
                <w:color w:val="auto"/>
                <w:highlight w:val="none"/>
              </w:rPr>
            </w:pPr>
            <w:r>
              <w:rPr>
                <w:rFonts w:hint="eastAsia"/>
                <w:color w:val="auto"/>
                <w:spacing w:val="13"/>
                <w:highlight w:val="none"/>
                <w:u w:val="single" w:color="auto"/>
                <w:lang w:eastAsia="zh-CN"/>
              </w:rPr>
              <w:t>北流市2026年财政常态化帮扶资金项目复核验收服务</w:t>
            </w:r>
            <w:r>
              <w:rPr>
                <w:color w:val="auto"/>
                <w:spacing w:val="13"/>
                <w:highlight w:val="none"/>
              </w:rPr>
              <w:t>项目的潜在供应商应在广西政府采购云平台</w:t>
            </w:r>
            <w:r>
              <w:rPr>
                <w:color w:val="auto"/>
                <w:spacing w:val="-3"/>
                <w:highlight w:val="none"/>
              </w:rPr>
              <w:t>（</w:t>
            </w:r>
            <w:r>
              <w:rPr>
                <w:color w:val="auto"/>
                <w:highlight w:val="none"/>
              </w:rPr>
              <w:fldChar w:fldCharType="begin"/>
            </w:r>
            <w:r>
              <w:rPr>
                <w:color w:val="auto"/>
                <w:highlight w:val="none"/>
              </w:rPr>
              <w:instrText xml:space="preserve"> HYPERLINK "https://www.gcy.zfcg.gxzf.gov.cn/" </w:instrText>
            </w:r>
            <w:r>
              <w:rPr>
                <w:color w:val="auto"/>
                <w:highlight w:val="none"/>
              </w:rPr>
              <w:fldChar w:fldCharType="separate"/>
            </w:r>
            <w:r>
              <w:rPr>
                <w:color w:val="auto"/>
                <w:spacing w:val="-3"/>
                <w:highlight w:val="none"/>
              </w:rPr>
              <w:t>https://www.gcy.zfcg.gxzf.gov.cn/</w:t>
            </w:r>
            <w:r>
              <w:rPr>
                <w:color w:val="auto"/>
                <w:spacing w:val="-3"/>
                <w:highlight w:val="none"/>
              </w:rPr>
              <w:fldChar w:fldCharType="end"/>
            </w:r>
            <w:r>
              <w:rPr>
                <w:color w:val="auto"/>
                <w:spacing w:val="-3"/>
                <w:highlight w:val="none"/>
              </w:rPr>
              <w:t>）获取</w:t>
            </w:r>
            <w:r>
              <w:rPr>
                <w:rFonts w:hint="eastAsia"/>
                <w:color w:val="auto"/>
                <w:spacing w:val="-3"/>
                <w:highlight w:val="none"/>
                <w:lang w:val="en-US" w:eastAsia="zh-CN"/>
              </w:rPr>
              <w:t>采购</w:t>
            </w:r>
            <w:r>
              <w:rPr>
                <w:color w:val="auto"/>
                <w:spacing w:val="-3"/>
                <w:highlight w:val="none"/>
              </w:rPr>
              <w:t>文件，并于</w:t>
            </w:r>
            <w:r>
              <w:rPr>
                <w:rFonts w:hint="eastAsia"/>
                <w:color w:val="auto"/>
                <w:spacing w:val="-3"/>
                <w:highlight w:val="none"/>
                <w:u w:val="single"/>
                <w:lang w:eastAsia="zh-CN"/>
              </w:rPr>
              <w:t>2026年9月17日09:00</w:t>
            </w:r>
            <w:r>
              <w:rPr>
                <w:color w:val="auto"/>
                <w:spacing w:val="-3"/>
                <w:highlight w:val="none"/>
              </w:rPr>
              <w:t>（</w:t>
            </w:r>
            <w:r>
              <w:rPr>
                <w:color w:val="auto"/>
                <w:spacing w:val="-2"/>
                <w:highlight w:val="none"/>
              </w:rPr>
              <w:t>北京时间）前提交响应文件。</w:t>
            </w:r>
          </w:p>
        </w:tc>
      </w:tr>
    </w:tbl>
    <w:p w14:paraId="518CE4CB">
      <w:pPr>
        <w:pStyle w:val="4"/>
        <w:spacing w:line="361" w:lineRule="auto"/>
        <w:rPr>
          <w:color w:val="auto"/>
          <w:highlight w:val="none"/>
        </w:rPr>
      </w:pPr>
    </w:p>
    <w:p w14:paraId="21679D88">
      <w:pPr>
        <w:spacing w:before="78" w:line="219" w:lineRule="auto"/>
        <w:ind w:left="487"/>
        <w:rPr>
          <w:rFonts w:ascii="黑体" w:hAnsi="黑体" w:eastAsia="黑体" w:cs="黑体"/>
          <w:color w:val="auto"/>
          <w:sz w:val="24"/>
          <w:szCs w:val="24"/>
          <w:highlight w:val="none"/>
        </w:rPr>
      </w:pPr>
      <w:r>
        <w:rPr>
          <w:rFonts w:ascii="黑体" w:hAnsi="黑体" w:eastAsia="黑体" w:cs="黑体"/>
          <w:b/>
          <w:bCs/>
          <w:color w:val="auto"/>
          <w:spacing w:val="-5"/>
          <w:sz w:val="24"/>
          <w:szCs w:val="24"/>
          <w:highlight w:val="none"/>
        </w:rPr>
        <w:t>一、项目基本情况</w:t>
      </w:r>
    </w:p>
    <w:p w14:paraId="6B08E1A1">
      <w:pPr>
        <w:spacing w:before="20" w:line="221" w:lineRule="auto"/>
        <w:ind w:left="549"/>
        <w:rPr>
          <w:rFonts w:hint="eastAsia" w:ascii="宋体" w:hAnsi="宋体" w:eastAsia="宋体" w:cs="宋体"/>
          <w:color w:val="auto"/>
          <w:sz w:val="21"/>
          <w:szCs w:val="21"/>
          <w:highlight w:val="none"/>
          <w:lang w:eastAsia="zh-CN"/>
        </w:rPr>
      </w:pPr>
      <w:r>
        <w:rPr>
          <w:rFonts w:ascii="宋体" w:hAnsi="宋体" w:eastAsia="宋体" w:cs="宋体"/>
          <w:color w:val="auto"/>
          <w:spacing w:val="-1"/>
          <w:sz w:val="21"/>
          <w:szCs w:val="21"/>
          <w:highlight w:val="none"/>
        </w:rPr>
        <w:t>项目编号：</w:t>
      </w:r>
      <w:r>
        <w:rPr>
          <w:rFonts w:hint="eastAsia" w:ascii="宋体" w:hAnsi="宋体" w:eastAsia="宋体" w:cs="宋体"/>
          <w:color w:val="auto"/>
          <w:spacing w:val="-1"/>
          <w:sz w:val="21"/>
          <w:szCs w:val="21"/>
          <w:highlight w:val="none"/>
          <w:lang w:eastAsia="zh-CN"/>
        </w:rPr>
        <w:t>YLZC2026-C3-810155-GXYZ</w:t>
      </w:r>
    </w:p>
    <w:p w14:paraId="754F30A4">
      <w:pPr>
        <w:spacing w:before="159" w:line="220" w:lineRule="auto"/>
        <w:ind w:left="549"/>
        <w:rPr>
          <w:rFonts w:hint="eastAsia" w:ascii="宋体" w:hAnsi="宋体" w:eastAsia="宋体" w:cs="宋体"/>
          <w:color w:val="auto"/>
          <w:sz w:val="21"/>
          <w:szCs w:val="21"/>
          <w:highlight w:val="none"/>
          <w:lang w:eastAsia="zh-CN"/>
        </w:rPr>
      </w:pPr>
      <w:r>
        <w:rPr>
          <w:rFonts w:ascii="宋体" w:hAnsi="宋体" w:eastAsia="宋体" w:cs="宋体"/>
          <w:color w:val="auto"/>
          <w:spacing w:val="-2"/>
          <w:sz w:val="21"/>
          <w:szCs w:val="21"/>
          <w:highlight w:val="none"/>
        </w:rPr>
        <w:t>项目名称：</w:t>
      </w:r>
      <w:r>
        <w:rPr>
          <w:rFonts w:hint="eastAsia" w:ascii="宋体" w:hAnsi="宋体" w:eastAsia="宋体" w:cs="宋体"/>
          <w:color w:val="auto"/>
          <w:spacing w:val="-2"/>
          <w:sz w:val="21"/>
          <w:szCs w:val="21"/>
          <w:highlight w:val="none"/>
          <w:lang w:eastAsia="zh-CN"/>
        </w:rPr>
        <w:t>北流市2026年财政常态化帮扶资金项目复核验收服务</w:t>
      </w:r>
    </w:p>
    <w:p w14:paraId="57F6335E">
      <w:pPr>
        <w:spacing w:before="158" w:line="220" w:lineRule="auto"/>
        <w:ind w:left="54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采购方式：竞争性磋商</w:t>
      </w:r>
    </w:p>
    <w:p w14:paraId="683378B9">
      <w:pPr>
        <w:spacing w:before="157" w:line="221" w:lineRule="auto"/>
        <w:ind w:left="547"/>
        <w:rPr>
          <w:rFonts w:hint="default" w:ascii="宋体" w:hAnsi="宋体" w:eastAsia="宋体" w:cs="宋体"/>
          <w:color w:val="auto"/>
          <w:sz w:val="21"/>
          <w:szCs w:val="21"/>
          <w:highlight w:val="none"/>
          <w:lang w:val="en-US" w:eastAsia="zh-CN"/>
        </w:rPr>
      </w:pPr>
      <w:r>
        <w:rPr>
          <w:rFonts w:ascii="宋体" w:hAnsi="宋体" w:eastAsia="宋体" w:cs="宋体"/>
          <w:color w:val="auto"/>
          <w:spacing w:val="-2"/>
          <w:sz w:val="21"/>
          <w:szCs w:val="21"/>
          <w:highlight w:val="none"/>
        </w:rPr>
        <w:t>预算总金额（元</w:t>
      </w:r>
      <w:r>
        <w:rPr>
          <w:rFonts w:ascii="宋体" w:hAnsi="宋体" w:eastAsia="宋体" w:cs="宋体"/>
          <w:color w:val="auto"/>
          <w:spacing w:val="11"/>
          <w:sz w:val="21"/>
          <w:szCs w:val="21"/>
          <w:highlight w:val="none"/>
        </w:rPr>
        <w:t>）：</w:t>
      </w:r>
      <w:r>
        <w:rPr>
          <w:rFonts w:hint="eastAsia" w:ascii="宋体" w:hAnsi="宋体" w:eastAsia="宋体" w:cs="宋体"/>
          <w:color w:val="auto"/>
          <w:spacing w:val="-2"/>
          <w:sz w:val="21"/>
          <w:szCs w:val="21"/>
          <w:highlight w:val="none"/>
          <w:lang w:eastAsia="zh-CN"/>
        </w:rPr>
        <w:t>1384192.23</w:t>
      </w:r>
    </w:p>
    <w:p w14:paraId="0E75A2FE">
      <w:pPr>
        <w:spacing w:before="157" w:line="220" w:lineRule="auto"/>
        <w:ind w:left="544"/>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采购需求：</w:t>
      </w:r>
    </w:p>
    <w:p w14:paraId="0D435F3E">
      <w:pPr>
        <w:spacing w:before="251" w:line="220" w:lineRule="auto"/>
        <w:ind w:left="546"/>
        <w:rPr>
          <w:rFonts w:hint="eastAsia" w:ascii="宋体" w:hAnsi="宋体" w:eastAsia="宋体" w:cs="宋体"/>
          <w:color w:val="auto"/>
          <w:sz w:val="21"/>
          <w:szCs w:val="21"/>
          <w:highlight w:val="none"/>
          <w:lang w:eastAsia="zh-CN"/>
        </w:rPr>
      </w:pPr>
      <w:r>
        <w:rPr>
          <w:rFonts w:ascii="宋体" w:hAnsi="宋体" w:eastAsia="宋体" w:cs="宋体"/>
          <w:color w:val="auto"/>
          <w:spacing w:val="-1"/>
          <w:sz w:val="21"/>
          <w:szCs w:val="21"/>
          <w:highlight w:val="none"/>
        </w:rPr>
        <w:t>标项名称:</w:t>
      </w:r>
      <w:r>
        <w:rPr>
          <w:rFonts w:hint="eastAsia" w:ascii="宋体" w:hAnsi="宋体" w:eastAsia="宋体" w:cs="宋体"/>
          <w:color w:val="auto"/>
          <w:spacing w:val="-1"/>
          <w:sz w:val="21"/>
          <w:szCs w:val="21"/>
          <w:highlight w:val="none"/>
          <w:lang w:eastAsia="zh-CN"/>
        </w:rPr>
        <w:t>北流市2026年财政常态化帮扶资金项目复核验收服务</w:t>
      </w:r>
    </w:p>
    <w:p w14:paraId="7719FD23">
      <w:pPr>
        <w:spacing w:before="132" w:line="221" w:lineRule="auto"/>
        <w:ind w:left="547"/>
        <w:rPr>
          <w:rFonts w:hint="eastAsia" w:ascii="宋体" w:hAnsi="宋体" w:eastAsia="宋体" w:cs="宋体"/>
          <w:color w:val="auto"/>
          <w:sz w:val="21"/>
          <w:szCs w:val="21"/>
          <w:highlight w:val="none"/>
          <w:lang w:eastAsia="zh-CN"/>
        </w:rPr>
      </w:pPr>
      <w:r>
        <w:rPr>
          <w:rFonts w:ascii="宋体" w:hAnsi="宋体" w:eastAsia="宋体" w:cs="宋体"/>
          <w:color w:val="auto"/>
          <w:spacing w:val="-2"/>
          <w:sz w:val="21"/>
          <w:szCs w:val="21"/>
          <w:highlight w:val="none"/>
        </w:rPr>
        <w:t>数量:</w:t>
      </w:r>
      <w:r>
        <w:rPr>
          <w:rFonts w:hint="eastAsia" w:ascii="宋体" w:hAnsi="宋体" w:eastAsia="宋体" w:cs="宋体"/>
          <w:color w:val="auto"/>
          <w:spacing w:val="-2"/>
          <w:sz w:val="21"/>
          <w:szCs w:val="21"/>
          <w:highlight w:val="none"/>
          <w:lang w:eastAsia="zh-CN"/>
        </w:rPr>
        <w:t>1项</w:t>
      </w:r>
    </w:p>
    <w:p w14:paraId="4F4600AB">
      <w:pPr>
        <w:spacing w:before="128" w:line="221" w:lineRule="auto"/>
        <w:ind w:left="547"/>
        <w:rPr>
          <w:rFonts w:hint="default" w:ascii="宋体" w:hAnsi="宋体" w:eastAsia="宋体" w:cs="宋体"/>
          <w:color w:val="auto"/>
          <w:sz w:val="21"/>
          <w:szCs w:val="21"/>
          <w:highlight w:val="none"/>
          <w:lang w:val="en-US" w:eastAsia="zh-CN"/>
        </w:rPr>
      </w:pPr>
      <w:r>
        <w:rPr>
          <w:rFonts w:ascii="宋体" w:hAnsi="宋体" w:eastAsia="宋体" w:cs="宋体"/>
          <w:color w:val="auto"/>
          <w:spacing w:val="-5"/>
          <w:sz w:val="21"/>
          <w:szCs w:val="21"/>
          <w:highlight w:val="none"/>
        </w:rPr>
        <w:t>预算金额（元）:</w:t>
      </w:r>
      <w:r>
        <w:rPr>
          <w:rFonts w:hint="eastAsia" w:ascii="宋体" w:hAnsi="宋体" w:eastAsia="宋体" w:cs="宋体"/>
          <w:color w:val="auto"/>
          <w:spacing w:val="-5"/>
          <w:sz w:val="21"/>
          <w:szCs w:val="21"/>
          <w:highlight w:val="none"/>
          <w:lang w:eastAsia="zh-CN"/>
        </w:rPr>
        <w:t>1384192.23</w:t>
      </w:r>
    </w:p>
    <w:p w14:paraId="1765B261">
      <w:pPr>
        <w:spacing w:before="129" w:line="334" w:lineRule="auto"/>
        <w:ind w:left="54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简要规格描述或项目基本概况介绍、用途：</w:t>
      </w:r>
      <w:r>
        <w:rPr>
          <w:rFonts w:hint="eastAsia" w:ascii="宋体" w:hAnsi="宋体" w:eastAsia="宋体" w:cs="宋体"/>
          <w:color w:val="auto"/>
          <w:highlight w:val="none"/>
          <w:lang w:val="en-US" w:eastAsia="zh-CN"/>
        </w:rPr>
        <w:t>本项目为北流市2026年财政常态化帮扶资金项目复核验收服务，主要开展工程量复核、工程质量检测验收服务。服务</w:t>
      </w:r>
      <w:r>
        <w:rPr>
          <w:rFonts w:hint="eastAsia" w:cs="宋体"/>
          <w:color w:val="auto"/>
          <w:highlight w:val="none"/>
          <w:lang w:val="en-US" w:eastAsia="zh-CN"/>
        </w:rPr>
        <w:t>项目建设内容</w:t>
      </w:r>
      <w:r>
        <w:rPr>
          <w:rFonts w:hint="eastAsia" w:ascii="宋体" w:hAnsi="宋体" w:eastAsia="宋体" w:cs="宋体"/>
          <w:color w:val="auto"/>
          <w:highlight w:val="none"/>
          <w:lang w:val="en-US" w:eastAsia="zh-CN"/>
        </w:rPr>
        <w:t>涉及厂房</w:t>
      </w:r>
      <w:r>
        <w:rPr>
          <w:rFonts w:hint="eastAsia" w:cs="宋体"/>
          <w:color w:val="auto"/>
          <w:highlight w:val="none"/>
          <w:lang w:val="en-US" w:eastAsia="zh-CN"/>
        </w:rPr>
        <w:t>建设项目</w:t>
      </w:r>
      <w:r>
        <w:rPr>
          <w:rFonts w:hint="eastAsia" w:ascii="宋体" w:hAnsi="宋体" w:eastAsia="宋体" w:cs="宋体"/>
          <w:color w:val="auto"/>
          <w:highlight w:val="none"/>
          <w:lang w:val="en-US" w:eastAsia="zh-CN"/>
        </w:rPr>
        <w:t>、道路</w:t>
      </w:r>
      <w:r>
        <w:rPr>
          <w:rFonts w:hint="eastAsia" w:cs="宋体"/>
          <w:color w:val="auto"/>
          <w:highlight w:val="none"/>
          <w:lang w:val="en-US" w:eastAsia="zh-CN"/>
        </w:rPr>
        <w:t>维修、硬化项目</w:t>
      </w:r>
      <w:r>
        <w:rPr>
          <w:rFonts w:hint="eastAsia" w:ascii="宋体" w:hAnsi="宋体" w:eastAsia="宋体" w:cs="宋体"/>
          <w:color w:val="auto"/>
          <w:highlight w:val="none"/>
          <w:lang w:val="en-US" w:eastAsia="zh-CN"/>
        </w:rPr>
        <w:t>、</w:t>
      </w:r>
      <w:r>
        <w:rPr>
          <w:rFonts w:hint="eastAsia" w:cs="宋体"/>
          <w:color w:val="auto"/>
          <w:highlight w:val="none"/>
          <w:lang w:val="en-US" w:eastAsia="zh-CN"/>
        </w:rPr>
        <w:t>公共照明项目、桥梁建设项目</w:t>
      </w:r>
      <w:r>
        <w:rPr>
          <w:rFonts w:hint="eastAsia" w:ascii="宋体" w:hAnsi="宋体" w:eastAsia="宋体" w:cs="宋体"/>
          <w:color w:val="auto"/>
          <w:highlight w:val="none"/>
          <w:lang w:val="en-US" w:eastAsia="zh-CN"/>
        </w:rPr>
        <w:t>、</w:t>
      </w:r>
      <w:r>
        <w:rPr>
          <w:rFonts w:hint="eastAsia" w:cs="宋体"/>
          <w:color w:val="auto"/>
          <w:highlight w:val="none"/>
          <w:lang w:val="en-US" w:eastAsia="zh-CN"/>
        </w:rPr>
        <w:t>人饮工程、水利建设</w:t>
      </w:r>
      <w:r>
        <w:rPr>
          <w:rFonts w:hint="eastAsia" w:ascii="宋体" w:hAnsi="宋体" w:eastAsia="宋体" w:cs="宋体"/>
          <w:color w:val="auto"/>
          <w:highlight w:val="none"/>
          <w:lang w:val="en-US" w:eastAsia="zh-CN"/>
        </w:rPr>
        <w:t>项目</w:t>
      </w:r>
      <w:r>
        <w:rPr>
          <w:rFonts w:hint="eastAsia" w:cs="宋体"/>
          <w:color w:val="auto"/>
          <w:highlight w:val="none"/>
          <w:lang w:val="en-US" w:eastAsia="zh-CN"/>
        </w:rPr>
        <w:t>等</w:t>
      </w:r>
      <w:r>
        <w:rPr>
          <w:rFonts w:hint="eastAsia" w:ascii="宋体" w:hAnsi="宋体" w:eastAsia="宋体" w:cs="宋体"/>
          <w:color w:val="auto"/>
          <w:highlight w:val="none"/>
          <w:lang w:val="en-US" w:eastAsia="zh-CN"/>
        </w:rPr>
        <w:t>，</w:t>
      </w:r>
      <w:r>
        <w:rPr>
          <w:rFonts w:hint="eastAsia" w:cs="宋体"/>
          <w:color w:val="auto"/>
          <w:highlight w:val="none"/>
          <w:lang w:val="en-US" w:eastAsia="zh-CN"/>
        </w:rPr>
        <w:t>共137</w:t>
      </w:r>
      <w:r>
        <w:rPr>
          <w:rFonts w:hint="eastAsia" w:ascii="宋体" w:hAnsi="宋体" w:eastAsia="宋体" w:cs="宋体"/>
          <w:color w:val="auto"/>
          <w:highlight w:val="none"/>
          <w:lang w:val="en-US" w:eastAsia="zh-CN"/>
        </w:rPr>
        <w:t>个项目</w:t>
      </w:r>
      <w:r>
        <w:rPr>
          <w:rFonts w:hint="eastAsia" w:ascii="宋体" w:hAnsi="宋体"/>
          <w:i w:val="0"/>
          <w:iCs w:val="0"/>
          <w:color w:val="auto"/>
          <w:szCs w:val="21"/>
          <w:highlight w:val="none"/>
          <w:lang w:eastAsia="zh-CN"/>
        </w:rPr>
        <w:t>。</w:t>
      </w:r>
      <w:r>
        <w:rPr>
          <w:rFonts w:hint="eastAsia" w:ascii="宋体" w:hAnsi="宋体" w:eastAsia="宋体" w:cs="宋体"/>
          <w:color w:val="auto"/>
          <w:spacing w:val="-3"/>
          <w:sz w:val="21"/>
          <w:szCs w:val="21"/>
          <w:highlight w:val="none"/>
          <w:lang w:eastAsia="zh-CN"/>
        </w:rPr>
        <w:t>如需进一步了解详细内容，详见竞争性磋商文件。</w:t>
      </w:r>
    </w:p>
    <w:p w14:paraId="2E2B8250">
      <w:pPr>
        <w:spacing w:before="34" w:line="219" w:lineRule="auto"/>
        <w:ind w:left="548"/>
        <w:rPr>
          <w:rFonts w:hint="default" w:ascii="宋体" w:hAnsi="宋体" w:eastAsia="宋体" w:cs="宋体"/>
          <w:color w:val="auto"/>
          <w:sz w:val="21"/>
          <w:szCs w:val="21"/>
          <w:highlight w:val="none"/>
          <w:lang w:val="en-US"/>
        </w:rPr>
      </w:pPr>
      <w:r>
        <w:rPr>
          <w:rFonts w:ascii="宋体" w:hAnsi="宋体" w:eastAsia="宋体" w:cs="宋体"/>
          <w:color w:val="auto"/>
          <w:spacing w:val="-1"/>
          <w:sz w:val="21"/>
          <w:szCs w:val="21"/>
          <w:highlight w:val="none"/>
        </w:rPr>
        <w:t>最高限价（</w:t>
      </w:r>
      <w:r>
        <w:rPr>
          <w:rFonts w:hint="eastAsia" w:ascii="宋体" w:hAnsi="宋体" w:eastAsia="宋体" w:cs="宋体"/>
          <w:color w:val="auto"/>
          <w:spacing w:val="-1"/>
          <w:sz w:val="21"/>
          <w:szCs w:val="21"/>
          <w:highlight w:val="none"/>
          <w:lang w:val="en-US" w:eastAsia="zh-CN"/>
        </w:rPr>
        <w:t>元</w:t>
      </w:r>
      <w:r>
        <w:rPr>
          <w:rFonts w:ascii="宋体" w:hAnsi="宋体" w:eastAsia="宋体" w:cs="宋体"/>
          <w:color w:val="auto"/>
          <w:spacing w:val="2"/>
          <w:sz w:val="21"/>
          <w:szCs w:val="21"/>
          <w:highlight w:val="none"/>
        </w:rPr>
        <w:t>）：</w:t>
      </w:r>
      <w:r>
        <w:rPr>
          <w:rFonts w:hint="eastAsia" w:ascii="宋体" w:hAnsi="宋体" w:eastAsia="宋体" w:cs="宋体"/>
          <w:color w:val="auto"/>
          <w:spacing w:val="-5"/>
          <w:sz w:val="21"/>
          <w:szCs w:val="21"/>
          <w:highlight w:val="none"/>
          <w:lang w:eastAsia="zh-CN"/>
        </w:rPr>
        <w:t>1384192.23</w:t>
      </w:r>
    </w:p>
    <w:p w14:paraId="71DB6A09">
      <w:pPr>
        <w:spacing w:before="161" w:line="221" w:lineRule="auto"/>
        <w:ind w:left="546"/>
        <w:rPr>
          <w:rFonts w:hint="eastAsia" w:ascii="宋体" w:hAnsi="宋体" w:eastAsia="宋体" w:cs="宋体"/>
          <w:color w:val="auto"/>
          <w:sz w:val="21"/>
          <w:szCs w:val="21"/>
          <w:highlight w:val="none"/>
          <w:lang w:eastAsia="zh-CN"/>
        </w:rPr>
      </w:pPr>
      <w:r>
        <w:rPr>
          <w:rFonts w:ascii="宋体" w:hAnsi="宋体" w:eastAsia="宋体" w:cs="宋体"/>
          <w:color w:val="auto"/>
          <w:spacing w:val="-1"/>
          <w:sz w:val="21"/>
          <w:szCs w:val="21"/>
          <w:highlight w:val="none"/>
        </w:rPr>
        <w:t>合同履行期限：服务期限：自合同签订之日起至所有项目完成全部验收工作并出具验收成果报告。</w:t>
      </w:r>
    </w:p>
    <w:p w14:paraId="022AABDB">
      <w:pPr>
        <w:spacing w:before="157" w:line="220" w:lineRule="auto"/>
        <w:ind w:left="5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本项目（否）接受联合体。</w:t>
      </w:r>
    </w:p>
    <w:p w14:paraId="698BD11A">
      <w:pPr>
        <w:spacing w:before="164" w:line="219" w:lineRule="auto"/>
        <w:ind w:left="486"/>
        <w:rPr>
          <w:rFonts w:ascii="黑体" w:hAnsi="黑体" w:eastAsia="黑体" w:cs="黑体"/>
          <w:color w:val="auto"/>
          <w:sz w:val="24"/>
          <w:szCs w:val="24"/>
          <w:highlight w:val="none"/>
        </w:rPr>
      </w:pPr>
      <w:r>
        <w:rPr>
          <w:rFonts w:ascii="黑体" w:hAnsi="黑体" w:eastAsia="黑体" w:cs="黑体"/>
          <w:b/>
          <w:bCs/>
          <w:color w:val="auto"/>
          <w:spacing w:val="-7"/>
          <w:sz w:val="24"/>
          <w:szCs w:val="24"/>
          <w:highlight w:val="none"/>
        </w:rPr>
        <w:t>二、申请人的资格条件：</w:t>
      </w:r>
    </w:p>
    <w:p w14:paraId="3FB6D275">
      <w:pPr>
        <w:spacing w:before="21" w:line="220" w:lineRule="auto"/>
        <w:ind w:left="56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1.满足《中华人民共和国政府采购法》第二十二条规定；</w:t>
      </w:r>
    </w:p>
    <w:p w14:paraId="367842E2">
      <w:pPr>
        <w:spacing w:before="157" w:line="290" w:lineRule="auto"/>
        <w:ind w:left="143" w:right="210" w:firstLine="40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2.落实政府采购政策需满足的资格要求：本项目属于</w:t>
      </w:r>
      <w:r>
        <w:rPr>
          <w:rFonts w:ascii="宋体" w:hAnsi="宋体" w:eastAsia="宋体" w:cs="宋体"/>
          <w:color w:val="auto"/>
          <w:spacing w:val="-2"/>
          <w:sz w:val="21"/>
          <w:szCs w:val="21"/>
          <w:highlight w:val="none"/>
        </w:rPr>
        <w:t>专门面向中小企业采购的项目，承接服务</w:t>
      </w:r>
      <w:r>
        <w:rPr>
          <w:rFonts w:ascii="宋体" w:hAnsi="宋体" w:eastAsia="宋体" w:cs="宋体"/>
          <w:color w:val="auto"/>
          <w:spacing w:val="-1"/>
          <w:sz w:val="21"/>
          <w:szCs w:val="21"/>
          <w:highlight w:val="none"/>
        </w:rPr>
        <w:t>的供应商应为中小微企业或监狱企业或残疾人福利性单位；</w:t>
      </w:r>
    </w:p>
    <w:p w14:paraId="62257F33">
      <w:pPr>
        <w:spacing w:before="157" w:line="290" w:lineRule="auto"/>
        <w:ind w:left="143" w:right="210" w:firstLine="405"/>
        <w:rPr>
          <w:rFonts w:ascii="宋体" w:hAnsi="宋体" w:eastAsia="宋体" w:cs="宋体"/>
          <w:color w:val="auto"/>
          <w:spacing w:val="-1"/>
          <w:sz w:val="21"/>
          <w:szCs w:val="21"/>
          <w:highlight w:val="none"/>
        </w:rPr>
      </w:pPr>
      <w:r>
        <w:rPr>
          <w:rFonts w:ascii="宋体" w:hAnsi="宋体" w:eastAsia="宋体" w:cs="宋体"/>
          <w:color w:val="auto"/>
          <w:spacing w:val="-1"/>
          <w:sz w:val="21"/>
          <w:szCs w:val="21"/>
          <w:highlight w:val="none"/>
        </w:rPr>
        <w:t>3.本项目的特定资格要求：</w:t>
      </w:r>
      <w:r>
        <w:rPr>
          <w:rFonts w:hint="eastAsia" w:ascii="宋体" w:hAnsi="宋体" w:eastAsia="宋体" w:cs="宋体"/>
          <w:color w:val="auto"/>
          <w:spacing w:val="-1"/>
          <w:sz w:val="21"/>
          <w:szCs w:val="21"/>
          <w:highlight w:val="none"/>
          <w:lang w:val="en-US" w:eastAsia="zh-CN"/>
        </w:rPr>
        <w:t>分标1：供应商须具有广西壮族自治区住房和城乡建设厅颁发的《建设工程质量检测机构资质证书》，检测专项需包含道路工程、主体结构及装饰装修、建筑材料及构配件。</w:t>
      </w:r>
    </w:p>
    <w:p w14:paraId="14E24D5D">
      <w:pPr>
        <w:spacing w:before="167" w:line="218" w:lineRule="auto"/>
        <w:ind w:left="617"/>
        <w:rPr>
          <w:rFonts w:ascii="黑体" w:hAnsi="黑体" w:eastAsia="黑体" w:cs="黑体"/>
          <w:color w:val="auto"/>
          <w:sz w:val="24"/>
          <w:szCs w:val="24"/>
          <w:highlight w:val="none"/>
        </w:rPr>
      </w:pPr>
      <w:r>
        <w:rPr>
          <w:rFonts w:ascii="黑体" w:hAnsi="黑体" w:eastAsia="黑体" w:cs="黑体"/>
          <w:b/>
          <w:bCs/>
          <w:color w:val="auto"/>
          <w:spacing w:val="-4"/>
          <w:sz w:val="24"/>
          <w:szCs w:val="24"/>
          <w:highlight w:val="none"/>
        </w:rPr>
        <w:t>三、获取</w:t>
      </w:r>
      <w:r>
        <w:rPr>
          <w:rFonts w:hint="eastAsia" w:ascii="黑体" w:hAnsi="黑体" w:eastAsia="黑体" w:cs="黑体"/>
          <w:b/>
          <w:bCs/>
          <w:color w:val="auto"/>
          <w:spacing w:val="-4"/>
          <w:sz w:val="24"/>
          <w:szCs w:val="24"/>
          <w:highlight w:val="none"/>
          <w:lang w:val="en-US" w:eastAsia="zh-CN"/>
        </w:rPr>
        <w:t>采购</w:t>
      </w:r>
      <w:r>
        <w:rPr>
          <w:rFonts w:ascii="黑体" w:hAnsi="黑体" w:eastAsia="黑体" w:cs="黑体"/>
          <w:b/>
          <w:bCs/>
          <w:color w:val="auto"/>
          <w:spacing w:val="-4"/>
          <w:sz w:val="24"/>
          <w:szCs w:val="24"/>
          <w:highlight w:val="none"/>
        </w:rPr>
        <w:t>文件</w:t>
      </w:r>
    </w:p>
    <w:p w14:paraId="2172EDF5">
      <w:pPr>
        <w:spacing w:before="176" w:line="360" w:lineRule="auto"/>
        <w:ind w:left="135" w:right="210" w:firstLine="419"/>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时间：</w:t>
      </w:r>
      <w:r>
        <w:rPr>
          <w:rFonts w:hint="eastAsia" w:ascii="宋体" w:hAnsi="宋体" w:eastAsia="宋体" w:cs="宋体"/>
          <w:color w:val="auto"/>
          <w:spacing w:val="-6"/>
          <w:sz w:val="21"/>
          <w:szCs w:val="21"/>
          <w:highlight w:val="none"/>
          <w:u w:val="none" w:color="auto"/>
          <w:lang w:eastAsia="zh-CN"/>
        </w:rPr>
        <w:t>2026年8月31日至2026年9月7日</w:t>
      </w:r>
      <w:r>
        <w:rPr>
          <w:rFonts w:ascii="宋体" w:hAnsi="宋体" w:eastAsia="宋体" w:cs="宋体"/>
          <w:color w:val="auto"/>
          <w:spacing w:val="-7"/>
          <w:sz w:val="21"/>
          <w:szCs w:val="21"/>
          <w:highlight w:val="none"/>
          <w:u w:val="none" w:color="auto"/>
        </w:rPr>
        <w:t>，每天</w:t>
      </w:r>
      <w:r>
        <w:rPr>
          <w:rFonts w:hint="eastAsia" w:ascii="宋体" w:hAnsi="宋体" w:eastAsia="宋体" w:cs="宋体"/>
          <w:color w:val="auto"/>
          <w:spacing w:val="-7"/>
          <w:sz w:val="21"/>
          <w:szCs w:val="21"/>
          <w:highlight w:val="none"/>
          <w:u w:val="none" w:color="auto"/>
          <w:lang w:val="en-US" w:eastAsia="zh-CN"/>
        </w:rPr>
        <w:t>8:00:00</w:t>
      </w:r>
      <w:r>
        <w:rPr>
          <w:rFonts w:ascii="宋体" w:hAnsi="宋体" w:eastAsia="宋体" w:cs="宋体"/>
          <w:color w:val="auto"/>
          <w:spacing w:val="-7"/>
          <w:sz w:val="21"/>
          <w:szCs w:val="21"/>
          <w:highlight w:val="none"/>
          <w:u w:val="none" w:color="auto"/>
        </w:rPr>
        <w:t>至</w:t>
      </w:r>
      <w:r>
        <w:rPr>
          <w:rFonts w:hint="eastAsia" w:ascii="宋体" w:hAnsi="宋体" w:eastAsia="宋体" w:cs="宋体"/>
          <w:color w:val="auto"/>
          <w:spacing w:val="-7"/>
          <w:sz w:val="21"/>
          <w:szCs w:val="21"/>
          <w:highlight w:val="none"/>
          <w:u w:val="none" w:color="auto"/>
          <w:lang w:val="en-US" w:eastAsia="zh-CN"/>
        </w:rPr>
        <w:t>12:00:00至18:00:00</w:t>
      </w:r>
      <w:r>
        <w:rPr>
          <w:rFonts w:ascii="宋体" w:hAnsi="宋体" w:eastAsia="宋体" w:cs="宋体"/>
          <w:color w:val="auto"/>
          <w:spacing w:val="-4"/>
          <w:sz w:val="21"/>
          <w:szCs w:val="21"/>
          <w:highlight w:val="none"/>
        </w:rPr>
        <w:t>（北京时间，法定节假日除外）</w:t>
      </w:r>
    </w:p>
    <w:p w14:paraId="7BEEA644">
      <w:pPr>
        <w:spacing w:before="42" w:line="215" w:lineRule="auto"/>
        <w:ind w:left="440"/>
        <w:rPr>
          <w:rFonts w:ascii="宋体" w:hAnsi="宋体" w:eastAsia="宋体" w:cs="宋体"/>
          <w:color w:val="auto"/>
          <w:sz w:val="21"/>
          <w:szCs w:val="21"/>
          <w:highlight w:val="none"/>
        </w:rPr>
      </w:pPr>
      <w:r>
        <w:rPr>
          <w:rFonts w:ascii="宋体" w:hAnsi="宋体" w:eastAsia="宋体" w:cs="宋体"/>
          <w:color w:val="auto"/>
          <w:sz w:val="21"/>
          <w:szCs w:val="21"/>
          <w:highlight w:val="none"/>
        </w:rPr>
        <w:t>地点：广西政府采购云平台（</w:t>
      </w:r>
      <w:r>
        <w:rPr>
          <w:color w:val="auto"/>
          <w:highlight w:val="none"/>
        </w:rPr>
        <w:fldChar w:fldCharType="begin"/>
      </w:r>
      <w:r>
        <w:rPr>
          <w:color w:val="auto"/>
          <w:highlight w:val="none"/>
        </w:rPr>
        <w:instrText xml:space="preserve"> HYPERLINK "https://www.gcy.zfcg.gxzf.gov.cn/）" </w:instrText>
      </w:r>
      <w:r>
        <w:rPr>
          <w:color w:val="auto"/>
          <w:highlight w:val="none"/>
        </w:rPr>
        <w:fldChar w:fldCharType="separate"/>
      </w:r>
      <w:r>
        <w:rPr>
          <w:rFonts w:ascii="宋体" w:hAnsi="宋体" w:eastAsia="宋体" w:cs="宋体"/>
          <w:color w:val="auto"/>
          <w:sz w:val="21"/>
          <w:szCs w:val="21"/>
          <w:highlight w:val="none"/>
        </w:rPr>
        <w:t>https://www.gcy.zfcg.gxzf.gov.</w:t>
      </w:r>
      <w:r>
        <w:rPr>
          <w:rFonts w:ascii="宋体" w:hAnsi="宋体" w:eastAsia="宋体" w:cs="宋体"/>
          <w:color w:val="auto"/>
          <w:spacing w:val="-1"/>
          <w:sz w:val="21"/>
          <w:szCs w:val="21"/>
          <w:highlight w:val="none"/>
        </w:rPr>
        <w:t>cn/）</w:t>
      </w:r>
      <w:r>
        <w:rPr>
          <w:rFonts w:ascii="宋体" w:hAnsi="宋体" w:eastAsia="宋体" w:cs="宋体"/>
          <w:color w:val="auto"/>
          <w:spacing w:val="-1"/>
          <w:sz w:val="21"/>
          <w:szCs w:val="21"/>
          <w:highlight w:val="none"/>
        </w:rPr>
        <w:fldChar w:fldCharType="end"/>
      </w:r>
    </w:p>
    <w:p w14:paraId="4CEC9625">
      <w:pPr>
        <w:spacing w:before="164" w:line="359" w:lineRule="auto"/>
        <w:ind w:left="19" w:firstLine="421"/>
        <w:jc w:val="both"/>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方式：</w:t>
      </w:r>
      <w:r>
        <w:rPr>
          <w:rFonts w:hint="eastAsia" w:ascii="宋体" w:hAnsi="宋体" w:eastAsia="宋体" w:cs="宋体"/>
          <w:color w:val="auto"/>
          <w:spacing w:val="-1"/>
          <w:sz w:val="21"/>
          <w:szCs w:val="21"/>
          <w:highlight w:val="none"/>
        </w:rPr>
        <w:t>供应商登录广西政府采购云平台https://www.gcy.zfcg.gxzf.gov.cn/在线申请获取采购文件（进入“项目采购”应用，在获取采购文件菜单中选择项目，申请获取采购文件）</w:t>
      </w:r>
    </w:p>
    <w:p w14:paraId="700ACAE1">
      <w:pPr>
        <w:spacing w:line="219" w:lineRule="auto"/>
        <w:ind w:left="440"/>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售价：</w:t>
      </w:r>
      <w:r>
        <w:rPr>
          <w:rFonts w:ascii="宋体" w:hAnsi="宋体" w:eastAsia="宋体" w:cs="宋体"/>
          <w:color w:val="auto"/>
          <w:spacing w:val="-2"/>
          <w:sz w:val="21"/>
          <w:szCs w:val="21"/>
          <w:highlight w:val="none"/>
          <w:u w:val="single" w:color="auto"/>
        </w:rPr>
        <w:t>0</w:t>
      </w:r>
      <w:r>
        <w:rPr>
          <w:rFonts w:ascii="宋体" w:hAnsi="宋体" w:eastAsia="宋体" w:cs="宋体"/>
          <w:color w:val="auto"/>
          <w:spacing w:val="-2"/>
          <w:sz w:val="21"/>
          <w:szCs w:val="21"/>
          <w:highlight w:val="none"/>
        </w:rPr>
        <w:t>元</w:t>
      </w:r>
    </w:p>
    <w:p w14:paraId="36393FE1">
      <w:pPr>
        <w:spacing w:before="164" w:line="219" w:lineRule="auto"/>
        <w:ind w:left="391"/>
        <w:rPr>
          <w:rFonts w:ascii="黑体" w:hAnsi="黑体" w:eastAsia="黑体" w:cs="黑体"/>
          <w:color w:val="auto"/>
          <w:sz w:val="24"/>
          <w:szCs w:val="24"/>
          <w:highlight w:val="none"/>
        </w:rPr>
      </w:pPr>
      <w:r>
        <w:rPr>
          <w:rFonts w:ascii="黑体" w:hAnsi="黑体" w:eastAsia="黑体" w:cs="黑体"/>
          <w:b/>
          <w:bCs/>
          <w:color w:val="auto"/>
          <w:spacing w:val="-6"/>
          <w:sz w:val="24"/>
          <w:szCs w:val="24"/>
          <w:highlight w:val="none"/>
        </w:rPr>
        <w:t>四、响应文件提交</w:t>
      </w:r>
    </w:p>
    <w:p w14:paraId="49001EF1">
      <w:pPr>
        <w:spacing w:before="20" w:line="221" w:lineRule="auto"/>
        <w:ind w:left="439"/>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截止时间：</w:t>
      </w:r>
      <w:r>
        <w:rPr>
          <w:rFonts w:hint="eastAsia" w:ascii="宋体" w:hAnsi="宋体" w:eastAsia="宋体" w:cs="宋体"/>
          <w:color w:val="auto"/>
          <w:spacing w:val="-6"/>
          <w:sz w:val="21"/>
          <w:szCs w:val="21"/>
          <w:highlight w:val="none"/>
          <w:u w:val="single" w:color="auto"/>
          <w:lang w:eastAsia="zh-CN"/>
        </w:rPr>
        <w:t>2026年9月17日09:00</w:t>
      </w:r>
      <w:r>
        <w:rPr>
          <w:rFonts w:ascii="宋体" w:hAnsi="宋体" w:eastAsia="宋体" w:cs="宋体"/>
          <w:color w:val="auto"/>
          <w:spacing w:val="-6"/>
          <w:sz w:val="21"/>
          <w:szCs w:val="21"/>
          <w:highlight w:val="none"/>
        </w:rPr>
        <w:t>（北京时间）</w:t>
      </w:r>
    </w:p>
    <w:p w14:paraId="66FFBDFF">
      <w:pPr>
        <w:spacing w:before="157" w:line="215" w:lineRule="auto"/>
        <w:ind w:left="440"/>
        <w:rPr>
          <w:rFonts w:ascii="宋体" w:hAnsi="宋体" w:eastAsia="宋体" w:cs="宋体"/>
          <w:color w:val="auto"/>
          <w:sz w:val="21"/>
          <w:szCs w:val="21"/>
          <w:highlight w:val="none"/>
        </w:rPr>
      </w:pPr>
      <w:r>
        <w:rPr>
          <w:rFonts w:ascii="宋体" w:hAnsi="宋体" w:eastAsia="宋体" w:cs="宋体"/>
          <w:color w:val="auto"/>
          <w:sz w:val="21"/>
          <w:szCs w:val="21"/>
          <w:highlight w:val="none"/>
        </w:rPr>
        <w:t>地点：请登录广西政府采购云平台投标客户端投标</w:t>
      </w:r>
    </w:p>
    <w:p w14:paraId="2C0B480E">
      <w:pPr>
        <w:spacing w:before="171" w:line="220" w:lineRule="auto"/>
        <w:ind w:left="381"/>
        <w:rPr>
          <w:rFonts w:ascii="黑体" w:hAnsi="黑体" w:eastAsia="黑体" w:cs="黑体"/>
          <w:color w:val="auto"/>
          <w:sz w:val="24"/>
          <w:szCs w:val="24"/>
          <w:highlight w:val="none"/>
        </w:rPr>
      </w:pPr>
      <w:r>
        <w:rPr>
          <w:rFonts w:ascii="黑体" w:hAnsi="黑体" w:eastAsia="黑体" w:cs="黑体"/>
          <w:b/>
          <w:bCs/>
          <w:color w:val="auto"/>
          <w:spacing w:val="-6"/>
          <w:sz w:val="24"/>
          <w:szCs w:val="24"/>
          <w:highlight w:val="none"/>
        </w:rPr>
        <w:t>五、</w:t>
      </w:r>
      <w:r>
        <w:rPr>
          <w:rFonts w:hint="eastAsia" w:ascii="黑体" w:hAnsi="黑体" w:eastAsia="黑体" w:cs="黑体"/>
          <w:b/>
          <w:bCs/>
          <w:color w:val="auto"/>
          <w:spacing w:val="-6"/>
          <w:sz w:val="24"/>
          <w:szCs w:val="24"/>
          <w:highlight w:val="none"/>
          <w:lang w:val="en-US" w:eastAsia="zh-CN"/>
        </w:rPr>
        <w:t>响应文件</w:t>
      </w:r>
      <w:r>
        <w:rPr>
          <w:rFonts w:ascii="黑体" w:hAnsi="黑体" w:eastAsia="黑体" w:cs="黑体"/>
          <w:b/>
          <w:bCs/>
          <w:color w:val="auto"/>
          <w:spacing w:val="-6"/>
          <w:sz w:val="24"/>
          <w:szCs w:val="24"/>
          <w:highlight w:val="none"/>
        </w:rPr>
        <w:t>开启</w:t>
      </w:r>
    </w:p>
    <w:p w14:paraId="73266FEA">
      <w:pPr>
        <w:spacing w:before="19" w:line="221" w:lineRule="auto"/>
        <w:ind w:left="455"/>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1.时间：</w:t>
      </w:r>
      <w:r>
        <w:rPr>
          <w:rFonts w:hint="eastAsia" w:ascii="宋体" w:hAnsi="宋体" w:eastAsia="宋体" w:cs="宋体"/>
          <w:color w:val="auto"/>
          <w:spacing w:val="-6"/>
          <w:sz w:val="21"/>
          <w:szCs w:val="21"/>
          <w:highlight w:val="none"/>
          <w:u w:val="single" w:color="auto"/>
          <w:lang w:eastAsia="zh-CN"/>
        </w:rPr>
        <w:t>2026年9月17日09:00</w:t>
      </w:r>
      <w:r>
        <w:rPr>
          <w:rFonts w:ascii="宋体" w:hAnsi="宋体" w:eastAsia="宋体" w:cs="宋体"/>
          <w:color w:val="auto"/>
          <w:spacing w:val="-6"/>
          <w:sz w:val="21"/>
          <w:szCs w:val="21"/>
          <w:highlight w:val="none"/>
        </w:rPr>
        <w:t>（北</w:t>
      </w:r>
      <w:r>
        <w:rPr>
          <w:rFonts w:ascii="宋体" w:hAnsi="宋体" w:eastAsia="宋体" w:cs="宋体"/>
          <w:color w:val="auto"/>
          <w:spacing w:val="-7"/>
          <w:sz w:val="21"/>
          <w:szCs w:val="21"/>
          <w:highlight w:val="none"/>
        </w:rPr>
        <w:t>京时间）</w:t>
      </w:r>
    </w:p>
    <w:p w14:paraId="6ACA0446">
      <w:pPr>
        <w:spacing w:before="159" w:line="215"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2.地点：北流市北流市公共资源交易中心（北流城南客运站三楼）北流市网上开标大厅二</w:t>
      </w:r>
    </w:p>
    <w:p w14:paraId="150B43EA">
      <w:pPr>
        <w:spacing w:before="167" w:line="221" w:lineRule="auto"/>
        <w:ind w:left="379"/>
        <w:rPr>
          <w:rFonts w:ascii="黑体" w:hAnsi="黑体" w:eastAsia="黑体" w:cs="黑体"/>
          <w:color w:val="auto"/>
          <w:sz w:val="24"/>
          <w:szCs w:val="24"/>
          <w:highlight w:val="none"/>
        </w:rPr>
      </w:pPr>
      <w:r>
        <w:rPr>
          <w:rFonts w:ascii="黑体" w:hAnsi="黑体" w:eastAsia="黑体" w:cs="黑体"/>
          <w:b/>
          <w:bCs/>
          <w:color w:val="auto"/>
          <w:spacing w:val="-5"/>
          <w:sz w:val="24"/>
          <w:szCs w:val="24"/>
          <w:highlight w:val="none"/>
        </w:rPr>
        <w:t>六、公告期限</w:t>
      </w:r>
    </w:p>
    <w:p w14:paraId="1B008BF5">
      <w:pPr>
        <w:spacing w:before="19" w:line="219" w:lineRule="auto"/>
        <w:ind w:left="474"/>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自本公告发布之日起5个工作日。</w:t>
      </w:r>
    </w:p>
    <w:p w14:paraId="0CCA9894">
      <w:pPr>
        <w:spacing w:before="164" w:line="220" w:lineRule="auto"/>
        <w:ind w:left="381"/>
        <w:rPr>
          <w:rFonts w:ascii="黑体" w:hAnsi="黑体" w:eastAsia="黑体" w:cs="黑体"/>
          <w:color w:val="auto"/>
          <w:sz w:val="24"/>
          <w:szCs w:val="24"/>
          <w:highlight w:val="none"/>
        </w:rPr>
      </w:pPr>
      <w:r>
        <w:rPr>
          <w:rFonts w:ascii="黑体" w:hAnsi="黑体" w:eastAsia="黑体" w:cs="黑体"/>
          <w:b/>
          <w:bCs/>
          <w:color w:val="auto"/>
          <w:spacing w:val="-4"/>
          <w:sz w:val="24"/>
          <w:szCs w:val="24"/>
          <w:highlight w:val="none"/>
        </w:rPr>
        <w:t>七、其他补充事宜</w:t>
      </w:r>
    </w:p>
    <w:p w14:paraId="116FDD32">
      <w:pPr>
        <w:keepNext w:val="0"/>
        <w:keepLines w:val="0"/>
        <w:pageBreakBefore w:val="0"/>
        <w:widowControl/>
        <w:kinsoku w:val="0"/>
        <w:wordWrap/>
        <w:overflowPunct/>
        <w:topLinePunct w:val="0"/>
        <w:autoSpaceDE w:val="0"/>
        <w:autoSpaceDN w:val="0"/>
        <w:bidi w:val="0"/>
        <w:adjustRightInd w:val="0"/>
        <w:snapToGrid w:val="0"/>
        <w:spacing w:line="360" w:lineRule="auto"/>
        <w:ind w:left="455"/>
        <w:textAlignment w:val="baseline"/>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1.网上查询地址</w:t>
      </w:r>
    </w:p>
    <w:p w14:paraId="0DAC60E6">
      <w:pPr>
        <w:keepNext w:val="0"/>
        <w:keepLines w:val="0"/>
        <w:pageBreakBefore w:val="0"/>
        <w:widowControl/>
        <w:kinsoku w:val="0"/>
        <w:wordWrap/>
        <w:overflowPunct/>
        <w:topLinePunct w:val="0"/>
        <w:autoSpaceDE w:val="0"/>
        <w:autoSpaceDN w:val="0"/>
        <w:bidi w:val="0"/>
        <w:adjustRightInd w:val="0"/>
        <w:snapToGrid w:val="0"/>
        <w:spacing w:line="360" w:lineRule="auto"/>
        <w:ind w:left="459"/>
        <w:textAlignment w:val="baseline"/>
        <w:rPr>
          <w:rFonts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中国政府采购网（http://www.ccgp.gov.cn）、广西壮族自治区政府采购网（http://zfcg.gxzf.gov.cn/）、全国公共资源交易平台（广西.玉林）（http://ggzy.yulin.gov.cn）</w:t>
      </w:r>
      <w:r>
        <w:rPr>
          <w:rFonts w:ascii="宋体" w:hAnsi="宋体" w:eastAsia="宋体" w:cs="宋体"/>
          <w:color w:val="auto"/>
          <w:spacing w:val="-1"/>
          <w:sz w:val="21"/>
          <w:szCs w:val="21"/>
          <w:highlight w:val="none"/>
        </w:rPr>
        <w:t>。</w:t>
      </w:r>
    </w:p>
    <w:p w14:paraId="6DB8E0B9">
      <w:pPr>
        <w:keepNext w:val="0"/>
        <w:keepLines w:val="0"/>
        <w:pageBreakBefore w:val="0"/>
        <w:widowControl/>
        <w:kinsoku w:val="0"/>
        <w:wordWrap/>
        <w:overflowPunct/>
        <w:topLinePunct w:val="0"/>
        <w:autoSpaceDE w:val="0"/>
        <w:autoSpaceDN w:val="0"/>
        <w:bidi w:val="0"/>
        <w:adjustRightInd w:val="0"/>
        <w:snapToGrid w:val="0"/>
        <w:spacing w:line="360" w:lineRule="auto"/>
        <w:ind w:left="442"/>
        <w:textAlignment w:val="baseline"/>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2.本项目需要落实的政府采购政策</w:t>
      </w:r>
    </w:p>
    <w:p w14:paraId="18FF3E6C">
      <w:pPr>
        <w:spacing w:before="33" w:line="220" w:lineRule="auto"/>
        <w:ind w:left="45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（1）政府采购促进中小企业发展。</w:t>
      </w:r>
    </w:p>
    <w:p w14:paraId="355F12A1">
      <w:pPr>
        <w:spacing w:before="157" w:line="220" w:lineRule="auto"/>
        <w:ind w:left="45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（2）政府采购支持采用本国产品的政策。</w:t>
      </w:r>
    </w:p>
    <w:p w14:paraId="513AC15C">
      <w:pPr>
        <w:spacing w:before="158" w:line="220" w:lineRule="auto"/>
        <w:ind w:left="45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（3）强制采购节能产品；优先采购节能产品、环境标志产品。</w:t>
      </w:r>
    </w:p>
    <w:p w14:paraId="0B797839">
      <w:pPr>
        <w:spacing w:before="158" w:line="220" w:lineRule="auto"/>
        <w:ind w:left="45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（4）政府采购促进残疾人就业政策。</w:t>
      </w:r>
    </w:p>
    <w:p w14:paraId="237482D0">
      <w:pPr>
        <w:spacing w:before="160" w:line="220" w:lineRule="auto"/>
        <w:ind w:left="45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（5）政府采购支持监狱企业发展。</w:t>
      </w:r>
    </w:p>
    <w:p w14:paraId="22D780F9">
      <w:pPr>
        <w:spacing w:before="158" w:line="220" w:lineRule="auto"/>
        <w:ind w:left="44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3.供应商竞标注意事项</w:t>
      </w:r>
    </w:p>
    <w:p w14:paraId="570ED984">
      <w:pPr>
        <w:spacing w:before="1" w:line="359" w:lineRule="auto"/>
        <w:ind w:left="24" w:right="14" w:firstLine="421"/>
        <w:jc w:val="both"/>
        <w:rPr>
          <w:rFonts w:ascii="宋体" w:hAnsi="宋体" w:eastAsia="宋体" w:cs="宋体"/>
          <w:color w:val="auto"/>
          <w:sz w:val="21"/>
          <w:szCs w:val="21"/>
          <w:highlight w:val="none"/>
        </w:rPr>
      </w:pPr>
      <w:r>
        <w:rPr>
          <w:rFonts w:ascii="宋体" w:hAnsi="宋体" w:eastAsia="宋体" w:cs="宋体"/>
          <w:color w:val="auto"/>
          <w:sz w:val="21"/>
          <w:szCs w:val="21"/>
          <w:highlight w:val="none"/>
        </w:rPr>
        <w:t>（1）本项目为全流程电子化采购项目，通过广西政府采购云平台（</w:t>
      </w:r>
      <w:r>
        <w:rPr>
          <w:rFonts w:ascii="宋体" w:hAnsi="宋体" w:eastAsia="宋体" w:cs="宋体"/>
          <w:color w:val="auto"/>
          <w:sz w:val="21"/>
          <w:szCs w:val="21"/>
          <w:highlight w:val="none"/>
        </w:rPr>
        <w:fldChar w:fldCharType="begin"/>
      </w:r>
      <w:r>
        <w:rPr>
          <w:rFonts w:ascii="宋体" w:hAnsi="宋体" w:eastAsia="宋体" w:cs="宋体"/>
          <w:color w:val="auto"/>
          <w:sz w:val="21"/>
          <w:szCs w:val="21"/>
          <w:highlight w:val="none"/>
        </w:rPr>
        <w:instrText xml:space="preserve"> HYPERLINK "https://www.gcy.zfcg.gxzf.gov.cn/" </w:instrText>
      </w:r>
      <w:r>
        <w:rPr>
          <w:rFonts w:ascii="宋体" w:hAnsi="宋体" w:eastAsia="宋体" w:cs="宋体"/>
          <w:color w:val="auto"/>
          <w:sz w:val="21"/>
          <w:szCs w:val="21"/>
          <w:highlight w:val="none"/>
        </w:rPr>
        <w:fldChar w:fldCharType="separate"/>
      </w:r>
      <w:r>
        <w:rPr>
          <w:rFonts w:ascii="宋体" w:hAnsi="宋体" w:eastAsia="宋体" w:cs="宋体"/>
          <w:color w:val="auto"/>
          <w:sz w:val="21"/>
          <w:szCs w:val="21"/>
          <w:highlight w:val="none"/>
        </w:rPr>
        <w:t>https://www.gcy.zfcg.gxzf.gov.cn/</w:t>
      </w:r>
      <w:r>
        <w:rPr>
          <w:rFonts w:ascii="宋体" w:hAnsi="宋体" w:eastAsia="宋体" w:cs="宋体"/>
          <w:color w:val="auto"/>
          <w:sz w:val="21"/>
          <w:szCs w:val="21"/>
          <w:highlight w:val="none"/>
        </w:rPr>
        <w:fldChar w:fldCharType="end"/>
      </w:r>
      <w:r>
        <w:rPr>
          <w:rFonts w:ascii="宋体" w:hAnsi="宋体" w:eastAsia="宋体" w:cs="宋体"/>
          <w:color w:val="auto"/>
          <w:sz w:val="21"/>
          <w:szCs w:val="21"/>
          <w:highlight w:val="none"/>
        </w:rPr>
        <w:t>）实行在线电子竞标，供应商应按照本项目竞争性磋商文件和广西政府采购云平台的要求编制、加密后在提交响应文件截止时间前通过网络上传至广西政府采购云平台（加密的电子响应文件是指后缀名为“jmbs”的文件），供应商在广西政府采购云平台提交电子响应文件时，请填写参加远程采购活动经办人联系方式。供应商登录广西政府采购云平台，依次进入“服务中心－项目采购－操作流程－电子招投标－政府采购项目电子交易管理操作指南－供应商”查看电子竞标具体操作流程。</w:t>
      </w:r>
    </w:p>
    <w:p w14:paraId="4CF6CE7B">
      <w:pPr>
        <w:spacing w:before="1" w:line="359" w:lineRule="auto"/>
        <w:ind w:left="24" w:right="14" w:firstLine="421"/>
        <w:jc w:val="both"/>
        <w:rPr>
          <w:rFonts w:ascii="宋体" w:hAnsi="宋体" w:eastAsia="宋体" w:cs="宋体"/>
          <w:color w:val="auto"/>
          <w:sz w:val="21"/>
          <w:szCs w:val="21"/>
          <w:highlight w:val="none"/>
        </w:rPr>
      </w:pPr>
      <w:r>
        <w:rPr>
          <w:rFonts w:ascii="宋体" w:hAnsi="宋体" w:eastAsia="宋体" w:cs="宋体"/>
          <w:color w:val="auto"/>
          <w:sz w:val="21"/>
          <w:szCs w:val="21"/>
          <w:highlight w:val="none"/>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广西政府采购云平台，依次进入“服务中心－入驻与配置”中查看CA数字证书办理操作流程。如在操作过程中遇到问题或者需要技术支持，请致电客服热线：95763或者0771-3381253）。</w:t>
      </w:r>
    </w:p>
    <w:p w14:paraId="7A07BAF0">
      <w:pPr>
        <w:spacing w:before="1" w:line="359" w:lineRule="auto"/>
        <w:ind w:left="24" w:right="14" w:firstLine="421"/>
        <w:jc w:val="both"/>
        <w:rPr>
          <w:rFonts w:ascii="宋体" w:hAnsi="宋体" w:eastAsia="宋体" w:cs="宋体"/>
          <w:color w:val="auto"/>
          <w:sz w:val="21"/>
          <w:szCs w:val="21"/>
          <w:highlight w:val="none"/>
        </w:rPr>
      </w:pPr>
      <w:r>
        <w:rPr>
          <w:rFonts w:ascii="宋体" w:hAnsi="宋体" w:eastAsia="宋体" w:cs="宋体"/>
          <w:color w:val="auto"/>
          <w:sz w:val="21"/>
          <w:szCs w:val="21"/>
          <w:highlight w:val="none"/>
        </w:rPr>
        <w:t>（3）CA证书在线解密：首次响应文件开启时，</w:t>
      </w:r>
      <w:r>
        <w:rPr>
          <w:rFonts w:ascii="宋体" w:hAnsi="宋体" w:eastAsia="宋体" w:cs="宋体"/>
          <w:color w:val="auto"/>
          <w:spacing w:val="-1"/>
          <w:sz w:val="21"/>
          <w:szCs w:val="21"/>
          <w:highlight w:val="none"/>
        </w:rPr>
        <w:t>需携带制作响应文件时用来加密的有效数字证书（CA认证）登录广西政府采购云平台电子开标大</w:t>
      </w:r>
      <w:r>
        <w:rPr>
          <w:rFonts w:ascii="宋体" w:hAnsi="宋体" w:eastAsia="宋体" w:cs="宋体"/>
          <w:color w:val="auto"/>
          <w:spacing w:val="-2"/>
          <w:sz w:val="21"/>
          <w:szCs w:val="21"/>
          <w:highlight w:val="none"/>
        </w:rPr>
        <w:t>厅现场按规定时间对加密的响应文件进行解密，</w:t>
      </w:r>
      <w:r>
        <w:rPr>
          <w:rFonts w:ascii="宋体" w:hAnsi="宋体" w:eastAsia="宋体" w:cs="宋体"/>
          <w:color w:val="auto"/>
          <w:spacing w:val="-4"/>
          <w:sz w:val="21"/>
          <w:szCs w:val="21"/>
          <w:highlight w:val="none"/>
        </w:rPr>
        <w:t>否则后果自负。</w:t>
      </w:r>
    </w:p>
    <w:p w14:paraId="24622FC8">
      <w:pPr>
        <w:spacing w:before="1" w:line="359" w:lineRule="auto"/>
        <w:ind w:left="45" w:firstLine="395"/>
        <w:rPr>
          <w:rFonts w:ascii="宋体" w:hAnsi="宋体" w:eastAsia="宋体" w:cs="宋体"/>
          <w:color w:val="auto"/>
          <w:sz w:val="21"/>
          <w:szCs w:val="21"/>
          <w:highlight w:val="none"/>
        </w:rPr>
      </w:pPr>
      <w:r>
        <w:rPr>
          <w:rFonts w:ascii="宋体" w:hAnsi="宋体" w:eastAsia="宋体" w:cs="宋体"/>
          <w:color w:val="auto"/>
          <w:sz w:val="21"/>
          <w:szCs w:val="21"/>
          <w:highlight w:val="none"/>
        </w:rPr>
        <w:t>注：1）为确保网上操作合法、有效和安全，请供应商确保在电子竞标过程中能够对相</w:t>
      </w:r>
      <w:r>
        <w:rPr>
          <w:rFonts w:ascii="宋体" w:hAnsi="宋体" w:eastAsia="宋体" w:cs="宋体"/>
          <w:color w:val="auto"/>
          <w:spacing w:val="-1"/>
          <w:sz w:val="21"/>
          <w:szCs w:val="21"/>
          <w:highlight w:val="none"/>
        </w:rPr>
        <w:t>关数据</w:t>
      </w:r>
      <w:r>
        <w:rPr>
          <w:rFonts w:ascii="宋体" w:hAnsi="宋体" w:eastAsia="宋体" w:cs="宋体"/>
          <w:color w:val="auto"/>
          <w:spacing w:val="-4"/>
          <w:sz w:val="21"/>
          <w:szCs w:val="21"/>
          <w:highlight w:val="none"/>
        </w:rPr>
        <w:t>电文进行加密和使用电子签章，妥善保管CA数字证书并使用有效的CA数</w:t>
      </w:r>
      <w:r>
        <w:rPr>
          <w:rFonts w:ascii="宋体" w:hAnsi="宋体" w:eastAsia="宋体" w:cs="宋体"/>
          <w:color w:val="auto"/>
          <w:spacing w:val="-5"/>
          <w:sz w:val="21"/>
          <w:szCs w:val="21"/>
          <w:highlight w:val="none"/>
        </w:rPr>
        <w:t>字证书参与整个采购活动。</w:t>
      </w:r>
      <w:r>
        <w:rPr>
          <w:rFonts w:ascii="宋体" w:hAnsi="宋体" w:eastAsia="宋体" w:cs="宋体"/>
          <w:color w:val="auto"/>
          <w:spacing w:val="-1"/>
          <w:sz w:val="21"/>
          <w:szCs w:val="21"/>
          <w:highlight w:val="none"/>
        </w:rPr>
        <w:t>2）供应商应当在提交响应文件截止时间前完成电子响应文件的提交（上传</w:t>
      </w:r>
      <w:r>
        <w:rPr>
          <w:rFonts w:ascii="宋体" w:hAnsi="宋体" w:eastAsia="宋体" w:cs="宋体"/>
          <w:color w:val="auto"/>
          <w:spacing w:val="18"/>
          <w:sz w:val="21"/>
          <w:szCs w:val="21"/>
          <w:highlight w:val="none"/>
        </w:rPr>
        <w:t>），</w:t>
      </w:r>
      <w:r>
        <w:rPr>
          <w:rFonts w:ascii="宋体" w:hAnsi="宋体" w:eastAsia="宋体" w:cs="宋体"/>
          <w:color w:val="auto"/>
          <w:spacing w:val="-1"/>
          <w:sz w:val="21"/>
          <w:szCs w:val="21"/>
          <w:highlight w:val="none"/>
        </w:rPr>
        <w:t>提交响应文件截止时间前可以补充、修改或者撤回响应文件。补充或者修改响应文件的，应当先行撤</w:t>
      </w:r>
      <w:r>
        <w:rPr>
          <w:rFonts w:ascii="宋体" w:hAnsi="宋体" w:eastAsia="宋体" w:cs="宋体"/>
          <w:color w:val="auto"/>
          <w:spacing w:val="-2"/>
          <w:sz w:val="21"/>
          <w:szCs w:val="21"/>
          <w:highlight w:val="none"/>
        </w:rPr>
        <w:t>回原响应文件，</w:t>
      </w:r>
      <w:r>
        <w:rPr>
          <w:rFonts w:ascii="宋体" w:hAnsi="宋体" w:eastAsia="宋体" w:cs="宋体"/>
          <w:color w:val="auto"/>
          <w:spacing w:val="-1"/>
          <w:sz w:val="21"/>
          <w:szCs w:val="21"/>
          <w:highlight w:val="none"/>
        </w:rPr>
        <w:t>补充、修改后重新提交（上传</w:t>
      </w:r>
      <w:r>
        <w:rPr>
          <w:rFonts w:ascii="宋体" w:hAnsi="宋体" w:eastAsia="宋体" w:cs="宋体"/>
          <w:color w:val="auto"/>
          <w:spacing w:val="-4"/>
          <w:sz w:val="21"/>
          <w:szCs w:val="21"/>
          <w:highlight w:val="none"/>
        </w:rPr>
        <w:t>），</w:t>
      </w:r>
      <w:r>
        <w:rPr>
          <w:rFonts w:ascii="宋体" w:hAnsi="宋体" w:eastAsia="宋体" w:cs="宋体"/>
          <w:color w:val="auto"/>
          <w:spacing w:val="-1"/>
          <w:sz w:val="21"/>
          <w:szCs w:val="21"/>
          <w:highlight w:val="none"/>
        </w:rPr>
        <w:t>提交响应文件截止时间前未完成提交（</w:t>
      </w:r>
      <w:r>
        <w:rPr>
          <w:rFonts w:ascii="宋体" w:hAnsi="宋体" w:eastAsia="宋体" w:cs="宋体"/>
          <w:color w:val="auto"/>
          <w:spacing w:val="-2"/>
          <w:sz w:val="21"/>
          <w:szCs w:val="21"/>
          <w:highlight w:val="none"/>
        </w:rPr>
        <w:t>上传）的，视为撤回响应</w:t>
      </w:r>
      <w:r>
        <w:rPr>
          <w:rFonts w:ascii="宋体" w:hAnsi="宋体" w:eastAsia="宋体" w:cs="宋体"/>
          <w:color w:val="auto"/>
          <w:sz w:val="21"/>
          <w:szCs w:val="21"/>
          <w:highlight w:val="none"/>
        </w:rPr>
        <w:t>文件。提交响应文件截止时间以后提交（上传）的响应文</w:t>
      </w:r>
      <w:r>
        <w:rPr>
          <w:rFonts w:ascii="宋体" w:hAnsi="宋体" w:eastAsia="宋体" w:cs="宋体"/>
          <w:color w:val="auto"/>
          <w:spacing w:val="-1"/>
          <w:sz w:val="21"/>
          <w:szCs w:val="21"/>
          <w:highlight w:val="none"/>
        </w:rPr>
        <w:t>件，广西政府采购云平台将予以拒收。</w:t>
      </w:r>
    </w:p>
    <w:p w14:paraId="6EF85071">
      <w:pPr>
        <w:spacing w:before="2" w:line="359" w:lineRule="auto"/>
        <w:ind w:left="26" w:right="87" w:firstLine="4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（4）供应商需要在具备有摄像头及语音功能且互联网网络</w:t>
      </w:r>
      <w:r>
        <w:rPr>
          <w:rFonts w:ascii="宋体" w:hAnsi="宋体" w:eastAsia="宋体" w:cs="宋体"/>
          <w:color w:val="auto"/>
          <w:sz w:val="21"/>
          <w:szCs w:val="21"/>
          <w:highlight w:val="none"/>
        </w:rPr>
        <w:t>状况良好的电脑登录广西政府采购</w:t>
      </w:r>
      <w:r>
        <w:rPr>
          <w:rFonts w:ascii="宋体" w:hAnsi="宋体" w:eastAsia="宋体" w:cs="宋体"/>
          <w:color w:val="auto"/>
          <w:spacing w:val="-1"/>
          <w:sz w:val="21"/>
          <w:szCs w:val="21"/>
          <w:highlight w:val="none"/>
        </w:rPr>
        <w:t>云平台远程开标大厅参与本次磋商，否则后果自负。</w:t>
      </w:r>
    </w:p>
    <w:p w14:paraId="37573A56">
      <w:pPr>
        <w:spacing w:before="2" w:line="359" w:lineRule="auto"/>
        <w:ind w:left="26" w:right="87" w:firstLine="420"/>
        <w:rPr>
          <w:rFonts w:ascii="宋体" w:hAnsi="宋体" w:eastAsia="宋体" w:cs="宋体"/>
          <w:color w:val="auto"/>
          <w:spacing w:val="1"/>
          <w:sz w:val="21"/>
          <w:szCs w:val="21"/>
          <w:highlight w:val="none"/>
        </w:rPr>
      </w:pPr>
      <w:r>
        <w:rPr>
          <w:rFonts w:ascii="宋体" w:hAnsi="宋体" w:eastAsia="宋体" w:cs="宋体"/>
          <w:color w:val="auto"/>
          <w:spacing w:val="1"/>
          <w:sz w:val="21"/>
          <w:szCs w:val="21"/>
          <w:highlight w:val="none"/>
        </w:rPr>
        <w:t>4.本项目采用</w:t>
      </w:r>
      <w:r>
        <w:rPr>
          <w:rFonts w:hint="eastAsia" w:ascii="宋体" w:hAnsi="宋体" w:eastAsia="宋体" w:cs="宋体"/>
          <w:color w:val="auto"/>
          <w:spacing w:val="1"/>
          <w:sz w:val="21"/>
          <w:szCs w:val="21"/>
          <w:highlight w:val="none"/>
          <w:lang w:val="en-US" w:eastAsia="zh-CN"/>
        </w:rPr>
        <w:t>远程异地评标</w:t>
      </w:r>
      <w:r>
        <w:rPr>
          <w:rFonts w:ascii="宋体" w:hAnsi="宋体" w:eastAsia="宋体" w:cs="宋体"/>
          <w:color w:val="auto"/>
          <w:spacing w:val="1"/>
          <w:sz w:val="21"/>
          <w:szCs w:val="21"/>
          <w:highlight w:val="none"/>
        </w:rPr>
        <w:t>。</w:t>
      </w:r>
    </w:p>
    <w:p w14:paraId="2383D043">
      <w:pPr>
        <w:spacing w:before="2" w:line="359" w:lineRule="auto"/>
        <w:ind w:left="26" w:right="87" w:firstLine="420"/>
        <w:rPr>
          <w:rFonts w:hint="default" w:ascii="宋体" w:hAnsi="宋体" w:eastAsia="宋体" w:cs="宋体"/>
          <w:color w:val="auto"/>
          <w:spacing w:val="1"/>
          <w:sz w:val="21"/>
          <w:szCs w:val="21"/>
          <w:highlight w:val="none"/>
          <w:lang w:val="en-US" w:eastAsia="zh-CN"/>
        </w:rPr>
      </w:pPr>
      <w:r>
        <w:rPr>
          <w:rFonts w:hint="eastAsia" w:ascii="宋体" w:hAnsi="宋体" w:eastAsia="宋体" w:cs="宋体"/>
          <w:color w:val="auto"/>
          <w:spacing w:val="1"/>
          <w:sz w:val="21"/>
          <w:szCs w:val="21"/>
          <w:highlight w:val="none"/>
          <w:lang w:val="en-US" w:eastAsia="zh-CN"/>
        </w:rPr>
        <w:t>5.监督部门：北流市财政局，电话：0775-6235685。</w:t>
      </w:r>
    </w:p>
    <w:p w14:paraId="12D9A4D0">
      <w:pPr>
        <w:spacing w:before="164" w:line="210" w:lineRule="auto"/>
        <w:ind w:left="375"/>
        <w:rPr>
          <w:rFonts w:ascii="黑体" w:hAnsi="黑体" w:eastAsia="黑体" w:cs="黑体"/>
          <w:color w:val="auto"/>
          <w:sz w:val="24"/>
          <w:szCs w:val="24"/>
          <w:highlight w:val="none"/>
        </w:rPr>
      </w:pPr>
      <w:r>
        <w:rPr>
          <w:rFonts w:ascii="黑体" w:hAnsi="黑体" w:eastAsia="黑体" w:cs="黑体"/>
          <w:b/>
          <w:bCs/>
          <w:color w:val="auto"/>
          <w:spacing w:val="-2"/>
          <w:sz w:val="24"/>
          <w:szCs w:val="24"/>
          <w:highlight w:val="none"/>
        </w:rPr>
        <w:t>八、凡对本次采购提出询问，请按以下方式</w:t>
      </w:r>
      <w:r>
        <w:rPr>
          <w:rFonts w:ascii="黑体" w:hAnsi="黑体" w:eastAsia="黑体" w:cs="黑体"/>
          <w:b/>
          <w:bCs/>
          <w:color w:val="auto"/>
          <w:spacing w:val="-3"/>
          <w:sz w:val="24"/>
          <w:szCs w:val="24"/>
          <w:highlight w:val="none"/>
        </w:rPr>
        <w:t>联系。</w:t>
      </w:r>
    </w:p>
    <w:p w14:paraId="2B52D2B3">
      <w:pPr>
        <w:spacing w:before="32" w:line="220" w:lineRule="auto"/>
        <w:ind w:left="45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1.采购人信息</w:t>
      </w:r>
    </w:p>
    <w:p w14:paraId="6A242F6B">
      <w:pPr>
        <w:spacing w:before="158" w:line="220" w:lineRule="auto"/>
        <w:ind w:left="442"/>
        <w:rPr>
          <w:rFonts w:hint="eastAsia" w:ascii="宋体" w:hAnsi="宋体" w:eastAsia="宋体" w:cs="宋体"/>
          <w:color w:val="auto"/>
          <w:sz w:val="21"/>
          <w:szCs w:val="21"/>
          <w:highlight w:val="none"/>
          <w:lang w:eastAsia="zh-CN"/>
        </w:rPr>
      </w:pPr>
      <w:r>
        <w:rPr>
          <w:rFonts w:ascii="宋体" w:hAnsi="宋体" w:eastAsia="宋体" w:cs="宋体"/>
          <w:color w:val="auto"/>
          <w:spacing w:val="-1"/>
          <w:sz w:val="21"/>
          <w:szCs w:val="21"/>
          <w:highlight w:val="none"/>
        </w:rPr>
        <w:t>名称：</w:t>
      </w:r>
      <w:r>
        <w:rPr>
          <w:rFonts w:hint="eastAsia" w:ascii="宋体" w:hAnsi="宋体" w:eastAsia="宋体" w:cs="宋体"/>
          <w:color w:val="auto"/>
          <w:spacing w:val="-1"/>
          <w:sz w:val="21"/>
          <w:szCs w:val="21"/>
          <w:highlight w:val="none"/>
          <w:lang w:eastAsia="zh-CN"/>
        </w:rPr>
        <w:t>北流市农业农村局</w:t>
      </w:r>
    </w:p>
    <w:p w14:paraId="3A9BCF0D">
      <w:pPr>
        <w:spacing w:before="158" w:line="221" w:lineRule="auto"/>
        <w:ind w:left="440"/>
        <w:rPr>
          <w:rFonts w:hint="eastAsia" w:ascii="宋体" w:hAnsi="宋体" w:eastAsia="宋体" w:cs="宋体"/>
          <w:color w:val="auto"/>
          <w:sz w:val="21"/>
          <w:szCs w:val="21"/>
          <w:highlight w:val="none"/>
          <w:lang w:eastAsia="zh-CN"/>
        </w:rPr>
      </w:pPr>
      <w:r>
        <w:rPr>
          <w:rFonts w:ascii="宋体" w:hAnsi="宋体" w:eastAsia="宋体" w:cs="宋体"/>
          <w:color w:val="auto"/>
          <w:spacing w:val="-1"/>
          <w:sz w:val="21"/>
          <w:szCs w:val="21"/>
          <w:highlight w:val="none"/>
        </w:rPr>
        <w:t>地址：</w:t>
      </w:r>
      <w:r>
        <w:rPr>
          <w:rFonts w:hint="eastAsia" w:ascii="宋体" w:hAnsi="宋体" w:eastAsia="宋体" w:cs="宋体"/>
          <w:color w:val="auto"/>
          <w:spacing w:val="-1"/>
          <w:sz w:val="21"/>
          <w:szCs w:val="21"/>
          <w:highlight w:val="none"/>
          <w:lang w:eastAsia="zh-CN"/>
        </w:rPr>
        <w:t>北流市沿江北路5号</w:t>
      </w:r>
    </w:p>
    <w:p w14:paraId="75822E29">
      <w:pPr>
        <w:spacing w:before="156" w:line="221" w:lineRule="auto"/>
        <w:ind w:left="443"/>
        <w:rPr>
          <w:rFonts w:hint="eastAsia" w:ascii="宋体" w:hAnsi="宋体" w:eastAsia="宋体" w:cs="宋体"/>
          <w:color w:val="auto"/>
          <w:sz w:val="21"/>
          <w:szCs w:val="21"/>
          <w:highlight w:val="none"/>
          <w:lang w:eastAsia="zh-CN"/>
        </w:rPr>
      </w:pPr>
      <w:r>
        <w:rPr>
          <w:rFonts w:ascii="宋体" w:hAnsi="宋体" w:eastAsia="宋体" w:cs="宋体"/>
          <w:color w:val="auto"/>
          <w:spacing w:val="-1"/>
          <w:sz w:val="21"/>
          <w:szCs w:val="21"/>
          <w:highlight w:val="none"/>
        </w:rPr>
        <w:t>项目联系人：</w:t>
      </w:r>
      <w:r>
        <w:rPr>
          <w:rFonts w:hint="eastAsia" w:ascii="宋体" w:hAnsi="宋体" w:eastAsia="宋体" w:cs="宋体"/>
          <w:color w:val="auto"/>
          <w:spacing w:val="-1"/>
          <w:sz w:val="21"/>
          <w:szCs w:val="21"/>
          <w:highlight w:val="none"/>
          <w:lang w:eastAsia="zh-CN"/>
        </w:rPr>
        <w:t>黄滨</w:t>
      </w:r>
    </w:p>
    <w:p w14:paraId="651EA036">
      <w:pPr>
        <w:spacing w:before="160" w:line="221" w:lineRule="auto"/>
        <w:ind w:left="443"/>
        <w:rPr>
          <w:rFonts w:hint="eastAsia" w:ascii="宋体" w:hAnsi="宋体" w:eastAsia="宋体" w:cs="宋体"/>
          <w:color w:val="auto"/>
          <w:sz w:val="21"/>
          <w:szCs w:val="21"/>
          <w:highlight w:val="none"/>
          <w:lang w:eastAsia="zh-CN"/>
        </w:rPr>
      </w:pPr>
      <w:r>
        <w:rPr>
          <w:rFonts w:ascii="宋体" w:hAnsi="宋体" w:eastAsia="宋体" w:cs="宋体"/>
          <w:color w:val="auto"/>
          <w:spacing w:val="-1"/>
          <w:sz w:val="21"/>
          <w:szCs w:val="21"/>
          <w:highlight w:val="none"/>
        </w:rPr>
        <w:t>项目联系方式：</w:t>
      </w:r>
      <w:r>
        <w:rPr>
          <w:rFonts w:hint="eastAsia" w:ascii="宋体" w:hAnsi="宋体" w:eastAsia="宋体" w:cs="宋体"/>
          <w:color w:val="auto"/>
          <w:spacing w:val="-1"/>
          <w:sz w:val="21"/>
          <w:szCs w:val="21"/>
          <w:highlight w:val="none"/>
          <w:lang w:eastAsia="zh-CN"/>
        </w:rPr>
        <w:t>0775-6223310</w:t>
      </w:r>
    </w:p>
    <w:p w14:paraId="125DA4DB">
      <w:pPr>
        <w:spacing w:before="157" w:line="220" w:lineRule="auto"/>
        <w:ind w:left="44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2.采购代理机构信息</w:t>
      </w:r>
    </w:p>
    <w:p w14:paraId="0984215E">
      <w:pPr>
        <w:spacing w:before="157" w:line="221" w:lineRule="auto"/>
        <w:ind w:left="442"/>
        <w:rPr>
          <w:rFonts w:hint="eastAsia" w:ascii="宋体" w:hAnsi="宋体" w:eastAsia="宋体" w:cs="宋体"/>
          <w:color w:val="auto"/>
          <w:sz w:val="21"/>
          <w:szCs w:val="21"/>
          <w:highlight w:val="none"/>
          <w:lang w:eastAsia="zh-CN"/>
        </w:rPr>
      </w:pPr>
      <w:r>
        <w:rPr>
          <w:rFonts w:ascii="宋体" w:hAnsi="宋体" w:eastAsia="宋体" w:cs="宋体"/>
          <w:color w:val="auto"/>
          <w:spacing w:val="-1"/>
          <w:sz w:val="21"/>
          <w:szCs w:val="21"/>
          <w:highlight w:val="none"/>
        </w:rPr>
        <w:t>名称：</w:t>
      </w:r>
      <w:r>
        <w:rPr>
          <w:rFonts w:hint="eastAsia" w:ascii="宋体" w:hAnsi="宋体" w:eastAsia="宋体" w:cs="宋体"/>
          <w:color w:val="auto"/>
          <w:spacing w:val="-1"/>
          <w:sz w:val="21"/>
          <w:szCs w:val="21"/>
          <w:highlight w:val="none"/>
          <w:lang w:eastAsia="zh-CN"/>
        </w:rPr>
        <w:t>广西亿正工程咨询有限公司</w:t>
      </w:r>
    </w:p>
    <w:p w14:paraId="5127DD02">
      <w:pPr>
        <w:spacing w:before="157" w:line="221" w:lineRule="auto"/>
        <w:ind w:left="440"/>
        <w:rPr>
          <w:rFonts w:hint="eastAsia" w:ascii="宋体" w:hAnsi="宋体" w:eastAsia="宋体" w:cs="宋体"/>
          <w:color w:val="auto"/>
          <w:sz w:val="21"/>
          <w:szCs w:val="21"/>
          <w:highlight w:val="none"/>
          <w:lang w:eastAsia="zh-CN"/>
        </w:rPr>
      </w:pPr>
      <w:r>
        <w:rPr>
          <w:rFonts w:ascii="宋体" w:hAnsi="宋体" w:eastAsia="宋体" w:cs="宋体"/>
          <w:color w:val="auto"/>
          <w:spacing w:val="-1"/>
          <w:sz w:val="21"/>
          <w:szCs w:val="21"/>
          <w:highlight w:val="none"/>
        </w:rPr>
        <w:t>地址：</w:t>
      </w:r>
      <w:r>
        <w:rPr>
          <w:rFonts w:hint="eastAsia" w:ascii="宋体" w:hAnsi="宋体" w:eastAsia="宋体" w:cs="宋体"/>
          <w:color w:val="auto"/>
          <w:spacing w:val="-1"/>
          <w:sz w:val="21"/>
          <w:szCs w:val="21"/>
          <w:highlight w:val="none"/>
          <w:lang w:eastAsia="zh-CN"/>
        </w:rPr>
        <w:t>北流市永顺路六区124号</w:t>
      </w:r>
    </w:p>
    <w:p w14:paraId="5CD1C4F3">
      <w:pPr>
        <w:spacing w:before="156" w:line="221" w:lineRule="auto"/>
        <w:ind w:left="443"/>
        <w:rPr>
          <w:rFonts w:hint="eastAsia" w:ascii="宋体" w:hAnsi="宋体" w:eastAsia="宋体" w:cs="宋体"/>
          <w:color w:val="auto"/>
          <w:sz w:val="21"/>
          <w:szCs w:val="21"/>
          <w:highlight w:val="none"/>
          <w:lang w:eastAsia="zh-CN"/>
        </w:rPr>
      </w:pPr>
      <w:r>
        <w:rPr>
          <w:rFonts w:ascii="宋体" w:hAnsi="宋体" w:eastAsia="宋体" w:cs="宋体"/>
          <w:color w:val="auto"/>
          <w:spacing w:val="-1"/>
          <w:sz w:val="21"/>
          <w:szCs w:val="21"/>
          <w:highlight w:val="none"/>
        </w:rPr>
        <w:t>项目联系人：</w:t>
      </w:r>
      <w:r>
        <w:rPr>
          <w:rFonts w:hint="eastAsia" w:ascii="宋体" w:hAnsi="宋体" w:eastAsia="宋体" w:cs="宋体"/>
          <w:color w:val="auto"/>
          <w:spacing w:val="-1"/>
          <w:sz w:val="21"/>
          <w:szCs w:val="21"/>
          <w:highlight w:val="none"/>
          <w:lang w:eastAsia="zh-CN"/>
        </w:rPr>
        <w:t>陈雨仙</w:t>
      </w:r>
    </w:p>
    <w:p w14:paraId="5FB05EAD">
      <w:pPr>
        <w:spacing w:before="160" w:line="221" w:lineRule="auto"/>
        <w:ind w:left="443"/>
        <w:rPr>
          <w:rFonts w:hint="eastAsia" w:ascii="宋体" w:hAnsi="宋体" w:eastAsia="宋体" w:cs="宋体"/>
          <w:color w:val="auto"/>
          <w:sz w:val="21"/>
          <w:szCs w:val="21"/>
          <w:highlight w:val="none"/>
          <w:lang w:eastAsia="zh-CN"/>
        </w:rPr>
      </w:pPr>
      <w:r>
        <w:rPr>
          <w:rFonts w:ascii="宋体" w:hAnsi="宋体" w:eastAsia="宋体" w:cs="宋体"/>
          <w:color w:val="auto"/>
          <w:spacing w:val="-1"/>
          <w:sz w:val="21"/>
          <w:szCs w:val="21"/>
          <w:highlight w:val="none"/>
        </w:rPr>
        <w:t>项目联系方式：</w:t>
      </w:r>
      <w:r>
        <w:rPr>
          <w:rFonts w:hint="eastAsia" w:ascii="宋体" w:hAnsi="宋体" w:eastAsia="宋体" w:cs="宋体"/>
          <w:color w:val="auto"/>
          <w:spacing w:val="-1"/>
          <w:sz w:val="21"/>
          <w:szCs w:val="21"/>
          <w:highlight w:val="none"/>
          <w:lang w:eastAsia="zh-CN"/>
        </w:rPr>
        <w:t>0775-6251836</w:t>
      </w:r>
    </w:p>
    <w:p w14:paraId="63482A11">
      <w:pPr>
        <w:spacing w:line="221" w:lineRule="auto"/>
        <w:rPr>
          <w:rFonts w:ascii="宋体" w:hAnsi="宋体" w:eastAsia="宋体" w:cs="宋体"/>
          <w:color w:val="auto"/>
          <w:sz w:val="21"/>
          <w:szCs w:val="21"/>
          <w:highlight w:val="none"/>
        </w:rPr>
      </w:pPr>
    </w:p>
    <w:p w14:paraId="1225D536">
      <w:pPr>
        <w:spacing w:line="360" w:lineRule="auto"/>
        <w:ind w:firstLine="630" w:firstLineChars="300"/>
        <w:jc w:val="right"/>
        <w:rPr>
          <w:rFonts w:hint="eastAsia" w:ascii="宋体" w:hAnsi="宋体"/>
          <w:color w:val="auto"/>
          <w:szCs w:val="21"/>
          <w:highlight w:val="none"/>
          <w:u w:val="none"/>
          <w:lang w:eastAsia="zh-CN"/>
        </w:rPr>
      </w:pPr>
    </w:p>
    <w:p w14:paraId="1E0D5F98">
      <w:pPr>
        <w:spacing w:line="360" w:lineRule="auto"/>
        <w:ind w:firstLine="630" w:firstLineChars="300"/>
        <w:jc w:val="right"/>
        <w:rPr>
          <w:rFonts w:hint="eastAsia" w:ascii="宋体" w:hAnsi="宋体"/>
          <w:color w:val="auto"/>
          <w:szCs w:val="21"/>
          <w:highlight w:val="none"/>
          <w:u w:val="none"/>
          <w:lang w:eastAsia="zh-CN"/>
        </w:rPr>
      </w:pPr>
    </w:p>
    <w:p w14:paraId="002EDB84">
      <w:pPr>
        <w:spacing w:line="360" w:lineRule="auto"/>
        <w:ind w:firstLine="624" w:firstLineChars="300"/>
        <w:jc w:val="center"/>
        <w:rPr>
          <w:rFonts w:hint="eastAsia" w:ascii="宋体" w:hAnsi="宋体"/>
          <w:color w:val="auto"/>
          <w:szCs w:val="21"/>
          <w:highlight w:val="none"/>
          <w:u w:val="none"/>
        </w:rPr>
      </w:pPr>
      <w:r>
        <w:rPr>
          <w:rFonts w:hint="eastAsia" w:ascii="宋体" w:hAnsi="宋体" w:eastAsia="宋体" w:cs="宋体"/>
          <w:color w:val="auto"/>
          <w:spacing w:val="-1"/>
          <w:sz w:val="21"/>
          <w:szCs w:val="21"/>
          <w:highlight w:val="none"/>
          <w:lang w:val="en-US" w:eastAsia="zh-CN"/>
        </w:rPr>
        <w:t xml:space="preserve">                                 </w:t>
      </w:r>
      <w:r>
        <w:rPr>
          <w:rFonts w:hint="eastAsia" w:ascii="宋体" w:hAnsi="宋体" w:eastAsia="宋体" w:cs="宋体"/>
          <w:color w:val="auto"/>
          <w:spacing w:val="-1"/>
          <w:sz w:val="21"/>
          <w:szCs w:val="21"/>
          <w:highlight w:val="none"/>
          <w:lang w:eastAsia="zh-CN"/>
        </w:rPr>
        <w:t>广西亿正工程咨询有限公司</w:t>
      </w:r>
    </w:p>
    <w:p w14:paraId="008DF0CA">
      <w:pPr>
        <w:spacing w:line="221" w:lineRule="auto"/>
        <w:ind w:firstLine="5670" w:firstLineChars="2700"/>
        <w:rPr>
          <w:rFonts w:ascii="宋体" w:hAnsi="宋体" w:eastAsia="宋体" w:cs="宋体"/>
          <w:color w:val="auto"/>
          <w:sz w:val="21"/>
          <w:szCs w:val="21"/>
          <w:highlight w:val="none"/>
        </w:rPr>
        <w:sectPr>
          <w:footerReference r:id="rId6" w:type="default"/>
          <w:pgSz w:w="11907" w:h="16839"/>
          <w:pgMar w:top="1427" w:right="1054" w:bottom="1154" w:left="1785" w:header="0" w:footer="952" w:gutter="0"/>
          <w:cols w:space="720" w:num="1"/>
        </w:sectPr>
      </w:pPr>
      <w:r>
        <w:rPr>
          <w:rFonts w:hint="eastAsia" w:ascii="宋体" w:hAnsi="宋体"/>
          <w:color w:val="auto"/>
          <w:szCs w:val="21"/>
          <w:highlight w:val="none"/>
          <w:u w:val="none"/>
          <w:lang w:val="en-US" w:eastAsia="zh-CN"/>
        </w:rPr>
        <w:t>2026年8月31日</w:t>
      </w:r>
    </w:p>
    <w:p w14:paraId="3C3D0AEC">
      <w:pPr>
        <w:spacing w:before="140" w:line="223" w:lineRule="auto"/>
        <w:ind w:left="2696"/>
        <w:outlineLvl w:val="0"/>
        <w:rPr>
          <w:rFonts w:ascii="宋体" w:hAnsi="宋体" w:eastAsia="宋体" w:cs="宋体"/>
          <w:color w:val="auto"/>
          <w:sz w:val="43"/>
          <w:szCs w:val="43"/>
          <w:highlight w:val="none"/>
        </w:rPr>
      </w:pPr>
      <w:bookmarkStart w:id="4" w:name="bookmark8"/>
      <w:bookmarkEnd w:id="4"/>
      <w:r>
        <w:rPr>
          <w:rFonts w:ascii="宋体" w:hAnsi="宋体" w:eastAsia="宋体" w:cs="宋体"/>
          <w:b/>
          <w:bCs/>
          <w:color w:val="auto"/>
          <w:spacing w:val="4"/>
          <w:sz w:val="43"/>
          <w:szCs w:val="43"/>
          <w:highlight w:val="none"/>
        </w:rPr>
        <w:t>第二章供应商须知</w:t>
      </w:r>
    </w:p>
    <w:p w14:paraId="3F3BDFD0">
      <w:pPr>
        <w:pStyle w:val="4"/>
        <w:spacing w:line="264" w:lineRule="auto"/>
        <w:rPr>
          <w:color w:val="auto"/>
          <w:highlight w:val="none"/>
        </w:rPr>
      </w:pPr>
    </w:p>
    <w:p w14:paraId="2B191D45">
      <w:pPr>
        <w:spacing w:before="101" w:line="224" w:lineRule="auto"/>
        <w:ind w:left="3281"/>
        <w:rPr>
          <w:rFonts w:ascii="宋体" w:hAnsi="宋体" w:eastAsia="宋体" w:cs="宋体"/>
          <w:b/>
          <w:bCs/>
          <w:color w:val="auto"/>
          <w:spacing w:val="6"/>
          <w:sz w:val="31"/>
          <w:szCs w:val="31"/>
          <w:highlight w:val="none"/>
        </w:rPr>
      </w:pPr>
    </w:p>
    <w:p w14:paraId="7E7A2E57">
      <w:pPr>
        <w:spacing w:before="101" w:line="224" w:lineRule="auto"/>
        <w:ind w:left="3281"/>
        <w:rPr>
          <w:rFonts w:ascii="宋体" w:hAnsi="宋体" w:eastAsia="宋体" w:cs="宋体"/>
          <w:color w:val="auto"/>
          <w:sz w:val="31"/>
          <w:szCs w:val="31"/>
          <w:highlight w:val="none"/>
        </w:rPr>
      </w:pPr>
      <w:r>
        <w:rPr>
          <w:rFonts w:ascii="宋体" w:hAnsi="宋体" w:eastAsia="宋体" w:cs="宋体"/>
          <w:b/>
          <w:bCs/>
          <w:color w:val="auto"/>
          <w:spacing w:val="6"/>
          <w:sz w:val="31"/>
          <w:szCs w:val="31"/>
          <w:highlight w:val="none"/>
        </w:rPr>
        <w:t>供应商须知前附表</w:t>
      </w:r>
    </w:p>
    <w:p w14:paraId="759EDBA1">
      <w:pPr>
        <w:spacing w:before="136"/>
        <w:rPr>
          <w:color w:val="auto"/>
          <w:highlight w:val="none"/>
        </w:rPr>
      </w:pPr>
    </w:p>
    <w:tbl>
      <w:tblPr>
        <w:tblStyle w:val="11"/>
        <w:tblW w:w="91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5"/>
        <w:gridCol w:w="8111"/>
      </w:tblGrid>
      <w:tr w14:paraId="090E5C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995" w:type="dxa"/>
            <w:vAlign w:val="top"/>
          </w:tcPr>
          <w:p w14:paraId="6917C234">
            <w:pPr>
              <w:pStyle w:val="12"/>
              <w:spacing w:before="240" w:line="221" w:lineRule="auto"/>
              <w:ind w:left="187"/>
              <w:rPr>
                <w:color w:val="auto"/>
                <w:highlight w:val="none"/>
              </w:rPr>
            </w:pPr>
            <w:r>
              <w:rPr>
                <w:b/>
                <w:bCs/>
                <w:color w:val="auto"/>
                <w:spacing w:val="-4"/>
                <w:highlight w:val="none"/>
              </w:rPr>
              <w:t>条款号</w:t>
            </w:r>
          </w:p>
        </w:tc>
        <w:tc>
          <w:tcPr>
            <w:tcW w:w="8111" w:type="dxa"/>
            <w:vAlign w:val="top"/>
          </w:tcPr>
          <w:p w14:paraId="33987D91">
            <w:pPr>
              <w:pStyle w:val="12"/>
              <w:spacing w:before="240" w:line="221" w:lineRule="auto"/>
              <w:ind w:left="3663"/>
              <w:rPr>
                <w:color w:val="auto"/>
                <w:highlight w:val="none"/>
              </w:rPr>
            </w:pPr>
            <w:r>
              <w:rPr>
                <w:b/>
                <w:bCs/>
                <w:color w:val="auto"/>
                <w:spacing w:val="-19"/>
                <w:highlight w:val="none"/>
              </w:rPr>
              <w:t>内容</w:t>
            </w:r>
          </w:p>
        </w:tc>
      </w:tr>
      <w:tr w14:paraId="5679D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3" w:hRule="atLeast"/>
        </w:trPr>
        <w:tc>
          <w:tcPr>
            <w:tcW w:w="995" w:type="dxa"/>
            <w:vAlign w:val="top"/>
          </w:tcPr>
          <w:p w14:paraId="59205E29">
            <w:pPr>
              <w:spacing w:line="248" w:lineRule="auto"/>
              <w:rPr>
                <w:rFonts w:ascii="Arial"/>
                <w:color w:val="auto"/>
                <w:sz w:val="21"/>
                <w:highlight w:val="none"/>
              </w:rPr>
            </w:pPr>
          </w:p>
          <w:p w14:paraId="3D275E37">
            <w:pPr>
              <w:spacing w:line="248" w:lineRule="auto"/>
              <w:rPr>
                <w:rFonts w:ascii="Arial"/>
                <w:color w:val="auto"/>
                <w:sz w:val="21"/>
                <w:highlight w:val="none"/>
              </w:rPr>
            </w:pPr>
          </w:p>
          <w:p w14:paraId="24B9ADAE">
            <w:pPr>
              <w:spacing w:line="248" w:lineRule="auto"/>
              <w:rPr>
                <w:rFonts w:ascii="Arial"/>
                <w:color w:val="auto"/>
                <w:sz w:val="21"/>
                <w:highlight w:val="none"/>
              </w:rPr>
            </w:pPr>
          </w:p>
          <w:p w14:paraId="4D3F7951">
            <w:pPr>
              <w:spacing w:line="248" w:lineRule="auto"/>
              <w:rPr>
                <w:rFonts w:ascii="Arial"/>
                <w:color w:val="auto"/>
                <w:sz w:val="21"/>
                <w:highlight w:val="none"/>
              </w:rPr>
            </w:pPr>
          </w:p>
          <w:p w14:paraId="3C4C7463">
            <w:pPr>
              <w:spacing w:line="248" w:lineRule="auto"/>
              <w:rPr>
                <w:rFonts w:ascii="Arial"/>
                <w:color w:val="auto"/>
                <w:sz w:val="21"/>
                <w:highlight w:val="none"/>
              </w:rPr>
            </w:pPr>
          </w:p>
          <w:p w14:paraId="696982D9">
            <w:pPr>
              <w:spacing w:line="248" w:lineRule="auto"/>
              <w:rPr>
                <w:rFonts w:ascii="Arial"/>
                <w:color w:val="auto"/>
                <w:sz w:val="21"/>
                <w:highlight w:val="none"/>
              </w:rPr>
            </w:pPr>
          </w:p>
          <w:p w14:paraId="4C219647">
            <w:pPr>
              <w:spacing w:line="248" w:lineRule="auto"/>
              <w:rPr>
                <w:rFonts w:ascii="Arial"/>
                <w:color w:val="auto"/>
                <w:sz w:val="21"/>
                <w:highlight w:val="none"/>
              </w:rPr>
            </w:pPr>
          </w:p>
          <w:p w14:paraId="7A996AAF">
            <w:pPr>
              <w:spacing w:line="248" w:lineRule="auto"/>
              <w:rPr>
                <w:rFonts w:ascii="Arial"/>
                <w:color w:val="auto"/>
                <w:sz w:val="21"/>
                <w:highlight w:val="none"/>
              </w:rPr>
            </w:pPr>
          </w:p>
          <w:p w14:paraId="5DC6614F">
            <w:pPr>
              <w:spacing w:line="248" w:lineRule="auto"/>
              <w:rPr>
                <w:rFonts w:ascii="Arial"/>
                <w:color w:val="auto"/>
                <w:sz w:val="21"/>
                <w:highlight w:val="none"/>
              </w:rPr>
            </w:pPr>
          </w:p>
          <w:p w14:paraId="691D51D4">
            <w:pPr>
              <w:pStyle w:val="12"/>
              <w:spacing w:before="69" w:line="241" w:lineRule="auto"/>
              <w:ind w:left="453"/>
              <w:rPr>
                <w:color w:val="auto"/>
                <w:highlight w:val="none"/>
              </w:rPr>
            </w:pPr>
            <w:r>
              <w:rPr>
                <w:color w:val="auto"/>
                <w:highlight w:val="none"/>
              </w:rPr>
              <w:t>3</w:t>
            </w:r>
          </w:p>
        </w:tc>
        <w:tc>
          <w:tcPr>
            <w:tcW w:w="8111" w:type="dxa"/>
            <w:vAlign w:val="top"/>
          </w:tcPr>
          <w:p w14:paraId="7FC91F66">
            <w:pPr>
              <w:pStyle w:val="12"/>
              <w:spacing w:before="233" w:line="219" w:lineRule="auto"/>
              <w:ind w:left="127"/>
              <w:rPr>
                <w:color w:val="auto"/>
                <w:highlight w:val="none"/>
              </w:rPr>
            </w:pPr>
            <w:r>
              <w:rPr>
                <w:color w:val="auto"/>
                <w:spacing w:val="-1"/>
                <w:highlight w:val="none"/>
              </w:rPr>
              <w:t>1.供应商的资格条件：详见竞争性磋商公告</w:t>
            </w:r>
          </w:p>
          <w:p w14:paraId="7B55B78A">
            <w:pPr>
              <w:pStyle w:val="12"/>
              <w:spacing w:before="271" w:line="220" w:lineRule="auto"/>
              <w:ind w:left="114"/>
              <w:rPr>
                <w:color w:val="auto"/>
                <w:highlight w:val="none"/>
              </w:rPr>
            </w:pPr>
            <w:r>
              <w:rPr>
                <w:color w:val="auto"/>
                <w:spacing w:val="-2"/>
                <w:highlight w:val="none"/>
              </w:rPr>
              <w:t>2.供应商出现下列情形之一的，不得参加政府采购活动：</w:t>
            </w:r>
          </w:p>
          <w:p w14:paraId="1B607209">
            <w:pPr>
              <w:pStyle w:val="12"/>
              <w:spacing w:before="270" w:line="378" w:lineRule="auto"/>
              <w:ind w:left="113" w:right="102" w:firstLine="1"/>
              <w:rPr>
                <w:color w:val="auto"/>
                <w:highlight w:val="none"/>
              </w:rPr>
            </w:pPr>
            <w:r>
              <w:rPr>
                <w:color w:val="auto"/>
                <w:spacing w:val="-1"/>
                <w:highlight w:val="none"/>
              </w:rPr>
              <w:t>2.1单位负责人为同一人或者存在直接控股、管理关系的不同</w:t>
            </w:r>
            <w:r>
              <w:rPr>
                <w:color w:val="auto"/>
                <w:spacing w:val="-2"/>
                <w:highlight w:val="none"/>
              </w:rPr>
              <w:t>供应商，不得参加同一合同项下的政府采购活动。为本项目提供过整体设计、</w:t>
            </w:r>
            <w:r>
              <w:rPr>
                <w:color w:val="auto"/>
                <w:spacing w:val="-3"/>
                <w:highlight w:val="none"/>
              </w:rPr>
              <w:t>规范编制或者项目管理、监理、检</w:t>
            </w:r>
            <w:r>
              <w:rPr>
                <w:color w:val="auto"/>
                <w:spacing w:val="-1"/>
                <w:highlight w:val="none"/>
              </w:rPr>
              <w:t>测等服务的供应商，不得再参加本项目上述服务以外的其他采购活动。</w:t>
            </w:r>
          </w:p>
          <w:p w14:paraId="56CE80AC">
            <w:pPr>
              <w:pStyle w:val="12"/>
              <w:spacing w:before="270" w:line="398" w:lineRule="auto"/>
              <w:ind w:left="113" w:right="102" w:firstLine="1"/>
              <w:rPr>
                <w:color w:val="auto"/>
                <w:highlight w:val="none"/>
              </w:rPr>
            </w:pPr>
            <w:r>
              <w:rPr>
                <w:color w:val="auto"/>
                <w:spacing w:val="-6"/>
                <w:highlight w:val="none"/>
              </w:rPr>
              <w:t>2.2对在“信用中国”网站（</w:t>
            </w:r>
            <w:r>
              <w:rPr>
                <w:color w:val="auto"/>
                <w:highlight w:val="none"/>
              </w:rPr>
              <w:fldChar w:fldCharType="begin"/>
            </w:r>
            <w:r>
              <w:rPr>
                <w:color w:val="auto"/>
                <w:highlight w:val="none"/>
              </w:rPr>
              <w:instrText xml:space="preserve"> HYPERLINK "https://www.creditchina.gov.cn" </w:instrText>
            </w:r>
            <w:r>
              <w:rPr>
                <w:color w:val="auto"/>
                <w:highlight w:val="none"/>
              </w:rPr>
              <w:fldChar w:fldCharType="separate"/>
            </w:r>
            <w:r>
              <w:rPr>
                <w:color w:val="auto"/>
                <w:spacing w:val="-6"/>
                <w:highlight w:val="none"/>
              </w:rPr>
              <w:t>www.creditchina.gov.cn</w:t>
            </w:r>
            <w:r>
              <w:rPr>
                <w:color w:val="auto"/>
                <w:spacing w:val="-6"/>
                <w:highlight w:val="none"/>
              </w:rPr>
              <w:fldChar w:fldCharType="end"/>
            </w:r>
            <w:r>
              <w:rPr>
                <w:color w:val="auto"/>
                <w:spacing w:val="-6"/>
                <w:highlight w:val="none"/>
              </w:rPr>
              <w:t>）、中国政府采购网</w:t>
            </w:r>
            <w:r>
              <w:rPr>
                <w:color w:val="auto"/>
                <w:highlight w:val="none"/>
              </w:rPr>
              <w:t>（</w:t>
            </w:r>
            <w:r>
              <w:rPr>
                <w:color w:val="auto"/>
                <w:highlight w:val="none"/>
              </w:rPr>
              <w:fldChar w:fldCharType="begin"/>
            </w:r>
            <w:r>
              <w:rPr>
                <w:color w:val="auto"/>
                <w:highlight w:val="none"/>
              </w:rPr>
              <w:instrText xml:space="preserve"> HYPERLINK "https://www.ccgp.gov.cn" </w:instrText>
            </w:r>
            <w:r>
              <w:rPr>
                <w:color w:val="auto"/>
                <w:highlight w:val="none"/>
              </w:rPr>
              <w:fldChar w:fldCharType="separate"/>
            </w:r>
            <w:r>
              <w:rPr>
                <w:color w:val="auto"/>
                <w:highlight w:val="none"/>
              </w:rPr>
              <w:t>www.ccgp.gov.cn</w:t>
            </w:r>
            <w:r>
              <w:rPr>
                <w:color w:val="auto"/>
                <w:highlight w:val="none"/>
              </w:rPr>
              <w:fldChar w:fldCharType="end"/>
            </w:r>
            <w:r>
              <w:rPr>
                <w:color w:val="auto"/>
                <w:highlight w:val="none"/>
              </w:rPr>
              <w:t>）被列入失信被执行人、重大税收违法失信主体、政府采购严重违</w:t>
            </w:r>
            <w:r>
              <w:rPr>
                <w:color w:val="auto"/>
                <w:spacing w:val="-2"/>
                <w:highlight w:val="none"/>
              </w:rPr>
              <w:t>法失信行为记录名单及其他不符合《中华人民共和国</w:t>
            </w:r>
            <w:r>
              <w:rPr>
                <w:color w:val="auto"/>
                <w:spacing w:val="-3"/>
                <w:highlight w:val="none"/>
              </w:rPr>
              <w:t>政府采购法》第二十二条规定条件</w:t>
            </w:r>
            <w:r>
              <w:rPr>
                <w:color w:val="auto"/>
                <w:spacing w:val="-2"/>
                <w:highlight w:val="none"/>
              </w:rPr>
              <w:t>的供应商，不得参与政府采购活动。</w:t>
            </w:r>
          </w:p>
        </w:tc>
      </w:tr>
      <w:tr w14:paraId="1290AA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5" w:type="dxa"/>
            <w:vAlign w:val="top"/>
          </w:tcPr>
          <w:p w14:paraId="1ABD863F">
            <w:pPr>
              <w:pStyle w:val="12"/>
              <w:spacing w:before="238"/>
              <w:ind w:left="350"/>
              <w:rPr>
                <w:color w:val="auto"/>
                <w:highlight w:val="none"/>
              </w:rPr>
            </w:pPr>
            <w:r>
              <w:rPr>
                <w:color w:val="auto"/>
                <w:spacing w:val="-3"/>
                <w:highlight w:val="none"/>
              </w:rPr>
              <w:t>5.1</w:t>
            </w:r>
          </w:p>
        </w:tc>
        <w:tc>
          <w:tcPr>
            <w:tcW w:w="8111" w:type="dxa"/>
            <w:vAlign w:val="top"/>
          </w:tcPr>
          <w:p w14:paraId="32AA6043">
            <w:pPr>
              <w:pStyle w:val="12"/>
              <w:spacing w:before="238" w:line="219" w:lineRule="auto"/>
              <w:ind w:left="115"/>
              <w:rPr>
                <w:color w:val="auto"/>
                <w:highlight w:val="none"/>
              </w:rPr>
            </w:pPr>
            <w:r>
              <w:rPr>
                <w:color w:val="auto"/>
                <w:spacing w:val="-1"/>
                <w:highlight w:val="none"/>
              </w:rPr>
              <w:t>是否接受联合体竞标：详见竞争性磋商公告</w:t>
            </w:r>
          </w:p>
        </w:tc>
      </w:tr>
      <w:tr w14:paraId="077E7D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82" w:hRule="atLeast"/>
        </w:trPr>
        <w:tc>
          <w:tcPr>
            <w:tcW w:w="995" w:type="dxa"/>
            <w:vAlign w:val="top"/>
          </w:tcPr>
          <w:p w14:paraId="45412EC9">
            <w:pPr>
              <w:spacing w:line="314" w:lineRule="auto"/>
              <w:rPr>
                <w:rFonts w:ascii="Arial"/>
                <w:color w:val="auto"/>
                <w:sz w:val="21"/>
                <w:highlight w:val="none"/>
              </w:rPr>
            </w:pPr>
          </w:p>
          <w:p w14:paraId="6EED1957">
            <w:pPr>
              <w:spacing w:line="314" w:lineRule="auto"/>
              <w:rPr>
                <w:rFonts w:ascii="Arial"/>
                <w:color w:val="auto"/>
                <w:sz w:val="21"/>
                <w:highlight w:val="none"/>
              </w:rPr>
            </w:pPr>
          </w:p>
          <w:p w14:paraId="7433F4D4">
            <w:pPr>
              <w:spacing w:line="314" w:lineRule="auto"/>
              <w:rPr>
                <w:rFonts w:ascii="Arial"/>
                <w:color w:val="auto"/>
                <w:sz w:val="21"/>
                <w:highlight w:val="none"/>
              </w:rPr>
            </w:pPr>
          </w:p>
          <w:p w14:paraId="1F614E7B">
            <w:pPr>
              <w:pStyle w:val="12"/>
              <w:spacing w:before="69"/>
              <w:ind w:left="348"/>
              <w:rPr>
                <w:color w:val="auto"/>
                <w:highlight w:val="none"/>
              </w:rPr>
            </w:pPr>
            <w:r>
              <w:rPr>
                <w:color w:val="auto"/>
                <w:spacing w:val="-2"/>
                <w:highlight w:val="none"/>
              </w:rPr>
              <w:t>6.2</w:t>
            </w:r>
          </w:p>
        </w:tc>
        <w:tc>
          <w:tcPr>
            <w:tcW w:w="8111" w:type="dxa"/>
            <w:vAlign w:val="top"/>
          </w:tcPr>
          <w:p w14:paraId="75A79A5E">
            <w:pPr>
              <w:pStyle w:val="12"/>
              <w:spacing w:before="236" w:line="221" w:lineRule="auto"/>
              <w:ind w:left="121"/>
              <w:rPr>
                <w:color w:val="auto"/>
                <w:highlight w:val="none"/>
              </w:rPr>
            </w:pPr>
            <w:r>
              <w:rPr>
                <w:color w:val="auto"/>
                <w:highlight w:val="none"/>
              </w:rPr>
              <w:drawing>
                <wp:inline distT="0" distB="0" distL="0" distR="0">
                  <wp:extent cx="104140" cy="10350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64"/>
                          <a:stretch>
                            <a:fillRect/>
                          </a:stretch>
                        </pic:blipFill>
                        <pic:spPr>
                          <a:xfrm>
                            <a:off x="0" y="0"/>
                            <a:ext cx="104473" cy="103668"/>
                          </a:xfrm>
                          <a:prstGeom prst="rect">
                            <a:avLst/>
                          </a:prstGeom>
                        </pic:spPr>
                      </pic:pic>
                    </a:graphicData>
                  </a:graphic>
                </wp:inline>
              </w:drawing>
            </w:r>
            <w:r>
              <w:rPr>
                <w:color w:val="auto"/>
                <w:spacing w:val="1"/>
                <w:highlight w:val="none"/>
              </w:rPr>
              <w:t>不允许分包</w:t>
            </w:r>
          </w:p>
          <w:p w14:paraId="0BD5AD4B">
            <w:pPr>
              <w:pStyle w:val="12"/>
              <w:spacing w:before="269" w:line="221" w:lineRule="auto"/>
              <w:ind w:left="133"/>
              <w:rPr>
                <w:color w:val="auto"/>
                <w:highlight w:val="none"/>
              </w:rPr>
            </w:pPr>
            <w:r>
              <w:rPr>
                <w:color w:val="auto"/>
                <w:spacing w:val="-6"/>
                <w:highlight w:val="none"/>
              </w:rPr>
              <w:t>□允许分包</w:t>
            </w:r>
          </w:p>
          <w:p w14:paraId="358D7D70">
            <w:pPr>
              <w:pStyle w:val="12"/>
              <w:spacing w:before="269" w:line="349" w:lineRule="auto"/>
              <w:ind w:left="114" w:right="2752"/>
              <w:rPr>
                <w:color w:val="auto"/>
                <w:highlight w:val="none"/>
              </w:rPr>
            </w:pPr>
            <w:r>
              <w:rPr>
                <w:color w:val="auto"/>
                <w:spacing w:val="-7"/>
                <w:highlight w:val="none"/>
              </w:rPr>
              <w:t>分包内容：</w:t>
            </w:r>
            <w:r>
              <w:rPr>
                <w:color w:val="auto"/>
                <w:spacing w:val="-7"/>
                <w:highlight w:val="none"/>
                <w:u w:val="single" w:color="auto"/>
              </w:rPr>
              <w:t>/。</w:t>
            </w:r>
            <w:r>
              <w:rPr>
                <w:color w:val="auto"/>
                <w:spacing w:val="-5"/>
                <w:highlight w:val="none"/>
              </w:rPr>
              <w:t>分包金额或者比例：</w:t>
            </w:r>
            <w:r>
              <w:rPr>
                <w:color w:val="auto"/>
                <w:spacing w:val="-5"/>
                <w:highlight w:val="none"/>
                <w:u w:val="single" w:color="auto"/>
              </w:rPr>
              <w:t>/。</w:t>
            </w:r>
          </w:p>
        </w:tc>
      </w:tr>
      <w:tr w14:paraId="24A6BB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10" w:hRule="atLeast"/>
        </w:trPr>
        <w:tc>
          <w:tcPr>
            <w:tcW w:w="995" w:type="dxa"/>
            <w:vAlign w:val="top"/>
          </w:tcPr>
          <w:p w14:paraId="38DFD688">
            <w:pPr>
              <w:spacing w:line="241" w:lineRule="auto"/>
              <w:rPr>
                <w:rFonts w:ascii="Arial"/>
                <w:color w:val="auto"/>
                <w:sz w:val="21"/>
                <w:highlight w:val="none"/>
              </w:rPr>
            </w:pPr>
          </w:p>
          <w:p w14:paraId="7B9C0553">
            <w:pPr>
              <w:spacing w:line="241" w:lineRule="auto"/>
              <w:rPr>
                <w:rFonts w:ascii="Arial"/>
                <w:color w:val="auto"/>
                <w:sz w:val="21"/>
                <w:highlight w:val="none"/>
              </w:rPr>
            </w:pPr>
          </w:p>
          <w:p w14:paraId="5C265747">
            <w:pPr>
              <w:spacing w:line="241" w:lineRule="auto"/>
              <w:rPr>
                <w:rFonts w:ascii="Arial"/>
                <w:color w:val="auto"/>
                <w:sz w:val="21"/>
                <w:highlight w:val="none"/>
              </w:rPr>
            </w:pPr>
          </w:p>
          <w:p w14:paraId="4ACAACAD">
            <w:pPr>
              <w:spacing w:line="241" w:lineRule="auto"/>
              <w:rPr>
                <w:rFonts w:ascii="Arial"/>
                <w:color w:val="auto"/>
                <w:sz w:val="21"/>
                <w:highlight w:val="none"/>
              </w:rPr>
            </w:pPr>
          </w:p>
          <w:p w14:paraId="1F80C975">
            <w:pPr>
              <w:spacing w:line="242" w:lineRule="auto"/>
              <w:rPr>
                <w:rFonts w:ascii="Arial"/>
                <w:color w:val="auto"/>
                <w:sz w:val="21"/>
                <w:highlight w:val="none"/>
              </w:rPr>
            </w:pPr>
          </w:p>
          <w:p w14:paraId="7E529401">
            <w:pPr>
              <w:pStyle w:val="12"/>
              <w:spacing w:before="68"/>
              <w:ind w:left="203"/>
              <w:rPr>
                <w:color w:val="auto"/>
                <w:highlight w:val="none"/>
              </w:rPr>
            </w:pPr>
            <w:r>
              <w:rPr>
                <w:color w:val="auto"/>
                <w:spacing w:val="-4"/>
                <w:highlight w:val="none"/>
              </w:rPr>
              <w:t>12.1.1</w:t>
            </w:r>
          </w:p>
        </w:tc>
        <w:tc>
          <w:tcPr>
            <w:tcW w:w="8111" w:type="dxa"/>
            <w:vAlign w:val="top"/>
          </w:tcPr>
          <w:p w14:paraId="64D93B8B">
            <w:pPr>
              <w:pStyle w:val="12"/>
              <w:spacing w:before="239" w:line="221" w:lineRule="auto"/>
              <w:ind w:left="121"/>
              <w:rPr>
                <w:color w:val="auto"/>
                <w:highlight w:val="none"/>
              </w:rPr>
            </w:pPr>
            <w:r>
              <w:rPr>
                <w:b/>
                <w:bCs/>
                <w:color w:val="auto"/>
                <w:spacing w:val="-4"/>
                <w:highlight w:val="none"/>
              </w:rPr>
              <w:t>资格证明文件</w:t>
            </w:r>
          </w:p>
          <w:p w14:paraId="0BFF674A">
            <w:pPr>
              <w:pStyle w:val="12"/>
              <w:spacing w:before="270" w:line="220" w:lineRule="auto"/>
              <w:ind w:left="127"/>
              <w:rPr>
                <w:color w:val="auto"/>
                <w:highlight w:val="none"/>
              </w:rPr>
            </w:pPr>
            <w:r>
              <w:rPr>
                <w:color w:val="auto"/>
                <w:spacing w:val="-1"/>
                <w:highlight w:val="none"/>
              </w:rPr>
              <w:t>1.供应商有效的营业执照复印件</w:t>
            </w:r>
            <w:r>
              <w:rPr>
                <w:color w:val="auto"/>
                <w:spacing w:val="-7"/>
                <w:highlight w:val="none"/>
              </w:rPr>
              <w:t>；（</w:t>
            </w:r>
            <w:r>
              <w:rPr>
                <w:b/>
                <w:bCs/>
                <w:color w:val="auto"/>
                <w:spacing w:val="-1"/>
                <w:highlight w:val="none"/>
              </w:rPr>
              <w:t>必须提供，否则响应文件按无效响应处理</w:t>
            </w:r>
            <w:r>
              <w:rPr>
                <w:color w:val="auto"/>
                <w:spacing w:val="-1"/>
                <w:highlight w:val="none"/>
              </w:rPr>
              <w:t>）</w:t>
            </w:r>
          </w:p>
          <w:p w14:paraId="5F1ECA21">
            <w:pPr>
              <w:pStyle w:val="12"/>
              <w:keepNext w:val="0"/>
              <w:keepLines w:val="0"/>
              <w:pageBreakBefore w:val="0"/>
              <w:widowControl/>
              <w:kinsoku w:val="0"/>
              <w:wordWrap/>
              <w:overflowPunct/>
              <w:topLinePunct w:val="0"/>
              <w:autoSpaceDE w:val="0"/>
              <w:autoSpaceDN w:val="0"/>
              <w:bidi w:val="0"/>
              <w:adjustRightInd w:val="0"/>
              <w:snapToGrid w:val="0"/>
              <w:spacing w:before="269" w:line="360" w:lineRule="auto"/>
              <w:ind w:left="142" w:right="142"/>
              <w:textAlignment w:val="baseline"/>
              <w:rPr>
                <w:color w:val="auto"/>
                <w:highlight w:val="none"/>
              </w:rPr>
            </w:pPr>
            <w:r>
              <w:rPr>
                <w:color w:val="auto"/>
                <w:spacing w:val="-2"/>
                <w:highlight w:val="none"/>
              </w:rPr>
              <w:t>2.供应商依法缴纳税收的相关材料（</w:t>
            </w:r>
            <w:r>
              <w:rPr>
                <w:rFonts w:hint="eastAsia"/>
                <w:color w:val="auto"/>
                <w:spacing w:val="-2"/>
                <w:highlight w:val="none"/>
                <w:u w:val="single" w:color="auto"/>
                <w:lang w:eastAsia="zh-CN"/>
              </w:rPr>
              <w:t>2026年06月至响应文件提交截止时间止</w:t>
            </w:r>
            <w:r>
              <w:rPr>
                <w:color w:val="auto"/>
                <w:spacing w:val="-2"/>
                <w:highlight w:val="none"/>
              </w:rPr>
              <w:t>任</w:t>
            </w:r>
            <w:r>
              <w:rPr>
                <w:color w:val="auto"/>
                <w:spacing w:val="-3"/>
                <w:highlight w:val="none"/>
              </w:rPr>
              <w:t>意1个月的依法缴</w:t>
            </w:r>
            <w:r>
              <w:rPr>
                <w:color w:val="auto"/>
                <w:spacing w:val="-2"/>
                <w:highlight w:val="none"/>
              </w:rPr>
              <w:t>纳税收的凭据复印件；依法免税的，必须提供相应文</w:t>
            </w:r>
            <w:r>
              <w:rPr>
                <w:color w:val="auto"/>
                <w:spacing w:val="-3"/>
                <w:highlight w:val="none"/>
              </w:rPr>
              <w:t>件证明其依法免税。从成立之日起</w:t>
            </w:r>
            <w:r>
              <w:rPr>
                <w:color w:val="auto"/>
                <w:spacing w:val="-2"/>
                <w:highlight w:val="none"/>
              </w:rPr>
              <w:t>到响应文件提交截止时间止不足要求月数的，只需提</w:t>
            </w:r>
            <w:r>
              <w:rPr>
                <w:color w:val="auto"/>
                <w:spacing w:val="-3"/>
                <w:highlight w:val="none"/>
              </w:rPr>
              <w:t>供从成立之日起的依法缴纳税收相应证明文件）；</w:t>
            </w:r>
            <w:r>
              <w:rPr>
                <w:b/>
                <w:bCs/>
                <w:color w:val="auto"/>
                <w:spacing w:val="-3"/>
                <w:highlight w:val="none"/>
              </w:rPr>
              <w:t>（必须提供，否则响应文件按无效响应处理）</w:t>
            </w:r>
          </w:p>
        </w:tc>
      </w:tr>
    </w:tbl>
    <w:p w14:paraId="401B1CE8">
      <w:pPr>
        <w:pStyle w:val="4"/>
        <w:rPr>
          <w:color w:val="auto"/>
          <w:highlight w:val="none"/>
        </w:rPr>
      </w:pPr>
    </w:p>
    <w:p w14:paraId="5E0C75CB">
      <w:pPr>
        <w:rPr>
          <w:color w:val="auto"/>
          <w:highlight w:val="none"/>
        </w:rPr>
        <w:sectPr>
          <w:footerReference r:id="rId7" w:type="default"/>
          <w:pgSz w:w="11907" w:h="16839"/>
          <w:pgMar w:top="1431" w:right="1063" w:bottom="1154" w:left="1730" w:header="0" w:footer="954" w:gutter="0"/>
          <w:cols w:space="720" w:num="1"/>
        </w:sectPr>
      </w:pPr>
    </w:p>
    <w:p w14:paraId="03E1FD20">
      <w:pPr>
        <w:spacing w:line="91" w:lineRule="auto"/>
        <w:rPr>
          <w:rFonts w:ascii="Arial"/>
          <w:color w:val="auto"/>
          <w:sz w:val="2"/>
          <w:highlight w:val="none"/>
        </w:rPr>
      </w:pPr>
    </w:p>
    <w:tbl>
      <w:tblPr>
        <w:tblStyle w:val="11"/>
        <w:tblW w:w="91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5"/>
        <w:gridCol w:w="8111"/>
      </w:tblGrid>
      <w:tr w14:paraId="714B4D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32" w:hRule="atLeast"/>
        </w:trPr>
        <w:tc>
          <w:tcPr>
            <w:tcW w:w="995" w:type="dxa"/>
            <w:vAlign w:val="top"/>
          </w:tcPr>
          <w:p w14:paraId="5098AD70">
            <w:pPr>
              <w:rPr>
                <w:rFonts w:ascii="Arial"/>
                <w:color w:val="auto"/>
                <w:sz w:val="21"/>
                <w:highlight w:val="none"/>
              </w:rPr>
            </w:pPr>
          </w:p>
        </w:tc>
        <w:tc>
          <w:tcPr>
            <w:tcW w:w="8111" w:type="dxa"/>
            <w:vAlign w:val="top"/>
          </w:tcPr>
          <w:p w14:paraId="4D004E88">
            <w:pPr>
              <w:pStyle w:val="12"/>
              <w:spacing w:before="269" w:line="418" w:lineRule="auto"/>
              <w:ind w:left="112" w:right="101" w:firstLine="4"/>
              <w:rPr>
                <w:color w:val="auto"/>
                <w:highlight w:val="none"/>
              </w:rPr>
            </w:pPr>
            <w:r>
              <w:rPr>
                <w:color w:val="auto"/>
                <w:spacing w:val="-1"/>
                <w:highlight w:val="none"/>
              </w:rPr>
              <w:t>3.供应商依法缴纳社会保障资金的相关材</w:t>
            </w:r>
            <w:r>
              <w:rPr>
                <w:color w:val="auto"/>
                <w:spacing w:val="-2"/>
                <w:highlight w:val="none"/>
              </w:rPr>
              <w:t>料[</w:t>
            </w:r>
            <w:r>
              <w:rPr>
                <w:rFonts w:hint="eastAsia"/>
                <w:color w:val="auto"/>
                <w:spacing w:val="-2"/>
                <w:highlight w:val="none"/>
                <w:u w:val="single" w:color="auto"/>
                <w:lang w:eastAsia="zh-CN"/>
              </w:rPr>
              <w:t>2026年06月至响应文件提交截止时间止</w:t>
            </w:r>
            <w:r>
              <w:rPr>
                <w:color w:val="auto"/>
                <w:spacing w:val="-2"/>
                <w:highlight w:val="none"/>
              </w:rPr>
              <w:t>任意1个月的依法缴纳社会保障资金的缴费凭证（如：专用收据、</w:t>
            </w:r>
            <w:r>
              <w:rPr>
                <w:color w:val="auto"/>
                <w:spacing w:val="-3"/>
                <w:highlight w:val="none"/>
              </w:rPr>
              <w:t>社会保险缴纳清单或者社保部门</w:t>
            </w:r>
            <w:r>
              <w:rPr>
                <w:color w:val="auto"/>
                <w:spacing w:val="-2"/>
                <w:highlight w:val="none"/>
              </w:rPr>
              <w:t>的证明）复印件；依法不需要缴纳社会保障资金的，必</w:t>
            </w:r>
            <w:r>
              <w:rPr>
                <w:color w:val="auto"/>
                <w:spacing w:val="-3"/>
                <w:highlight w:val="none"/>
              </w:rPr>
              <w:t>须提供相应文件证明不需要缴纳</w:t>
            </w:r>
            <w:r>
              <w:rPr>
                <w:color w:val="auto"/>
                <w:spacing w:val="-2"/>
                <w:highlight w:val="none"/>
              </w:rPr>
              <w:t>社会保障资金。从成立之日起到响应文件提交截止时间</w:t>
            </w:r>
            <w:r>
              <w:rPr>
                <w:color w:val="auto"/>
                <w:spacing w:val="-3"/>
                <w:highlight w:val="none"/>
              </w:rPr>
              <w:t>止不足要求月数的只需提供从成</w:t>
            </w:r>
            <w:r>
              <w:rPr>
                <w:color w:val="auto"/>
                <w:highlight w:val="none"/>
              </w:rPr>
              <w:t>立之日起的依法缴纳社会保障资金的相应证明文件]</w:t>
            </w:r>
            <w:r>
              <w:rPr>
                <w:color w:val="auto"/>
                <w:spacing w:val="-12"/>
                <w:highlight w:val="none"/>
              </w:rPr>
              <w:t>；（</w:t>
            </w:r>
            <w:r>
              <w:rPr>
                <w:b/>
                <w:bCs/>
                <w:color w:val="auto"/>
                <w:highlight w:val="none"/>
              </w:rPr>
              <w:t>必须提供，否则响应文件按无</w:t>
            </w:r>
            <w:r>
              <w:rPr>
                <w:b/>
                <w:bCs/>
                <w:color w:val="auto"/>
                <w:spacing w:val="-3"/>
                <w:highlight w:val="none"/>
              </w:rPr>
              <w:t>效响应处理</w:t>
            </w:r>
            <w:r>
              <w:rPr>
                <w:color w:val="auto"/>
                <w:spacing w:val="-3"/>
                <w:highlight w:val="none"/>
              </w:rPr>
              <w:t>）</w:t>
            </w:r>
          </w:p>
          <w:p w14:paraId="5EFD8E99">
            <w:pPr>
              <w:pStyle w:val="12"/>
              <w:spacing w:before="266" w:line="418" w:lineRule="auto"/>
              <w:ind w:left="111" w:right="102"/>
              <w:rPr>
                <w:color w:val="auto"/>
                <w:highlight w:val="none"/>
              </w:rPr>
            </w:pPr>
            <w:r>
              <w:rPr>
                <w:color w:val="auto"/>
                <w:spacing w:val="-1"/>
                <w:highlight w:val="none"/>
              </w:rPr>
              <w:t>4.供应商财务状况报告[</w:t>
            </w:r>
            <w:r>
              <w:rPr>
                <w:rFonts w:hint="eastAsia" w:ascii="Times New Roman" w:hAnsi="Times New Roman" w:eastAsia="宋体" w:cs="Times New Roman"/>
                <w:color w:val="auto"/>
                <w:spacing w:val="-1"/>
                <w:highlight w:val="none"/>
                <w:lang w:eastAsia="zh-CN"/>
              </w:rPr>
              <w:t>2024年或2025年度财务报表复印件，</w:t>
            </w:r>
            <w:r>
              <w:rPr>
                <w:color w:val="auto"/>
                <w:spacing w:val="-1"/>
                <w:highlight w:val="none"/>
              </w:rPr>
              <w:t>或者银行出具的资信证明，或者中</w:t>
            </w:r>
            <w:r>
              <w:rPr>
                <w:color w:val="auto"/>
                <w:spacing w:val="-2"/>
                <w:highlight w:val="none"/>
              </w:rPr>
              <w:t>国人民银行征信中心出具的信用报告（供应商属于成立</w:t>
            </w:r>
            <w:r>
              <w:rPr>
                <w:color w:val="auto"/>
                <w:spacing w:val="-3"/>
                <w:highlight w:val="none"/>
              </w:rPr>
              <w:t>时间在规定年度之后的法人或其</w:t>
            </w:r>
            <w:r>
              <w:rPr>
                <w:color w:val="auto"/>
                <w:spacing w:val="-2"/>
                <w:highlight w:val="none"/>
              </w:rPr>
              <w:t>他组织，需提供成立之日起至响应文件提交截止时间前</w:t>
            </w:r>
            <w:r>
              <w:rPr>
                <w:color w:val="auto"/>
                <w:spacing w:val="-3"/>
                <w:highlight w:val="none"/>
              </w:rPr>
              <w:t>的月报表或银行出具的资信证明</w:t>
            </w:r>
            <w:r>
              <w:rPr>
                <w:color w:val="auto"/>
                <w:spacing w:val="-2"/>
                <w:highlight w:val="none"/>
              </w:rPr>
              <w:t>或者中国人民银行征信中心出具的企业信用报告；资信</w:t>
            </w:r>
            <w:r>
              <w:rPr>
                <w:color w:val="auto"/>
                <w:spacing w:val="-3"/>
                <w:highlight w:val="none"/>
              </w:rPr>
              <w:t>证明应在有效期内，未注明有效</w:t>
            </w:r>
            <w:r>
              <w:rPr>
                <w:color w:val="auto"/>
                <w:spacing w:val="1"/>
                <w:highlight w:val="none"/>
              </w:rPr>
              <w:t>期的，银行出具时间至响应文件提交截止时间不超过一年）]</w:t>
            </w:r>
            <w:r>
              <w:rPr>
                <w:color w:val="auto"/>
                <w:spacing w:val="-27"/>
                <w:highlight w:val="none"/>
              </w:rPr>
              <w:t>；（</w:t>
            </w:r>
            <w:r>
              <w:rPr>
                <w:b/>
                <w:bCs/>
                <w:color w:val="auto"/>
                <w:spacing w:val="1"/>
                <w:highlight w:val="none"/>
              </w:rPr>
              <w:t>必须提供，否则响应</w:t>
            </w:r>
            <w:r>
              <w:rPr>
                <w:b/>
                <w:bCs/>
                <w:color w:val="auto"/>
                <w:spacing w:val="-2"/>
                <w:highlight w:val="none"/>
              </w:rPr>
              <w:t>文件按无效响应处理</w:t>
            </w:r>
            <w:r>
              <w:rPr>
                <w:color w:val="auto"/>
                <w:spacing w:val="-2"/>
                <w:highlight w:val="none"/>
              </w:rPr>
              <w:t>）</w:t>
            </w:r>
          </w:p>
          <w:p w14:paraId="6E92CAB3">
            <w:pPr>
              <w:pStyle w:val="12"/>
              <w:spacing w:before="269" w:line="220" w:lineRule="auto"/>
              <w:ind w:left="99" w:leftChars="47" w:right="2" w:firstLine="0" w:firstLineChars="0"/>
              <w:jc w:val="left"/>
              <w:rPr>
                <w:color w:val="auto"/>
                <w:highlight w:val="yellow"/>
              </w:rPr>
            </w:pPr>
            <w:r>
              <w:rPr>
                <w:color w:val="auto"/>
                <w:highlight w:val="none"/>
              </w:rPr>
              <w:t>5.供应商</w:t>
            </w:r>
            <w:r>
              <w:rPr>
                <w:rFonts w:hint="eastAsia"/>
                <w:color w:val="auto"/>
                <w:highlight w:val="none"/>
                <w:lang w:val="en-US" w:eastAsia="zh-CN"/>
              </w:rPr>
              <w:t>有效的资质证书复印件</w:t>
            </w:r>
            <w:r>
              <w:rPr>
                <w:color w:val="auto"/>
                <w:spacing w:val="-11"/>
                <w:highlight w:val="none"/>
              </w:rPr>
              <w:t>；（</w:t>
            </w:r>
            <w:r>
              <w:rPr>
                <w:b/>
                <w:bCs/>
                <w:color w:val="auto"/>
                <w:highlight w:val="none"/>
              </w:rPr>
              <w:t>必须提供，否则响应文件按无效响应</w:t>
            </w:r>
            <w:r>
              <w:rPr>
                <w:b/>
                <w:bCs/>
                <w:color w:val="auto"/>
                <w:spacing w:val="-1"/>
                <w:highlight w:val="none"/>
              </w:rPr>
              <w:t>处理</w:t>
            </w:r>
            <w:r>
              <w:rPr>
                <w:color w:val="auto"/>
                <w:spacing w:val="-1"/>
                <w:highlight w:val="none"/>
              </w:rPr>
              <w:t>）</w:t>
            </w:r>
          </w:p>
          <w:p w14:paraId="2A1CA73F">
            <w:pPr>
              <w:pStyle w:val="12"/>
              <w:spacing w:before="269" w:line="344" w:lineRule="auto"/>
              <w:ind w:left="113" w:right="102"/>
              <w:rPr>
                <w:color w:val="auto"/>
                <w:highlight w:val="none"/>
              </w:rPr>
            </w:pPr>
            <w:r>
              <w:rPr>
                <w:color w:val="auto"/>
                <w:spacing w:val="-1"/>
                <w:highlight w:val="none"/>
              </w:rPr>
              <w:t>6.供应商</w:t>
            </w:r>
            <w:r>
              <w:rPr>
                <w:color w:val="auto"/>
                <w:highlight w:val="none"/>
              </w:rPr>
              <w:t>直接控股</w:t>
            </w:r>
            <w:r>
              <w:rPr>
                <w:rFonts w:hint="eastAsia"/>
                <w:color w:val="auto"/>
                <w:highlight w:val="none"/>
                <w:lang w:val="en-US" w:eastAsia="zh-CN"/>
              </w:rPr>
              <w:t>股东</w:t>
            </w:r>
            <w:r>
              <w:rPr>
                <w:rFonts w:hint="eastAsia"/>
                <w:color w:val="auto"/>
                <w:highlight w:val="none"/>
                <w:lang w:eastAsia="zh-CN"/>
              </w:rPr>
              <w:t>、</w:t>
            </w:r>
            <w:r>
              <w:rPr>
                <w:color w:val="auto"/>
                <w:spacing w:val="-1"/>
                <w:highlight w:val="none"/>
              </w:rPr>
              <w:t>直接管理关系信息表（格式后附</w:t>
            </w:r>
            <w:r>
              <w:rPr>
                <w:color w:val="auto"/>
                <w:spacing w:val="-30"/>
                <w:highlight w:val="none"/>
              </w:rPr>
              <w:t>）；（</w:t>
            </w:r>
            <w:r>
              <w:rPr>
                <w:b/>
                <w:bCs/>
                <w:color w:val="auto"/>
                <w:spacing w:val="-1"/>
                <w:highlight w:val="none"/>
              </w:rPr>
              <w:t>必须提供，否则响应文件按无</w:t>
            </w:r>
            <w:r>
              <w:rPr>
                <w:b/>
                <w:bCs/>
                <w:color w:val="auto"/>
                <w:spacing w:val="-2"/>
                <w:highlight w:val="none"/>
              </w:rPr>
              <w:t>效响应处</w:t>
            </w:r>
            <w:r>
              <w:rPr>
                <w:b/>
                <w:bCs/>
                <w:color w:val="auto"/>
                <w:spacing w:val="-6"/>
                <w:highlight w:val="none"/>
              </w:rPr>
              <w:t>理</w:t>
            </w:r>
            <w:r>
              <w:rPr>
                <w:color w:val="auto"/>
                <w:spacing w:val="-6"/>
                <w:highlight w:val="none"/>
              </w:rPr>
              <w:t>）</w:t>
            </w:r>
          </w:p>
          <w:p w14:paraId="1EE10EE8">
            <w:pPr>
              <w:pStyle w:val="12"/>
              <w:spacing w:before="259" w:line="220" w:lineRule="auto"/>
              <w:ind w:left="117"/>
              <w:rPr>
                <w:color w:val="auto"/>
                <w:highlight w:val="none"/>
              </w:rPr>
            </w:pPr>
            <w:r>
              <w:rPr>
                <w:color w:val="auto"/>
                <w:highlight w:val="none"/>
              </w:rPr>
              <w:t>7.竞标声明（格式后附</w:t>
            </w:r>
            <w:r>
              <w:rPr>
                <w:color w:val="auto"/>
                <w:spacing w:val="-10"/>
                <w:highlight w:val="none"/>
              </w:rPr>
              <w:t>）；（</w:t>
            </w:r>
            <w:r>
              <w:rPr>
                <w:b/>
                <w:bCs/>
                <w:color w:val="auto"/>
                <w:highlight w:val="none"/>
              </w:rPr>
              <w:t>必须提供，否则响应文件按无效响应</w:t>
            </w:r>
            <w:r>
              <w:rPr>
                <w:b/>
                <w:bCs/>
                <w:color w:val="auto"/>
                <w:spacing w:val="-1"/>
                <w:highlight w:val="none"/>
              </w:rPr>
              <w:t>处理</w:t>
            </w:r>
            <w:r>
              <w:rPr>
                <w:color w:val="auto"/>
                <w:spacing w:val="-1"/>
                <w:highlight w:val="none"/>
              </w:rPr>
              <w:t>）</w:t>
            </w:r>
          </w:p>
          <w:p w14:paraId="03BB876F">
            <w:pPr>
              <w:pStyle w:val="12"/>
              <w:spacing w:before="268" w:line="406" w:lineRule="auto"/>
              <w:ind w:left="111" w:right="10" w:firstLine="1"/>
              <w:rPr>
                <w:color w:val="auto"/>
                <w:highlight w:val="none"/>
              </w:rPr>
            </w:pPr>
            <w:r>
              <w:rPr>
                <w:color w:val="auto"/>
                <w:spacing w:val="-2"/>
                <w:highlight w:val="none"/>
              </w:rPr>
              <w:t>8.供应商为中小微企业或者监狱企业或者残疾人福利性单</w:t>
            </w:r>
            <w:r>
              <w:rPr>
                <w:color w:val="auto"/>
                <w:spacing w:val="-3"/>
                <w:highlight w:val="none"/>
              </w:rPr>
              <w:t>位的资格证明材料【供应商为</w:t>
            </w:r>
            <w:r>
              <w:rPr>
                <w:color w:val="auto"/>
                <w:spacing w:val="-4"/>
                <w:highlight w:val="none"/>
              </w:rPr>
              <w:t>中小企业的应当提供《中小企业声明函》；供应商为</w:t>
            </w:r>
            <w:r>
              <w:rPr>
                <w:color w:val="auto"/>
                <w:spacing w:val="-5"/>
                <w:highlight w:val="none"/>
              </w:rPr>
              <w:t>残疾人福利性单位的应当提供《残</w:t>
            </w:r>
            <w:r>
              <w:rPr>
                <w:color w:val="auto"/>
                <w:spacing w:val="-4"/>
                <w:highlight w:val="none"/>
              </w:rPr>
              <w:t>疾人福利性单位声明函》；供应商为监狱企业的应当提供由省级以上监狱管理局、戒毒管理局（含新疆生产建设兵团）出具的属于监狱企业的证明文件】（</w:t>
            </w:r>
            <w:r>
              <w:rPr>
                <w:color w:val="auto"/>
                <w:spacing w:val="-5"/>
                <w:highlight w:val="none"/>
              </w:rPr>
              <w:t>声明函格式后附</w:t>
            </w:r>
            <w:r>
              <w:rPr>
                <w:color w:val="auto"/>
                <w:spacing w:val="-31"/>
                <w:highlight w:val="none"/>
              </w:rPr>
              <w:t>）</w:t>
            </w:r>
            <w:r>
              <w:rPr>
                <w:i/>
                <w:iCs/>
                <w:color w:val="auto"/>
                <w:spacing w:val="-31"/>
                <w:sz w:val="22"/>
                <w:szCs w:val="22"/>
                <w:highlight w:val="none"/>
              </w:rPr>
              <w:t>；</w:t>
            </w:r>
            <w:r>
              <w:rPr>
                <w:color w:val="auto"/>
                <w:spacing w:val="-2"/>
                <w:highlight w:val="none"/>
              </w:rPr>
              <w:t>（</w:t>
            </w:r>
            <w:r>
              <w:rPr>
                <w:b/>
                <w:bCs/>
                <w:color w:val="auto"/>
                <w:spacing w:val="-2"/>
                <w:highlight w:val="none"/>
              </w:rPr>
              <w:t>必须提供，否则响应文件按无效处理</w:t>
            </w:r>
            <w:r>
              <w:rPr>
                <w:color w:val="auto"/>
                <w:spacing w:val="-2"/>
                <w:highlight w:val="none"/>
              </w:rPr>
              <w:t>）</w:t>
            </w:r>
          </w:p>
          <w:p w14:paraId="6933D8D7">
            <w:pPr>
              <w:pStyle w:val="12"/>
              <w:spacing w:before="271" w:line="339" w:lineRule="auto"/>
              <w:ind w:left="112" w:right="102"/>
              <w:rPr>
                <w:b/>
                <w:bCs/>
                <w:color w:val="auto"/>
                <w:highlight w:val="none"/>
              </w:rPr>
            </w:pPr>
            <w:r>
              <w:rPr>
                <w:color w:val="auto"/>
                <w:spacing w:val="-1"/>
                <w:highlight w:val="none"/>
              </w:rPr>
              <w:t>9.</w:t>
            </w:r>
            <w:r>
              <w:rPr>
                <w:rFonts w:ascii="宋体" w:hAnsi="宋体" w:eastAsia="宋体" w:cs="宋体"/>
                <w:color w:val="auto"/>
                <w:spacing w:val="-4"/>
                <w:highlight w:val="none"/>
              </w:rPr>
              <w:t>联合体竞标协议书（格式后附）；</w:t>
            </w:r>
            <w:r>
              <w:rPr>
                <w:rFonts w:ascii="宋体" w:hAnsi="宋体" w:eastAsia="宋体" w:cs="宋体"/>
                <w:b/>
                <w:bCs/>
                <w:color w:val="auto"/>
                <w:spacing w:val="-4"/>
                <w:highlight w:val="none"/>
              </w:rPr>
              <w:t>（联合体竞标时必须提供，否则响应文件按无效响应处理）</w:t>
            </w:r>
          </w:p>
          <w:p w14:paraId="5A993313">
            <w:pPr>
              <w:pStyle w:val="12"/>
              <w:spacing w:before="269" w:line="341" w:lineRule="auto"/>
              <w:ind w:left="112" w:right="1203" w:firstLine="15"/>
              <w:rPr>
                <w:color w:val="auto"/>
                <w:highlight w:val="none"/>
              </w:rPr>
            </w:pPr>
            <w:r>
              <w:rPr>
                <w:color w:val="auto"/>
                <w:spacing w:val="-2"/>
                <w:highlight w:val="none"/>
              </w:rPr>
              <w:t>10.除磋商文件规定必须提供以外，供应商认为需要提供的其他证明材料。</w:t>
            </w:r>
            <w:r>
              <w:rPr>
                <w:b/>
                <w:bCs/>
                <w:color w:val="auto"/>
                <w:spacing w:val="-16"/>
                <w:highlight w:val="none"/>
              </w:rPr>
              <w:t>注：</w:t>
            </w:r>
          </w:p>
        </w:tc>
      </w:tr>
    </w:tbl>
    <w:p w14:paraId="594D8FEF">
      <w:pPr>
        <w:pStyle w:val="4"/>
        <w:rPr>
          <w:color w:val="auto"/>
          <w:highlight w:val="none"/>
        </w:rPr>
      </w:pPr>
    </w:p>
    <w:p w14:paraId="7D96D38E">
      <w:pPr>
        <w:rPr>
          <w:color w:val="auto"/>
          <w:highlight w:val="none"/>
        </w:rPr>
        <w:sectPr>
          <w:footerReference r:id="rId8" w:type="default"/>
          <w:pgSz w:w="11907" w:h="16839"/>
          <w:pgMar w:top="1431" w:right="1063" w:bottom="1154" w:left="1730" w:header="0" w:footer="954" w:gutter="0"/>
          <w:cols w:space="720" w:num="1"/>
        </w:sectPr>
      </w:pPr>
    </w:p>
    <w:p w14:paraId="1A041048">
      <w:pPr>
        <w:spacing w:line="91" w:lineRule="auto"/>
        <w:rPr>
          <w:rFonts w:ascii="Arial"/>
          <w:color w:val="auto"/>
          <w:sz w:val="2"/>
          <w:highlight w:val="none"/>
        </w:rPr>
      </w:pPr>
    </w:p>
    <w:tbl>
      <w:tblPr>
        <w:tblStyle w:val="11"/>
        <w:tblW w:w="91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5"/>
        <w:gridCol w:w="8111"/>
      </w:tblGrid>
      <w:tr w14:paraId="081656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10" w:hRule="atLeast"/>
        </w:trPr>
        <w:tc>
          <w:tcPr>
            <w:tcW w:w="995" w:type="dxa"/>
            <w:vAlign w:val="top"/>
          </w:tcPr>
          <w:p w14:paraId="6F2FB94C">
            <w:pPr>
              <w:rPr>
                <w:rFonts w:ascii="Arial"/>
                <w:color w:val="auto"/>
                <w:sz w:val="21"/>
                <w:highlight w:val="none"/>
              </w:rPr>
            </w:pPr>
          </w:p>
        </w:tc>
        <w:tc>
          <w:tcPr>
            <w:tcW w:w="8111" w:type="dxa"/>
            <w:vAlign w:val="top"/>
          </w:tcPr>
          <w:p w14:paraId="2841719D">
            <w:pPr>
              <w:pStyle w:val="12"/>
              <w:spacing w:before="241" w:line="339" w:lineRule="auto"/>
              <w:ind w:left="122" w:right="226" w:firstLine="417"/>
              <w:rPr>
                <w:color w:val="auto"/>
                <w:highlight w:val="none"/>
              </w:rPr>
            </w:pPr>
            <w:r>
              <w:rPr>
                <w:b/>
                <w:bCs/>
                <w:color w:val="auto"/>
                <w:spacing w:val="-3"/>
                <w:highlight w:val="none"/>
              </w:rPr>
              <w:t>1.以上标明“必须提供”的材料属于复印件的，必须加盖供应商电子签章，否则</w:t>
            </w:r>
            <w:r>
              <w:rPr>
                <w:b/>
                <w:bCs/>
                <w:color w:val="auto"/>
                <w:spacing w:val="-4"/>
                <w:highlight w:val="none"/>
              </w:rPr>
              <w:t>响应文件按无效处理。</w:t>
            </w:r>
          </w:p>
          <w:p w14:paraId="5E6B99D7">
            <w:pPr>
              <w:pStyle w:val="12"/>
              <w:spacing w:before="267" w:line="382" w:lineRule="auto"/>
              <w:ind w:left="112" w:right="198" w:firstLine="424"/>
              <w:rPr>
                <w:color w:val="auto"/>
                <w:highlight w:val="none"/>
              </w:rPr>
            </w:pPr>
            <w:r>
              <w:rPr>
                <w:b/>
                <w:bCs/>
                <w:color w:val="auto"/>
                <w:spacing w:val="-3"/>
                <w:highlight w:val="none"/>
              </w:rPr>
              <w:t>2.联合体竞标时，第1-</w:t>
            </w:r>
            <w:r>
              <w:rPr>
                <w:rFonts w:hint="eastAsia"/>
                <w:b/>
                <w:bCs/>
                <w:color w:val="auto"/>
                <w:spacing w:val="-3"/>
                <w:highlight w:val="none"/>
                <w:lang w:val="en-US" w:eastAsia="zh-CN"/>
              </w:rPr>
              <w:t>8</w:t>
            </w:r>
            <w:r>
              <w:rPr>
                <w:b/>
                <w:bCs/>
                <w:color w:val="auto"/>
                <w:spacing w:val="-3"/>
                <w:highlight w:val="none"/>
              </w:rPr>
              <w:t>项资格证明文件联合体各方均必须分别提供，并由联合</w:t>
            </w:r>
            <w:r>
              <w:rPr>
                <w:b/>
                <w:bCs/>
                <w:color w:val="auto"/>
                <w:spacing w:val="-2"/>
                <w:highlight w:val="none"/>
              </w:rPr>
              <w:t>体牵头人加盖电子签章，规定签字处签字（或者电子签名</w:t>
            </w:r>
            <w:r>
              <w:rPr>
                <w:b/>
                <w:bCs/>
                <w:color w:val="auto"/>
                <w:spacing w:val="9"/>
                <w:highlight w:val="none"/>
              </w:rPr>
              <w:t>），</w:t>
            </w:r>
            <w:r>
              <w:rPr>
                <w:b/>
                <w:bCs/>
                <w:color w:val="auto"/>
                <w:spacing w:val="-2"/>
                <w:highlight w:val="none"/>
              </w:rPr>
              <w:t>否则</w:t>
            </w:r>
            <w:r>
              <w:rPr>
                <w:b/>
                <w:bCs/>
                <w:color w:val="auto"/>
                <w:spacing w:val="-3"/>
                <w:highlight w:val="none"/>
              </w:rPr>
              <w:t>响应文件按无效处</w:t>
            </w:r>
            <w:r>
              <w:rPr>
                <w:b/>
                <w:bCs/>
                <w:color w:val="auto"/>
                <w:spacing w:val="-12"/>
                <w:highlight w:val="none"/>
              </w:rPr>
              <w:t>理。</w:t>
            </w:r>
          </w:p>
        </w:tc>
      </w:tr>
      <w:tr w14:paraId="4E542D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995" w:type="dxa"/>
            <w:vAlign w:val="top"/>
          </w:tcPr>
          <w:p w14:paraId="6358C302">
            <w:pPr>
              <w:spacing w:line="341" w:lineRule="auto"/>
              <w:rPr>
                <w:rFonts w:ascii="Arial"/>
                <w:color w:val="auto"/>
                <w:sz w:val="21"/>
                <w:highlight w:val="none"/>
              </w:rPr>
            </w:pPr>
          </w:p>
          <w:p w14:paraId="76047272">
            <w:pPr>
              <w:spacing w:line="342" w:lineRule="auto"/>
              <w:rPr>
                <w:rFonts w:ascii="Arial"/>
                <w:color w:val="auto"/>
                <w:sz w:val="21"/>
                <w:highlight w:val="none"/>
              </w:rPr>
            </w:pPr>
          </w:p>
          <w:p w14:paraId="1C78F3E1">
            <w:pPr>
              <w:pStyle w:val="12"/>
              <w:spacing w:before="68"/>
              <w:ind w:left="203"/>
              <w:rPr>
                <w:color w:val="auto"/>
                <w:highlight w:val="none"/>
              </w:rPr>
            </w:pPr>
            <w:r>
              <w:rPr>
                <w:color w:val="auto"/>
                <w:spacing w:val="-3"/>
                <w:highlight w:val="none"/>
              </w:rPr>
              <w:t>12.1.2</w:t>
            </w:r>
          </w:p>
        </w:tc>
        <w:tc>
          <w:tcPr>
            <w:tcW w:w="8111" w:type="dxa"/>
            <w:vAlign w:val="top"/>
          </w:tcPr>
          <w:p w14:paraId="4E0FB558">
            <w:pPr>
              <w:pStyle w:val="12"/>
              <w:spacing w:before="235" w:line="219" w:lineRule="auto"/>
              <w:ind w:left="110"/>
              <w:rPr>
                <w:color w:val="auto"/>
                <w:highlight w:val="none"/>
              </w:rPr>
            </w:pPr>
            <w:r>
              <w:rPr>
                <w:b/>
                <w:bCs/>
                <w:color w:val="auto"/>
                <w:spacing w:val="-3"/>
                <w:highlight w:val="none"/>
              </w:rPr>
              <w:t>报价文件</w:t>
            </w:r>
          </w:p>
          <w:p w14:paraId="231DD439">
            <w:pPr>
              <w:pStyle w:val="12"/>
              <w:spacing w:before="271" w:line="219" w:lineRule="auto"/>
              <w:ind w:left="127"/>
              <w:rPr>
                <w:color w:val="auto"/>
                <w:highlight w:val="none"/>
              </w:rPr>
            </w:pPr>
            <w:r>
              <w:rPr>
                <w:color w:val="auto"/>
                <w:spacing w:val="-1"/>
                <w:highlight w:val="none"/>
              </w:rPr>
              <w:t>1.竞标报价表（格式后附</w:t>
            </w:r>
            <w:r>
              <w:rPr>
                <w:color w:val="auto"/>
                <w:spacing w:val="-6"/>
                <w:highlight w:val="none"/>
              </w:rPr>
              <w:t>）；（</w:t>
            </w:r>
            <w:r>
              <w:rPr>
                <w:b/>
                <w:bCs/>
                <w:color w:val="auto"/>
                <w:spacing w:val="-1"/>
                <w:highlight w:val="none"/>
              </w:rPr>
              <w:t>必须提供，否则响应文件按无效响应处理</w:t>
            </w:r>
            <w:r>
              <w:rPr>
                <w:color w:val="auto"/>
                <w:spacing w:val="-1"/>
                <w:highlight w:val="none"/>
              </w:rPr>
              <w:t>）</w:t>
            </w:r>
          </w:p>
          <w:p w14:paraId="1E2617A9">
            <w:pPr>
              <w:pStyle w:val="12"/>
              <w:spacing w:before="271" w:line="220" w:lineRule="auto"/>
              <w:ind w:left="114"/>
              <w:rPr>
                <w:color w:val="auto"/>
                <w:highlight w:val="none"/>
              </w:rPr>
            </w:pPr>
            <w:r>
              <w:rPr>
                <w:color w:val="auto"/>
                <w:spacing w:val="-2"/>
                <w:highlight w:val="none"/>
              </w:rPr>
              <w:t>2.供应商认为需要提供的其他有关资料。</w:t>
            </w:r>
          </w:p>
        </w:tc>
      </w:tr>
      <w:tr w14:paraId="01D397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4" w:hRule="atLeast"/>
        </w:trPr>
        <w:tc>
          <w:tcPr>
            <w:tcW w:w="995" w:type="dxa"/>
            <w:vAlign w:val="top"/>
          </w:tcPr>
          <w:p w14:paraId="01B61E01">
            <w:pPr>
              <w:spacing w:line="252" w:lineRule="auto"/>
              <w:rPr>
                <w:rFonts w:ascii="Arial"/>
                <w:color w:val="auto"/>
                <w:sz w:val="21"/>
                <w:highlight w:val="none"/>
              </w:rPr>
            </w:pPr>
          </w:p>
          <w:p w14:paraId="4B37D6FB">
            <w:pPr>
              <w:spacing w:line="252" w:lineRule="auto"/>
              <w:rPr>
                <w:rFonts w:ascii="Arial"/>
                <w:color w:val="auto"/>
                <w:sz w:val="21"/>
                <w:highlight w:val="none"/>
              </w:rPr>
            </w:pPr>
          </w:p>
          <w:p w14:paraId="1F2796AF">
            <w:pPr>
              <w:spacing w:line="252" w:lineRule="auto"/>
              <w:rPr>
                <w:rFonts w:ascii="Arial"/>
                <w:color w:val="auto"/>
                <w:sz w:val="21"/>
                <w:highlight w:val="none"/>
              </w:rPr>
            </w:pPr>
          </w:p>
          <w:p w14:paraId="7B2DAB03">
            <w:pPr>
              <w:spacing w:line="253" w:lineRule="auto"/>
              <w:rPr>
                <w:rFonts w:ascii="Arial"/>
                <w:color w:val="auto"/>
                <w:sz w:val="21"/>
                <w:highlight w:val="none"/>
              </w:rPr>
            </w:pPr>
          </w:p>
          <w:p w14:paraId="6B9E0373">
            <w:pPr>
              <w:spacing w:line="253" w:lineRule="auto"/>
              <w:rPr>
                <w:rFonts w:ascii="Arial"/>
                <w:color w:val="auto"/>
                <w:sz w:val="21"/>
                <w:highlight w:val="none"/>
              </w:rPr>
            </w:pPr>
          </w:p>
          <w:p w14:paraId="4C14DF7F">
            <w:pPr>
              <w:spacing w:line="253" w:lineRule="auto"/>
              <w:rPr>
                <w:rFonts w:ascii="Arial"/>
                <w:color w:val="auto"/>
                <w:sz w:val="21"/>
                <w:highlight w:val="none"/>
              </w:rPr>
            </w:pPr>
          </w:p>
          <w:p w14:paraId="1576322A">
            <w:pPr>
              <w:spacing w:line="253" w:lineRule="auto"/>
              <w:rPr>
                <w:rFonts w:ascii="Arial"/>
                <w:color w:val="auto"/>
                <w:sz w:val="21"/>
                <w:highlight w:val="none"/>
              </w:rPr>
            </w:pPr>
          </w:p>
          <w:p w14:paraId="296B47A1">
            <w:pPr>
              <w:spacing w:line="253" w:lineRule="auto"/>
              <w:rPr>
                <w:rFonts w:ascii="Arial"/>
                <w:color w:val="auto"/>
                <w:sz w:val="21"/>
                <w:highlight w:val="none"/>
              </w:rPr>
            </w:pPr>
          </w:p>
          <w:p w14:paraId="43EB228D">
            <w:pPr>
              <w:spacing w:line="253" w:lineRule="auto"/>
              <w:rPr>
                <w:rFonts w:ascii="Arial"/>
                <w:color w:val="auto"/>
                <w:sz w:val="21"/>
                <w:highlight w:val="none"/>
              </w:rPr>
            </w:pPr>
          </w:p>
          <w:p w14:paraId="68E0D461">
            <w:pPr>
              <w:spacing w:line="253" w:lineRule="auto"/>
              <w:rPr>
                <w:rFonts w:ascii="Arial"/>
                <w:color w:val="auto"/>
                <w:sz w:val="21"/>
                <w:highlight w:val="none"/>
              </w:rPr>
            </w:pPr>
          </w:p>
          <w:p w14:paraId="0AD66C31">
            <w:pPr>
              <w:spacing w:line="253" w:lineRule="auto"/>
              <w:rPr>
                <w:rFonts w:ascii="Arial"/>
                <w:color w:val="auto"/>
                <w:sz w:val="21"/>
                <w:highlight w:val="none"/>
              </w:rPr>
            </w:pPr>
          </w:p>
          <w:p w14:paraId="7E870346">
            <w:pPr>
              <w:spacing w:line="253" w:lineRule="auto"/>
              <w:rPr>
                <w:rFonts w:ascii="Arial"/>
                <w:color w:val="auto"/>
                <w:sz w:val="21"/>
                <w:highlight w:val="none"/>
              </w:rPr>
            </w:pPr>
          </w:p>
          <w:p w14:paraId="0C75C7A8">
            <w:pPr>
              <w:spacing w:line="253" w:lineRule="auto"/>
              <w:rPr>
                <w:rFonts w:ascii="Arial"/>
                <w:color w:val="auto"/>
                <w:sz w:val="21"/>
                <w:highlight w:val="none"/>
              </w:rPr>
            </w:pPr>
          </w:p>
          <w:p w14:paraId="324EE4FF">
            <w:pPr>
              <w:spacing w:line="253" w:lineRule="auto"/>
              <w:rPr>
                <w:rFonts w:ascii="Arial"/>
                <w:color w:val="auto"/>
                <w:sz w:val="21"/>
                <w:highlight w:val="none"/>
              </w:rPr>
            </w:pPr>
          </w:p>
          <w:p w14:paraId="0492A37B">
            <w:pPr>
              <w:spacing w:line="253" w:lineRule="auto"/>
              <w:rPr>
                <w:rFonts w:ascii="Arial"/>
                <w:color w:val="auto"/>
                <w:sz w:val="21"/>
                <w:highlight w:val="none"/>
              </w:rPr>
            </w:pPr>
          </w:p>
          <w:p w14:paraId="5C28DA90">
            <w:pPr>
              <w:spacing w:line="253" w:lineRule="auto"/>
              <w:rPr>
                <w:rFonts w:ascii="Arial"/>
                <w:color w:val="auto"/>
                <w:sz w:val="21"/>
                <w:highlight w:val="none"/>
              </w:rPr>
            </w:pPr>
          </w:p>
          <w:p w14:paraId="43E02B3D">
            <w:pPr>
              <w:pStyle w:val="12"/>
              <w:spacing w:before="69"/>
              <w:ind w:left="203"/>
              <w:rPr>
                <w:color w:val="auto"/>
                <w:highlight w:val="none"/>
              </w:rPr>
            </w:pPr>
            <w:r>
              <w:rPr>
                <w:color w:val="auto"/>
                <w:spacing w:val="-4"/>
                <w:highlight w:val="none"/>
              </w:rPr>
              <w:t>12.1.3</w:t>
            </w:r>
          </w:p>
        </w:tc>
        <w:tc>
          <w:tcPr>
            <w:tcW w:w="8111" w:type="dxa"/>
            <w:vAlign w:val="top"/>
          </w:tcPr>
          <w:p w14:paraId="42F31364">
            <w:pPr>
              <w:pStyle w:val="12"/>
              <w:spacing w:before="238" w:line="221" w:lineRule="auto"/>
              <w:ind w:left="116"/>
              <w:rPr>
                <w:color w:val="auto"/>
                <w:highlight w:val="none"/>
              </w:rPr>
            </w:pPr>
            <w:r>
              <w:rPr>
                <w:b/>
                <w:bCs/>
                <w:color w:val="auto"/>
                <w:spacing w:val="-3"/>
                <w:highlight w:val="none"/>
              </w:rPr>
              <w:t>商务技术文件</w:t>
            </w:r>
          </w:p>
          <w:p w14:paraId="000E1432">
            <w:pPr>
              <w:pStyle w:val="12"/>
              <w:spacing w:before="267" w:line="220" w:lineRule="auto"/>
              <w:jc w:val="right"/>
              <w:rPr>
                <w:color w:val="auto"/>
                <w:highlight w:val="none"/>
              </w:rPr>
            </w:pPr>
            <w:r>
              <w:rPr>
                <w:color w:val="auto"/>
                <w:spacing w:val="-3"/>
                <w:highlight w:val="none"/>
              </w:rPr>
              <w:t>1.无串通竞标行为的承诺函（格式后附</w:t>
            </w:r>
            <w:r>
              <w:rPr>
                <w:color w:val="auto"/>
                <w:spacing w:val="-51"/>
                <w:highlight w:val="none"/>
              </w:rPr>
              <w:t>）；（</w:t>
            </w:r>
            <w:r>
              <w:rPr>
                <w:b/>
                <w:bCs/>
                <w:color w:val="auto"/>
                <w:spacing w:val="-3"/>
                <w:highlight w:val="none"/>
              </w:rPr>
              <w:t>必须提供，否则响应文件按无效响应处理</w:t>
            </w:r>
            <w:r>
              <w:rPr>
                <w:color w:val="auto"/>
                <w:spacing w:val="-3"/>
                <w:highlight w:val="none"/>
              </w:rPr>
              <w:t>）</w:t>
            </w:r>
          </w:p>
          <w:p w14:paraId="1BBD6B6F">
            <w:pPr>
              <w:pStyle w:val="12"/>
              <w:spacing w:before="270" w:line="339" w:lineRule="auto"/>
              <w:ind w:left="113" w:right="104" w:firstLine="1"/>
              <w:rPr>
                <w:color w:val="auto"/>
                <w:highlight w:val="none"/>
              </w:rPr>
            </w:pPr>
            <w:r>
              <w:rPr>
                <w:color w:val="auto"/>
                <w:highlight w:val="none"/>
              </w:rPr>
              <w:t>2.法定代表人身份证明书及法定代表人有效身份证正反面复印件（格式后</w:t>
            </w:r>
            <w:r>
              <w:rPr>
                <w:color w:val="auto"/>
                <w:spacing w:val="-1"/>
                <w:highlight w:val="none"/>
              </w:rPr>
              <w:t>附</w:t>
            </w:r>
            <w:r>
              <w:rPr>
                <w:color w:val="auto"/>
                <w:spacing w:val="-32"/>
                <w:highlight w:val="none"/>
              </w:rPr>
              <w:t>）；（</w:t>
            </w:r>
            <w:r>
              <w:rPr>
                <w:b/>
                <w:bCs/>
                <w:color w:val="auto"/>
                <w:spacing w:val="-1"/>
                <w:highlight w:val="none"/>
              </w:rPr>
              <w:t>除自</w:t>
            </w:r>
            <w:r>
              <w:rPr>
                <w:b/>
                <w:bCs/>
                <w:color w:val="auto"/>
                <w:spacing w:val="-2"/>
                <w:highlight w:val="none"/>
              </w:rPr>
              <w:t>然人竞标外必须提供，否则响应文件按无效响应处理</w:t>
            </w:r>
            <w:r>
              <w:rPr>
                <w:color w:val="auto"/>
                <w:spacing w:val="-2"/>
                <w:highlight w:val="none"/>
              </w:rPr>
              <w:t>）</w:t>
            </w:r>
          </w:p>
          <w:p w14:paraId="678A8791">
            <w:pPr>
              <w:pStyle w:val="12"/>
              <w:spacing w:before="268" w:line="339" w:lineRule="auto"/>
              <w:ind w:left="118" w:right="44" w:hanging="2"/>
              <w:rPr>
                <w:color w:val="auto"/>
                <w:highlight w:val="none"/>
              </w:rPr>
            </w:pPr>
            <w:r>
              <w:rPr>
                <w:color w:val="auto"/>
                <w:spacing w:val="-2"/>
                <w:highlight w:val="none"/>
              </w:rPr>
              <w:t>3.授权委托书及委托代理人有效身份证正反面复印件（格式</w:t>
            </w:r>
            <w:r>
              <w:rPr>
                <w:color w:val="auto"/>
                <w:spacing w:val="-3"/>
                <w:highlight w:val="none"/>
              </w:rPr>
              <w:t>后附</w:t>
            </w:r>
            <w:r>
              <w:rPr>
                <w:color w:val="auto"/>
                <w:spacing w:val="-57"/>
                <w:w w:val="98"/>
                <w:highlight w:val="none"/>
              </w:rPr>
              <w:t>）；（</w:t>
            </w:r>
            <w:r>
              <w:rPr>
                <w:b/>
                <w:bCs/>
                <w:color w:val="auto"/>
                <w:spacing w:val="-3"/>
                <w:highlight w:val="none"/>
              </w:rPr>
              <w:t>委托时必须提供，否则响应文件按无效响应处理</w:t>
            </w:r>
            <w:r>
              <w:rPr>
                <w:color w:val="auto"/>
                <w:spacing w:val="-3"/>
                <w:highlight w:val="none"/>
              </w:rPr>
              <w:t>）</w:t>
            </w:r>
          </w:p>
          <w:p w14:paraId="1F7EEB71">
            <w:pPr>
              <w:pStyle w:val="12"/>
              <w:spacing w:before="269" w:line="220" w:lineRule="auto"/>
              <w:ind w:left="111"/>
              <w:rPr>
                <w:color w:val="auto"/>
                <w:highlight w:val="none"/>
              </w:rPr>
            </w:pPr>
            <w:r>
              <w:rPr>
                <w:color w:val="auto"/>
                <w:highlight w:val="none"/>
              </w:rPr>
              <w:t>4.商务要求偏离表（格式后附</w:t>
            </w:r>
            <w:r>
              <w:rPr>
                <w:color w:val="auto"/>
                <w:spacing w:val="-10"/>
                <w:highlight w:val="none"/>
              </w:rPr>
              <w:t>）；（</w:t>
            </w:r>
            <w:r>
              <w:rPr>
                <w:b/>
                <w:bCs/>
                <w:color w:val="auto"/>
                <w:highlight w:val="none"/>
              </w:rPr>
              <w:t>必须提供，否则响应文件按无效响应</w:t>
            </w:r>
            <w:r>
              <w:rPr>
                <w:b/>
                <w:bCs/>
                <w:color w:val="auto"/>
                <w:spacing w:val="-1"/>
                <w:highlight w:val="none"/>
              </w:rPr>
              <w:t>处理</w:t>
            </w:r>
            <w:r>
              <w:rPr>
                <w:color w:val="auto"/>
                <w:spacing w:val="-1"/>
                <w:highlight w:val="none"/>
              </w:rPr>
              <w:t>）</w:t>
            </w:r>
          </w:p>
          <w:p w14:paraId="25F2A0E3">
            <w:pPr>
              <w:pStyle w:val="12"/>
              <w:spacing w:before="268" w:line="220" w:lineRule="auto"/>
              <w:ind w:left="116"/>
              <w:rPr>
                <w:color w:val="auto"/>
                <w:highlight w:val="none"/>
              </w:rPr>
            </w:pPr>
            <w:r>
              <w:rPr>
                <w:color w:val="auto"/>
                <w:highlight w:val="none"/>
              </w:rPr>
              <w:t>5.技术要求偏离表（格式后附</w:t>
            </w:r>
            <w:r>
              <w:rPr>
                <w:color w:val="auto"/>
                <w:spacing w:val="-10"/>
                <w:highlight w:val="none"/>
              </w:rPr>
              <w:t>）；（</w:t>
            </w:r>
            <w:r>
              <w:rPr>
                <w:b/>
                <w:bCs/>
                <w:color w:val="auto"/>
                <w:highlight w:val="none"/>
              </w:rPr>
              <w:t>必须提供，否则响应文</w:t>
            </w:r>
            <w:r>
              <w:rPr>
                <w:b/>
                <w:bCs/>
                <w:color w:val="auto"/>
                <w:spacing w:val="-1"/>
                <w:highlight w:val="none"/>
              </w:rPr>
              <w:t>件按无效响应处理</w:t>
            </w:r>
            <w:r>
              <w:rPr>
                <w:color w:val="auto"/>
                <w:spacing w:val="-1"/>
                <w:highlight w:val="none"/>
              </w:rPr>
              <w:t>）</w:t>
            </w:r>
          </w:p>
          <w:p w14:paraId="2277A9A0">
            <w:pPr>
              <w:pStyle w:val="12"/>
              <w:spacing w:before="271" w:line="339" w:lineRule="auto"/>
              <w:ind w:left="113" w:right="102"/>
              <w:rPr>
                <w:color w:val="auto"/>
                <w:highlight w:val="none"/>
              </w:rPr>
            </w:pPr>
            <w:r>
              <w:rPr>
                <w:color w:val="auto"/>
                <w:highlight w:val="none"/>
              </w:rPr>
              <w:t>6.技术方案（包括但不限于</w:t>
            </w:r>
            <w:r>
              <w:rPr>
                <w:rFonts w:hint="eastAsia"/>
                <w:color w:val="auto"/>
                <w:highlight w:val="none"/>
                <w:lang w:val="en-US" w:eastAsia="zh-CN"/>
              </w:rPr>
              <w:t>评审因素所列的内容</w:t>
            </w:r>
            <w:r>
              <w:rPr>
                <w:color w:val="auto"/>
                <w:highlight w:val="none"/>
              </w:rPr>
              <w:t>）</w:t>
            </w:r>
            <w:r>
              <w:rPr>
                <w:color w:val="auto"/>
                <w:spacing w:val="-1"/>
                <w:highlight w:val="none"/>
              </w:rPr>
              <w:t>（格式自拟</w:t>
            </w:r>
            <w:r>
              <w:rPr>
                <w:color w:val="auto"/>
                <w:spacing w:val="-12"/>
                <w:highlight w:val="none"/>
              </w:rPr>
              <w:t>）；</w:t>
            </w:r>
          </w:p>
          <w:p w14:paraId="6090A0CD">
            <w:pPr>
              <w:pStyle w:val="12"/>
              <w:spacing w:before="268" w:line="220" w:lineRule="auto"/>
              <w:ind w:left="117"/>
              <w:rPr>
                <w:color w:val="auto"/>
                <w:highlight w:val="none"/>
              </w:rPr>
            </w:pPr>
            <w:r>
              <w:rPr>
                <w:color w:val="auto"/>
                <w:spacing w:val="-1"/>
                <w:highlight w:val="none"/>
              </w:rPr>
              <w:t>7.项目实施人员一览表（格式自拟</w:t>
            </w:r>
            <w:r>
              <w:rPr>
                <w:color w:val="auto"/>
                <w:spacing w:val="2"/>
                <w:highlight w:val="none"/>
              </w:rPr>
              <w:t>）；</w:t>
            </w:r>
          </w:p>
          <w:p w14:paraId="79D44200">
            <w:pPr>
              <w:pStyle w:val="12"/>
              <w:spacing w:before="270" w:line="220" w:lineRule="auto"/>
              <w:ind w:left="113"/>
              <w:rPr>
                <w:color w:val="auto"/>
                <w:highlight w:val="none"/>
              </w:rPr>
            </w:pPr>
            <w:r>
              <w:rPr>
                <w:color w:val="auto"/>
                <w:spacing w:val="-1"/>
                <w:highlight w:val="none"/>
              </w:rPr>
              <w:t>8.代理服务费承诺书（格式后附</w:t>
            </w:r>
            <w:r>
              <w:rPr>
                <w:color w:val="auto"/>
                <w:spacing w:val="-8"/>
                <w:highlight w:val="none"/>
              </w:rPr>
              <w:t>）；</w:t>
            </w:r>
          </w:p>
          <w:p w14:paraId="1FAAE291">
            <w:pPr>
              <w:pStyle w:val="12"/>
              <w:spacing w:before="271" w:line="220" w:lineRule="auto"/>
              <w:ind w:left="113"/>
              <w:rPr>
                <w:color w:val="auto"/>
                <w:highlight w:val="none"/>
              </w:rPr>
            </w:pPr>
            <w:r>
              <w:rPr>
                <w:color w:val="auto"/>
                <w:highlight w:val="none"/>
              </w:rPr>
              <w:t>9.对应采购需求的技术要求、商务要求提供的其他文件资料</w:t>
            </w:r>
            <w:r>
              <w:rPr>
                <w:color w:val="auto"/>
                <w:spacing w:val="-1"/>
                <w:highlight w:val="none"/>
              </w:rPr>
              <w:t>（格式自拟</w:t>
            </w:r>
            <w:r>
              <w:rPr>
                <w:color w:val="auto"/>
                <w:spacing w:val="-13"/>
                <w:highlight w:val="none"/>
              </w:rPr>
              <w:t>）；</w:t>
            </w:r>
          </w:p>
          <w:p w14:paraId="165C60FB">
            <w:pPr>
              <w:pStyle w:val="12"/>
              <w:spacing w:before="268" w:line="220" w:lineRule="auto"/>
              <w:ind w:left="127"/>
              <w:rPr>
                <w:color w:val="auto"/>
                <w:highlight w:val="none"/>
              </w:rPr>
            </w:pPr>
            <w:r>
              <w:rPr>
                <w:color w:val="auto"/>
                <w:spacing w:val="-1"/>
                <w:highlight w:val="none"/>
              </w:rPr>
              <w:t>10.供应商认为需要提供的其他有关资料。</w:t>
            </w:r>
          </w:p>
          <w:p w14:paraId="494870B8">
            <w:pPr>
              <w:pStyle w:val="12"/>
              <w:spacing w:before="270" w:line="350" w:lineRule="auto"/>
              <w:ind w:left="112" w:right="217"/>
              <w:rPr>
                <w:color w:val="auto"/>
                <w:highlight w:val="none"/>
              </w:rPr>
            </w:pPr>
            <w:r>
              <w:rPr>
                <w:b/>
                <w:bCs/>
                <w:color w:val="auto"/>
                <w:spacing w:val="-2"/>
                <w:highlight w:val="none"/>
              </w:rPr>
              <w:t>注：以上标明“必须提供”的材料属于复印件的，必须加盖供应商电子签章，</w:t>
            </w:r>
            <w:r>
              <w:rPr>
                <w:b/>
                <w:bCs/>
                <w:color w:val="auto"/>
                <w:spacing w:val="-3"/>
                <w:highlight w:val="none"/>
              </w:rPr>
              <w:t>否则响</w:t>
            </w:r>
            <w:r>
              <w:rPr>
                <w:b/>
                <w:bCs/>
                <w:color w:val="auto"/>
                <w:spacing w:val="-4"/>
                <w:highlight w:val="none"/>
              </w:rPr>
              <w:t>应文件按无效响应处理。</w:t>
            </w:r>
          </w:p>
        </w:tc>
      </w:tr>
      <w:tr w14:paraId="01D220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8" w:hRule="atLeast"/>
        </w:trPr>
        <w:tc>
          <w:tcPr>
            <w:tcW w:w="995" w:type="dxa"/>
            <w:vAlign w:val="top"/>
          </w:tcPr>
          <w:p w14:paraId="01257830">
            <w:pPr>
              <w:spacing w:line="429" w:lineRule="auto"/>
              <w:rPr>
                <w:rFonts w:ascii="Arial"/>
                <w:color w:val="auto"/>
                <w:sz w:val="21"/>
                <w:highlight w:val="none"/>
              </w:rPr>
            </w:pPr>
          </w:p>
          <w:p w14:paraId="7D43499D">
            <w:pPr>
              <w:pStyle w:val="12"/>
              <w:spacing w:before="68"/>
              <w:ind w:left="309"/>
              <w:rPr>
                <w:color w:val="auto"/>
                <w:highlight w:val="none"/>
              </w:rPr>
            </w:pPr>
            <w:r>
              <w:rPr>
                <w:color w:val="auto"/>
                <w:spacing w:val="-5"/>
                <w:highlight w:val="none"/>
              </w:rPr>
              <w:t>15.2</w:t>
            </w:r>
          </w:p>
        </w:tc>
        <w:tc>
          <w:tcPr>
            <w:tcW w:w="8111" w:type="dxa"/>
            <w:vAlign w:val="top"/>
          </w:tcPr>
          <w:p w14:paraId="7094A1E4">
            <w:pPr>
              <w:pStyle w:val="12"/>
              <w:spacing w:before="239" w:line="351" w:lineRule="auto"/>
              <w:ind w:left="115" w:right="102" w:firstLine="432"/>
              <w:rPr>
                <w:color w:val="auto"/>
                <w:highlight w:val="none"/>
              </w:rPr>
            </w:pPr>
            <w:r>
              <w:rPr>
                <w:color w:val="auto"/>
                <w:spacing w:val="-3"/>
                <w:highlight w:val="none"/>
              </w:rPr>
              <w:t>1.竞标报价：供应商必须就本竞争性磋商文件采购内容所竞标的全部内容作完整唯</w:t>
            </w:r>
            <w:r>
              <w:rPr>
                <w:color w:val="auto"/>
                <w:spacing w:val="-1"/>
                <w:highlight w:val="none"/>
              </w:rPr>
              <w:t>一报价，否则，其竞标将被拒绝。</w:t>
            </w:r>
          </w:p>
        </w:tc>
      </w:tr>
    </w:tbl>
    <w:p w14:paraId="2DD19AEC">
      <w:pPr>
        <w:pStyle w:val="4"/>
        <w:rPr>
          <w:color w:val="auto"/>
          <w:highlight w:val="none"/>
        </w:rPr>
      </w:pPr>
    </w:p>
    <w:p w14:paraId="601AB844">
      <w:pPr>
        <w:rPr>
          <w:color w:val="auto"/>
          <w:highlight w:val="none"/>
        </w:rPr>
        <w:sectPr>
          <w:footerReference r:id="rId9" w:type="default"/>
          <w:pgSz w:w="11907" w:h="16839"/>
          <w:pgMar w:top="1431" w:right="1063" w:bottom="1154" w:left="1730" w:header="0" w:footer="954" w:gutter="0"/>
          <w:cols w:space="720" w:num="1"/>
        </w:sectPr>
      </w:pPr>
    </w:p>
    <w:p w14:paraId="5C5912F2">
      <w:pPr>
        <w:spacing w:line="91" w:lineRule="auto"/>
        <w:rPr>
          <w:rFonts w:ascii="Arial"/>
          <w:color w:val="auto"/>
          <w:sz w:val="2"/>
          <w:highlight w:val="none"/>
        </w:rPr>
      </w:pPr>
    </w:p>
    <w:tbl>
      <w:tblPr>
        <w:tblStyle w:val="11"/>
        <w:tblW w:w="91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5"/>
        <w:gridCol w:w="8111"/>
      </w:tblGrid>
      <w:tr w14:paraId="492365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9" w:hRule="atLeast"/>
        </w:trPr>
        <w:tc>
          <w:tcPr>
            <w:tcW w:w="995" w:type="dxa"/>
            <w:vAlign w:val="top"/>
          </w:tcPr>
          <w:p w14:paraId="31BDC386">
            <w:pPr>
              <w:rPr>
                <w:rFonts w:ascii="Arial"/>
                <w:color w:val="auto"/>
                <w:sz w:val="21"/>
                <w:highlight w:val="none"/>
              </w:rPr>
            </w:pPr>
          </w:p>
        </w:tc>
        <w:tc>
          <w:tcPr>
            <w:tcW w:w="8111" w:type="dxa"/>
            <w:vAlign w:val="top"/>
          </w:tcPr>
          <w:p w14:paraId="22129946">
            <w:pPr>
              <w:pStyle w:val="12"/>
              <w:spacing w:before="241" w:line="386" w:lineRule="auto"/>
              <w:ind w:left="111" w:right="46" w:firstLine="423"/>
              <w:jc w:val="both"/>
              <w:rPr>
                <w:color w:val="auto"/>
                <w:highlight w:val="none"/>
              </w:rPr>
            </w:pPr>
            <w:r>
              <w:rPr>
                <w:color w:val="auto"/>
                <w:highlight w:val="none"/>
              </w:rPr>
              <w:t>2.竞标报价是履行合同的最终价格,即满足全部采购需求所应提供的</w:t>
            </w:r>
            <w:r>
              <w:rPr>
                <w:color w:val="auto"/>
                <w:spacing w:val="-1"/>
                <w:highlight w:val="none"/>
              </w:rPr>
              <w:t>服务，包括但不限于本项目所有服务费用：</w:t>
            </w:r>
            <w:r>
              <w:rPr>
                <w:rFonts w:hint="eastAsia"/>
                <w:color w:val="auto"/>
                <w:spacing w:val="-1"/>
                <w:highlight w:val="none"/>
                <w:lang w:val="en-US" w:eastAsia="zh-CN"/>
              </w:rPr>
              <w:t>成本、管理、福利、服装费、加班、交通、食宿、保险、利润、税金、采购代理服务费、政策性文件规定及合同包含的所有风险、责任等各项应有费用</w:t>
            </w:r>
            <w:r>
              <w:rPr>
                <w:color w:val="auto"/>
                <w:spacing w:val="-1"/>
                <w:highlight w:val="none"/>
              </w:rPr>
              <w:t>及其他所有可能发生的一切费用。采购人不再支付任何费用。</w:t>
            </w:r>
          </w:p>
        </w:tc>
      </w:tr>
      <w:tr w14:paraId="2DFB82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995" w:type="dxa"/>
            <w:vAlign w:val="top"/>
          </w:tcPr>
          <w:p w14:paraId="55BCBCD0">
            <w:pPr>
              <w:pStyle w:val="12"/>
              <w:spacing w:before="260"/>
              <w:ind w:left="309"/>
              <w:rPr>
                <w:color w:val="auto"/>
                <w:highlight w:val="none"/>
              </w:rPr>
            </w:pPr>
            <w:r>
              <w:rPr>
                <w:color w:val="auto"/>
                <w:spacing w:val="-6"/>
                <w:highlight w:val="none"/>
              </w:rPr>
              <w:t>16.2</w:t>
            </w:r>
          </w:p>
        </w:tc>
        <w:tc>
          <w:tcPr>
            <w:tcW w:w="8111" w:type="dxa"/>
            <w:vAlign w:val="top"/>
          </w:tcPr>
          <w:p w14:paraId="624796BF">
            <w:pPr>
              <w:pStyle w:val="12"/>
              <w:spacing w:before="236" w:line="221" w:lineRule="auto"/>
              <w:ind w:left="114"/>
              <w:rPr>
                <w:color w:val="auto"/>
                <w:highlight w:val="none"/>
              </w:rPr>
            </w:pPr>
            <w:r>
              <w:rPr>
                <w:color w:val="auto"/>
                <w:spacing w:val="-3"/>
                <w:highlight w:val="none"/>
              </w:rPr>
              <w:t>竞标有效期：自首次响应文件提交截止之日起</w:t>
            </w:r>
            <w:r>
              <w:rPr>
                <w:color w:val="auto"/>
                <w:spacing w:val="-3"/>
                <w:highlight w:val="none"/>
                <w:u w:val="single" w:color="auto"/>
              </w:rPr>
              <w:t>60</w:t>
            </w:r>
            <w:r>
              <w:rPr>
                <w:color w:val="auto"/>
                <w:spacing w:val="-3"/>
                <w:highlight w:val="none"/>
              </w:rPr>
              <w:t>日。</w:t>
            </w:r>
          </w:p>
        </w:tc>
      </w:tr>
      <w:tr w14:paraId="24AB66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5" w:type="dxa"/>
            <w:vAlign w:val="top"/>
          </w:tcPr>
          <w:p w14:paraId="3F5AF798">
            <w:pPr>
              <w:pStyle w:val="12"/>
              <w:spacing w:before="236"/>
              <w:ind w:left="309"/>
              <w:rPr>
                <w:color w:val="auto"/>
                <w:highlight w:val="none"/>
              </w:rPr>
            </w:pPr>
            <w:r>
              <w:rPr>
                <w:color w:val="auto"/>
                <w:spacing w:val="-5"/>
                <w:highlight w:val="none"/>
              </w:rPr>
              <w:t>17.1</w:t>
            </w:r>
          </w:p>
        </w:tc>
        <w:tc>
          <w:tcPr>
            <w:tcW w:w="8111" w:type="dxa"/>
            <w:vAlign w:val="top"/>
          </w:tcPr>
          <w:p w14:paraId="35460443">
            <w:pPr>
              <w:pStyle w:val="12"/>
              <w:spacing w:before="236" w:line="220" w:lineRule="auto"/>
              <w:ind w:left="113"/>
              <w:rPr>
                <w:color w:val="auto"/>
                <w:highlight w:val="none"/>
              </w:rPr>
            </w:pPr>
            <w:r>
              <w:rPr>
                <w:color w:val="auto"/>
                <w:spacing w:val="-1"/>
                <w:highlight w:val="none"/>
              </w:rPr>
              <w:t>本项目不收取磋商保证金。</w:t>
            </w:r>
          </w:p>
        </w:tc>
      </w:tr>
      <w:tr w14:paraId="17F35F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5" w:type="dxa"/>
            <w:vAlign w:val="top"/>
          </w:tcPr>
          <w:p w14:paraId="76DFCECA">
            <w:pPr>
              <w:pStyle w:val="12"/>
              <w:spacing w:before="236" w:line="241" w:lineRule="auto"/>
              <w:ind w:left="412"/>
              <w:rPr>
                <w:color w:val="auto"/>
                <w:highlight w:val="none"/>
              </w:rPr>
            </w:pPr>
            <w:r>
              <w:rPr>
                <w:color w:val="auto"/>
                <w:spacing w:val="-6"/>
                <w:highlight w:val="none"/>
              </w:rPr>
              <w:t>19</w:t>
            </w:r>
          </w:p>
        </w:tc>
        <w:tc>
          <w:tcPr>
            <w:tcW w:w="8111" w:type="dxa"/>
            <w:vAlign w:val="top"/>
          </w:tcPr>
          <w:p w14:paraId="7216C205">
            <w:pPr>
              <w:pStyle w:val="12"/>
              <w:spacing w:before="236" w:line="220" w:lineRule="auto"/>
              <w:ind w:left="113"/>
              <w:rPr>
                <w:color w:val="auto"/>
                <w:spacing w:val="-1"/>
                <w:highlight w:val="none"/>
              </w:rPr>
            </w:pPr>
            <w:r>
              <w:rPr>
                <w:color w:val="auto"/>
                <w:spacing w:val="-1"/>
                <w:highlight w:val="none"/>
              </w:rPr>
              <w:t>本项目不接受电子备份响应文件。</w:t>
            </w:r>
          </w:p>
          <w:p w14:paraId="0FEE4955">
            <w:pPr>
              <w:pStyle w:val="12"/>
              <w:spacing w:before="236" w:line="220" w:lineRule="auto"/>
              <w:ind w:left="113"/>
              <w:rPr>
                <w:rFonts w:hint="eastAsia" w:eastAsia="宋体"/>
                <w:color w:val="auto"/>
                <w:highlight w:val="none"/>
                <w:lang w:eastAsia="zh-CN"/>
              </w:rPr>
            </w:pPr>
            <w:r>
              <w:rPr>
                <w:rFonts w:hint="eastAsia"/>
                <w:color w:val="auto"/>
                <w:spacing w:val="-1"/>
                <w:highlight w:val="none"/>
                <w:lang w:eastAsia="zh-CN"/>
              </w:rPr>
              <w:t>（</w:t>
            </w:r>
            <w:r>
              <w:rPr>
                <w:rFonts w:hint="eastAsia"/>
                <w:color w:val="auto"/>
                <w:spacing w:val="-1"/>
                <w:highlight w:val="none"/>
                <w:lang w:val="en-US" w:eastAsia="zh-CN"/>
              </w:rPr>
              <w:t>注：成交供应商需在签订合同前提交一正一副，共两份纸质的响应文件给代理机构，文件内容必须与投标的电子响应文件一致。</w:t>
            </w:r>
            <w:r>
              <w:rPr>
                <w:rFonts w:hint="eastAsia"/>
                <w:color w:val="auto"/>
                <w:spacing w:val="-1"/>
                <w:highlight w:val="none"/>
                <w:lang w:eastAsia="zh-CN"/>
              </w:rPr>
              <w:t>）</w:t>
            </w:r>
          </w:p>
        </w:tc>
      </w:tr>
      <w:tr w14:paraId="72B714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5" w:hRule="atLeast"/>
        </w:trPr>
        <w:tc>
          <w:tcPr>
            <w:tcW w:w="995" w:type="dxa"/>
            <w:vAlign w:val="top"/>
          </w:tcPr>
          <w:p w14:paraId="3D3DC2CA">
            <w:pPr>
              <w:spacing w:line="341" w:lineRule="auto"/>
              <w:rPr>
                <w:rFonts w:ascii="Arial"/>
                <w:color w:val="auto"/>
                <w:sz w:val="21"/>
                <w:highlight w:val="none"/>
              </w:rPr>
            </w:pPr>
          </w:p>
          <w:p w14:paraId="1D9FF998">
            <w:pPr>
              <w:spacing w:line="342" w:lineRule="auto"/>
              <w:rPr>
                <w:rFonts w:ascii="Arial"/>
                <w:color w:val="auto"/>
                <w:sz w:val="21"/>
                <w:highlight w:val="none"/>
              </w:rPr>
            </w:pPr>
          </w:p>
          <w:p w14:paraId="4366BE79">
            <w:pPr>
              <w:pStyle w:val="12"/>
              <w:spacing w:before="68"/>
              <w:ind w:left="296"/>
              <w:rPr>
                <w:color w:val="auto"/>
                <w:highlight w:val="none"/>
              </w:rPr>
            </w:pPr>
            <w:r>
              <w:rPr>
                <w:color w:val="auto"/>
                <w:spacing w:val="-2"/>
                <w:highlight w:val="none"/>
              </w:rPr>
              <w:t>20.1</w:t>
            </w:r>
          </w:p>
        </w:tc>
        <w:tc>
          <w:tcPr>
            <w:tcW w:w="8111" w:type="dxa"/>
            <w:vAlign w:val="top"/>
          </w:tcPr>
          <w:p w14:paraId="49A83341">
            <w:pPr>
              <w:pStyle w:val="12"/>
              <w:spacing w:before="235" w:line="219" w:lineRule="auto"/>
              <w:ind w:left="127"/>
              <w:rPr>
                <w:color w:val="auto"/>
                <w:highlight w:val="none"/>
              </w:rPr>
            </w:pPr>
            <w:r>
              <w:rPr>
                <w:color w:val="auto"/>
                <w:spacing w:val="-2"/>
                <w:highlight w:val="none"/>
              </w:rPr>
              <w:t>1.响应文件提交截止时间：详见竞争性磋商公告。</w:t>
            </w:r>
          </w:p>
          <w:p w14:paraId="46CB37FF">
            <w:pPr>
              <w:pStyle w:val="12"/>
              <w:spacing w:before="271" w:line="339" w:lineRule="auto"/>
              <w:ind w:left="115" w:right="3827" w:hanging="1"/>
              <w:rPr>
                <w:color w:val="auto"/>
                <w:highlight w:val="none"/>
              </w:rPr>
            </w:pPr>
            <w:r>
              <w:rPr>
                <w:color w:val="auto"/>
                <w:spacing w:val="-2"/>
                <w:highlight w:val="none"/>
              </w:rPr>
              <w:t>2.响应文件提交地点：详见竞争性磋商公告。</w:t>
            </w:r>
            <w:r>
              <w:rPr>
                <w:color w:val="auto"/>
                <w:spacing w:val="-1"/>
                <w:highlight w:val="none"/>
              </w:rPr>
              <w:t>3.本项目采用</w:t>
            </w:r>
            <w:r>
              <w:rPr>
                <w:rFonts w:hint="eastAsia"/>
                <w:color w:val="auto"/>
                <w:spacing w:val="-1"/>
                <w:highlight w:val="none"/>
                <w:lang w:val="en-US" w:eastAsia="zh-CN"/>
              </w:rPr>
              <w:t>远程异地评标</w:t>
            </w:r>
            <w:r>
              <w:rPr>
                <w:color w:val="auto"/>
                <w:spacing w:val="-1"/>
                <w:highlight w:val="none"/>
              </w:rPr>
              <w:t>。</w:t>
            </w:r>
          </w:p>
        </w:tc>
      </w:tr>
      <w:tr w14:paraId="01F8EE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5" w:type="dxa"/>
            <w:vAlign w:val="top"/>
          </w:tcPr>
          <w:p w14:paraId="18F7D151">
            <w:pPr>
              <w:pStyle w:val="12"/>
              <w:spacing w:before="237"/>
              <w:ind w:left="296"/>
              <w:rPr>
                <w:color w:val="auto"/>
                <w:highlight w:val="none"/>
              </w:rPr>
            </w:pPr>
            <w:r>
              <w:rPr>
                <w:color w:val="auto"/>
                <w:spacing w:val="-2"/>
                <w:highlight w:val="none"/>
              </w:rPr>
              <w:t>24.1</w:t>
            </w:r>
          </w:p>
        </w:tc>
        <w:tc>
          <w:tcPr>
            <w:tcW w:w="8111" w:type="dxa"/>
            <w:vAlign w:val="top"/>
          </w:tcPr>
          <w:p w14:paraId="38A2C40D">
            <w:pPr>
              <w:pStyle w:val="12"/>
              <w:spacing w:before="237" w:line="221" w:lineRule="auto"/>
              <w:ind w:left="111"/>
              <w:rPr>
                <w:color w:val="auto"/>
                <w:highlight w:val="none"/>
              </w:rPr>
            </w:pPr>
            <w:r>
              <w:rPr>
                <w:color w:val="auto"/>
                <w:spacing w:val="-1"/>
                <w:highlight w:val="none"/>
              </w:rPr>
              <w:t>磋商小组的人数：</w:t>
            </w:r>
            <w:r>
              <w:rPr>
                <w:color w:val="auto"/>
                <w:spacing w:val="-1"/>
                <w:highlight w:val="none"/>
                <w:u w:val="single" w:color="auto"/>
              </w:rPr>
              <w:t>3</w:t>
            </w:r>
            <w:r>
              <w:rPr>
                <w:color w:val="auto"/>
                <w:spacing w:val="-1"/>
                <w:highlight w:val="none"/>
              </w:rPr>
              <w:t>人或以上。</w:t>
            </w:r>
          </w:p>
        </w:tc>
      </w:tr>
      <w:tr w14:paraId="1FD637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3" w:hRule="atLeast"/>
        </w:trPr>
        <w:tc>
          <w:tcPr>
            <w:tcW w:w="995" w:type="dxa"/>
            <w:vAlign w:val="top"/>
          </w:tcPr>
          <w:p w14:paraId="0A90DB79">
            <w:pPr>
              <w:spacing w:line="426" w:lineRule="auto"/>
              <w:rPr>
                <w:rFonts w:ascii="Arial"/>
                <w:color w:val="auto"/>
                <w:sz w:val="21"/>
                <w:highlight w:val="none"/>
              </w:rPr>
            </w:pPr>
          </w:p>
          <w:p w14:paraId="04EB1360">
            <w:pPr>
              <w:pStyle w:val="12"/>
              <w:spacing w:before="68" w:line="241" w:lineRule="auto"/>
              <w:ind w:left="399"/>
              <w:rPr>
                <w:color w:val="auto"/>
                <w:highlight w:val="none"/>
              </w:rPr>
            </w:pPr>
            <w:r>
              <w:rPr>
                <w:color w:val="auto"/>
                <w:spacing w:val="-5"/>
                <w:highlight w:val="none"/>
              </w:rPr>
              <w:t>25</w:t>
            </w:r>
          </w:p>
        </w:tc>
        <w:tc>
          <w:tcPr>
            <w:tcW w:w="8111" w:type="dxa"/>
            <w:vAlign w:val="top"/>
          </w:tcPr>
          <w:p w14:paraId="30D28BCE">
            <w:pPr>
              <w:pStyle w:val="12"/>
              <w:spacing w:before="234" w:line="351" w:lineRule="auto"/>
              <w:ind w:left="115" w:right="4007"/>
              <w:rPr>
                <w:color w:val="auto"/>
                <w:highlight w:val="none"/>
              </w:rPr>
            </w:pPr>
            <w:r>
              <w:rPr>
                <w:color w:val="auto"/>
                <w:spacing w:val="-1"/>
                <w:highlight w:val="none"/>
              </w:rPr>
              <w:t>首次响应文件开启时间详见竞争性磋商公告首次响应文件解密时间：</w:t>
            </w:r>
            <w:r>
              <w:rPr>
                <w:rFonts w:ascii="Times New Roman" w:hAnsi="Times New Roman" w:eastAsia="Times New Roman" w:cs="Times New Roman"/>
                <w:color w:val="auto"/>
                <w:spacing w:val="-1"/>
                <w:highlight w:val="none"/>
                <w:u w:val="single" w:color="auto"/>
              </w:rPr>
              <w:t>30</w:t>
            </w:r>
            <w:r>
              <w:rPr>
                <w:color w:val="auto"/>
                <w:spacing w:val="-1"/>
                <w:highlight w:val="none"/>
              </w:rPr>
              <w:t>分钟</w:t>
            </w:r>
          </w:p>
        </w:tc>
      </w:tr>
      <w:tr w14:paraId="02FC8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6" w:hRule="atLeast"/>
        </w:trPr>
        <w:tc>
          <w:tcPr>
            <w:tcW w:w="995" w:type="dxa"/>
            <w:vAlign w:val="top"/>
          </w:tcPr>
          <w:p w14:paraId="0CE2256B">
            <w:pPr>
              <w:spacing w:line="427" w:lineRule="auto"/>
              <w:rPr>
                <w:rFonts w:ascii="Arial"/>
                <w:color w:val="auto"/>
                <w:sz w:val="21"/>
                <w:highlight w:val="none"/>
              </w:rPr>
            </w:pPr>
          </w:p>
          <w:p w14:paraId="2C3F6886">
            <w:pPr>
              <w:pStyle w:val="12"/>
              <w:spacing w:before="68"/>
              <w:ind w:left="296"/>
              <w:rPr>
                <w:color w:val="auto"/>
                <w:highlight w:val="none"/>
              </w:rPr>
            </w:pPr>
            <w:r>
              <w:rPr>
                <w:color w:val="auto"/>
                <w:spacing w:val="-3"/>
                <w:highlight w:val="none"/>
              </w:rPr>
              <w:t>26.3</w:t>
            </w:r>
          </w:p>
        </w:tc>
        <w:tc>
          <w:tcPr>
            <w:tcW w:w="8111" w:type="dxa"/>
            <w:vAlign w:val="top"/>
          </w:tcPr>
          <w:p w14:paraId="624D7EBE">
            <w:pPr>
              <w:pStyle w:val="12"/>
              <w:spacing w:before="239" w:line="350" w:lineRule="auto"/>
              <w:ind w:left="113" w:right="3724" w:firstLine="3"/>
              <w:rPr>
                <w:color w:val="auto"/>
                <w:spacing w:val="-2"/>
                <w:highlight w:val="none"/>
              </w:rPr>
            </w:pPr>
            <w:r>
              <w:rPr>
                <w:color w:val="auto"/>
                <w:spacing w:val="-2"/>
                <w:highlight w:val="none"/>
              </w:rPr>
              <w:t>商务要求评审中允许负偏离的条款数为</w:t>
            </w:r>
            <w:r>
              <w:rPr>
                <w:color w:val="auto"/>
                <w:spacing w:val="-2"/>
                <w:highlight w:val="none"/>
                <w:u w:val="single" w:color="auto"/>
              </w:rPr>
              <w:t>0</w:t>
            </w:r>
            <w:r>
              <w:rPr>
                <w:color w:val="auto"/>
                <w:spacing w:val="-2"/>
                <w:highlight w:val="none"/>
              </w:rPr>
              <w:t>项。</w:t>
            </w:r>
          </w:p>
          <w:p w14:paraId="7946C5CD">
            <w:pPr>
              <w:pStyle w:val="12"/>
              <w:spacing w:before="239" w:line="350" w:lineRule="auto"/>
              <w:ind w:left="113" w:right="3724" w:firstLine="3"/>
              <w:rPr>
                <w:color w:val="auto"/>
                <w:highlight w:val="none"/>
              </w:rPr>
            </w:pPr>
            <w:r>
              <w:rPr>
                <w:color w:val="auto"/>
                <w:spacing w:val="-2"/>
                <w:highlight w:val="none"/>
              </w:rPr>
              <w:t>技术要求评审中允许负偏离的条款数为</w:t>
            </w:r>
            <w:r>
              <w:rPr>
                <w:color w:val="auto"/>
                <w:spacing w:val="-2"/>
                <w:highlight w:val="none"/>
                <w:u w:val="single" w:color="auto"/>
              </w:rPr>
              <w:t>0</w:t>
            </w:r>
            <w:r>
              <w:rPr>
                <w:color w:val="auto"/>
                <w:spacing w:val="-2"/>
                <w:highlight w:val="none"/>
              </w:rPr>
              <w:t>项。</w:t>
            </w:r>
          </w:p>
        </w:tc>
      </w:tr>
      <w:tr w14:paraId="2D8059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995" w:type="dxa"/>
            <w:vAlign w:val="top"/>
          </w:tcPr>
          <w:p w14:paraId="1ECAB8CA">
            <w:pPr>
              <w:pStyle w:val="12"/>
              <w:spacing w:before="236"/>
              <w:ind w:left="296"/>
              <w:rPr>
                <w:color w:val="auto"/>
                <w:highlight w:val="none"/>
              </w:rPr>
            </w:pPr>
            <w:r>
              <w:rPr>
                <w:color w:val="auto"/>
                <w:spacing w:val="-2"/>
                <w:highlight w:val="none"/>
              </w:rPr>
              <w:t>28.1</w:t>
            </w:r>
          </w:p>
        </w:tc>
        <w:tc>
          <w:tcPr>
            <w:tcW w:w="8111" w:type="dxa"/>
            <w:vAlign w:val="top"/>
          </w:tcPr>
          <w:p w14:paraId="08FBEADB">
            <w:pPr>
              <w:pStyle w:val="12"/>
              <w:spacing w:before="214" w:line="220" w:lineRule="auto"/>
              <w:ind w:left="113"/>
              <w:rPr>
                <w:color w:val="auto"/>
                <w:highlight w:val="none"/>
              </w:rPr>
            </w:pPr>
            <w:r>
              <w:rPr>
                <w:color w:val="auto"/>
                <w:spacing w:val="-1"/>
                <w:highlight w:val="none"/>
              </w:rPr>
              <w:t>本项目不收取履约保证金。</w:t>
            </w:r>
          </w:p>
        </w:tc>
      </w:tr>
      <w:tr w14:paraId="41E624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48" w:hRule="atLeast"/>
        </w:trPr>
        <w:tc>
          <w:tcPr>
            <w:tcW w:w="995" w:type="dxa"/>
            <w:vAlign w:val="top"/>
          </w:tcPr>
          <w:p w14:paraId="779074D1">
            <w:pPr>
              <w:spacing w:line="241" w:lineRule="auto"/>
              <w:rPr>
                <w:rFonts w:ascii="Arial"/>
                <w:color w:val="auto"/>
                <w:sz w:val="21"/>
                <w:highlight w:val="none"/>
              </w:rPr>
            </w:pPr>
          </w:p>
          <w:p w14:paraId="5F9B009C">
            <w:pPr>
              <w:spacing w:line="241" w:lineRule="auto"/>
              <w:rPr>
                <w:rFonts w:ascii="Arial"/>
                <w:color w:val="auto"/>
                <w:sz w:val="21"/>
                <w:highlight w:val="none"/>
              </w:rPr>
            </w:pPr>
          </w:p>
          <w:p w14:paraId="1516037A">
            <w:pPr>
              <w:spacing w:line="241" w:lineRule="auto"/>
              <w:rPr>
                <w:rFonts w:ascii="Arial"/>
                <w:color w:val="auto"/>
                <w:sz w:val="21"/>
                <w:highlight w:val="none"/>
              </w:rPr>
            </w:pPr>
          </w:p>
          <w:p w14:paraId="439261B9">
            <w:pPr>
              <w:spacing w:line="241" w:lineRule="auto"/>
              <w:rPr>
                <w:rFonts w:ascii="Arial"/>
                <w:color w:val="auto"/>
                <w:sz w:val="21"/>
                <w:highlight w:val="none"/>
              </w:rPr>
            </w:pPr>
          </w:p>
          <w:p w14:paraId="48577DA6">
            <w:pPr>
              <w:spacing w:line="241" w:lineRule="auto"/>
              <w:rPr>
                <w:rFonts w:ascii="Arial"/>
                <w:color w:val="auto"/>
                <w:sz w:val="21"/>
                <w:highlight w:val="none"/>
              </w:rPr>
            </w:pPr>
          </w:p>
          <w:p w14:paraId="4F45B6D8">
            <w:pPr>
              <w:pStyle w:val="12"/>
              <w:spacing w:before="68"/>
              <w:ind w:left="296"/>
              <w:rPr>
                <w:color w:val="auto"/>
                <w:highlight w:val="none"/>
              </w:rPr>
            </w:pPr>
            <w:r>
              <w:rPr>
                <w:color w:val="auto"/>
                <w:spacing w:val="-2"/>
                <w:highlight w:val="none"/>
              </w:rPr>
              <w:t>29.1</w:t>
            </w:r>
          </w:p>
        </w:tc>
        <w:tc>
          <w:tcPr>
            <w:tcW w:w="8111" w:type="dxa"/>
            <w:vAlign w:val="top"/>
          </w:tcPr>
          <w:p w14:paraId="7B4A788E">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112"/>
              <w:textAlignment w:val="baseline"/>
              <w:rPr>
                <w:color w:val="auto"/>
                <w:highlight w:val="none"/>
              </w:rPr>
            </w:pPr>
            <w:r>
              <w:rPr>
                <w:color w:val="auto"/>
                <w:spacing w:val="-1"/>
                <w:highlight w:val="none"/>
              </w:rPr>
              <w:t>签订合同携带的证明材料：</w:t>
            </w:r>
          </w:p>
          <w:p w14:paraId="4EFE1EE2">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111" w:right="102"/>
              <w:textAlignment w:val="baseline"/>
              <w:rPr>
                <w:color w:val="auto"/>
                <w:highlight w:val="none"/>
              </w:rPr>
            </w:pPr>
            <w:r>
              <w:rPr>
                <w:color w:val="auto"/>
                <w:spacing w:val="-2"/>
                <w:highlight w:val="none"/>
              </w:rPr>
              <w:t>委托代理人负责签订合同的，须携带授权委托书及委托代</w:t>
            </w:r>
            <w:r>
              <w:rPr>
                <w:color w:val="auto"/>
                <w:spacing w:val="-3"/>
                <w:highlight w:val="none"/>
              </w:rPr>
              <w:t>理人身份证原件等其他资格证</w:t>
            </w:r>
            <w:r>
              <w:rPr>
                <w:color w:val="auto"/>
                <w:spacing w:val="-10"/>
                <w:highlight w:val="none"/>
              </w:rPr>
              <w:t>件。</w:t>
            </w:r>
          </w:p>
          <w:p w14:paraId="1C754194">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112" w:right="101"/>
              <w:textAlignment w:val="baseline"/>
              <w:rPr>
                <w:color w:val="auto"/>
                <w:highlight w:val="none"/>
              </w:rPr>
            </w:pPr>
            <w:r>
              <w:rPr>
                <w:color w:val="auto"/>
                <w:spacing w:val="-2"/>
                <w:highlight w:val="none"/>
              </w:rPr>
              <w:t>法定代表人负责签订合同的，须携带法定代表人身份证</w:t>
            </w:r>
            <w:r>
              <w:rPr>
                <w:color w:val="auto"/>
                <w:spacing w:val="-3"/>
                <w:highlight w:val="none"/>
              </w:rPr>
              <w:t>明原件及身份证原件等其他证明</w:t>
            </w:r>
            <w:r>
              <w:rPr>
                <w:color w:val="auto"/>
                <w:spacing w:val="-8"/>
                <w:highlight w:val="none"/>
              </w:rPr>
              <w:t>材料。</w:t>
            </w:r>
          </w:p>
        </w:tc>
      </w:tr>
      <w:tr w14:paraId="648BE3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85" w:hRule="atLeast"/>
        </w:trPr>
        <w:tc>
          <w:tcPr>
            <w:tcW w:w="995" w:type="dxa"/>
            <w:vAlign w:val="top"/>
          </w:tcPr>
          <w:p w14:paraId="30B7C95A">
            <w:pPr>
              <w:spacing w:line="315" w:lineRule="auto"/>
              <w:rPr>
                <w:rFonts w:ascii="Arial"/>
                <w:color w:val="auto"/>
                <w:sz w:val="21"/>
                <w:highlight w:val="none"/>
              </w:rPr>
            </w:pPr>
          </w:p>
          <w:p w14:paraId="22896B65">
            <w:pPr>
              <w:spacing w:line="315" w:lineRule="auto"/>
              <w:rPr>
                <w:rFonts w:ascii="Arial"/>
                <w:color w:val="auto"/>
                <w:sz w:val="21"/>
                <w:highlight w:val="none"/>
              </w:rPr>
            </w:pPr>
          </w:p>
          <w:p w14:paraId="669D7AFD">
            <w:pPr>
              <w:spacing w:line="315" w:lineRule="auto"/>
              <w:rPr>
                <w:rFonts w:ascii="Arial"/>
                <w:color w:val="auto"/>
                <w:sz w:val="21"/>
                <w:highlight w:val="none"/>
              </w:rPr>
            </w:pPr>
          </w:p>
          <w:p w14:paraId="66319C42">
            <w:pPr>
              <w:pStyle w:val="12"/>
              <w:spacing w:before="68"/>
              <w:ind w:left="297"/>
              <w:rPr>
                <w:color w:val="auto"/>
                <w:highlight w:val="none"/>
              </w:rPr>
            </w:pPr>
            <w:r>
              <w:rPr>
                <w:color w:val="auto"/>
                <w:spacing w:val="-3"/>
                <w:highlight w:val="none"/>
              </w:rPr>
              <w:t>31.2</w:t>
            </w:r>
          </w:p>
        </w:tc>
        <w:tc>
          <w:tcPr>
            <w:tcW w:w="8111" w:type="dxa"/>
            <w:vAlign w:val="top"/>
          </w:tcPr>
          <w:p w14:paraId="2D22D579">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111"/>
              <w:textAlignment w:val="baseline"/>
              <w:rPr>
                <w:color w:val="auto"/>
                <w:highlight w:val="none"/>
              </w:rPr>
            </w:pPr>
            <w:r>
              <w:rPr>
                <w:color w:val="auto"/>
                <w:spacing w:val="-2"/>
                <w:highlight w:val="none"/>
              </w:rPr>
              <w:t>接收质疑函方式：以书面形式。</w:t>
            </w:r>
          </w:p>
          <w:p w14:paraId="732B1597">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113" w:right="155"/>
              <w:textAlignment w:val="baseline"/>
              <w:rPr>
                <w:color w:val="auto"/>
                <w:spacing w:val="20"/>
                <w:highlight w:val="none"/>
              </w:rPr>
            </w:pPr>
            <w:r>
              <w:rPr>
                <w:color w:val="auto"/>
                <w:spacing w:val="20"/>
                <w:highlight w:val="none"/>
              </w:rPr>
              <w:t>质疑联系部门及联系方式：</w:t>
            </w:r>
            <w:r>
              <w:rPr>
                <w:rFonts w:hint="eastAsia"/>
                <w:color w:val="auto"/>
                <w:spacing w:val="20"/>
                <w:highlight w:val="none"/>
                <w:lang w:eastAsia="zh-CN"/>
              </w:rPr>
              <w:t>广西亿正工程咨询有限公司</w:t>
            </w:r>
          </w:p>
          <w:p w14:paraId="167A5D94">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113" w:right="155"/>
              <w:textAlignment w:val="baseline"/>
              <w:rPr>
                <w:color w:val="auto"/>
                <w:spacing w:val="-4"/>
                <w:highlight w:val="none"/>
              </w:rPr>
            </w:pPr>
            <w:r>
              <w:rPr>
                <w:color w:val="auto"/>
                <w:spacing w:val="20"/>
                <w:highlight w:val="none"/>
              </w:rPr>
              <w:t>联系电话：</w:t>
            </w:r>
            <w:r>
              <w:rPr>
                <w:rFonts w:hint="eastAsia"/>
                <w:color w:val="auto"/>
                <w:spacing w:val="-1"/>
                <w:highlight w:val="none"/>
                <w:lang w:eastAsia="zh-CN"/>
              </w:rPr>
              <w:t>0775-6251836</w:t>
            </w:r>
            <w:r>
              <w:rPr>
                <w:color w:val="auto"/>
                <w:spacing w:val="-1"/>
                <w:highlight w:val="none"/>
              </w:rPr>
              <w:t>，通讯地址：</w:t>
            </w:r>
            <w:r>
              <w:rPr>
                <w:rFonts w:hint="eastAsia"/>
                <w:color w:val="auto"/>
                <w:spacing w:val="-1"/>
                <w:highlight w:val="none"/>
                <w:lang w:eastAsia="zh-CN"/>
              </w:rPr>
              <w:t>北流市永顺路六区124号</w:t>
            </w:r>
            <w:r>
              <w:rPr>
                <w:color w:val="auto"/>
                <w:spacing w:val="-1"/>
                <w:highlight w:val="none"/>
              </w:rPr>
              <w:t>。</w:t>
            </w:r>
          </w:p>
          <w:p w14:paraId="2A3D5AAB">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111"/>
              <w:textAlignment w:val="baseline"/>
              <w:rPr>
                <w:color w:val="auto"/>
                <w:highlight w:val="none"/>
              </w:rPr>
            </w:pPr>
            <w:r>
              <w:rPr>
                <w:rFonts w:ascii="宋体" w:hAnsi="宋体" w:eastAsia="宋体" w:cs="宋体"/>
                <w:color w:val="auto"/>
                <w:spacing w:val="-2"/>
                <w:highlight w:val="none"/>
              </w:rPr>
              <w:t>业务时间：工作日每天8时00分到12时00分，</w:t>
            </w:r>
            <w:r>
              <w:rPr>
                <w:rFonts w:hint="eastAsia" w:ascii="宋体" w:hAnsi="宋体" w:eastAsia="宋体" w:cs="宋体"/>
                <w:color w:val="auto"/>
                <w:spacing w:val="-2"/>
                <w:highlight w:val="none"/>
                <w:lang w:val="en-US" w:eastAsia="zh-CN"/>
              </w:rPr>
              <w:t>15</w:t>
            </w:r>
            <w:r>
              <w:rPr>
                <w:rFonts w:ascii="宋体" w:hAnsi="宋体" w:eastAsia="宋体" w:cs="宋体"/>
                <w:color w:val="auto"/>
                <w:spacing w:val="-2"/>
                <w:highlight w:val="none"/>
              </w:rPr>
              <w:t>时00分到</w:t>
            </w:r>
            <w:r>
              <w:rPr>
                <w:rFonts w:hint="eastAsia" w:ascii="宋体" w:hAnsi="宋体" w:eastAsia="宋体" w:cs="宋体"/>
                <w:color w:val="auto"/>
                <w:spacing w:val="-2"/>
                <w:highlight w:val="none"/>
                <w:lang w:val="en-US" w:eastAsia="zh-CN"/>
              </w:rPr>
              <w:t>18</w:t>
            </w:r>
            <w:r>
              <w:rPr>
                <w:rFonts w:ascii="宋体" w:hAnsi="宋体" w:eastAsia="宋体" w:cs="宋体"/>
                <w:color w:val="auto"/>
                <w:spacing w:val="-2"/>
                <w:highlight w:val="none"/>
              </w:rPr>
              <w:t>时00分。</w:t>
            </w:r>
          </w:p>
        </w:tc>
      </w:tr>
      <w:tr w14:paraId="7E0E56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8" w:hRule="atLeast"/>
        </w:trPr>
        <w:tc>
          <w:tcPr>
            <w:tcW w:w="995" w:type="dxa"/>
            <w:vAlign w:val="top"/>
          </w:tcPr>
          <w:p w14:paraId="15E46AAA">
            <w:pPr>
              <w:spacing w:line="428" w:lineRule="auto"/>
              <w:rPr>
                <w:rFonts w:ascii="Arial"/>
                <w:color w:val="auto"/>
                <w:sz w:val="21"/>
                <w:highlight w:val="none"/>
              </w:rPr>
            </w:pPr>
          </w:p>
          <w:p w14:paraId="54B9F4D2">
            <w:pPr>
              <w:pStyle w:val="12"/>
              <w:spacing w:before="69"/>
              <w:ind w:left="297"/>
              <w:rPr>
                <w:color w:val="auto"/>
                <w:highlight w:val="none"/>
              </w:rPr>
            </w:pPr>
            <w:r>
              <w:rPr>
                <w:color w:val="auto"/>
                <w:spacing w:val="-2"/>
                <w:highlight w:val="none"/>
              </w:rPr>
              <w:t>32.1</w:t>
            </w:r>
          </w:p>
        </w:tc>
        <w:tc>
          <w:tcPr>
            <w:tcW w:w="8111" w:type="dxa"/>
            <w:vAlign w:val="top"/>
          </w:tcPr>
          <w:p w14:paraId="6224D7F4">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127"/>
              <w:textAlignment w:val="baseline"/>
              <w:rPr>
                <w:color w:val="auto"/>
                <w:highlight w:val="none"/>
              </w:rPr>
            </w:pPr>
            <w:r>
              <w:rPr>
                <w:color w:val="auto"/>
                <w:spacing w:val="-4"/>
                <w:highlight w:val="none"/>
              </w:rPr>
              <w:t>1.采购代理费支付方式：</w:t>
            </w:r>
          </w:p>
          <w:p w14:paraId="64B6C5AB">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113"/>
              <w:textAlignment w:val="baseline"/>
              <w:rPr>
                <w:color w:val="auto"/>
                <w:spacing w:val="-1"/>
                <w:highlight w:val="none"/>
              </w:rPr>
            </w:pPr>
            <w:r>
              <w:rPr>
                <w:color w:val="auto"/>
                <w:spacing w:val="-1"/>
                <w:highlight w:val="none"/>
              </w:rPr>
              <w:t>本项目代理服务费由成交供应商一次性向采购代理机构支付。</w:t>
            </w:r>
          </w:p>
          <w:p w14:paraId="7167131F">
            <w:pPr>
              <w:pStyle w:val="12"/>
              <w:spacing w:before="241" w:line="339" w:lineRule="auto"/>
              <w:ind w:left="118" w:right="119" w:hanging="4"/>
              <w:rPr>
                <w:color w:val="auto"/>
                <w:highlight w:val="none"/>
              </w:rPr>
            </w:pPr>
            <w:r>
              <w:rPr>
                <w:color w:val="auto"/>
                <w:highlight w:val="none"/>
              </w:rPr>
              <w:t>2.采购代理费收取标准：</w:t>
            </w:r>
            <w:r>
              <w:rPr>
                <w:rFonts w:hint="eastAsia" w:hAnsi="宋体" w:cs="宋体"/>
                <w:color w:val="auto"/>
                <w:sz w:val="21"/>
                <w:highlight w:val="none"/>
              </w:rPr>
              <w:t>按以下方式计算（成交价100万元内部分，按1.5%计算，成交价100万～500万内，按0.8%计算，按差额定率累进法计算后即为代理服务费）</w:t>
            </w:r>
            <w:r>
              <w:rPr>
                <w:color w:val="auto"/>
                <w:spacing w:val="-5"/>
                <w:highlight w:val="none"/>
              </w:rPr>
              <w:t>。</w:t>
            </w:r>
          </w:p>
          <w:p w14:paraId="1035DE1A">
            <w:pPr>
              <w:pStyle w:val="12"/>
              <w:spacing w:before="267" w:line="220" w:lineRule="auto"/>
              <w:ind w:left="116"/>
              <w:rPr>
                <w:color w:val="auto"/>
                <w:highlight w:val="none"/>
              </w:rPr>
            </w:pPr>
            <w:r>
              <w:rPr>
                <w:color w:val="auto"/>
                <w:spacing w:val="-1"/>
                <w:highlight w:val="none"/>
              </w:rPr>
              <w:t>3.采购代理费收取银行账户</w:t>
            </w:r>
          </w:p>
          <w:p w14:paraId="2CD229CE">
            <w:pPr>
              <w:pStyle w:val="12"/>
              <w:spacing w:before="270" w:line="221" w:lineRule="auto"/>
              <w:ind w:left="113"/>
              <w:rPr>
                <w:color w:val="auto"/>
                <w:highlight w:val="none"/>
              </w:rPr>
            </w:pPr>
            <w:r>
              <w:rPr>
                <w:color w:val="auto"/>
                <w:spacing w:val="-1"/>
                <w:highlight w:val="none"/>
              </w:rPr>
              <w:t>开户名称：</w:t>
            </w:r>
            <w:r>
              <w:rPr>
                <w:rFonts w:hint="eastAsia"/>
                <w:color w:val="auto"/>
                <w:spacing w:val="-1"/>
                <w:highlight w:val="none"/>
                <w:lang w:eastAsia="zh-CN"/>
              </w:rPr>
              <w:t>广西亿正工程咨询有限公司</w:t>
            </w:r>
          </w:p>
          <w:p w14:paraId="2DAE3FFD">
            <w:pPr>
              <w:pStyle w:val="12"/>
              <w:spacing w:before="269" w:line="220" w:lineRule="auto"/>
              <w:ind w:left="113"/>
              <w:rPr>
                <w:rFonts w:hint="eastAsia" w:eastAsia="宋体"/>
                <w:color w:val="auto"/>
                <w:highlight w:val="none"/>
                <w:lang w:eastAsia="zh-CN"/>
              </w:rPr>
            </w:pPr>
            <w:r>
              <w:rPr>
                <w:color w:val="auto"/>
                <w:spacing w:val="-1"/>
                <w:highlight w:val="none"/>
              </w:rPr>
              <w:t>开户银行：</w:t>
            </w:r>
            <w:r>
              <w:rPr>
                <w:rFonts w:hint="eastAsia"/>
                <w:color w:val="auto"/>
                <w:spacing w:val="-1"/>
                <w:highlight w:val="none"/>
                <w:lang w:eastAsia="zh-CN"/>
              </w:rPr>
              <w:t>柳州银行股份有限公司北流城南支行</w:t>
            </w:r>
          </w:p>
          <w:p w14:paraId="3A55168A">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113"/>
              <w:textAlignment w:val="baseline"/>
              <w:rPr>
                <w:color w:val="auto"/>
                <w:spacing w:val="-1"/>
                <w:highlight w:val="none"/>
              </w:rPr>
            </w:pPr>
            <w:r>
              <w:rPr>
                <w:color w:val="auto"/>
                <w:spacing w:val="-1"/>
                <w:highlight w:val="none"/>
              </w:rPr>
              <w:t>银行账号：</w:t>
            </w:r>
            <w:r>
              <w:rPr>
                <w:rFonts w:hint="eastAsia"/>
                <w:color w:val="auto"/>
                <w:spacing w:val="-1"/>
                <w:highlight w:val="none"/>
                <w:lang w:eastAsia="zh-CN"/>
              </w:rPr>
              <w:t>85202500000000001417</w:t>
            </w:r>
          </w:p>
        </w:tc>
      </w:tr>
      <w:tr w14:paraId="160193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8" w:hRule="atLeast"/>
        </w:trPr>
        <w:tc>
          <w:tcPr>
            <w:tcW w:w="995" w:type="dxa"/>
            <w:vAlign w:val="center"/>
          </w:tcPr>
          <w:p w14:paraId="69776303">
            <w:pPr>
              <w:pStyle w:val="12"/>
              <w:spacing w:before="69"/>
              <w:ind w:left="0" w:leftChars="0" w:firstLine="0" w:firstLineChars="0"/>
              <w:jc w:val="center"/>
              <w:rPr>
                <w:rFonts w:hint="default" w:eastAsia="宋体"/>
                <w:color w:val="auto"/>
                <w:spacing w:val="-2"/>
                <w:highlight w:val="none"/>
                <w:lang w:val="en-US" w:eastAsia="zh-CN"/>
              </w:rPr>
            </w:pPr>
            <w:r>
              <w:rPr>
                <w:rFonts w:hint="eastAsia"/>
                <w:color w:val="auto"/>
                <w:spacing w:val="-2"/>
                <w:highlight w:val="none"/>
                <w:lang w:val="en-US" w:eastAsia="zh-CN"/>
              </w:rPr>
              <w:t>33.1</w:t>
            </w:r>
          </w:p>
        </w:tc>
        <w:tc>
          <w:tcPr>
            <w:tcW w:w="8111" w:type="dxa"/>
            <w:vAlign w:val="top"/>
          </w:tcPr>
          <w:p w14:paraId="33A83F5E">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113"/>
              <w:textAlignment w:val="baseline"/>
              <w:rPr>
                <w:color w:val="auto"/>
                <w:spacing w:val="-1"/>
                <w:highlight w:val="none"/>
              </w:rPr>
            </w:pPr>
            <w:r>
              <w:rPr>
                <w:color w:val="auto"/>
                <w:spacing w:val="-2"/>
                <w:highlight w:val="none"/>
              </w:rPr>
              <w:t>解释：构成本磋商文件的各个组成文件应互为解释，互为</w:t>
            </w:r>
            <w:r>
              <w:rPr>
                <w:color w:val="auto"/>
                <w:spacing w:val="-3"/>
                <w:highlight w:val="none"/>
              </w:rPr>
              <w:t>说明；除磋商文件中有特别规</w:t>
            </w:r>
            <w:r>
              <w:rPr>
                <w:color w:val="auto"/>
                <w:spacing w:val="-2"/>
                <w:highlight w:val="none"/>
              </w:rPr>
              <w:t>定外，仅适用于竞标阶段的规定，按更正公告（澄清公告</w:t>
            </w:r>
            <w:r>
              <w:rPr>
                <w:color w:val="auto"/>
                <w:spacing w:val="-3"/>
                <w:highlight w:val="none"/>
              </w:rPr>
              <w:t>）、竞争性磋商公告、供应商</w:t>
            </w:r>
            <w:r>
              <w:rPr>
                <w:color w:val="auto"/>
                <w:spacing w:val="-2"/>
                <w:highlight w:val="none"/>
              </w:rPr>
              <w:t>须知、采购需求、评审程序、评审方法和评审标准、</w:t>
            </w:r>
            <w:r>
              <w:rPr>
                <w:color w:val="auto"/>
                <w:spacing w:val="-3"/>
                <w:highlight w:val="none"/>
              </w:rPr>
              <w:t>响应文件格式、合同文本的先后顺</w:t>
            </w:r>
            <w:r>
              <w:rPr>
                <w:color w:val="auto"/>
                <w:spacing w:val="-5"/>
                <w:highlight w:val="none"/>
              </w:rPr>
              <w:t>序解释；同一组成文件中就同一事项的规定或者约定不一致</w:t>
            </w:r>
            <w:r>
              <w:rPr>
                <w:color w:val="auto"/>
                <w:spacing w:val="-6"/>
                <w:highlight w:val="none"/>
              </w:rPr>
              <w:t>的，以编排顺序在后者为准；</w:t>
            </w:r>
            <w:r>
              <w:rPr>
                <w:color w:val="auto"/>
                <w:spacing w:val="-5"/>
                <w:highlight w:val="none"/>
              </w:rPr>
              <w:t>同一组成文件不同版本之间有不一致的，以形成时间在后者</w:t>
            </w:r>
            <w:r>
              <w:rPr>
                <w:color w:val="auto"/>
                <w:spacing w:val="-6"/>
                <w:highlight w:val="none"/>
              </w:rPr>
              <w:t>为准；更正公告（澄清公告）</w:t>
            </w:r>
            <w:r>
              <w:rPr>
                <w:color w:val="auto"/>
                <w:spacing w:val="-2"/>
                <w:highlight w:val="none"/>
              </w:rPr>
              <w:t>与同步更新的磋商文件不一致时以更正公告（澄清公告）</w:t>
            </w:r>
            <w:r>
              <w:rPr>
                <w:color w:val="auto"/>
                <w:spacing w:val="-3"/>
                <w:highlight w:val="none"/>
              </w:rPr>
              <w:t>为准。按本款前述规定仍不能</w:t>
            </w:r>
            <w:r>
              <w:rPr>
                <w:color w:val="auto"/>
                <w:highlight w:val="none"/>
              </w:rPr>
              <w:t>形成结论的，由采购人或者采购代理机构负责</w:t>
            </w:r>
            <w:r>
              <w:rPr>
                <w:color w:val="auto"/>
                <w:spacing w:val="-1"/>
                <w:highlight w:val="none"/>
              </w:rPr>
              <w:t>解释。</w:t>
            </w:r>
          </w:p>
        </w:tc>
      </w:tr>
      <w:tr w14:paraId="2B3C2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8" w:hRule="atLeast"/>
        </w:trPr>
        <w:tc>
          <w:tcPr>
            <w:tcW w:w="995" w:type="dxa"/>
            <w:vAlign w:val="center"/>
          </w:tcPr>
          <w:p w14:paraId="5910DC81">
            <w:pPr>
              <w:pStyle w:val="12"/>
              <w:spacing w:before="69"/>
              <w:ind w:left="0" w:leftChars="0" w:firstLine="0" w:firstLineChars="0"/>
              <w:jc w:val="center"/>
              <w:rPr>
                <w:rFonts w:hint="default" w:eastAsia="宋体"/>
                <w:color w:val="auto"/>
                <w:spacing w:val="-2"/>
                <w:highlight w:val="none"/>
                <w:lang w:val="en-US" w:eastAsia="zh-CN"/>
              </w:rPr>
            </w:pPr>
            <w:r>
              <w:rPr>
                <w:rFonts w:hint="eastAsia"/>
                <w:color w:val="auto"/>
                <w:spacing w:val="-2"/>
                <w:highlight w:val="none"/>
                <w:lang w:val="en-US" w:eastAsia="zh-CN"/>
              </w:rPr>
              <w:t>33.2</w:t>
            </w:r>
          </w:p>
        </w:tc>
        <w:tc>
          <w:tcPr>
            <w:tcW w:w="8111" w:type="dxa"/>
            <w:vAlign w:val="top"/>
          </w:tcPr>
          <w:p w14:paraId="32B383FD">
            <w:pPr>
              <w:pStyle w:val="12"/>
              <w:spacing w:before="238" w:line="398" w:lineRule="auto"/>
              <w:ind w:left="113" w:right="102" w:firstLine="13"/>
              <w:rPr>
                <w:color w:val="auto"/>
                <w:highlight w:val="none"/>
              </w:rPr>
            </w:pPr>
            <w:r>
              <w:rPr>
                <w:color w:val="auto"/>
                <w:spacing w:val="-3"/>
                <w:highlight w:val="none"/>
              </w:rPr>
              <w:t>1.本磋商文件中描述供应商的“公章”是指根据我国对公章的管理规定，用供应商法定</w:t>
            </w:r>
            <w:r>
              <w:rPr>
                <w:color w:val="auto"/>
                <w:spacing w:val="-2"/>
                <w:highlight w:val="none"/>
              </w:rPr>
              <w:t>主体行为名称制作的印章，除本磋商文件有特殊规</w:t>
            </w:r>
            <w:r>
              <w:rPr>
                <w:color w:val="auto"/>
                <w:spacing w:val="-3"/>
                <w:highlight w:val="none"/>
              </w:rPr>
              <w:t>定外，供应商的财务章、部门章、分</w:t>
            </w:r>
            <w:r>
              <w:rPr>
                <w:color w:val="auto"/>
                <w:highlight w:val="none"/>
              </w:rPr>
              <w:t>公司章、工会章、合同章、竞标/投标专用章、业务专用章及银行的转账章、现金收讫</w:t>
            </w:r>
            <w:r>
              <w:rPr>
                <w:color w:val="auto"/>
                <w:spacing w:val="-1"/>
                <w:highlight w:val="none"/>
              </w:rPr>
              <w:t>章、现金付讫章等其他形式印章均不能代替公章。</w:t>
            </w:r>
          </w:p>
          <w:p w14:paraId="61D5DD6A">
            <w:pPr>
              <w:pStyle w:val="12"/>
              <w:spacing w:before="270" w:line="378" w:lineRule="auto"/>
              <w:ind w:left="110" w:right="102" w:firstLine="4"/>
              <w:rPr>
                <w:color w:val="auto"/>
                <w:highlight w:val="none"/>
              </w:rPr>
            </w:pPr>
            <w:r>
              <w:rPr>
                <w:color w:val="auto"/>
                <w:spacing w:val="3"/>
                <w:highlight w:val="none"/>
              </w:rPr>
              <w:t>2.本磋商文件所称的“电子签章”“电子签名”，是指经广西政府采购云</w:t>
            </w:r>
            <w:r>
              <w:rPr>
                <w:color w:val="auto"/>
                <w:spacing w:val="2"/>
                <w:highlight w:val="none"/>
              </w:rPr>
              <w:t>平台认可的</w:t>
            </w:r>
            <w:r>
              <w:rPr>
                <w:color w:val="auto"/>
                <w:highlight w:val="none"/>
              </w:rPr>
              <w:t>CA认证的电子签名数据为表现形式的印章，可用于签署电子响应文件，电子印章与实</w:t>
            </w:r>
            <w:r>
              <w:rPr>
                <w:color w:val="auto"/>
                <w:spacing w:val="-1"/>
                <w:highlight w:val="none"/>
              </w:rPr>
              <w:t>物印章具有同等法律效力，不因其采用电子化表现形式而否定其法律效力。</w:t>
            </w:r>
          </w:p>
          <w:p w14:paraId="67666DFA">
            <w:pPr>
              <w:pStyle w:val="12"/>
              <w:spacing w:before="268" w:line="410" w:lineRule="auto"/>
              <w:ind w:left="111" w:right="102" w:firstLine="5"/>
              <w:rPr>
                <w:color w:val="auto"/>
                <w:highlight w:val="none"/>
              </w:rPr>
            </w:pPr>
            <w:r>
              <w:rPr>
                <w:color w:val="auto"/>
                <w:spacing w:val="3"/>
                <w:highlight w:val="none"/>
              </w:rPr>
              <w:t>3.供应商为其他组织或者自然人时，本磋商文件规定的法定代表人指负责人</w:t>
            </w:r>
            <w:r>
              <w:rPr>
                <w:color w:val="auto"/>
                <w:spacing w:val="2"/>
                <w:highlight w:val="none"/>
              </w:rPr>
              <w:t>或者自然</w:t>
            </w:r>
            <w:r>
              <w:rPr>
                <w:color w:val="auto"/>
                <w:spacing w:val="-2"/>
                <w:highlight w:val="none"/>
              </w:rPr>
              <w:t>人。本磋商文件所称负责人是指参加竞标的其他组织营业</w:t>
            </w:r>
            <w:r>
              <w:rPr>
                <w:color w:val="auto"/>
                <w:spacing w:val="-3"/>
                <w:highlight w:val="none"/>
              </w:rPr>
              <w:t>执照或者执业许可证等证照上</w:t>
            </w:r>
            <w:r>
              <w:rPr>
                <w:color w:val="auto"/>
                <w:spacing w:val="-2"/>
                <w:highlight w:val="none"/>
              </w:rPr>
              <w:t>的负责人，本磋商文件所称自然人指参与竞标的自然人本</w:t>
            </w:r>
            <w:r>
              <w:rPr>
                <w:color w:val="auto"/>
                <w:spacing w:val="-3"/>
                <w:highlight w:val="none"/>
              </w:rPr>
              <w:t>人，且应具备独立承担民事责</w:t>
            </w:r>
            <w:r>
              <w:rPr>
                <w:color w:val="auto"/>
                <w:spacing w:val="-1"/>
                <w:highlight w:val="none"/>
              </w:rPr>
              <w:t>任能力，自然人应当为年满18岁以上成年人（十六周岁以上的未成年人，以自</w:t>
            </w:r>
            <w:r>
              <w:rPr>
                <w:color w:val="auto"/>
                <w:spacing w:val="-2"/>
                <w:highlight w:val="none"/>
              </w:rPr>
              <w:t>己的劳</w:t>
            </w:r>
            <w:r>
              <w:rPr>
                <w:color w:val="auto"/>
                <w:spacing w:val="-1"/>
                <w:highlight w:val="none"/>
              </w:rPr>
              <w:t>动收入为主要生活来源的，视为完全民事行为能力人）。</w:t>
            </w:r>
          </w:p>
          <w:p w14:paraId="64D872CD">
            <w:pPr>
              <w:pStyle w:val="12"/>
              <w:spacing w:before="240" w:line="457" w:lineRule="auto"/>
              <w:ind w:left="114" w:right="102" w:hanging="1"/>
              <w:rPr>
                <w:color w:val="auto"/>
                <w:highlight w:val="none"/>
              </w:rPr>
            </w:pPr>
            <w:r>
              <w:rPr>
                <w:color w:val="auto"/>
                <w:spacing w:val="-2"/>
                <w:highlight w:val="none"/>
              </w:rPr>
              <w:t>4.本磋商文件中描述供应商的“签字”是指供应商的法定代表人</w:t>
            </w:r>
            <w:r>
              <w:rPr>
                <w:color w:val="auto"/>
                <w:spacing w:val="-3"/>
                <w:highlight w:val="none"/>
              </w:rPr>
              <w:t>或者委托代理人亲自在</w:t>
            </w:r>
            <w:r>
              <w:rPr>
                <w:color w:val="auto"/>
                <w:spacing w:val="-2"/>
                <w:highlight w:val="none"/>
              </w:rPr>
              <w:t>文件规定签署处亲笔写上个人的名字的行为，私章</w:t>
            </w:r>
            <w:r>
              <w:rPr>
                <w:color w:val="auto"/>
                <w:spacing w:val="-3"/>
                <w:highlight w:val="none"/>
              </w:rPr>
              <w:t>、签字章、印鉴、影印等其他形式均不能代替亲笔签字。</w:t>
            </w:r>
          </w:p>
          <w:p w14:paraId="53B9CE12">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113"/>
              <w:textAlignment w:val="baseline"/>
              <w:rPr>
                <w:color w:val="auto"/>
                <w:spacing w:val="-1"/>
                <w:highlight w:val="none"/>
              </w:rPr>
            </w:pPr>
            <w:r>
              <w:rPr>
                <w:color w:val="auto"/>
                <w:highlight w:val="none"/>
              </w:rPr>
              <w:t>5.本磋商文件所称的“以上”“以下”“以内”“届满”，包括本数；所称的“不满”</w:t>
            </w:r>
            <w:r>
              <w:rPr>
                <w:color w:val="auto"/>
                <w:spacing w:val="-2"/>
                <w:highlight w:val="none"/>
              </w:rPr>
              <w:t>“超过”“以外”，不包括本数。</w:t>
            </w:r>
          </w:p>
        </w:tc>
      </w:tr>
      <w:tr w14:paraId="5D24A6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8" w:hRule="atLeast"/>
        </w:trPr>
        <w:tc>
          <w:tcPr>
            <w:tcW w:w="995" w:type="dxa"/>
            <w:vAlign w:val="center"/>
          </w:tcPr>
          <w:p w14:paraId="3587F53A">
            <w:pPr>
              <w:pStyle w:val="12"/>
              <w:spacing w:before="69"/>
              <w:ind w:left="0" w:leftChars="0" w:firstLine="0" w:firstLineChars="0"/>
              <w:jc w:val="center"/>
              <w:rPr>
                <w:rFonts w:hint="default" w:eastAsia="宋体"/>
                <w:color w:val="auto"/>
                <w:spacing w:val="-2"/>
                <w:highlight w:val="none"/>
                <w:lang w:val="en-US" w:eastAsia="zh-CN"/>
              </w:rPr>
            </w:pPr>
            <w:r>
              <w:rPr>
                <w:rFonts w:hint="eastAsia"/>
                <w:color w:val="auto"/>
                <w:spacing w:val="-2"/>
                <w:highlight w:val="none"/>
                <w:lang w:val="en-US" w:eastAsia="zh-CN"/>
              </w:rPr>
              <w:t>33.3</w:t>
            </w:r>
          </w:p>
        </w:tc>
        <w:tc>
          <w:tcPr>
            <w:tcW w:w="8111" w:type="dxa"/>
            <w:vAlign w:val="top"/>
          </w:tcPr>
          <w:p w14:paraId="60871376">
            <w:pPr>
              <w:pStyle w:val="12"/>
              <w:spacing w:before="237" w:line="220" w:lineRule="auto"/>
              <w:ind w:left="113"/>
              <w:rPr>
                <w:color w:val="auto"/>
                <w:highlight w:val="none"/>
              </w:rPr>
            </w:pPr>
            <w:r>
              <w:rPr>
                <w:color w:val="auto"/>
                <w:spacing w:val="-2"/>
                <w:highlight w:val="none"/>
              </w:rPr>
              <w:t>本采购项目涉及中小企业采购，现明确以下内容：</w:t>
            </w:r>
          </w:p>
          <w:p w14:paraId="152985CB">
            <w:pPr>
              <w:pStyle w:val="12"/>
              <w:spacing w:before="267" w:line="340" w:lineRule="auto"/>
              <w:ind w:left="111" w:right="102" w:firstLine="16"/>
              <w:rPr>
                <w:color w:val="auto"/>
                <w:highlight w:val="none"/>
              </w:rPr>
            </w:pPr>
            <w:r>
              <w:rPr>
                <w:color w:val="auto"/>
                <w:spacing w:val="-3"/>
                <w:highlight w:val="none"/>
              </w:rPr>
              <w:t>1.本项目属于专门面向中小微企业采购的项目，供应商应为中小微企业或监狱企业或残</w:t>
            </w:r>
            <w:r>
              <w:rPr>
                <w:color w:val="auto"/>
                <w:spacing w:val="-1"/>
                <w:highlight w:val="none"/>
              </w:rPr>
              <w:t>疾人福利性单位；</w:t>
            </w:r>
          </w:p>
          <w:p w14:paraId="4ED46C91">
            <w:pPr>
              <w:pStyle w:val="12"/>
              <w:spacing w:before="268" w:line="221" w:lineRule="auto"/>
              <w:ind w:left="114"/>
              <w:rPr>
                <w:color w:val="auto"/>
                <w:highlight w:val="none"/>
              </w:rPr>
            </w:pPr>
            <w:r>
              <w:rPr>
                <w:color w:val="auto"/>
                <w:highlight w:val="none"/>
              </w:rPr>
              <w:t>2.中小企业预留预算金额：</w:t>
            </w:r>
            <w:r>
              <w:rPr>
                <w:rFonts w:hint="eastAsia"/>
                <w:color w:val="auto"/>
                <w:highlight w:val="none"/>
                <w:lang w:eastAsia="zh-CN"/>
              </w:rPr>
              <w:t>1384192.23</w:t>
            </w:r>
            <w:r>
              <w:rPr>
                <w:color w:val="auto"/>
                <w:spacing w:val="-1"/>
                <w:highlight w:val="none"/>
              </w:rPr>
              <w:t>元；中小企业预留份额：100%；</w:t>
            </w:r>
          </w:p>
          <w:p w14:paraId="6717C046">
            <w:pPr>
              <w:pStyle w:val="12"/>
              <w:spacing w:before="267" w:line="220" w:lineRule="auto"/>
              <w:ind w:left="116"/>
              <w:rPr>
                <w:color w:val="auto"/>
                <w:highlight w:val="none"/>
              </w:rPr>
            </w:pPr>
            <w:r>
              <w:rPr>
                <w:color w:val="auto"/>
                <w:spacing w:val="-1"/>
                <w:highlight w:val="none"/>
              </w:rPr>
              <w:t>3.本项目不接受联合体，不允许分包；</w:t>
            </w:r>
          </w:p>
          <w:p w14:paraId="12C0ACA5">
            <w:pPr>
              <w:pStyle w:val="12"/>
              <w:spacing w:before="270" w:line="340" w:lineRule="auto"/>
              <w:ind w:left="111" w:right="102"/>
              <w:rPr>
                <w:color w:val="auto"/>
                <w:highlight w:val="none"/>
              </w:rPr>
            </w:pPr>
            <w:r>
              <w:rPr>
                <w:color w:val="auto"/>
                <w:spacing w:val="-2"/>
                <w:highlight w:val="none"/>
              </w:rPr>
              <w:t>4.本项目属于专门面向中小微企业采购的项目，不再进行价格</w:t>
            </w:r>
            <w:r>
              <w:rPr>
                <w:color w:val="auto"/>
                <w:spacing w:val="-3"/>
                <w:highlight w:val="none"/>
              </w:rPr>
              <w:t>扣除及用扣除后的价格参</w:t>
            </w:r>
            <w:r>
              <w:rPr>
                <w:color w:val="auto"/>
                <w:spacing w:val="-2"/>
                <w:highlight w:val="none"/>
              </w:rPr>
              <w:t>加评审；</w:t>
            </w:r>
          </w:p>
          <w:p w14:paraId="29E0BD68">
            <w:pPr>
              <w:pStyle w:val="12"/>
              <w:spacing w:before="265" w:line="379" w:lineRule="auto"/>
              <w:ind w:left="113" w:right="102" w:firstLine="2"/>
              <w:rPr>
                <w:color w:val="auto"/>
                <w:highlight w:val="none"/>
              </w:rPr>
            </w:pPr>
            <w:r>
              <w:rPr>
                <w:color w:val="auto"/>
                <w:spacing w:val="-2"/>
                <w:highlight w:val="none"/>
              </w:rPr>
              <w:t>5.因本项目属于专门面向中小微企业采购的项目，</w:t>
            </w:r>
            <w:r>
              <w:rPr>
                <w:color w:val="auto"/>
                <w:spacing w:val="-3"/>
                <w:highlight w:val="none"/>
              </w:rPr>
              <w:t>规定依据《政府采购促进中小企业发</w:t>
            </w:r>
            <w:r>
              <w:rPr>
                <w:color w:val="auto"/>
                <w:spacing w:val="-2"/>
                <w:highlight w:val="none"/>
              </w:rPr>
              <w:t>展管理办法》规定享受扶持政策获得政府采购合同</w:t>
            </w:r>
            <w:r>
              <w:rPr>
                <w:color w:val="auto"/>
                <w:spacing w:val="-3"/>
                <w:highlight w:val="none"/>
              </w:rPr>
              <w:t>的，小微企业不得将合同分包给大中</w:t>
            </w:r>
            <w:r>
              <w:rPr>
                <w:color w:val="auto"/>
                <w:spacing w:val="-1"/>
                <w:highlight w:val="none"/>
              </w:rPr>
              <w:t>型企业，中型企业不得将合同分包给大型企业；</w:t>
            </w:r>
          </w:p>
          <w:p w14:paraId="1762366A">
            <w:pPr>
              <w:pStyle w:val="12"/>
              <w:keepNext w:val="0"/>
              <w:keepLines w:val="0"/>
              <w:pageBreakBefore w:val="0"/>
              <w:widowControl/>
              <w:kinsoku w:val="0"/>
              <w:wordWrap/>
              <w:overflowPunct/>
              <w:topLinePunct w:val="0"/>
              <w:autoSpaceDE w:val="0"/>
              <w:autoSpaceDN w:val="0"/>
              <w:bidi w:val="0"/>
              <w:adjustRightInd w:val="0"/>
              <w:snapToGrid w:val="0"/>
              <w:spacing w:line="360" w:lineRule="auto"/>
              <w:ind w:left="113"/>
              <w:textAlignment w:val="baseline"/>
              <w:rPr>
                <w:color w:val="auto"/>
                <w:spacing w:val="-1"/>
                <w:highlight w:val="none"/>
              </w:rPr>
            </w:pPr>
            <w:r>
              <w:rPr>
                <w:color w:val="auto"/>
                <w:highlight w:val="none"/>
              </w:rPr>
              <w:t>6.本项目采购标的对应的中小企业划分标准所属行业为：</w:t>
            </w:r>
            <w:r>
              <w:rPr>
                <w:rFonts w:hint="eastAsia"/>
                <w:color w:val="auto"/>
                <w:highlight w:val="none"/>
                <w:lang w:eastAsia="zh-CN"/>
              </w:rPr>
              <w:t>其他未列明行业</w:t>
            </w:r>
            <w:r>
              <w:rPr>
                <w:color w:val="auto"/>
                <w:spacing w:val="-1"/>
                <w:highlight w:val="none"/>
              </w:rPr>
              <w:t>。</w:t>
            </w:r>
          </w:p>
        </w:tc>
      </w:tr>
    </w:tbl>
    <w:p w14:paraId="4B036F10">
      <w:pPr>
        <w:pStyle w:val="4"/>
        <w:rPr>
          <w:color w:val="auto"/>
          <w:highlight w:val="none"/>
        </w:rPr>
      </w:pPr>
    </w:p>
    <w:p w14:paraId="19D4C587">
      <w:pPr>
        <w:rPr>
          <w:color w:val="auto"/>
          <w:highlight w:val="none"/>
        </w:rPr>
        <w:sectPr>
          <w:footerReference r:id="rId10" w:type="default"/>
          <w:pgSz w:w="11907" w:h="16839"/>
          <w:pgMar w:top="1431" w:right="1063" w:bottom="1154" w:left="1730" w:header="0" w:footer="954" w:gutter="0"/>
          <w:cols w:space="720" w:num="1"/>
        </w:sectPr>
      </w:pPr>
    </w:p>
    <w:p w14:paraId="1D943BDC">
      <w:pPr>
        <w:spacing w:line="91" w:lineRule="auto"/>
        <w:rPr>
          <w:rFonts w:ascii="Arial"/>
          <w:color w:val="auto"/>
          <w:sz w:val="2"/>
          <w:highlight w:val="none"/>
        </w:rPr>
      </w:pPr>
    </w:p>
    <w:p w14:paraId="05F983FB">
      <w:pPr>
        <w:pStyle w:val="4"/>
        <w:rPr>
          <w:color w:val="auto"/>
          <w:highlight w:val="none"/>
        </w:rPr>
      </w:pPr>
    </w:p>
    <w:p w14:paraId="78247385">
      <w:pPr>
        <w:spacing w:before="64" w:line="224" w:lineRule="auto"/>
        <w:ind w:left="3387"/>
        <w:rPr>
          <w:rFonts w:ascii="宋体" w:hAnsi="宋体" w:eastAsia="宋体" w:cs="宋体"/>
          <w:color w:val="auto"/>
          <w:sz w:val="31"/>
          <w:szCs w:val="31"/>
          <w:highlight w:val="none"/>
        </w:rPr>
      </w:pPr>
      <w:r>
        <w:rPr>
          <w:rFonts w:ascii="宋体" w:hAnsi="宋体" w:eastAsia="宋体" w:cs="宋体"/>
          <w:b/>
          <w:bCs/>
          <w:color w:val="auto"/>
          <w:spacing w:val="6"/>
          <w:sz w:val="31"/>
          <w:szCs w:val="31"/>
          <w:highlight w:val="none"/>
        </w:rPr>
        <w:t>供应商须知正文</w:t>
      </w:r>
    </w:p>
    <w:p w14:paraId="5C549DA4">
      <w:pPr>
        <w:pStyle w:val="4"/>
        <w:spacing w:line="319" w:lineRule="auto"/>
        <w:rPr>
          <w:color w:val="auto"/>
          <w:highlight w:val="none"/>
        </w:rPr>
      </w:pPr>
    </w:p>
    <w:p w14:paraId="63B11ADB">
      <w:pPr>
        <w:spacing w:before="101" w:line="226" w:lineRule="auto"/>
        <w:ind w:left="3874"/>
        <w:rPr>
          <w:rFonts w:ascii="宋体" w:hAnsi="宋体" w:eastAsia="宋体" w:cs="宋体"/>
          <w:color w:val="auto"/>
          <w:sz w:val="31"/>
          <w:szCs w:val="31"/>
          <w:highlight w:val="none"/>
        </w:rPr>
      </w:pPr>
      <w:r>
        <w:rPr>
          <w:rFonts w:ascii="宋体" w:hAnsi="宋体" w:eastAsia="宋体" w:cs="宋体"/>
          <w:b/>
          <w:bCs/>
          <w:color w:val="auto"/>
          <w:spacing w:val="-4"/>
          <w:sz w:val="31"/>
          <w:szCs w:val="31"/>
          <w:highlight w:val="none"/>
        </w:rPr>
        <w:t>一、总则</w:t>
      </w:r>
    </w:p>
    <w:p w14:paraId="4C6266D0">
      <w:pPr>
        <w:pStyle w:val="4"/>
        <w:spacing w:line="331" w:lineRule="auto"/>
        <w:rPr>
          <w:color w:val="auto"/>
          <w:highlight w:val="none"/>
        </w:rPr>
      </w:pPr>
    </w:p>
    <w:p w14:paraId="3A5655F0">
      <w:pPr>
        <w:spacing w:before="78" w:line="220" w:lineRule="auto"/>
        <w:ind w:left="517"/>
        <w:rPr>
          <w:rFonts w:ascii="黑体" w:hAnsi="黑体" w:eastAsia="黑体" w:cs="黑体"/>
          <w:color w:val="auto"/>
          <w:sz w:val="24"/>
          <w:szCs w:val="24"/>
          <w:highlight w:val="none"/>
        </w:rPr>
      </w:pPr>
      <w:r>
        <w:rPr>
          <w:rFonts w:ascii="黑体" w:hAnsi="黑体" w:eastAsia="黑体" w:cs="黑体"/>
          <w:b/>
          <w:bCs/>
          <w:color w:val="auto"/>
          <w:spacing w:val="-6"/>
          <w:sz w:val="24"/>
          <w:szCs w:val="24"/>
          <w:highlight w:val="none"/>
        </w:rPr>
        <w:t>1.适用范围</w:t>
      </w:r>
    </w:p>
    <w:p w14:paraId="603A9E05">
      <w:pPr>
        <w:spacing w:before="170" w:line="325" w:lineRule="auto"/>
        <w:ind w:left="19" w:firstLine="43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1.1本项目采购人、采购代理机构、供应商、磋商小组的相关行为均受《中华人民共和国政府</w:t>
      </w:r>
      <w:r>
        <w:rPr>
          <w:rFonts w:ascii="宋体" w:hAnsi="宋体" w:eastAsia="宋体" w:cs="宋体"/>
          <w:color w:val="auto"/>
          <w:sz w:val="21"/>
          <w:szCs w:val="21"/>
          <w:highlight w:val="none"/>
        </w:rPr>
        <w:t>采购法》《中华人民共和国政府采购法实施条例》《政府采购竞争性磋商</w:t>
      </w:r>
      <w:r>
        <w:rPr>
          <w:rFonts w:ascii="宋体" w:hAnsi="宋体" w:eastAsia="宋体" w:cs="宋体"/>
          <w:color w:val="auto"/>
          <w:spacing w:val="-1"/>
          <w:sz w:val="21"/>
          <w:szCs w:val="21"/>
          <w:highlight w:val="none"/>
        </w:rPr>
        <w:t>采购方式管理暂行办法》《财政部关于政府采购竞争性磋商采购方式管理暂行办法有关问题</w:t>
      </w:r>
      <w:r>
        <w:rPr>
          <w:rFonts w:ascii="宋体" w:hAnsi="宋体" w:eastAsia="宋体" w:cs="宋体"/>
          <w:color w:val="auto"/>
          <w:spacing w:val="-2"/>
          <w:sz w:val="21"/>
          <w:szCs w:val="21"/>
          <w:highlight w:val="none"/>
        </w:rPr>
        <w:t>的补充通知》及本项目本级和上</w:t>
      </w:r>
      <w:r>
        <w:rPr>
          <w:rFonts w:ascii="宋体" w:hAnsi="宋体" w:eastAsia="宋体" w:cs="宋体"/>
          <w:color w:val="auto"/>
          <w:spacing w:val="-1"/>
          <w:sz w:val="21"/>
          <w:szCs w:val="21"/>
          <w:highlight w:val="none"/>
        </w:rPr>
        <w:t>级财政部门政府采购有关规定的约束和保护。</w:t>
      </w:r>
    </w:p>
    <w:p w14:paraId="40EED61C">
      <w:pPr>
        <w:spacing w:before="158" w:line="290" w:lineRule="auto"/>
        <w:ind w:left="21" w:right="40" w:firstLine="434"/>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1.2本竞争性磋商文件（以下简称磋商文件）适用于本项目的所有采购程序和环节（法律、法规另</w:t>
      </w:r>
      <w:r>
        <w:rPr>
          <w:rFonts w:ascii="宋体" w:hAnsi="宋体" w:eastAsia="宋体" w:cs="宋体"/>
          <w:color w:val="auto"/>
          <w:spacing w:val="-10"/>
          <w:sz w:val="21"/>
          <w:szCs w:val="21"/>
          <w:highlight w:val="none"/>
        </w:rPr>
        <w:t>有规定的，从其规定）。</w:t>
      </w:r>
    </w:p>
    <w:p w14:paraId="0A8A7BBB">
      <w:pPr>
        <w:spacing w:before="163" w:line="220" w:lineRule="auto"/>
        <w:ind w:left="505"/>
        <w:rPr>
          <w:rFonts w:ascii="黑体" w:hAnsi="黑体" w:eastAsia="黑体" w:cs="黑体"/>
          <w:color w:val="auto"/>
          <w:sz w:val="24"/>
          <w:szCs w:val="24"/>
          <w:highlight w:val="none"/>
        </w:rPr>
      </w:pPr>
      <w:r>
        <w:rPr>
          <w:rFonts w:ascii="黑体" w:hAnsi="黑体" w:eastAsia="黑体" w:cs="黑体"/>
          <w:b/>
          <w:bCs/>
          <w:color w:val="auto"/>
          <w:spacing w:val="-5"/>
          <w:sz w:val="24"/>
          <w:szCs w:val="24"/>
          <w:highlight w:val="none"/>
        </w:rPr>
        <w:t>2.定义</w:t>
      </w:r>
    </w:p>
    <w:p w14:paraId="65B6A632">
      <w:pPr>
        <w:spacing w:before="175" w:line="220"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2.1“采购人”是指依法进行政府采购的国家机关、事业单</w:t>
      </w:r>
      <w:r>
        <w:rPr>
          <w:rFonts w:ascii="宋体" w:hAnsi="宋体" w:eastAsia="宋体" w:cs="宋体"/>
          <w:color w:val="auto"/>
          <w:spacing w:val="-1"/>
          <w:sz w:val="21"/>
          <w:szCs w:val="21"/>
          <w:highlight w:val="none"/>
        </w:rPr>
        <w:t>位、团体组织。</w:t>
      </w:r>
    </w:p>
    <w:p w14:paraId="6A49CE38">
      <w:pPr>
        <w:spacing w:before="158" w:line="220"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2.2“采购代理机构”是指政府采购集中</w:t>
      </w:r>
      <w:r>
        <w:rPr>
          <w:rFonts w:ascii="宋体" w:hAnsi="宋体" w:eastAsia="宋体" w:cs="宋体"/>
          <w:color w:val="auto"/>
          <w:spacing w:val="-1"/>
          <w:sz w:val="21"/>
          <w:szCs w:val="21"/>
          <w:highlight w:val="none"/>
        </w:rPr>
        <w:t>采购机构和集中采购机构以外的采购代理机构。</w:t>
      </w:r>
    </w:p>
    <w:p w14:paraId="75AE3250">
      <w:pPr>
        <w:spacing w:before="158" w:line="220"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2.3“供应商”是指向采购人提供货物、工程或者服务的法人、其他组织</w:t>
      </w:r>
      <w:r>
        <w:rPr>
          <w:rFonts w:ascii="宋体" w:hAnsi="宋体" w:eastAsia="宋体" w:cs="宋体"/>
          <w:color w:val="auto"/>
          <w:spacing w:val="-1"/>
          <w:sz w:val="21"/>
          <w:szCs w:val="21"/>
          <w:highlight w:val="none"/>
        </w:rPr>
        <w:t>或者自然人。</w:t>
      </w:r>
    </w:p>
    <w:p w14:paraId="4B68003E">
      <w:pPr>
        <w:spacing w:before="160" w:line="220" w:lineRule="auto"/>
        <w:ind w:left="44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2.4“服务”是指除货物和工程以外的其他政府采购对象。</w:t>
      </w:r>
    </w:p>
    <w:p w14:paraId="49A4B8DA">
      <w:pPr>
        <w:spacing w:before="157" w:line="290" w:lineRule="auto"/>
        <w:ind w:left="25" w:right="48" w:firstLine="41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2.5“竞标”是指供应商按照本项目竞争性磋商公告规定的方式获取磋商文件、提交响应文件</w:t>
      </w:r>
      <w:r>
        <w:rPr>
          <w:rFonts w:ascii="宋体" w:hAnsi="宋体" w:eastAsia="宋体" w:cs="宋体"/>
          <w:color w:val="auto"/>
          <w:spacing w:val="-3"/>
          <w:sz w:val="21"/>
          <w:szCs w:val="21"/>
          <w:highlight w:val="none"/>
        </w:rPr>
        <w:t>并希望获得标的的行为。</w:t>
      </w:r>
    </w:p>
    <w:p w14:paraId="31AF45E6">
      <w:pPr>
        <w:spacing w:before="157" w:line="291" w:lineRule="auto"/>
        <w:ind w:left="21" w:right="48" w:firstLine="42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2.6“书面形式”是指合同书、信件和数据电文（包括电报、电传、传真、电子数据交换和电</w:t>
      </w:r>
      <w:r>
        <w:rPr>
          <w:rFonts w:ascii="宋体" w:hAnsi="宋体" w:eastAsia="宋体" w:cs="宋体"/>
          <w:color w:val="auto"/>
          <w:spacing w:val="-1"/>
          <w:sz w:val="21"/>
          <w:szCs w:val="21"/>
          <w:highlight w:val="none"/>
        </w:rPr>
        <w:t>子邮件）等可以有形地表现所载内容的形式。</w:t>
      </w:r>
    </w:p>
    <w:p w14:paraId="31D15D37">
      <w:pPr>
        <w:spacing w:before="156" w:line="290" w:lineRule="auto"/>
        <w:ind w:left="45" w:right="41" w:firstLine="396"/>
        <w:rPr>
          <w:rFonts w:ascii="宋体" w:hAnsi="宋体" w:eastAsia="宋体" w:cs="宋体"/>
          <w:color w:val="auto"/>
          <w:sz w:val="21"/>
          <w:szCs w:val="21"/>
          <w:highlight w:val="none"/>
        </w:rPr>
      </w:pPr>
      <w:r>
        <w:rPr>
          <w:rFonts w:ascii="宋体" w:hAnsi="宋体" w:eastAsia="宋体" w:cs="宋体"/>
          <w:color w:val="auto"/>
          <w:spacing w:val="-8"/>
          <w:sz w:val="21"/>
          <w:szCs w:val="21"/>
          <w:highlight w:val="none"/>
        </w:rPr>
        <w:t>2.7“响应文件”是指：供应商根据本磋商文件要求，</w:t>
      </w:r>
      <w:r>
        <w:rPr>
          <w:rFonts w:ascii="宋体" w:hAnsi="宋体" w:eastAsia="宋体" w:cs="宋体"/>
          <w:color w:val="auto"/>
          <w:spacing w:val="-9"/>
          <w:sz w:val="21"/>
          <w:szCs w:val="21"/>
          <w:highlight w:val="none"/>
        </w:rPr>
        <w:t>编制包含资格证明、报价、商务技术等所有</w:t>
      </w:r>
      <w:r>
        <w:rPr>
          <w:rFonts w:ascii="宋体" w:hAnsi="宋体" w:eastAsia="宋体" w:cs="宋体"/>
          <w:color w:val="auto"/>
          <w:spacing w:val="-14"/>
          <w:sz w:val="21"/>
          <w:szCs w:val="21"/>
          <w:highlight w:val="none"/>
        </w:rPr>
        <w:t>内容的文件。</w:t>
      </w:r>
    </w:p>
    <w:p w14:paraId="77D1B9CE">
      <w:pPr>
        <w:spacing w:before="158" w:line="289" w:lineRule="auto"/>
        <w:ind w:left="23" w:right="48" w:firstLine="41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2.8“实质性要求”是指磋商文件中已经指明不满足则响应文件按无效响应处理的条款，或者</w:t>
      </w:r>
      <w:r>
        <w:rPr>
          <w:rFonts w:ascii="宋体" w:hAnsi="宋体" w:eastAsia="宋体" w:cs="宋体"/>
          <w:color w:val="auto"/>
          <w:spacing w:val="-1"/>
          <w:sz w:val="21"/>
          <w:szCs w:val="21"/>
          <w:highlight w:val="none"/>
        </w:rPr>
        <w:t>不能负偏离的条款，或者采购需求中带“▲”的条款。</w:t>
      </w:r>
    </w:p>
    <w:p w14:paraId="1DBD4D40">
      <w:pPr>
        <w:spacing w:before="161" w:line="289" w:lineRule="auto"/>
        <w:ind w:left="25" w:right="48" w:firstLine="41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2.9“正偏离”，是指响应文件对磋商文件“采购需求”中有关条款作出的响应优于条款要求</w:t>
      </w:r>
      <w:r>
        <w:rPr>
          <w:rFonts w:ascii="宋体" w:hAnsi="宋体" w:eastAsia="宋体" w:cs="宋体"/>
          <w:color w:val="auto"/>
          <w:spacing w:val="-3"/>
          <w:sz w:val="21"/>
          <w:szCs w:val="21"/>
          <w:highlight w:val="none"/>
        </w:rPr>
        <w:t>并有利于采购人的情形。</w:t>
      </w:r>
    </w:p>
    <w:p w14:paraId="545203B1">
      <w:pPr>
        <w:spacing w:before="158" w:line="289" w:lineRule="auto"/>
        <w:ind w:left="22" w:right="48" w:firstLine="4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2.10“负偏离”，是指响应文件对磋商文件“采</w:t>
      </w:r>
      <w:r>
        <w:rPr>
          <w:rFonts w:ascii="宋体" w:hAnsi="宋体" w:eastAsia="宋体" w:cs="宋体"/>
          <w:color w:val="auto"/>
          <w:spacing w:val="-2"/>
          <w:sz w:val="21"/>
          <w:szCs w:val="21"/>
          <w:highlight w:val="none"/>
        </w:rPr>
        <w:t>购需求”中有关条款作出的响应不满足条款要</w:t>
      </w:r>
      <w:r>
        <w:rPr>
          <w:rFonts w:ascii="宋体" w:hAnsi="宋体" w:eastAsia="宋体" w:cs="宋体"/>
          <w:color w:val="auto"/>
          <w:spacing w:val="-1"/>
          <w:sz w:val="21"/>
          <w:szCs w:val="21"/>
          <w:highlight w:val="none"/>
        </w:rPr>
        <w:t>求，导致采购人要求不能得到满足的情形。</w:t>
      </w:r>
    </w:p>
    <w:p w14:paraId="5DF7F413">
      <w:pPr>
        <w:spacing w:before="158" w:line="220"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2.11“允许负偏离的条款”是指采购需求中的不属于“实质性要求</w:t>
      </w:r>
      <w:r>
        <w:rPr>
          <w:rFonts w:ascii="宋体" w:hAnsi="宋体" w:eastAsia="宋体" w:cs="宋体"/>
          <w:color w:val="auto"/>
          <w:spacing w:val="-1"/>
          <w:sz w:val="21"/>
          <w:szCs w:val="21"/>
          <w:highlight w:val="none"/>
        </w:rPr>
        <w:t>”的条款。</w:t>
      </w:r>
    </w:p>
    <w:p w14:paraId="34E43AB9">
      <w:pPr>
        <w:spacing w:before="161" w:line="219" w:lineRule="auto"/>
        <w:ind w:left="44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2.12“首次报价”是指供应商提交的首次响应文件中的报价。</w:t>
      </w:r>
    </w:p>
    <w:p w14:paraId="4E4D2843">
      <w:pPr>
        <w:spacing w:before="165" w:line="219" w:lineRule="auto"/>
        <w:ind w:left="504"/>
        <w:rPr>
          <w:rFonts w:ascii="黑体" w:hAnsi="黑体" w:eastAsia="黑体" w:cs="黑体"/>
          <w:color w:val="auto"/>
          <w:sz w:val="24"/>
          <w:szCs w:val="24"/>
          <w:highlight w:val="none"/>
        </w:rPr>
      </w:pPr>
      <w:r>
        <w:rPr>
          <w:rFonts w:ascii="黑体" w:hAnsi="黑体" w:eastAsia="黑体" w:cs="黑体"/>
          <w:b/>
          <w:bCs/>
          <w:color w:val="auto"/>
          <w:spacing w:val="-3"/>
          <w:sz w:val="24"/>
          <w:szCs w:val="24"/>
          <w:highlight w:val="none"/>
        </w:rPr>
        <w:t>3.供应商的资格条件</w:t>
      </w:r>
    </w:p>
    <w:p w14:paraId="5E640ACC">
      <w:pPr>
        <w:spacing w:before="174" w:line="220" w:lineRule="auto"/>
        <w:ind w:left="4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供应商的资格条件详见“供应商须知前附表”。</w:t>
      </w:r>
    </w:p>
    <w:p w14:paraId="6442852F">
      <w:pPr>
        <w:spacing w:before="167" w:line="219" w:lineRule="auto"/>
        <w:ind w:left="501"/>
        <w:rPr>
          <w:rFonts w:ascii="黑体" w:hAnsi="黑体" w:eastAsia="黑体" w:cs="黑体"/>
          <w:color w:val="auto"/>
          <w:sz w:val="24"/>
          <w:szCs w:val="24"/>
          <w:highlight w:val="none"/>
        </w:rPr>
      </w:pPr>
      <w:r>
        <w:rPr>
          <w:rFonts w:ascii="黑体" w:hAnsi="黑体" w:eastAsia="黑体" w:cs="黑体"/>
          <w:b/>
          <w:bCs/>
          <w:color w:val="auto"/>
          <w:spacing w:val="-3"/>
          <w:sz w:val="24"/>
          <w:szCs w:val="24"/>
          <w:highlight w:val="none"/>
        </w:rPr>
        <w:t>4.竞标费用</w:t>
      </w:r>
    </w:p>
    <w:p w14:paraId="7AB99094">
      <w:pPr>
        <w:spacing w:before="174" w:line="220" w:lineRule="auto"/>
        <w:ind w:left="4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供应商应承担参与本次采购活动有关的所有费用，包括</w:t>
      </w:r>
      <w:r>
        <w:rPr>
          <w:rFonts w:ascii="宋体" w:hAnsi="宋体" w:eastAsia="宋体" w:cs="宋体"/>
          <w:color w:val="auto"/>
          <w:spacing w:val="-2"/>
          <w:sz w:val="21"/>
          <w:szCs w:val="21"/>
          <w:highlight w:val="none"/>
        </w:rPr>
        <w:t>但不限于获取磋商文件、勘查现场、编</w:t>
      </w:r>
    </w:p>
    <w:p w14:paraId="237B60FD">
      <w:pPr>
        <w:spacing w:line="220" w:lineRule="auto"/>
        <w:rPr>
          <w:rFonts w:ascii="宋体" w:hAnsi="宋体" w:eastAsia="宋体" w:cs="宋体"/>
          <w:color w:val="auto"/>
          <w:sz w:val="21"/>
          <w:szCs w:val="21"/>
          <w:highlight w:val="none"/>
        </w:rPr>
        <w:sectPr>
          <w:footerReference r:id="rId11" w:type="default"/>
          <w:pgSz w:w="11907" w:h="16839"/>
          <w:pgMar w:top="1423" w:right="1079" w:bottom="1154" w:left="1785" w:header="0" w:footer="952" w:gutter="0"/>
          <w:cols w:space="720" w:num="1"/>
        </w:sectPr>
      </w:pPr>
    </w:p>
    <w:p w14:paraId="652BB89D">
      <w:pPr>
        <w:spacing w:before="41" w:line="221" w:lineRule="auto"/>
        <w:ind w:left="21"/>
        <w:rPr>
          <w:rFonts w:ascii="宋体" w:hAnsi="宋体" w:eastAsia="宋体" w:cs="宋体"/>
          <w:color w:val="auto"/>
          <w:sz w:val="21"/>
          <w:szCs w:val="21"/>
          <w:highlight w:val="none"/>
        </w:rPr>
      </w:pPr>
      <w:r>
        <w:rPr>
          <w:rFonts w:ascii="宋体" w:hAnsi="宋体" w:eastAsia="宋体" w:cs="宋体"/>
          <w:color w:val="auto"/>
          <w:sz w:val="21"/>
          <w:szCs w:val="21"/>
          <w:highlight w:val="none"/>
        </w:rPr>
        <w:t>制和提交响应文件、参加磋商与应答、签订合同等，不论竞标结果如何，均应自行承</w:t>
      </w:r>
      <w:r>
        <w:rPr>
          <w:rFonts w:ascii="宋体" w:hAnsi="宋体" w:eastAsia="宋体" w:cs="宋体"/>
          <w:color w:val="auto"/>
          <w:spacing w:val="-1"/>
          <w:sz w:val="21"/>
          <w:szCs w:val="21"/>
          <w:highlight w:val="none"/>
        </w:rPr>
        <w:t>担。</w:t>
      </w:r>
    </w:p>
    <w:p w14:paraId="4CF83C05">
      <w:pPr>
        <w:spacing w:before="163" w:line="219" w:lineRule="auto"/>
        <w:ind w:left="504"/>
        <w:rPr>
          <w:rFonts w:ascii="黑体" w:hAnsi="黑体" w:eastAsia="黑体" w:cs="黑体"/>
          <w:color w:val="auto"/>
          <w:sz w:val="24"/>
          <w:szCs w:val="24"/>
          <w:highlight w:val="none"/>
        </w:rPr>
      </w:pPr>
      <w:r>
        <w:rPr>
          <w:rFonts w:ascii="黑体" w:hAnsi="黑体" w:eastAsia="黑体" w:cs="黑体"/>
          <w:b/>
          <w:bCs/>
          <w:color w:val="auto"/>
          <w:spacing w:val="-4"/>
          <w:sz w:val="24"/>
          <w:szCs w:val="24"/>
          <w:highlight w:val="none"/>
        </w:rPr>
        <w:t>5.联合体竞标</w:t>
      </w:r>
    </w:p>
    <w:p w14:paraId="1E6676BF">
      <w:pPr>
        <w:spacing w:before="176" w:line="220" w:lineRule="auto"/>
        <w:ind w:left="44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5.1本项目是否接受联合体竞标，详见“供应商须知前附表”。</w:t>
      </w:r>
    </w:p>
    <w:p w14:paraId="2BFDBAF2">
      <w:pPr>
        <w:spacing w:before="158" w:line="220" w:lineRule="auto"/>
        <w:ind w:left="44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5.2如接受联合体竞标，联合体竞标要求详见“供应商须知前附</w:t>
      </w:r>
      <w:r>
        <w:rPr>
          <w:rFonts w:ascii="宋体" w:hAnsi="宋体" w:eastAsia="宋体" w:cs="宋体"/>
          <w:color w:val="auto"/>
          <w:spacing w:val="-2"/>
          <w:sz w:val="21"/>
          <w:szCs w:val="21"/>
          <w:highlight w:val="none"/>
        </w:rPr>
        <w:t>表”。</w:t>
      </w:r>
    </w:p>
    <w:p w14:paraId="6EF77F63">
      <w:pPr>
        <w:spacing w:before="158" w:line="336" w:lineRule="auto"/>
        <w:ind w:left="19" w:firstLine="424"/>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5.3根据《政府采购促进中小企业发展管理办法》（财库〔2020〕46号）及《广西壮族自治区</w:t>
      </w:r>
      <w:r>
        <w:rPr>
          <w:rFonts w:ascii="宋体" w:hAnsi="宋体" w:eastAsia="宋体" w:cs="宋体"/>
          <w:color w:val="auto"/>
          <w:spacing w:val="-1"/>
          <w:sz w:val="21"/>
          <w:szCs w:val="21"/>
          <w:highlight w:val="none"/>
        </w:rPr>
        <w:t>财政厅关于持续优化政府采购营商环境推动高质量发展的通知</w:t>
      </w:r>
      <w:r>
        <w:rPr>
          <w:rFonts w:ascii="宋体" w:hAnsi="宋体" w:eastAsia="宋体" w:cs="宋体"/>
          <w:color w:val="auto"/>
          <w:spacing w:val="-2"/>
          <w:sz w:val="21"/>
          <w:szCs w:val="21"/>
          <w:highlight w:val="none"/>
        </w:rPr>
        <w:t>》（桂财采〔2024〕55号）的规定，</w:t>
      </w:r>
      <w:r>
        <w:rPr>
          <w:rFonts w:ascii="宋体" w:hAnsi="宋体" w:eastAsia="宋体" w:cs="宋体"/>
          <w:color w:val="auto"/>
          <w:spacing w:val="3"/>
          <w:sz w:val="21"/>
          <w:szCs w:val="21"/>
          <w:highlight w:val="none"/>
        </w:rPr>
        <w:t>接受大中型企业与小微企业组成联合体或者允许大中型企业向一家或者多家小微企业分包的采购</w:t>
      </w:r>
      <w:r>
        <w:rPr>
          <w:rFonts w:ascii="宋体" w:hAnsi="宋体" w:eastAsia="宋体" w:cs="宋体"/>
          <w:color w:val="auto"/>
          <w:sz w:val="21"/>
          <w:szCs w:val="21"/>
          <w:highlight w:val="none"/>
        </w:rPr>
        <w:t>项目，对于联合协议或者分包意向协议约定小微企业的合同份额</w:t>
      </w:r>
      <w:r>
        <w:rPr>
          <w:rFonts w:ascii="宋体" w:hAnsi="宋体" w:eastAsia="宋体" w:cs="宋体"/>
          <w:color w:val="auto"/>
          <w:spacing w:val="-1"/>
          <w:sz w:val="21"/>
          <w:szCs w:val="21"/>
          <w:highlight w:val="none"/>
        </w:rPr>
        <w:t>占到合同总金额30%以上的，采购</w:t>
      </w:r>
      <w:r>
        <w:rPr>
          <w:rFonts w:ascii="宋体" w:hAnsi="宋体" w:eastAsia="宋体" w:cs="宋体"/>
          <w:color w:val="auto"/>
          <w:sz w:val="21"/>
          <w:szCs w:val="21"/>
          <w:highlight w:val="none"/>
        </w:rPr>
        <w:t>人、采购代理机构应当对联合体或者大中型企业的报价给予4%-6%</w:t>
      </w:r>
      <w:r>
        <w:rPr>
          <w:rFonts w:ascii="宋体" w:hAnsi="宋体" w:eastAsia="宋体" w:cs="宋体"/>
          <w:color w:val="auto"/>
          <w:spacing w:val="-1"/>
          <w:sz w:val="21"/>
          <w:szCs w:val="21"/>
          <w:highlight w:val="none"/>
        </w:rPr>
        <w:t>的扣除，用扣除后的价格参加评</w:t>
      </w:r>
      <w:r>
        <w:rPr>
          <w:rFonts w:ascii="宋体" w:hAnsi="宋体" w:eastAsia="宋体" w:cs="宋体"/>
          <w:color w:val="auto"/>
          <w:spacing w:val="-10"/>
          <w:sz w:val="21"/>
          <w:szCs w:val="21"/>
          <w:highlight w:val="none"/>
        </w:rPr>
        <w:t>审。</w:t>
      </w:r>
    </w:p>
    <w:p w14:paraId="705C8D5C">
      <w:pPr>
        <w:spacing w:before="164" w:line="219" w:lineRule="auto"/>
        <w:ind w:left="507"/>
        <w:rPr>
          <w:rFonts w:ascii="黑体" w:hAnsi="黑体" w:eastAsia="黑体" w:cs="黑体"/>
          <w:color w:val="auto"/>
          <w:sz w:val="24"/>
          <w:szCs w:val="24"/>
          <w:highlight w:val="none"/>
        </w:rPr>
      </w:pPr>
      <w:r>
        <w:rPr>
          <w:rFonts w:ascii="黑体" w:hAnsi="黑体" w:eastAsia="黑体" w:cs="黑体"/>
          <w:b/>
          <w:bCs/>
          <w:color w:val="auto"/>
          <w:spacing w:val="-4"/>
          <w:sz w:val="24"/>
          <w:szCs w:val="24"/>
          <w:highlight w:val="none"/>
        </w:rPr>
        <w:t>6.转包与分包</w:t>
      </w:r>
    </w:p>
    <w:p w14:paraId="76FD417C">
      <w:pPr>
        <w:spacing w:before="176" w:line="220" w:lineRule="auto"/>
        <w:ind w:left="44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6.1本项目不允许转包。</w:t>
      </w:r>
    </w:p>
    <w:p w14:paraId="55BD3960">
      <w:pPr>
        <w:spacing w:before="158" w:line="325" w:lineRule="auto"/>
        <w:ind w:left="20" w:right="2" w:firstLine="421"/>
        <w:rPr>
          <w:rFonts w:ascii="宋体" w:hAnsi="宋体" w:eastAsia="宋体" w:cs="宋体"/>
          <w:color w:val="auto"/>
          <w:sz w:val="21"/>
          <w:szCs w:val="21"/>
          <w:highlight w:val="none"/>
        </w:rPr>
      </w:pPr>
      <w:r>
        <w:rPr>
          <w:rFonts w:ascii="宋体" w:hAnsi="宋体" w:eastAsia="宋体" w:cs="宋体"/>
          <w:color w:val="auto"/>
          <w:sz w:val="21"/>
          <w:szCs w:val="21"/>
          <w:highlight w:val="none"/>
        </w:rPr>
        <w:t>6.2本项目是否允许分包详见“供应商须知前附表”</w:t>
      </w:r>
      <w:r>
        <w:rPr>
          <w:rFonts w:ascii="宋体" w:hAnsi="宋体" w:eastAsia="宋体" w:cs="宋体"/>
          <w:color w:val="auto"/>
          <w:spacing w:val="-1"/>
          <w:sz w:val="21"/>
          <w:szCs w:val="21"/>
          <w:highlight w:val="none"/>
        </w:rPr>
        <w:t>，本项目不允许违法分包。允许分包的非</w:t>
      </w:r>
      <w:r>
        <w:rPr>
          <w:rFonts w:ascii="宋体" w:hAnsi="宋体" w:eastAsia="宋体" w:cs="宋体"/>
          <w:color w:val="auto"/>
          <w:spacing w:val="-5"/>
          <w:sz w:val="21"/>
          <w:szCs w:val="21"/>
          <w:highlight w:val="none"/>
        </w:rPr>
        <w:t>主体、非关键性工作，根据法律法规规定承担该工作需要行政许可的，如该工作由供应商自行承担，</w:t>
      </w:r>
      <w:r>
        <w:rPr>
          <w:rFonts w:ascii="宋体" w:hAnsi="宋体" w:eastAsia="宋体" w:cs="宋体"/>
          <w:color w:val="auto"/>
          <w:spacing w:val="-1"/>
          <w:sz w:val="21"/>
          <w:szCs w:val="21"/>
          <w:highlight w:val="none"/>
        </w:rPr>
        <w:t>供应商应具备相应的行政许可，如供应商不具备相应的行政许可必</w:t>
      </w:r>
      <w:r>
        <w:rPr>
          <w:rFonts w:ascii="宋体" w:hAnsi="宋体" w:eastAsia="宋体" w:cs="宋体"/>
          <w:color w:val="auto"/>
          <w:spacing w:val="-2"/>
          <w:sz w:val="21"/>
          <w:szCs w:val="21"/>
          <w:highlight w:val="none"/>
        </w:rPr>
        <w:t>须采用分包的方式，但分包供应商应具备相应行政许可。</w:t>
      </w:r>
    </w:p>
    <w:p w14:paraId="4371ED17">
      <w:pPr>
        <w:spacing w:before="157" w:line="313" w:lineRule="auto"/>
        <w:ind w:left="23" w:right="60" w:firstLine="418"/>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6.3供应商根据磋商文件的规定和采购项目的实际情况，拟在成交后将成交项目的非主体、非关键性工作分包的，应当在响应文件中载明分包承担</w:t>
      </w:r>
      <w:r>
        <w:rPr>
          <w:rFonts w:ascii="宋体" w:hAnsi="宋体" w:eastAsia="宋体" w:cs="宋体"/>
          <w:color w:val="auto"/>
          <w:spacing w:val="-2"/>
          <w:sz w:val="21"/>
          <w:szCs w:val="21"/>
          <w:highlight w:val="none"/>
        </w:rPr>
        <w:t>主体，分包承担主体应当具备相应资质条件且</w:t>
      </w:r>
      <w:r>
        <w:rPr>
          <w:rFonts w:ascii="宋体" w:hAnsi="宋体" w:eastAsia="宋体" w:cs="宋体"/>
          <w:color w:val="auto"/>
          <w:spacing w:val="-4"/>
          <w:sz w:val="21"/>
          <w:szCs w:val="21"/>
          <w:highlight w:val="none"/>
        </w:rPr>
        <w:t>不得再次分包。</w:t>
      </w:r>
    </w:p>
    <w:p w14:paraId="6B302BA4">
      <w:pPr>
        <w:spacing w:before="164" w:line="218" w:lineRule="auto"/>
        <w:ind w:left="509"/>
        <w:rPr>
          <w:rFonts w:ascii="黑体" w:hAnsi="黑体" w:eastAsia="黑体" w:cs="黑体"/>
          <w:color w:val="auto"/>
          <w:sz w:val="24"/>
          <w:szCs w:val="24"/>
          <w:highlight w:val="none"/>
        </w:rPr>
      </w:pPr>
      <w:r>
        <w:rPr>
          <w:rFonts w:ascii="黑体" w:hAnsi="黑体" w:eastAsia="黑体" w:cs="黑体"/>
          <w:b/>
          <w:bCs/>
          <w:color w:val="auto"/>
          <w:spacing w:val="-5"/>
          <w:sz w:val="24"/>
          <w:szCs w:val="24"/>
          <w:highlight w:val="none"/>
        </w:rPr>
        <w:t>7.特别说明</w:t>
      </w:r>
    </w:p>
    <w:p w14:paraId="122C599B">
      <w:pPr>
        <w:spacing w:before="177" w:line="289" w:lineRule="auto"/>
        <w:ind w:left="29" w:firstLine="415"/>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7.1如果本磋商文件要求提供供应商或制造商的资格、信誉、荣誉、业绩与企业认证等材料</w:t>
      </w:r>
      <w:r>
        <w:rPr>
          <w:rFonts w:ascii="宋体" w:hAnsi="宋体" w:eastAsia="宋体" w:cs="宋体"/>
          <w:color w:val="auto"/>
          <w:spacing w:val="-5"/>
          <w:sz w:val="21"/>
          <w:szCs w:val="21"/>
          <w:highlight w:val="none"/>
        </w:rPr>
        <w:t>的，</w:t>
      </w:r>
      <w:r>
        <w:rPr>
          <w:rFonts w:ascii="宋体" w:hAnsi="宋体" w:eastAsia="宋体" w:cs="宋体"/>
          <w:color w:val="auto"/>
          <w:sz w:val="21"/>
          <w:szCs w:val="21"/>
          <w:highlight w:val="none"/>
        </w:rPr>
        <w:t>资格、信誉、荣誉、业绩与企业认证等必须为供应商或者制</w:t>
      </w:r>
      <w:r>
        <w:rPr>
          <w:rFonts w:ascii="宋体" w:hAnsi="宋体" w:eastAsia="宋体" w:cs="宋体"/>
          <w:color w:val="auto"/>
          <w:spacing w:val="-1"/>
          <w:sz w:val="21"/>
          <w:szCs w:val="21"/>
          <w:highlight w:val="none"/>
        </w:rPr>
        <w:t>造商所拥有或自身获得。</w:t>
      </w:r>
    </w:p>
    <w:p w14:paraId="0D932384">
      <w:pPr>
        <w:spacing w:before="159" w:line="290" w:lineRule="auto"/>
        <w:ind w:left="37" w:right="58" w:firstLine="407"/>
        <w:rPr>
          <w:rFonts w:ascii="宋体" w:hAnsi="宋体" w:eastAsia="宋体" w:cs="宋体"/>
          <w:color w:val="auto"/>
          <w:sz w:val="21"/>
          <w:szCs w:val="21"/>
          <w:highlight w:val="none"/>
        </w:rPr>
      </w:pPr>
      <w:r>
        <w:rPr>
          <w:rFonts w:ascii="宋体" w:hAnsi="宋体" w:eastAsia="宋体" w:cs="宋体"/>
          <w:color w:val="auto"/>
          <w:sz w:val="21"/>
          <w:szCs w:val="21"/>
          <w:highlight w:val="none"/>
        </w:rPr>
        <w:t>7.2供应商应仔细阅读磋商文件的所有内容，按照</w:t>
      </w:r>
      <w:r>
        <w:rPr>
          <w:rFonts w:ascii="宋体" w:hAnsi="宋体" w:eastAsia="宋体" w:cs="宋体"/>
          <w:color w:val="auto"/>
          <w:spacing w:val="-1"/>
          <w:sz w:val="21"/>
          <w:szCs w:val="21"/>
          <w:highlight w:val="none"/>
        </w:rPr>
        <w:t>磋商文件的要求提交响应文件，并对所提供</w:t>
      </w:r>
      <w:r>
        <w:rPr>
          <w:rFonts w:ascii="宋体" w:hAnsi="宋体" w:eastAsia="宋体" w:cs="宋体"/>
          <w:color w:val="auto"/>
          <w:spacing w:val="-3"/>
          <w:sz w:val="21"/>
          <w:szCs w:val="21"/>
          <w:highlight w:val="none"/>
        </w:rPr>
        <w:t>的全部资料的真实性承担法律责任。</w:t>
      </w:r>
    </w:p>
    <w:p w14:paraId="051391CE">
      <w:pPr>
        <w:spacing w:before="157" w:line="313" w:lineRule="auto"/>
        <w:ind w:left="20" w:right="58" w:firstLine="42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7.3供应商在竞标活动中提供任何疑似虚假材料，将报监管部门查处；签订合同后发现的，成交供应商须依照《中华人民共和国消费者权益保护法》规定赔偿</w:t>
      </w:r>
      <w:r>
        <w:rPr>
          <w:rFonts w:ascii="宋体" w:hAnsi="宋体" w:eastAsia="宋体" w:cs="宋体"/>
          <w:color w:val="auto"/>
          <w:spacing w:val="-2"/>
          <w:sz w:val="21"/>
          <w:szCs w:val="21"/>
          <w:highlight w:val="none"/>
        </w:rPr>
        <w:t>采购人，且民事赔偿并不免除违法</w:t>
      </w:r>
      <w:r>
        <w:rPr>
          <w:rFonts w:ascii="宋体" w:hAnsi="宋体" w:eastAsia="宋体" w:cs="宋体"/>
          <w:color w:val="auto"/>
          <w:spacing w:val="-1"/>
          <w:sz w:val="21"/>
          <w:szCs w:val="21"/>
          <w:highlight w:val="none"/>
        </w:rPr>
        <w:t>供应商的行政与刑事责任。</w:t>
      </w:r>
    </w:p>
    <w:p w14:paraId="28DBBFEC">
      <w:pPr>
        <w:spacing w:before="158" w:line="220"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7.4在政府采购活动中，采购人员及相关人员与供应商有下列利害关系之一的，应当回避：</w:t>
      </w:r>
    </w:p>
    <w:p w14:paraId="1274E035">
      <w:pPr>
        <w:spacing w:before="159" w:line="220"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（1）参加采购活动前3年内与供应商存在劳动关系；</w:t>
      </w:r>
    </w:p>
    <w:p w14:paraId="6F16FF89">
      <w:pPr>
        <w:spacing w:before="157" w:line="220"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（2）参加采购活动前3年内担任供应商的董事、监事；</w:t>
      </w:r>
    </w:p>
    <w:p w14:paraId="205453D3">
      <w:pPr>
        <w:spacing w:before="158" w:line="220"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（3）参加采购活动前3年内是供应商的控股股东或者实际控制人；</w:t>
      </w:r>
    </w:p>
    <w:p w14:paraId="00DE0EBA">
      <w:pPr>
        <w:spacing w:before="160" w:line="291" w:lineRule="auto"/>
        <w:ind w:left="24" w:right="72" w:firstLine="42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（4）与供应商的法定代表人或者负责人有夫妻、直系血亲、</w:t>
      </w:r>
      <w:r>
        <w:rPr>
          <w:rFonts w:ascii="宋体" w:hAnsi="宋体" w:eastAsia="宋体" w:cs="宋体"/>
          <w:color w:val="auto"/>
          <w:sz w:val="21"/>
          <w:szCs w:val="21"/>
          <w:highlight w:val="none"/>
        </w:rPr>
        <w:t>三代以内旁系血亲或者近姻亲关</w:t>
      </w:r>
      <w:r>
        <w:rPr>
          <w:rFonts w:ascii="宋体" w:hAnsi="宋体" w:eastAsia="宋体" w:cs="宋体"/>
          <w:color w:val="auto"/>
          <w:spacing w:val="-16"/>
          <w:sz w:val="21"/>
          <w:szCs w:val="21"/>
          <w:highlight w:val="none"/>
        </w:rPr>
        <w:t>系；</w:t>
      </w:r>
    </w:p>
    <w:p w14:paraId="65238ACA">
      <w:pPr>
        <w:spacing w:before="154" w:line="220" w:lineRule="auto"/>
        <w:ind w:left="446"/>
        <w:rPr>
          <w:rFonts w:ascii="宋体" w:hAnsi="宋体" w:eastAsia="宋体" w:cs="宋体"/>
          <w:color w:val="auto"/>
          <w:sz w:val="21"/>
          <w:szCs w:val="21"/>
          <w:highlight w:val="none"/>
        </w:rPr>
      </w:pPr>
      <w:r>
        <w:rPr>
          <w:rFonts w:ascii="宋体" w:hAnsi="宋体" w:eastAsia="宋体" w:cs="宋体"/>
          <w:color w:val="auto"/>
          <w:sz w:val="21"/>
          <w:szCs w:val="21"/>
          <w:highlight w:val="none"/>
        </w:rPr>
        <w:t>（5）与供应商有其他可能影响政府采购活动</w:t>
      </w:r>
      <w:r>
        <w:rPr>
          <w:rFonts w:ascii="宋体" w:hAnsi="宋体" w:eastAsia="宋体" w:cs="宋体"/>
          <w:color w:val="auto"/>
          <w:spacing w:val="-1"/>
          <w:sz w:val="21"/>
          <w:szCs w:val="21"/>
          <w:highlight w:val="none"/>
        </w:rPr>
        <w:t>公平、公正进行的关系。</w:t>
      </w:r>
    </w:p>
    <w:p w14:paraId="234ACDF0">
      <w:pPr>
        <w:spacing w:line="220" w:lineRule="auto"/>
        <w:rPr>
          <w:rFonts w:ascii="宋体" w:hAnsi="宋体" w:eastAsia="宋体" w:cs="宋体"/>
          <w:color w:val="auto"/>
          <w:sz w:val="21"/>
          <w:szCs w:val="21"/>
          <w:highlight w:val="none"/>
        </w:rPr>
        <w:sectPr>
          <w:footerReference r:id="rId12" w:type="default"/>
          <w:pgSz w:w="11907" w:h="16839"/>
          <w:pgMar w:top="1427" w:right="1067" w:bottom="1154" w:left="1785" w:header="0" w:footer="952" w:gutter="0"/>
          <w:cols w:space="720" w:num="1"/>
        </w:sectPr>
      </w:pPr>
    </w:p>
    <w:p w14:paraId="7206B548">
      <w:pPr>
        <w:spacing w:before="40" w:line="360" w:lineRule="auto"/>
        <w:ind w:left="23" w:right="53" w:firstLine="416"/>
        <w:jc w:val="both"/>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供应商认为采购人员及相关人员与其他供应商有利害关系</w:t>
      </w:r>
      <w:r>
        <w:rPr>
          <w:rFonts w:ascii="宋体" w:hAnsi="宋体" w:eastAsia="宋体" w:cs="宋体"/>
          <w:color w:val="auto"/>
          <w:spacing w:val="-2"/>
          <w:sz w:val="21"/>
          <w:szCs w:val="21"/>
          <w:highlight w:val="none"/>
        </w:rPr>
        <w:t>的，可以向采购人或者采购代理机构</w:t>
      </w:r>
      <w:r>
        <w:rPr>
          <w:rFonts w:ascii="宋体" w:hAnsi="宋体" w:eastAsia="宋体" w:cs="宋体"/>
          <w:color w:val="auto"/>
          <w:spacing w:val="-1"/>
          <w:sz w:val="21"/>
          <w:szCs w:val="21"/>
          <w:highlight w:val="none"/>
        </w:rPr>
        <w:t>书面提出回避申请，并说明理由。采购人或者采购代理机</w:t>
      </w:r>
      <w:r>
        <w:rPr>
          <w:rFonts w:ascii="宋体" w:hAnsi="宋体" w:eastAsia="宋体" w:cs="宋体"/>
          <w:color w:val="auto"/>
          <w:spacing w:val="-2"/>
          <w:sz w:val="21"/>
          <w:szCs w:val="21"/>
          <w:highlight w:val="none"/>
        </w:rPr>
        <w:t>构应当及时询问被申请回避人员，有利害</w:t>
      </w:r>
      <w:r>
        <w:rPr>
          <w:rFonts w:ascii="宋体" w:hAnsi="宋体" w:eastAsia="宋体" w:cs="宋体"/>
          <w:color w:val="auto"/>
          <w:spacing w:val="-1"/>
          <w:sz w:val="21"/>
          <w:szCs w:val="21"/>
          <w:highlight w:val="none"/>
        </w:rPr>
        <w:t>关系的被申请回避人员应当回避。</w:t>
      </w:r>
    </w:p>
    <w:p w14:paraId="077E169A">
      <w:pPr>
        <w:spacing w:line="219"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7.5有下列情形之一的视为供应商相互串通竞标，响应文</w:t>
      </w:r>
      <w:r>
        <w:rPr>
          <w:rFonts w:ascii="宋体" w:hAnsi="宋体" w:eastAsia="宋体" w:cs="宋体"/>
          <w:color w:val="auto"/>
          <w:spacing w:val="-2"/>
          <w:sz w:val="21"/>
          <w:szCs w:val="21"/>
          <w:highlight w:val="none"/>
        </w:rPr>
        <w:t>件将被视为无效：</w:t>
      </w:r>
    </w:p>
    <w:p w14:paraId="7FD418BC">
      <w:pPr>
        <w:spacing w:before="157" w:line="220"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（1）不同供应商的响应文件由同一单位或者个人编制；</w:t>
      </w:r>
    </w:p>
    <w:p w14:paraId="62505837">
      <w:pPr>
        <w:spacing w:before="158" w:line="220"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（2）不同供应商委托同一单位或者个人办理竞标事宜；</w:t>
      </w:r>
    </w:p>
    <w:p w14:paraId="5E9C3614">
      <w:pPr>
        <w:spacing w:before="157" w:line="220"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（3）不同的供应商的响应文件载明的项目管</w:t>
      </w:r>
      <w:r>
        <w:rPr>
          <w:rFonts w:ascii="宋体" w:hAnsi="宋体" w:eastAsia="宋体" w:cs="宋体"/>
          <w:color w:val="auto"/>
          <w:spacing w:val="-2"/>
          <w:sz w:val="21"/>
          <w:szCs w:val="21"/>
          <w:highlight w:val="none"/>
        </w:rPr>
        <w:t>理员为同一个人；</w:t>
      </w:r>
    </w:p>
    <w:p w14:paraId="4F03816E">
      <w:pPr>
        <w:spacing w:before="161" w:line="219"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（4）不同供应商的响应文件异常一致或者报</w:t>
      </w:r>
      <w:r>
        <w:rPr>
          <w:rFonts w:ascii="宋体" w:hAnsi="宋体" w:eastAsia="宋体" w:cs="宋体"/>
          <w:color w:val="auto"/>
          <w:spacing w:val="-2"/>
          <w:sz w:val="21"/>
          <w:szCs w:val="21"/>
          <w:highlight w:val="none"/>
        </w:rPr>
        <w:t>价呈规律性差异；</w:t>
      </w:r>
    </w:p>
    <w:p w14:paraId="5A96D93E">
      <w:pPr>
        <w:spacing w:before="158" w:line="220"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（5）不同供应商的响应文件相互混装；</w:t>
      </w:r>
    </w:p>
    <w:p w14:paraId="6B32B92B">
      <w:pPr>
        <w:spacing w:before="158" w:line="220"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（6）不同供应商的磋商保证金从同一单位或者个人账户转出。</w:t>
      </w:r>
    </w:p>
    <w:p w14:paraId="47AF6BD4">
      <w:pPr>
        <w:spacing w:before="158" w:line="220"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7.6供应商有下列情形之一的，属于恶意串通行为，将报同级监督管理部门：</w:t>
      </w:r>
    </w:p>
    <w:p w14:paraId="44AE42FC">
      <w:pPr>
        <w:spacing w:before="158" w:line="291" w:lineRule="auto"/>
        <w:ind w:left="31" w:right="66" w:firstLine="41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（1）供应商直接或者间接从采购人或者采购代理机构处获得其</w:t>
      </w:r>
      <w:r>
        <w:rPr>
          <w:rFonts w:ascii="宋体" w:hAnsi="宋体" w:eastAsia="宋体" w:cs="宋体"/>
          <w:color w:val="auto"/>
          <w:sz w:val="21"/>
          <w:szCs w:val="21"/>
          <w:highlight w:val="none"/>
        </w:rPr>
        <w:t>他供应商的相关信息并修改其</w:t>
      </w:r>
      <w:r>
        <w:rPr>
          <w:rFonts w:ascii="宋体" w:hAnsi="宋体" w:eastAsia="宋体" w:cs="宋体"/>
          <w:color w:val="auto"/>
          <w:spacing w:val="-9"/>
          <w:sz w:val="21"/>
          <w:szCs w:val="21"/>
          <w:highlight w:val="none"/>
        </w:rPr>
        <w:t>响应文件；</w:t>
      </w:r>
    </w:p>
    <w:p w14:paraId="60D2AF99">
      <w:pPr>
        <w:spacing w:before="157" w:line="220"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（2）供应商按照采购人或者采购代理机构的授意撤换、修改响</w:t>
      </w:r>
      <w:r>
        <w:rPr>
          <w:rFonts w:ascii="宋体" w:hAnsi="宋体" w:eastAsia="宋体" w:cs="宋体"/>
          <w:color w:val="auto"/>
          <w:spacing w:val="-2"/>
          <w:sz w:val="21"/>
          <w:szCs w:val="21"/>
          <w:highlight w:val="none"/>
        </w:rPr>
        <w:t>应文件；</w:t>
      </w:r>
    </w:p>
    <w:p w14:paraId="6BF7D319">
      <w:pPr>
        <w:spacing w:before="158" w:line="219" w:lineRule="auto"/>
        <w:ind w:left="446"/>
        <w:rPr>
          <w:rFonts w:ascii="宋体" w:hAnsi="宋体" w:eastAsia="宋体" w:cs="宋体"/>
          <w:color w:val="auto"/>
          <w:sz w:val="21"/>
          <w:szCs w:val="21"/>
          <w:highlight w:val="none"/>
        </w:rPr>
      </w:pPr>
      <w:r>
        <w:rPr>
          <w:rFonts w:ascii="宋体" w:hAnsi="宋体" w:eastAsia="宋体" w:cs="宋体"/>
          <w:color w:val="auto"/>
          <w:sz w:val="21"/>
          <w:szCs w:val="21"/>
          <w:highlight w:val="none"/>
        </w:rPr>
        <w:t>（3）供应商之间协商报价、技术方案等响应文件或者</w:t>
      </w:r>
      <w:r>
        <w:rPr>
          <w:rFonts w:ascii="宋体" w:hAnsi="宋体" w:eastAsia="宋体" w:cs="宋体"/>
          <w:color w:val="auto"/>
          <w:spacing w:val="-1"/>
          <w:sz w:val="21"/>
          <w:szCs w:val="21"/>
          <w:highlight w:val="none"/>
        </w:rPr>
        <w:t>响应文件的实质性内容；</w:t>
      </w:r>
    </w:p>
    <w:p w14:paraId="1AC5FB61">
      <w:pPr>
        <w:spacing w:before="158" w:line="220" w:lineRule="auto"/>
        <w:jc w:val="right"/>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（4）属于同一集团、协会、商会等组织成员的供应商按照该组织要求协同参加政府采购活动；</w:t>
      </w:r>
    </w:p>
    <w:p w14:paraId="4D7845F4">
      <w:pPr>
        <w:spacing w:before="158" w:line="290" w:lineRule="auto"/>
        <w:ind w:left="21" w:right="57" w:firstLine="42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（5）供应商之间事先约定一致抬高或者压低报价，或者在政府采购活动中事先约定</w:t>
      </w:r>
      <w:r>
        <w:rPr>
          <w:rFonts w:ascii="宋体" w:hAnsi="宋体" w:eastAsia="宋体" w:cs="宋体"/>
          <w:color w:val="auto"/>
          <w:sz w:val="21"/>
          <w:szCs w:val="21"/>
          <w:highlight w:val="none"/>
        </w:rPr>
        <w:t>轮流以高</w:t>
      </w:r>
      <w:r>
        <w:rPr>
          <w:rFonts w:ascii="宋体" w:hAnsi="宋体" w:eastAsia="宋体" w:cs="宋体"/>
          <w:color w:val="auto"/>
          <w:spacing w:val="-1"/>
          <w:sz w:val="21"/>
          <w:szCs w:val="21"/>
          <w:highlight w:val="none"/>
        </w:rPr>
        <w:t>价位或者低价位成交，或者事先约定由某一特定供应商成交，然后再参加竞标；</w:t>
      </w:r>
    </w:p>
    <w:p w14:paraId="51D93136">
      <w:pPr>
        <w:spacing w:before="159" w:line="220"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（6）供应商之间商定部分供应商放弃参加政府采购活动或者放</w:t>
      </w:r>
      <w:r>
        <w:rPr>
          <w:rFonts w:ascii="宋体" w:hAnsi="宋体" w:eastAsia="宋体" w:cs="宋体"/>
          <w:color w:val="auto"/>
          <w:spacing w:val="-2"/>
          <w:sz w:val="21"/>
          <w:szCs w:val="21"/>
          <w:highlight w:val="none"/>
        </w:rPr>
        <w:t>弃成交；</w:t>
      </w:r>
    </w:p>
    <w:p w14:paraId="3B85D475">
      <w:pPr>
        <w:spacing w:before="158" w:line="289" w:lineRule="auto"/>
        <w:ind w:left="20" w:right="67" w:firstLine="42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（7）供应商与采购人或者采购代理机构之间、供应商相互之</w:t>
      </w:r>
      <w:r>
        <w:rPr>
          <w:rFonts w:ascii="宋体" w:hAnsi="宋体" w:eastAsia="宋体" w:cs="宋体"/>
          <w:color w:val="auto"/>
          <w:sz w:val="21"/>
          <w:szCs w:val="21"/>
          <w:highlight w:val="none"/>
        </w:rPr>
        <w:t>间，为谋求特定供应商成交或者</w:t>
      </w:r>
      <w:r>
        <w:rPr>
          <w:rFonts w:ascii="宋体" w:hAnsi="宋体" w:eastAsia="宋体" w:cs="宋体"/>
          <w:color w:val="auto"/>
          <w:spacing w:val="-1"/>
          <w:sz w:val="21"/>
          <w:szCs w:val="21"/>
          <w:highlight w:val="none"/>
        </w:rPr>
        <w:t>排斥其他供应商的其他串通行为。</w:t>
      </w:r>
    </w:p>
    <w:p w14:paraId="302EEC8E">
      <w:pPr>
        <w:pStyle w:val="4"/>
        <w:spacing w:line="295" w:lineRule="auto"/>
        <w:rPr>
          <w:color w:val="auto"/>
          <w:highlight w:val="none"/>
        </w:rPr>
      </w:pPr>
    </w:p>
    <w:p w14:paraId="099A04DD">
      <w:pPr>
        <w:pStyle w:val="4"/>
        <w:spacing w:line="296" w:lineRule="auto"/>
        <w:rPr>
          <w:color w:val="auto"/>
          <w:highlight w:val="none"/>
        </w:rPr>
      </w:pPr>
    </w:p>
    <w:p w14:paraId="550E60A7">
      <w:pPr>
        <w:pStyle w:val="4"/>
        <w:spacing w:line="296" w:lineRule="auto"/>
        <w:rPr>
          <w:color w:val="auto"/>
          <w:highlight w:val="none"/>
        </w:rPr>
      </w:pPr>
    </w:p>
    <w:p w14:paraId="2ADBE8EF">
      <w:pPr>
        <w:spacing w:before="102" w:line="225" w:lineRule="auto"/>
        <w:ind w:left="3553"/>
        <w:rPr>
          <w:rFonts w:ascii="宋体" w:hAnsi="宋体" w:eastAsia="宋体" w:cs="宋体"/>
          <w:color w:val="auto"/>
          <w:sz w:val="31"/>
          <w:szCs w:val="31"/>
          <w:highlight w:val="none"/>
        </w:rPr>
      </w:pPr>
      <w:r>
        <w:rPr>
          <w:rFonts w:ascii="宋体" w:hAnsi="宋体" w:eastAsia="宋体" w:cs="宋体"/>
          <w:b/>
          <w:bCs/>
          <w:color w:val="auto"/>
          <w:spacing w:val="5"/>
          <w:sz w:val="31"/>
          <w:szCs w:val="31"/>
          <w:highlight w:val="none"/>
        </w:rPr>
        <w:t>二、磋商文件</w:t>
      </w:r>
    </w:p>
    <w:p w14:paraId="3432B279">
      <w:pPr>
        <w:pStyle w:val="4"/>
        <w:spacing w:line="280" w:lineRule="auto"/>
        <w:rPr>
          <w:color w:val="auto"/>
          <w:highlight w:val="none"/>
        </w:rPr>
      </w:pPr>
    </w:p>
    <w:p w14:paraId="3CF163E3">
      <w:pPr>
        <w:pStyle w:val="4"/>
        <w:spacing w:line="281" w:lineRule="auto"/>
        <w:rPr>
          <w:color w:val="auto"/>
          <w:highlight w:val="none"/>
        </w:rPr>
      </w:pPr>
    </w:p>
    <w:p w14:paraId="4DB8EBC8">
      <w:pPr>
        <w:spacing w:before="78" w:line="219" w:lineRule="auto"/>
        <w:ind w:left="504"/>
        <w:rPr>
          <w:rFonts w:ascii="黑体" w:hAnsi="黑体" w:eastAsia="黑体" w:cs="黑体"/>
          <w:color w:val="auto"/>
          <w:sz w:val="24"/>
          <w:szCs w:val="24"/>
          <w:highlight w:val="none"/>
        </w:rPr>
      </w:pPr>
      <w:r>
        <w:rPr>
          <w:rFonts w:ascii="黑体" w:hAnsi="黑体" w:eastAsia="黑体" w:cs="黑体"/>
          <w:b/>
          <w:bCs/>
          <w:color w:val="auto"/>
          <w:spacing w:val="-3"/>
          <w:sz w:val="24"/>
          <w:szCs w:val="24"/>
          <w:highlight w:val="none"/>
        </w:rPr>
        <w:t>8.磋商文件的构成</w:t>
      </w:r>
    </w:p>
    <w:p w14:paraId="7B27AA37">
      <w:pPr>
        <w:spacing w:before="175" w:line="219" w:lineRule="auto"/>
        <w:ind w:left="446"/>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（1）竞争性磋商公告；</w:t>
      </w:r>
    </w:p>
    <w:p w14:paraId="0ACBF269">
      <w:pPr>
        <w:spacing w:before="159" w:line="220" w:lineRule="auto"/>
        <w:ind w:left="446"/>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（2）供应商须知；</w:t>
      </w:r>
    </w:p>
    <w:p w14:paraId="4436C380">
      <w:pPr>
        <w:spacing w:before="158" w:line="220"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（3）采购需求；</w:t>
      </w:r>
    </w:p>
    <w:p w14:paraId="5DC00F80">
      <w:pPr>
        <w:spacing w:before="161"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（4）评审程序、评审方法和评审标准；</w:t>
      </w:r>
    </w:p>
    <w:p w14:paraId="0B1E99DE">
      <w:pPr>
        <w:spacing w:before="155" w:line="221"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（5）响应文件格式；</w:t>
      </w:r>
    </w:p>
    <w:p w14:paraId="47352F31">
      <w:pPr>
        <w:spacing w:before="157" w:line="220"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（6）合同文本。</w:t>
      </w:r>
    </w:p>
    <w:p w14:paraId="1BB1FAB3">
      <w:pPr>
        <w:spacing w:before="164" w:line="219" w:lineRule="auto"/>
        <w:ind w:left="506"/>
        <w:rPr>
          <w:rFonts w:ascii="黑体" w:hAnsi="黑体" w:eastAsia="黑体" w:cs="黑体"/>
          <w:color w:val="auto"/>
          <w:sz w:val="24"/>
          <w:szCs w:val="24"/>
          <w:highlight w:val="none"/>
        </w:rPr>
      </w:pPr>
      <w:r>
        <w:rPr>
          <w:rFonts w:ascii="黑体" w:hAnsi="黑体" w:eastAsia="黑体" w:cs="黑体"/>
          <w:b/>
          <w:bCs/>
          <w:color w:val="auto"/>
          <w:spacing w:val="-4"/>
          <w:sz w:val="24"/>
          <w:szCs w:val="24"/>
          <w:highlight w:val="none"/>
        </w:rPr>
        <w:t>9.供应商的询问</w:t>
      </w:r>
    </w:p>
    <w:p w14:paraId="050DF4AB">
      <w:pPr>
        <w:spacing w:line="219" w:lineRule="auto"/>
        <w:rPr>
          <w:rFonts w:ascii="黑体" w:hAnsi="黑体" w:eastAsia="黑体" w:cs="黑体"/>
          <w:color w:val="auto"/>
          <w:sz w:val="24"/>
          <w:szCs w:val="24"/>
          <w:highlight w:val="none"/>
        </w:rPr>
        <w:sectPr>
          <w:footerReference r:id="rId13" w:type="default"/>
          <w:pgSz w:w="11907" w:h="16839"/>
          <w:pgMar w:top="1427" w:right="1073" w:bottom="1154" w:left="1785" w:header="0" w:footer="954" w:gutter="0"/>
          <w:cols w:space="720" w:num="1"/>
        </w:sectPr>
      </w:pPr>
    </w:p>
    <w:p w14:paraId="4278107C">
      <w:pPr>
        <w:spacing w:before="43" w:line="361" w:lineRule="auto"/>
        <w:ind w:left="20" w:firstLine="419"/>
        <w:jc w:val="both"/>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供应商应认真阅读磋商文件的采购需求，如供应商</w:t>
      </w:r>
      <w:r>
        <w:rPr>
          <w:rFonts w:ascii="宋体" w:hAnsi="宋体" w:eastAsia="宋体" w:cs="宋体"/>
          <w:color w:val="auto"/>
          <w:spacing w:val="-2"/>
          <w:sz w:val="21"/>
          <w:szCs w:val="21"/>
          <w:highlight w:val="none"/>
        </w:rPr>
        <w:t>对磋商文件有疑问的，如要求采购人作出澄</w:t>
      </w:r>
      <w:r>
        <w:rPr>
          <w:rFonts w:ascii="宋体" w:hAnsi="宋体" w:eastAsia="宋体" w:cs="宋体"/>
          <w:color w:val="auto"/>
          <w:spacing w:val="-1"/>
          <w:sz w:val="21"/>
          <w:szCs w:val="21"/>
          <w:highlight w:val="none"/>
        </w:rPr>
        <w:t>清或者修改的，供应商应在提交首次响应文件截止之日前，以书面</w:t>
      </w:r>
      <w:r>
        <w:rPr>
          <w:rFonts w:ascii="宋体" w:hAnsi="宋体" w:eastAsia="宋体" w:cs="宋体"/>
          <w:color w:val="auto"/>
          <w:spacing w:val="-2"/>
          <w:sz w:val="21"/>
          <w:szCs w:val="21"/>
          <w:highlight w:val="none"/>
        </w:rPr>
        <w:t>形式向采购人、采购代理机构提</w:t>
      </w:r>
      <w:r>
        <w:rPr>
          <w:rFonts w:ascii="宋体" w:hAnsi="宋体" w:eastAsia="宋体" w:cs="宋体"/>
          <w:color w:val="auto"/>
          <w:spacing w:val="-10"/>
          <w:sz w:val="21"/>
          <w:szCs w:val="21"/>
          <w:highlight w:val="none"/>
        </w:rPr>
        <w:t>出。</w:t>
      </w:r>
    </w:p>
    <w:p w14:paraId="5294CEB1">
      <w:pPr>
        <w:spacing w:before="1" w:line="218" w:lineRule="auto"/>
        <w:ind w:left="517"/>
        <w:rPr>
          <w:rFonts w:ascii="黑体" w:hAnsi="黑体" w:eastAsia="黑体" w:cs="黑体"/>
          <w:color w:val="auto"/>
          <w:sz w:val="24"/>
          <w:szCs w:val="24"/>
          <w:highlight w:val="none"/>
        </w:rPr>
      </w:pPr>
      <w:r>
        <w:rPr>
          <w:rFonts w:ascii="黑体" w:hAnsi="黑体" w:eastAsia="黑体" w:cs="黑体"/>
          <w:b/>
          <w:bCs/>
          <w:color w:val="auto"/>
          <w:spacing w:val="-4"/>
          <w:sz w:val="24"/>
          <w:szCs w:val="24"/>
          <w:highlight w:val="none"/>
        </w:rPr>
        <w:t>10.磋商文件的澄清和修改</w:t>
      </w:r>
    </w:p>
    <w:p w14:paraId="68C90489">
      <w:pPr>
        <w:spacing w:before="174" w:line="360" w:lineRule="auto"/>
        <w:ind w:left="18" w:firstLine="422"/>
        <w:jc w:val="both"/>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提交首次响应文件截止之日前，采购人、采购代理机构</w:t>
      </w:r>
      <w:r>
        <w:rPr>
          <w:rFonts w:ascii="宋体" w:hAnsi="宋体" w:eastAsia="宋体" w:cs="宋体"/>
          <w:color w:val="auto"/>
          <w:spacing w:val="-2"/>
          <w:sz w:val="21"/>
          <w:szCs w:val="21"/>
          <w:highlight w:val="none"/>
        </w:rPr>
        <w:t>或者磋商小组可以对已发出的磋商文件</w:t>
      </w:r>
      <w:r>
        <w:rPr>
          <w:rFonts w:ascii="宋体" w:hAnsi="宋体" w:eastAsia="宋体" w:cs="宋体"/>
          <w:color w:val="auto"/>
          <w:spacing w:val="-1"/>
          <w:sz w:val="21"/>
          <w:szCs w:val="21"/>
          <w:highlight w:val="none"/>
        </w:rPr>
        <w:t>进行必要的澄清或者修改，澄清或者修改的内容作为磋商文件的</w:t>
      </w:r>
      <w:r>
        <w:rPr>
          <w:rFonts w:ascii="宋体" w:hAnsi="宋体" w:eastAsia="宋体" w:cs="宋体"/>
          <w:color w:val="auto"/>
          <w:spacing w:val="-2"/>
          <w:sz w:val="21"/>
          <w:szCs w:val="21"/>
          <w:highlight w:val="none"/>
        </w:rPr>
        <w:t>组成部分。澄清或者修改的内容可能影响响应文件编制的，采购人、采购代理机构或者磋商小组在提交首次响应文件截止之日3个工作日前，以书面形式通知所有获取磋商文件的供应商，不足3个工作日的，应当顺延提交首次响应</w:t>
      </w:r>
      <w:r>
        <w:rPr>
          <w:rFonts w:ascii="宋体" w:hAnsi="宋体" w:eastAsia="宋体" w:cs="宋体"/>
          <w:color w:val="auto"/>
          <w:spacing w:val="-3"/>
          <w:sz w:val="21"/>
          <w:szCs w:val="21"/>
          <w:highlight w:val="none"/>
        </w:rPr>
        <w:t>文件截止之日。</w:t>
      </w:r>
    </w:p>
    <w:p w14:paraId="76361E30">
      <w:pPr>
        <w:pStyle w:val="4"/>
        <w:spacing w:line="318" w:lineRule="auto"/>
        <w:rPr>
          <w:color w:val="auto"/>
          <w:highlight w:val="none"/>
        </w:rPr>
      </w:pPr>
    </w:p>
    <w:p w14:paraId="1AEE980C">
      <w:pPr>
        <w:spacing w:before="101" w:line="225" w:lineRule="auto"/>
        <w:ind w:left="3065"/>
        <w:rPr>
          <w:rFonts w:ascii="宋体" w:hAnsi="宋体" w:eastAsia="宋体" w:cs="宋体"/>
          <w:color w:val="auto"/>
          <w:sz w:val="31"/>
          <w:szCs w:val="31"/>
          <w:highlight w:val="none"/>
        </w:rPr>
      </w:pPr>
      <w:r>
        <w:rPr>
          <w:rFonts w:ascii="宋体" w:hAnsi="宋体" w:eastAsia="宋体" w:cs="宋体"/>
          <w:b/>
          <w:bCs/>
          <w:color w:val="auto"/>
          <w:spacing w:val="6"/>
          <w:sz w:val="31"/>
          <w:szCs w:val="31"/>
          <w:highlight w:val="none"/>
        </w:rPr>
        <w:t>三、响应文件的编制</w:t>
      </w:r>
    </w:p>
    <w:p w14:paraId="42D57DC1">
      <w:pPr>
        <w:pStyle w:val="4"/>
        <w:spacing w:line="280" w:lineRule="auto"/>
        <w:rPr>
          <w:color w:val="auto"/>
          <w:highlight w:val="none"/>
        </w:rPr>
      </w:pPr>
    </w:p>
    <w:p w14:paraId="783198FE">
      <w:pPr>
        <w:pStyle w:val="4"/>
        <w:spacing w:line="281" w:lineRule="auto"/>
        <w:rPr>
          <w:color w:val="auto"/>
          <w:highlight w:val="none"/>
        </w:rPr>
      </w:pPr>
    </w:p>
    <w:p w14:paraId="4865F0FA">
      <w:pPr>
        <w:spacing w:before="78" w:line="218" w:lineRule="auto"/>
        <w:ind w:left="517"/>
        <w:rPr>
          <w:rFonts w:ascii="黑体" w:hAnsi="黑体" w:eastAsia="黑体" w:cs="黑体"/>
          <w:color w:val="auto"/>
          <w:sz w:val="24"/>
          <w:szCs w:val="24"/>
          <w:highlight w:val="none"/>
        </w:rPr>
      </w:pPr>
      <w:r>
        <w:rPr>
          <w:rFonts w:ascii="黑体" w:hAnsi="黑体" w:eastAsia="黑体" w:cs="黑体"/>
          <w:b/>
          <w:bCs/>
          <w:color w:val="auto"/>
          <w:spacing w:val="-4"/>
          <w:sz w:val="24"/>
          <w:szCs w:val="24"/>
          <w:highlight w:val="none"/>
        </w:rPr>
        <w:t>11.响应文件的编制原则</w:t>
      </w:r>
    </w:p>
    <w:p w14:paraId="3A4353BD">
      <w:pPr>
        <w:spacing w:before="177" w:line="361" w:lineRule="auto"/>
        <w:ind w:left="21" w:firstLine="41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供应商必须按照磋商文件的要求编制响应文件，并对其提</w:t>
      </w:r>
      <w:r>
        <w:rPr>
          <w:rFonts w:ascii="宋体" w:hAnsi="宋体" w:eastAsia="宋体" w:cs="宋体"/>
          <w:color w:val="auto"/>
          <w:spacing w:val="-2"/>
          <w:sz w:val="21"/>
          <w:szCs w:val="21"/>
          <w:highlight w:val="none"/>
        </w:rPr>
        <w:t>交的响应文件的真实性、合法性承担</w:t>
      </w:r>
      <w:r>
        <w:rPr>
          <w:rFonts w:ascii="宋体" w:hAnsi="宋体" w:eastAsia="宋体" w:cs="宋体"/>
          <w:color w:val="auto"/>
          <w:sz w:val="21"/>
          <w:szCs w:val="21"/>
          <w:highlight w:val="none"/>
        </w:rPr>
        <w:t>法律责任。响应文件必须对磋商文件提出的要求和条件作出</w:t>
      </w:r>
      <w:r>
        <w:rPr>
          <w:rFonts w:ascii="宋体" w:hAnsi="宋体" w:eastAsia="宋体" w:cs="宋体"/>
          <w:color w:val="auto"/>
          <w:spacing w:val="-1"/>
          <w:sz w:val="21"/>
          <w:szCs w:val="21"/>
          <w:highlight w:val="none"/>
        </w:rPr>
        <w:t>明确响应。</w:t>
      </w:r>
    </w:p>
    <w:p w14:paraId="35CE38CC">
      <w:pPr>
        <w:spacing w:before="2" w:line="219" w:lineRule="auto"/>
        <w:ind w:left="517"/>
        <w:rPr>
          <w:rFonts w:ascii="黑体" w:hAnsi="黑体" w:eastAsia="黑体" w:cs="黑体"/>
          <w:color w:val="auto"/>
          <w:sz w:val="24"/>
          <w:szCs w:val="24"/>
          <w:highlight w:val="none"/>
        </w:rPr>
      </w:pPr>
      <w:r>
        <w:rPr>
          <w:rFonts w:ascii="黑体" w:hAnsi="黑体" w:eastAsia="黑体" w:cs="黑体"/>
          <w:b/>
          <w:bCs/>
          <w:color w:val="auto"/>
          <w:spacing w:val="-4"/>
          <w:sz w:val="24"/>
          <w:szCs w:val="24"/>
          <w:highlight w:val="none"/>
        </w:rPr>
        <w:t>12.响应文件的组成</w:t>
      </w:r>
    </w:p>
    <w:p w14:paraId="3ECC641D">
      <w:pPr>
        <w:spacing w:before="177" w:line="219" w:lineRule="auto"/>
        <w:ind w:left="45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12.1响应文件由资格证明文件、报价文件、商务技术文件三部分组成。</w:t>
      </w:r>
    </w:p>
    <w:p w14:paraId="0B69AB9A">
      <w:pPr>
        <w:spacing w:before="158" w:line="220" w:lineRule="auto"/>
        <w:ind w:left="45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12.1.1资格证明文件：详见“供应商须知前附表”</w:t>
      </w:r>
    </w:p>
    <w:p w14:paraId="2D21E1F6">
      <w:pPr>
        <w:spacing w:before="159" w:line="219" w:lineRule="auto"/>
        <w:ind w:left="45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12.1.2报价文件：详见“供应商须知前附表”</w:t>
      </w:r>
    </w:p>
    <w:p w14:paraId="5838C8FB">
      <w:pPr>
        <w:spacing w:before="158" w:line="220" w:lineRule="auto"/>
        <w:ind w:left="45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12.1.3商务技术文件：详见“供应商须</w:t>
      </w:r>
      <w:r>
        <w:rPr>
          <w:rFonts w:ascii="宋体" w:hAnsi="宋体" w:eastAsia="宋体" w:cs="宋体"/>
          <w:color w:val="auto"/>
          <w:spacing w:val="2"/>
          <w:sz w:val="21"/>
          <w:szCs w:val="21"/>
          <w:highlight w:val="none"/>
        </w:rPr>
        <w:t>知前附表”</w:t>
      </w:r>
    </w:p>
    <w:p w14:paraId="408EFEEA">
      <w:pPr>
        <w:spacing w:before="164" w:line="220" w:lineRule="auto"/>
        <w:ind w:left="517"/>
        <w:rPr>
          <w:rFonts w:ascii="黑体" w:hAnsi="黑体" w:eastAsia="黑体" w:cs="黑体"/>
          <w:color w:val="auto"/>
          <w:sz w:val="24"/>
          <w:szCs w:val="24"/>
          <w:highlight w:val="none"/>
        </w:rPr>
      </w:pPr>
      <w:r>
        <w:rPr>
          <w:rFonts w:ascii="黑体" w:hAnsi="黑体" w:eastAsia="黑体" w:cs="黑体"/>
          <w:b/>
          <w:bCs/>
          <w:color w:val="auto"/>
          <w:spacing w:val="-5"/>
          <w:sz w:val="24"/>
          <w:szCs w:val="24"/>
          <w:highlight w:val="none"/>
        </w:rPr>
        <w:t>13.计量单位</w:t>
      </w:r>
    </w:p>
    <w:p w14:paraId="2435ABC9">
      <w:pPr>
        <w:spacing w:before="177" w:line="360" w:lineRule="auto"/>
        <w:ind w:left="22" w:firstLine="41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磋商文件已有明确规定的，使用磋商文件规定的计量单位</w:t>
      </w:r>
      <w:r>
        <w:rPr>
          <w:rFonts w:ascii="宋体" w:hAnsi="宋体" w:eastAsia="宋体" w:cs="宋体"/>
          <w:color w:val="auto"/>
          <w:spacing w:val="-2"/>
          <w:sz w:val="21"/>
          <w:szCs w:val="21"/>
          <w:highlight w:val="none"/>
        </w:rPr>
        <w:t>；磋商文件没有规定的，应采用中华</w:t>
      </w:r>
      <w:r>
        <w:rPr>
          <w:rFonts w:ascii="宋体" w:hAnsi="宋体" w:eastAsia="宋体" w:cs="宋体"/>
          <w:color w:val="auto"/>
          <w:spacing w:val="-1"/>
          <w:sz w:val="21"/>
          <w:szCs w:val="21"/>
          <w:highlight w:val="none"/>
        </w:rPr>
        <w:t>人民共和国法定计量单位，货币种类为人民币，否则视同未响应。</w:t>
      </w:r>
    </w:p>
    <w:p w14:paraId="2EA5BB7D">
      <w:pPr>
        <w:spacing w:before="3" w:line="219" w:lineRule="auto"/>
        <w:ind w:left="517"/>
        <w:rPr>
          <w:rFonts w:ascii="黑体" w:hAnsi="黑体" w:eastAsia="黑体" w:cs="黑体"/>
          <w:color w:val="auto"/>
          <w:sz w:val="24"/>
          <w:szCs w:val="24"/>
          <w:highlight w:val="none"/>
        </w:rPr>
      </w:pPr>
      <w:r>
        <w:rPr>
          <w:rFonts w:ascii="黑体" w:hAnsi="黑体" w:eastAsia="黑体" w:cs="黑体"/>
          <w:b/>
          <w:bCs/>
          <w:color w:val="auto"/>
          <w:spacing w:val="-5"/>
          <w:sz w:val="24"/>
          <w:szCs w:val="24"/>
          <w:highlight w:val="none"/>
        </w:rPr>
        <w:t>14.竞标的风险</w:t>
      </w:r>
    </w:p>
    <w:p w14:paraId="1508E272">
      <w:pPr>
        <w:spacing w:before="177" w:line="360" w:lineRule="auto"/>
        <w:ind w:left="31" w:firstLine="40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供应商没有按照磋商文件要求提供全部资料，或者供应商</w:t>
      </w:r>
      <w:r>
        <w:rPr>
          <w:rFonts w:ascii="宋体" w:hAnsi="宋体" w:eastAsia="宋体" w:cs="宋体"/>
          <w:color w:val="auto"/>
          <w:spacing w:val="-2"/>
          <w:sz w:val="21"/>
          <w:szCs w:val="21"/>
          <w:highlight w:val="none"/>
        </w:rPr>
        <w:t>没有对磋商文件在各方面作出实质性响应可能导致其响应无效，是供应商应当考虑的风险。</w:t>
      </w:r>
    </w:p>
    <w:p w14:paraId="5E12D451">
      <w:pPr>
        <w:spacing w:before="3" w:line="219" w:lineRule="auto"/>
        <w:ind w:left="517"/>
        <w:rPr>
          <w:rFonts w:ascii="黑体" w:hAnsi="黑体" w:eastAsia="黑体" w:cs="黑体"/>
          <w:color w:val="auto"/>
          <w:sz w:val="24"/>
          <w:szCs w:val="24"/>
          <w:highlight w:val="none"/>
        </w:rPr>
      </w:pPr>
      <w:r>
        <w:rPr>
          <w:rFonts w:ascii="黑体" w:hAnsi="黑体" w:eastAsia="黑体" w:cs="黑体"/>
          <w:b/>
          <w:bCs/>
          <w:color w:val="auto"/>
          <w:spacing w:val="-5"/>
          <w:sz w:val="24"/>
          <w:szCs w:val="24"/>
          <w:highlight w:val="none"/>
        </w:rPr>
        <w:t>15.竞标报价</w:t>
      </w:r>
    </w:p>
    <w:p w14:paraId="7687BA91">
      <w:pPr>
        <w:spacing w:before="178" w:line="219" w:lineRule="auto"/>
        <w:ind w:left="45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15.1竞标报价应按磋商文件中“竞标报价表”格式填写。</w:t>
      </w:r>
    </w:p>
    <w:p w14:paraId="560080AB">
      <w:pPr>
        <w:spacing w:before="159" w:line="219" w:lineRule="auto"/>
        <w:ind w:left="45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15.2竞标报价的内容见“供应商须知前附表”。</w:t>
      </w:r>
    </w:p>
    <w:p w14:paraId="46642ED8">
      <w:pPr>
        <w:spacing w:before="159" w:line="219" w:lineRule="auto"/>
        <w:ind w:left="463"/>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15.3竞标报价要求</w:t>
      </w:r>
    </w:p>
    <w:p w14:paraId="322132E6">
      <w:pPr>
        <w:spacing w:before="161" w:line="219" w:lineRule="auto"/>
        <w:ind w:left="455"/>
        <w:rPr>
          <w:rFonts w:ascii="宋体" w:hAnsi="宋体" w:eastAsia="宋体" w:cs="宋体"/>
          <w:color w:val="auto"/>
          <w:sz w:val="21"/>
          <w:szCs w:val="21"/>
          <w:highlight w:val="none"/>
        </w:rPr>
      </w:pPr>
      <w:r>
        <w:rPr>
          <w:rFonts w:ascii="宋体" w:hAnsi="宋体" w:eastAsia="宋体" w:cs="宋体"/>
          <w:color w:val="auto"/>
          <w:sz w:val="21"/>
          <w:szCs w:val="21"/>
          <w:highlight w:val="none"/>
        </w:rPr>
        <w:t>15.3.1供应商的竞标报价应符合以下要求，否则响应文件按无效响应处理：</w:t>
      </w:r>
    </w:p>
    <w:p w14:paraId="67E4057F">
      <w:pPr>
        <w:spacing w:before="158" w:line="360" w:lineRule="auto"/>
        <w:ind w:left="23" w:right="98" w:firstLine="42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（1）供应商必须就“采购需求”中所竞标的每个分标的</w:t>
      </w:r>
      <w:r>
        <w:rPr>
          <w:rFonts w:ascii="宋体" w:hAnsi="宋体" w:eastAsia="宋体" w:cs="宋体"/>
          <w:color w:val="auto"/>
          <w:spacing w:val="-2"/>
          <w:sz w:val="21"/>
          <w:szCs w:val="21"/>
          <w:highlight w:val="none"/>
        </w:rPr>
        <w:t>全部内容分别作完整唯一总价报价，</w:t>
      </w:r>
      <w:r>
        <w:rPr>
          <w:rFonts w:ascii="宋体" w:hAnsi="宋体" w:eastAsia="宋体" w:cs="宋体"/>
          <w:color w:val="auto"/>
          <w:spacing w:val="-4"/>
          <w:sz w:val="21"/>
          <w:szCs w:val="21"/>
          <w:highlight w:val="none"/>
        </w:rPr>
        <w:t>不得存在漏项报价；</w:t>
      </w:r>
    </w:p>
    <w:p w14:paraId="41821569">
      <w:pPr>
        <w:spacing w:line="360" w:lineRule="auto"/>
        <w:rPr>
          <w:rFonts w:ascii="宋体" w:hAnsi="宋体" w:eastAsia="宋体" w:cs="宋体"/>
          <w:color w:val="auto"/>
          <w:sz w:val="21"/>
          <w:szCs w:val="21"/>
          <w:highlight w:val="none"/>
        </w:rPr>
        <w:sectPr>
          <w:footerReference r:id="rId14" w:type="default"/>
          <w:pgSz w:w="11907" w:h="16839"/>
          <w:pgMar w:top="1427" w:right="1125" w:bottom="1154" w:left="1785" w:header="0" w:footer="952" w:gutter="0"/>
          <w:cols w:space="720" w:num="1"/>
        </w:sectPr>
      </w:pPr>
    </w:p>
    <w:p w14:paraId="0F5552CD">
      <w:pPr>
        <w:spacing w:before="42" w:line="219"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（2）供应商必须就所竞标的分标的单项内容</w:t>
      </w:r>
      <w:r>
        <w:rPr>
          <w:rFonts w:ascii="宋体" w:hAnsi="宋体" w:eastAsia="宋体" w:cs="宋体"/>
          <w:color w:val="auto"/>
          <w:spacing w:val="-2"/>
          <w:sz w:val="21"/>
          <w:szCs w:val="21"/>
          <w:highlight w:val="none"/>
        </w:rPr>
        <w:t>作唯一报价。</w:t>
      </w:r>
    </w:p>
    <w:p w14:paraId="36C21507">
      <w:pPr>
        <w:spacing w:before="158" w:line="289" w:lineRule="auto"/>
        <w:ind w:left="35" w:right="56" w:firstLine="4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15.3.2竞标报价（包含首次报价、最后报价）超过所竞标</w:t>
      </w:r>
      <w:r>
        <w:rPr>
          <w:rFonts w:ascii="宋体" w:hAnsi="宋体" w:eastAsia="宋体" w:cs="宋体"/>
          <w:color w:val="auto"/>
          <w:sz w:val="21"/>
          <w:szCs w:val="21"/>
          <w:highlight w:val="none"/>
        </w:rPr>
        <w:t>分标规定的采购预算金额或者最高</w:t>
      </w:r>
      <w:r>
        <w:rPr>
          <w:rFonts w:ascii="宋体" w:hAnsi="宋体" w:eastAsia="宋体" w:cs="宋体"/>
          <w:color w:val="auto"/>
          <w:spacing w:val="-3"/>
          <w:sz w:val="21"/>
          <w:szCs w:val="21"/>
          <w:highlight w:val="none"/>
        </w:rPr>
        <w:t>限价的，其响应文件将按无效处理。</w:t>
      </w:r>
    </w:p>
    <w:p w14:paraId="3D6F7C0A">
      <w:pPr>
        <w:spacing w:before="160" w:line="290" w:lineRule="auto"/>
        <w:ind w:left="20" w:right="56" w:firstLine="43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15.3.3竞标报价（包含首次报价、最后报价）超过分项采</w:t>
      </w:r>
      <w:r>
        <w:rPr>
          <w:rFonts w:ascii="宋体" w:hAnsi="宋体" w:eastAsia="宋体" w:cs="宋体"/>
          <w:color w:val="auto"/>
          <w:sz w:val="21"/>
          <w:szCs w:val="21"/>
          <w:highlight w:val="none"/>
        </w:rPr>
        <w:t>购预算金额或者最高限价的，其响</w:t>
      </w:r>
      <w:r>
        <w:rPr>
          <w:rFonts w:ascii="宋体" w:hAnsi="宋体" w:eastAsia="宋体" w:cs="宋体"/>
          <w:color w:val="auto"/>
          <w:spacing w:val="-1"/>
          <w:sz w:val="21"/>
          <w:szCs w:val="21"/>
          <w:highlight w:val="none"/>
        </w:rPr>
        <w:t>应文件将按无效处理。</w:t>
      </w:r>
    </w:p>
    <w:p w14:paraId="71E92B32">
      <w:pPr>
        <w:spacing w:before="163" w:line="218" w:lineRule="auto"/>
        <w:ind w:left="517"/>
        <w:rPr>
          <w:rFonts w:ascii="黑体" w:hAnsi="黑体" w:eastAsia="黑体" w:cs="黑体"/>
          <w:color w:val="auto"/>
          <w:sz w:val="24"/>
          <w:szCs w:val="24"/>
          <w:highlight w:val="none"/>
        </w:rPr>
      </w:pPr>
      <w:r>
        <w:rPr>
          <w:rFonts w:ascii="黑体" w:hAnsi="黑体" w:eastAsia="黑体" w:cs="黑体"/>
          <w:b/>
          <w:bCs/>
          <w:color w:val="auto"/>
          <w:spacing w:val="-5"/>
          <w:sz w:val="24"/>
          <w:szCs w:val="24"/>
          <w:highlight w:val="none"/>
        </w:rPr>
        <w:t>16.竞标有效期</w:t>
      </w:r>
    </w:p>
    <w:p w14:paraId="7C7DDCDB">
      <w:pPr>
        <w:spacing w:before="178" w:line="289" w:lineRule="auto"/>
        <w:ind w:left="24" w:right="56" w:firstLine="43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16.1竞标有效期是指为保证采购人有足够的时间在提交响应</w:t>
      </w:r>
      <w:r>
        <w:rPr>
          <w:rFonts w:ascii="宋体" w:hAnsi="宋体" w:eastAsia="宋体" w:cs="宋体"/>
          <w:color w:val="auto"/>
          <w:sz w:val="21"/>
          <w:szCs w:val="21"/>
          <w:highlight w:val="none"/>
        </w:rPr>
        <w:t>文件后完成评审、确定成交供应</w:t>
      </w:r>
      <w:r>
        <w:rPr>
          <w:rFonts w:ascii="宋体" w:hAnsi="宋体" w:eastAsia="宋体" w:cs="宋体"/>
          <w:color w:val="auto"/>
          <w:spacing w:val="-1"/>
          <w:sz w:val="21"/>
          <w:szCs w:val="21"/>
          <w:highlight w:val="none"/>
        </w:rPr>
        <w:t>商、合同签订等工作而要求供应商提交的响应文件在一定时间内保持有效的期限。</w:t>
      </w:r>
    </w:p>
    <w:p w14:paraId="709ED798">
      <w:pPr>
        <w:spacing w:before="159" w:line="289" w:lineRule="auto"/>
        <w:ind w:left="22" w:right="54" w:firstLine="43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16.2竞标有效期应由供应商按“供应商须知前附表”规定的期限</w:t>
      </w:r>
      <w:r>
        <w:rPr>
          <w:rFonts w:ascii="宋体" w:hAnsi="宋体" w:eastAsia="宋体" w:cs="宋体"/>
          <w:color w:val="auto"/>
          <w:sz w:val="21"/>
          <w:szCs w:val="21"/>
          <w:highlight w:val="none"/>
        </w:rPr>
        <w:t>作出响应。承诺的竞标有效</w:t>
      </w:r>
      <w:r>
        <w:rPr>
          <w:rFonts w:ascii="宋体" w:hAnsi="宋体" w:eastAsia="宋体" w:cs="宋体"/>
          <w:color w:val="auto"/>
          <w:spacing w:val="-1"/>
          <w:sz w:val="21"/>
          <w:szCs w:val="21"/>
          <w:highlight w:val="none"/>
        </w:rPr>
        <w:t>期低于采购文件规定期限的，供应商的响应文件作无效处理。</w:t>
      </w:r>
    </w:p>
    <w:p w14:paraId="1742BD3B">
      <w:pPr>
        <w:spacing w:before="158" w:line="220" w:lineRule="auto"/>
        <w:ind w:left="45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16.3供应商的响应文件在竞标有效期内均保持</w:t>
      </w:r>
      <w:r>
        <w:rPr>
          <w:rFonts w:ascii="宋体" w:hAnsi="宋体" w:eastAsia="宋体" w:cs="宋体"/>
          <w:color w:val="auto"/>
          <w:spacing w:val="-2"/>
          <w:sz w:val="21"/>
          <w:szCs w:val="21"/>
          <w:highlight w:val="none"/>
        </w:rPr>
        <w:t>有效。</w:t>
      </w:r>
    </w:p>
    <w:p w14:paraId="56988F50">
      <w:pPr>
        <w:spacing w:before="167" w:line="219" w:lineRule="auto"/>
        <w:ind w:left="517"/>
        <w:rPr>
          <w:rFonts w:ascii="黑体" w:hAnsi="黑体" w:eastAsia="黑体" w:cs="黑体"/>
          <w:color w:val="auto"/>
          <w:sz w:val="24"/>
          <w:szCs w:val="24"/>
          <w:highlight w:val="none"/>
        </w:rPr>
      </w:pPr>
      <w:r>
        <w:rPr>
          <w:rFonts w:ascii="黑体" w:hAnsi="黑体" w:eastAsia="黑体" w:cs="黑体"/>
          <w:b/>
          <w:bCs/>
          <w:color w:val="auto"/>
          <w:spacing w:val="-5"/>
          <w:sz w:val="24"/>
          <w:szCs w:val="24"/>
          <w:highlight w:val="none"/>
        </w:rPr>
        <w:t>17.磋商保证金</w:t>
      </w:r>
    </w:p>
    <w:p w14:paraId="1A3F8D11">
      <w:pPr>
        <w:spacing w:before="174" w:line="220" w:lineRule="auto"/>
        <w:ind w:left="45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17.1供应商须按“供应商须知前附表”的规定提交磋商保证金。</w:t>
      </w:r>
    </w:p>
    <w:p w14:paraId="2AD97A9B">
      <w:pPr>
        <w:spacing w:before="159" w:line="221" w:lineRule="auto"/>
        <w:ind w:left="45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17.2磋商保证金的退还</w:t>
      </w:r>
    </w:p>
    <w:p w14:paraId="14A36D42">
      <w:pPr>
        <w:spacing w:before="158" w:line="359" w:lineRule="auto"/>
        <w:ind w:left="54" w:right="53" w:firstLine="388"/>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未成交供应商的磋商保证金自成交通知书发出之日起5个工作日内退还；成交供应商的磋商保证金</w:t>
      </w:r>
      <w:r>
        <w:rPr>
          <w:rFonts w:ascii="宋体" w:hAnsi="宋体" w:eastAsia="宋体" w:cs="宋体"/>
          <w:color w:val="auto"/>
          <w:spacing w:val="-4"/>
          <w:sz w:val="21"/>
          <w:szCs w:val="21"/>
          <w:highlight w:val="none"/>
        </w:rPr>
        <w:t>自签订合同之日起5个工作日内退还。</w:t>
      </w:r>
    </w:p>
    <w:p w14:paraId="52122C27">
      <w:pPr>
        <w:spacing w:before="1" w:line="219" w:lineRule="auto"/>
        <w:ind w:left="45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17.3除逾期退还磋商保证金和终止采购的情形以外，磋商保证</w:t>
      </w:r>
      <w:r>
        <w:rPr>
          <w:rFonts w:ascii="宋体" w:hAnsi="宋体" w:eastAsia="宋体" w:cs="宋体"/>
          <w:color w:val="auto"/>
          <w:spacing w:val="-2"/>
          <w:sz w:val="21"/>
          <w:szCs w:val="21"/>
          <w:highlight w:val="none"/>
        </w:rPr>
        <w:t>金不计息。</w:t>
      </w:r>
    </w:p>
    <w:p w14:paraId="5603F9F5">
      <w:pPr>
        <w:spacing w:before="157" w:line="220" w:lineRule="auto"/>
        <w:ind w:left="45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17.4供应商有下列情形之一的，磋商保证金</w:t>
      </w:r>
      <w:r>
        <w:rPr>
          <w:rFonts w:ascii="宋体" w:hAnsi="宋体" w:eastAsia="宋体" w:cs="宋体"/>
          <w:color w:val="auto"/>
          <w:spacing w:val="-3"/>
          <w:sz w:val="21"/>
          <w:szCs w:val="21"/>
          <w:highlight w:val="none"/>
        </w:rPr>
        <w:t>将不予退还：</w:t>
      </w:r>
    </w:p>
    <w:p w14:paraId="541FC0A5">
      <w:pPr>
        <w:spacing w:before="160" w:line="220"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（1）供应商在提交响应文件截止时间后撤回响应文件的；</w:t>
      </w:r>
    </w:p>
    <w:p w14:paraId="41E03685">
      <w:pPr>
        <w:spacing w:before="158"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（2）未按规定提交履约保证金的；</w:t>
      </w:r>
    </w:p>
    <w:p w14:paraId="66ADFE61">
      <w:pPr>
        <w:spacing w:before="157" w:line="220"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（3）供应商在响应文件中提供虚假材料的；</w:t>
      </w:r>
    </w:p>
    <w:p w14:paraId="0A8675B2">
      <w:pPr>
        <w:spacing w:before="158" w:line="220"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（4）除因不可抗力或者磋商文件认可的情形以外，成交供应商不与采购人签订合同的；</w:t>
      </w:r>
    </w:p>
    <w:p w14:paraId="03035AB2">
      <w:pPr>
        <w:spacing w:before="158" w:line="220"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（5）供应商与采购人、其他供应商或者采购代理机构</w:t>
      </w:r>
      <w:r>
        <w:rPr>
          <w:rFonts w:ascii="宋体" w:hAnsi="宋体" w:eastAsia="宋体" w:cs="宋体"/>
          <w:color w:val="auto"/>
          <w:spacing w:val="-2"/>
          <w:sz w:val="21"/>
          <w:szCs w:val="21"/>
          <w:highlight w:val="none"/>
        </w:rPr>
        <w:t>恶意串通的；</w:t>
      </w:r>
    </w:p>
    <w:p w14:paraId="6E5B3541">
      <w:pPr>
        <w:spacing w:before="160" w:line="221"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（6）法律法规规定的其他情形。</w:t>
      </w:r>
    </w:p>
    <w:p w14:paraId="15233659">
      <w:pPr>
        <w:spacing w:before="163" w:line="218" w:lineRule="auto"/>
        <w:ind w:left="517"/>
        <w:rPr>
          <w:rFonts w:ascii="黑体" w:hAnsi="黑体" w:eastAsia="黑体" w:cs="黑体"/>
          <w:color w:val="auto"/>
          <w:sz w:val="24"/>
          <w:szCs w:val="24"/>
          <w:highlight w:val="none"/>
        </w:rPr>
      </w:pPr>
      <w:r>
        <w:rPr>
          <w:rFonts w:ascii="黑体" w:hAnsi="黑体" w:eastAsia="黑体" w:cs="黑体"/>
          <w:b/>
          <w:bCs/>
          <w:color w:val="auto"/>
          <w:spacing w:val="-4"/>
          <w:sz w:val="24"/>
          <w:szCs w:val="24"/>
          <w:highlight w:val="none"/>
        </w:rPr>
        <w:t>18.响应文件编制的要求</w:t>
      </w:r>
    </w:p>
    <w:p w14:paraId="443C13A1">
      <w:pPr>
        <w:spacing w:before="176" w:line="313" w:lineRule="auto"/>
        <w:ind w:left="22" w:firstLine="43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18.1供应商应按照本项目磋商文件规定的格式和顺序和广西</w:t>
      </w:r>
      <w:r>
        <w:rPr>
          <w:rFonts w:ascii="宋体" w:hAnsi="宋体" w:eastAsia="宋体" w:cs="宋体"/>
          <w:color w:val="auto"/>
          <w:sz w:val="21"/>
          <w:szCs w:val="21"/>
          <w:highlight w:val="none"/>
        </w:rPr>
        <w:t>政府采购云平台的要求编制响应</w:t>
      </w:r>
      <w:r>
        <w:rPr>
          <w:rFonts w:ascii="宋体" w:hAnsi="宋体" w:eastAsia="宋体" w:cs="宋体"/>
          <w:color w:val="auto"/>
          <w:spacing w:val="-5"/>
          <w:sz w:val="21"/>
          <w:szCs w:val="21"/>
          <w:highlight w:val="none"/>
        </w:rPr>
        <w:t>文件并加密。响应文件内容不完整、编排混乱导致响应文件被误读、漏读或者查找不到相关内容的，</w:t>
      </w:r>
      <w:r>
        <w:rPr>
          <w:rFonts w:ascii="宋体" w:hAnsi="宋体" w:eastAsia="宋体" w:cs="宋体"/>
          <w:color w:val="auto"/>
          <w:spacing w:val="-2"/>
          <w:sz w:val="21"/>
          <w:szCs w:val="21"/>
          <w:highlight w:val="none"/>
        </w:rPr>
        <w:t>由此引发的后果由供应商承担。</w:t>
      </w:r>
    </w:p>
    <w:p w14:paraId="680FDE50">
      <w:pPr>
        <w:spacing w:before="160" w:line="312" w:lineRule="auto"/>
        <w:ind w:left="19" w:right="56" w:firstLine="43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18.2为确保网上操作合法、有效和安全，供应商应当在提交</w:t>
      </w:r>
      <w:r>
        <w:rPr>
          <w:rFonts w:ascii="宋体" w:hAnsi="宋体" w:eastAsia="宋体" w:cs="宋体"/>
          <w:color w:val="auto"/>
          <w:sz w:val="21"/>
          <w:szCs w:val="21"/>
          <w:highlight w:val="none"/>
        </w:rPr>
        <w:t>响应文件截止时间前完成在广西</w:t>
      </w:r>
      <w:r>
        <w:rPr>
          <w:rFonts w:ascii="宋体" w:hAnsi="宋体" w:eastAsia="宋体" w:cs="宋体"/>
          <w:color w:val="auto"/>
          <w:spacing w:val="3"/>
          <w:sz w:val="21"/>
          <w:szCs w:val="21"/>
          <w:highlight w:val="none"/>
        </w:rPr>
        <w:t>政府采购云平台的身份认证，确保在电子竞标过程中能够对相关数据电文进行加密和使用电子签</w:t>
      </w:r>
      <w:r>
        <w:rPr>
          <w:rFonts w:ascii="宋体" w:hAnsi="宋体" w:eastAsia="宋体" w:cs="宋体"/>
          <w:color w:val="auto"/>
          <w:spacing w:val="-10"/>
          <w:sz w:val="21"/>
          <w:szCs w:val="21"/>
          <w:highlight w:val="none"/>
        </w:rPr>
        <w:t>章。</w:t>
      </w:r>
    </w:p>
    <w:p w14:paraId="30AECB0A">
      <w:pPr>
        <w:spacing w:before="159" w:line="290" w:lineRule="auto"/>
        <w:ind w:left="21" w:right="56" w:firstLine="43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18.3响应文件须由供应商在规定位置签字、盖章（具体以供</w:t>
      </w:r>
      <w:r>
        <w:rPr>
          <w:rFonts w:ascii="宋体" w:hAnsi="宋体" w:eastAsia="宋体" w:cs="宋体"/>
          <w:color w:val="auto"/>
          <w:sz w:val="21"/>
          <w:szCs w:val="21"/>
          <w:highlight w:val="none"/>
        </w:rPr>
        <w:t>应商须知前附表或响应文件格式</w:t>
      </w:r>
      <w:r>
        <w:rPr>
          <w:rFonts w:ascii="宋体" w:hAnsi="宋体" w:eastAsia="宋体" w:cs="宋体"/>
          <w:color w:val="auto"/>
          <w:spacing w:val="-1"/>
          <w:sz w:val="21"/>
          <w:szCs w:val="21"/>
          <w:highlight w:val="none"/>
        </w:rPr>
        <w:t>规定为准</w:t>
      </w:r>
      <w:r>
        <w:rPr>
          <w:rFonts w:ascii="宋体" w:hAnsi="宋体" w:eastAsia="宋体" w:cs="宋体"/>
          <w:color w:val="auto"/>
          <w:spacing w:val="-4"/>
          <w:sz w:val="21"/>
          <w:szCs w:val="21"/>
          <w:highlight w:val="none"/>
        </w:rPr>
        <w:t>），</w:t>
      </w:r>
      <w:r>
        <w:rPr>
          <w:rFonts w:ascii="宋体" w:hAnsi="宋体" w:eastAsia="宋体" w:cs="宋体"/>
          <w:color w:val="auto"/>
          <w:spacing w:val="-1"/>
          <w:sz w:val="21"/>
          <w:szCs w:val="21"/>
          <w:highlight w:val="none"/>
        </w:rPr>
        <w:t>否则按无效响应处理。</w:t>
      </w:r>
    </w:p>
    <w:p w14:paraId="543F4568">
      <w:pPr>
        <w:spacing w:before="157" w:line="220" w:lineRule="auto"/>
        <w:ind w:left="45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18.4响应文件中标注的供应商名称应与主体资格证明（如营</w:t>
      </w:r>
      <w:r>
        <w:rPr>
          <w:rFonts w:ascii="宋体" w:hAnsi="宋体" w:eastAsia="宋体" w:cs="宋体"/>
          <w:color w:val="auto"/>
          <w:sz w:val="21"/>
          <w:szCs w:val="21"/>
          <w:highlight w:val="none"/>
        </w:rPr>
        <w:t>业执照或者事业单位法人证书或</w:t>
      </w:r>
    </w:p>
    <w:p w14:paraId="37047C5E">
      <w:pPr>
        <w:spacing w:line="220" w:lineRule="auto"/>
        <w:rPr>
          <w:rFonts w:ascii="宋体" w:hAnsi="宋体" w:eastAsia="宋体" w:cs="宋体"/>
          <w:color w:val="auto"/>
          <w:sz w:val="21"/>
          <w:szCs w:val="21"/>
          <w:highlight w:val="none"/>
        </w:rPr>
        <w:sectPr>
          <w:footerReference r:id="rId15" w:type="default"/>
          <w:pgSz w:w="11907" w:h="16839"/>
          <w:pgMar w:top="1427" w:right="1072" w:bottom="1154" w:left="1785" w:header="0" w:footer="954" w:gutter="0"/>
          <w:cols w:space="720" w:num="1"/>
        </w:sectPr>
      </w:pPr>
    </w:p>
    <w:p w14:paraId="111E16DD">
      <w:pPr>
        <w:spacing w:before="40" w:line="360" w:lineRule="auto"/>
        <w:ind w:left="19" w:firstLine="2"/>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者执业许可证或者登记证书等）及公章一致，</w:t>
      </w:r>
      <w:r>
        <w:rPr>
          <w:rFonts w:ascii="宋体" w:hAnsi="宋体" w:eastAsia="宋体" w:cs="宋体"/>
          <w:b/>
          <w:bCs/>
          <w:color w:val="auto"/>
          <w:spacing w:val="-3"/>
          <w:sz w:val="21"/>
          <w:szCs w:val="21"/>
          <w:highlight w:val="none"/>
        </w:rPr>
        <w:t>并与广西政府采购云平台中获取采购文件的供应商名</w:t>
      </w:r>
      <w:r>
        <w:rPr>
          <w:rFonts w:ascii="宋体" w:hAnsi="宋体" w:eastAsia="宋体" w:cs="宋体"/>
          <w:b/>
          <w:bCs/>
          <w:color w:val="auto"/>
          <w:spacing w:val="-1"/>
          <w:sz w:val="21"/>
          <w:szCs w:val="21"/>
          <w:highlight w:val="none"/>
        </w:rPr>
        <w:t>称一致，</w:t>
      </w:r>
      <w:r>
        <w:rPr>
          <w:rFonts w:ascii="宋体" w:hAnsi="宋体" w:eastAsia="宋体" w:cs="宋体"/>
          <w:color w:val="auto"/>
          <w:spacing w:val="-1"/>
          <w:sz w:val="21"/>
          <w:szCs w:val="21"/>
          <w:highlight w:val="none"/>
        </w:rPr>
        <w:t>供应商为自然人的，标注的供应商名</w:t>
      </w:r>
      <w:r>
        <w:rPr>
          <w:rFonts w:ascii="宋体" w:hAnsi="宋体" w:eastAsia="宋体" w:cs="宋体"/>
          <w:color w:val="auto"/>
          <w:spacing w:val="-2"/>
          <w:sz w:val="21"/>
          <w:szCs w:val="21"/>
          <w:highlight w:val="none"/>
        </w:rPr>
        <w:t>称应与身份证姓名及签名一致，否则其响应文件按无</w:t>
      </w:r>
      <w:r>
        <w:rPr>
          <w:rFonts w:ascii="宋体" w:hAnsi="宋体" w:eastAsia="宋体" w:cs="宋体"/>
          <w:color w:val="auto"/>
          <w:spacing w:val="-1"/>
          <w:sz w:val="21"/>
          <w:szCs w:val="21"/>
          <w:highlight w:val="none"/>
        </w:rPr>
        <w:t>效响应处理。</w:t>
      </w:r>
    </w:p>
    <w:p w14:paraId="75D035B2">
      <w:pPr>
        <w:spacing w:before="2" w:line="359" w:lineRule="auto"/>
        <w:ind w:left="19" w:firstLine="436"/>
        <w:jc w:val="both"/>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18.5响应文件应尽量避免涂改、行间插字或者删除。如果出</w:t>
      </w:r>
      <w:r>
        <w:rPr>
          <w:rFonts w:ascii="宋体" w:hAnsi="宋体" w:eastAsia="宋体" w:cs="宋体"/>
          <w:color w:val="auto"/>
          <w:sz w:val="21"/>
          <w:szCs w:val="21"/>
          <w:highlight w:val="none"/>
        </w:rPr>
        <w:t>现上述情况，改动之处应由供应</w:t>
      </w:r>
      <w:r>
        <w:rPr>
          <w:rFonts w:ascii="宋体" w:hAnsi="宋体" w:eastAsia="宋体" w:cs="宋体"/>
          <w:color w:val="auto"/>
          <w:spacing w:val="-1"/>
          <w:sz w:val="21"/>
          <w:szCs w:val="21"/>
          <w:highlight w:val="none"/>
        </w:rPr>
        <w:t>商的法定代表人或者其委托代理人签字（或者电子签名）或者加盖</w:t>
      </w:r>
      <w:r>
        <w:rPr>
          <w:rFonts w:ascii="宋体" w:hAnsi="宋体" w:eastAsia="宋体" w:cs="宋体"/>
          <w:color w:val="auto"/>
          <w:spacing w:val="-2"/>
          <w:sz w:val="21"/>
          <w:szCs w:val="21"/>
          <w:highlight w:val="none"/>
        </w:rPr>
        <w:t>公章或者加盖电子签章。响应文</w:t>
      </w:r>
      <w:r>
        <w:rPr>
          <w:rFonts w:ascii="宋体" w:hAnsi="宋体" w:eastAsia="宋体" w:cs="宋体"/>
          <w:color w:val="auto"/>
          <w:sz w:val="21"/>
          <w:szCs w:val="21"/>
          <w:highlight w:val="none"/>
        </w:rPr>
        <w:t>件因涂改、行间插字或者删除导致字迹潦草或者表</w:t>
      </w:r>
      <w:r>
        <w:rPr>
          <w:rFonts w:ascii="宋体" w:hAnsi="宋体" w:eastAsia="宋体" w:cs="宋体"/>
          <w:color w:val="auto"/>
          <w:spacing w:val="-1"/>
          <w:sz w:val="21"/>
          <w:szCs w:val="21"/>
          <w:highlight w:val="none"/>
        </w:rPr>
        <w:t>达不清所引起的后果由供应商承担。</w:t>
      </w:r>
    </w:p>
    <w:p w14:paraId="2AF7BF57">
      <w:pPr>
        <w:spacing w:before="2" w:line="219" w:lineRule="auto"/>
        <w:ind w:left="517"/>
        <w:rPr>
          <w:rFonts w:ascii="黑体" w:hAnsi="黑体" w:eastAsia="黑体" w:cs="黑体"/>
          <w:color w:val="auto"/>
          <w:sz w:val="24"/>
          <w:szCs w:val="24"/>
          <w:highlight w:val="none"/>
        </w:rPr>
      </w:pPr>
      <w:r>
        <w:rPr>
          <w:rFonts w:ascii="黑体" w:hAnsi="黑体" w:eastAsia="黑体" w:cs="黑体"/>
          <w:b/>
          <w:bCs/>
          <w:color w:val="auto"/>
          <w:spacing w:val="-4"/>
          <w:sz w:val="24"/>
          <w:szCs w:val="24"/>
          <w:highlight w:val="none"/>
        </w:rPr>
        <w:t>19.电子备份响应文件</w:t>
      </w:r>
    </w:p>
    <w:p w14:paraId="5385FAA7">
      <w:pPr>
        <w:spacing w:before="177" w:line="350" w:lineRule="auto"/>
        <w:ind w:left="22" w:right="2" w:firstLine="44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电子备份响应文件是指通过在线编制生成且后缀名为“</w:t>
      </w:r>
      <w:r>
        <w:rPr>
          <w:rFonts w:ascii="Times New Roman" w:hAnsi="Times New Roman" w:eastAsia="Times New Roman" w:cs="Times New Roman"/>
          <w:color w:val="auto"/>
          <w:spacing w:val="-1"/>
          <w:sz w:val="21"/>
          <w:szCs w:val="21"/>
          <w:highlight w:val="none"/>
        </w:rPr>
        <w:t>bfbs</w:t>
      </w:r>
      <w:r>
        <w:rPr>
          <w:rFonts w:ascii="宋体" w:hAnsi="宋体" w:eastAsia="宋体" w:cs="宋体"/>
          <w:color w:val="auto"/>
          <w:spacing w:val="-1"/>
          <w:sz w:val="21"/>
          <w:szCs w:val="21"/>
          <w:highlight w:val="none"/>
        </w:rPr>
        <w:t>”的文件，是否接受电子备份响应文件详见“供应商须知前附表”。</w:t>
      </w:r>
    </w:p>
    <w:p w14:paraId="775598CC">
      <w:pPr>
        <w:spacing w:before="25" w:line="219" w:lineRule="auto"/>
        <w:ind w:left="505"/>
        <w:rPr>
          <w:rFonts w:ascii="黑体" w:hAnsi="黑体" w:eastAsia="黑体" w:cs="黑体"/>
          <w:color w:val="auto"/>
          <w:sz w:val="24"/>
          <w:szCs w:val="24"/>
          <w:highlight w:val="none"/>
        </w:rPr>
      </w:pPr>
      <w:r>
        <w:rPr>
          <w:rFonts w:ascii="黑体" w:hAnsi="黑体" w:eastAsia="黑体" w:cs="黑体"/>
          <w:b/>
          <w:bCs/>
          <w:color w:val="auto"/>
          <w:spacing w:val="-3"/>
          <w:sz w:val="24"/>
          <w:szCs w:val="24"/>
          <w:highlight w:val="none"/>
        </w:rPr>
        <w:t>20.响应文件的提交</w:t>
      </w:r>
    </w:p>
    <w:p w14:paraId="46A5BF47">
      <w:pPr>
        <w:spacing w:before="179" w:line="312" w:lineRule="auto"/>
        <w:ind w:left="21" w:right="2" w:firstLine="415"/>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20.1</w:t>
      </w:r>
      <w:r>
        <w:rPr>
          <w:rFonts w:ascii="宋体" w:hAnsi="宋体" w:eastAsia="宋体" w:cs="宋体"/>
          <w:color w:val="auto"/>
          <w:spacing w:val="-1"/>
          <w:sz w:val="21"/>
          <w:szCs w:val="21"/>
          <w:highlight w:val="none"/>
        </w:rPr>
        <w:t>供应商必须按“供应商须知前附表”规定的时间及地点提交响</w:t>
      </w:r>
      <w:r>
        <w:rPr>
          <w:rFonts w:ascii="宋体" w:hAnsi="宋体" w:eastAsia="宋体" w:cs="宋体"/>
          <w:color w:val="auto"/>
          <w:spacing w:val="-2"/>
          <w:sz w:val="21"/>
          <w:szCs w:val="21"/>
          <w:highlight w:val="none"/>
        </w:rPr>
        <w:t>应文件。电子响应文件应在</w:t>
      </w:r>
      <w:r>
        <w:rPr>
          <w:rFonts w:ascii="宋体" w:hAnsi="宋体" w:eastAsia="宋体" w:cs="宋体"/>
          <w:color w:val="auto"/>
          <w:sz w:val="21"/>
          <w:szCs w:val="21"/>
          <w:highlight w:val="none"/>
        </w:rPr>
        <w:t>制作完成后，在提交响应文件截止时间前通过有效数字证书（</w:t>
      </w:r>
      <w:r>
        <w:rPr>
          <w:rFonts w:ascii="Times New Roman" w:hAnsi="Times New Roman" w:eastAsia="Times New Roman" w:cs="Times New Roman"/>
          <w:color w:val="auto"/>
          <w:spacing w:val="-1"/>
          <w:sz w:val="21"/>
          <w:szCs w:val="21"/>
          <w:highlight w:val="none"/>
        </w:rPr>
        <w:t>CA</w:t>
      </w:r>
      <w:r>
        <w:rPr>
          <w:rFonts w:ascii="宋体" w:hAnsi="宋体" w:eastAsia="宋体" w:cs="宋体"/>
          <w:color w:val="auto"/>
          <w:spacing w:val="-1"/>
          <w:sz w:val="21"/>
          <w:szCs w:val="21"/>
          <w:highlight w:val="none"/>
        </w:rPr>
        <w:t>认证锁）进行电子签章、加密，</w:t>
      </w:r>
      <w:r>
        <w:rPr>
          <w:rFonts w:ascii="宋体" w:hAnsi="宋体" w:eastAsia="宋体" w:cs="宋体"/>
          <w:color w:val="auto"/>
          <w:sz w:val="21"/>
          <w:szCs w:val="21"/>
          <w:highlight w:val="none"/>
        </w:rPr>
        <w:t>然后通过网络将加密的电子响应文件提交至广西政府采</w:t>
      </w:r>
      <w:r>
        <w:rPr>
          <w:rFonts w:ascii="宋体" w:hAnsi="宋体" w:eastAsia="宋体" w:cs="宋体"/>
          <w:color w:val="auto"/>
          <w:spacing w:val="-1"/>
          <w:sz w:val="21"/>
          <w:szCs w:val="21"/>
          <w:highlight w:val="none"/>
        </w:rPr>
        <w:t>购云平台。</w:t>
      </w:r>
    </w:p>
    <w:p w14:paraId="13D17B8B">
      <w:pPr>
        <w:spacing w:before="157" w:line="291" w:lineRule="auto"/>
        <w:ind w:left="36" w:right="4" w:firstLine="408"/>
        <w:rPr>
          <w:rFonts w:ascii="宋体" w:hAnsi="宋体" w:eastAsia="宋体" w:cs="宋体"/>
          <w:color w:val="auto"/>
          <w:sz w:val="21"/>
          <w:szCs w:val="21"/>
          <w:highlight w:val="none"/>
        </w:rPr>
      </w:pPr>
      <w:r>
        <w:rPr>
          <w:rFonts w:ascii="宋体" w:hAnsi="宋体" w:eastAsia="宋体" w:cs="宋体"/>
          <w:b/>
          <w:bCs/>
          <w:color w:val="auto"/>
          <w:spacing w:val="-1"/>
          <w:sz w:val="21"/>
          <w:szCs w:val="21"/>
          <w:highlight w:val="none"/>
        </w:rPr>
        <w:t>20.2未在规定时间内提交或者未按照磋商文件要求加密的电子响应</w:t>
      </w:r>
      <w:r>
        <w:rPr>
          <w:rFonts w:ascii="宋体" w:hAnsi="宋体" w:eastAsia="宋体" w:cs="宋体"/>
          <w:b/>
          <w:bCs/>
          <w:color w:val="auto"/>
          <w:spacing w:val="-2"/>
          <w:sz w:val="21"/>
          <w:szCs w:val="21"/>
          <w:highlight w:val="none"/>
        </w:rPr>
        <w:t>文件，广西政府采购云平</w:t>
      </w:r>
      <w:r>
        <w:rPr>
          <w:rFonts w:ascii="宋体" w:hAnsi="宋体" w:eastAsia="宋体" w:cs="宋体"/>
          <w:b/>
          <w:bCs/>
          <w:color w:val="auto"/>
          <w:spacing w:val="-11"/>
          <w:sz w:val="21"/>
          <w:szCs w:val="21"/>
          <w:highlight w:val="none"/>
        </w:rPr>
        <w:t>台将拒收。</w:t>
      </w:r>
    </w:p>
    <w:p w14:paraId="192EB78C">
      <w:pPr>
        <w:spacing w:before="164" w:line="219" w:lineRule="auto"/>
        <w:ind w:left="505"/>
        <w:rPr>
          <w:rFonts w:ascii="黑体" w:hAnsi="黑体" w:eastAsia="黑体" w:cs="黑体"/>
          <w:color w:val="auto"/>
          <w:sz w:val="24"/>
          <w:szCs w:val="24"/>
          <w:highlight w:val="none"/>
        </w:rPr>
      </w:pPr>
      <w:r>
        <w:rPr>
          <w:rFonts w:ascii="黑体" w:hAnsi="黑体" w:eastAsia="黑体" w:cs="黑体"/>
          <w:b/>
          <w:bCs/>
          <w:color w:val="auto"/>
          <w:spacing w:val="-3"/>
          <w:sz w:val="24"/>
          <w:szCs w:val="24"/>
          <w:highlight w:val="none"/>
        </w:rPr>
        <w:t>21.首次响应文件的补充、修改与撤回</w:t>
      </w:r>
    </w:p>
    <w:p w14:paraId="1E16C354">
      <w:pPr>
        <w:spacing w:before="175" w:line="336" w:lineRule="auto"/>
        <w:ind w:left="19" w:firstLine="42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21.1供应商应当在提交响应文件截止时间前完成电子响应文件的提交（上传</w:t>
      </w:r>
      <w:r>
        <w:rPr>
          <w:rFonts w:ascii="宋体" w:hAnsi="宋体" w:eastAsia="宋体" w:cs="宋体"/>
          <w:color w:val="auto"/>
          <w:spacing w:val="5"/>
          <w:sz w:val="21"/>
          <w:szCs w:val="21"/>
          <w:highlight w:val="none"/>
        </w:rPr>
        <w:t>），</w:t>
      </w:r>
      <w:r>
        <w:rPr>
          <w:rFonts w:ascii="宋体" w:hAnsi="宋体" w:eastAsia="宋体" w:cs="宋体"/>
          <w:color w:val="auto"/>
          <w:spacing w:val="1"/>
          <w:sz w:val="21"/>
          <w:szCs w:val="21"/>
          <w:highlight w:val="none"/>
        </w:rPr>
        <w:t>提交</w:t>
      </w:r>
      <w:r>
        <w:rPr>
          <w:rFonts w:ascii="宋体" w:hAnsi="宋体" w:eastAsia="宋体" w:cs="宋体"/>
          <w:color w:val="auto"/>
          <w:sz w:val="21"/>
          <w:szCs w:val="21"/>
          <w:highlight w:val="none"/>
        </w:rPr>
        <w:t>响应文</w:t>
      </w:r>
      <w:r>
        <w:rPr>
          <w:rFonts w:ascii="宋体" w:hAnsi="宋体" w:eastAsia="宋体" w:cs="宋体"/>
          <w:color w:val="auto"/>
          <w:spacing w:val="-1"/>
          <w:sz w:val="21"/>
          <w:szCs w:val="21"/>
          <w:highlight w:val="none"/>
        </w:rPr>
        <w:t>件截止时间前可以补充、修改或者撤回响应文件。补充或者修改响</w:t>
      </w:r>
      <w:r>
        <w:rPr>
          <w:rFonts w:ascii="宋体" w:hAnsi="宋体" w:eastAsia="宋体" w:cs="宋体"/>
          <w:color w:val="auto"/>
          <w:spacing w:val="-2"/>
          <w:sz w:val="21"/>
          <w:szCs w:val="21"/>
          <w:highlight w:val="none"/>
        </w:rPr>
        <w:t>应文件的，应当先行撤回原响应</w:t>
      </w:r>
      <w:r>
        <w:rPr>
          <w:rFonts w:ascii="宋体" w:hAnsi="宋体" w:eastAsia="宋体" w:cs="宋体"/>
          <w:color w:val="auto"/>
          <w:spacing w:val="-1"/>
          <w:sz w:val="21"/>
          <w:szCs w:val="21"/>
          <w:highlight w:val="none"/>
        </w:rPr>
        <w:t>文件，补充、修改后重新提交（上传</w:t>
      </w:r>
      <w:r>
        <w:rPr>
          <w:rFonts w:ascii="宋体" w:hAnsi="宋体" w:eastAsia="宋体" w:cs="宋体"/>
          <w:color w:val="auto"/>
          <w:spacing w:val="-3"/>
          <w:sz w:val="21"/>
          <w:szCs w:val="21"/>
          <w:highlight w:val="none"/>
        </w:rPr>
        <w:t>），</w:t>
      </w:r>
      <w:r>
        <w:rPr>
          <w:rFonts w:ascii="宋体" w:hAnsi="宋体" w:eastAsia="宋体" w:cs="宋体"/>
          <w:color w:val="auto"/>
          <w:spacing w:val="-1"/>
          <w:sz w:val="21"/>
          <w:szCs w:val="21"/>
          <w:highlight w:val="none"/>
        </w:rPr>
        <w:t>提交响应文件截止时间前未完成提</w:t>
      </w:r>
      <w:r>
        <w:rPr>
          <w:rFonts w:ascii="宋体" w:hAnsi="宋体" w:eastAsia="宋体" w:cs="宋体"/>
          <w:color w:val="auto"/>
          <w:spacing w:val="-2"/>
          <w:sz w:val="21"/>
          <w:szCs w:val="21"/>
          <w:highlight w:val="none"/>
        </w:rPr>
        <w:t>交（上传）的，视为撤</w:t>
      </w:r>
      <w:r>
        <w:rPr>
          <w:rFonts w:ascii="宋体" w:hAnsi="宋体" w:eastAsia="宋体" w:cs="宋体"/>
          <w:color w:val="auto"/>
          <w:spacing w:val="-1"/>
          <w:sz w:val="21"/>
          <w:szCs w:val="21"/>
          <w:highlight w:val="none"/>
        </w:rPr>
        <w:t>回响应文件。提交响应文件截止时间以后提交（上传）的响应</w:t>
      </w:r>
      <w:r>
        <w:rPr>
          <w:rFonts w:ascii="宋体" w:hAnsi="宋体" w:eastAsia="宋体" w:cs="宋体"/>
          <w:color w:val="auto"/>
          <w:spacing w:val="-2"/>
          <w:sz w:val="21"/>
          <w:szCs w:val="21"/>
          <w:highlight w:val="none"/>
        </w:rPr>
        <w:t>文件，广西政府采购云平台将予以拒</w:t>
      </w:r>
      <w:r>
        <w:rPr>
          <w:rFonts w:ascii="宋体" w:hAnsi="宋体" w:eastAsia="宋体" w:cs="宋体"/>
          <w:color w:val="auto"/>
          <w:sz w:val="21"/>
          <w:szCs w:val="21"/>
          <w:highlight w:val="none"/>
        </w:rPr>
        <w:t>收。（补充、修改或者撤回方式可登录广西政府采购云平台，进入“服务中心”中查看“电</w:t>
      </w:r>
      <w:r>
        <w:rPr>
          <w:rFonts w:ascii="宋体" w:hAnsi="宋体" w:eastAsia="宋体" w:cs="宋体"/>
          <w:color w:val="auto"/>
          <w:spacing w:val="-1"/>
          <w:sz w:val="21"/>
          <w:szCs w:val="21"/>
          <w:highlight w:val="none"/>
        </w:rPr>
        <w:t>子投标文件制作与投送教程”）</w:t>
      </w:r>
    </w:p>
    <w:p w14:paraId="23166BDC">
      <w:pPr>
        <w:spacing w:before="159" w:line="290" w:lineRule="auto"/>
        <w:ind w:left="22" w:right="2" w:firstLine="4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21.2在提交响应文件截止时间前，除供应商补充、修改或者撤回响应文件外，任何单位和个</w:t>
      </w:r>
      <w:r>
        <w:rPr>
          <w:rFonts w:ascii="宋体" w:hAnsi="宋体" w:eastAsia="宋体" w:cs="宋体"/>
          <w:color w:val="auto"/>
          <w:spacing w:val="-2"/>
          <w:sz w:val="21"/>
          <w:szCs w:val="21"/>
          <w:highlight w:val="none"/>
        </w:rPr>
        <w:t>人不得解密或提取响应文件。</w:t>
      </w:r>
    </w:p>
    <w:p w14:paraId="4CD324EC">
      <w:pPr>
        <w:spacing w:before="163" w:line="219" w:lineRule="auto"/>
        <w:ind w:left="505"/>
        <w:rPr>
          <w:rFonts w:ascii="黑体" w:hAnsi="黑体" w:eastAsia="黑体" w:cs="黑体"/>
          <w:color w:val="auto"/>
          <w:sz w:val="24"/>
          <w:szCs w:val="24"/>
          <w:highlight w:val="none"/>
        </w:rPr>
      </w:pPr>
      <w:r>
        <w:rPr>
          <w:rFonts w:ascii="黑体" w:hAnsi="黑体" w:eastAsia="黑体" w:cs="黑体"/>
          <w:b/>
          <w:bCs/>
          <w:color w:val="auto"/>
          <w:spacing w:val="-3"/>
          <w:sz w:val="24"/>
          <w:szCs w:val="24"/>
          <w:highlight w:val="none"/>
        </w:rPr>
        <w:t>22.响应文件的退回</w:t>
      </w:r>
    </w:p>
    <w:p w14:paraId="1459DDBF">
      <w:pPr>
        <w:spacing w:before="177" w:line="220" w:lineRule="auto"/>
        <w:ind w:left="4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采购人和采购代理机构对已提交的响应文件概不退回。</w:t>
      </w:r>
    </w:p>
    <w:p w14:paraId="3E074D57">
      <w:pPr>
        <w:spacing w:before="165" w:line="217" w:lineRule="auto"/>
        <w:ind w:left="505"/>
        <w:rPr>
          <w:rFonts w:ascii="黑体" w:hAnsi="黑体" w:eastAsia="黑体" w:cs="黑体"/>
          <w:color w:val="auto"/>
          <w:sz w:val="24"/>
          <w:szCs w:val="24"/>
          <w:highlight w:val="none"/>
        </w:rPr>
      </w:pPr>
      <w:r>
        <w:rPr>
          <w:rFonts w:ascii="黑体" w:hAnsi="黑体" w:eastAsia="黑体" w:cs="黑体"/>
          <w:b/>
          <w:bCs/>
          <w:color w:val="auto"/>
          <w:spacing w:val="-3"/>
          <w:sz w:val="24"/>
          <w:szCs w:val="24"/>
          <w:highlight w:val="none"/>
        </w:rPr>
        <w:t>23.截止时间后的撤回</w:t>
      </w:r>
    </w:p>
    <w:p w14:paraId="4AEB8CE7">
      <w:pPr>
        <w:spacing w:before="176" w:line="363" w:lineRule="auto"/>
        <w:ind w:left="21" w:firstLine="41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供应商在响应文件提交截止时间后向采购人、采购代理机</w:t>
      </w:r>
      <w:r>
        <w:rPr>
          <w:rFonts w:ascii="宋体" w:hAnsi="宋体" w:eastAsia="宋体" w:cs="宋体"/>
          <w:color w:val="auto"/>
          <w:spacing w:val="-2"/>
          <w:sz w:val="21"/>
          <w:szCs w:val="21"/>
          <w:highlight w:val="none"/>
        </w:rPr>
        <w:t>构书面申请撤回响应文件的，将根据</w:t>
      </w:r>
      <w:r>
        <w:rPr>
          <w:rFonts w:ascii="宋体" w:hAnsi="宋体" w:eastAsia="宋体" w:cs="宋体"/>
          <w:color w:val="auto"/>
          <w:spacing w:val="-3"/>
          <w:sz w:val="21"/>
          <w:szCs w:val="21"/>
          <w:highlight w:val="none"/>
        </w:rPr>
        <w:t>本须知正文17.4的规定不予退还其磋商保证金。</w:t>
      </w:r>
    </w:p>
    <w:p w14:paraId="4A746584">
      <w:pPr>
        <w:pStyle w:val="4"/>
        <w:spacing w:line="315" w:lineRule="auto"/>
        <w:rPr>
          <w:color w:val="auto"/>
          <w:highlight w:val="none"/>
        </w:rPr>
      </w:pPr>
    </w:p>
    <w:p w14:paraId="5F104554">
      <w:pPr>
        <w:spacing w:before="102" w:line="226" w:lineRule="auto"/>
        <w:ind w:left="3837"/>
        <w:rPr>
          <w:rFonts w:ascii="宋体" w:hAnsi="宋体" w:eastAsia="宋体" w:cs="宋体"/>
          <w:color w:val="auto"/>
          <w:sz w:val="31"/>
          <w:szCs w:val="31"/>
          <w:highlight w:val="none"/>
        </w:rPr>
      </w:pPr>
      <w:r>
        <w:rPr>
          <w:rFonts w:ascii="宋体" w:hAnsi="宋体" w:eastAsia="宋体" w:cs="宋体"/>
          <w:b/>
          <w:bCs/>
          <w:color w:val="auto"/>
          <w:spacing w:val="1"/>
          <w:sz w:val="31"/>
          <w:szCs w:val="31"/>
          <w:highlight w:val="none"/>
        </w:rPr>
        <w:t>四、评审及磋商</w:t>
      </w:r>
    </w:p>
    <w:p w14:paraId="7793DA2A">
      <w:pPr>
        <w:pStyle w:val="4"/>
        <w:spacing w:line="280" w:lineRule="auto"/>
        <w:rPr>
          <w:color w:val="auto"/>
          <w:highlight w:val="none"/>
        </w:rPr>
      </w:pPr>
    </w:p>
    <w:p w14:paraId="23E635AA">
      <w:pPr>
        <w:pStyle w:val="4"/>
        <w:spacing w:line="280" w:lineRule="auto"/>
        <w:rPr>
          <w:color w:val="auto"/>
          <w:highlight w:val="none"/>
        </w:rPr>
      </w:pPr>
    </w:p>
    <w:p w14:paraId="78A91A29">
      <w:pPr>
        <w:spacing w:before="78" w:line="219" w:lineRule="auto"/>
        <w:ind w:left="505"/>
        <w:rPr>
          <w:rFonts w:ascii="黑体" w:hAnsi="黑体" w:eastAsia="黑体" w:cs="黑体"/>
          <w:color w:val="auto"/>
          <w:sz w:val="24"/>
          <w:szCs w:val="24"/>
          <w:highlight w:val="none"/>
        </w:rPr>
      </w:pPr>
      <w:r>
        <w:rPr>
          <w:rFonts w:ascii="黑体" w:hAnsi="黑体" w:eastAsia="黑体" w:cs="黑体"/>
          <w:b/>
          <w:bCs/>
          <w:color w:val="auto"/>
          <w:spacing w:val="-3"/>
          <w:sz w:val="24"/>
          <w:szCs w:val="24"/>
          <w:highlight w:val="none"/>
        </w:rPr>
        <w:t>24.磋商小组成立</w:t>
      </w:r>
    </w:p>
    <w:p w14:paraId="70DE0C69">
      <w:pPr>
        <w:spacing w:line="219" w:lineRule="auto"/>
        <w:rPr>
          <w:rFonts w:ascii="黑体" w:hAnsi="黑体" w:eastAsia="黑体" w:cs="黑体"/>
          <w:color w:val="auto"/>
          <w:sz w:val="24"/>
          <w:szCs w:val="24"/>
          <w:highlight w:val="none"/>
        </w:rPr>
        <w:sectPr>
          <w:footerReference r:id="rId16" w:type="default"/>
          <w:pgSz w:w="11907" w:h="16839"/>
          <w:pgMar w:top="1427" w:right="1126" w:bottom="1154" w:left="1785" w:header="0" w:footer="954" w:gutter="0"/>
          <w:cols w:space="720" w:num="1"/>
        </w:sectPr>
      </w:pPr>
    </w:p>
    <w:p w14:paraId="3A2EEAD6">
      <w:pPr>
        <w:spacing w:before="44" w:line="331" w:lineRule="auto"/>
        <w:ind w:left="19" w:right="54" w:firstLine="42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24.1磋商小组由采购人代表和评审专家共3人以上单数组</w:t>
      </w:r>
      <w:r>
        <w:rPr>
          <w:rFonts w:ascii="宋体" w:hAnsi="宋体" w:eastAsia="宋体" w:cs="宋体"/>
          <w:color w:val="auto"/>
          <w:spacing w:val="-2"/>
          <w:sz w:val="21"/>
          <w:szCs w:val="21"/>
          <w:highlight w:val="none"/>
        </w:rPr>
        <w:t>成，具体人数见“供应商须知前附</w:t>
      </w:r>
      <w:r>
        <w:rPr>
          <w:rFonts w:ascii="宋体" w:hAnsi="宋体" w:eastAsia="宋体" w:cs="宋体"/>
          <w:color w:val="auto"/>
          <w:sz w:val="21"/>
          <w:szCs w:val="21"/>
          <w:highlight w:val="none"/>
        </w:rPr>
        <w:t>表”，其中评审专家人数不得少于磋商小组成员总数的2/</w:t>
      </w:r>
      <w:r>
        <w:rPr>
          <w:rFonts w:ascii="宋体" w:hAnsi="宋体" w:eastAsia="宋体" w:cs="宋体"/>
          <w:color w:val="auto"/>
          <w:spacing w:val="-1"/>
          <w:sz w:val="21"/>
          <w:szCs w:val="21"/>
          <w:highlight w:val="none"/>
        </w:rPr>
        <w:t>3。采购人代表不得以评审专家身份参加本部门或者本单位采购项目的评审。采购代理机构人员不得参加本</w:t>
      </w:r>
      <w:r>
        <w:rPr>
          <w:rFonts w:ascii="宋体" w:hAnsi="宋体" w:eastAsia="宋体" w:cs="宋体"/>
          <w:color w:val="auto"/>
          <w:spacing w:val="-2"/>
          <w:sz w:val="21"/>
          <w:szCs w:val="21"/>
          <w:highlight w:val="none"/>
        </w:rPr>
        <w:t>机构代理的采购项目的评审。达</w:t>
      </w:r>
      <w:r>
        <w:rPr>
          <w:rFonts w:ascii="宋体" w:hAnsi="宋体" w:eastAsia="宋体" w:cs="宋体"/>
          <w:color w:val="auto"/>
          <w:spacing w:val="-1"/>
          <w:sz w:val="21"/>
          <w:szCs w:val="21"/>
          <w:highlight w:val="none"/>
        </w:rPr>
        <w:t>到公开招标数额标准的货物或者服务采购项目，或者达到公开招标</w:t>
      </w:r>
      <w:r>
        <w:rPr>
          <w:rFonts w:ascii="宋体" w:hAnsi="宋体" w:eastAsia="宋体" w:cs="宋体"/>
          <w:color w:val="auto"/>
          <w:spacing w:val="-2"/>
          <w:sz w:val="21"/>
          <w:szCs w:val="21"/>
          <w:highlight w:val="none"/>
        </w:rPr>
        <w:t>规模标准的政府采购工程，经批</w:t>
      </w:r>
      <w:r>
        <w:rPr>
          <w:rFonts w:ascii="宋体" w:hAnsi="宋体" w:eastAsia="宋体" w:cs="宋体"/>
          <w:color w:val="auto"/>
          <w:spacing w:val="-1"/>
          <w:sz w:val="21"/>
          <w:szCs w:val="21"/>
          <w:highlight w:val="none"/>
        </w:rPr>
        <w:t>准采用竞争性磋商方式采购的，磋商小组由5</w:t>
      </w:r>
      <w:r>
        <w:rPr>
          <w:rFonts w:ascii="宋体" w:hAnsi="宋体" w:eastAsia="宋体" w:cs="宋体"/>
          <w:color w:val="auto"/>
          <w:spacing w:val="-2"/>
          <w:sz w:val="21"/>
          <w:szCs w:val="21"/>
          <w:highlight w:val="none"/>
        </w:rPr>
        <w:t>人及以上单数组成。</w:t>
      </w:r>
    </w:p>
    <w:p w14:paraId="4FD8DB1B">
      <w:pPr>
        <w:spacing w:before="156" w:line="325" w:lineRule="auto"/>
        <w:ind w:left="19" w:firstLine="42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24.2评审专家应当从政府采购评审专家库内相关专业的专家名单中随机抽取。市场竞争不充</w:t>
      </w:r>
      <w:r>
        <w:rPr>
          <w:rFonts w:ascii="宋体" w:hAnsi="宋体" w:eastAsia="宋体" w:cs="宋体"/>
          <w:color w:val="auto"/>
          <w:spacing w:val="-1"/>
          <w:sz w:val="21"/>
          <w:szCs w:val="21"/>
          <w:highlight w:val="none"/>
        </w:rPr>
        <w:t>分的科研项目，以及需要扶持的科技成果转化项目，以及情况特殊</w:t>
      </w:r>
      <w:r>
        <w:rPr>
          <w:rFonts w:ascii="宋体" w:hAnsi="宋体" w:eastAsia="宋体" w:cs="宋体"/>
          <w:color w:val="auto"/>
          <w:spacing w:val="-2"/>
          <w:sz w:val="21"/>
          <w:szCs w:val="21"/>
          <w:highlight w:val="none"/>
        </w:rPr>
        <w:t>、通过随机方式难以确定合适的</w:t>
      </w:r>
      <w:r>
        <w:rPr>
          <w:rFonts w:ascii="宋体" w:hAnsi="宋体" w:eastAsia="宋体" w:cs="宋体"/>
          <w:color w:val="auto"/>
          <w:spacing w:val="-5"/>
          <w:sz w:val="21"/>
          <w:szCs w:val="21"/>
          <w:highlight w:val="none"/>
        </w:rPr>
        <w:t>评审专家的项目，经主管预算单位同意，可以自行选定评审专家。技术复杂、专业性强的采购项目，</w:t>
      </w:r>
      <w:r>
        <w:rPr>
          <w:rFonts w:ascii="宋体" w:hAnsi="宋体" w:eastAsia="宋体" w:cs="宋体"/>
          <w:color w:val="auto"/>
          <w:spacing w:val="-4"/>
          <w:sz w:val="21"/>
          <w:szCs w:val="21"/>
          <w:highlight w:val="none"/>
        </w:rPr>
        <w:t>评审专家中应当包含1名法律专家。</w:t>
      </w:r>
    </w:p>
    <w:p w14:paraId="3CA62050">
      <w:pPr>
        <w:spacing w:before="156" w:line="220" w:lineRule="auto"/>
        <w:ind w:left="44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24.3采购代理机构应当基于广西政府采购云平台抽（选）取评审专家。</w:t>
      </w:r>
    </w:p>
    <w:p w14:paraId="59F68588">
      <w:pPr>
        <w:spacing w:before="158" w:line="220"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24.4参加过采购项目前期咨询论证的专家，</w:t>
      </w:r>
      <w:r>
        <w:rPr>
          <w:rFonts w:ascii="宋体" w:hAnsi="宋体" w:eastAsia="宋体" w:cs="宋体"/>
          <w:color w:val="auto"/>
          <w:spacing w:val="-1"/>
          <w:sz w:val="21"/>
          <w:szCs w:val="21"/>
          <w:highlight w:val="none"/>
        </w:rPr>
        <w:t>不得参加该采购项目的评审活动。</w:t>
      </w:r>
    </w:p>
    <w:p w14:paraId="5CBCCF6A">
      <w:pPr>
        <w:spacing w:before="164" w:line="218" w:lineRule="auto"/>
        <w:ind w:left="505"/>
        <w:rPr>
          <w:rFonts w:ascii="黑体" w:hAnsi="黑体" w:eastAsia="黑体" w:cs="黑体"/>
          <w:color w:val="auto"/>
          <w:sz w:val="24"/>
          <w:szCs w:val="24"/>
          <w:highlight w:val="none"/>
        </w:rPr>
      </w:pPr>
      <w:r>
        <w:rPr>
          <w:rFonts w:ascii="黑体" w:hAnsi="黑体" w:eastAsia="黑体" w:cs="黑体"/>
          <w:b/>
          <w:bCs/>
          <w:color w:val="auto"/>
          <w:spacing w:val="-3"/>
          <w:sz w:val="24"/>
          <w:szCs w:val="24"/>
          <w:highlight w:val="none"/>
        </w:rPr>
        <w:t>25.首次响应文件的开启和解密</w:t>
      </w:r>
    </w:p>
    <w:p w14:paraId="4E6B0AD7">
      <w:pPr>
        <w:spacing w:before="178" w:line="360" w:lineRule="auto"/>
        <w:ind w:left="20" w:right="55" w:firstLine="419"/>
        <w:jc w:val="both"/>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采购代理机构将在“供应商须知前附表”规定的时间通过</w:t>
      </w:r>
      <w:r>
        <w:rPr>
          <w:rFonts w:ascii="宋体" w:hAnsi="宋体" w:eastAsia="宋体" w:cs="宋体"/>
          <w:color w:val="auto"/>
          <w:spacing w:val="-2"/>
          <w:sz w:val="21"/>
          <w:szCs w:val="21"/>
          <w:highlight w:val="none"/>
        </w:rPr>
        <w:t>电子交易平台组织响应文件开启，供</w:t>
      </w:r>
      <w:r>
        <w:rPr>
          <w:rFonts w:ascii="宋体" w:hAnsi="宋体" w:eastAsia="宋体" w:cs="宋体"/>
          <w:color w:val="auto"/>
          <w:spacing w:val="-1"/>
          <w:sz w:val="21"/>
          <w:szCs w:val="21"/>
          <w:highlight w:val="none"/>
        </w:rPr>
        <w:t>应商的法定代表人或其委托代理人须携带加密时所用的</w:t>
      </w:r>
      <w:r>
        <w:rPr>
          <w:rFonts w:ascii="Times New Roman" w:hAnsi="Times New Roman" w:eastAsia="Times New Roman" w:cs="Times New Roman"/>
          <w:color w:val="auto"/>
          <w:spacing w:val="-1"/>
          <w:sz w:val="21"/>
          <w:szCs w:val="21"/>
          <w:highlight w:val="none"/>
        </w:rPr>
        <w:t>CA</w:t>
      </w:r>
      <w:r>
        <w:rPr>
          <w:rFonts w:ascii="宋体" w:hAnsi="宋体" w:eastAsia="宋体" w:cs="宋体"/>
          <w:color w:val="auto"/>
          <w:spacing w:val="-1"/>
          <w:sz w:val="21"/>
          <w:szCs w:val="21"/>
          <w:highlight w:val="none"/>
        </w:rPr>
        <w:t>锁，按平台提示和磋商文件的规定登录到广西政府采购云平台电子开标大厅签到，采购代理机构依托广</w:t>
      </w:r>
      <w:r>
        <w:rPr>
          <w:rFonts w:ascii="宋体" w:hAnsi="宋体" w:eastAsia="宋体" w:cs="宋体"/>
          <w:color w:val="auto"/>
          <w:spacing w:val="-2"/>
          <w:sz w:val="21"/>
          <w:szCs w:val="21"/>
          <w:highlight w:val="none"/>
        </w:rPr>
        <w:t>西政府采购云平台向各供应商发出</w:t>
      </w:r>
      <w:r>
        <w:rPr>
          <w:rFonts w:ascii="宋体" w:hAnsi="宋体" w:eastAsia="宋体" w:cs="宋体"/>
          <w:color w:val="auto"/>
          <w:spacing w:val="-1"/>
          <w:sz w:val="21"/>
          <w:szCs w:val="21"/>
          <w:highlight w:val="none"/>
        </w:rPr>
        <w:t>电子加密响应文件【开始解密】通知，由供应商按“供应商须知</w:t>
      </w:r>
      <w:r>
        <w:rPr>
          <w:rFonts w:ascii="宋体" w:hAnsi="宋体" w:eastAsia="宋体" w:cs="宋体"/>
          <w:color w:val="auto"/>
          <w:spacing w:val="-2"/>
          <w:sz w:val="21"/>
          <w:szCs w:val="21"/>
          <w:highlight w:val="none"/>
        </w:rPr>
        <w:t>前附表”规定的时间内自行进行响</w:t>
      </w:r>
      <w:r>
        <w:rPr>
          <w:rFonts w:ascii="宋体" w:hAnsi="宋体" w:eastAsia="宋体" w:cs="宋体"/>
          <w:color w:val="auto"/>
          <w:spacing w:val="-3"/>
          <w:sz w:val="21"/>
          <w:szCs w:val="21"/>
          <w:highlight w:val="none"/>
        </w:rPr>
        <w:t>应文件解密。</w:t>
      </w:r>
      <w:r>
        <w:rPr>
          <w:rFonts w:ascii="宋体" w:hAnsi="宋体" w:eastAsia="宋体" w:cs="宋体"/>
          <w:b/>
          <w:bCs/>
          <w:color w:val="auto"/>
          <w:spacing w:val="-3"/>
          <w:sz w:val="21"/>
          <w:szCs w:val="21"/>
          <w:highlight w:val="none"/>
        </w:rPr>
        <w:t>供应商未在规定的时间内解密响应文件或者解密失败的</w:t>
      </w:r>
      <w:r>
        <w:rPr>
          <w:rFonts w:ascii="宋体" w:hAnsi="宋体" w:eastAsia="宋体" w:cs="宋体"/>
          <w:b/>
          <w:bCs/>
          <w:color w:val="auto"/>
          <w:spacing w:val="-4"/>
          <w:sz w:val="21"/>
          <w:szCs w:val="21"/>
          <w:highlight w:val="none"/>
        </w:rPr>
        <w:t>，供应商的响应文件作无效处</w:t>
      </w:r>
      <w:r>
        <w:rPr>
          <w:rFonts w:ascii="宋体" w:hAnsi="宋体" w:eastAsia="宋体" w:cs="宋体"/>
          <w:b/>
          <w:bCs/>
          <w:color w:val="auto"/>
          <w:spacing w:val="-6"/>
          <w:sz w:val="21"/>
          <w:szCs w:val="21"/>
          <w:highlight w:val="none"/>
        </w:rPr>
        <w:t>理。</w:t>
      </w:r>
    </w:p>
    <w:p w14:paraId="15846599">
      <w:pPr>
        <w:spacing w:line="218" w:lineRule="auto"/>
        <w:ind w:left="505"/>
        <w:rPr>
          <w:rFonts w:ascii="黑体" w:hAnsi="黑体" w:eastAsia="黑体" w:cs="黑体"/>
          <w:color w:val="auto"/>
          <w:sz w:val="24"/>
          <w:szCs w:val="24"/>
          <w:highlight w:val="none"/>
        </w:rPr>
      </w:pPr>
      <w:r>
        <w:rPr>
          <w:rFonts w:ascii="黑体" w:hAnsi="黑体" w:eastAsia="黑体" w:cs="黑体"/>
          <w:b/>
          <w:bCs/>
          <w:color w:val="auto"/>
          <w:spacing w:val="-3"/>
          <w:sz w:val="24"/>
          <w:szCs w:val="24"/>
          <w:highlight w:val="none"/>
        </w:rPr>
        <w:t>26.评审程序、评审方法和评审标准</w:t>
      </w:r>
    </w:p>
    <w:p w14:paraId="32EE5EBD">
      <w:pPr>
        <w:spacing w:before="179" w:line="220" w:lineRule="auto"/>
        <w:ind w:left="44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26.1本项目的评审方法为综合评分法。</w:t>
      </w:r>
    </w:p>
    <w:p w14:paraId="5BCFEE8A">
      <w:pPr>
        <w:spacing w:before="157" w:line="290" w:lineRule="auto"/>
        <w:ind w:left="21" w:right="59" w:firstLine="421"/>
        <w:rPr>
          <w:rFonts w:ascii="宋体" w:hAnsi="宋体" w:eastAsia="宋体" w:cs="宋体"/>
          <w:color w:val="auto"/>
          <w:sz w:val="21"/>
          <w:szCs w:val="21"/>
          <w:highlight w:val="none"/>
        </w:rPr>
      </w:pPr>
      <w:r>
        <w:rPr>
          <w:rFonts w:ascii="宋体" w:hAnsi="宋体" w:eastAsia="宋体" w:cs="宋体"/>
          <w:color w:val="auto"/>
          <w:sz w:val="21"/>
          <w:szCs w:val="21"/>
          <w:highlight w:val="none"/>
        </w:rPr>
        <w:t>26.2磋商小组按照“第四章评审程序、评审方法和</w:t>
      </w:r>
      <w:r>
        <w:rPr>
          <w:rFonts w:ascii="宋体" w:hAnsi="宋体" w:eastAsia="宋体" w:cs="宋体"/>
          <w:color w:val="auto"/>
          <w:spacing w:val="-1"/>
          <w:sz w:val="21"/>
          <w:szCs w:val="21"/>
          <w:highlight w:val="none"/>
        </w:rPr>
        <w:t>评审标准”规定的方法、评审因素、标准</w:t>
      </w:r>
      <w:r>
        <w:rPr>
          <w:rFonts w:ascii="宋体" w:hAnsi="宋体" w:eastAsia="宋体" w:cs="宋体"/>
          <w:color w:val="auto"/>
          <w:spacing w:val="-2"/>
          <w:sz w:val="21"/>
          <w:szCs w:val="21"/>
          <w:highlight w:val="none"/>
        </w:rPr>
        <w:t>和程序对响应文件进行评审。</w:t>
      </w:r>
    </w:p>
    <w:p w14:paraId="158879C2">
      <w:pPr>
        <w:spacing w:before="157" w:line="220" w:lineRule="auto"/>
        <w:ind w:left="44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26.3商务/技术要求允许负偏离的条款数详见“供应商须知前附表”。</w:t>
      </w:r>
    </w:p>
    <w:p w14:paraId="72B75360">
      <w:pPr>
        <w:spacing w:before="160" w:line="312" w:lineRule="auto"/>
        <w:ind w:left="20" w:right="57" w:firstLine="42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26.4磋商小组成员要依法独立评审，并对评审意见承担个人责任。磋商小组成员对需要共同</w:t>
      </w:r>
      <w:r>
        <w:rPr>
          <w:rFonts w:ascii="宋体" w:hAnsi="宋体" w:eastAsia="宋体" w:cs="宋体"/>
          <w:color w:val="auto"/>
          <w:spacing w:val="-1"/>
          <w:sz w:val="21"/>
          <w:szCs w:val="21"/>
          <w:highlight w:val="none"/>
        </w:rPr>
        <w:t>认定的事项存在争议的，按照少数服从多数的原则作出结论</w:t>
      </w:r>
      <w:r>
        <w:rPr>
          <w:rFonts w:ascii="宋体" w:hAnsi="宋体" w:eastAsia="宋体" w:cs="宋体"/>
          <w:color w:val="auto"/>
          <w:spacing w:val="-2"/>
          <w:sz w:val="21"/>
          <w:szCs w:val="21"/>
          <w:highlight w:val="none"/>
        </w:rPr>
        <w:t>。持不同意见的磋商小组成员应当在评</w:t>
      </w:r>
      <w:r>
        <w:rPr>
          <w:rFonts w:ascii="宋体" w:hAnsi="宋体" w:eastAsia="宋体" w:cs="宋体"/>
          <w:color w:val="auto"/>
          <w:sz w:val="21"/>
          <w:szCs w:val="21"/>
          <w:highlight w:val="none"/>
        </w:rPr>
        <w:t>审报告上签署不同意见并说明理由，否则视</w:t>
      </w:r>
      <w:r>
        <w:rPr>
          <w:rFonts w:ascii="宋体" w:hAnsi="宋体" w:eastAsia="宋体" w:cs="宋体"/>
          <w:color w:val="auto"/>
          <w:spacing w:val="-1"/>
          <w:sz w:val="21"/>
          <w:szCs w:val="21"/>
          <w:highlight w:val="none"/>
        </w:rPr>
        <w:t>为同意。</w:t>
      </w:r>
    </w:p>
    <w:p w14:paraId="5E8384FF">
      <w:pPr>
        <w:spacing w:before="160" w:line="289" w:lineRule="auto"/>
        <w:ind w:left="22" w:right="57" w:firstLine="420"/>
        <w:rPr>
          <w:rFonts w:ascii="宋体" w:hAnsi="宋体" w:eastAsia="宋体" w:cs="宋体"/>
          <w:color w:val="auto"/>
          <w:sz w:val="21"/>
          <w:szCs w:val="21"/>
          <w:highlight w:val="none"/>
        </w:rPr>
      </w:pPr>
      <w:r>
        <w:rPr>
          <w:rFonts w:ascii="宋体" w:hAnsi="宋体" w:eastAsia="宋体" w:cs="宋体"/>
          <w:color w:val="auto"/>
          <w:sz w:val="21"/>
          <w:szCs w:val="21"/>
          <w:highlight w:val="none"/>
        </w:rPr>
        <w:t>26.5电子交易活动的中止。采购过程中出现以下情形，导致电子交易平台无法正常运行，或者无法保证电子交易的公平、公正和安全时，采购机构可中止电子交</w:t>
      </w:r>
      <w:r>
        <w:rPr>
          <w:rFonts w:ascii="宋体" w:hAnsi="宋体" w:eastAsia="宋体" w:cs="宋体"/>
          <w:color w:val="auto"/>
          <w:spacing w:val="-1"/>
          <w:sz w:val="21"/>
          <w:szCs w:val="21"/>
          <w:highlight w:val="none"/>
        </w:rPr>
        <w:t>易活动：</w:t>
      </w:r>
    </w:p>
    <w:p w14:paraId="7F10EEE9">
      <w:pPr>
        <w:spacing w:before="161"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w:t>
      </w:r>
      <w:r>
        <w:rPr>
          <w:rFonts w:ascii="宋体" w:hAnsi="宋体" w:eastAsia="宋体" w:cs="宋体"/>
          <w:color w:val="auto"/>
          <w:spacing w:val="-1"/>
          <w:sz w:val="21"/>
          <w:szCs w:val="21"/>
          <w:highlight w:val="none"/>
        </w:rPr>
        <w:t>）电子交易平台发生故障而无法登录访问的；</w:t>
      </w:r>
    </w:p>
    <w:p w14:paraId="30F53CEE">
      <w:pPr>
        <w:spacing w:before="142"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）电子交易平台应用或数据库出现错误，不能进行</w:t>
      </w:r>
      <w:r>
        <w:rPr>
          <w:rFonts w:ascii="宋体" w:hAnsi="宋体" w:eastAsia="宋体" w:cs="宋体"/>
          <w:color w:val="auto"/>
          <w:spacing w:val="-2"/>
          <w:sz w:val="21"/>
          <w:szCs w:val="21"/>
          <w:highlight w:val="none"/>
        </w:rPr>
        <w:t>正常操作的；</w:t>
      </w:r>
    </w:p>
    <w:p w14:paraId="07446469">
      <w:pPr>
        <w:spacing w:before="142" w:line="235"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3</w:t>
      </w:r>
      <w:r>
        <w:rPr>
          <w:rFonts w:ascii="宋体" w:hAnsi="宋体" w:eastAsia="宋体" w:cs="宋体"/>
          <w:color w:val="auto"/>
          <w:spacing w:val="-1"/>
          <w:sz w:val="21"/>
          <w:szCs w:val="21"/>
          <w:highlight w:val="none"/>
        </w:rPr>
        <w:t>）电子交易平台发现严重安全漏洞，有潜在泄密危险的；</w:t>
      </w:r>
    </w:p>
    <w:p w14:paraId="6B16BFC8">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4</w:t>
      </w:r>
      <w:r>
        <w:rPr>
          <w:rFonts w:ascii="宋体" w:hAnsi="宋体" w:eastAsia="宋体" w:cs="宋体"/>
          <w:color w:val="auto"/>
          <w:spacing w:val="-2"/>
          <w:sz w:val="21"/>
          <w:szCs w:val="21"/>
          <w:highlight w:val="none"/>
        </w:rPr>
        <w:t>）病毒发作导致不能进行正常操作的；</w:t>
      </w:r>
    </w:p>
    <w:p w14:paraId="695607EE">
      <w:pPr>
        <w:spacing w:before="143" w:line="235"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5</w:t>
      </w:r>
      <w:r>
        <w:rPr>
          <w:rFonts w:ascii="宋体" w:hAnsi="宋体" w:eastAsia="宋体" w:cs="宋体"/>
          <w:color w:val="auto"/>
          <w:spacing w:val="-1"/>
          <w:sz w:val="21"/>
          <w:szCs w:val="21"/>
          <w:highlight w:val="none"/>
        </w:rPr>
        <w:t>）其他无法保证电子交易的公平、公正和</w:t>
      </w:r>
      <w:r>
        <w:rPr>
          <w:rFonts w:ascii="宋体" w:hAnsi="宋体" w:eastAsia="宋体" w:cs="宋体"/>
          <w:color w:val="auto"/>
          <w:spacing w:val="-2"/>
          <w:sz w:val="21"/>
          <w:szCs w:val="21"/>
          <w:highlight w:val="none"/>
        </w:rPr>
        <w:t>安全的情况。</w:t>
      </w:r>
    </w:p>
    <w:p w14:paraId="0780EFC1">
      <w:pPr>
        <w:spacing w:before="141" w:line="220" w:lineRule="auto"/>
        <w:ind w:left="44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26.6出现以上情形，不影响采购公平、公正性的，采购组织机构可以待上述情形消除后继续</w:t>
      </w:r>
    </w:p>
    <w:p w14:paraId="49A6C6E3">
      <w:pPr>
        <w:spacing w:line="220" w:lineRule="auto"/>
        <w:rPr>
          <w:rFonts w:ascii="宋体" w:hAnsi="宋体" w:eastAsia="宋体" w:cs="宋体"/>
          <w:color w:val="auto"/>
          <w:sz w:val="21"/>
          <w:szCs w:val="21"/>
          <w:highlight w:val="none"/>
        </w:rPr>
        <w:sectPr>
          <w:footerReference r:id="rId17" w:type="default"/>
          <w:pgSz w:w="11907" w:h="16839"/>
          <w:pgMar w:top="1427" w:right="1071" w:bottom="1154" w:left="1785" w:header="0" w:footer="954" w:gutter="0"/>
          <w:cols w:space="720" w:num="1"/>
        </w:sectPr>
      </w:pPr>
    </w:p>
    <w:p w14:paraId="40880266">
      <w:pPr>
        <w:spacing w:before="41" w:line="361" w:lineRule="auto"/>
        <w:ind w:left="20" w:right="16" w:firstLine="2"/>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组织电子交易活动；影响或可能影响采购公平、公正性的，经采购代理机构确认，报采购人同意后，</w:t>
      </w:r>
      <w:r>
        <w:rPr>
          <w:rFonts w:ascii="宋体" w:hAnsi="宋体" w:eastAsia="宋体" w:cs="宋体"/>
          <w:color w:val="auto"/>
          <w:sz w:val="21"/>
          <w:szCs w:val="21"/>
          <w:highlight w:val="none"/>
        </w:rPr>
        <w:t>应当重新采购。采购代理机构必须对原有的资料及信息做</w:t>
      </w:r>
      <w:r>
        <w:rPr>
          <w:rFonts w:ascii="宋体" w:hAnsi="宋体" w:eastAsia="宋体" w:cs="宋体"/>
          <w:color w:val="auto"/>
          <w:spacing w:val="-1"/>
          <w:sz w:val="21"/>
          <w:szCs w:val="21"/>
          <w:highlight w:val="none"/>
        </w:rPr>
        <w:t>出妥善保密处理，并报财政部门备案。</w:t>
      </w:r>
    </w:p>
    <w:p w14:paraId="5448E8E9">
      <w:pPr>
        <w:spacing w:before="2" w:line="219" w:lineRule="auto"/>
        <w:ind w:left="505"/>
        <w:rPr>
          <w:rFonts w:ascii="黑体" w:hAnsi="黑体" w:eastAsia="黑体" w:cs="黑体"/>
          <w:color w:val="auto"/>
          <w:sz w:val="24"/>
          <w:szCs w:val="24"/>
          <w:highlight w:val="none"/>
        </w:rPr>
      </w:pPr>
      <w:r>
        <w:rPr>
          <w:rFonts w:ascii="黑体" w:hAnsi="黑体" w:eastAsia="黑体" w:cs="黑体"/>
          <w:b/>
          <w:bCs/>
          <w:color w:val="auto"/>
          <w:spacing w:val="-3"/>
          <w:sz w:val="24"/>
          <w:szCs w:val="24"/>
          <w:highlight w:val="none"/>
        </w:rPr>
        <w:t>27.确定成交供应商及结果公告</w:t>
      </w:r>
    </w:p>
    <w:p w14:paraId="422D4B00">
      <w:pPr>
        <w:spacing w:before="178" w:line="324" w:lineRule="auto"/>
        <w:ind w:left="21" w:right="72" w:firstLine="42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27.1采购代理机构应当在评审结束后2个工作日内将评审</w:t>
      </w:r>
      <w:r>
        <w:rPr>
          <w:rFonts w:ascii="宋体" w:hAnsi="宋体" w:eastAsia="宋体" w:cs="宋体"/>
          <w:color w:val="auto"/>
          <w:spacing w:val="-2"/>
          <w:sz w:val="21"/>
          <w:szCs w:val="21"/>
          <w:highlight w:val="none"/>
        </w:rPr>
        <w:t>报告送采购人确认。采购人应当在收到评审报告后5个工作日内，从评审报告提出的成交候选供应商中，按照排序由高到低的原则确</w:t>
      </w:r>
      <w:r>
        <w:rPr>
          <w:rFonts w:ascii="宋体" w:hAnsi="宋体" w:eastAsia="宋体" w:cs="宋体"/>
          <w:color w:val="auto"/>
          <w:spacing w:val="-1"/>
          <w:sz w:val="21"/>
          <w:szCs w:val="21"/>
          <w:highlight w:val="none"/>
        </w:rPr>
        <w:t>定成交供应商，也可以书面授权磋商小组直接确定成交供</w:t>
      </w:r>
      <w:r>
        <w:rPr>
          <w:rFonts w:ascii="宋体" w:hAnsi="宋体" w:eastAsia="宋体" w:cs="宋体"/>
          <w:color w:val="auto"/>
          <w:spacing w:val="-2"/>
          <w:sz w:val="21"/>
          <w:szCs w:val="21"/>
          <w:highlight w:val="none"/>
        </w:rPr>
        <w:t>应商。采购人逾期未确定成交供应商且不</w:t>
      </w:r>
      <w:r>
        <w:rPr>
          <w:rFonts w:ascii="宋体" w:hAnsi="宋体" w:eastAsia="宋体" w:cs="宋体"/>
          <w:color w:val="auto"/>
          <w:sz w:val="21"/>
          <w:szCs w:val="21"/>
          <w:highlight w:val="none"/>
        </w:rPr>
        <w:t>提出异议的，视为确定评审报告提出的排序第一的供应商为成交</w:t>
      </w:r>
      <w:r>
        <w:rPr>
          <w:rFonts w:ascii="宋体" w:hAnsi="宋体" w:eastAsia="宋体" w:cs="宋体"/>
          <w:color w:val="auto"/>
          <w:spacing w:val="-1"/>
          <w:sz w:val="21"/>
          <w:szCs w:val="21"/>
          <w:highlight w:val="none"/>
        </w:rPr>
        <w:t>供应商。</w:t>
      </w:r>
    </w:p>
    <w:p w14:paraId="7F25F778">
      <w:pPr>
        <w:spacing w:before="156" w:line="344" w:lineRule="auto"/>
        <w:ind w:left="20" w:right="13" w:firstLine="42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27.2采购代理机构应当在成交供应商确定后2个工作日内</w:t>
      </w:r>
      <w:r>
        <w:rPr>
          <w:rFonts w:ascii="宋体" w:hAnsi="宋体" w:eastAsia="宋体" w:cs="宋体"/>
          <w:color w:val="auto"/>
          <w:spacing w:val="-2"/>
          <w:sz w:val="21"/>
          <w:szCs w:val="21"/>
          <w:highlight w:val="none"/>
        </w:rPr>
        <w:t>，在省级以上财政部门指定的媒体</w:t>
      </w:r>
      <w:r>
        <w:rPr>
          <w:rFonts w:ascii="宋体" w:hAnsi="宋体" w:eastAsia="宋体" w:cs="宋体"/>
          <w:color w:val="auto"/>
          <w:spacing w:val="-5"/>
          <w:sz w:val="21"/>
          <w:szCs w:val="21"/>
          <w:highlight w:val="none"/>
        </w:rPr>
        <w:t>上公告成交结果，同时向成交供应商发出成交通知书。采购人或者采购代理机构发出成交通知书前，</w:t>
      </w:r>
      <w:r>
        <w:rPr>
          <w:rFonts w:ascii="宋体" w:hAnsi="宋体" w:eastAsia="宋体" w:cs="宋体"/>
          <w:color w:val="auto"/>
          <w:spacing w:val="-1"/>
          <w:sz w:val="21"/>
          <w:szCs w:val="21"/>
          <w:highlight w:val="none"/>
        </w:rPr>
        <w:t>应当对成交供应商信用进行查询，对列入失信被执行人、重大税</w:t>
      </w:r>
      <w:r>
        <w:rPr>
          <w:rFonts w:ascii="宋体" w:hAnsi="宋体" w:eastAsia="宋体" w:cs="宋体"/>
          <w:color w:val="auto"/>
          <w:spacing w:val="-2"/>
          <w:sz w:val="21"/>
          <w:szCs w:val="21"/>
          <w:highlight w:val="none"/>
        </w:rPr>
        <w:t>收违法失信主体、政府采购严重违</w:t>
      </w:r>
      <w:r>
        <w:rPr>
          <w:rFonts w:ascii="宋体" w:hAnsi="宋体" w:eastAsia="宋体" w:cs="宋体"/>
          <w:color w:val="auto"/>
          <w:sz w:val="21"/>
          <w:szCs w:val="21"/>
          <w:highlight w:val="none"/>
        </w:rPr>
        <w:t>法失信行为记录名单及其他不符合《中华人民共和国政府采购法》第二十二条规定条件的供应商，</w:t>
      </w:r>
      <w:r>
        <w:rPr>
          <w:rFonts w:ascii="宋体" w:hAnsi="宋体" w:eastAsia="宋体" w:cs="宋体"/>
          <w:color w:val="auto"/>
          <w:spacing w:val="-1"/>
          <w:sz w:val="21"/>
          <w:szCs w:val="21"/>
          <w:highlight w:val="none"/>
        </w:rPr>
        <w:t>取消其成交资格，并确定排名第二的成交候选人为成交供应</w:t>
      </w:r>
      <w:r>
        <w:rPr>
          <w:rFonts w:ascii="宋体" w:hAnsi="宋体" w:eastAsia="宋体" w:cs="宋体"/>
          <w:color w:val="auto"/>
          <w:spacing w:val="-2"/>
          <w:sz w:val="21"/>
          <w:szCs w:val="21"/>
          <w:highlight w:val="none"/>
        </w:rPr>
        <w:t>商。排名第二的成交候选人因上述规定</w:t>
      </w:r>
      <w:r>
        <w:rPr>
          <w:rFonts w:ascii="宋体" w:hAnsi="宋体" w:eastAsia="宋体" w:cs="宋体"/>
          <w:color w:val="auto"/>
          <w:sz w:val="21"/>
          <w:szCs w:val="21"/>
          <w:highlight w:val="none"/>
        </w:rPr>
        <w:t>的同样原因被取消成交资格的，采购人可以确定排名第三的成交候选人为成交供应商，以此类推。</w:t>
      </w:r>
      <w:r>
        <w:rPr>
          <w:rFonts w:ascii="宋体" w:hAnsi="宋体" w:eastAsia="宋体" w:cs="宋体"/>
          <w:color w:val="auto"/>
          <w:spacing w:val="-1"/>
          <w:sz w:val="21"/>
          <w:szCs w:val="21"/>
          <w:highlight w:val="none"/>
        </w:rPr>
        <w:t>以上信息查询记录及相关证据与磋商文件一并保存。成交供应商</w:t>
      </w:r>
      <w:r>
        <w:rPr>
          <w:rFonts w:ascii="宋体" w:hAnsi="宋体" w:eastAsia="宋体" w:cs="宋体"/>
          <w:color w:val="auto"/>
          <w:spacing w:val="-2"/>
          <w:sz w:val="21"/>
          <w:szCs w:val="21"/>
          <w:highlight w:val="none"/>
        </w:rPr>
        <w:t>享受《政府采购促进中小企业发展</w:t>
      </w:r>
      <w:r>
        <w:rPr>
          <w:rFonts w:ascii="宋体" w:hAnsi="宋体" w:eastAsia="宋体" w:cs="宋体"/>
          <w:color w:val="auto"/>
          <w:spacing w:val="1"/>
          <w:sz w:val="21"/>
          <w:szCs w:val="21"/>
          <w:highlight w:val="none"/>
        </w:rPr>
        <w:t>管理办法》（财库〔2020〕46号）规定的中小企业扶持政策的，采购人、采购代理机构应当</w:t>
      </w:r>
      <w:r>
        <w:rPr>
          <w:rFonts w:ascii="宋体" w:hAnsi="宋体" w:eastAsia="宋体" w:cs="宋体"/>
          <w:color w:val="auto"/>
          <w:sz w:val="21"/>
          <w:szCs w:val="21"/>
          <w:highlight w:val="none"/>
        </w:rPr>
        <w:t>随成</w:t>
      </w:r>
      <w:r>
        <w:rPr>
          <w:rFonts w:ascii="宋体" w:hAnsi="宋体" w:eastAsia="宋体" w:cs="宋体"/>
          <w:color w:val="auto"/>
          <w:spacing w:val="-2"/>
          <w:sz w:val="21"/>
          <w:szCs w:val="21"/>
          <w:highlight w:val="none"/>
        </w:rPr>
        <w:t>交结果公开成交供应商的《中小企业声明函》。</w:t>
      </w:r>
    </w:p>
    <w:p w14:paraId="429A6247">
      <w:pPr>
        <w:spacing w:before="157" w:line="289" w:lineRule="auto"/>
        <w:ind w:left="60" w:right="74" w:firstLine="38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27.3出现下列情形之一的，采购人或者采购代理机构应当终止竞争性磋商采购活动，发布项</w:t>
      </w:r>
      <w:r>
        <w:rPr>
          <w:rFonts w:ascii="宋体" w:hAnsi="宋体" w:eastAsia="宋体" w:cs="宋体"/>
          <w:color w:val="auto"/>
          <w:spacing w:val="-4"/>
          <w:sz w:val="21"/>
          <w:szCs w:val="21"/>
          <w:highlight w:val="none"/>
        </w:rPr>
        <w:t>目终止公告并说明原因，重新开展采购活动：</w:t>
      </w:r>
    </w:p>
    <w:p w14:paraId="29625EB3">
      <w:pPr>
        <w:spacing w:before="158" w:line="220" w:lineRule="auto"/>
        <w:ind w:left="446"/>
        <w:rPr>
          <w:rFonts w:ascii="宋体" w:hAnsi="宋体" w:eastAsia="宋体" w:cs="宋体"/>
          <w:color w:val="auto"/>
          <w:sz w:val="21"/>
          <w:szCs w:val="21"/>
          <w:highlight w:val="none"/>
        </w:rPr>
      </w:pPr>
      <w:r>
        <w:rPr>
          <w:rFonts w:ascii="宋体" w:hAnsi="宋体" w:eastAsia="宋体" w:cs="宋体"/>
          <w:color w:val="auto"/>
          <w:sz w:val="21"/>
          <w:szCs w:val="21"/>
          <w:highlight w:val="none"/>
        </w:rPr>
        <w:t>（1）因情况变化，不再符合规定的竞争性磋</w:t>
      </w:r>
      <w:r>
        <w:rPr>
          <w:rFonts w:ascii="宋体" w:hAnsi="宋体" w:eastAsia="宋体" w:cs="宋体"/>
          <w:color w:val="auto"/>
          <w:spacing w:val="-1"/>
          <w:sz w:val="21"/>
          <w:szCs w:val="21"/>
          <w:highlight w:val="none"/>
        </w:rPr>
        <w:t>商采购方式适用情形的；</w:t>
      </w:r>
    </w:p>
    <w:p w14:paraId="160471CC">
      <w:pPr>
        <w:spacing w:before="159" w:line="220"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（2）出现影响采购公正的违法、违规行为的；</w:t>
      </w:r>
    </w:p>
    <w:p w14:paraId="476058E7">
      <w:pPr>
        <w:spacing w:before="160" w:line="289" w:lineRule="auto"/>
        <w:ind w:left="21" w:right="71" w:firstLine="42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（3）除“第四章评审程序、评审方法和评审标准”第4.3条规定的情形外，在采购过程中符</w:t>
      </w:r>
      <w:r>
        <w:rPr>
          <w:rFonts w:ascii="宋体" w:hAnsi="宋体" w:eastAsia="宋体" w:cs="宋体"/>
          <w:color w:val="auto"/>
          <w:spacing w:val="-1"/>
          <w:sz w:val="21"/>
          <w:szCs w:val="21"/>
          <w:highlight w:val="none"/>
        </w:rPr>
        <w:t>合要求的供应商或者报价未超过采购预算的供应商不足3家的。</w:t>
      </w:r>
    </w:p>
    <w:p w14:paraId="434C1BF1">
      <w:pPr>
        <w:spacing w:before="159" w:line="360" w:lineRule="auto"/>
        <w:ind w:left="21" w:right="47" w:firstLine="42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27.4在采购活动中因重大变故，采购任务取消的，采购人或者采购代理机构应当终止采购活</w:t>
      </w:r>
      <w:r>
        <w:rPr>
          <w:rFonts w:ascii="宋体" w:hAnsi="宋体" w:eastAsia="宋体" w:cs="宋体"/>
          <w:color w:val="auto"/>
          <w:spacing w:val="-1"/>
          <w:sz w:val="21"/>
          <w:szCs w:val="21"/>
          <w:highlight w:val="none"/>
        </w:rPr>
        <w:t>动，通知所有参加采购活动的供应商，并将项目实施情况和采购任务取消原因报送本级财政部门。</w:t>
      </w:r>
    </w:p>
    <w:p w14:paraId="6CEFA161">
      <w:pPr>
        <w:spacing w:before="3" w:line="219" w:lineRule="auto"/>
        <w:ind w:left="505"/>
        <w:rPr>
          <w:rFonts w:ascii="黑体" w:hAnsi="黑体" w:eastAsia="黑体" w:cs="黑体"/>
          <w:color w:val="auto"/>
          <w:sz w:val="24"/>
          <w:szCs w:val="24"/>
          <w:highlight w:val="none"/>
        </w:rPr>
      </w:pPr>
      <w:r>
        <w:rPr>
          <w:rFonts w:ascii="黑体" w:hAnsi="黑体" w:eastAsia="黑体" w:cs="黑体"/>
          <w:b/>
          <w:bCs/>
          <w:color w:val="auto"/>
          <w:spacing w:val="-4"/>
          <w:sz w:val="24"/>
          <w:szCs w:val="24"/>
          <w:highlight w:val="none"/>
        </w:rPr>
        <w:t>28.履约保证金</w:t>
      </w:r>
    </w:p>
    <w:p w14:paraId="6FDA503F">
      <w:pPr>
        <w:spacing w:before="177" w:line="289" w:lineRule="auto"/>
        <w:ind w:left="22" w:firstLine="425"/>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28.1履约保证金的金额、提交方式、缴纳</w:t>
      </w:r>
      <w:r>
        <w:rPr>
          <w:rFonts w:ascii="宋体" w:hAnsi="宋体" w:eastAsia="宋体" w:cs="宋体"/>
          <w:color w:val="auto"/>
          <w:spacing w:val="-8"/>
          <w:sz w:val="21"/>
          <w:szCs w:val="21"/>
          <w:highlight w:val="none"/>
        </w:rPr>
        <w:t>期限、退付的时间和条件详见“供应商须知前附表”。</w:t>
      </w:r>
      <w:r>
        <w:rPr>
          <w:rFonts w:ascii="宋体" w:hAnsi="宋体" w:eastAsia="宋体" w:cs="宋体"/>
          <w:color w:val="auto"/>
          <w:spacing w:val="-1"/>
          <w:sz w:val="21"/>
          <w:szCs w:val="21"/>
          <w:highlight w:val="none"/>
        </w:rPr>
        <w:t>成交供应商未按规定提交履约保证金的，视为拒绝与采购人签订合同。</w:t>
      </w:r>
    </w:p>
    <w:p w14:paraId="7F6750C8">
      <w:pPr>
        <w:spacing w:before="157" w:line="291" w:lineRule="auto"/>
        <w:ind w:left="24" w:right="76" w:firstLine="42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28.2在履约保证金退还日期前，若成交供应商的开户名称、开户银行、账号</w:t>
      </w:r>
      <w:r>
        <w:rPr>
          <w:rFonts w:ascii="宋体" w:hAnsi="宋体" w:eastAsia="宋体" w:cs="宋体"/>
          <w:color w:val="auto"/>
          <w:sz w:val="21"/>
          <w:szCs w:val="21"/>
          <w:highlight w:val="none"/>
        </w:rPr>
        <w:t>有变动的，请以</w:t>
      </w:r>
      <w:r>
        <w:rPr>
          <w:rFonts w:ascii="宋体" w:hAnsi="宋体" w:eastAsia="宋体" w:cs="宋体"/>
          <w:color w:val="auto"/>
          <w:spacing w:val="-1"/>
          <w:sz w:val="21"/>
          <w:szCs w:val="21"/>
          <w:highlight w:val="none"/>
        </w:rPr>
        <w:t>书面形式通知履约保证金收取单位，否则由此产生的后果由成交供应商自行承担。</w:t>
      </w:r>
    </w:p>
    <w:p w14:paraId="67431874">
      <w:pPr>
        <w:spacing w:before="165" w:line="220" w:lineRule="auto"/>
        <w:ind w:left="505"/>
        <w:rPr>
          <w:rFonts w:ascii="黑体" w:hAnsi="黑体" w:eastAsia="黑体" w:cs="黑体"/>
          <w:color w:val="auto"/>
          <w:sz w:val="24"/>
          <w:szCs w:val="24"/>
          <w:highlight w:val="none"/>
        </w:rPr>
      </w:pPr>
      <w:r>
        <w:rPr>
          <w:rFonts w:ascii="黑体" w:hAnsi="黑体" w:eastAsia="黑体" w:cs="黑体"/>
          <w:b/>
          <w:bCs/>
          <w:color w:val="auto"/>
          <w:spacing w:val="-4"/>
          <w:sz w:val="24"/>
          <w:szCs w:val="24"/>
          <w:highlight w:val="none"/>
        </w:rPr>
        <w:t>29.签订合同</w:t>
      </w:r>
    </w:p>
    <w:p w14:paraId="779F6919">
      <w:pPr>
        <w:spacing w:before="174" w:line="359" w:lineRule="auto"/>
        <w:ind w:left="22" w:right="71" w:firstLine="425"/>
        <w:jc w:val="both"/>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29.1签订电子采购合同：成交供应商领取电子成交通知书后，在规定的</w:t>
      </w:r>
      <w:r>
        <w:rPr>
          <w:rFonts w:ascii="宋体" w:hAnsi="宋体" w:eastAsia="宋体" w:cs="宋体"/>
          <w:color w:val="auto"/>
          <w:sz w:val="21"/>
          <w:szCs w:val="21"/>
          <w:highlight w:val="none"/>
        </w:rPr>
        <w:t>日期、时间、地点，</w:t>
      </w:r>
      <w:r>
        <w:rPr>
          <w:rFonts w:ascii="宋体" w:hAnsi="宋体" w:eastAsia="宋体" w:cs="宋体"/>
          <w:color w:val="auto"/>
          <w:spacing w:val="-1"/>
          <w:sz w:val="21"/>
          <w:szCs w:val="21"/>
          <w:highlight w:val="none"/>
        </w:rPr>
        <w:t>由法定代表人或其授权代表与采购人代表签订电子采购合同。</w:t>
      </w:r>
      <w:r>
        <w:rPr>
          <w:rFonts w:ascii="宋体" w:hAnsi="宋体" w:eastAsia="宋体" w:cs="宋体"/>
          <w:color w:val="auto"/>
          <w:spacing w:val="-2"/>
          <w:sz w:val="21"/>
          <w:szCs w:val="21"/>
          <w:highlight w:val="none"/>
        </w:rPr>
        <w:t>如成交供应商为联合体的，由联合体</w:t>
      </w:r>
      <w:r>
        <w:rPr>
          <w:rFonts w:ascii="宋体" w:hAnsi="宋体" w:eastAsia="宋体" w:cs="宋体"/>
          <w:color w:val="auto"/>
          <w:sz w:val="21"/>
          <w:szCs w:val="21"/>
          <w:highlight w:val="none"/>
        </w:rPr>
        <w:t>成员各方法定代表人或其授权代表与采购人代表</w:t>
      </w:r>
      <w:r>
        <w:rPr>
          <w:rFonts w:ascii="宋体" w:hAnsi="宋体" w:eastAsia="宋体" w:cs="宋体"/>
          <w:color w:val="auto"/>
          <w:spacing w:val="-1"/>
          <w:sz w:val="21"/>
          <w:szCs w:val="21"/>
          <w:highlight w:val="none"/>
        </w:rPr>
        <w:t>签订合同。</w:t>
      </w:r>
    </w:p>
    <w:p w14:paraId="071646E8">
      <w:pPr>
        <w:spacing w:before="1" w:line="219" w:lineRule="auto"/>
        <w:ind w:left="44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线下签订纸质合同：供应商领取成交通知书后，按“供应商须知前附表”规定向采购人出示相</w:t>
      </w:r>
    </w:p>
    <w:p w14:paraId="602C09ED">
      <w:pPr>
        <w:spacing w:line="219" w:lineRule="auto"/>
        <w:rPr>
          <w:rFonts w:ascii="宋体" w:hAnsi="宋体" w:eastAsia="宋体" w:cs="宋体"/>
          <w:color w:val="auto"/>
          <w:sz w:val="21"/>
          <w:szCs w:val="21"/>
          <w:highlight w:val="none"/>
        </w:rPr>
        <w:sectPr>
          <w:footerReference r:id="rId18" w:type="default"/>
          <w:pgSz w:w="11907" w:h="16839"/>
          <w:pgMar w:top="1427" w:right="1054" w:bottom="1154" w:left="1785" w:header="0" w:footer="954" w:gutter="0"/>
          <w:cols w:space="720" w:num="1"/>
        </w:sectPr>
      </w:pPr>
    </w:p>
    <w:p w14:paraId="48843D02">
      <w:pPr>
        <w:spacing w:before="42" w:line="220" w:lineRule="auto"/>
        <w:ind w:left="2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关证明材料，经采购人核验合格后方可签订合同。</w:t>
      </w:r>
    </w:p>
    <w:p w14:paraId="45E69279">
      <w:pPr>
        <w:spacing w:before="158" w:line="220" w:lineRule="auto"/>
        <w:ind w:left="44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29.2签订合同时间：按成交通知书规定的时间与采购人签订合同。</w:t>
      </w:r>
    </w:p>
    <w:p w14:paraId="1AE846A6">
      <w:pPr>
        <w:spacing w:before="155" w:line="325" w:lineRule="auto"/>
        <w:ind w:left="20" w:right="7" w:firstLine="42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29.3成交供应商拒绝签订政府采购合同（包括但不限于放弃成交、因不可抗</w:t>
      </w:r>
      <w:r>
        <w:rPr>
          <w:rFonts w:ascii="宋体" w:hAnsi="宋体" w:eastAsia="宋体" w:cs="宋体"/>
          <w:color w:val="auto"/>
          <w:sz w:val="21"/>
          <w:szCs w:val="21"/>
          <w:highlight w:val="none"/>
        </w:rPr>
        <w:t>力不能履行合同</w:t>
      </w:r>
      <w:r>
        <w:rPr>
          <w:rFonts w:ascii="宋体" w:hAnsi="宋体" w:eastAsia="宋体" w:cs="宋体"/>
          <w:color w:val="auto"/>
          <w:spacing w:val="-1"/>
          <w:sz w:val="21"/>
          <w:szCs w:val="21"/>
          <w:highlight w:val="none"/>
        </w:rPr>
        <w:t>而放弃签订合同</w:t>
      </w:r>
      <w:r>
        <w:rPr>
          <w:rFonts w:ascii="宋体" w:hAnsi="宋体" w:eastAsia="宋体" w:cs="宋体"/>
          <w:color w:val="auto"/>
          <w:spacing w:val="-9"/>
          <w:sz w:val="21"/>
          <w:szCs w:val="21"/>
          <w:highlight w:val="none"/>
        </w:rPr>
        <w:t>），</w:t>
      </w:r>
      <w:r>
        <w:rPr>
          <w:rFonts w:ascii="宋体" w:hAnsi="宋体" w:eastAsia="宋体" w:cs="宋体"/>
          <w:color w:val="auto"/>
          <w:spacing w:val="-1"/>
          <w:sz w:val="21"/>
          <w:szCs w:val="21"/>
          <w:highlight w:val="none"/>
        </w:rPr>
        <w:t>采购人可以按照评审报告推荐的成交候选人名单排序，确定下一候选人为成交供应商，也可以重新开展政府采购活动。如采购人无正当理</w:t>
      </w:r>
      <w:r>
        <w:rPr>
          <w:rFonts w:ascii="宋体" w:hAnsi="宋体" w:eastAsia="宋体" w:cs="宋体"/>
          <w:color w:val="auto"/>
          <w:spacing w:val="-2"/>
          <w:sz w:val="21"/>
          <w:szCs w:val="21"/>
          <w:highlight w:val="none"/>
        </w:rPr>
        <w:t>由拒签合同的，给成交供应商造成损失</w:t>
      </w:r>
      <w:r>
        <w:rPr>
          <w:rFonts w:ascii="宋体" w:hAnsi="宋体" w:eastAsia="宋体" w:cs="宋体"/>
          <w:color w:val="auto"/>
          <w:sz w:val="21"/>
          <w:szCs w:val="21"/>
          <w:highlight w:val="none"/>
        </w:rPr>
        <w:t>的，成交供应商可追究采购人承担相应的法</w:t>
      </w:r>
      <w:r>
        <w:rPr>
          <w:rFonts w:ascii="宋体" w:hAnsi="宋体" w:eastAsia="宋体" w:cs="宋体"/>
          <w:color w:val="auto"/>
          <w:spacing w:val="-1"/>
          <w:sz w:val="21"/>
          <w:szCs w:val="21"/>
          <w:highlight w:val="none"/>
        </w:rPr>
        <w:t>律责任。</w:t>
      </w:r>
    </w:p>
    <w:p w14:paraId="48625DB0">
      <w:pPr>
        <w:spacing w:before="156" w:line="325" w:lineRule="auto"/>
        <w:ind w:left="21" w:right="7" w:firstLine="42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29.4政府采购合同是政府采购项目验收的依据，成交供应商和采购人应当按</w:t>
      </w:r>
      <w:r>
        <w:rPr>
          <w:rFonts w:ascii="宋体" w:hAnsi="宋体" w:eastAsia="宋体" w:cs="宋体"/>
          <w:color w:val="auto"/>
          <w:sz w:val="21"/>
          <w:szCs w:val="21"/>
          <w:highlight w:val="none"/>
        </w:rPr>
        <w:t>照采购合同约定</w:t>
      </w:r>
      <w:r>
        <w:rPr>
          <w:rFonts w:ascii="宋体" w:hAnsi="宋体" w:eastAsia="宋体" w:cs="宋体"/>
          <w:color w:val="auto"/>
          <w:spacing w:val="-1"/>
          <w:sz w:val="21"/>
          <w:szCs w:val="21"/>
          <w:highlight w:val="none"/>
        </w:rPr>
        <w:t>的各自的权利和义务全面履行合同。任何一方当事人在履行合同</w:t>
      </w:r>
      <w:r>
        <w:rPr>
          <w:rFonts w:ascii="宋体" w:hAnsi="宋体" w:eastAsia="宋体" w:cs="宋体"/>
          <w:color w:val="auto"/>
          <w:spacing w:val="-2"/>
          <w:sz w:val="21"/>
          <w:szCs w:val="21"/>
          <w:highlight w:val="none"/>
        </w:rPr>
        <w:t>过程中均不得擅自变更、中止或终</w:t>
      </w:r>
      <w:r>
        <w:rPr>
          <w:rFonts w:ascii="宋体" w:hAnsi="宋体" w:eastAsia="宋体" w:cs="宋体"/>
          <w:color w:val="auto"/>
          <w:spacing w:val="-1"/>
          <w:sz w:val="21"/>
          <w:szCs w:val="21"/>
          <w:highlight w:val="none"/>
        </w:rPr>
        <w:t>止合同。政府采购合同继续履行将损害国家利益和社会公共利益</w:t>
      </w:r>
      <w:r>
        <w:rPr>
          <w:rFonts w:ascii="宋体" w:hAnsi="宋体" w:eastAsia="宋体" w:cs="宋体"/>
          <w:color w:val="auto"/>
          <w:spacing w:val="-2"/>
          <w:sz w:val="21"/>
          <w:szCs w:val="21"/>
          <w:highlight w:val="none"/>
        </w:rPr>
        <w:t>的，双方当事人应当变更、中止或</w:t>
      </w:r>
      <w:r>
        <w:rPr>
          <w:rFonts w:ascii="宋体" w:hAnsi="宋体" w:eastAsia="宋体" w:cs="宋体"/>
          <w:color w:val="auto"/>
          <w:sz w:val="21"/>
          <w:szCs w:val="21"/>
          <w:highlight w:val="none"/>
        </w:rPr>
        <w:t>终止合同。有过错的一方应当承担赔偿责任，</w:t>
      </w:r>
      <w:r>
        <w:rPr>
          <w:rFonts w:ascii="宋体" w:hAnsi="宋体" w:eastAsia="宋体" w:cs="宋体"/>
          <w:color w:val="auto"/>
          <w:spacing w:val="-1"/>
          <w:sz w:val="21"/>
          <w:szCs w:val="21"/>
          <w:highlight w:val="none"/>
        </w:rPr>
        <w:t>双方都有过错的，各自承担相应的责任。</w:t>
      </w:r>
    </w:p>
    <w:p w14:paraId="051BE762">
      <w:pPr>
        <w:spacing w:before="156" w:line="290" w:lineRule="auto"/>
        <w:ind w:left="22" w:right="11" w:firstLine="42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29.5采购人或成交供应商不得单方面向合同另一方提出任何磋商文件没有约</w:t>
      </w:r>
      <w:r>
        <w:rPr>
          <w:rFonts w:ascii="宋体" w:hAnsi="宋体" w:eastAsia="宋体" w:cs="宋体"/>
          <w:color w:val="auto"/>
          <w:sz w:val="21"/>
          <w:szCs w:val="21"/>
          <w:highlight w:val="none"/>
        </w:rPr>
        <w:t>定的条件或不合理的要求，作为签订合同的条件；也不得协商另行订</w:t>
      </w:r>
      <w:r>
        <w:rPr>
          <w:rFonts w:ascii="宋体" w:hAnsi="宋体" w:eastAsia="宋体" w:cs="宋体"/>
          <w:color w:val="auto"/>
          <w:spacing w:val="-1"/>
          <w:sz w:val="21"/>
          <w:szCs w:val="21"/>
          <w:highlight w:val="none"/>
        </w:rPr>
        <w:t>立背离磋商文件和合同实质性内容的协议。</w:t>
      </w:r>
    </w:p>
    <w:p w14:paraId="47AB27F2">
      <w:pPr>
        <w:spacing w:before="158" w:line="290" w:lineRule="auto"/>
        <w:ind w:left="21" w:right="11" w:firstLine="42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29.6如签订合同并生效后，供应商无故拒绝或延期，除按照合同条款处理外</w:t>
      </w:r>
      <w:r>
        <w:rPr>
          <w:rFonts w:ascii="宋体" w:hAnsi="宋体" w:eastAsia="宋体" w:cs="宋体"/>
          <w:color w:val="auto"/>
          <w:sz w:val="21"/>
          <w:szCs w:val="21"/>
          <w:highlight w:val="none"/>
        </w:rPr>
        <w:t>，将承担相应的</w:t>
      </w:r>
      <w:r>
        <w:rPr>
          <w:rFonts w:ascii="宋体" w:hAnsi="宋体" w:eastAsia="宋体" w:cs="宋体"/>
          <w:color w:val="auto"/>
          <w:spacing w:val="-5"/>
          <w:sz w:val="21"/>
          <w:szCs w:val="21"/>
          <w:highlight w:val="none"/>
        </w:rPr>
        <w:t>法律责任。</w:t>
      </w:r>
    </w:p>
    <w:p w14:paraId="0FB94A54">
      <w:pPr>
        <w:spacing w:before="159" w:line="312" w:lineRule="auto"/>
        <w:ind w:left="20" w:right="9" w:firstLine="42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29.7政府采购合同履行中，采购人需追加与合同标的相同的货物、工程或者</w:t>
      </w:r>
      <w:r>
        <w:rPr>
          <w:rFonts w:ascii="宋体" w:hAnsi="宋体" w:eastAsia="宋体" w:cs="宋体"/>
          <w:color w:val="auto"/>
          <w:sz w:val="21"/>
          <w:szCs w:val="21"/>
          <w:highlight w:val="none"/>
        </w:rPr>
        <w:t>服务的，在不改</w:t>
      </w:r>
      <w:r>
        <w:rPr>
          <w:rFonts w:ascii="宋体" w:hAnsi="宋体" w:eastAsia="宋体" w:cs="宋体"/>
          <w:color w:val="auto"/>
          <w:spacing w:val="-1"/>
          <w:sz w:val="21"/>
          <w:szCs w:val="21"/>
          <w:highlight w:val="none"/>
        </w:rPr>
        <w:t>变合同其他条款的前提下，可以与供应商协商签订补充合同</w:t>
      </w:r>
      <w:r>
        <w:rPr>
          <w:rFonts w:ascii="宋体" w:hAnsi="宋体" w:eastAsia="宋体" w:cs="宋体"/>
          <w:color w:val="auto"/>
          <w:spacing w:val="-2"/>
          <w:sz w:val="21"/>
          <w:szCs w:val="21"/>
          <w:highlight w:val="none"/>
        </w:rPr>
        <w:t>，但所有补充合同的采购金额不得超过</w:t>
      </w:r>
      <w:r>
        <w:rPr>
          <w:rFonts w:ascii="宋体" w:hAnsi="宋体" w:eastAsia="宋体" w:cs="宋体"/>
          <w:color w:val="auto"/>
          <w:spacing w:val="-3"/>
          <w:sz w:val="21"/>
          <w:szCs w:val="21"/>
          <w:highlight w:val="none"/>
        </w:rPr>
        <w:t>原合同采购金额的10%。</w:t>
      </w:r>
    </w:p>
    <w:p w14:paraId="546FB0A2">
      <w:pPr>
        <w:spacing w:before="167" w:line="220" w:lineRule="auto"/>
        <w:ind w:left="504"/>
        <w:rPr>
          <w:rFonts w:ascii="黑体" w:hAnsi="黑体" w:eastAsia="黑体" w:cs="黑体"/>
          <w:color w:val="auto"/>
          <w:sz w:val="24"/>
          <w:szCs w:val="24"/>
          <w:highlight w:val="none"/>
        </w:rPr>
      </w:pPr>
      <w:r>
        <w:rPr>
          <w:rFonts w:ascii="黑体" w:hAnsi="黑体" w:eastAsia="黑体" w:cs="黑体"/>
          <w:b/>
          <w:bCs/>
          <w:color w:val="auto"/>
          <w:spacing w:val="-3"/>
          <w:sz w:val="24"/>
          <w:szCs w:val="24"/>
          <w:highlight w:val="none"/>
        </w:rPr>
        <w:t>30.政府采购合同公告</w:t>
      </w:r>
    </w:p>
    <w:p w14:paraId="121E99A3">
      <w:pPr>
        <w:spacing w:before="174" w:line="361" w:lineRule="auto"/>
        <w:ind w:left="18" w:right="7" w:firstLine="421"/>
        <w:jc w:val="both"/>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根据《中华人民共和国政府采购法实施条例》第五</w:t>
      </w:r>
      <w:r>
        <w:rPr>
          <w:rFonts w:ascii="宋体" w:hAnsi="宋体" w:eastAsia="宋体" w:cs="宋体"/>
          <w:color w:val="auto"/>
          <w:spacing w:val="-2"/>
          <w:sz w:val="21"/>
          <w:szCs w:val="21"/>
          <w:highlight w:val="none"/>
        </w:rPr>
        <w:t>十条规定，采购人应当自政府采购合同签订之日起2个工作日内，将政府采购合同在省级以上人民政府财政部门指定的媒体上公告，但政府采</w:t>
      </w:r>
      <w:r>
        <w:rPr>
          <w:rFonts w:ascii="宋体" w:hAnsi="宋体" w:eastAsia="宋体" w:cs="宋体"/>
          <w:color w:val="auto"/>
          <w:spacing w:val="-1"/>
          <w:sz w:val="21"/>
          <w:szCs w:val="21"/>
          <w:highlight w:val="none"/>
        </w:rPr>
        <w:t>购合同中涉及国家秘密、商业秘密的内容除外。</w:t>
      </w:r>
    </w:p>
    <w:p w14:paraId="50B71498">
      <w:pPr>
        <w:spacing w:before="1" w:line="217" w:lineRule="auto"/>
        <w:ind w:left="504"/>
        <w:rPr>
          <w:rFonts w:ascii="黑体" w:hAnsi="黑体" w:eastAsia="黑体" w:cs="黑体"/>
          <w:color w:val="auto"/>
          <w:sz w:val="24"/>
          <w:szCs w:val="24"/>
          <w:highlight w:val="none"/>
        </w:rPr>
      </w:pPr>
      <w:r>
        <w:rPr>
          <w:rFonts w:ascii="黑体" w:hAnsi="黑体" w:eastAsia="黑体" w:cs="黑体"/>
          <w:b/>
          <w:bCs/>
          <w:color w:val="auto"/>
          <w:spacing w:val="-3"/>
          <w:sz w:val="24"/>
          <w:szCs w:val="24"/>
          <w:highlight w:val="none"/>
        </w:rPr>
        <w:t>31.询问、质疑和投诉</w:t>
      </w:r>
    </w:p>
    <w:p w14:paraId="309A5A47">
      <w:pPr>
        <w:spacing w:before="177" w:line="313" w:lineRule="auto"/>
        <w:ind w:left="22" w:right="10" w:firstLine="42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31.1供应商对政府采购活动事项有疑问的，可以向采购人、采购代理机构提出询问，采</w:t>
      </w:r>
      <w:r>
        <w:rPr>
          <w:rFonts w:ascii="宋体" w:hAnsi="宋体" w:eastAsia="宋体" w:cs="宋体"/>
          <w:color w:val="auto"/>
          <w:sz w:val="21"/>
          <w:szCs w:val="21"/>
          <w:highlight w:val="none"/>
        </w:rPr>
        <w:t>购人</w:t>
      </w:r>
      <w:r>
        <w:rPr>
          <w:rFonts w:ascii="宋体" w:hAnsi="宋体" w:eastAsia="宋体" w:cs="宋体"/>
          <w:color w:val="auto"/>
          <w:spacing w:val="-2"/>
          <w:sz w:val="21"/>
          <w:szCs w:val="21"/>
          <w:highlight w:val="none"/>
        </w:rPr>
        <w:t>或者采购代理机构应当在3个工作日内对供应商依法提出的询问作出答复，但答复的内容不得涉及商业秘密。</w:t>
      </w:r>
    </w:p>
    <w:p w14:paraId="6B5BA93B">
      <w:pPr>
        <w:spacing w:before="157" w:line="325" w:lineRule="auto"/>
        <w:ind w:left="19" w:firstLine="42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31.2供应商认为磋商文件、采购过程或者成交结果使自己的合法权益受到损害的，应当</w:t>
      </w:r>
      <w:r>
        <w:rPr>
          <w:rFonts w:ascii="宋体" w:hAnsi="宋体" w:eastAsia="宋体" w:cs="宋体"/>
          <w:color w:val="auto"/>
          <w:sz w:val="21"/>
          <w:szCs w:val="21"/>
          <w:highlight w:val="none"/>
        </w:rPr>
        <w:t>在知</w:t>
      </w:r>
      <w:r>
        <w:rPr>
          <w:rFonts w:ascii="宋体" w:hAnsi="宋体" w:eastAsia="宋体" w:cs="宋体"/>
          <w:color w:val="auto"/>
          <w:spacing w:val="-2"/>
          <w:sz w:val="21"/>
          <w:szCs w:val="21"/>
          <w:highlight w:val="none"/>
        </w:rPr>
        <w:t>道或者应知其权益受到损害之日起7个工作日内，以书面形式向采购人、采购代理机构提出质疑，</w:t>
      </w:r>
      <w:r>
        <w:rPr>
          <w:rFonts w:ascii="宋体" w:hAnsi="宋体" w:eastAsia="宋体" w:cs="宋体"/>
          <w:color w:val="auto"/>
          <w:spacing w:val="-1"/>
          <w:sz w:val="21"/>
          <w:szCs w:val="21"/>
          <w:highlight w:val="none"/>
        </w:rPr>
        <w:t>接收质疑函的方式、联系部门、联系电话和通讯地址等信息详</w:t>
      </w:r>
      <w:r>
        <w:rPr>
          <w:rFonts w:ascii="宋体" w:hAnsi="宋体" w:eastAsia="宋体" w:cs="宋体"/>
          <w:color w:val="auto"/>
          <w:spacing w:val="-2"/>
          <w:sz w:val="21"/>
          <w:szCs w:val="21"/>
          <w:highlight w:val="none"/>
        </w:rPr>
        <w:t>见“供应商须知前附表”。具体质疑</w:t>
      </w:r>
      <w:r>
        <w:rPr>
          <w:rFonts w:ascii="宋体" w:hAnsi="宋体" w:eastAsia="宋体" w:cs="宋体"/>
          <w:color w:val="auto"/>
          <w:spacing w:val="-5"/>
          <w:sz w:val="21"/>
          <w:szCs w:val="21"/>
          <w:highlight w:val="none"/>
        </w:rPr>
        <w:t>起算时间如下：</w:t>
      </w:r>
    </w:p>
    <w:p w14:paraId="41FA737B">
      <w:pPr>
        <w:spacing w:before="156" w:line="291" w:lineRule="auto"/>
        <w:ind w:left="22" w:right="10" w:firstLine="42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（1）对可以质疑的磋商文件提出质疑的，为收到磋商文件之日或者竞争性磋商公告期</w:t>
      </w:r>
      <w:r>
        <w:rPr>
          <w:rFonts w:ascii="宋体" w:hAnsi="宋体" w:eastAsia="宋体" w:cs="宋体"/>
          <w:color w:val="auto"/>
          <w:sz w:val="21"/>
          <w:szCs w:val="21"/>
          <w:highlight w:val="none"/>
        </w:rPr>
        <w:t>限届满</w:t>
      </w:r>
      <w:r>
        <w:rPr>
          <w:rFonts w:ascii="宋体" w:hAnsi="宋体" w:eastAsia="宋体" w:cs="宋体"/>
          <w:color w:val="auto"/>
          <w:spacing w:val="-3"/>
          <w:sz w:val="21"/>
          <w:szCs w:val="21"/>
          <w:highlight w:val="none"/>
        </w:rPr>
        <w:t>之日；</w:t>
      </w:r>
    </w:p>
    <w:p w14:paraId="20ADFCFA">
      <w:pPr>
        <w:spacing w:before="154" w:line="220"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（2）对采购过程提出质疑的，为各采购程序环节结束之日；</w:t>
      </w:r>
    </w:p>
    <w:p w14:paraId="4832F735">
      <w:pPr>
        <w:spacing w:before="161" w:line="219"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（3）对成交结果提出质疑的，为成交结果公告期限届满之日。</w:t>
      </w:r>
    </w:p>
    <w:p w14:paraId="78CEC592">
      <w:pPr>
        <w:spacing w:before="158" w:line="220" w:lineRule="auto"/>
        <w:ind w:right="10"/>
        <w:jc w:val="right"/>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31.3供应商提出的询问或者质疑超出采购人对采购代理机构委托授权范围的，采购代理</w:t>
      </w:r>
      <w:r>
        <w:rPr>
          <w:rFonts w:ascii="宋体" w:hAnsi="宋体" w:eastAsia="宋体" w:cs="宋体"/>
          <w:color w:val="auto"/>
          <w:sz w:val="21"/>
          <w:szCs w:val="21"/>
          <w:highlight w:val="none"/>
        </w:rPr>
        <w:t>机构</w:t>
      </w:r>
    </w:p>
    <w:p w14:paraId="2E952FC0">
      <w:pPr>
        <w:spacing w:line="220" w:lineRule="auto"/>
        <w:rPr>
          <w:rFonts w:ascii="宋体" w:hAnsi="宋体" w:eastAsia="宋体" w:cs="宋体"/>
          <w:color w:val="auto"/>
          <w:sz w:val="21"/>
          <w:szCs w:val="21"/>
          <w:highlight w:val="none"/>
        </w:rPr>
        <w:sectPr>
          <w:footerReference r:id="rId19" w:type="default"/>
          <w:pgSz w:w="11907" w:h="16839"/>
          <w:pgMar w:top="1427" w:right="1118" w:bottom="1154" w:left="1785" w:header="0" w:footer="954" w:gutter="0"/>
          <w:cols w:space="720" w:num="1"/>
        </w:sectPr>
      </w:pPr>
    </w:p>
    <w:p w14:paraId="08A50831">
      <w:pPr>
        <w:spacing w:before="41" w:line="359" w:lineRule="auto"/>
        <w:ind w:left="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应当告知供应商向采购人提出。政府采购评审专家应当配合采购人</w:t>
      </w:r>
      <w:r>
        <w:rPr>
          <w:rFonts w:ascii="宋体" w:hAnsi="宋体" w:eastAsia="宋体" w:cs="宋体"/>
          <w:color w:val="auto"/>
          <w:spacing w:val="-2"/>
          <w:sz w:val="21"/>
          <w:szCs w:val="21"/>
          <w:highlight w:val="none"/>
        </w:rPr>
        <w:t>或者采购代理机构答复供应商的</w:t>
      </w:r>
      <w:r>
        <w:rPr>
          <w:rFonts w:ascii="宋体" w:hAnsi="宋体" w:eastAsia="宋体" w:cs="宋体"/>
          <w:color w:val="auto"/>
          <w:spacing w:val="-1"/>
          <w:sz w:val="21"/>
          <w:szCs w:val="21"/>
          <w:highlight w:val="none"/>
        </w:rPr>
        <w:t>询问和质疑。</w:t>
      </w:r>
    </w:p>
    <w:p w14:paraId="34EBC505">
      <w:pPr>
        <w:spacing w:before="1" w:line="359" w:lineRule="auto"/>
        <w:ind w:left="19" w:right="2" w:firstLine="42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31.4供应商提出质疑应当提交质疑函和必要的证明材料，针对同一采购程序环节的质疑</w:t>
      </w:r>
      <w:r>
        <w:rPr>
          <w:rFonts w:ascii="宋体" w:hAnsi="宋体" w:eastAsia="宋体" w:cs="宋体"/>
          <w:color w:val="auto"/>
          <w:sz w:val="21"/>
          <w:szCs w:val="21"/>
          <w:highlight w:val="none"/>
        </w:rPr>
        <w:t>必须在法定质疑期内一次性提出。质疑函应当包括下列内容（质疑函格式</w:t>
      </w:r>
      <w:r>
        <w:rPr>
          <w:rFonts w:ascii="宋体" w:hAnsi="宋体" w:eastAsia="宋体" w:cs="宋体"/>
          <w:color w:val="auto"/>
          <w:spacing w:val="-1"/>
          <w:sz w:val="21"/>
          <w:szCs w:val="21"/>
          <w:highlight w:val="none"/>
        </w:rPr>
        <w:t>后附</w:t>
      </w:r>
      <w:r>
        <w:rPr>
          <w:rFonts w:ascii="宋体" w:hAnsi="宋体" w:eastAsia="宋体" w:cs="宋体"/>
          <w:color w:val="auto"/>
          <w:sz w:val="21"/>
          <w:szCs w:val="21"/>
          <w:highlight w:val="none"/>
        </w:rPr>
        <w:t>）：</w:t>
      </w:r>
    </w:p>
    <w:p w14:paraId="0291BEAE">
      <w:pPr>
        <w:spacing w:line="219"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（1）供应商的姓名或者名称、地址、邮编、联系人及联系电话；</w:t>
      </w:r>
    </w:p>
    <w:p w14:paraId="5D52DB62">
      <w:pPr>
        <w:spacing w:before="157" w:line="221"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（2）质疑项目的名称、编号；</w:t>
      </w:r>
    </w:p>
    <w:p w14:paraId="334453A0">
      <w:pPr>
        <w:spacing w:before="157" w:line="221"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（3）具体、明确的质疑事项和与质疑事项相关的请求；</w:t>
      </w:r>
    </w:p>
    <w:p w14:paraId="7C3CB9DB">
      <w:pPr>
        <w:spacing w:before="159" w:line="220"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（4）事实依据；</w:t>
      </w:r>
    </w:p>
    <w:p w14:paraId="48887F0D">
      <w:pPr>
        <w:spacing w:before="158" w:line="220" w:lineRule="auto"/>
        <w:ind w:left="446"/>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（5）必要的法律依据；</w:t>
      </w:r>
    </w:p>
    <w:p w14:paraId="3177B220">
      <w:pPr>
        <w:spacing w:before="158" w:line="221"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（6）提出质疑的日期。</w:t>
      </w:r>
    </w:p>
    <w:p w14:paraId="33B422B9">
      <w:pPr>
        <w:spacing w:before="157" w:line="360" w:lineRule="auto"/>
        <w:ind w:left="21" w:right="3" w:firstLine="41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供应商为自然人的，应当由本人签字；供应商为法</w:t>
      </w:r>
      <w:r>
        <w:rPr>
          <w:rFonts w:ascii="宋体" w:hAnsi="宋体" w:eastAsia="宋体" w:cs="宋体"/>
          <w:color w:val="auto"/>
          <w:spacing w:val="-2"/>
          <w:sz w:val="21"/>
          <w:szCs w:val="21"/>
          <w:highlight w:val="none"/>
        </w:rPr>
        <w:t>人或者其他组织的，应当由法定代表人、主</w:t>
      </w:r>
      <w:r>
        <w:rPr>
          <w:rFonts w:ascii="宋体" w:hAnsi="宋体" w:eastAsia="宋体" w:cs="宋体"/>
          <w:color w:val="auto"/>
          <w:sz w:val="21"/>
          <w:szCs w:val="21"/>
          <w:highlight w:val="none"/>
        </w:rPr>
        <w:t>要负责人，或者其委托代理人签字或者盖章，并加</w:t>
      </w:r>
      <w:r>
        <w:rPr>
          <w:rFonts w:ascii="宋体" w:hAnsi="宋体" w:eastAsia="宋体" w:cs="宋体"/>
          <w:color w:val="auto"/>
          <w:spacing w:val="-1"/>
          <w:sz w:val="21"/>
          <w:szCs w:val="21"/>
          <w:highlight w:val="none"/>
        </w:rPr>
        <w:t>盖公章。</w:t>
      </w:r>
    </w:p>
    <w:p w14:paraId="0DF8A9C8">
      <w:pPr>
        <w:spacing w:before="1" w:line="358" w:lineRule="auto"/>
        <w:ind w:left="24" w:right="50" w:firstLine="419"/>
        <w:rPr>
          <w:rFonts w:ascii="宋体" w:hAnsi="宋体" w:eastAsia="宋体" w:cs="宋体"/>
          <w:color w:val="auto"/>
          <w:sz w:val="21"/>
          <w:szCs w:val="21"/>
          <w:highlight w:val="none"/>
        </w:rPr>
      </w:pPr>
      <w:r>
        <w:rPr>
          <w:rFonts w:ascii="宋体" w:hAnsi="宋体" w:eastAsia="宋体" w:cs="宋体"/>
          <w:color w:val="auto"/>
          <w:sz w:val="21"/>
          <w:szCs w:val="21"/>
          <w:highlight w:val="none"/>
        </w:rPr>
        <w:t>31.5采购人、采购代理机构认为供应商质疑不成立，或者成立但未对成交结</w:t>
      </w:r>
      <w:r>
        <w:rPr>
          <w:rFonts w:ascii="宋体" w:hAnsi="宋体" w:eastAsia="宋体" w:cs="宋体"/>
          <w:color w:val="auto"/>
          <w:spacing w:val="-1"/>
          <w:sz w:val="21"/>
          <w:szCs w:val="21"/>
          <w:highlight w:val="none"/>
        </w:rPr>
        <w:t>果构成影响的，继续开展采购活动；认为供应商质疑成立且影响或者可能影响成交结果的，按照下列情况处理：</w:t>
      </w:r>
    </w:p>
    <w:p w14:paraId="61D5B20E">
      <w:pPr>
        <w:spacing w:before="1" w:line="289" w:lineRule="auto"/>
        <w:ind w:left="27" w:right="8" w:firstLine="418"/>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（一）对采购文件提出的质疑，依法通过澄清或者修改可以继续开展采购活动的，澄清或者修</w:t>
      </w:r>
      <w:r>
        <w:rPr>
          <w:rFonts w:ascii="宋体" w:hAnsi="宋体" w:eastAsia="宋体" w:cs="宋体"/>
          <w:color w:val="auto"/>
          <w:spacing w:val="-1"/>
          <w:sz w:val="21"/>
          <w:szCs w:val="21"/>
          <w:highlight w:val="none"/>
        </w:rPr>
        <w:t>改采购文件后继续开展采购活动；否则应当修改采购文件后重新开展采购活动。</w:t>
      </w:r>
    </w:p>
    <w:p w14:paraId="56495872">
      <w:pPr>
        <w:spacing w:before="159" w:line="290" w:lineRule="auto"/>
        <w:ind w:left="21" w:right="11" w:firstLine="42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（二）对采购过程或者成交结果提出的质疑，合格供应商符合法定数量时，可以从合格的成交</w:t>
      </w:r>
      <w:r>
        <w:rPr>
          <w:rFonts w:ascii="宋体" w:hAnsi="宋体" w:eastAsia="宋体" w:cs="宋体"/>
          <w:color w:val="auto"/>
          <w:sz w:val="21"/>
          <w:szCs w:val="21"/>
          <w:highlight w:val="none"/>
        </w:rPr>
        <w:t>候选人中另行确定成交供应商的，应当依法另行确定成</w:t>
      </w:r>
      <w:r>
        <w:rPr>
          <w:rFonts w:ascii="宋体" w:hAnsi="宋体" w:eastAsia="宋体" w:cs="宋体"/>
          <w:color w:val="auto"/>
          <w:spacing w:val="-1"/>
          <w:sz w:val="21"/>
          <w:szCs w:val="21"/>
          <w:highlight w:val="none"/>
        </w:rPr>
        <w:t>交供应商；否则应当重新开展采购活动。</w:t>
      </w:r>
    </w:p>
    <w:p w14:paraId="46613FEF">
      <w:pPr>
        <w:spacing w:before="157" w:line="359" w:lineRule="auto"/>
        <w:ind w:left="44" w:firstLine="39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质疑答复导致成交结果改变的，采购人或者采购代理机</w:t>
      </w:r>
      <w:r>
        <w:rPr>
          <w:rFonts w:ascii="宋体" w:hAnsi="宋体" w:eastAsia="宋体" w:cs="宋体"/>
          <w:color w:val="auto"/>
          <w:spacing w:val="-2"/>
          <w:sz w:val="21"/>
          <w:szCs w:val="21"/>
          <w:highlight w:val="none"/>
        </w:rPr>
        <w:t>构应当将有关情况书面报告本级财政部</w:t>
      </w:r>
      <w:r>
        <w:rPr>
          <w:rFonts w:ascii="宋体" w:hAnsi="宋体" w:eastAsia="宋体" w:cs="宋体"/>
          <w:color w:val="auto"/>
          <w:spacing w:val="-16"/>
          <w:sz w:val="21"/>
          <w:szCs w:val="21"/>
          <w:highlight w:val="none"/>
        </w:rPr>
        <w:t>门。</w:t>
      </w:r>
    </w:p>
    <w:p w14:paraId="6204C67F">
      <w:pPr>
        <w:spacing w:before="3" w:line="360" w:lineRule="auto"/>
        <w:ind w:left="21" w:firstLine="423"/>
        <w:jc w:val="both"/>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31.6质疑供应商对采购人、采购代理机构的答复不满意，或者采购人、采购代理机构未</w:t>
      </w:r>
      <w:r>
        <w:rPr>
          <w:rFonts w:ascii="宋体" w:hAnsi="宋体" w:eastAsia="宋体" w:cs="宋体"/>
          <w:color w:val="auto"/>
          <w:sz w:val="21"/>
          <w:szCs w:val="21"/>
          <w:highlight w:val="none"/>
        </w:rPr>
        <w:t>在规</w:t>
      </w:r>
      <w:r>
        <w:rPr>
          <w:rFonts w:ascii="宋体" w:hAnsi="宋体" w:eastAsia="宋体" w:cs="宋体"/>
          <w:color w:val="auto"/>
          <w:spacing w:val="-1"/>
          <w:sz w:val="21"/>
          <w:szCs w:val="21"/>
          <w:highlight w:val="none"/>
        </w:rPr>
        <w:t>定时间内作出答复的，可以在答复期满后15个工作日内向《政府采</w:t>
      </w:r>
      <w:r>
        <w:rPr>
          <w:rFonts w:ascii="宋体" w:hAnsi="宋体" w:eastAsia="宋体" w:cs="宋体"/>
          <w:color w:val="auto"/>
          <w:spacing w:val="-2"/>
          <w:sz w:val="21"/>
          <w:szCs w:val="21"/>
          <w:highlight w:val="none"/>
        </w:rPr>
        <w:t>购质疑和投诉办法》（财政部令第94号）第六条规定的财政部门提起投诉（投诉书格式后附）。</w:t>
      </w:r>
    </w:p>
    <w:p w14:paraId="7A6B28EA">
      <w:pPr>
        <w:spacing w:before="1" w:line="220" w:lineRule="auto"/>
        <w:ind w:left="504"/>
        <w:rPr>
          <w:rFonts w:ascii="黑体" w:hAnsi="黑体" w:eastAsia="黑体" w:cs="黑体"/>
          <w:color w:val="auto"/>
          <w:sz w:val="24"/>
          <w:szCs w:val="24"/>
          <w:highlight w:val="none"/>
        </w:rPr>
      </w:pPr>
      <w:r>
        <w:rPr>
          <w:rFonts w:ascii="黑体" w:hAnsi="黑体" w:eastAsia="黑体" w:cs="黑体"/>
          <w:b/>
          <w:bCs/>
          <w:color w:val="auto"/>
          <w:spacing w:val="-3"/>
          <w:sz w:val="24"/>
          <w:szCs w:val="24"/>
          <w:highlight w:val="none"/>
        </w:rPr>
        <w:t>32.其他内容</w:t>
      </w:r>
    </w:p>
    <w:p w14:paraId="527C29FF">
      <w:pPr>
        <w:spacing w:before="173" w:line="220" w:lineRule="auto"/>
        <w:ind w:left="439"/>
        <w:rPr>
          <w:rFonts w:ascii="宋体" w:hAnsi="宋体" w:eastAsia="宋体" w:cs="宋体"/>
          <w:color w:val="auto"/>
          <w:sz w:val="21"/>
          <w:szCs w:val="21"/>
          <w:highlight w:val="none"/>
        </w:rPr>
      </w:pPr>
      <w:r>
        <w:rPr>
          <w:rFonts w:ascii="宋体" w:hAnsi="宋体" w:eastAsia="宋体" w:cs="宋体"/>
          <w:color w:val="auto"/>
          <w:sz w:val="21"/>
          <w:szCs w:val="21"/>
          <w:highlight w:val="none"/>
        </w:rPr>
        <w:t>代理服务收取标准及缴费账户详见“供应商须知前附表</w:t>
      </w:r>
      <w:r>
        <w:rPr>
          <w:rFonts w:ascii="宋体" w:hAnsi="宋体" w:eastAsia="宋体" w:cs="宋体"/>
          <w:color w:val="auto"/>
          <w:spacing w:val="-1"/>
          <w:sz w:val="21"/>
          <w:szCs w:val="21"/>
          <w:highlight w:val="none"/>
        </w:rPr>
        <w:t>”。</w:t>
      </w:r>
    </w:p>
    <w:p w14:paraId="1B95E05E">
      <w:pPr>
        <w:spacing w:before="167" w:line="220" w:lineRule="auto"/>
        <w:ind w:left="504"/>
        <w:rPr>
          <w:rFonts w:ascii="黑体" w:hAnsi="黑体" w:eastAsia="黑体" w:cs="黑体"/>
          <w:color w:val="auto"/>
          <w:sz w:val="24"/>
          <w:szCs w:val="24"/>
          <w:highlight w:val="none"/>
        </w:rPr>
      </w:pPr>
      <w:r>
        <w:rPr>
          <w:rFonts w:ascii="黑体" w:hAnsi="黑体" w:eastAsia="黑体" w:cs="黑体"/>
          <w:b/>
          <w:bCs/>
          <w:color w:val="auto"/>
          <w:spacing w:val="-3"/>
          <w:sz w:val="24"/>
          <w:szCs w:val="24"/>
          <w:highlight w:val="none"/>
        </w:rPr>
        <w:t>33.需要补充的其他内容</w:t>
      </w:r>
    </w:p>
    <w:p w14:paraId="7AAA5A8B">
      <w:pPr>
        <w:spacing w:before="176" w:line="220" w:lineRule="auto"/>
        <w:ind w:left="44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33.1本磋商文件解释规则详见“供应商须知前附表”。</w:t>
      </w:r>
    </w:p>
    <w:p w14:paraId="20B87212">
      <w:pPr>
        <w:spacing w:before="157" w:line="220" w:lineRule="auto"/>
        <w:ind w:left="44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33.2其他事项详见“供应商须知前附表”。</w:t>
      </w:r>
    </w:p>
    <w:p w14:paraId="2AEA9E48">
      <w:pPr>
        <w:spacing w:before="164" w:line="331" w:lineRule="auto"/>
        <w:ind w:left="22" w:firstLine="42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33.3本磋商文件所称中小企业，是指在中华人民共和国境内依法设立，依据国务院批准</w:t>
      </w:r>
      <w:r>
        <w:rPr>
          <w:rFonts w:ascii="宋体" w:hAnsi="宋体" w:eastAsia="宋体" w:cs="宋体"/>
          <w:color w:val="auto"/>
          <w:sz w:val="21"/>
          <w:szCs w:val="21"/>
          <w:highlight w:val="none"/>
        </w:rPr>
        <w:t>的中</w:t>
      </w:r>
      <w:r>
        <w:rPr>
          <w:rFonts w:ascii="宋体" w:hAnsi="宋体" w:eastAsia="宋体" w:cs="宋体"/>
          <w:color w:val="auto"/>
          <w:spacing w:val="-1"/>
          <w:sz w:val="21"/>
          <w:szCs w:val="21"/>
          <w:highlight w:val="none"/>
        </w:rPr>
        <w:t>小企业划分标准确定的中型企业、小型企业和微型企业，但与</w:t>
      </w:r>
      <w:r>
        <w:rPr>
          <w:rFonts w:ascii="宋体" w:hAnsi="宋体" w:eastAsia="宋体" w:cs="宋体"/>
          <w:color w:val="auto"/>
          <w:spacing w:val="-2"/>
          <w:sz w:val="21"/>
          <w:szCs w:val="21"/>
          <w:highlight w:val="none"/>
        </w:rPr>
        <w:t>大企业的负责人为同一人，或者与大</w:t>
      </w:r>
      <w:r>
        <w:rPr>
          <w:rFonts w:ascii="宋体" w:hAnsi="宋体" w:eastAsia="宋体" w:cs="宋体"/>
          <w:color w:val="auto"/>
          <w:spacing w:val="-1"/>
          <w:sz w:val="21"/>
          <w:szCs w:val="21"/>
          <w:highlight w:val="none"/>
        </w:rPr>
        <w:t>企业存在直接控股、管理关系的除外。符合中小企业划分标准</w:t>
      </w:r>
      <w:r>
        <w:rPr>
          <w:rFonts w:ascii="宋体" w:hAnsi="宋体" w:eastAsia="宋体" w:cs="宋体"/>
          <w:color w:val="auto"/>
          <w:spacing w:val="-2"/>
          <w:sz w:val="21"/>
          <w:szCs w:val="21"/>
          <w:highlight w:val="none"/>
        </w:rPr>
        <w:t>的个体工商户，在政府采购活动中视</w:t>
      </w:r>
      <w:r>
        <w:rPr>
          <w:rFonts w:ascii="宋体" w:hAnsi="宋体" w:eastAsia="宋体" w:cs="宋体"/>
          <w:color w:val="auto"/>
          <w:spacing w:val="-1"/>
          <w:sz w:val="21"/>
          <w:szCs w:val="21"/>
          <w:highlight w:val="none"/>
        </w:rPr>
        <w:t>同中小企业。在政府采购活动中，供应商提供的货物、</w:t>
      </w:r>
      <w:r>
        <w:rPr>
          <w:rFonts w:ascii="宋体" w:hAnsi="宋体" w:eastAsia="宋体" w:cs="宋体"/>
          <w:color w:val="auto"/>
          <w:spacing w:val="-2"/>
          <w:sz w:val="21"/>
          <w:szCs w:val="21"/>
          <w:highlight w:val="none"/>
        </w:rPr>
        <w:t>工程或者服务符合下列情形的，享受本磋商</w:t>
      </w:r>
      <w:r>
        <w:rPr>
          <w:rFonts w:ascii="宋体" w:hAnsi="宋体" w:eastAsia="宋体" w:cs="宋体"/>
          <w:color w:val="auto"/>
          <w:spacing w:val="-3"/>
          <w:sz w:val="21"/>
          <w:szCs w:val="21"/>
          <w:highlight w:val="none"/>
        </w:rPr>
        <w:t>文件规定的中小企业扶持政策：</w:t>
      </w:r>
    </w:p>
    <w:p w14:paraId="64795B33">
      <w:pPr>
        <w:spacing w:before="154" w:line="220" w:lineRule="auto"/>
        <w:ind w:right="7"/>
        <w:jc w:val="right"/>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（1）在货物采购项目中，货物由中小企业制造，即货物由中小企业生产且</w:t>
      </w:r>
      <w:r>
        <w:rPr>
          <w:rFonts w:ascii="宋体" w:hAnsi="宋体" w:eastAsia="宋体" w:cs="宋体"/>
          <w:color w:val="auto"/>
          <w:sz w:val="21"/>
          <w:szCs w:val="21"/>
          <w:highlight w:val="none"/>
        </w:rPr>
        <w:t>使用该中小企业商</w:t>
      </w:r>
    </w:p>
    <w:p w14:paraId="5E21BB93">
      <w:pPr>
        <w:spacing w:line="220" w:lineRule="auto"/>
        <w:rPr>
          <w:rFonts w:ascii="宋体" w:hAnsi="宋体" w:eastAsia="宋体" w:cs="宋体"/>
          <w:color w:val="auto"/>
          <w:sz w:val="21"/>
          <w:szCs w:val="21"/>
          <w:highlight w:val="none"/>
        </w:rPr>
        <w:sectPr>
          <w:footerReference r:id="rId20" w:type="default"/>
          <w:pgSz w:w="11907" w:h="16839"/>
          <w:pgMar w:top="1427" w:right="1125" w:bottom="1154" w:left="1785" w:header="0" w:footer="954" w:gutter="0"/>
          <w:cols w:space="720" w:num="1"/>
        </w:sectPr>
      </w:pPr>
    </w:p>
    <w:p w14:paraId="0F7F2D8C">
      <w:pPr>
        <w:spacing w:before="41" w:line="221" w:lineRule="auto"/>
        <w:ind w:left="25"/>
        <w:rPr>
          <w:rFonts w:ascii="宋体" w:hAnsi="宋体" w:eastAsia="宋体" w:cs="宋体"/>
          <w:color w:val="auto"/>
          <w:sz w:val="21"/>
          <w:szCs w:val="21"/>
          <w:highlight w:val="none"/>
        </w:rPr>
      </w:pPr>
      <w:r>
        <w:rPr>
          <w:rFonts w:ascii="宋体" w:hAnsi="宋体" w:eastAsia="宋体" w:cs="宋体"/>
          <w:color w:val="auto"/>
          <w:sz w:val="21"/>
          <w:szCs w:val="21"/>
          <w:highlight w:val="none"/>
        </w:rPr>
        <w:t>号或者注册商标，不对其中涉及的工程承建商和服务的</w:t>
      </w:r>
      <w:r>
        <w:rPr>
          <w:rFonts w:ascii="宋体" w:hAnsi="宋体" w:eastAsia="宋体" w:cs="宋体"/>
          <w:color w:val="auto"/>
          <w:spacing w:val="-1"/>
          <w:sz w:val="21"/>
          <w:szCs w:val="21"/>
          <w:highlight w:val="none"/>
        </w:rPr>
        <w:t>承接商作出要求；</w:t>
      </w:r>
    </w:p>
    <w:p w14:paraId="6C368D79">
      <w:pPr>
        <w:spacing w:before="158" w:line="289" w:lineRule="auto"/>
        <w:ind w:left="37" w:right="16" w:firstLine="408"/>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（2）在工程采购项目中，工程由中小企业承建，即工程</w:t>
      </w:r>
      <w:r>
        <w:rPr>
          <w:rFonts w:ascii="宋体" w:hAnsi="宋体" w:eastAsia="宋体" w:cs="宋体"/>
          <w:color w:val="auto"/>
          <w:sz w:val="21"/>
          <w:szCs w:val="21"/>
          <w:highlight w:val="none"/>
        </w:rPr>
        <w:t>施工单位为中小企业，不对其中涉及</w:t>
      </w:r>
      <w:r>
        <w:rPr>
          <w:rFonts w:ascii="宋体" w:hAnsi="宋体" w:eastAsia="宋体" w:cs="宋体"/>
          <w:color w:val="auto"/>
          <w:spacing w:val="-2"/>
          <w:sz w:val="21"/>
          <w:szCs w:val="21"/>
          <w:highlight w:val="none"/>
        </w:rPr>
        <w:t>的货物的制造商和服务的承接商作出要求；</w:t>
      </w:r>
    </w:p>
    <w:p w14:paraId="70C7D2E8">
      <w:pPr>
        <w:spacing w:before="160" w:line="313" w:lineRule="auto"/>
        <w:ind w:left="21" w:right="2" w:firstLine="42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（3）在服务采购项目中，服务由中小企业承接，即提供服务的人员为中小企业依照</w:t>
      </w:r>
      <w:r>
        <w:rPr>
          <w:rFonts w:ascii="宋体" w:hAnsi="宋体" w:eastAsia="宋体" w:cs="宋体"/>
          <w:color w:val="auto"/>
          <w:sz w:val="21"/>
          <w:szCs w:val="21"/>
          <w:highlight w:val="none"/>
        </w:rPr>
        <w:t>《中华人</w:t>
      </w:r>
      <w:r>
        <w:rPr>
          <w:rFonts w:ascii="宋体" w:hAnsi="宋体" w:eastAsia="宋体" w:cs="宋体"/>
          <w:color w:val="auto"/>
          <w:spacing w:val="-1"/>
          <w:sz w:val="21"/>
          <w:szCs w:val="21"/>
          <w:highlight w:val="none"/>
        </w:rPr>
        <w:t>民共和国劳动合同法》订立劳动合同的从业人员，不对其</w:t>
      </w:r>
      <w:r>
        <w:rPr>
          <w:rFonts w:ascii="宋体" w:hAnsi="宋体" w:eastAsia="宋体" w:cs="宋体"/>
          <w:color w:val="auto"/>
          <w:spacing w:val="-2"/>
          <w:sz w:val="21"/>
          <w:szCs w:val="21"/>
          <w:highlight w:val="none"/>
        </w:rPr>
        <w:t>中涉及的货物的制造商和工程承建商作出</w:t>
      </w:r>
      <w:r>
        <w:rPr>
          <w:rFonts w:ascii="宋体" w:hAnsi="宋体" w:eastAsia="宋体" w:cs="宋体"/>
          <w:color w:val="auto"/>
          <w:spacing w:val="-9"/>
          <w:sz w:val="21"/>
          <w:szCs w:val="21"/>
          <w:highlight w:val="none"/>
        </w:rPr>
        <w:t>要求。</w:t>
      </w:r>
    </w:p>
    <w:p w14:paraId="08122486">
      <w:pPr>
        <w:spacing w:before="159" w:line="359" w:lineRule="auto"/>
        <w:ind w:left="21" w:firstLine="418"/>
        <w:jc w:val="both"/>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在货物采购项目中，供应商提供的货物既有中小企业制造</w:t>
      </w:r>
      <w:r>
        <w:rPr>
          <w:rFonts w:ascii="宋体" w:hAnsi="宋体" w:eastAsia="宋体" w:cs="宋体"/>
          <w:color w:val="auto"/>
          <w:spacing w:val="-2"/>
          <w:sz w:val="21"/>
          <w:szCs w:val="21"/>
          <w:highlight w:val="none"/>
        </w:rPr>
        <w:t>货物，也有大型企业制造货物的，不</w:t>
      </w:r>
      <w:r>
        <w:rPr>
          <w:rFonts w:ascii="宋体" w:hAnsi="宋体" w:eastAsia="宋体" w:cs="宋体"/>
          <w:color w:val="auto"/>
          <w:spacing w:val="-1"/>
          <w:sz w:val="21"/>
          <w:szCs w:val="21"/>
          <w:highlight w:val="none"/>
        </w:rPr>
        <w:t>享受本磋商文件规定的中小企业扶持政策。以联合体形式参加政</w:t>
      </w:r>
      <w:r>
        <w:rPr>
          <w:rFonts w:ascii="宋体" w:hAnsi="宋体" w:eastAsia="宋体" w:cs="宋体"/>
          <w:color w:val="auto"/>
          <w:spacing w:val="-2"/>
          <w:sz w:val="21"/>
          <w:szCs w:val="21"/>
          <w:highlight w:val="none"/>
        </w:rPr>
        <w:t>府采购活动，联合体各方均为中小</w:t>
      </w:r>
      <w:r>
        <w:rPr>
          <w:rFonts w:ascii="宋体" w:hAnsi="宋体" w:eastAsia="宋体" w:cs="宋体"/>
          <w:color w:val="auto"/>
          <w:sz w:val="21"/>
          <w:szCs w:val="21"/>
          <w:highlight w:val="none"/>
        </w:rPr>
        <w:t>企业的，联合体视同中小企业。其中，联合体各方</w:t>
      </w:r>
      <w:r>
        <w:rPr>
          <w:rFonts w:ascii="宋体" w:hAnsi="宋体" w:eastAsia="宋体" w:cs="宋体"/>
          <w:color w:val="auto"/>
          <w:spacing w:val="-1"/>
          <w:sz w:val="21"/>
          <w:szCs w:val="21"/>
          <w:highlight w:val="none"/>
        </w:rPr>
        <w:t>均为小微企业的，联合体视同小微企业。</w:t>
      </w:r>
    </w:p>
    <w:p w14:paraId="077663E5">
      <w:pPr>
        <w:spacing w:line="361" w:lineRule="auto"/>
        <w:ind w:left="19" w:firstLine="42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依据本磋商文件规定享受扶持政策获得政府采购合同</w:t>
      </w:r>
      <w:r>
        <w:rPr>
          <w:rFonts w:ascii="宋体" w:hAnsi="宋体" w:eastAsia="宋体" w:cs="宋体"/>
          <w:color w:val="auto"/>
          <w:spacing w:val="-2"/>
          <w:sz w:val="21"/>
          <w:szCs w:val="21"/>
          <w:highlight w:val="none"/>
        </w:rPr>
        <w:t>的，小微企业不得将合同分包给大中型企</w:t>
      </w:r>
      <w:r>
        <w:rPr>
          <w:rFonts w:ascii="宋体" w:hAnsi="宋体" w:eastAsia="宋体" w:cs="宋体"/>
          <w:color w:val="auto"/>
          <w:spacing w:val="-1"/>
          <w:sz w:val="21"/>
          <w:szCs w:val="21"/>
          <w:highlight w:val="none"/>
        </w:rPr>
        <w:t>业，中型企业不得将合同分包给大型企业。</w:t>
      </w:r>
    </w:p>
    <w:p w14:paraId="6E3D8329">
      <w:pPr>
        <w:spacing w:line="361" w:lineRule="auto"/>
        <w:rPr>
          <w:rFonts w:ascii="宋体" w:hAnsi="宋体" w:eastAsia="宋体" w:cs="宋体"/>
          <w:color w:val="auto"/>
          <w:sz w:val="21"/>
          <w:szCs w:val="21"/>
          <w:highlight w:val="none"/>
        </w:rPr>
        <w:sectPr>
          <w:footerReference r:id="rId21" w:type="default"/>
          <w:pgSz w:w="11907" w:h="16839"/>
          <w:pgMar w:top="1427" w:right="1125" w:bottom="1154" w:left="1785" w:header="0" w:footer="952" w:gutter="0"/>
          <w:cols w:space="720" w:num="1"/>
        </w:sectPr>
      </w:pPr>
    </w:p>
    <w:p w14:paraId="196786C8">
      <w:pPr>
        <w:spacing w:before="140" w:line="223" w:lineRule="auto"/>
        <w:ind w:left="3154"/>
        <w:outlineLvl w:val="0"/>
        <w:rPr>
          <w:rFonts w:ascii="宋体" w:hAnsi="宋体" w:eastAsia="宋体" w:cs="宋体"/>
          <w:color w:val="auto"/>
          <w:sz w:val="43"/>
          <w:szCs w:val="43"/>
          <w:highlight w:val="none"/>
        </w:rPr>
      </w:pPr>
      <w:bookmarkStart w:id="5" w:name="bookmark9"/>
      <w:bookmarkEnd w:id="5"/>
      <w:r>
        <w:rPr>
          <w:rFonts w:ascii="宋体" w:hAnsi="宋体" w:eastAsia="宋体" w:cs="宋体"/>
          <w:b/>
          <w:bCs/>
          <w:color w:val="auto"/>
          <w:spacing w:val="4"/>
          <w:sz w:val="43"/>
          <w:szCs w:val="43"/>
          <w:highlight w:val="none"/>
        </w:rPr>
        <w:t>第三章采购需求</w:t>
      </w:r>
    </w:p>
    <w:p w14:paraId="6C0DDC60">
      <w:pPr>
        <w:pStyle w:val="4"/>
        <w:spacing w:line="272" w:lineRule="auto"/>
        <w:rPr>
          <w:color w:val="auto"/>
          <w:highlight w:val="none"/>
        </w:rPr>
      </w:pPr>
    </w:p>
    <w:p w14:paraId="6A85F5AB">
      <w:pPr>
        <w:spacing w:before="100" w:line="224" w:lineRule="auto"/>
        <w:ind w:left="2555"/>
        <w:rPr>
          <w:rFonts w:ascii="宋体" w:hAnsi="宋体" w:eastAsia="宋体" w:cs="宋体"/>
          <w:b/>
          <w:bCs/>
          <w:color w:val="auto"/>
          <w:spacing w:val="7"/>
          <w:sz w:val="31"/>
          <w:szCs w:val="31"/>
          <w:highlight w:val="none"/>
        </w:rPr>
      </w:pPr>
      <w:r>
        <w:rPr>
          <w:rFonts w:ascii="宋体" w:hAnsi="宋体" w:eastAsia="宋体" w:cs="宋体"/>
          <w:b/>
          <w:bCs/>
          <w:color w:val="auto"/>
          <w:spacing w:val="7"/>
          <w:sz w:val="31"/>
          <w:szCs w:val="31"/>
          <w:highlight w:val="none"/>
        </w:rPr>
        <w:t>采购项目技术规格、参数及要求</w:t>
      </w:r>
    </w:p>
    <w:p w14:paraId="162A4055">
      <w:pPr>
        <w:spacing w:before="100" w:line="224" w:lineRule="auto"/>
        <w:ind w:left="2555"/>
        <w:rPr>
          <w:rFonts w:ascii="宋体" w:hAnsi="宋体" w:eastAsia="宋体" w:cs="宋体"/>
          <w:b/>
          <w:bCs/>
          <w:color w:val="auto"/>
          <w:spacing w:val="7"/>
          <w:sz w:val="31"/>
          <w:szCs w:val="31"/>
          <w:highlight w:val="none"/>
        </w:rPr>
      </w:pPr>
    </w:p>
    <w:p w14:paraId="360E3990">
      <w:pPr>
        <w:spacing w:before="58" w:line="221" w:lineRule="auto"/>
        <w:ind w:left="740"/>
        <w:rPr>
          <w:rFonts w:ascii="宋体" w:hAnsi="宋体" w:eastAsia="宋体" w:cs="宋体"/>
          <w:color w:val="auto"/>
          <w:sz w:val="21"/>
          <w:szCs w:val="21"/>
          <w:highlight w:val="none"/>
        </w:rPr>
      </w:pPr>
      <w:r>
        <w:rPr>
          <w:rFonts w:ascii="宋体" w:hAnsi="宋体" w:eastAsia="宋体" w:cs="宋体"/>
          <w:color w:val="auto"/>
          <w:spacing w:val="-13"/>
          <w:sz w:val="21"/>
          <w:szCs w:val="21"/>
          <w:highlight w:val="none"/>
        </w:rPr>
        <w:t>说明：</w:t>
      </w:r>
    </w:p>
    <w:p w14:paraId="1E8866EF">
      <w:pPr>
        <w:spacing w:before="70" w:line="220" w:lineRule="auto"/>
        <w:ind w:left="753"/>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1.为落实政府采购政策需满足的要求</w:t>
      </w:r>
    </w:p>
    <w:p w14:paraId="592179B2">
      <w:pPr>
        <w:spacing w:before="69" w:line="282" w:lineRule="auto"/>
        <w:ind w:left="319" w:right="354" w:firstLine="424"/>
        <w:rPr>
          <w:rFonts w:ascii="宋体" w:hAnsi="宋体" w:eastAsia="宋体" w:cs="宋体"/>
          <w:color w:val="auto"/>
          <w:sz w:val="21"/>
          <w:szCs w:val="21"/>
          <w:highlight w:val="none"/>
        </w:rPr>
      </w:pPr>
      <w:r>
        <w:rPr>
          <w:rFonts w:ascii="宋体" w:hAnsi="宋体" w:eastAsia="宋体" w:cs="宋体"/>
          <w:color w:val="auto"/>
          <w:sz w:val="21"/>
          <w:szCs w:val="21"/>
          <w:highlight w:val="none"/>
        </w:rPr>
        <w:t>（1）本竞争性磋商采购文件所称中小企业必须符合</w:t>
      </w:r>
      <w:r>
        <w:rPr>
          <w:rFonts w:ascii="宋体" w:hAnsi="宋体" w:eastAsia="宋体" w:cs="宋体"/>
          <w:color w:val="auto"/>
          <w:spacing w:val="-1"/>
          <w:sz w:val="21"/>
          <w:szCs w:val="21"/>
          <w:highlight w:val="none"/>
        </w:rPr>
        <w:t>《政府采购促进中小企业发展管理办法》</w:t>
      </w:r>
      <w:r>
        <w:rPr>
          <w:rFonts w:ascii="宋体" w:hAnsi="宋体" w:eastAsia="宋体" w:cs="宋体"/>
          <w:color w:val="auto"/>
          <w:spacing w:val="-3"/>
          <w:sz w:val="21"/>
          <w:szCs w:val="21"/>
          <w:highlight w:val="none"/>
        </w:rPr>
        <w:t>（财库〔2020〕46号）的规定。</w:t>
      </w:r>
    </w:p>
    <w:p w14:paraId="217532A5">
      <w:pPr>
        <w:spacing w:before="1" w:line="250" w:lineRule="auto"/>
        <w:ind w:left="316" w:right="345" w:firstLine="423"/>
        <w:rPr>
          <w:rFonts w:ascii="宋体" w:hAnsi="宋体" w:eastAsia="宋体" w:cs="宋体"/>
          <w:color w:val="auto"/>
          <w:sz w:val="21"/>
          <w:szCs w:val="21"/>
          <w:highlight w:val="none"/>
        </w:rPr>
      </w:pPr>
      <w:r>
        <w:rPr>
          <w:rFonts w:ascii="宋体" w:hAnsi="宋体" w:eastAsia="宋体" w:cs="宋体"/>
          <w:color w:val="auto"/>
          <w:sz w:val="21"/>
          <w:szCs w:val="21"/>
          <w:highlight w:val="none"/>
        </w:rPr>
        <w:t>2.“实质性要求”是指采购需求中带“▲”的条款或者不能负偏离的条款或者已</w:t>
      </w:r>
      <w:r>
        <w:rPr>
          <w:rFonts w:ascii="宋体" w:hAnsi="宋体" w:eastAsia="宋体" w:cs="宋体"/>
          <w:color w:val="auto"/>
          <w:spacing w:val="-1"/>
          <w:sz w:val="21"/>
          <w:szCs w:val="21"/>
          <w:highlight w:val="none"/>
        </w:rPr>
        <w:t>经指明不满足按响应文件按无效处理的条款。</w:t>
      </w:r>
    </w:p>
    <w:p w14:paraId="39D83EFB">
      <w:pPr>
        <w:spacing w:before="70" w:line="261" w:lineRule="auto"/>
        <w:ind w:left="313" w:right="292" w:firstLine="428"/>
        <w:rPr>
          <w:rFonts w:ascii="宋体" w:hAnsi="宋体" w:eastAsia="宋体" w:cs="宋体"/>
          <w:color w:val="auto"/>
          <w:sz w:val="21"/>
          <w:szCs w:val="21"/>
          <w:highlight w:val="none"/>
        </w:rPr>
      </w:pPr>
      <w:r>
        <w:rPr>
          <w:rFonts w:ascii="宋体" w:hAnsi="宋体" w:eastAsia="宋体" w:cs="宋体"/>
          <w:color w:val="auto"/>
          <w:sz w:val="21"/>
          <w:szCs w:val="21"/>
          <w:highlight w:val="none"/>
        </w:rPr>
        <w:t>3.供应商应根据自身实际情况如实响应磋商文件，对磋商文件提出的要求和条件</w:t>
      </w:r>
      <w:r>
        <w:rPr>
          <w:rFonts w:ascii="宋体" w:hAnsi="宋体" w:eastAsia="宋体" w:cs="宋体"/>
          <w:color w:val="auto"/>
          <w:spacing w:val="-1"/>
          <w:sz w:val="21"/>
          <w:szCs w:val="21"/>
          <w:highlight w:val="none"/>
        </w:rPr>
        <w:t>作出明确响应，否则将作无效响应处理。对于重要技术条款或技术参数应当在响应文件中提供</w:t>
      </w:r>
      <w:r>
        <w:rPr>
          <w:rFonts w:ascii="宋体" w:hAnsi="宋体" w:eastAsia="宋体" w:cs="宋体"/>
          <w:color w:val="auto"/>
          <w:spacing w:val="-2"/>
          <w:sz w:val="21"/>
          <w:szCs w:val="21"/>
          <w:highlight w:val="none"/>
        </w:rPr>
        <w:t>技术支持资料，</w:t>
      </w:r>
      <w:r>
        <w:rPr>
          <w:rFonts w:ascii="宋体" w:hAnsi="宋体" w:eastAsia="宋体" w:cs="宋体"/>
          <w:color w:val="auto"/>
          <w:sz w:val="21"/>
          <w:szCs w:val="21"/>
          <w:highlight w:val="none"/>
        </w:rPr>
        <w:t>技术支持资料以磋商文件中规定的形式为准，否则将视为无效技术支持</w:t>
      </w:r>
      <w:r>
        <w:rPr>
          <w:rFonts w:ascii="宋体" w:hAnsi="宋体" w:eastAsia="宋体" w:cs="宋体"/>
          <w:color w:val="auto"/>
          <w:spacing w:val="-1"/>
          <w:sz w:val="21"/>
          <w:szCs w:val="21"/>
          <w:highlight w:val="none"/>
        </w:rPr>
        <w:t>资料。</w:t>
      </w:r>
    </w:p>
    <w:p w14:paraId="5D353340">
      <w:pPr>
        <w:spacing w:before="68" w:line="220" w:lineRule="auto"/>
        <w:ind w:left="736"/>
        <w:rPr>
          <w:rFonts w:ascii="宋体" w:hAnsi="宋体" w:eastAsia="宋体" w:cs="宋体"/>
          <w:color w:val="auto"/>
          <w:sz w:val="21"/>
          <w:szCs w:val="21"/>
          <w:highlight w:val="none"/>
        </w:rPr>
      </w:pPr>
      <w:r>
        <w:rPr>
          <w:rFonts w:ascii="宋体" w:hAnsi="宋体" w:eastAsia="宋体" w:cs="宋体"/>
          <w:color w:val="auto"/>
          <w:sz w:val="21"/>
          <w:szCs w:val="21"/>
          <w:highlight w:val="none"/>
        </w:rPr>
        <w:t>4.供应商必须自行为其竞标产品侵犯他人的知识产权或者专利成果的行为承担相应法律责任。</w:t>
      </w:r>
    </w:p>
    <w:p w14:paraId="7DEBD9CE">
      <w:pPr>
        <w:pStyle w:val="4"/>
        <w:spacing w:line="391" w:lineRule="auto"/>
        <w:rPr>
          <w:color w:val="auto"/>
          <w:highlight w:val="none"/>
        </w:rPr>
      </w:pPr>
    </w:p>
    <w:p w14:paraId="203E3BC7">
      <w:pPr>
        <w:spacing w:before="69" w:line="220" w:lineRule="auto"/>
        <w:ind w:left="621"/>
        <w:rPr>
          <w:rFonts w:ascii="宋体" w:hAnsi="宋体" w:eastAsia="宋体" w:cs="宋体"/>
          <w:color w:val="auto"/>
          <w:sz w:val="21"/>
          <w:szCs w:val="21"/>
          <w:highlight w:val="none"/>
        </w:rPr>
      </w:pPr>
      <w:r>
        <w:rPr>
          <w:rFonts w:ascii="宋体" w:hAnsi="宋体" w:eastAsia="宋体" w:cs="宋体"/>
          <w:b/>
          <w:bCs/>
          <w:color w:val="auto"/>
          <w:spacing w:val="-2"/>
          <w:sz w:val="21"/>
          <w:szCs w:val="21"/>
          <w:highlight w:val="none"/>
        </w:rPr>
        <w:t>采购预算（元</w:t>
      </w:r>
      <w:r>
        <w:rPr>
          <w:rFonts w:ascii="宋体" w:hAnsi="宋体" w:eastAsia="宋体" w:cs="宋体"/>
          <w:b/>
          <w:bCs/>
          <w:color w:val="auto"/>
          <w:spacing w:val="5"/>
          <w:sz w:val="21"/>
          <w:szCs w:val="21"/>
          <w:highlight w:val="none"/>
        </w:rPr>
        <w:t>）：</w:t>
      </w:r>
      <w:r>
        <w:rPr>
          <w:rFonts w:ascii="宋体" w:hAnsi="宋体" w:eastAsia="宋体" w:cs="宋体"/>
          <w:b/>
          <w:bCs/>
          <w:color w:val="auto"/>
          <w:spacing w:val="-2"/>
          <w:sz w:val="21"/>
          <w:szCs w:val="21"/>
          <w:highlight w:val="none"/>
        </w:rPr>
        <w:t>人民币</w:t>
      </w:r>
      <w:r>
        <w:rPr>
          <w:rFonts w:hint="eastAsia" w:ascii="宋体" w:hAnsi="宋体" w:eastAsia="宋体" w:cs="宋体"/>
          <w:b/>
          <w:bCs/>
          <w:color w:val="auto"/>
          <w:spacing w:val="-2"/>
          <w:sz w:val="21"/>
          <w:szCs w:val="21"/>
          <w:highlight w:val="none"/>
          <w:lang w:eastAsia="zh-CN"/>
        </w:rPr>
        <w:t>壹佰叁拾捌万肆仟壹佰玖拾贰元贰角叁分</w:t>
      </w:r>
      <w:r>
        <w:rPr>
          <w:rFonts w:ascii="宋体" w:hAnsi="宋体" w:eastAsia="宋体" w:cs="宋体"/>
          <w:b/>
          <w:bCs/>
          <w:color w:val="auto"/>
          <w:spacing w:val="-2"/>
          <w:sz w:val="21"/>
          <w:szCs w:val="21"/>
          <w:highlight w:val="none"/>
        </w:rPr>
        <w:t>(¥</w:t>
      </w:r>
      <w:r>
        <w:rPr>
          <w:rFonts w:hint="eastAsia" w:ascii="宋体" w:hAnsi="宋体" w:eastAsia="宋体" w:cs="宋体"/>
          <w:b/>
          <w:bCs/>
          <w:color w:val="auto"/>
          <w:spacing w:val="-2"/>
          <w:sz w:val="21"/>
          <w:szCs w:val="21"/>
          <w:highlight w:val="none"/>
          <w:lang w:eastAsia="zh-CN"/>
        </w:rPr>
        <w:t>1384192.23</w:t>
      </w:r>
      <w:r>
        <w:rPr>
          <w:rFonts w:ascii="宋体" w:hAnsi="宋体" w:eastAsia="宋体" w:cs="宋体"/>
          <w:b/>
          <w:bCs/>
          <w:color w:val="auto"/>
          <w:spacing w:val="-3"/>
          <w:sz w:val="21"/>
          <w:szCs w:val="21"/>
          <w:highlight w:val="none"/>
        </w:rPr>
        <w:t>）</w:t>
      </w:r>
    </w:p>
    <w:p w14:paraId="4BE7A8E8">
      <w:pPr>
        <w:spacing w:line="38" w:lineRule="auto"/>
        <w:rPr>
          <w:rFonts w:ascii="Arial"/>
          <w:color w:val="auto"/>
          <w:sz w:val="2"/>
          <w:highlight w:val="none"/>
        </w:rPr>
      </w:pPr>
    </w:p>
    <w:tbl>
      <w:tblPr>
        <w:tblStyle w:val="11"/>
        <w:tblW w:w="958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9"/>
        <w:gridCol w:w="780"/>
        <w:gridCol w:w="837"/>
        <w:gridCol w:w="12"/>
        <w:gridCol w:w="711"/>
        <w:gridCol w:w="6583"/>
      </w:tblGrid>
      <w:tr w14:paraId="214452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659" w:type="dxa"/>
            <w:vAlign w:val="top"/>
          </w:tcPr>
          <w:p w14:paraId="654BBFB2">
            <w:pPr>
              <w:spacing w:line="274" w:lineRule="auto"/>
              <w:rPr>
                <w:rFonts w:ascii="Arial"/>
                <w:color w:val="auto"/>
                <w:sz w:val="21"/>
                <w:highlight w:val="none"/>
              </w:rPr>
            </w:pPr>
          </w:p>
          <w:p w14:paraId="1184AA11">
            <w:pPr>
              <w:pStyle w:val="12"/>
              <w:spacing w:before="68" w:line="222" w:lineRule="auto"/>
              <w:ind w:left="124"/>
              <w:rPr>
                <w:color w:val="auto"/>
                <w:highlight w:val="none"/>
              </w:rPr>
            </w:pPr>
            <w:r>
              <w:rPr>
                <w:color w:val="auto"/>
                <w:spacing w:val="-2"/>
                <w:highlight w:val="none"/>
              </w:rPr>
              <w:t>序号</w:t>
            </w:r>
          </w:p>
        </w:tc>
        <w:tc>
          <w:tcPr>
            <w:tcW w:w="780" w:type="dxa"/>
            <w:vAlign w:val="top"/>
          </w:tcPr>
          <w:p w14:paraId="4ECDFEB4">
            <w:pPr>
              <w:pStyle w:val="12"/>
              <w:spacing w:before="164" w:line="221" w:lineRule="auto"/>
              <w:ind w:left="185"/>
              <w:rPr>
                <w:color w:val="auto"/>
                <w:highlight w:val="none"/>
              </w:rPr>
            </w:pPr>
            <w:r>
              <w:rPr>
                <w:color w:val="auto"/>
                <w:spacing w:val="-2"/>
                <w:highlight w:val="none"/>
              </w:rPr>
              <w:t>标的</w:t>
            </w:r>
          </w:p>
          <w:p w14:paraId="46CCCF60">
            <w:pPr>
              <w:pStyle w:val="12"/>
              <w:spacing w:before="107" w:line="223" w:lineRule="auto"/>
              <w:ind w:left="186"/>
              <w:rPr>
                <w:color w:val="auto"/>
                <w:highlight w:val="none"/>
              </w:rPr>
            </w:pPr>
            <w:r>
              <w:rPr>
                <w:color w:val="auto"/>
                <w:spacing w:val="-3"/>
                <w:highlight w:val="none"/>
              </w:rPr>
              <w:t>名称</w:t>
            </w:r>
          </w:p>
        </w:tc>
        <w:tc>
          <w:tcPr>
            <w:tcW w:w="849" w:type="dxa"/>
            <w:gridSpan w:val="2"/>
            <w:vAlign w:val="top"/>
          </w:tcPr>
          <w:p w14:paraId="68C1036B">
            <w:pPr>
              <w:pStyle w:val="12"/>
              <w:spacing w:before="164" w:line="289" w:lineRule="auto"/>
              <w:ind w:left="218" w:right="106" w:hanging="105"/>
              <w:rPr>
                <w:color w:val="auto"/>
                <w:highlight w:val="none"/>
              </w:rPr>
            </w:pPr>
            <w:r>
              <w:rPr>
                <w:color w:val="auto"/>
                <w:spacing w:val="-3"/>
                <w:highlight w:val="none"/>
              </w:rPr>
              <w:t>数量及</w:t>
            </w:r>
            <w:r>
              <w:rPr>
                <w:color w:val="auto"/>
                <w:spacing w:val="-2"/>
                <w:highlight w:val="none"/>
              </w:rPr>
              <w:t>单位</w:t>
            </w:r>
          </w:p>
        </w:tc>
        <w:tc>
          <w:tcPr>
            <w:tcW w:w="711" w:type="dxa"/>
            <w:vAlign w:val="top"/>
          </w:tcPr>
          <w:p w14:paraId="185F2BD3">
            <w:pPr>
              <w:pStyle w:val="12"/>
              <w:spacing w:before="164" w:line="221" w:lineRule="auto"/>
              <w:ind w:left="148"/>
              <w:rPr>
                <w:color w:val="auto"/>
                <w:highlight w:val="none"/>
              </w:rPr>
            </w:pPr>
            <w:r>
              <w:rPr>
                <w:color w:val="auto"/>
                <w:spacing w:val="-2"/>
                <w:highlight w:val="none"/>
              </w:rPr>
              <w:t>所属</w:t>
            </w:r>
          </w:p>
          <w:p w14:paraId="493192A1">
            <w:pPr>
              <w:pStyle w:val="12"/>
              <w:spacing w:before="108" w:line="221" w:lineRule="auto"/>
              <w:ind w:left="152"/>
              <w:rPr>
                <w:color w:val="auto"/>
                <w:highlight w:val="none"/>
              </w:rPr>
            </w:pPr>
            <w:r>
              <w:rPr>
                <w:color w:val="auto"/>
                <w:spacing w:val="-3"/>
                <w:highlight w:val="none"/>
              </w:rPr>
              <w:t>行业</w:t>
            </w:r>
          </w:p>
        </w:tc>
        <w:tc>
          <w:tcPr>
            <w:tcW w:w="6583" w:type="dxa"/>
            <w:vAlign w:val="top"/>
          </w:tcPr>
          <w:p w14:paraId="3BA2290A">
            <w:pPr>
              <w:spacing w:line="273" w:lineRule="auto"/>
              <w:rPr>
                <w:rFonts w:ascii="Arial"/>
                <w:color w:val="auto"/>
                <w:sz w:val="21"/>
                <w:highlight w:val="none"/>
              </w:rPr>
            </w:pPr>
          </w:p>
          <w:p w14:paraId="7D0DC374">
            <w:pPr>
              <w:pStyle w:val="12"/>
              <w:spacing w:before="68" w:line="221" w:lineRule="auto"/>
              <w:ind w:left="2874"/>
              <w:rPr>
                <w:color w:val="auto"/>
                <w:highlight w:val="none"/>
              </w:rPr>
            </w:pPr>
            <w:r>
              <w:rPr>
                <w:color w:val="auto"/>
                <w:spacing w:val="-2"/>
                <w:highlight w:val="none"/>
              </w:rPr>
              <w:t>技术要求</w:t>
            </w:r>
          </w:p>
        </w:tc>
      </w:tr>
      <w:tr w14:paraId="21B968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8" w:hRule="atLeast"/>
        </w:trPr>
        <w:tc>
          <w:tcPr>
            <w:tcW w:w="659" w:type="dxa"/>
            <w:vAlign w:val="top"/>
          </w:tcPr>
          <w:p w14:paraId="4A24EC01">
            <w:pPr>
              <w:spacing w:line="247" w:lineRule="auto"/>
              <w:rPr>
                <w:rFonts w:ascii="Arial"/>
                <w:color w:val="auto"/>
                <w:sz w:val="21"/>
                <w:highlight w:val="none"/>
              </w:rPr>
            </w:pPr>
          </w:p>
          <w:p w14:paraId="5CBD5DA1">
            <w:pPr>
              <w:spacing w:line="247" w:lineRule="auto"/>
              <w:rPr>
                <w:rFonts w:ascii="Arial"/>
                <w:color w:val="auto"/>
                <w:sz w:val="21"/>
                <w:highlight w:val="none"/>
              </w:rPr>
            </w:pPr>
          </w:p>
          <w:p w14:paraId="7CE9BE46">
            <w:pPr>
              <w:spacing w:line="247" w:lineRule="auto"/>
              <w:rPr>
                <w:rFonts w:ascii="Arial"/>
                <w:color w:val="auto"/>
                <w:sz w:val="21"/>
                <w:highlight w:val="none"/>
              </w:rPr>
            </w:pPr>
          </w:p>
          <w:p w14:paraId="1DCA8527">
            <w:pPr>
              <w:spacing w:line="247" w:lineRule="auto"/>
              <w:rPr>
                <w:rFonts w:ascii="Arial"/>
                <w:color w:val="auto"/>
                <w:sz w:val="21"/>
                <w:highlight w:val="none"/>
              </w:rPr>
            </w:pPr>
          </w:p>
          <w:p w14:paraId="08DD5579">
            <w:pPr>
              <w:spacing w:line="247" w:lineRule="auto"/>
              <w:rPr>
                <w:rFonts w:ascii="Arial"/>
                <w:color w:val="auto"/>
                <w:sz w:val="21"/>
                <w:highlight w:val="none"/>
              </w:rPr>
            </w:pPr>
          </w:p>
          <w:p w14:paraId="09A89F94">
            <w:pPr>
              <w:spacing w:line="247" w:lineRule="auto"/>
              <w:rPr>
                <w:rFonts w:ascii="Arial"/>
                <w:color w:val="auto"/>
                <w:sz w:val="21"/>
                <w:highlight w:val="none"/>
              </w:rPr>
            </w:pPr>
          </w:p>
          <w:p w14:paraId="088D5D31">
            <w:pPr>
              <w:spacing w:line="248" w:lineRule="auto"/>
              <w:rPr>
                <w:rFonts w:ascii="Arial"/>
                <w:color w:val="auto"/>
                <w:sz w:val="21"/>
                <w:highlight w:val="none"/>
              </w:rPr>
            </w:pPr>
          </w:p>
          <w:p w14:paraId="5E19C84F">
            <w:pPr>
              <w:spacing w:line="248" w:lineRule="auto"/>
              <w:rPr>
                <w:rFonts w:ascii="Arial"/>
                <w:color w:val="auto"/>
                <w:sz w:val="21"/>
                <w:highlight w:val="none"/>
              </w:rPr>
            </w:pPr>
          </w:p>
          <w:p w14:paraId="111FF586">
            <w:pPr>
              <w:spacing w:line="248" w:lineRule="auto"/>
              <w:rPr>
                <w:rFonts w:ascii="Arial"/>
                <w:color w:val="auto"/>
                <w:sz w:val="21"/>
                <w:highlight w:val="none"/>
              </w:rPr>
            </w:pPr>
          </w:p>
          <w:p w14:paraId="5AE22EED">
            <w:pPr>
              <w:spacing w:line="248" w:lineRule="auto"/>
              <w:rPr>
                <w:rFonts w:ascii="Arial"/>
                <w:color w:val="auto"/>
                <w:sz w:val="21"/>
                <w:highlight w:val="none"/>
              </w:rPr>
            </w:pPr>
          </w:p>
          <w:p w14:paraId="35387920">
            <w:pPr>
              <w:spacing w:line="248" w:lineRule="auto"/>
              <w:rPr>
                <w:rFonts w:ascii="Arial"/>
                <w:color w:val="auto"/>
                <w:sz w:val="21"/>
                <w:highlight w:val="none"/>
              </w:rPr>
            </w:pPr>
          </w:p>
          <w:p w14:paraId="5B8CD35A">
            <w:pPr>
              <w:pStyle w:val="12"/>
              <w:spacing w:before="68" w:line="242" w:lineRule="auto"/>
              <w:ind w:left="297"/>
              <w:rPr>
                <w:color w:val="auto"/>
                <w:highlight w:val="none"/>
              </w:rPr>
            </w:pPr>
            <w:r>
              <w:rPr>
                <w:color w:val="auto"/>
                <w:highlight w:val="none"/>
              </w:rPr>
              <w:t>1</w:t>
            </w:r>
          </w:p>
        </w:tc>
        <w:tc>
          <w:tcPr>
            <w:tcW w:w="780" w:type="dxa"/>
            <w:vAlign w:val="top"/>
          </w:tcPr>
          <w:p w14:paraId="70CAEFBA">
            <w:pPr>
              <w:spacing w:line="245" w:lineRule="auto"/>
              <w:rPr>
                <w:rFonts w:ascii="Arial"/>
                <w:color w:val="auto"/>
                <w:sz w:val="21"/>
                <w:highlight w:val="none"/>
              </w:rPr>
            </w:pPr>
          </w:p>
          <w:p w14:paraId="2A751BF7">
            <w:pPr>
              <w:spacing w:line="245" w:lineRule="auto"/>
              <w:rPr>
                <w:rFonts w:ascii="Arial"/>
                <w:color w:val="auto"/>
                <w:sz w:val="21"/>
                <w:highlight w:val="none"/>
              </w:rPr>
            </w:pPr>
          </w:p>
          <w:p w14:paraId="2F5B4803">
            <w:pPr>
              <w:spacing w:line="245" w:lineRule="auto"/>
              <w:rPr>
                <w:rFonts w:ascii="Arial"/>
                <w:color w:val="auto"/>
                <w:sz w:val="21"/>
                <w:highlight w:val="none"/>
              </w:rPr>
            </w:pPr>
          </w:p>
          <w:p w14:paraId="4C377F6F">
            <w:pPr>
              <w:spacing w:line="245" w:lineRule="auto"/>
              <w:rPr>
                <w:rFonts w:ascii="Arial"/>
                <w:color w:val="auto"/>
                <w:sz w:val="21"/>
                <w:highlight w:val="none"/>
              </w:rPr>
            </w:pPr>
          </w:p>
          <w:p w14:paraId="6C068375">
            <w:pPr>
              <w:spacing w:line="245" w:lineRule="auto"/>
              <w:rPr>
                <w:rFonts w:ascii="Arial"/>
                <w:color w:val="auto"/>
                <w:sz w:val="21"/>
                <w:highlight w:val="none"/>
              </w:rPr>
            </w:pPr>
          </w:p>
          <w:p w14:paraId="6CE257C2">
            <w:pPr>
              <w:spacing w:line="245" w:lineRule="auto"/>
              <w:rPr>
                <w:rFonts w:ascii="Arial"/>
                <w:color w:val="auto"/>
                <w:sz w:val="21"/>
                <w:highlight w:val="none"/>
              </w:rPr>
            </w:pPr>
          </w:p>
          <w:p w14:paraId="2D83B2D1">
            <w:pPr>
              <w:pStyle w:val="12"/>
              <w:spacing w:before="111" w:line="223" w:lineRule="auto"/>
              <w:rPr>
                <w:rFonts w:hint="eastAsia" w:eastAsia="宋体"/>
                <w:color w:val="auto"/>
                <w:highlight w:val="none"/>
                <w:lang w:eastAsia="zh-CN"/>
              </w:rPr>
            </w:pPr>
            <w:r>
              <w:rPr>
                <w:rFonts w:hint="eastAsia"/>
                <w:color w:val="auto"/>
                <w:spacing w:val="-2"/>
                <w:highlight w:val="none"/>
                <w:lang w:eastAsia="zh-CN"/>
              </w:rPr>
              <w:t>北流市2026年财政常态化帮扶资金项目复核验收服务</w:t>
            </w:r>
          </w:p>
        </w:tc>
        <w:tc>
          <w:tcPr>
            <w:tcW w:w="849" w:type="dxa"/>
            <w:gridSpan w:val="2"/>
            <w:vAlign w:val="top"/>
          </w:tcPr>
          <w:p w14:paraId="454B93F0">
            <w:pPr>
              <w:spacing w:line="247" w:lineRule="auto"/>
              <w:rPr>
                <w:rFonts w:ascii="Arial"/>
                <w:color w:val="auto"/>
                <w:sz w:val="21"/>
                <w:highlight w:val="none"/>
              </w:rPr>
            </w:pPr>
          </w:p>
          <w:p w14:paraId="608BA65E">
            <w:pPr>
              <w:spacing w:line="247" w:lineRule="auto"/>
              <w:rPr>
                <w:rFonts w:ascii="Arial"/>
                <w:color w:val="auto"/>
                <w:sz w:val="21"/>
                <w:highlight w:val="none"/>
              </w:rPr>
            </w:pPr>
          </w:p>
          <w:p w14:paraId="5D7B497A">
            <w:pPr>
              <w:spacing w:line="247" w:lineRule="auto"/>
              <w:rPr>
                <w:rFonts w:ascii="Arial"/>
                <w:color w:val="auto"/>
                <w:sz w:val="21"/>
                <w:highlight w:val="none"/>
              </w:rPr>
            </w:pPr>
          </w:p>
          <w:p w14:paraId="04FBB99A">
            <w:pPr>
              <w:spacing w:line="247" w:lineRule="auto"/>
              <w:rPr>
                <w:rFonts w:ascii="Arial"/>
                <w:color w:val="auto"/>
                <w:sz w:val="21"/>
                <w:highlight w:val="none"/>
              </w:rPr>
            </w:pPr>
          </w:p>
          <w:p w14:paraId="3BD4956B">
            <w:pPr>
              <w:spacing w:line="247" w:lineRule="auto"/>
              <w:rPr>
                <w:rFonts w:ascii="Arial"/>
                <w:color w:val="auto"/>
                <w:sz w:val="21"/>
                <w:highlight w:val="none"/>
              </w:rPr>
            </w:pPr>
          </w:p>
          <w:p w14:paraId="50ABEF12">
            <w:pPr>
              <w:spacing w:line="247" w:lineRule="auto"/>
              <w:rPr>
                <w:rFonts w:ascii="Arial"/>
                <w:color w:val="auto"/>
                <w:sz w:val="21"/>
                <w:highlight w:val="none"/>
              </w:rPr>
            </w:pPr>
          </w:p>
          <w:p w14:paraId="3E0692E0">
            <w:pPr>
              <w:spacing w:line="248" w:lineRule="auto"/>
              <w:rPr>
                <w:rFonts w:ascii="Arial"/>
                <w:color w:val="auto"/>
                <w:sz w:val="21"/>
                <w:highlight w:val="none"/>
              </w:rPr>
            </w:pPr>
          </w:p>
          <w:p w14:paraId="677C4DC3">
            <w:pPr>
              <w:spacing w:line="248" w:lineRule="auto"/>
              <w:rPr>
                <w:rFonts w:ascii="Arial"/>
                <w:color w:val="auto"/>
                <w:sz w:val="21"/>
                <w:highlight w:val="none"/>
              </w:rPr>
            </w:pPr>
          </w:p>
          <w:p w14:paraId="203A2002">
            <w:pPr>
              <w:spacing w:line="248" w:lineRule="auto"/>
              <w:rPr>
                <w:rFonts w:ascii="Arial"/>
                <w:color w:val="auto"/>
                <w:sz w:val="21"/>
                <w:highlight w:val="none"/>
              </w:rPr>
            </w:pPr>
          </w:p>
          <w:p w14:paraId="78771801">
            <w:pPr>
              <w:spacing w:line="248" w:lineRule="auto"/>
              <w:rPr>
                <w:rFonts w:ascii="Arial"/>
                <w:color w:val="auto"/>
                <w:sz w:val="21"/>
                <w:highlight w:val="none"/>
              </w:rPr>
            </w:pPr>
          </w:p>
          <w:p w14:paraId="31EB74E5">
            <w:pPr>
              <w:spacing w:line="248" w:lineRule="auto"/>
              <w:rPr>
                <w:rFonts w:ascii="Arial"/>
                <w:color w:val="auto"/>
                <w:sz w:val="21"/>
                <w:highlight w:val="none"/>
              </w:rPr>
            </w:pPr>
          </w:p>
          <w:p w14:paraId="6B050105">
            <w:pPr>
              <w:pStyle w:val="12"/>
              <w:spacing w:before="68" w:line="222" w:lineRule="auto"/>
              <w:ind w:left="259"/>
              <w:rPr>
                <w:rFonts w:hint="eastAsia" w:eastAsia="宋体"/>
                <w:color w:val="auto"/>
                <w:highlight w:val="none"/>
                <w:lang w:eastAsia="zh-CN"/>
              </w:rPr>
            </w:pPr>
            <w:r>
              <w:rPr>
                <w:rFonts w:hint="eastAsia"/>
                <w:color w:val="auto"/>
                <w:spacing w:val="-12"/>
                <w:highlight w:val="none"/>
                <w:lang w:eastAsia="zh-CN"/>
              </w:rPr>
              <w:t>1项</w:t>
            </w:r>
          </w:p>
        </w:tc>
        <w:tc>
          <w:tcPr>
            <w:tcW w:w="711" w:type="dxa"/>
            <w:vAlign w:val="top"/>
          </w:tcPr>
          <w:p w14:paraId="259F147F">
            <w:pPr>
              <w:spacing w:line="242" w:lineRule="auto"/>
              <w:rPr>
                <w:rFonts w:ascii="Arial"/>
                <w:color w:val="auto"/>
                <w:sz w:val="21"/>
                <w:highlight w:val="none"/>
              </w:rPr>
            </w:pPr>
          </w:p>
          <w:p w14:paraId="45FDC6BF">
            <w:pPr>
              <w:spacing w:line="242" w:lineRule="auto"/>
              <w:rPr>
                <w:rFonts w:ascii="Arial"/>
                <w:color w:val="auto"/>
                <w:sz w:val="21"/>
                <w:highlight w:val="none"/>
              </w:rPr>
            </w:pPr>
          </w:p>
          <w:p w14:paraId="1432C985">
            <w:pPr>
              <w:spacing w:line="243" w:lineRule="auto"/>
              <w:rPr>
                <w:rFonts w:ascii="Arial"/>
                <w:color w:val="auto"/>
                <w:sz w:val="21"/>
                <w:highlight w:val="none"/>
              </w:rPr>
            </w:pPr>
          </w:p>
          <w:p w14:paraId="7FDD76DC">
            <w:pPr>
              <w:spacing w:line="243" w:lineRule="auto"/>
              <w:rPr>
                <w:rFonts w:ascii="Arial"/>
                <w:color w:val="auto"/>
                <w:sz w:val="21"/>
                <w:highlight w:val="none"/>
              </w:rPr>
            </w:pPr>
          </w:p>
          <w:p w14:paraId="1701DB77">
            <w:pPr>
              <w:spacing w:line="243" w:lineRule="auto"/>
              <w:rPr>
                <w:rFonts w:ascii="Arial"/>
                <w:color w:val="auto"/>
                <w:sz w:val="21"/>
                <w:highlight w:val="none"/>
              </w:rPr>
            </w:pPr>
          </w:p>
          <w:p w14:paraId="3CBF4EAB">
            <w:pPr>
              <w:spacing w:line="243" w:lineRule="auto"/>
              <w:rPr>
                <w:rFonts w:ascii="Arial"/>
                <w:color w:val="auto"/>
                <w:sz w:val="21"/>
                <w:highlight w:val="none"/>
              </w:rPr>
            </w:pPr>
          </w:p>
          <w:p w14:paraId="397E0AD8">
            <w:pPr>
              <w:spacing w:line="243" w:lineRule="auto"/>
              <w:rPr>
                <w:rFonts w:ascii="Arial"/>
                <w:color w:val="auto"/>
                <w:sz w:val="21"/>
                <w:highlight w:val="none"/>
              </w:rPr>
            </w:pPr>
          </w:p>
          <w:p w14:paraId="06BE1E2C">
            <w:pPr>
              <w:spacing w:line="243" w:lineRule="auto"/>
              <w:rPr>
                <w:rFonts w:ascii="Arial"/>
                <w:color w:val="auto"/>
                <w:sz w:val="21"/>
                <w:highlight w:val="none"/>
              </w:rPr>
            </w:pPr>
          </w:p>
          <w:p w14:paraId="5C0B2933">
            <w:pPr>
              <w:spacing w:line="243" w:lineRule="auto"/>
              <w:rPr>
                <w:rFonts w:ascii="Arial"/>
                <w:color w:val="auto"/>
                <w:sz w:val="21"/>
                <w:highlight w:val="none"/>
              </w:rPr>
            </w:pPr>
          </w:p>
          <w:p w14:paraId="7B6B8B5A">
            <w:pPr>
              <w:pStyle w:val="12"/>
              <w:spacing w:before="107" w:line="325" w:lineRule="auto"/>
              <w:ind w:right="143"/>
              <w:jc w:val="center"/>
              <w:rPr>
                <w:color w:val="auto"/>
                <w:highlight w:val="none"/>
              </w:rPr>
            </w:pPr>
            <w:r>
              <w:rPr>
                <w:rFonts w:hint="eastAsia"/>
                <w:color w:val="auto"/>
                <w:highlight w:val="none"/>
                <w:lang w:eastAsia="zh-CN"/>
              </w:rPr>
              <w:t>其他未列明行业</w:t>
            </w:r>
          </w:p>
        </w:tc>
        <w:tc>
          <w:tcPr>
            <w:tcW w:w="6583" w:type="dxa"/>
            <w:vAlign w:val="top"/>
          </w:tcPr>
          <w:p w14:paraId="38C32168">
            <w:pPr>
              <w:pStyle w:val="12"/>
              <w:spacing w:before="106" w:line="221" w:lineRule="auto"/>
              <w:ind w:firstLine="412" w:firstLineChars="200"/>
              <w:rPr>
                <w:rFonts w:hint="default"/>
                <w:color w:val="auto"/>
                <w:spacing w:val="-2"/>
                <w:highlight w:val="none"/>
                <w:lang w:val="en-US" w:eastAsia="zh-CN"/>
              </w:rPr>
            </w:pPr>
            <w:r>
              <w:rPr>
                <w:rFonts w:hint="eastAsia"/>
                <w:color w:val="auto"/>
                <w:spacing w:val="-2"/>
                <w:highlight w:val="none"/>
                <w:lang w:val="en-US" w:eastAsia="zh-CN"/>
              </w:rPr>
              <w:t>一、服务概况</w:t>
            </w:r>
          </w:p>
          <w:p w14:paraId="325504F7">
            <w:pPr>
              <w:pStyle w:val="12"/>
              <w:spacing w:before="111" w:line="316" w:lineRule="auto"/>
              <w:ind w:right="170" w:firstLine="420" w:firstLineChars="200"/>
              <w:jc w:val="both"/>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本项目为北流市2026年财政常态化帮扶资金项目复核验收服务，主要开展工程量复核、工程质量检测验收服务。</w:t>
            </w:r>
            <w:r>
              <w:rPr>
                <w:rFonts w:hint="eastAsia" w:cs="宋体"/>
                <w:color w:val="auto"/>
                <w:highlight w:val="none"/>
                <w:lang w:val="en-US" w:eastAsia="zh-CN"/>
              </w:rPr>
              <w:t>服务</w:t>
            </w:r>
            <w:r>
              <w:rPr>
                <w:rFonts w:hint="eastAsia" w:ascii="宋体" w:hAnsi="宋体" w:eastAsia="宋体" w:cs="宋体"/>
                <w:color w:val="auto"/>
                <w:highlight w:val="none"/>
                <w:lang w:val="en-US" w:eastAsia="zh-CN"/>
              </w:rPr>
              <w:t>项目建设内容涉及厂房建设项目、道路维修、硬化项目、公共照明项目、桥梁建设项目、人饮工程、水利建设项目等，共137个项目（其中厂房建设项目13个、道路维修、硬化项目52个、公共照明项目16个、桥梁建设项目20个、人饮工程5个、水利建设项目31个。）</w:t>
            </w:r>
            <w:r>
              <w:rPr>
                <w:rFonts w:hint="eastAsia" w:cs="宋体"/>
                <w:color w:val="auto"/>
                <w:highlight w:val="none"/>
                <w:lang w:val="en-US" w:eastAsia="zh-CN"/>
              </w:rPr>
              <w:t>，资金总投资69209611.50元。</w:t>
            </w:r>
          </w:p>
          <w:p w14:paraId="3ED54DC6">
            <w:pPr>
              <w:pStyle w:val="12"/>
              <w:spacing w:before="106" w:line="221" w:lineRule="auto"/>
              <w:ind w:firstLine="412" w:firstLineChars="200"/>
              <w:rPr>
                <w:color w:val="auto"/>
                <w:highlight w:val="none"/>
              </w:rPr>
            </w:pPr>
            <w:r>
              <w:rPr>
                <w:rFonts w:hint="eastAsia"/>
                <w:color w:val="auto"/>
                <w:spacing w:val="-2"/>
                <w:highlight w:val="none"/>
                <w:lang w:val="en-US" w:eastAsia="zh-CN"/>
              </w:rPr>
              <w:t>二</w:t>
            </w:r>
            <w:r>
              <w:rPr>
                <w:color w:val="auto"/>
                <w:spacing w:val="-2"/>
                <w:highlight w:val="none"/>
              </w:rPr>
              <w:t>、服务范围</w:t>
            </w:r>
          </w:p>
          <w:p w14:paraId="626E3DF7">
            <w:pPr>
              <w:pStyle w:val="12"/>
              <w:spacing w:before="111" w:line="316" w:lineRule="auto"/>
              <w:ind w:right="170" w:firstLine="420" w:firstLineChars="200"/>
              <w:jc w:val="both"/>
              <w:rPr>
                <w:rFonts w:hint="eastAsia" w:ascii="宋体" w:hAnsi="宋体" w:eastAsia="宋体" w:cs="宋体"/>
                <w:color w:val="auto"/>
                <w:highlight w:val="none"/>
                <w:lang w:val="en-US" w:eastAsia="zh-CN"/>
              </w:rPr>
            </w:pPr>
            <w:r>
              <w:rPr>
                <w:rFonts w:hint="eastAsia" w:ascii="宋体" w:hAnsi="宋体" w:eastAsia="宋体" w:cs="宋体"/>
                <w:i w:val="0"/>
                <w:iCs w:val="0"/>
                <w:color w:val="auto"/>
                <w:szCs w:val="21"/>
                <w:highlight w:val="none"/>
                <w:lang w:eastAsia="zh-CN"/>
              </w:rPr>
              <w:t>具体内容详见附件</w:t>
            </w:r>
            <w:r>
              <w:rPr>
                <w:rFonts w:hint="eastAsia" w:ascii="宋体" w:hAnsi="宋体" w:eastAsia="宋体" w:cs="宋体"/>
                <w:i w:val="0"/>
                <w:iCs w:val="0"/>
                <w:color w:val="auto"/>
                <w:szCs w:val="21"/>
                <w:highlight w:val="none"/>
                <w:lang w:val="en-US" w:eastAsia="zh-CN"/>
              </w:rPr>
              <w:t>1</w:t>
            </w:r>
          </w:p>
          <w:p w14:paraId="506E4565">
            <w:pPr>
              <w:tabs>
                <w:tab w:val="left" w:pos="180"/>
                <w:tab w:val="left" w:pos="1620"/>
              </w:tabs>
              <w:spacing w:line="360" w:lineRule="auto"/>
              <w:ind w:firstLine="420" w:firstLineChars="200"/>
              <w:jc w:val="left"/>
              <w:rPr>
                <w:rFonts w:hint="eastAsia" w:ascii="宋体" w:hAnsi="宋体" w:eastAsia="宋体" w:cs="宋体"/>
                <w:i w:val="0"/>
                <w:iCs w:val="0"/>
                <w:color w:val="auto"/>
                <w:szCs w:val="21"/>
                <w:highlight w:val="none"/>
                <w:lang w:val="en-US" w:eastAsia="zh-CN"/>
              </w:rPr>
            </w:pPr>
            <w:r>
              <w:rPr>
                <w:rFonts w:hint="eastAsia" w:ascii="宋体" w:hAnsi="宋体" w:eastAsia="宋体" w:cs="宋体"/>
                <w:i w:val="0"/>
                <w:iCs w:val="0"/>
                <w:color w:val="auto"/>
                <w:szCs w:val="21"/>
                <w:highlight w:val="none"/>
                <w:lang w:val="en-US" w:eastAsia="zh-CN"/>
              </w:rPr>
              <w:t>三、工作内容：</w:t>
            </w:r>
          </w:p>
          <w:p w14:paraId="6CF2E1A8">
            <w:pPr>
              <w:keepNext w:val="0"/>
              <w:keepLines w:val="0"/>
              <w:pageBreakBefore w:val="0"/>
              <w:widowControl w:val="0"/>
              <w:tabs>
                <w:tab w:val="left" w:pos="180"/>
                <w:tab w:val="left" w:pos="162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szCs w:val="21"/>
                <w:highlight w:val="none"/>
                <w:lang w:val="en-US" w:eastAsia="zh-CN"/>
              </w:rPr>
            </w:pPr>
            <w:r>
              <w:rPr>
                <w:rFonts w:hint="eastAsia" w:ascii="宋体" w:hAnsi="宋体" w:eastAsia="宋体" w:cs="宋体"/>
                <w:i w:val="0"/>
                <w:iCs w:val="0"/>
                <w:color w:val="auto"/>
                <w:szCs w:val="21"/>
                <w:highlight w:val="none"/>
                <w:lang w:val="en-US" w:eastAsia="zh-CN"/>
              </w:rPr>
              <w:t>按竣工验收的要求进行资料整编、并组织竣工验收、配合监督检测单位进行竣工质量抽检、建设单位资料整编、工程竣工资料核备、完成工程量复核等。</w:t>
            </w:r>
          </w:p>
          <w:p w14:paraId="33833A32">
            <w:pPr>
              <w:tabs>
                <w:tab w:val="left" w:pos="180"/>
                <w:tab w:val="left" w:pos="1620"/>
              </w:tabs>
              <w:spacing w:line="360" w:lineRule="auto"/>
              <w:ind w:firstLine="420" w:firstLineChars="200"/>
              <w:jc w:val="left"/>
              <w:rPr>
                <w:rFonts w:hint="eastAsia" w:ascii="宋体" w:hAnsi="宋体" w:eastAsia="宋体" w:cs="宋体"/>
                <w:i w:val="0"/>
                <w:iCs w:val="0"/>
                <w:color w:val="auto"/>
                <w:szCs w:val="21"/>
                <w:highlight w:val="none"/>
                <w:lang w:val="en-US" w:eastAsia="zh-CN"/>
              </w:rPr>
            </w:pPr>
            <w:r>
              <w:rPr>
                <w:rFonts w:hint="eastAsia" w:ascii="宋体" w:hAnsi="宋体" w:eastAsia="宋体" w:cs="宋体"/>
                <w:i w:val="0"/>
                <w:iCs w:val="0"/>
                <w:color w:val="auto"/>
                <w:szCs w:val="21"/>
                <w:highlight w:val="none"/>
                <w:lang w:val="en-US" w:eastAsia="zh-CN"/>
              </w:rPr>
              <w:t xml:space="preserve">四、服务标准：符合现行国家相关标准、行业标准、地方标准或者其他标准、规范。 </w:t>
            </w:r>
          </w:p>
          <w:p w14:paraId="54262387">
            <w:pPr>
              <w:tabs>
                <w:tab w:val="left" w:pos="180"/>
                <w:tab w:val="left" w:pos="1620"/>
              </w:tabs>
              <w:spacing w:line="360" w:lineRule="auto"/>
              <w:jc w:val="left"/>
              <w:rPr>
                <w:rFonts w:hint="eastAsia" w:ascii="宋体" w:hAnsi="宋体" w:eastAsia="宋体" w:cs="宋体"/>
                <w:i w:val="0"/>
                <w:iCs w:val="0"/>
                <w:color w:val="auto"/>
                <w:szCs w:val="21"/>
                <w:highlight w:val="none"/>
                <w:lang w:eastAsia="zh-CN"/>
              </w:rPr>
            </w:pPr>
            <w:r>
              <w:rPr>
                <w:rFonts w:hint="eastAsia" w:ascii="宋体" w:hAnsi="宋体" w:eastAsia="宋体" w:cs="宋体"/>
                <w:i w:val="0"/>
                <w:iCs w:val="0"/>
                <w:color w:val="auto"/>
                <w:szCs w:val="21"/>
                <w:highlight w:val="none"/>
                <w:lang w:eastAsia="zh-CN"/>
              </w:rPr>
              <w:t>四、技术标准：</w:t>
            </w:r>
          </w:p>
          <w:p w14:paraId="5EBCEA7E">
            <w:pPr>
              <w:keepNext w:val="0"/>
              <w:keepLines w:val="0"/>
              <w:pageBreakBefore w:val="0"/>
              <w:widowControl w:val="0"/>
              <w:tabs>
                <w:tab w:val="left" w:pos="180"/>
                <w:tab w:val="left" w:pos="162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szCs w:val="21"/>
                <w:highlight w:val="none"/>
                <w:lang w:eastAsia="zh-CN"/>
              </w:rPr>
            </w:pPr>
            <w:r>
              <w:rPr>
                <w:rFonts w:hint="eastAsia" w:ascii="宋体" w:hAnsi="宋体" w:eastAsia="宋体" w:cs="宋体"/>
                <w:i w:val="0"/>
                <w:iCs w:val="0"/>
                <w:color w:val="auto"/>
                <w:szCs w:val="21"/>
                <w:highlight w:val="none"/>
                <w:lang w:val="en-US" w:eastAsia="zh-CN"/>
              </w:rPr>
              <w:t>1、</w:t>
            </w:r>
            <w:r>
              <w:rPr>
                <w:rFonts w:hint="eastAsia" w:ascii="宋体" w:hAnsi="宋体" w:eastAsia="宋体" w:cs="宋体"/>
                <w:i w:val="0"/>
                <w:iCs w:val="0"/>
                <w:color w:val="auto"/>
                <w:szCs w:val="21"/>
                <w:highlight w:val="none"/>
                <w:lang w:eastAsia="zh-CN"/>
              </w:rPr>
              <w:t>《混凝土结构工程施工质量验收规范》（GB 50204-2015）</w:t>
            </w:r>
          </w:p>
          <w:p w14:paraId="016B9A78">
            <w:pPr>
              <w:keepNext w:val="0"/>
              <w:keepLines w:val="0"/>
              <w:pageBreakBefore w:val="0"/>
              <w:widowControl w:val="0"/>
              <w:tabs>
                <w:tab w:val="left" w:pos="180"/>
                <w:tab w:val="left" w:pos="162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szCs w:val="21"/>
                <w:highlight w:val="none"/>
                <w:lang w:eastAsia="zh-CN"/>
              </w:rPr>
            </w:pPr>
            <w:r>
              <w:rPr>
                <w:rFonts w:hint="eastAsia" w:ascii="宋体" w:hAnsi="宋体" w:eastAsia="宋体" w:cs="宋体"/>
                <w:i w:val="0"/>
                <w:iCs w:val="0"/>
                <w:color w:val="auto"/>
                <w:szCs w:val="21"/>
                <w:highlight w:val="none"/>
                <w:lang w:eastAsia="zh-CN"/>
              </w:rPr>
              <w:t>2、《混凝土中钢筋检测技术标准》（JGJ/T 152-2019）</w:t>
            </w:r>
          </w:p>
          <w:p w14:paraId="197C1899">
            <w:pPr>
              <w:keepNext w:val="0"/>
              <w:keepLines w:val="0"/>
              <w:pageBreakBefore w:val="0"/>
              <w:widowControl w:val="0"/>
              <w:tabs>
                <w:tab w:val="left" w:pos="180"/>
                <w:tab w:val="left" w:pos="1620"/>
              </w:tabs>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eastAsia="宋体" w:cs="宋体"/>
                <w:i w:val="0"/>
                <w:iCs w:val="0"/>
                <w:color w:val="auto"/>
                <w:szCs w:val="21"/>
                <w:highlight w:val="none"/>
                <w:lang w:val="en-US" w:eastAsia="zh-CN"/>
              </w:rPr>
            </w:pPr>
            <w:r>
              <w:rPr>
                <w:rFonts w:hint="eastAsia" w:ascii="宋体" w:hAnsi="宋体" w:eastAsia="宋体" w:cs="宋体"/>
                <w:i w:val="0"/>
                <w:iCs w:val="0"/>
                <w:color w:val="auto"/>
                <w:szCs w:val="21"/>
                <w:highlight w:val="none"/>
                <w:lang w:eastAsia="zh-CN"/>
              </w:rPr>
              <w:t>3、《混凝土结构工程施工质量验收规范》（GB 50204-2015）</w:t>
            </w:r>
          </w:p>
          <w:p w14:paraId="52BA9E2B">
            <w:pPr>
              <w:keepNext w:val="0"/>
              <w:keepLines w:val="0"/>
              <w:pageBreakBefore w:val="0"/>
              <w:widowControl w:val="0"/>
              <w:tabs>
                <w:tab w:val="left" w:pos="180"/>
                <w:tab w:val="left" w:pos="162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szCs w:val="21"/>
                <w:highlight w:val="none"/>
                <w:lang w:eastAsia="zh-CN"/>
              </w:rPr>
            </w:pPr>
            <w:r>
              <w:rPr>
                <w:rFonts w:hint="eastAsia" w:ascii="宋体" w:hAnsi="宋体" w:eastAsia="宋体" w:cs="宋体"/>
                <w:i w:val="0"/>
                <w:iCs w:val="0"/>
                <w:color w:val="auto"/>
                <w:szCs w:val="21"/>
                <w:highlight w:val="none"/>
                <w:lang w:eastAsia="zh-CN"/>
              </w:rPr>
              <w:t>4、《混凝土结构现场检测技术标准》（GB/T 50784-2013）</w:t>
            </w:r>
          </w:p>
          <w:p w14:paraId="7B1D73F4">
            <w:pPr>
              <w:keepNext w:val="0"/>
              <w:keepLines w:val="0"/>
              <w:pageBreakBefore w:val="0"/>
              <w:widowControl w:val="0"/>
              <w:tabs>
                <w:tab w:val="left" w:pos="180"/>
                <w:tab w:val="left" w:pos="1620"/>
              </w:tabs>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eastAsia="宋体" w:cs="宋体"/>
                <w:i w:val="0"/>
                <w:iCs w:val="0"/>
                <w:color w:val="auto"/>
                <w:szCs w:val="21"/>
                <w:highlight w:val="none"/>
                <w:lang w:val="en-US" w:eastAsia="zh-CN"/>
              </w:rPr>
            </w:pPr>
            <w:r>
              <w:rPr>
                <w:rFonts w:hint="eastAsia" w:ascii="宋体" w:hAnsi="宋体" w:eastAsia="宋体" w:cs="宋体"/>
                <w:i w:val="0"/>
                <w:iCs w:val="0"/>
                <w:color w:val="auto"/>
                <w:szCs w:val="21"/>
                <w:highlight w:val="none"/>
                <w:lang w:eastAsia="zh-CN"/>
              </w:rPr>
              <w:t>5、《建筑结构检测技术标准》</w:t>
            </w:r>
            <w:r>
              <w:rPr>
                <w:rFonts w:hint="eastAsia" w:ascii="宋体" w:hAnsi="宋体" w:eastAsia="宋体" w:cs="宋体"/>
                <w:i w:val="0"/>
                <w:iCs w:val="0"/>
                <w:color w:val="auto"/>
                <w:szCs w:val="21"/>
                <w:highlight w:val="none"/>
                <w:lang w:val="en-US" w:eastAsia="zh-CN"/>
              </w:rPr>
              <w:t>(</w:t>
            </w:r>
            <w:r>
              <w:rPr>
                <w:rFonts w:hint="eastAsia" w:ascii="宋体" w:hAnsi="宋体" w:eastAsia="宋体" w:cs="宋体"/>
                <w:i w:val="0"/>
                <w:iCs w:val="0"/>
                <w:color w:val="auto"/>
                <w:szCs w:val="21"/>
                <w:highlight w:val="none"/>
                <w:lang w:eastAsia="zh-CN"/>
              </w:rPr>
              <w:t>GB/T50344-2019</w:t>
            </w:r>
            <w:r>
              <w:rPr>
                <w:rFonts w:hint="eastAsia" w:ascii="宋体" w:hAnsi="宋体" w:eastAsia="宋体" w:cs="宋体"/>
                <w:i w:val="0"/>
                <w:iCs w:val="0"/>
                <w:color w:val="auto"/>
                <w:szCs w:val="21"/>
                <w:highlight w:val="none"/>
                <w:lang w:val="en-US" w:eastAsia="zh-CN"/>
              </w:rPr>
              <w:t>)</w:t>
            </w:r>
          </w:p>
          <w:p w14:paraId="18A4C9D3">
            <w:pPr>
              <w:keepNext w:val="0"/>
              <w:keepLines w:val="0"/>
              <w:pageBreakBefore w:val="0"/>
              <w:widowControl w:val="0"/>
              <w:tabs>
                <w:tab w:val="left" w:pos="180"/>
                <w:tab w:val="left" w:pos="1620"/>
              </w:tabs>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eastAsia="宋体" w:cs="宋体"/>
                <w:i w:val="0"/>
                <w:iCs w:val="0"/>
                <w:color w:val="auto"/>
                <w:szCs w:val="21"/>
                <w:highlight w:val="none"/>
                <w:lang w:val="en-US" w:eastAsia="zh-CN"/>
              </w:rPr>
            </w:pPr>
            <w:r>
              <w:rPr>
                <w:rFonts w:hint="eastAsia" w:ascii="宋体" w:hAnsi="宋体" w:eastAsia="宋体" w:cs="宋体"/>
                <w:i w:val="0"/>
                <w:iCs w:val="0"/>
                <w:color w:val="auto"/>
                <w:szCs w:val="21"/>
                <w:highlight w:val="none"/>
                <w:lang w:eastAsia="zh-CN"/>
              </w:rPr>
              <w:t>6、《建筑变形测量规范》</w:t>
            </w:r>
            <w:r>
              <w:rPr>
                <w:rFonts w:hint="eastAsia" w:ascii="宋体" w:hAnsi="宋体" w:eastAsia="宋体" w:cs="宋体"/>
                <w:i w:val="0"/>
                <w:iCs w:val="0"/>
                <w:color w:val="auto"/>
                <w:szCs w:val="21"/>
                <w:highlight w:val="none"/>
                <w:lang w:val="en-US" w:eastAsia="zh-CN"/>
              </w:rPr>
              <w:t>(</w:t>
            </w:r>
            <w:r>
              <w:rPr>
                <w:rFonts w:hint="eastAsia" w:ascii="宋体" w:hAnsi="宋体" w:eastAsia="宋体" w:cs="宋体"/>
                <w:i w:val="0"/>
                <w:iCs w:val="0"/>
                <w:color w:val="auto"/>
                <w:szCs w:val="21"/>
                <w:highlight w:val="none"/>
                <w:lang w:eastAsia="zh-CN"/>
              </w:rPr>
              <w:t>JGJ 8－2016</w:t>
            </w:r>
            <w:r>
              <w:rPr>
                <w:rFonts w:hint="eastAsia" w:ascii="宋体" w:hAnsi="宋体" w:eastAsia="宋体" w:cs="宋体"/>
                <w:i w:val="0"/>
                <w:iCs w:val="0"/>
                <w:color w:val="auto"/>
                <w:szCs w:val="21"/>
                <w:highlight w:val="none"/>
                <w:lang w:val="en-US" w:eastAsia="zh-CN"/>
              </w:rPr>
              <w:t>)</w:t>
            </w:r>
          </w:p>
          <w:p w14:paraId="5312A984">
            <w:pPr>
              <w:keepNext w:val="0"/>
              <w:keepLines w:val="0"/>
              <w:pageBreakBefore w:val="0"/>
              <w:widowControl w:val="0"/>
              <w:tabs>
                <w:tab w:val="left" w:pos="180"/>
                <w:tab w:val="left" w:pos="162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szCs w:val="21"/>
                <w:highlight w:val="none"/>
                <w:lang w:eastAsia="zh-CN"/>
              </w:rPr>
            </w:pPr>
            <w:r>
              <w:rPr>
                <w:rFonts w:hint="eastAsia" w:ascii="宋体" w:hAnsi="宋体" w:eastAsia="宋体" w:cs="宋体"/>
                <w:i w:val="0"/>
                <w:iCs w:val="0"/>
                <w:color w:val="auto"/>
                <w:szCs w:val="21"/>
                <w:highlight w:val="none"/>
                <w:lang w:val="en-US" w:eastAsia="zh-CN"/>
              </w:rPr>
              <w:t>7、</w:t>
            </w:r>
            <w:r>
              <w:rPr>
                <w:rFonts w:hint="eastAsia" w:ascii="宋体" w:hAnsi="宋体" w:eastAsia="宋体" w:cs="宋体"/>
                <w:i w:val="0"/>
                <w:iCs w:val="0"/>
                <w:color w:val="auto"/>
                <w:szCs w:val="21"/>
                <w:highlight w:val="none"/>
                <w:lang w:eastAsia="zh-CN"/>
              </w:rPr>
              <w:t>《钢结构现场检测技术标准》（GB/T 50621-2010）</w:t>
            </w:r>
          </w:p>
          <w:p w14:paraId="588BFEBA">
            <w:pPr>
              <w:keepNext w:val="0"/>
              <w:keepLines w:val="0"/>
              <w:pageBreakBefore w:val="0"/>
              <w:widowControl w:val="0"/>
              <w:tabs>
                <w:tab w:val="left" w:pos="180"/>
                <w:tab w:val="left" w:pos="162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szCs w:val="21"/>
                <w:highlight w:val="none"/>
                <w:lang w:eastAsia="zh-CN"/>
              </w:rPr>
            </w:pPr>
            <w:r>
              <w:rPr>
                <w:rFonts w:hint="eastAsia" w:ascii="宋体" w:hAnsi="宋体" w:eastAsia="宋体" w:cs="宋体"/>
                <w:i w:val="0"/>
                <w:iCs w:val="0"/>
                <w:color w:val="auto"/>
                <w:szCs w:val="21"/>
                <w:highlight w:val="none"/>
                <w:lang w:val="en-US" w:eastAsia="zh-CN"/>
              </w:rPr>
              <w:t>8</w:t>
            </w:r>
            <w:r>
              <w:rPr>
                <w:rFonts w:hint="eastAsia" w:ascii="宋体" w:hAnsi="宋体" w:eastAsia="宋体" w:cs="宋体"/>
                <w:i w:val="0"/>
                <w:iCs w:val="0"/>
                <w:color w:val="auto"/>
                <w:szCs w:val="21"/>
                <w:highlight w:val="none"/>
                <w:lang w:eastAsia="zh-CN"/>
              </w:rPr>
              <w:t>、《建筑结构检测技术标准》（GB/T 50344-2019）</w:t>
            </w:r>
          </w:p>
          <w:p w14:paraId="4CB39E15">
            <w:pPr>
              <w:keepNext w:val="0"/>
              <w:keepLines w:val="0"/>
              <w:pageBreakBefore w:val="0"/>
              <w:widowControl w:val="0"/>
              <w:tabs>
                <w:tab w:val="left" w:pos="180"/>
                <w:tab w:val="left" w:pos="162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szCs w:val="21"/>
                <w:highlight w:val="none"/>
                <w:lang w:eastAsia="zh-CN"/>
              </w:rPr>
            </w:pPr>
            <w:r>
              <w:rPr>
                <w:rFonts w:hint="eastAsia" w:ascii="宋体" w:hAnsi="宋体" w:eastAsia="宋体" w:cs="宋体"/>
                <w:i w:val="0"/>
                <w:iCs w:val="0"/>
                <w:color w:val="auto"/>
                <w:szCs w:val="21"/>
                <w:highlight w:val="none"/>
                <w:lang w:val="en-US" w:eastAsia="zh-CN"/>
              </w:rPr>
              <w:t>9</w:t>
            </w:r>
            <w:r>
              <w:rPr>
                <w:rFonts w:hint="eastAsia" w:ascii="宋体" w:hAnsi="宋体" w:eastAsia="宋体" w:cs="宋体"/>
                <w:i w:val="0"/>
                <w:iCs w:val="0"/>
                <w:color w:val="auto"/>
                <w:szCs w:val="21"/>
                <w:highlight w:val="none"/>
                <w:lang w:eastAsia="zh-CN"/>
              </w:rPr>
              <w:t>、《钢结构工程施工质量验收规范》（GB 50205-2020）</w:t>
            </w:r>
          </w:p>
          <w:p w14:paraId="066A9CC9">
            <w:pPr>
              <w:keepNext w:val="0"/>
              <w:keepLines w:val="0"/>
              <w:pageBreakBefore w:val="0"/>
              <w:widowControl w:val="0"/>
              <w:tabs>
                <w:tab w:val="left" w:pos="180"/>
                <w:tab w:val="left" w:pos="162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szCs w:val="21"/>
                <w:highlight w:val="none"/>
                <w:lang w:eastAsia="zh-CN"/>
              </w:rPr>
            </w:pPr>
            <w:bookmarkStart w:id="6" w:name="_Hlk15419782"/>
            <w:r>
              <w:rPr>
                <w:rFonts w:hint="eastAsia" w:ascii="宋体" w:hAnsi="宋体" w:eastAsia="宋体" w:cs="宋体"/>
                <w:i w:val="0"/>
                <w:iCs w:val="0"/>
                <w:color w:val="auto"/>
                <w:szCs w:val="21"/>
                <w:highlight w:val="none"/>
                <w:lang w:val="en-US" w:eastAsia="zh-CN"/>
              </w:rPr>
              <w:t>10、</w:t>
            </w:r>
            <w:r>
              <w:rPr>
                <w:rFonts w:hint="eastAsia" w:ascii="宋体" w:hAnsi="宋体" w:eastAsia="宋体" w:cs="宋体"/>
                <w:i w:val="0"/>
                <w:iCs w:val="0"/>
                <w:color w:val="auto"/>
                <w:szCs w:val="21"/>
                <w:highlight w:val="none"/>
                <w:lang w:eastAsia="zh-CN"/>
              </w:rPr>
              <w:t>《公路路基路面现场测试规程》（JTG 3450-2019）</w:t>
            </w:r>
            <w:bookmarkEnd w:id="6"/>
          </w:p>
          <w:p w14:paraId="2F5D5228">
            <w:pPr>
              <w:keepNext w:val="0"/>
              <w:keepLines w:val="0"/>
              <w:pageBreakBefore w:val="0"/>
              <w:widowControl w:val="0"/>
              <w:tabs>
                <w:tab w:val="left" w:pos="180"/>
                <w:tab w:val="left" w:pos="162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szCs w:val="21"/>
                <w:highlight w:val="none"/>
                <w:lang w:eastAsia="zh-CN"/>
              </w:rPr>
            </w:pPr>
            <w:r>
              <w:rPr>
                <w:rFonts w:hint="eastAsia" w:ascii="宋体" w:hAnsi="宋体" w:eastAsia="宋体" w:cs="宋体"/>
                <w:i w:val="0"/>
                <w:iCs w:val="0"/>
                <w:color w:val="auto"/>
                <w:szCs w:val="21"/>
                <w:highlight w:val="none"/>
                <w:lang w:val="en-US" w:eastAsia="zh-CN"/>
              </w:rPr>
              <w:t>11、</w:t>
            </w:r>
            <w:r>
              <w:rPr>
                <w:rFonts w:hint="eastAsia" w:ascii="宋体" w:hAnsi="宋体" w:eastAsia="宋体" w:cs="宋体"/>
                <w:i w:val="0"/>
                <w:iCs w:val="0"/>
                <w:color w:val="auto"/>
                <w:szCs w:val="21"/>
                <w:highlight w:val="none"/>
                <w:lang w:eastAsia="zh-CN"/>
              </w:rPr>
              <w:t>《公路工程水泥及水泥混凝土试验规程》（JTG 3420-2020）</w:t>
            </w:r>
          </w:p>
          <w:p w14:paraId="2E6718DB">
            <w:pPr>
              <w:keepNext w:val="0"/>
              <w:keepLines w:val="0"/>
              <w:pageBreakBefore w:val="0"/>
              <w:widowControl w:val="0"/>
              <w:tabs>
                <w:tab w:val="left" w:pos="180"/>
                <w:tab w:val="left" w:pos="162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szCs w:val="21"/>
                <w:highlight w:val="none"/>
                <w:lang w:eastAsia="zh-CN"/>
              </w:rPr>
            </w:pPr>
            <w:bookmarkStart w:id="7" w:name="_Hlk15416284"/>
            <w:r>
              <w:rPr>
                <w:rFonts w:hint="eastAsia" w:ascii="宋体" w:hAnsi="宋体" w:eastAsia="宋体" w:cs="宋体"/>
                <w:i w:val="0"/>
                <w:iCs w:val="0"/>
                <w:color w:val="auto"/>
                <w:szCs w:val="21"/>
                <w:highlight w:val="none"/>
                <w:lang w:val="en-US" w:eastAsia="zh-CN"/>
              </w:rPr>
              <w:t>12、</w:t>
            </w:r>
            <w:r>
              <w:rPr>
                <w:rFonts w:hint="eastAsia" w:ascii="宋体" w:hAnsi="宋体" w:eastAsia="宋体" w:cs="宋体"/>
                <w:i w:val="0"/>
                <w:iCs w:val="0"/>
                <w:color w:val="auto"/>
                <w:szCs w:val="21"/>
                <w:highlight w:val="none"/>
                <w:lang w:eastAsia="zh-CN"/>
              </w:rPr>
              <w:t>《公路工程质量检验评定标准  第一册 土建工程》（JTG F80/1-2017）</w:t>
            </w:r>
            <w:bookmarkEnd w:id="7"/>
          </w:p>
          <w:p w14:paraId="350E05CD">
            <w:pPr>
              <w:keepNext w:val="0"/>
              <w:keepLines w:val="0"/>
              <w:pageBreakBefore w:val="0"/>
              <w:widowControl w:val="0"/>
              <w:tabs>
                <w:tab w:val="left" w:pos="180"/>
                <w:tab w:val="left" w:pos="162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szCs w:val="21"/>
                <w:highlight w:val="none"/>
                <w:lang w:eastAsia="zh-CN"/>
              </w:rPr>
            </w:pPr>
            <w:r>
              <w:rPr>
                <w:rFonts w:hint="eastAsia" w:ascii="宋体" w:hAnsi="宋体" w:eastAsia="宋体" w:cs="宋体"/>
                <w:i w:val="0"/>
                <w:iCs w:val="0"/>
                <w:color w:val="auto"/>
                <w:szCs w:val="21"/>
                <w:highlight w:val="none"/>
                <w:lang w:val="en-US" w:eastAsia="zh-CN"/>
              </w:rPr>
              <w:t>13、</w:t>
            </w:r>
            <w:r>
              <w:rPr>
                <w:rFonts w:hint="eastAsia" w:ascii="宋体" w:hAnsi="宋体" w:eastAsia="宋体" w:cs="宋体"/>
                <w:i w:val="0"/>
                <w:iCs w:val="0"/>
                <w:color w:val="auto"/>
                <w:szCs w:val="21"/>
                <w:highlight w:val="none"/>
                <w:lang w:eastAsia="zh-CN"/>
              </w:rPr>
              <w:t>《公路工程竣（交）工验收办法》（交通部令[2004]第3号）</w:t>
            </w:r>
          </w:p>
          <w:p w14:paraId="6C6AF68F">
            <w:pPr>
              <w:keepNext w:val="0"/>
              <w:keepLines w:val="0"/>
              <w:pageBreakBefore w:val="0"/>
              <w:widowControl w:val="0"/>
              <w:tabs>
                <w:tab w:val="left" w:pos="180"/>
                <w:tab w:val="left" w:pos="162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szCs w:val="21"/>
                <w:highlight w:val="none"/>
                <w:lang w:eastAsia="zh-CN"/>
              </w:rPr>
            </w:pPr>
            <w:r>
              <w:rPr>
                <w:rFonts w:hint="eastAsia" w:ascii="宋体" w:hAnsi="宋体" w:eastAsia="宋体" w:cs="宋体"/>
                <w:i w:val="0"/>
                <w:iCs w:val="0"/>
                <w:color w:val="auto"/>
                <w:szCs w:val="21"/>
                <w:highlight w:val="none"/>
                <w:lang w:val="en-US" w:eastAsia="zh-CN"/>
              </w:rPr>
              <w:t>14、</w:t>
            </w:r>
            <w:r>
              <w:rPr>
                <w:rFonts w:hint="eastAsia" w:ascii="宋体" w:hAnsi="宋体" w:eastAsia="宋体" w:cs="宋体"/>
                <w:i w:val="0"/>
                <w:iCs w:val="0"/>
                <w:color w:val="auto"/>
                <w:szCs w:val="21"/>
                <w:highlight w:val="none"/>
                <w:lang w:eastAsia="zh-CN"/>
              </w:rPr>
              <w:t>《公路工程竣（交）工验收办法实施细则》（交公路发[2010]65号）</w:t>
            </w:r>
          </w:p>
          <w:p w14:paraId="6052E5FB">
            <w:pPr>
              <w:keepNext w:val="0"/>
              <w:keepLines w:val="0"/>
              <w:pageBreakBefore w:val="0"/>
              <w:widowControl w:val="0"/>
              <w:tabs>
                <w:tab w:val="left" w:pos="180"/>
                <w:tab w:val="left" w:pos="162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szCs w:val="21"/>
                <w:highlight w:val="none"/>
                <w:lang w:eastAsia="zh-CN"/>
              </w:rPr>
            </w:pPr>
            <w:r>
              <w:rPr>
                <w:rFonts w:hint="eastAsia" w:ascii="宋体" w:hAnsi="宋体" w:eastAsia="宋体" w:cs="宋体"/>
                <w:i w:val="0"/>
                <w:iCs w:val="0"/>
                <w:color w:val="auto"/>
                <w:szCs w:val="21"/>
                <w:highlight w:val="none"/>
                <w:lang w:val="en-US" w:eastAsia="zh-CN"/>
              </w:rPr>
              <w:t>15、</w:t>
            </w:r>
            <w:r>
              <w:rPr>
                <w:rFonts w:hint="eastAsia" w:ascii="宋体" w:hAnsi="宋体" w:eastAsia="宋体" w:cs="宋体"/>
                <w:i w:val="0"/>
                <w:iCs w:val="0"/>
                <w:color w:val="auto"/>
                <w:szCs w:val="21"/>
                <w:highlight w:val="none"/>
                <w:lang w:eastAsia="zh-CN"/>
              </w:rPr>
              <w:t>《回弹法检测混凝土抗压强度技术规程》（JGJ/T 23-2011）</w:t>
            </w:r>
          </w:p>
          <w:p w14:paraId="6EA66578">
            <w:pPr>
              <w:keepNext w:val="0"/>
              <w:keepLines w:val="0"/>
              <w:pageBreakBefore w:val="0"/>
              <w:widowControl w:val="0"/>
              <w:tabs>
                <w:tab w:val="left" w:pos="180"/>
                <w:tab w:val="left" w:pos="162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szCs w:val="21"/>
                <w:highlight w:val="none"/>
                <w:lang w:val="en-US" w:eastAsia="zh-CN"/>
              </w:rPr>
            </w:pPr>
            <w:r>
              <w:rPr>
                <w:rFonts w:hint="eastAsia" w:ascii="宋体" w:hAnsi="宋体" w:eastAsia="宋体" w:cs="宋体"/>
                <w:i w:val="0"/>
                <w:iCs w:val="0"/>
                <w:color w:val="auto"/>
                <w:szCs w:val="21"/>
                <w:highlight w:val="none"/>
                <w:lang w:val="en-US" w:eastAsia="zh-CN"/>
              </w:rPr>
              <w:t>16、《混凝土中钢筋检测技术标准》（JGJ/T 152-2019）</w:t>
            </w:r>
          </w:p>
          <w:p w14:paraId="52CE8CEB">
            <w:pPr>
              <w:pStyle w:val="12"/>
              <w:spacing w:before="111" w:line="316" w:lineRule="auto"/>
              <w:ind w:left="108" w:right="170" w:firstLine="420"/>
              <w:jc w:val="both"/>
              <w:rPr>
                <w:color w:val="auto"/>
                <w:highlight w:val="none"/>
              </w:rPr>
            </w:pPr>
            <w:r>
              <w:rPr>
                <w:rFonts w:hint="eastAsia" w:ascii="宋体" w:hAnsi="宋体" w:eastAsia="宋体" w:cs="宋体"/>
                <w:i w:val="0"/>
                <w:iCs w:val="0"/>
                <w:color w:val="auto"/>
                <w:szCs w:val="21"/>
                <w:highlight w:val="none"/>
                <w:lang w:val="en-US" w:eastAsia="zh-CN"/>
              </w:rPr>
              <w:t>17、</w:t>
            </w:r>
            <w:r>
              <w:rPr>
                <w:rFonts w:hint="eastAsia" w:ascii="宋体" w:hAnsi="宋体" w:eastAsia="宋体" w:cs="宋体"/>
                <w:i w:val="0"/>
                <w:iCs w:val="0"/>
                <w:color w:val="auto"/>
                <w:szCs w:val="21"/>
                <w:highlight w:val="none"/>
                <w:lang w:eastAsia="zh-CN"/>
              </w:rPr>
              <w:t>《工程测量规</w:t>
            </w:r>
            <w:r>
              <w:rPr>
                <w:rFonts w:hint="eastAsia" w:ascii="宋体" w:hAnsi="宋体" w:eastAsia="宋体" w:cs="宋体"/>
                <w:i w:val="0"/>
                <w:iCs w:val="0"/>
                <w:color w:val="auto"/>
                <w:szCs w:val="21"/>
                <w:highlight w:val="none"/>
                <w:lang w:val="en-US" w:eastAsia="zh-CN"/>
              </w:rPr>
              <w:t>范》（GB 50026-2007）</w:t>
            </w:r>
          </w:p>
        </w:tc>
      </w:tr>
      <w:tr w14:paraId="662BCB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9582" w:type="dxa"/>
            <w:gridSpan w:val="6"/>
            <w:vAlign w:val="top"/>
          </w:tcPr>
          <w:p w14:paraId="2864E177">
            <w:pPr>
              <w:pStyle w:val="12"/>
              <w:spacing w:before="109" w:line="284" w:lineRule="auto"/>
              <w:ind w:left="110" w:right="170" w:firstLine="419"/>
              <w:jc w:val="both"/>
              <w:rPr>
                <w:rFonts w:hint="eastAsia"/>
                <w:color w:val="auto"/>
                <w:highlight w:val="none"/>
                <w:lang w:val="en-US" w:eastAsia="zh-CN"/>
              </w:rPr>
            </w:pPr>
            <w:r>
              <w:rPr>
                <w:b/>
                <w:bCs/>
                <w:color w:val="auto"/>
                <w:spacing w:val="-5"/>
                <w:highlight w:val="none"/>
              </w:rPr>
              <w:t>一、商务要求</w:t>
            </w:r>
          </w:p>
        </w:tc>
      </w:tr>
      <w:tr w14:paraId="081349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2276" w:type="dxa"/>
            <w:gridSpan w:val="3"/>
            <w:vAlign w:val="top"/>
          </w:tcPr>
          <w:p w14:paraId="703F2EBB">
            <w:pPr>
              <w:pStyle w:val="12"/>
              <w:spacing w:before="292" w:line="221" w:lineRule="auto"/>
              <w:ind w:left="131" w:leftChars="0"/>
              <w:rPr>
                <w:color w:val="auto"/>
                <w:spacing w:val="-13"/>
                <w:highlight w:val="none"/>
              </w:rPr>
            </w:pPr>
            <w:r>
              <w:rPr>
                <w:color w:val="auto"/>
                <w:spacing w:val="-3"/>
                <w:highlight w:val="none"/>
              </w:rPr>
              <w:t>1.服务期限和地点</w:t>
            </w:r>
          </w:p>
        </w:tc>
        <w:tc>
          <w:tcPr>
            <w:tcW w:w="7306" w:type="dxa"/>
            <w:gridSpan w:val="3"/>
            <w:vAlign w:val="top"/>
          </w:tcPr>
          <w:p w14:paraId="55BC8D44">
            <w:pPr>
              <w:pStyle w:val="12"/>
              <w:spacing w:before="112" w:line="221" w:lineRule="auto"/>
              <w:ind w:right="1" w:firstLine="408" w:firstLineChars="200"/>
              <w:jc w:val="both"/>
              <w:rPr>
                <w:rFonts w:hint="eastAsia" w:eastAsia="宋体"/>
                <w:color w:val="auto"/>
                <w:highlight w:val="none"/>
                <w:lang w:eastAsia="zh-CN"/>
              </w:rPr>
            </w:pPr>
            <w:r>
              <w:rPr>
                <w:color w:val="auto"/>
                <w:spacing w:val="-3"/>
                <w:highlight w:val="none"/>
              </w:rPr>
              <w:t>（1）服务期限：</w:t>
            </w:r>
            <w:r>
              <w:rPr>
                <w:rFonts w:hint="eastAsia" w:cs="宋体"/>
                <w:color w:val="auto"/>
                <w:spacing w:val="-1"/>
                <w:highlight w:val="none"/>
                <w:lang w:eastAsia="zh-CN"/>
              </w:rPr>
              <w:t>自合同签订之日起至所有项目完成全部验收工作并出具验收成果报告。</w:t>
            </w:r>
          </w:p>
          <w:p w14:paraId="573F733F">
            <w:pPr>
              <w:pStyle w:val="12"/>
              <w:spacing w:before="109" w:line="214" w:lineRule="auto"/>
              <w:ind w:firstLine="416" w:firstLineChars="200"/>
              <w:rPr>
                <w:rFonts w:hint="eastAsia"/>
                <w:color w:val="auto"/>
                <w:highlight w:val="none"/>
                <w:lang w:val="en-US" w:eastAsia="zh-CN"/>
              </w:rPr>
            </w:pPr>
            <w:r>
              <w:rPr>
                <w:color w:val="auto"/>
                <w:spacing w:val="-1"/>
                <w:highlight w:val="none"/>
              </w:rPr>
              <w:t>（2）服务地点：采购人指定地点</w:t>
            </w:r>
            <w:r>
              <w:rPr>
                <w:color w:val="auto"/>
                <w:spacing w:val="-2"/>
                <w:highlight w:val="none"/>
              </w:rPr>
              <w:t>。</w:t>
            </w:r>
          </w:p>
        </w:tc>
      </w:tr>
      <w:tr w14:paraId="4E03DA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2276" w:type="dxa"/>
            <w:gridSpan w:val="3"/>
            <w:vAlign w:val="top"/>
          </w:tcPr>
          <w:p w14:paraId="6B1CE852">
            <w:pPr>
              <w:pStyle w:val="12"/>
              <w:spacing w:before="110" w:line="215" w:lineRule="auto"/>
              <w:ind w:left="118" w:leftChars="0"/>
              <w:rPr>
                <w:color w:val="auto"/>
                <w:spacing w:val="-13"/>
                <w:highlight w:val="none"/>
              </w:rPr>
            </w:pPr>
            <w:r>
              <w:rPr>
                <w:color w:val="auto"/>
                <w:spacing w:val="-1"/>
                <w:highlight w:val="none"/>
              </w:rPr>
              <w:t>2.合同签订时间</w:t>
            </w:r>
          </w:p>
        </w:tc>
        <w:tc>
          <w:tcPr>
            <w:tcW w:w="7306" w:type="dxa"/>
            <w:gridSpan w:val="3"/>
            <w:vAlign w:val="top"/>
          </w:tcPr>
          <w:p w14:paraId="73B88721">
            <w:pPr>
              <w:pStyle w:val="12"/>
              <w:spacing w:before="110" w:line="215" w:lineRule="auto"/>
              <w:ind w:left="567" w:leftChars="0"/>
              <w:rPr>
                <w:rFonts w:hint="eastAsia"/>
                <w:color w:val="auto"/>
                <w:highlight w:val="none"/>
                <w:lang w:val="en-US" w:eastAsia="zh-CN"/>
              </w:rPr>
            </w:pPr>
            <w:r>
              <w:rPr>
                <w:rFonts w:hint="eastAsia"/>
                <w:color w:val="auto"/>
                <w:spacing w:val="-7"/>
                <w:highlight w:val="none"/>
                <w:lang w:eastAsia="zh-CN"/>
              </w:rPr>
              <w:t>自成交通知书发出之日起25日内</w:t>
            </w:r>
            <w:r>
              <w:rPr>
                <w:color w:val="auto"/>
                <w:spacing w:val="-7"/>
                <w:highlight w:val="none"/>
              </w:rPr>
              <w:t>。</w:t>
            </w:r>
          </w:p>
        </w:tc>
      </w:tr>
      <w:tr w14:paraId="2D2E89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2276" w:type="dxa"/>
            <w:gridSpan w:val="3"/>
            <w:vAlign w:val="top"/>
          </w:tcPr>
          <w:p w14:paraId="3A91AE13">
            <w:pPr>
              <w:pStyle w:val="12"/>
              <w:spacing w:before="289" w:line="221" w:lineRule="auto"/>
              <w:ind w:left="120" w:leftChars="0"/>
              <w:rPr>
                <w:color w:val="auto"/>
                <w:spacing w:val="-13"/>
                <w:highlight w:val="none"/>
              </w:rPr>
            </w:pPr>
            <w:r>
              <w:rPr>
                <w:color w:val="auto"/>
                <w:spacing w:val="-2"/>
                <w:highlight w:val="none"/>
              </w:rPr>
              <w:t>3.</w:t>
            </w:r>
            <w:r>
              <w:rPr>
                <w:rFonts w:hint="eastAsia"/>
                <w:color w:val="auto"/>
                <w:spacing w:val="-2"/>
                <w:highlight w:val="none"/>
              </w:rPr>
              <w:t>付款条件（进度和方式）</w:t>
            </w:r>
          </w:p>
        </w:tc>
        <w:tc>
          <w:tcPr>
            <w:tcW w:w="7306" w:type="dxa"/>
            <w:gridSpan w:val="3"/>
            <w:vAlign w:val="top"/>
          </w:tcPr>
          <w:p w14:paraId="4221672E">
            <w:pPr>
              <w:spacing w:before="2" w:line="339" w:lineRule="auto"/>
              <w:ind w:left="0" w:leftChars="0" w:right="117" w:rightChars="0" w:firstLine="577" w:firstLineChars="275"/>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1、预付款：合同签订后支付30%的预付款； </w:t>
            </w:r>
          </w:p>
          <w:p w14:paraId="6EC335CC">
            <w:pPr>
              <w:spacing w:before="2" w:line="339" w:lineRule="auto"/>
              <w:ind w:left="0" w:leftChars="0" w:right="117" w:rightChars="0" w:firstLine="577" w:firstLineChars="275"/>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2、进度款：按项目完成进度支付，按完成子项目数量占项目总数量的70%时，甲方向乙方支付至项目服务费的60%;完成子项目数量占项目总数量的100%时，甲方向乙方支付至项目服务费的90%止暂停支付（含预付款）;</w:t>
            </w:r>
          </w:p>
          <w:p w14:paraId="3016B5A7">
            <w:pPr>
              <w:spacing w:before="2" w:line="339" w:lineRule="auto"/>
              <w:ind w:left="0" w:leftChars="0" w:right="117" w:rightChars="0" w:firstLine="577" w:firstLineChars="275"/>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3、所有子项目通过相关部门竣工验收后，以最终实际完成并通过相关部门验收的工程数量为依据计算最终结算价款。（计算公式：最终结算价款=实际完成并验收通过的工程数量的施工合同金额合计数</w:t>
            </w:r>
            <w:r>
              <w:rPr>
                <w:rFonts w:hint="eastAsia" w:ascii="宋体" w:hAnsi="宋体" w:eastAsia="宋体" w:cs="宋体"/>
                <w:color w:val="auto"/>
                <w:sz w:val="21"/>
                <w:szCs w:val="21"/>
                <w:highlight w:val="none"/>
                <w:lang w:val="en-US" w:eastAsia="zh-CN"/>
              </w:rPr>
              <w:t>×成交费率）</w:t>
            </w:r>
          </w:p>
          <w:p w14:paraId="64B1F7D1">
            <w:pPr>
              <w:pStyle w:val="12"/>
              <w:spacing w:before="111" w:line="265" w:lineRule="auto"/>
              <w:ind w:left="59" w:leftChars="28" w:right="105" w:rightChars="0" w:firstLine="420" w:firstLineChars="200"/>
              <w:rPr>
                <w:rFonts w:hint="eastAsia"/>
                <w:color w:val="auto"/>
                <w:highlight w:val="none"/>
                <w:lang w:val="en-US" w:eastAsia="zh-CN"/>
              </w:rPr>
            </w:pPr>
            <w:r>
              <w:rPr>
                <w:rFonts w:hint="eastAsia" w:ascii="宋体" w:hAnsi="宋体" w:eastAsia="宋体" w:cs="宋体"/>
                <w:color w:val="auto"/>
                <w:sz w:val="21"/>
                <w:szCs w:val="21"/>
                <w:highlight w:val="none"/>
                <w:lang w:val="en-US" w:eastAsia="zh-CN"/>
              </w:rPr>
              <w:t>4、服务结算价款如超出合同价款则按合同价款支付，如低于合同价款则按结算价款支付。</w:t>
            </w:r>
          </w:p>
        </w:tc>
      </w:tr>
      <w:tr w14:paraId="0927B4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2276" w:type="dxa"/>
            <w:gridSpan w:val="3"/>
            <w:vAlign w:val="top"/>
          </w:tcPr>
          <w:p w14:paraId="32678F8A">
            <w:pPr>
              <w:pStyle w:val="12"/>
              <w:spacing w:before="291" w:line="221" w:lineRule="auto"/>
              <w:ind w:left="115" w:leftChars="0"/>
              <w:rPr>
                <w:color w:val="auto"/>
                <w:spacing w:val="-13"/>
                <w:highlight w:val="none"/>
              </w:rPr>
            </w:pPr>
            <w:r>
              <w:rPr>
                <w:color w:val="auto"/>
                <w:spacing w:val="-1"/>
                <w:highlight w:val="none"/>
              </w:rPr>
              <w:t>4.售后服务要求</w:t>
            </w:r>
          </w:p>
        </w:tc>
        <w:tc>
          <w:tcPr>
            <w:tcW w:w="7306" w:type="dxa"/>
            <w:gridSpan w:val="3"/>
            <w:vAlign w:val="top"/>
          </w:tcPr>
          <w:p w14:paraId="7012B44C">
            <w:pPr>
              <w:spacing w:line="360" w:lineRule="auto"/>
              <w:ind w:left="59" w:leftChars="28" w:firstLine="0" w:firstLineChars="0"/>
              <w:rPr>
                <w:rFonts w:hint="eastAsia" w:ascii="宋体" w:hAnsi="宋体"/>
                <w:i w:val="0"/>
                <w:iCs w:val="0"/>
                <w:color w:val="auto"/>
                <w:szCs w:val="21"/>
                <w:highlight w:val="none"/>
              </w:rPr>
            </w:pPr>
            <w:r>
              <w:rPr>
                <w:rFonts w:hint="eastAsia" w:ascii="宋体" w:hAnsi="宋体"/>
                <w:i w:val="0"/>
                <w:iCs w:val="0"/>
                <w:color w:val="auto"/>
                <w:szCs w:val="21"/>
                <w:highlight w:val="none"/>
              </w:rPr>
              <w:t>1、服务质量要求：符合现行国家及自治区颁布的有关规程规范要求；</w:t>
            </w:r>
          </w:p>
          <w:p w14:paraId="0681BE8E">
            <w:pPr>
              <w:spacing w:line="360" w:lineRule="auto"/>
              <w:ind w:left="59" w:leftChars="28" w:firstLine="0" w:firstLineChars="0"/>
              <w:rPr>
                <w:rFonts w:hint="eastAsia" w:ascii="宋体" w:hAnsi="宋体"/>
                <w:i w:val="0"/>
                <w:iCs w:val="0"/>
                <w:color w:val="auto"/>
                <w:szCs w:val="21"/>
                <w:highlight w:val="none"/>
              </w:rPr>
            </w:pPr>
            <w:r>
              <w:rPr>
                <w:rFonts w:hint="eastAsia" w:ascii="宋体" w:hAnsi="宋体"/>
                <w:i w:val="0"/>
                <w:iCs w:val="0"/>
                <w:color w:val="auto"/>
                <w:szCs w:val="21"/>
                <w:highlight w:val="none"/>
              </w:rPr>
              <w:t>2、处理问题响应时间：接到采购人反映的任何咨询问题立即响应，接到采购人通知起12小时内到达指定现场处理问题。</w:t>
            </w:r>
          </w:p>
          <w:p w14:paraId="59FBF433">
            <w:pPr>
              <w:pStyle w:val="12"/>
              <w:spacing w:before="112" w:line="265" w:lineRule="auto"/>
              <w:ind w:left="59" w:leftChars="28" w:right="102" w:rightChars="0" w:firstLine="0" w:firstLineChars="0"/>
              <w:rPr>
                <w:rFonts w:hint="eastAsia"/>
                <w:color w:val="auto"/>
                <w:highlight w:val="none"/>
                <w:lang w:val="en-US" w:eastAsia="zh-CN"/>
              </w:rPr>
            </w:pPr>
            <w:r>
              <w:rPr>
                <w:rFonts w:hint="eastAsia" w:ascii="宋体" w:hAnsi="宋体" w:cs="宋体"/>
                <w:i w:val="0"/>
                <w:iCs w:val="0"/>
                <w:color w:val="auto"/>
                <w:szCs w:val="21"/>
                <w:highlight w:val="none"/>
              </w:rPr>
              <w:t>3、根据工作对接会、协调会等意见相应修改完善方案内容。</w:t>
            </w:r>
          </w:p>
        </w:tc>
      </w:tr>
      <w:tr w14:paraId="6E876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2276" w:type="dxa"/>
            <w:gridSpan w:val="3"/>
            <w:vAlign w:val="top"/>
          </w:tcPr>
          <w:p w14:paraId="534CEDBD">
            <w:pPr>
              <w:pStyle w:val="12"/>
              <w:spacing w:before="291" w:line="221" w:lineRule="auto"/>
              <w:ind w:left="115" w:leftChars="0"/>
              <w:rPr>
                <w:rFonts w:hint="default" w:eastAsia="宋体"/>
                <w:color w:val="auto"/>
                <w:spacing w:val="-1"/>
                <w:highlight w:val="none"/>
                <w:lang w:val="en-US" w:eastAsia="zh-CN"/>
              </w:rPr>
            </w:pPr>
            <w:r>
              <w:rPr>
                <w:rFonts w:hint="eastAsia"/>
                <w:color w:val="auto"/>
                <w:spacing w:val="-1"/>
                <w:highlight w:val="none"/>
                <w:lang w:val="en-US" w:eastAsia="zh-CN"/>
              </w:rPr>
              <w:t>5.报价要求</w:t>
            </w:r>
          </w:p>
        </w:tc>
        <w:tc>
          <w:tcPr>
            <w:tcW w:w="7306" w:type="dxa"/>
            <w:gridSpan w:val="3"/>
            <w:vAlign w:val="top"/>
          </w:tcPr>
          <w:p w14:paraId="5AC85EFD">
            <w:pPr>
              <w:pStyle w:val="12"/>
              <w:spacing w:before="112" w:line="265" w:lineRule="auto"/>
              <w:ind w:left="113" w:leftChars="0" w:right="102" w:rightChars="0" w:hanging="13" w:firstLineChars="0"/>
              <w:rPr>
                <w:rFonts w:hint="default" w:ascii="宋体" w:hAnsi="宋体" w:eastAsia="宋体" w:cs="宋体"/>
                <w:color w:val="auto"/>
                <w:spacing w:val="-1"/>
                <w:highlight w:val="none"/>
                <w:lang w:val="en-US" w:eastAsia="zh-CN"/>
              </w:rPr>
            </w:pPr>
            <w:r>
              <w:rPr>
                <w:rFonts w:hint="eastAsia" w:ascii="宋体" w:hAnsi="宋体" w:eastAsia="宋体" w:cs="宋体"/>
                <w:color w:val="auto"/>
                <w:spacing w:val="-1"/>
                <w:highlight w:val="none"/>
                <w:lang w:val="en-US" w:eastAsia="zh-CN"/>
              </w:rPr>
              <w:t>1、本项目采用费率方式报价，投标费率不得大于2%，超出该费率上限的，作投标无效处理。</w:t>
            </w:r>
          </w:p>
          <w:p w14:paraId="2B875499">
            <w:pPr>
              <w:pStyle w:val="12"/>
              <w:spacing w:before="112" w:line="265" w:lineRule="auto"/>
              <w:ind w:left="113" w:leftChars="0" w:right="102" w:rightChars="0" w:hanging="13" w:firstLineChars="0"/>
              <w:rPr>
                <w:rFonts w:hint="eastAsia" w:ascii="宋体" w:hAnsi="宋体" w:eastAsia="宋体" w:cs="宋体"/>
                <w:color w:val="auto"/>
                <w:spacing w:val="-1"/>
                <w:highlight w:val="none"/>
                <w:lang w:val="en-US" w:eastAsia="zh-CN"/>
              </w:rPr>
            </w:pPr>
            <w:r>
              <w:rPr>
                <w:rFonts w:hint="eastAsia" w:cs="宋体"/>
                <w:color w:val="auto"/>
                <w:spacing w:val="-1"/>
                <w:highlight w:val="none"/>
                <w:lang w:val="en-US" w:eastAsia="zh-CN"/>
              </w:rPr>
              <w:t>2</w:t>
            </w:r>
            <w:r>
              <w:rPr>
                <w:rFonts w:hint="eastAsia" w:ascii="宋体" w:hAnsi="宋体" w:eastAsia="宋体" w:cs="宋体"/>
                <w:color w:val="auto"/>
                <w:spacing w:val="-1"/>
                <w:highlight w:val="none"/>
                <w:lang w:val="en-US" w:eastAsia="zh-CN"/>
              </w:rPr>
              <w:t>、服务范围内每个子项目的投标费率应报价一致。</w:t>
            </w:r>
          </w:p>
          <w:p w14:paraId="79B1C76B">
            <w:pPr>
              <w:pStyle w:val="12"/>
              <w:spacing w:before="112" w:line="265" w:lineRule="auto"/>
              <w:ind w:left="113" w:leftChars="0" w:right="102" w:rightChars="0" w:hanging="13" w:firstLineChars="0"/>
              <w:rPr>
                <w:rFonts w:hint="eastAsia" w:ascii="宋体" w:hAnsi="宋体" w:cs="宋体"/>
                <w:b/>
                <w:bCs/>
                <w:i w:val="0"/>
                <w:iCs w:val="0"/>
                <w:color w:val="auto"/>
                <w:szCs w:val="21"/>
                <w:highlight w:val="none"/>
              </w:rPr>
            </w:pPr>
            <w:r>
              <w:rPr>
                <w:rFonts w:hint="eastAsia" w:ascii="宋体" w:hAnsi="宋体" w:eastAsia="宋体" w:cs="宋体"/>
                <w:color w:val="auto"/>
                <w:spacing w:val="-1"/>
                <w:highlight w:val="none"/>
                <w:lang w:val="en-US" w:eastAsia="zh-CN"/>
              </w:rPr>
              <w:t>3、报价必须包含承包服务项目全部工作内容及其为完成工作所投入的经费，包括但不限于人工费、住宿费、伙食费、交通费、企业应缴税金和应得利润等履行合同所需的一切本身和不可或缺的所有工作开支、政策性文件规定的合同包含的所有风险、责任等各项全部费用。</w:t>
            </w:r>
          </w:p>
        </w:tc>
      </w:tr>
      <w:tr w14:paraId="177D12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2276" w:type="dxa"/>
            <w:gridSpan w:val="3"/>
            <w:vAlign w:val="top"/>
          </w:tcPr>
          <w:p w14:paraId="7361C3B5">
            <w:pPr>
              <w:pStyle w:val="12"/>
              <w:spacing w:before="291" w:line="221" w:lineRule="auto"/>
              <w:ind w:left="115" w:leftChars="0"/>
              <w:rPr>
                <w:rFonts w:hint="default" w:eastAsia="宋体"/>
                <w:color w:val="auto"/>
                <w:spacing w:val="-1"/>
                <w:highlight w:val="none"/>
                <w:lang w:val="en-US" w:eastAsia="zh-CN"/>
              </w:rPr>
            </w:pPr>
            <w:r>
              <w:rPr>
                <w:rFonts w:hint="eastAsia"/>
                <w:color w:val="auto"/>
                <w:spacing w:val="-1"/>
                <w:highlight w:val="none"/>
                <w:lang w:val="en-US" w:eastAsia="zh-CN"/>
              </w:rPr>
              <w:t>6.其它要求</w:t>
            </w:r>
          </w:p>
        </w:tc>
        <w:tc>
          <w:tcPr>
            <w:tcW w:w="7306" w:type="dxa"/>
            <w:gridSpan w:val="3"/>
            <w:vAlign w:val="top"/>
          </w:tcPr>
          <w:p w14:paraId="3BFE12CE">
            <w:pPr>
              <w:pStyle w:val="12"/>
              <w:spacing w:before="112" w:line="265" w:lineRule="auto"/>
              <w:ind w:left="113" w:leftChars="0" w:right="102" w:rightChars="0" w:hanging="13" w:firstLineChars="0"/>
              <w:rPr>
                <w:rFonts w:hint="eastAsia"/>
                <w:color w:val="auto"/>
                <w:spacing w:val="-1"/>
                <w:highlight w:val="none"/>
                <w:lang w:val="en-US" w:eastAsia="zh-CN"/>
              </w:rPr>
            </w:pPr>
            <w:r>
              <w:rPr>
                <w:rFonts w:hint="eastAsia"/>
                <w:color w:val="auto"/>
                <w:spacing w:val="-1"/>
                <w:highlight w:val="none"/>
                <w:lang w:val="en-US" w:eastAsia="zh-CN"/>
              </w:rPr>
              <w:t xml:space="preserve">1、成交供应商对在工作过程中接触到的采购人的任何资料、文件、数据(无论是书面形式的还是电子版的)，以及对为采购人服务形成的任何交付物，负有保密的责任。未经采购人书面同意，成交供应商不得以任何方式向任何第三方提供或透露。 </w:t>
            </w:r>
          </w:p>
          <w:p w14:paraId="3A256401">
            <w:pPr>
              <w:pStyle w:val="12"/>
              <w:spacing w:before="112" w:line="265" w:lineRule="auto"/>
              <w:ind w:left="113" w:leftChars="0" w:right="102" w:rightChars="0" w:hanging="13" w:firstLineChars="0"/>
              <w:rPr>
                <w:rFonts w:hint="eastAsia"/>
                <w:color w:val="auto"/>
                <w:spacing w:val="-1"/>
                <w:highlight w:val="none"/>
                <w:lang w:val="en-US" w:eastAsia="zh-CN"/>
              </w:rPr>
            </w:pPr>
            <w:r>
              <w:rPr>
                <w:rFonts w:hint="eastAsia"/>
                <w:color w:val="auto"/>
                <w:spacing w:val="-1"/>
                <w:highlight w:val="none"/>
                <w:lang w:val="en-US" w:eastAsia="zh-CN"/>
              </w:rPr>
              <w:t xml:space="preserve">2、成交供应商不得将涉密资料在计算机互联网、政务网等非涉密网络上传输、登载。 </w:t>
            </w:r>
          </w:p>
          <w:p w14:paraId="081F798F">
            <w:pPr>
              <w:pStyle w:val="12"/>
              <w:spacing w:before="112" w:line="265" w:lineRule="auto"/>
              <w:ind w:left="113" w:leftChars="0" w:right="102" w:rightChars="0" w:hanging="13" w:firstLineChars="0"/>
              <w:rPr>
                <w:color w:val="auto"/>
                <w:spacing w:val="-1"/>
                <w:highlight w:val="none"/>
                <w:lang w:val="en-US" w:eastAsia="zh-CN"/>
              </w:rPr>
            </w:pPr>
            <w:r>
              <w:rPr>
                <w:rFonts w:hint="eastAsia"/>
                <w:color w:val="auto"/>
                <w:spacing w:val="-1"/>
                <w:highlight w:val="none"/>
                <w:lang w:val="en-US" w:eastAsia="zh-CN"/>
              </w:rPr>
              <w:t>3、成交供应商发生涉密资料外传、丢失、被盗或者造成泄密事故的，应采取有效措施，及时补救，并及时向采购人报告；否则所造成的后果均由成交供应商承担。</w:t>
            </w:r>
          </w:p>
          <w:p w14:paraId="32E9E74F">
            <w:pPr>
              <w:pStyle w:val="12"/>
              <w:spacing w:before="112" w:line="265" w:lineRule="auto"/>
              <w:ind w:left="113" w:leftChars="0" w:right="102" w:rightChars="0" w:firstLine="430" w:firstLineChars="0"/>
              <w:rPr>
                <w:color w:val="auto"/>
                <w:spacing w:val="-1"/>
                <w:highlight w:val="none"/>
              </w:rPr>
            </w:pPr>
          </w:p>
        </w:tc>
      </w:tr>
      <w:tr w14:paraId="69B813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9582" w:type="dxa"/>
            <w:gridSpan w:val="6"/>
            <w:vAlign w:val="top"/>
          </w:tcPr>
          <w:p w14:paraId="5686B73F">
            <w:pPr>
              <w:pStyle w:val="12"/>
              <w:spacing w:before="109" w:line="284" w:lineRule="auto"/>
              <w:ind w:left="110" w:right="170" w:firstLine="419"/>
              <w:jc w:val="both"/>
              <w:rPr>
                <w:rFonts w:hint="eastAsia"/>
                <w:color w:val="auto"/>
                <w:highlight w:val="none"/>
                <w:lang w:val="en-US" w:eastAsia="zh-CN"/>
              </w:rPr>
            </w:pPr>
            <w:r>
              <w:rPr>
                <w:b/>
                <w:bCs/>
                <w:color w:val="auto"/>
                <w:spacing w:val="-3"/>
                <w:highlight w:val="none"/>
              </w:rPr>
              <w:t>二、与实现项目目标相关的其他要求</w:t>
            </w:r>
          </w:p>
        </w:tc>
      </w:tr>
      <w:tr w14:paraId="2B7DB4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9582" w:type="dxa"/>
            <w:gridSpan w:val="6"/>
            <w:vAlign w:val="top"/>
          </w:tcPr>
          <w:p w14:paraId="6BA2A83A">
            <w:pPr>
              <w:pStyle w:val="12"/>
              <w:spacing w:before="1" w:line="266" w:lineRule="auto"/>
              <w:ind w:left="134" w:leftChars="0" w:right="143" w:rightChars="0" w:firstLine="399" w:firstLineChars="0"/>
              <w:rPr>
                <w:color w:val="auto"/>
                <w:spacing w:val="-5"/>
                <w:highlight w:val="none"/>
              </w:rPr>
            </w:pPr>
            <w:r>
              <w:rPr>
                <w:rFonts w:hint="eastAsia" w:ascii="宋体" w:hAnsi="宋体"/>
                <w:b/>
                <w:i w:val="0"/>
                <w:iCs w:val="0"/>
                <w:color w:val="auto"/>
                <w:szCs w:val="21"/>
                <w:highlight w:val="none"/>
              </w:rPr>
              <w:t>（一）供应商的履约能力要求</w:t>
            </w:r>
          </w:p>
        </w:tc>
      </w:tr>
      <w:tr w14:paraId="5FA9EB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2276" w:type="dxa"/>
            <w:gridSpan w:val="3"/>
            <w:vAlign w:val="top"/>
          </w:tcPr>
          <w:p w14:paraId="1B232675">
            <w:pPr>
              <w:pStyle w:val="12"/>
              <w:spacing w:before="111" w:line="216" w:lineRule="auto"/>
              <w:ind w:left="120" w:leftChars="0"/>
              <w:rPr>
                <w:color w:val="auto"/>
                <w:spacing w:val="-2"/>
                <w:highlight w:val="none"/>
              </w:rPr>
            </w:pPr>
            <w:r>
              <w:rPr>
                <w:color w:val="auto"/>
                <w:spacing w:val="-2"/>
                <w:highlight w:val="none"/>
              </w:rPr>
              <w:t>管理体系要求</w:t>
            </w:r>
          </w:p>
        </w:tc>
        <w:tc>
          <w:tcPr>
            <w:tcW w:w="7306" w:type="dxa"/>
            <w:gridSpan w:val="3"/>
            <w:vAlign w:val="top"/>
          </w:tcPr>
          <w:p w14:paraId="41A0053B">
            <w:pPr>
              <w:pStyle w:val="12"/>
              <w:spacing w:before="111" w:line="216" w:lineRule="auto"/>
              <w:ind w:left="536" w:leftChars="0"/>
              <w:rPr>
                <w:color w:val="auto"/>
                <w:spacing w:val="-5"/>
                <w:highlight w:val="none"/>
              </w:rPr>
            </w:pPr>
            <w:r>
              <w:rPr>
                <w:color w:val="auto"/>
                <w:spacing w:val="-1"/>
                <w:highlight w:val="none"/>
              </w:rPr>
              <w:t>见本竞争性磋商文件“评审方法和评审标准”。</w:t>
            </w:r>
          </w:p>
        </w:tc>
      </w:tr>
      <w:tr w14:paraId="30BB51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2276" w:type="dxa"/>
            <w:gridSpan w:val="3"/>
            <w:vAlign w:val="top"/>
          </w:tcPr>
          <w:p w14:paraId="299C2BE1">
            <w:pPr>
              <w:pStyle w:val="12"/>
              <w:spacing w:before="108" w:line="216" w:lineRule="auto"/>
              <w:ind w:left="117" w:leftChars="0"/>
              <w:rPr>
                <w:color w:val="auto"/>
                <w:spacing w:val="-2"/>
                <w:highlight w:val="none"/>
              </w:rPr>
            </w:pPr>
            <w:r>
              <w:rPr>
                <w:color w:val="auto"/>
                <w:spacing w:val="-2"/>
                <w:highlight w:val="none"/>
              </w:rPr>
              <w:t>业绩要求</w:t>
            </w:r>
          </w:p>
        </w:tc>
        <w:tc>
          <w:tcPr>
            <w:tcW w:w="7306" w:type="dxa"/>
            <w:gridSpan w:val="3"/>
            <w:vAlign w:val="top"/>
          </w:tcPr>
          <w:p w14:paraId="32783E3A">
            <w:pPr>
              <w:pStyle w:val="12"/>
              <w:spacing w:before="108" w:line="216" w:lineRule="auto"/>
              <w:ind w:left="536" w:leftChars="0"/>
              <w:rPr>
                <w:color w:val="auto"/>
                <w:spacing w:val="-5"/>
                <w:highlight w:val="none"/>
              </w:rPr>
            </w:pPr>
            <w:r>
              <w:rPr>
                <w:color w:val="auto"/>
                <w:spacing w:val="-1"/>
                <w:highlight w:val="none"/>
              </w:rPr>
              <w:t>见本竞争性磋商文件“评审方法和评审标准”。</w:t>
            </w:r>
          </w:p>
        </w:tc>
      </w:tr>
      <w:tr w14:paraId="35F967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9582" w:type="dxa"/>
            <w:gridSpan w:val="6"/>
            <w:vAlign w:val="top"/>
          </w:tcPr>
          <w:p w14:paraId="4EF0C379">
            <w:pPr>
              <w:pStyle w:val="12"/>
              <w:spacing w:before="107" w:line="266" w:lineRule="auto"/>
              <w:ind w:left="113" w:leftChars="0" w:right="102" w:rightChars="0" w:firstLine="423" w:firstLineChars="0"/>
              <w:rPr>
                <w:color w:val="auto"/>
                <w:spacing w:val="-5"/>
                <w:highlight w:val="none"/>
              </w:rPr>
            </w:pPr>
            <w:r>
              <w:rPr>
                <w:rFonts w:hint="eastAsia" w:ascii="宋体" w:hAnsi="宋体"/>
                <w:b/>
                <w:i w:val="0"/>
                <w:iCs w:val="0"/>
                <w:color w:val="auto"/>
                <w:szCs w:val="21"/>
                <w:highlight w:val="none"/>
              </w:rPr>
              <w:t>（二）验收标准</w:t>
            </w:r>
          </w:p>
        </w:tc>
      </w:tr>
      <w:tr w14:paraId="2A5B7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9582" w:type="dxa"/>
            <w:gridSpan w:val="6"/>
            <w:vAlign w:val="top"/>
          </w:tcPr>
          <w:p w14:paraId="54F74C43">
            <w:pPr>
              <w:pStyle w:val="12"/>
              <w:spacing w:before="107" w:line="266" w:lineRule="auto"/>
              <w:ind w:left="113" w:leftChars="0" w:right="102" w:rightChars="0" w:firstLine="423" w:firstLineChars="0"/>
              <w:rPr>
                <w:rFonts w:hint="eastAsia"/>
                <w:color w:val="auto"/>
                <w:spacing w:val="-5"/>
                <w:highlight w:val="none"/>
              </w:rPr>
            </w:pPr>
            <w:r>
              <w:rPr>
                <w:rFonts w:hint="eastAsia"/>
                <w:color w:val="auto"/>
                <w:spacing w:val="-5"/>
                <w:highlight w:val="none"/>
              </w:rPr>
              <w:t>1、验收过程中所产生的一切费用均由供应商承担。报价时应考虑相关费用。</w:t>
            </w:r>
          </w:p>
          <w:p w14:paraId="3170E789">
            <w:pPr>
              <w:pStyle w:val="12"/>
              <w:spacing w:before="107" w:line="266" w:lineRule="auto"/>
              <w:ind w:left="113" w:leftChars="0" w:right="102" w:rightChars="0" w:firstLine="423" w:firstLineChars="0"/>
              <w:rPr>
                <w:rFonts w:hint="eastAsia"/>
                <w:color w:val="auto"/>
                <w:spacing w:val="-5"/>
                <w:highlight w:val="none"/>
              </w:rPr>
            </w:pPr>
            <w:r>
              <w:rPr>
                <w:rFonts w:hint="eastAsia"/>
                <w:color w:val="auto"/>
                <w:spacing w:val="-5"/>
                <w:highlight w:val="none"/>
              </w:rPr>
              <w:t>2、在服务验收时由采购单位对照竞争性磋商文件及响应文件的技术要求全面核对检验，对所有要求出具的证明文件的原件进行核查，如不符合竞争性磋商文件或响应文件的技术要求以及国家标准、行业标准、地方标准或者其他标准、规范或提供虚假承诺的，按相关规定做违约处理，供应商承担所有责任和费用，采购人保留进一步追究责任的权利。</w:t>
            </w:r>
          </w:p>
          <w:p w14:paraId="12B1D68A">
            <w:pPr>
              <w:pStyle w:val="12"/>
              <w:spacing w:before="107" w:line="266" w:lineRule="auto"/>
              <w:ind w:left="113" w:leftChars="0" w:right="102" w:rightChars="0" w:firstLine="423" w:firstLineChars="0"/>
              <w:rPr>
                <w:color w:val="auto"/>
                <w:spacing w:val="-5"/>
                <w:highlight w:val="none"/>
              </w:rPr>
            </w:pPr>
            <w:r>
              <w:rPr>
                <w:rFonts w:hint="eastAsia"/>
                <w:color w:val="auto"/>
                <w:spacing w:val="-5"/>
                <w:highlight w:val="none"/>
              </w:rPr>
              <w:t>3、本章《技术要求》有其他要求的按其要求。</w:t>
            </w:r>
          </w:p>
        </w:tc>
      </w:tr>
      <w:tr w14:paraId="02EFC6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9582" w:type="dxa"/>
            <w:gridSpan w:val="6"/>
            <w:vAlign w:val="top"/>
          </w:tcPr>
          <w:p w14:paraId="5046455E">
            <w:pPr>
              <w:pStyle w:val="12"/>
              <w:spacing w:before="107" w:line="266" w:lineRule="auto"/>
              <w:ind w:left="113" w:leftChars="0" w:right="102" w:rightChars="0" w:firstLine="423" w:firstLineChars="0"/>
              <w:rPr>
                <w:color w:val="auto"/>
                <w:spacing w:val="-2"/>
                <w:highlight w:val="none"/>
              </w:rPr>
            </w:pPr>
            <w:r>
              <w:rPr>
                <w:rFonts w:hint="eastAsia"/>
                <w:b/>
                <w:bCs/>
                <w:color w:val="auto"/>
                <w:spacing w:val="-3"/>
                <w:highlight w:val="none"/>
                <w:lang w:eastAsia="zh-CN"/>
              </w:rPr>
              <w:t>（</w:t>
            </w:r>
            <w:r>
              <w:rPr>
                <w:b/>
                <w:bCs/>
                <w:color w:val="auto"/>
                <w:spacing w:val="-3"/>
                <w:highlight w:val="none"/>
              </w:rPr>
              <w:t>三</w:t>
            </w:r>
            <w:r>
              <w:rPr>
                <w:rFonts w:hint="eastAsia"/>
                <w:b/>
                <w:bCs/>
                <w:color w:val="auto"/>
                <w:spacing w:val="-3"/>
                <w:highlight w:val="none"/>
                <w:lang w:eastAsia="zh-CN"/>
              </w:rPr>
              <w:t>）</w:t>
            </w:r>
            <w:r>
              <w:rPr>
                <w:b/>
                <w:bCs/>
                <w:color w:val="auto"/>
                <w:spacing w:val="-3"/>
                <w:highlight w:val="none"/>
              </w:rPr>
              <w:t>其他要求</w:t>
            </w:r>
          </w:p>
        </w:tc>
      </w:tr>
      <w:tr w14:paraId="0EFD54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9582" w:type="dxa"/>
            <w:gridSpan w:val="6"/>
            <w:vAlign w:val="top"/>
          </w:tcPr>
          <w:p w14:paraId="487BA6ED">
            <w:pPr>
              <w:pStyle w:val="12"/>
              <w:spacing w:before="111" w:line="268" w:lineRule="auto"/>
              <w:ind w:left="115" w:right="105" w:firstLine="436"/>
              <w:rPr>
                <w:color w:val="auto"/>
                <w:spacing w:val="-2"/>
                <w:highlight w:val="none"/>
              </w:rPr>
            </w:pPr>
            <w:r>
              <w:rPr>
                <w:color w:val="auto"/>
                <w:spacing w:val="-2"/>
                <w:highlight w:val="none"/>
              </w:rPr>
              <w:t>供应商根据项目服务基本要求和自身情况，</w:t>
            </w:r>
            <w:r>
              <w:rPr>
                <w:color w:val="auto"/>
                <w:spacing w:val="-3"/>
                <w:highlight w:val="none"/>
              </w:rPr>
              <w:t>可于响应文件提供</w:t>
            </w:r>
            <w:r>
              <w:rPr>
                <w:rFonts w:hint="eastAsia"/>
                <w:color w:val="auto"/>
                <w:spacing w:val="-3"/>
                <w:highlight w:val="none"/>
                <w:lang w:val="en-US" w:eastAsia="zh-CN"/>
              </w:rPr>
              <w:t>本项目中</w:t>
            </w:r>
            <w:r>
              <w:rPr>
                <w:b/>
                <w:bCs/>
                <w:color w:val="auto"/>
                <w:spacing w:val="-2"/>
                <w:highlight w:val="none"/>
              </w:rPr>
              <w:t>评审因素</w:t>
            </w:r>
            <w:r>
              <w:rPr>
                <w:rFonts w:hint="eastAsia"/>
                <w:color w:val="auto"/>
                <w:spacing w:val="-1"/>
                <w:highlight w:val="none"/>
                <w:lang w:val="en-US" w:eastAsia="zh-CN"/>
              </w:rPr>
              <w:t>要求</w:t>
            </w:r>
            <w:r>
              <w:rPr>
                <w:color w:val="auto"/>
                <w:spacing w:val="-1"/>
                <w:highlight w:val="none"/>
              </w:rPr>
              <w:t>的内容。</w:t>
            </w:r>
            <w:r>
              <w:rPr>
                <w:rFonts w:hint="eastAsia" w:ascii="宋体" w:hAnsi="宋体"/>
                <w:i w:val="0"/>
                <w:iCs w:val="0"/>
                <w:color w:val="auto"/>
                <w:szCs w:val="21"/>
                <w:highlight w:val="none"/>
              </w:rPr>
              <w:t>此作为评审小组评审时的重要依据。</w:t>
            </w:r>
          </w:p>
        </w:tc>
      </w:tr>
    </w:tbl>
    <w:p w14:paraId="3D3BF8F1">
      <w:pPr>
        <w:rPr>
          <w:color w:val="auto"/>
          <w:highlight w:val="none"/>
        </w:rPr>
        <w:sectPr>
          <w:footerReference r:id="rId22" w:type="default"/>
          <w:pgSz w:w="11907" w:h="16839"/>
          <w:pgMar w:top="1431" w:right="826" w:bottom="1154" w:left="1493" w:header="0" w:footer="952" w:gutter="0"/>
          <w:cols w:space="720" w:num="1"/>
        </w:sectPr>
      </w:pPr>
    </w:p>
    <w:p w14:paraId="57BEDE5D">
      <w:pPr>
        <w:spacing w:line="91" w:lineRule="auto"/>
        <w:rPr>
          <w:rFonts w:ascii="Arial"/>
          <w:color w:val="auto"/>
          <w:sz w:val="2"/>
          <w:highlight w:val="none"/>
        </w:rPr>
      </w:pPr>
    </w:p>
    <w:p w14:paraId="71C1D6B9">
      <w:pPr>
        <w:tabs>
          <w:tab w:val="left" w:pos="180"/>
          <w:tab w:val="left" w:pos="1620"/>
        </w:tabs>
        <w:spacing w:line="360" w:lineRule="auto"/>
        <w:rPr>
          <w:rFonts w:ascii="宋体" w:hAnsi="宋体" w:cs="宋体"/>
          <w:b/>
          <w:bCs/>
          <w:i w:val="0"/>
          <w:iCs w:val="0"/>
          <w:color w:val="auto"/>
          <w:szCs w:val="21"/>
          <w:highlight w:val="none"/>
        </w:rPr>
      </w:pPr>
      <w:r>
        <w:rPr>
          <w:rFonts w:hint="eastAsia" w:ascii="黑体" w:hAnsi="黑体" w:eastAsia="黑体" w:cs="黑体"/>
          <w:i w:val="0"/>
          <w:iCs w:val="0"/>
          <w:color w:val="auto"/>
          <w:sz w:val="32"/>
          <w:szCs w:val="32"/>
          <w:highlight w:val="none"/>
        </w:rPr>
        <w:t>附件</w:t>
      </w:r>
      <w:r>
        <w:rPr>
          <w:rFonts w:hint="eastAsia" w:ascii="黑体" w:hAnsi="黑体" w:eastAsia="黑体" w:cs="黑体"/>
          <w:i w:val="0"/>
          <w:iCs w:val="0"/>
          <w:color w:val="auto"/>
          <w:sz w:val="32"/>
          <w:szCs w:val="32"/>
          <w:highlight w:val="none"/>
          <w:lang w:val="en-US" w:eastAsia="zh-CN"/>
        </w:rPr>
        <w:t>1</w:t>
      </w:r>
      <w:r>
        <w:rPr>
          <w:rFonts w:hint="eastAsia" w:ascii="黑体" w:hAnsi="黑体" w:eastAsia="黑体" w:cs="黑体"/>
          <w:i w:val="0"/>
          <w:iCs w:val="0"/>
          <w:color w:val="auto"/>
          <w:sz w:val="32"/>
          <w:szCs w:val="32"/>
          <w:highlight w:val="none"/>
        </w:rPr>
        <w:t>：</w:t>
      </w:r>
    </w:p>
    <w:tbl>
      <w:tblPr>
        <w:tblStyle w:val="7"/>
        <w:tblW w:w="945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2"/>
        <w:gridCol w:w="3537"/>
        <w:gridCol w:w="770"/>
        <w:gridCol w:w="1436"/>
        <w:gridCol w:w="1611"/>
        <w:gridCol w:w="1571"/>
      </w:tblGrid>
      <w:tr w14:paraId="32F31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20FE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序号</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511B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项目名称</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60CF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单位</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128C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项目投资金额（元）</w:t>
            </w:r>
          </w:p>
        </w:tc>
        <w:tc>
          <w:tcPr>
            <w:tcW w:w="1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D5B8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主要建设内容</w:t>
            </w:r>
          </w:p>
        </w:tc>
        <w:tc>
          <w:tcPr>
            <w:tcW w:w="1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BF72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复核验收采购预算（元）</w:t>
            </w:r>
          </w:p>
        </w:tc>
      </w:tr>
      <w:tr w14:paraId="0A244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945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F74BA">
            <w:pPr>
              <w:keepNext w:val="0"/>
              <w:keepLines w:val="0"/>
              <w:widowControl/>
              <w:suppressLineNumbers w:val="0"/>
              <w:jc w:val="center"/>
              <w:textAlignment w:val="center"/>
              <w:rPr>
                <w:rFonts w:ascii="黑体" w:hAnsi="宋体" w:eastAsia="黑体" w:cs="黑体"/>
                <w:b/>
                <w:bCs/>
                <w:i w:val="0"/>
                <w:iCs w:val="0"/>
                <w:color w:val="000000"/>
                <w:sz w:val="22"/>
                <w:szCs w:val="22"/>
                <w:u w:val="none"/>
              </w:rPr>
            </w:pPr>
            <w:r>
              <w:rPr>
                <w:rFonts w:hint="eastAsia" w:ascii="黑体" w:hAnsi="宋体" w:eastAsia="黑体" w:cs="黑体"/>
                <w:b/>
                <w:bCs/>
                <w:i w:val="0"/>
                <w:iCs w:val="0"/>
                <w:snapToGrid w:val="0"/>
                <w:color w:val="000000"/>
                <w:kern w:val="0"/>
                <w:sz w:val="22"/>
                <w:szCs w:val="22"/>
                <w:u w:val="none"/>
                <w:lang w:val="en-US" w:eastAsia="zh-CN" w:bidi="ar"/>
              </w:rPr>
              <w:t>第一批</w:t>
            </w:r>
          </w:p>
        </w:tc>
      </w:tr>
      <w:tr w14:paraId="6582A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D87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top"/>
          </w:tcPr>
          <w:p w14:paraId="47816B8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北流市2026年第一批财政衔接推进乡村振兴补助资金产业提升项目西埌镇木棉村集体经济厂房三期</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D97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63B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4684548.94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BC0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厂房建设</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0DB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93690.9788</w:t>
            </w:r>
          </w:p>
        </w:tc>
      </w:tr>
      <w:tr w14:paraId="73FDA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F9B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top"/>
          </w:tcPr>
          <w:p w14:paraId="0509639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北流市2026年第一批财政衔接推进乡村振兴补助资金产业提升项目民乐镇萝村指月组厂房二期</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4E7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268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1423178.81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D40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厂房建设</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EC3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28463.5762</w:t>
            </w:r>
          </w:p>
        </w:tc>
      </w:tr>
      <w:tr w14:paraId="3B003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337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top"/>
          </w:tcPr>
          <w:p w14:paraId="066D9F5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北流市2026年第一批财政衔接推进乡村振兴补助资金产业提升项目塘岸镇利民村集体经济标准化厂房</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BF2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706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2782750.05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40A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厂房建设</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5AF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55655.001</w:t>
            </w:r>
          </w:p>
        </w:tc>
      </w:tr>
      <w:tr w14:paraId="0519A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DEA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top"/>
          </w:tcPr>
          <w:p w14:paraId="62EFF1D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北流市2026年第一批财政衔接推进乡村振兴补助资金产业提升项目六靖镇镇南村集体经济标准化厂房</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B3C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B19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2222627.75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07A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厂房建设</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50D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44452.555</w:t>
            </w:r>
          </w:p>
        </w:tc>
      </w:tr>
      <w:tr w14:paraId="4C2BA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3"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EC3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top"/>
          </w:tcPr>
          <w:p w14:paraId="6DD19CA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北流市2026年第一批财政衔接推进乡村振兴补助资金产业提升项目新荣镇新荣村新岭组榄根至风门丫荔枝品改产业道路二期</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ECA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8F8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356915.00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D18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3CC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7138.3</w:t>
            </w:r>
          </w:p>
        </w:tc>
      </w:tr>
      <w:tr w14:paraId="19A1B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D58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top"/>
          </w:tcPr>
          <w:p w14:paraId="00898CD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北流市2026年第一批财政衔接推进乡村振兴补助资金产业提升项目山围镇丰垌村佛尾岭组油茶基地配套设施</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470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945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248546.69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129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6A9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4970.9338</w:t>
            </w:r>
          </w:p>
        </w:tc>
      </w:tr>
      <w:tr w14:paraId="3F65D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DE7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top"/>
          </w:tcPr>
          <w:p w14:paraId="4D4767F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北流市2026年第一批财政衔接推进乡村振兴补助资金产业提升项目山围镇丰垌村飞鼠顶组至陆角冲产业道路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4E1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31A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448260.00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CCC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3C4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8965.2</w:t>
            </w:r>
          </w:p>
        </w:tc>
      </w:tr>
      <w:tr w14:paraId="154C3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3F1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top"/>
          </w:tcPr>
          <w:p w14:paraId="28D4B95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北流市2026年第一批财政衔接推进乡村振兴补助资金产业提升项目山围镇李村三黄鸡养殖场产业道路硬化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E9A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890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149498.41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93A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204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2989.9682</w:t>
            </w:r>
          </w:p>
        </w:tc>
      </w:tr>
      <w:tr w14:paraId="5ABE9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4AF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9</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top"/>
          </w:tcPr>
          <w:p w14:paraId="5F14D24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北流市2026年第一批财政衔接推进乡村振兴补助资金产业提升项目白须村五组荔枝产业道路硬化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F09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388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197665.00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96D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738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3953.3</w:t>
            </w:r>
          </w:p>
        </w:tc>
      </w:tr>
      <w:tr w14:paraId="40AA9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377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top"/>
          </w:tcPr>
          <w:p w14:paraId="3B90634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北流市2026年第一批财政衔接推进乡村振兴补助资金产业提升项目清水口镇大罗村中草药产业道路硬化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86C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DB9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219386.93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6FA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328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4387.7386</w:t>
            </w:r>
          </w:p>
        </w:tc>
      </w:tr>
      <w:tr w14:paraId="242AC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C1D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11</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top"/>
          </w:tcPr>
          <w:p w14:paraId="7D768CE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北流市2026年第一批财政衔接推进乡村振兴补助资金产业提升项目隆盛镇中和村凤阳组荔枝产业配套设施</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8A2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0DA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278223.51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84A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80A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5564.4702</w:t>
            </w:r>
          </w:p>
        </w:tc>
      </w:tr>
      <w:tr w14:paraId="58C90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B11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12</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top"/>
          </w:tcPr>
          <w:p w14:paraId="5A0C1BA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北流市2026年第一批财政衔接推进乡村振兴补助资金产业提升项目隆盛镇中和村荔塘境口至荔塘化顶产业路硬化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1AB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723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197954.88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820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A8E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3959.0976</w:t>
            </w:r>
          </w:p>
        </w:tc>
      </w:tr>
      <w:tr w14:paraId="4B2C2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47F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13</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top"/>
          </w:tcPr>
          <w:p w14:paraId="513071D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北流市2026年第一批财政衔接推进乡村振兴补助资金产业提升项目六麻镇新平村双坡组生猪养殖产业道路硬化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FC6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10D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277998.00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55E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CD2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5559.96</w:t>
            </w:r>
          </w:p>
        </w:tc>
      </w:tr>
      <w:tr w14:paraId="01DAD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2D7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14</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top"/>
          </w:tcPr>
          <w:p w14:paraId="7A53776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北流市2026年第一批财政衔接推进乡村振兴补助资金产业提升项目六靖镇镇南村横石组产业道路硬化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791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832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148568.30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C38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1AB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2971.366</w:t>
            </w:r>
          </w:p>
        </w:tc>
      </w:tr>
      <w:tr w14:paraId="3E946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FE6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15</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top"/>
          </w:tcPr>
          <w:p w14:paraId="3E454CE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北流市2026年第一批财政衔接推进乡村振兴补助资金产业提升项目六靖镇镇南村独山组产业道路硬化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984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39F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274755.00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1F4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834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5495.1</w:t>
            </w:r>
          </w:p>
        </w:tc>
      </w:tr>
      <w:tr w14:paraId="3950E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0D0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16</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top"/>
          </w:tcPr>
          <w:p w14:paraId="1F3D62C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北流市2026年第一批财政衔接推进乡村振兴补助资金产业提升项目六靖镇长江村东方红组产业道路硬化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75B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A8D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199562.88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5B8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9DF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3991.2576</w:t>
            </w:r>
          </w:p>
        </w:tc>
      </w:tr>
      <w:tr w14:paraId="1E178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D94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17</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top"/>
          </w:tcPr>
          <w:p w14:paraId="353ED6F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北流市2026年第一批财政衔接推进乡村振兴补助资金产业提升项目清湾镇双龙村大头垌组产业道路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DC3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87C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113388.46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098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861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2267.7692</w:t>
            </w:r>
          </w:p>
        </w:tc>
      </w:tr>
      <w:tr w14:paraId="58970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3"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22F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18</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top"/>
          </w:tcPr>
          <w:p w14:paraId="19F5088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北流市2026年第一批财政衔接推进乡村振兴补助资金新型农村集体经济项目新圩镇宋村集体经济标准化厂房加高项目</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3D5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528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3205927.32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1B5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厂房建设</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FA7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64118.5464</w:t>
            </w:r>
          </w:p>
        </w:tc>
      </w:tr>
      <w:tr w14:paraId="3026A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689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19</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top"/>
          </w:tcPr>
          <w:p w14:paraId="44FE5E2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北流市2026年第一批财政衔接推进乡村振兴补助资金新型农村集体经济项目六麻镇集体经济标准化厂房</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272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CB5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2738334.41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E00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厂房建设</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085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54766.6882</w:t>
            </w:r>
          </w:p>
        </w:tc>
      </w:tr>
      <w:tr w14:paraId="783E0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41B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top"/>
          </w:tcPr>
          <w:p w14:paraId="7523986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北流市2026年第一批财政衔接推进乡村振兴补助资金新型农村集体经济项目六靖镇集体经济标准化厂房</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E15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135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5314902.93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2AF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厂房建设</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D68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106298.0586</w:t>
            </w:r>
          </w:p>
        </w:tc>
      </w:tr>
      <w:tr w14:paraId="7B6AE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9BA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21</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top"/>
          </w:tcPr>
          <w:p w14:paraId="5BA5E30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北流市2026年第一批财政衔接推进乡村振兴补助资金新型农村集体经济项目石窝镇集体标准化厂房加高项目</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7F2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A5B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3273066.15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B17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厂房建设</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039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65461.323</w:t>
            </w:r>
          </w:p>
        </w:tc>
      </w:tr>
      <w:tr w14:paraId="7D53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061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22</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top"/>
          </w:tcPr>
          <w:p w14:paraId="59102F1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北流市2026年第一批财政衔接推进乡村振兴补助资金新型农村集体经济项目清湾镇集体经济标准化厂房(一期）</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20C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031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2752993.27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6A0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厂房建设</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CA5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55059.8654</w:t>
            </w:r>
          </w:p>
        </w:tc>
      </w:tr>
      <w:tr w14:paraId="77D09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8"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5AF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23</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A92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北流市2026年第一批财政衔接推进乡村振兴补助资金基础设施建设项目大伦镇旺贺村六好分校后水泥路口至大田垌李屋门口道路硬化工程</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00C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79A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54324.00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BCC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972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1086.48</w:t>
            </w:r>
          </w:p>
        </w:tc>
      </w:tr>
      <w:tr w14:paraId="4874C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FB3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24</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3BF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北流市2026年第一批财政衔接推进乡村振兴补助资金基础设施建设项目民乐镇元常村勒竹岐组组内道路硬化工程</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387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D0A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38755.75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08B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145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775.115</w:t>
            </w:r>
          </w:p>
        </w:tc>
      </w:tr>
      <w:tr w14:paraId="4AD4F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8F0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25</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C5F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北流市2026年第一批财政衔接推进乡村振兴补助资金基础设施建设项目平政镇石榴村六堤组道路拓宽项目</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562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656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380395.00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E93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B10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7607.9</w:t>
            </w:r>
          </w:p>
        </w:tc>
      </w:tr>
      <w:tr w14:paraId="5EE70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996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26</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FF4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北流市2026年第一批财政衔接推进乡村振兴补助资金基础设施建设项目石窝镇上垌村洋伦口至洋伦尾道路硬化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1E0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9A3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227573.00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520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FA0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4551.46</w:t>
            </w:r>
          </w:p>
        </w:tc>
      </w:tr>
      <w:tr w14:paraId="36C78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3"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2CE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27</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F20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北流市2026年第一批财政衔接推进乡村振兴补助资金基础设施建设项目新圩镇旺山村旺山界至新圩环圩路道路两边拓宽</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705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625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98166.00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B5E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875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1963.32</w:t>
            </w:r>
          </w:p>
        </w:tc>
      </w:tr>
      <w:tr w14:paraId="6252B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A6C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28</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97E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北流市2026年第一批财政衔接推进乡村振兴补助资金基础设施建设项目隆盛镇南禄村大沙组路口至振山口组道路拓宽项目</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A9A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167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99293.00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560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910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1985.86</w:t>
            </w:r>
          </w:p>
        </w:tc>
      </w:tr>
      <w:tr w14:paraId="1D28C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8B3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29</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3B2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北流市2026年第一批财政衔接推进乡村振兴补助资金基础设施建设项目石窝镇华东村圩组道路硬化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DBF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4F4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97053.00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381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97D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1941.06</w:t>
            </w:r>
          </w:p>
        </w:tc>
      </w:tr>
      <w:tr w14:paraId="33E78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485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47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北流市2026年第一批财政衔接推进乡村振兴补助资金基础设施建设项目白马镇东塘村荔枝组陂肚桥危桥改造</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CBF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05D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222489.00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B5B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桥梁重建</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51D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4449.78</w:t>
            </w:r>
          </w:p>
        </w:tc>
      </w:tr>
      <w:tr w14:paraId="34F28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15E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5D5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北流市2026年第一批财政衔接推进乡村振兴补助资金基础设施建设项目六靖镇镇南村四山坡桥</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CE7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A98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358995.00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FE3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桥梁重建</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075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7179.9</w:t>
            </w:r>
          </w:p>
        </w:tc>
      </w:tr>
      <w:tr w14:paraId="3F189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D2F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32</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8BC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北流市2026年第一批财政衔接推进乡村振兴补助资金基础设施建设项目六靖镇旺坡村邦根组危桥改造</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7A2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A63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305666.00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C8C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桥梁重建</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D79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6113.32</w:t>
            </w:r>
          </w:p>
        </w:tc>
      </w:tr>
      <w:tr w14:paraId="2C562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B2B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33</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CEB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北流市2026年第一批财政衔接推进乡村振兴补助资金基础设施建设项目石窝镇龙田村福村组危桥改造</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E70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347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964013.00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B30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桥梁重建</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E5E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19280.26</w:t>
            </w:r>
          </w:p>
        </w:tc>
      </w:tr>
      <w:tr w14:paraId="1F5A0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76D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34</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539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北流市2026年第一批财政衔接推进乡村振兴补助资金基础设施建设项目六麻镇三和村公路至狐狸脚田危桥改造</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F00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749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497250.00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B9B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桥梁重建</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B27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9945</w:t>
            </w:r>
          </w:p>
        </w:tc>
      </w:tr>
      <w:tr w14:paraId="42DCC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D58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35</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625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北流市2026年第一批财政衔接推进乡村振兴补助资金基础设施建设项目西埌镇石埌塘村重建罗石解桥</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4E0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7F2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398928.00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B9D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桥梁重建</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959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7978.56</w:t>
            </w:r>
          </w:p>
        </w:tc>
      </w:tr>
      <w:tr w14:paraId="4A4DB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1B1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36</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339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北流市2026年第一批财政衔接推进乡村振兴补助资金基础设施建设项目民乐镇南庆村一组至七组机耕路石拱桥危桥改造</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97A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D7E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292432.98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832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桥梁重建</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D96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5848.6596</w:t>
            </w:r>
          </w:p>
        </w:tc>
      </w:tr>
      <w:tr w14:paraId="1D22D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46A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37</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D84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北流市2026年第一批财政衔接推进乡村振兴补助资金基础设施建设项目民安镇兴上村上兴组水利灌溉工程</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32F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180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198000.53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F85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小型水利</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822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3960.0106</w:t>
            </w:r>
          </w:p>
        </w:tc>
      </w:tr>
      <w:tr w14:paraId="54295C51">
        <w:tblPrEx>
          <w:shd w:val="clear" w:color="auto" w:fill="auto"/>
          <w:tblCellMar>
            <w:top w:w="0" w:type="dxa"/>
            <w:left w:w="108" w:type="dxa"/>
            <w:bottom w:w="0" w:type="dxa"/>
            <w:right w:w="108" w:type="dxa"/>
          </w:tblCellMar>
        </w:tblPrEx>
        <w:trPr>
          <w:trHeight w:val="893"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D28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38</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0D9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北流市2026年第一批财政衔接推进乡村振兴补助资金基础设施建设项目大里镇六堆村围村坡公路边至苏传忠店三面光水渠</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76F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9A0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348968.31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79A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小型水利</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861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6979.3662</w:t>
            </w:r>
          </w:p>
        </w:tc>
      </w:tr>
      <w:tr w14:paraId="26600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BE8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39</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758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北流市2026年第一批财政衔接推进乡村振兴补助资金基础设施建设项目六靖镇云罗村南冲口组至陂脚组三面光</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44B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02C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246324.54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CC3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小型水利</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553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4926.4908</w:t>
            </w:r>
          </w:p>
        </w:tc>
      </w:tr>
      <w:tr w14:paraId="015B5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AED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40</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8D5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北流市2026年第一批财政衔接推进乡村振兴补助资金基础设施建设项目六麻镇六楼村旧寨二坝水利工程</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4B2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6F2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398078.31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CA3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小型水利</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F93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7961.5662</w:t>
            </w:r>
          </w:p>
        </w:tc>
      </w:tr>
      <w:tr w14:paraId="5541E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E6B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41</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E56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北流市2026年第一批财政衔接推进乡村振兴补助资金基础设施建设项目六麻镇三和村柏木组萝卜陂水渠</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397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1C5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458184.39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07D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小型水利</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B02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9163.6878</w:t>
            </w:r>
          </w:p>
        </w:tc>
      </w:tr>
      <w:tr w14:paraId="6CADE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2D2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42</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A6B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北流市2026年第一批财政衔接推进乡村振兴补助资金基础设施建设项目六麻镇里凤村枕头坝（二期）</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712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E58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459065.07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5D5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小型水利</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182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9181.3014</w:t>
            </w:r>
          </w:p>
        </w:tc>
      </w:tr>
      <w:tr w14:paraId="34EB4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13E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43</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D3E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北流市2026年第一批财政衔接推进乡村振兴补助资金基础设施建设项目民乐镇会众村湖洋垌水渠三面光工程项目</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5C8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F35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496874.41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049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小型水利</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CDC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9937.4882</w:t>
            </w:r>
          </w:p>
        </w:tc>
      </w:tr>
      <w:tr w14:paraId="7E348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3"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7A4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44</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E68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北流市2026年第一批财政衔接推进乡村振兴补助资金基础设施建设项目民乐镇斗口村大田组深龙垌至西埌镇横埌村至新村交界处三面光水渠</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A55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DF2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398909.70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B7A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小型水利</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649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7978.194</w:t>
            </w:r>
          </w:p>
        </w:tc>
      </w:tr>
      <w:tr w14:paraId="36ABD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ACB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45</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0A6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北流市2026年第一批财政衔接推进乡村振兴补助资金基础设施建设项目隆盛南禄村大碰山塘及水渠维修</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3A3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21B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298145.76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F3B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小型水利</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D52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5962.9152</w:t>
            </w:r>
          </w:p>
        </w:tc>
      </w:tr>
      <w:tr w14:paraId="55EBC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CCC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46</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7FB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北流市2026年第一批财政衔接推进乡村振兴补助资金基础设施建设项目清湾镇龙南村卫龙、双车组三面光水渠项目</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79C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144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214920.52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EBA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小型水利</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0A6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4298.4104</w:t>
            </w:r>
          </w:p>
        </w:tc>
      </w:tr>
      <w:tr w14:paraId="2B2AA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3"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0A6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47</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B4C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北流市2026年第一批财政衔接推进乡村振兴补助资金基础设施建设项目石窝镇石窝村村头组、石窝塘组、村尾组水渠工程</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164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711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298476.67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EBE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小型水利</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F10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5969.5334</w:t>
            </w:r>
          </w:p>
        </w:tc>
      </w:tr>
      <w:tr w14:paraId="6387D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E40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48</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B40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北流市2026年第一批财政衔接推进乡村振兴补助资金基础设施建设项目石窝镇石窝村村尾组三面光水渠修复</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F51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073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83977.58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545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小型水利</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B5B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1679.5516</w:t>
            </w:r>
          </w:p>
        </w:tc>
      </w:tr>
      <w:tr w14:paraId="51F96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EE4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49</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77F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北流市2026年第一批财政衔接推进乡村振兴补助资金基础设施建设项目大坡外镇南盛村木格陂水坝修复项目</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D24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0BB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99399.59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29D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小型水利</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62A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1987.9918</w:t>
            </w:r>
          </w:p>
        </w:tc>
      </w:tr>
      <w:tr w14:paraId="56C49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446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50</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FD8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北流市2026年第一批财政衔接推进乡村振兴补助资金基础设施建设项目大坡外镇南盛村大塘组大蛤田到罗锋田水圳三面光项目</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98C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91C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128200.00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A86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小型水利</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4CA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2564</w:t>
            </w:r>
          </w:p>
        </w:tc>
      </w:tr>
      <w:tr w14:paraId="1D061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8C5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51</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6B5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北流市2026年第一批财政衔接推进乡村振兴补助资金基础设施建设项目沙垌镇丹花村地域丫灌溉水渠</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F14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C89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182900.89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A59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小型水利</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94F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3658.0178</w:t>
            </w:r>
          </w:p>
        </w:tc>
      </w:tr>
      <w:tr w14:paraId="32437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BA0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52</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E10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北流市2026年第一批财政衔接推进乡村振兴补助资金基础设施建设项目石窝镇河浪村谷子组顾屋人饮工程维修</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956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A10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196837.45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4C7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人饮工程</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00A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3936.749</w:t>
            </w:r>
          </w:p>
        </w:tc>
      </w:tr>
      <w:tr w14:paraId="400C6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70D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53</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F70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北流市2026年第一批财政衔接推进乡村振兴补助资金基础设施建设项目大坡外镇大坡内村路灯项目</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2A2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282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96816.11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864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公共照明</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172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1936.3222</w:t>
            </w:r>
          </w:p>
        </w:tc>
      </w:tr>
      <w:tr w14:paraId="00298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691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54</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1A4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北流市2026年第一批财政衔接推进乡村振兴补助资金基础设施建设项目石窝镇上垌村丹竹组公共照明项目</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A70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B0F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96769.19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F79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公共照明</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8AD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1935.3838</w:t>
            </w:r>
          </w:p>
        </w:tc>
      </w:tr>
      <w:tr w14:paraId="4D906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081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55</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C84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北流市2026年第一批财政衔接推进乡村振兴补助资金基础设施建设项目石窝镇龙田村015县道公共照明项目</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4F2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907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397242.41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336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公共照明</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D89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7944.8482</w:t>
            </w:r>
          </w:p>
        </w:tc>
      </w:tr>
      <w:tr w14:paraId="41CC4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82A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56</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FEC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北流市2026年第一批财政衔接推进乡村振兴补助资金基础设施建设项目新圩镇河村1组至河村小学至河村17组公共照明</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8B7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44B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166426.57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599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公共照明</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9DD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3328.5314</w:t>
            </w:r>
          </w:p>
        </w:tc>
      </w:tr>
      <w:tr w14:paraId="013D1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4A6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57</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C0E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北流市2026年第一批财政衔接推进乡村振兴补助资金基础设施建设项目清湾镇中龙村牛角湾、坡心组公共基础照明</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BD1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101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96777.68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956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公共照明</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7A1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1935.5536</w:t>
            </w:r>
          </w:p>
        </w:tc>
      </w:tr>
      <w:tr w14:paraId="6F0A3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294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58</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82D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北流市2026年第一批财政衔接推进乡村振兴补助资金基础设施建设项目平政镇六沙组公共基础照明</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73E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DBF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297151.82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258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公共照明</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1AA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5943.0364</w:t>
            </w:r>
          </w:p>
        </w:tc>
      </w:tr>
      <w:tr w14:paraId="2F73D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1BF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59</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8DF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北流市2026年第一批财政衔接推进乡村振兴补助资金基础设施建设项目民乐镇会众村老屋组龙门水渠至马头岭组六斗种田垌三面光灌溉水渠维修</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CB2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238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79088.76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9C7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水渠维修</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934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1581.7752</w:t>
            </w:r>
          </w:p>
        </w:tc>
      </w:tr>
      <w:tr w14:paraId="41DB0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3"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A58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60</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D4A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北流市2026年第一批财政衔接推进乡村振兴补助资金基础设施建设项目扶新镇安河村修复里冲组至林科塘组三面光水渠</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6CD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C8B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128721.38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2DE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水渠维修</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A2D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2574.4276</w:t>
            </w:r>
          </w:p>
        </w:tc>
      </w:tr>
      <w:tr w14:paraId="70DE9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B44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61</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70B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北流市2026年第一批财政衔接推进乡村振兴补助资金基础设施建设项目清水口镇大荣村大斗组磨刀组塌方修复</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A73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026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197465.85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0BB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道路修复</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277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3949.317</w:t>
            </w:r>
          </w:p>
        </w:tc>
      </w:tr>
      <w:tr w14:paraId="0EBD1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3"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C9A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62</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ABE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北流市2026年第一批财政衔接推进乡村振兴补助资金基础设施建设项目新丰镇新丰村大坪组公路口至祠堂边组道路维修项目</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ECF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776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247719.78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F8B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道路修复</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0A3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4954.3956</w:t>
            </w:r>
          </w:p>
        </w:tc>
      </w:tr>
      <w:tr w14:paraId="21332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44D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63</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C23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北流市2026年第一批财政衔接推进乡村振兴补助资金基础设施建设项目六麻镇上合村大容垌组石片圹路口塌方修复项目</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ABC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968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133771.00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F10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道路修复</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4C4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2675.42</w:t>
            </w:r>
          </w:p>
        </w:tc>
      </w:tr>
      <w:tr w14:paraId="69D1D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9DB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64</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CB6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北流市2026年第一批财政衔接推进乡村振兴补助资金基础设施建设项目清水口镇旺冲村大湴桥护坡</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AE6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2B7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98055.47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BF3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桥梁护坡</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B4C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1961.1094</w:t>
            </w:r>
          </w:p>
        </w:tc>
      </w:tr>
      <w:tr w14:paraId="38FE4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26C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65</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05A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北流市2026年第一批财政衔接推进乡村振兴补助资金基础设施建设项目平政镇六沙村双圹组合水口桥桥头两边护翼</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95F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BC3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96986.00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05D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桥梁护坡</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0BB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1939.72</w:t>
            </w:r>
          </w:p>
        </w:tc>
      </w:tr>
      <w:tr w14:paraId="4CC33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055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66</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6F9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北流市2026年第一批财政衔接推进乡村振兴补助资金基础设施建设项目六靖镇旺坡村大棒组陈屋路口至大棒组路段塌方修复加固工程</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37E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46C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147878.00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B9F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道路修复</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822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2957.56</w:t>
            </w:r>
          </w:p>
        </w:tc>
      </w:tr>
      <w:tr w14:paraId="7FAA1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F17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67</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9B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北流市2026年第一批财政衔接推进乡村振兴补助资金基础设施建设项目六靖镇北宝二级公路镇南村路口至镇南村委道路改造项目</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B7C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0EF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478562.00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B75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道路护坡、硬化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111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9571.24</w:t>
            </w:r>
          </w:p>
        </w:tc>
      </w:tr>
      <w:tr w14:paraId="261B9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789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68</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F83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北流市2026年第一批财政衔接推进乡村振兴补助资金基础设施建设项目大伦镇旺贺村碰垌组道路维修项目</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9F4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DD4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249065.00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1B5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道路维修</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E3F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4981.3</w:t>
            </w:r>
          </w:p>
        </w:tc>
      </w:tr>
      <w:tr w14:paraId="4C9FC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3"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BF1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69</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3B3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北流市2026年第一批财政衔接推进乡村振兴补助资金基础设施建设项目六麻镇六楼村平山垌路口至黎屋道路水利修复工程</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26F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1EB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99464.34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337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水利修复</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211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1989.2868</w:t>
            </w:r>
          </w:p>
        </w:tc>
      </w:tr>
      <w:tr w14:paraId="3E3D9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E07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70</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690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北流市2026年第一批财政衔接推进乡村振兴补助资金基础设施建设项目隆盛镇香圩村和隆公共基础照明</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3B6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F12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110000.00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87D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公共照明</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9B1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2200</w:t>
            </w:r>
          </w:p>
        </w:tc>
      </w:tr>
      <w:tr w14:paraId="0321A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364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71</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FCF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北流市2026年第一批财政衔接推进乡村振兴补助资金基础设施建设项目六靖镇镇南村六南片公共照明</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470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0FE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100000.00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052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公共照明</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D23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2000</w:t>
            </w:r>
          </w:p>
        </w:tc>
      </w:tr>
      <w:tr w14:paraId="3A472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9B9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72</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109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北流市2026年第一批财政衔接推进乡村振兴补助资金产业提升项目隆盛镇香圩村移山组产业道路硬化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65D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94B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190000.00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0D0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335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3800</w:t>
            </w:r>
          </w:p>
        </w:tc>
      </w:tr>
      <w:tr w14:paraId="6FDC8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D18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73</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CA6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北流市2026年第一批财政衔接推进乡村振兴补助资金基础设施建设项目隆盛镇香圩村移山组沙冲塘修缮及水渠三面光修复</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B7F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53E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270000.00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DE5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小型水利</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B0E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5400</w:t>
            </w:r>
          </w:p>
        </w:tc>
      </w:tr>
      <w:tr w14:paraId="2888C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3"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18F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74</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E3F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北流市2026年第一批财政衔接推进乡村振兴补助资金产业提升项目隆盛镇乡平村荔枝品改和种植食用油茶项目产业路硬化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E79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55F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260000.00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A75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BCA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5200</w:t>
            </w:r>
          </w:p>
        </w:tc>
      </w:tr>
      <w:tr w14:paraId="13FCB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1"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A62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75</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6FB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北流市2026年第一批财政衔接推进乡村振兴补助资金产业提升项目隆盛镇乡平村集体山场山坪岭路口至境口组林水屋背产业路硬化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CF4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741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80000.00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1F6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3F6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w:t>
            </w:r>
          </w:p>
        </w:tc>
      </w:tr>
      <w:tr w14:paraId="6FBCC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1"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AD1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76</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B6E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北流市2026年第一批财政衔接推进乡村振兴补助资金产业提升项目隆盛镇乡平村谷架组至新丰镇大罗垌十二队产业发展道路硬化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1F7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A24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450000.00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D34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460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9000</w:t>
            </w:r>
          </w:p>
        </w:tc>
      </w:tr>
      <w:tr w14:paraId="6A464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59A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77</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DBE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北流市2026年第一批财政衔接推进乡村振兴补助资金产业提升项目六靖镇镇南村沙田组生猪养殖产业道路硬化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E5F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1E4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1010000.00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B23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2E4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20200</w:t>
            </w:r>
          </w:p>
        </w:tc>
      </w:tr>
      <w:tr w14:paraId="2648B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423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78</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20F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北流市2026年第一批财政衔接推进乡村振兴补助资金产业提升项目六靖镇镇南村大虫平产业道路硬化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3DE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580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230000.00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3EF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62E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4600</w:t>
            </w:r>
          </w:p>
        </w:tc>
      </w:tr>
      <w:tr w14:paraId="5B9D6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4C9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79</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A07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北流市2026年第一批财政衔接推进乡村振兴补助资金基础设施建设项目沙垌镇秀塘村茂园坪路口桥</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945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1E0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400000.00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232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桥梁重建</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99A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8000</w:t>
            </w:r>
          </w:p>
        </w:tc>
      </w:tr>
      <w:tr w14:paraId="1E62D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ECC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80</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DCB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北流市2026年第一批财政衔接推进乡村振兴补助资金基础设施建设项目六麻镇新平村上东村人饮工程</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E17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A1B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400000.00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EB3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人饮工程</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88D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8000</w:t>
            </w:r>
          </w:p>
        </w:tc>
      </w:tr>
      <w:tr w14:paraId="6DBE2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6F8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81</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B9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北流市2026年第一批财政衔接推进乡村振兴补助资金基础设施建设项目隆盛镇陈智村六治组安装太阳能路灯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073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072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70000.00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F45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公共照明</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09A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1400</w:t>
            </w:r>
          </w:p>
        </w:tc>
      </w:tr>
      <w:tr w14:paraId="28C0E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9DF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82</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4B9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北流市2026年第一批财政衔接推进乡村振兴补助资金基础设施建设项目石窝镇煌炉村公垌组、长田垌组公共基础照明</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C19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103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150000.00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D8F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公共照明</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3BC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3000</w:t>
            </w:r>
          </w:p>
        </w:tc>
      </w:tr>
      <w:tr w14:paraId="4317F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06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7697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小计</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C6D0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82项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4EA8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xml:space="preserve">46879611.50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4806D">
            <w:pPr>
              <w:jc w:val="center"/>
              <w:rPr>
                <w:rFonts w:hint="eastAsia" w:ascii="宋体" w:hAnsi="宋体" w:eastAsia="宋体" w:cs="宋体"/>
                <w:i w:val="0"/>
                <w:iCs w:val="0"/>
                <w:color w:val="000000"/>
                <w:sz w:val="22"/>
                <w:szCs w:val="22"/>
                <w:u w:val="none"/>
              </w:rPr>
            </w:pP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1B6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937592.23</w:t>
            </w:r>
          </w:p>
        </w:tc>
      </w:tr>
      <w:tr w14:paraId="7800E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945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C3E67">
            <w:pPr>
              <w:keepNext w:val="0"/>
              <w:keepLines w:val="0"/>
              <w:widowControl/>
              <w:suppressLineNumbers w:val="0"/>
              <w:jc w:val="center"/>
              <w:textAlignment w:val="center"/>
              <w:rPr>
                <w:rFonts w:hint="eastAsia" w:ascii="黑体" w:hAnsi="宋体" w:eastAsia="黑体" w:cs="黑体"/>
                <w:b/>
                <w:bCs/>
                <w:i w:val="0"/>
                <w:iCs w:val="0"/>
                <w:color w:val="000000"/>
                <w:sz w:val="22"/>
                <w:szCs w:val="22"/>
                <w:u w:val="none"/>
              </w:rPr>
            </w:pPr>
            <w:r>
              <w:rPr>
                <w:rFonts w:hint="eastAsia" w:ascii="黑体" w:hAnsi="宋体" w:eastAsia="黑体" w:cs="黑体"/>
                <w:b/>
                <w:bCs/>
                <w:i w:val="0"/>
                <w:iCs w:val="0"/>
                <w:snapToGrid w:val="0"/>
                <w:color w:val="000000"/>
                <w:kern w:val="0"/>
                <w:sz w:val="22"/>
                <w:szCs w:val="22"/>
                <w:u w:val="none"/>
                <w:lang w:val="en-US" w:eastAsia="zh-CN" w:bidi="ar"/>
              </w:rPr>
              <w:t>第二批</w:t>
            </w:r>
          </w:p>
        </w:tc>
      </w:tr>
      <w:tr w14:paraId="6762F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3F3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840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北流市2026年第二批财政常态化帮扶资金产业提升项目新荣村集体经济标准化厂房（二期）</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342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8E2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1500000.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CFE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厂房建设</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DF5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30000</w:t>
            </w:r>
          </w:p>
        </w:tc>
      </w:tr>
      <w:tr w14:paraId="3D131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204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BD9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北流市2026年第二批财政常态化帮扶资金产业提升项目产业提升项目官府组标准化厂房</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E4A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F64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2100000.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5C5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厂房建设</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E1E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42000</w:t>
            </w:r>
          </w:p>
        </w:tc>
      </w:tr>
      <w:tr w14:paraId="1B20C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5EA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62F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北流市2026年第二批财政常态化帮扶资金产业提升项目白马村集体经济标准化厂房</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265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4F7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2800000.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562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厂房建设</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069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56000</w:t>
            </w:r>
          </w:p>
        </w:tc>
      </w:tr>
      <w:tr w14:paraId="17BB9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D6B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BE2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北流市2026年第二批财政常态化帮扶资金产业提升项目清湾镇集体经济标准化厂房（二期）</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0DC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27F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2500000.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631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厂房建设</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694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50000</w:t>
            </w:r>
          </w:p>
        </w:tc>
      </w:tr>
      <w:tr w14:paraId="13EC1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E0B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D1B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北流市2026年第二批财政常态化帮扶资金产业提升项目三、四组荔枝产业道路硬化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FF8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71B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482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FA5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4000</w:t>
            </w:r>
          </w:p>
        </w:tc>
      </w:tr>
      <w:tr w14:paraId="49A23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552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17A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北流市2026年第二批财政常态化帮扶资金产业提升项目塘头村高峰组产业道路硬化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D97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A86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180000.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36C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1CE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3600</w:t>
            </w:r>
          </w:p>
        </w:tc>
      </w:tr>
      <w:tr w14:paraId="37D8D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385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830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北流市2026年第二批财政常态化帮扶资金产业提升项目飞鼠顶组至陆角冲产业道路硬化（二期）</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D52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E44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480000.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130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E79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9600</w:t>
            </w:r>
          </w:p>
        </w:tc>
      </w:tr>
      <w:tr w14:paraId="2D53E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E81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7F9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北流市2026年第二批财政常态化帮扶资金产业提升项目香塘村贡昔组产业道路硬化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550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E74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250000.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E9E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2E9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5000</w:t>
            </w:r>
          </w:p>
        </w:tc>
      </w:tr>
      <w:tr w14:paraId="430B7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AF7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9</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BD4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北流市2026年第二批财政常态化帮扶资金产业提升项目平坡村润丰果场产业道路硬化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0C3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0C4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63D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A9C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6000</w:t>
            </w:r>
          </w:p>
        </w:tc>
      </w:tr>
      <w:tr w14:paraId="51002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099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D6F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北流市2026年第二批财政常态化帮扶资金产业提升项目达和村产业道路硬化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04A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3F3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450000.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042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4D3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9000</w:t>
            </w:r>
          </w:p>
        </w:tc>
      </w:tr>
      <w:tr w14:paraId="6A6A7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87C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11</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E34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北流市2026年第二批财政常态化帮扶资金产业提升项目垭冲组油茶基地道路硬化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28A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194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234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EAB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6000</w:t>
            </w:r>
          </w:p>
        </w:tc>
      </w:tr>
      <w:tr w14:paraId="54760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DB2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12</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0BB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北流市2026年第二批财政常态化帮扶资金产业提升项目陈冲组产业道路硬化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67C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5C4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260000.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184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6A1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5200</w:t>
            </w:r>
          </w:p>
        </w:tc>
      </w:tr>
      <w:tr w14:paraId="091A3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77A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13</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9F1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北流市2026年第二批财政常态化帮扶资金产业提升项目龙荔果场产业道路硬化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C61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C27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700000.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BE5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C2D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14000</w:t>
            </w:r>
          </w:p>
        </w:tc>
      </w:tr>
      <w:tr w14:paraId="517B8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C98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14</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57E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北流市2026年第二批财政常态化帮扶资金基础设施建设项目西埌镇田心村大车组至陶山村路口道路硬化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9C1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411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3CC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AE6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4000</w:t>
            </w:r>
          </w:p>
        </w:tc>
      </w:tr>
      <w:tr w14:paraId="3970A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06D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15</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C16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北流市2026年第二批财政常态化帮扶资金基础设施建设项目新丰镇水垌村风稍根组路至龙角道路硬化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EE8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11D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BDA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C6E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2000</w:t>
            </w:r>
          </w:p>
        </w:tc>
      </w:tr>
      <w:tr w14:paraId="18720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C61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16</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8A2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北流市2026年第二批财政常态化帮扶资金基础设施建设项目平政镇北河村上垌组塘边至灯照道路硬化工程</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B9A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4D6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F3B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C40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w:t>
            </w:r>
          </w:p>
        </w:tc>
      </w:tr>
      <w:tr w14:paraId="67216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E5D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17</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437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北流市2026年第二批财政常态化帮扶资金基础设施建设项目平政镇六巷上村屋大门口至上村屋桥头道路硬化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CEF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989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75B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512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1200</w:t>
            </w:r>
          </w:p>
        </w:tc>
      </w:tr>
      <w:tr w14:paraId="6EA5C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BFA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18</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483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北流市2026年第二批财政常态化帮扶资金基础设施建设项目平政镇六合村大桥组道路硬化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3A9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36C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517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63F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w:t>
            </w:r>
          </w:p>
        </w:tc>
      </w:tr>
      <w:tr w14:paraId="42572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224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19</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6AA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北流市2026年第二批财政常态化帮扶资金基础设施建设项目六靖镇协保村七组社根塘至伍广平门口道路硬化</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D06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B70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2A3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443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w:t>
            </w:r>
          </w:p>
        </w:tc>
      </w:tr>
      <w:tr w14:paraId="1D522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88A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C64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北流市2026年第二批财政常态化帮扶资金基础设施建设项目民乐镇民乐村㢠西危桥改造</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3E0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EB4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350000.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96D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桥梁重建</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C08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7000</w:t>
            </w:r>
          </w:p>
        </w:tc>
      </w:tr>
      <w:tr w14:paraId="0B546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E15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21</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896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北流市2026年第二批财政常态化帮扶资金基础设施建设项目清水口镇香塘村六井组桥重建</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E5C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3A2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750000.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039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桥梁重建</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37C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15000</w:t>
            </w:r>
          </w:p>
        </w:tc>
      </w:tr>
      <w:tr w14:paraId="07AE0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DC3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22</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BE5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北流市2026年第二批财政常态化帮扶资金基础设施建设项目隆盛镇三和里村堆山组桥</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B04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891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350000.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AB9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桥梁重建</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311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7000</w:t>
            </w:r>
          </w:p>
        </w:tc>
      </w:tr>
      <w:tr w14:paraId="45715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563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23</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5E8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北流市2026年第二批财政常态化帮扶资金基础设施建设项目沙垌镇沙垌村木克垌组桥</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E12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517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5D0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桥梁重建</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329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16000</w:t>
            </w:r>
          </w:p>
        </w:tc>
      </w:tr>
      <w:tr w14:paraId="1BF9B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664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24</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3B9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北流市2026年第二批财政常态化帮扶资金基础设施建设项目平政镇绿旺村跃进组上塘垌桥</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627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B3E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AF8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桥梁重建</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133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4000</w:t>
            </w:r>
          </w:p>
        </w:tc>
      </w:tr>
      <w:tr w14:paraId="1721F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23C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25</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1F3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北流市2026年第二批财政常态化帮扶资金基础设施建设项目六麻镇三和村旺泥塘组合水桥</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6E9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43B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42B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桥梁重建</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A38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4000</w:t>
            </w:r>
          </w:p>
        </w:tc>
      </w:tr>
      <w:tr w14:paraId="3871E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D1D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26</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F18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北流市2026年第二批财政常态化帮扶资金基础设施建设项目石窝镇石窝村白石组桥</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DA3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E4A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400000.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18C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桥梁重建</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6A8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8000</w:t>
            </w:r>
          </w:p>
        </w:tc>
      </w:tr>
      <w:tr w14:paraId="2C303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90F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27</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6C9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北流市2026年第二批财政常态化帮扶资金基础设施建设项目清湾镇中龙村五一组过路陂危桥重建</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26E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434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400000.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E39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桥梁重建</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AF9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8000</w:t>
            </w:r>
          </w:p>
        </w:tc>
      </w:tr>
      <w:tr w14:paraId="20A6E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802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28</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154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北流市2026年第二批财政常态化帮扶资金基础设施建设项目北流镇潮塘村13组三面光水渠</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DBD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D59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400000.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3D7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小型水利</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668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8000</w:t>
            </w:r>
          </w:p>
        </w:tc>
      </w:tr>
      <w:tr w14:paraId="529C4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12A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29</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763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北流市2026年第二批财政常态化帮扶资金基础设施建设项目山围镇铁炉村罗村屯金鸡陂至秧地三面光水渠</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14C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B1C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150000.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3C2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小型水利</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010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3000</w:t>
            </w:r>
          </w:p>
        </w:tc>
      </w:tr>
      <w:tr w14:paraId="09623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88B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8AB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北流市2026年第二批财政常态化帮扶资金基础设施建设项目清水口镇大罗村松木根组农田灌溉水渠三面光建设</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458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365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150000.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106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小型水利</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CC4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3000</w:t>
            </w:r>
          </w:p>
        </w:tc>
      </w:tr>
      <w:tr w14:paraId="514B1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54A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313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北流市2026年第二批财政常态化帮扶资金基础设施建设项目大坡外琴冲村三面光水渠</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DA3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D87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6FE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小型水利</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F2F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4000</w:t>
            </w:r>
          </w:p>
        </w:tc>
      </w:tr>
      <w:tr w14:paraId="5ACAA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5D8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32</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602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北流市2026年第二批财政常态化帮扶资金基础设施建设项目六麻镇石玉村信田组农田复耕水沟三面光工程</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149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03B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4FE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小型水利</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527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6000</w:t>
            </w:r>
          </w:p>
        </w:tc>
      </w:tr>
      <w:tr w14:paraId="10BB0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195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33</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A31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北流市2026年第二批财政常态化帮扶资金基础设施建设项目平政镇双垌村冲口组三面光水渠</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6C1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A20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58B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小型水利</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4C4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4000</w:t>
            </w:r>
          </w:p>
        </w:tc>
      </w:tr>
      <w:tr w14:paraId="6B5E1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F7C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34</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B49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北流市2026年第二批财政常态化帮扶资金基础设施建设项目石窝镇雀山村塘吉垌三面光水渠</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5D2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0BE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170000.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46A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小型水利</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6CF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3400</w:t>
            </w:r>
          </w:p>
        </w:tc>
      </w:tr>
      <w:tr w14:paraId="371B1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8FB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35</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F00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北流市2026年第二批财政常态化帮扶资金基础设施建设项目石窝镇雀山村高垌组办田垌三面光水渠</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617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F1F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89D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小型水利</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592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6000</w:t>
            </w:r>
          </w:p>
        </w:tc>
      </w:tr>
      <w:tr w14:paraId="1119D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750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36</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C4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北流市2026年第二批财政常态化帮扶资金基础设施建设项目清湾镇凤塘村荔枝园三面光水渠</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F5B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EDF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190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小型水利</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A72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6000</w:t>
            </w:r>
          </w:p>
        </w:tc>
      </w:tr>
      <w:tr w14:paraId="79AC2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28E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37</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786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北流市2026年第二批财政常态化帮扶资金基础设施建设项目石窝镇那鞋村村尾组人饮工程</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55E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71C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E2F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人饮工程</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C51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w:t>
            </w:r>
          </w:p>
        </w:tc>
      </w:tr>
      <w:tr w14:paraId="5732A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0B6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38</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77A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北流市2026年第二批财政常态化帮扶资金基础设施建设项目石窝镇煌炉村六粟组人饮工程（二期）</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E06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BF0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120000.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266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人饮工程</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324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2400</w:t>
            </w:r>
          </w:p>
        </w:tc>
      </w:tr>
      <w:tr w14:paraId="1D50A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EEF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39</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98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北流市2026年第二批财政常态化帮扶资金基础设施建设项目六靖镇镇南村长塘片、平山片人饮工程</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E2E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F8B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5C4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人饮工程</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70F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2000</w:t>
            </w:r>
          </w:p>
        </w:tc>
      </w:tr>
      <w:tr w14:paraId="6586E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6EB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40</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472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北流市2026年第二批财政常态化帮扶资金基础设施建设项目西埌镇新村公共基础照明</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029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D37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150000.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B4A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公共照明</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6B1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3000</w:t>
            </w:r>
          </w:p>
        </w:tc>
      </w:tr>
      <w:tr w14:paraId="46410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C85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41</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B67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北流市2026年第二批财政常态化帮扶资金基础设施建设项目新丰镇永安村6组湴冲路段路灯项目</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ECF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10D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EF0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公共照明</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4C0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w:t>
            </w:r>
          </w:p>
        </w:tc>
      </w:tr>
      <w:tr w14:paraId="3F5F0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775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42</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EA9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北流市2026年第二批财政常态化帮扶资金基础设施建设项目六麻镇六学村谭梅组公共照明</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55F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6E6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DDE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公共照明</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D40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2000</w:t>
            </w:r>
          </w:p>
        </w:tc>
      </w:tr>
      <w:tr w14:paraId="6E3EF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551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43</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D81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北流市2026年第二批财政常态化帮扶资金基础设施建设项目平政镇双垌村主干道公共基础照明</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405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555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86E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公共照明</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7C6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2000</w:t>
            </w:r>
          </w:p>
        </w:tc>
      </w:tr>
      <w:tr w14:paraId="5D5BA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C6D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44</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D03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北流市2026年第二批财政常态化帮扶资金基础设施建设项目六靖镇旺坡村莲塘组公共照明</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B9D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5BE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133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公共照明</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54E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w:t>
            </w:r>
          </w:p>
        </w:tc>
      </w:tr>
      <w:tr w14:paraId="518A1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446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45</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CDC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北流市2026年第二批财政常态化帮扶资金基础设施建设项目大伦镇大伦村山二组公共基础照明</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032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A12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150000.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FB9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公共照明</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DC2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3000</w:t>
            </w:r>
          </w:p>
        </w:tc>
      </w:tr>
      <w:tr w14:paraId="7EFF2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2A3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46</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443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北流市2026年第二批财政常态化帮扶资金基础设施建设项目北流镇凉水井村18.19组鸭塘灌溉加固项目</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F70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13E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900000.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81E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水利修复</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66F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18000</w:t>
            </w:r>
          </w:p>
        </w:tc>
      </w:tr>
      <w:tr w14:paraId="63F61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DCD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47</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7CE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北流市2026年第二批财政常态化帮扶资金基础设施建设项目民乐镇石垌村祝平组道路塌方修复、硬化工程</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1D6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F6D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674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道路修复、硬化</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74F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12000</w:t>
            </w:r>
          </w:p>
        </w:tc>
      </w:tr>
      <w:tr w14:paraId="58DB1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00F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48</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1C9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北流市2026年第二批财政常态化帮扶资金基础设施建设项目西埌镇石埌塘村罗石解桥头护翼</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512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529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120000.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F74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桥梁护坡</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A94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2400</w:t>
            </w:r>
          </w:p>
        </w:tc>
      </w:tr>
      <w:tr w14:paraId="382B7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18C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49</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88A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北流市2026年第二批财政常态化帮扶资金基础设施建设项目清水口镇旺冲村大湴桥护坡及安防</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B44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020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840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桥梁护坡</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32B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2000</w:t>
            </w:r>
          </w:p>
        </w:tc>
      </w:tr>
      <w:tr w14:paraId="094F0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16D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50</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7AF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北流市2026年第二批财政常态化帮扶资金基础设施建设项目清水口镇大塘边村深水垌组水利修复工程</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D6C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0D7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65A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水利修复</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827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2000</w:t>
            </w:r>
          </w:p>
        </w:tc>
      </w:tr>
      <w:tr w14:paraId="1E85A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D73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51</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EB9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北流市2026年第二批财政常态化帮扶资金基础设施建设项目大坡外镇古哿村浊水组水毁道路修复</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7A3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E11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350000.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504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道路修复</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CC6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7000</w:t>
            </w:r>
          </w:p>
        </w:tc>
      </w:tr>
      <w:tr w14:paraId="3D7C1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3"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9E1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52</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21D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北流市2026年第二批财政常态化帮扶资金基础设施建设项目六麻镇上合村大容垌组石片圹路口塌方修复项目（二期）</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B81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F6C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E12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道路修复</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35D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2000</w:t>
            </w:r>
          </w:p>
        </w:tc>
      </w:tr>
      <w:tr w14:paraId="7D037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438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53</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730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北流市2026年第二批财政常态化帮扶资金基础设施建设项目沙垌镇雷冲村野里山组道路塌方加固维修工程</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530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AFF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17A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道路修复</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E02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6000</w:t>
            </w:r>
          </w:p>
        </w:tc>
      </w:tr>
      <w:tr w14:paraId="1E8AB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3"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007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54</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2E1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北流市2026年第二批财政常态化帮扶资金基础设施建设项目六靖镇旺坡村大棒组陈屋路口至大棒组路段塌方修复工程（二期）</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AED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A12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100000.</w:t>
            </w:r>
            <w:r>
              <w:rPr>
                <w:rFonts w:hint="eastAsia" w:ascii="宋体" w:hAnsi="宋体" w:eastAsia="宋体" w:cs="宋体"/>
                <w:i w:val="0"/>
                <w:iCs w:val="0"/>
                <w:snapToGrid w:val="0"/>
                <w:color w:val="000000"/>
                <w:kern w:val="0"/>
                <w:sz w:val="22"/>
                <w:szCs w:val="22"/>
                <w:highlight w:val="none"/>
                <w:u w:val="none"/>
                <w:lang w:val="en-US" w:eastAsia="zh-CN" w:bidi="ar"/>
              </w:rPr>
              <w:t>00</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2B5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道路修复</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EF3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2000</w:t>
            </w:r>
          </w:p>
        </w:tc>
      </w:tr>
      <w:tr w14:paraId="4ED68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6F8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55</w:t>
            </w:r>
          </w:p>
        </w:tc>
        <w:tc>
          <w:tcPr>
            <w:tcW w:w="3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A86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北流市2026年第二批财政常态化帮扶资金基础设施建设项目石窝镇龙田村新屋组三面光水渠修复</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305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011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600000.</w:t>
            </w:r>
            <w:r>
              <w:rPr>
                <w:rFonts w:hint="eastAsia" w:ascii="宋体" w:hAnsi="宋体" w:eastAsia="宋体" w:cs="宋体"/>
                <w:i w:val="0"/>
                <w:iCs w:val="0"/>
                <w:snapToGrid w:val="0"/>
                <w:color w:val="000000"/>
                <w:kern w:val="0"/>
                <w:sz w:val="22"/>
                <w:szCs w:val="22"/>
                <w:highlight w:val="none"/>
                <w:u w:val="none"/>
                <w:lang w:val="en-US" w:eastAsia="zh-CN" w:bidi="ar"/>
              </w:rPr>
              <w:t>00</w:t>
            </w: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EDA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水利修复</w:t>
            </w: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D7E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12000</w:t>
            </w:r>
          </w:p>
        </w:tc>
      </w:tr>
      <w:tr w14:paraId="55DCE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406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6B7C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小计</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480B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55项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BF79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22330000.</w:t>
            </w:r>
            <w:r>
              <w:rPr>
                <w:rFonts w:hint="eastAsia" w:ascii="宋体" w:hAnsi="宋体" w:eastAsia="宋体" w:cs="宋体"/>
                <w:b/>
                <w:bCs/>
                <w:i w:val="0"/>
                <w:iCs w:val="0"/>
                <w:snapToGrid w:val="0"/>
                <w:color w:val="000000"/>
                <w:kern w:val="0"/>
                <w:sz w:val="22"/>
                <w:szCs w:val="22"/>
                <w:highlight w:val="none"/>
                <w:u w:val="none"/>
                <w:lang w:val="en-US" w:eastAsia="zh-CN" w:bidi="ar"/>
              </w:rPr>
              <w:t>00</w:t>
            </w:r>
            <w:r>
              <w:rPr>
                <w:rFonts w:hint="eastAsia" w:ascii="宋体" w:hAnsi="宋体" w:eastAsia="宋体" w:cs="宋体"/>
                <w:b/>
                <w:bCs/>
                <w:i w:val="0"/>
                <w:iCs w:val="0"/>
                <w:snapToGrid w:val="0"/>
                <w:color w:val="000000"/>
                <w:kern w:val="0"/>
                <w:sz w:val="22"/>
                <w:szCs w:val="22"/>
                <w:u w:val="none"/>
                <w:lang w:val="en-US" w:eastAsia="zh-CN" w:bidi="ar"/>
              </w:rPr>
              <w:t xml:space="preserve">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DA862">
            <w:pPr>
              <w:jc w:val="center"/>
              <w:rPr>
                <w:rFonts w:hint="eastAsia" w:ascii="宋体" w:hAnsi="宋体" w:eastAsia="宋体" w:cs="宋体"/>
                <w:i w:val="0"/>
                <w:iCs w:val="0"/>
                <w:color w:val="000000"/>
                <w:sz w:val="22"/>
                <w:szCs w:val="22"/>
                <w:u w:val="none"/>
              </w:rPr>
            </w:pP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E34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446600</w:t>
            </w:r>
          </w:p>
        </w:tc>
      </w:tr>
      <w:tr w14:paraId="02E85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406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910E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合计</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3513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137项</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EA0F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xml:space="preserve">69209611.50 </w:t>
            </w:r>
          </w:p>
        </w:tc>
        <w:tc>
          <w:tcPr>
            <w:tcW w:w="1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D3F76">
            <w:pPr>
              <w:jc w:val="center"/>
              <w:rPr>
                <w:rFonts w:hint="eastAsia" w:ascii="宋体" w:hAnsi="宋体" w:eastAsia="宋体" w:cs="宋体"/>
                <w:i w:val="0"/>
                <w:iCs w:val="0"/>
                <w:color w:val="000000"/>
                <w:sz w:val="22"/>
                <w:szCs w:val="22"/>
                <w:u w:val="none"/>
              </w:rPr>
            </w:pPr>
          </w:p>
        </w:tc>
        <w:tc>
          <w:tcPr>
            <w:tcW w:w="15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129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1384192.23</w:t>
            </w:r>
          </w:p>
        </w:tc>
      </w:tr>
      <w:tr w14:paraId="3EAA8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6" w:hRule="atLeast"/>
        </w:trPr>
        <w:tc>
          <w:tcPr>
            <w:tcW w:w="945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8EF6B">
            <w:pPr>
              <w:keepNext w:val="0"/>
              <w:keepLines w:val="0"/>
              <w:widowControl/>
              <w:suppressLineNumbers w:val="0"/>
              <w:jc w:val="left"/>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注：本表项目投资金额只作为预算估算依据，不作为结算依据。</w:t>
            </w:r>
          </w:p>
        </w:tc>
      </w:tr>
    </w:tbl>
    <w:p w14:paraId="61FF958B">
      <w:pPr>
        <w:pStyle w:val="4"/>
        <w:rPr>
          <w:color w:val="auto"/>
          <w:highlight w:val="none"/>
        </w:rPr>
      </w:pPr>
    </w:p>
    <w:p w14:paraId="78B5ED9E">
      <w:pPr>
        <w:rPr>
          <w:rFonts w:ascii="黑体" w:hAnsi="黑体" w:eastAsia="黑体" w:cs="黑体"/>
          <w:color w:val="auto"/>
          <w:spacing w:val="-11"/>
          <w:sz w:val="31"/>
          <w:szCs w:val="31"/>
          <w:highlight w:val="none"/>
        </w:rPr>
      </w:pPr>
      <w:r>
        <w:rPr>
          <w:rFonts w:ascii="黑体" w:hAnsi="黑体" w:eastAsia="黑体" w:cs="黑体"/>
          <w:color w:val="auto"/>
          <w:spacing w:val="-11"/>
          <w:sz w:val="31"/>
          <w:szCs w:val="31"/>
          <w:highlight w:val="none"/>
        </w:rPr>
        <w:br w:type="page"/>
      </w:r>
    </w:p>
    <w:p w14:paraId="5145F01B">
      <w:pPr>
        <w:spacing w:before="64" w:line="227" w:lineRule="auto"/>
        <w:ind w:left="46"/>
        <w:rPr>
          <w:rFonts w:ascii="黑体" w:hAnsi="黑体" w:eastAsia="黑体" w:cs="黑体"/>
          <w:color w:val="auto"/>
          <w:sz w:val="31"/>
          <w:szCs w:val="31"/>
          <w:highlight w:val="none"/>
        </w:rPr>
      </w:pPr>
      <w:r>
        <w:rPr>
          <w:rFonts w:ascii="黑体" w:hAnsi="黑体" w:eastAsia="黑体" w:cs="黑体"/>
          <w:color w:val="auto"/>
          <w:spacing w:val="-11"/>
          <w:sz w:val="31"/>
          <w:szCs w:val="31"/>
          <w:highlight w:val="none"/>
        </w:rPr>
        <w:t>附件</w:t>
      </w:r>
      <w:r>
        <w:rPr>
          <w:rFonts w:hint="eastAsia" w:ascii="黑体" w:hAnsi="黑体" w:eastAsia="黑体" w:cs="黑体"/>
          <w:color w:val="auto"/>
          <w:spacing w:val="-11"/>
          <w:sz w:val="31"/>
          <w:szCs w:val="31"/>
          <w:highlight w:val="none"/>
          <w:lang w:val="en-US" w:eastAsia="zh-CN"/>
        </w:rPr>
        <w:t>2</w:t>
      </w:r>
      <w:r>
        <w:rPr>
          <w:rFonts w:ascii="黑体" w:hAnsi="黑体" w:eastAsia="黑体" w:cs="黑体"/>
          <w:color w:val="auto"/>
          <w:spacing w:val="-11"/>
          <w:sz w:val="31"/>
          <w:szCs w:val="31"/>
          <w:highlight w:val="none"/>
        </w:rPr>
        <w:t>：</w:t>
      </w:r>
    </w:p>
    <w:p w14:paraId="6110396F">
      <w:pPr>
        <w:spacing w:before="6" w:line="221" w:lineRule="auto"/>
        <w:ind w:left="3131"/>
        <w:rPr>
          <w:rFonts w:ascii="宋体" w:hAnsi="宋体" w:eastAsia="宋体" w:cs="宋体"/>
          <w:color w:val="auto"/>
          <w:sz w:val="28"/>
          <w:szCs w:val="28"/>
          <w:highlight w:val="none"/>
        </w:rPr>
      </w:pPr>
      <w:r>
        <w:rPr>
          <w:rFonts w:ascii="宋体" w:hAnsi="宋体" w:eastAsia="宋体" w:cs="宋体"/>
          <w:b/>
          <w:bCs/>
          <w:color w:val="auto"/>
          <w:spacing w:val="-6"/>
          <w:sz w:val="28"/>
          <w:szCs w:val="28"/>
          <w:highlight w:val="none"/>
        </w:rPr>
        <w:t>中小企业划型标准规定</w:t>
      </w:r>
    </w:p>
    <w:p w14:paraId="314F9F13">
      <w:pPr>
        <w:spacing w:before="134" w:line="221" w:lineRule="auto"/>
        <w:ind w:left="317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工信部联企业〔2011〕300号</w:t>
      </w:r>
    </w:p>
    <w:p w14:paraId="1C27E3DC">
      <w:pPr>
        <w:pStyle w:val="4"/>
        <w:spacing w:line="247" w:lineRule="auto"/>
        <w:rPr>
          <w:color w:val="auto"/>
          <w:highlight w:val="none"/>
        </w:rPr>
      </w:pPr>
    </w:p>
    <w:p w14:paraId="6B508546">
      <w:pPr>
        <w:pStyle w:val="4"/>
        <w:spacing w:line="248" w:lineRule="auto"/>
        <w:rPr>
          <w:color w:val="auto"/>
          <w:highlight w:val="none"/>
        </w:rPr>
      </w:pPr>
    </w:p>
    <w:p w14:paraId="2F1D5F94">
      <w:pPr>
        <w:spacing w:before="68" w:line="239" w:lineRule="auto"/>
        <w:ind w:left="26" w:right="76" w:firstLine="41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一、根据《中华人民共和国中小企业促进法》和《国务院关于进一步促进中小企业发展的若干意见》</w:t>
      </w:r>
      <w:r>
        <w:rPr>
          <w:rFonts w:ascii="Times New Roman" w:hAnsi="Times New Roman" w:eastAsia="Times New Roman" w:cs="Times New Roman"/>
          <w:color w:val="auto"/>
          <w:spacing w:val="-2"/>
          <w:sz w:val="21"/>
          <w:szCs w:val="21"/>
          <w:highlight w:val="none"/>
        </w:rPr>
        <w:t>(</w:t>
      </w:r>
      <w:r>
        <w:rPr>
          <w:rFonts w:ascii="宋体" w:hAnsi="宋体" w:eastAsia="宋体" w:cs="宋体"/>
          <w:color w:val="auto"/>
          <w:spacing w:val="-2"/>
          <w:sz w:val="21"/>
          <w:szCs w:val="21"/>
          <w:highlight w:val="none"/>
        </w:rPr>
        <w:t>国发〔2009〕36号</w:t>
      </w:r>
      <w:r>
        <w:rPr>
          <w:rFonts w:ascii="Times New Roman" w:hAnsi="Times New Roman" w:eastAsia="Times New Roman" w:cs="Times New Roman"/>
          <w:color w:val="auto"/>
          <w:spacing w:val="-2"/>
          <w:sz w:val="21"/>
          <w:szCs w:val="21"/>
          <w:highlight w:val="none"/>
        </w:rPr>
        <w:t>)</w:t>
      </w:r>
      <w:r>
        <w:rPr>
          <w:rFonts w:ascii="宋体" w:hAnsi="宋体" w:eastAsia="宋体" w:cs="宋体"/>
          <w:color w:val="auto"/>
          <w:spacing w:val="-2"/>
          <w:sz w:val="21"/>
          <w:szCs w:val="21"/>
          <w:highlight w:val="none"/>
        </w:rPr>
        <w:t>，制定本规定。</w:t>
      </w:r>
    </w:p>
    <w:p w14:paraId="26097A6D">
      <w:pPr>
        <w:spacing w:before="177" w:line="242" w:lineRule="auto"/>
        <w:ind w:left="20" w:right="74" w:firstLine="42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二、中小企业划分为中型、小型、微型三种</w:t>
      </w:r>
      <w:r>
        <w:rPr>
          <w:rFonts w:ascii="宋体" w:hAnsi="宋体" w:eastAsia="宋体" w:cs="宋体"/>
          <w:color w:val="auto"/>
          <w:spacing w:val="-2"/>
          <w:sz w:val="21"/>
          <w:szCs w:val="21"/>
          <w:highlight w:val="none"/>
        </w:rPr>
        <w:t>类型，具体标准根据企业从业人员、营业收入、资产总额等指标，结合行业特点制定。</w:t>
      </w:r>
    </w:p>
    <w:p w14:paraId="4BE74FD8">
      <w:pPr>
        <w:spacing w:before="170" w:line="255" w:lineRule="auto"/>
        <w:ind w:left="21" w:right="2" w:firstLine="421"/>
        <w:rPr>
          <w:rFonts w:ascii="宋体" w:hAnsi="宋体" w:eastAsia="宋体" w:cs="宋体"/>
          <w:color w:val="auto"/>
          <w:sz w:val="21"/>
          <w:szCs w:val="21"/>
          <w:highlight w:val="none"/>
        </w:rPr>
      </w:pPr>
      <w:r>
        <w:rPr>
          <w:rFonts w:ascii="宋体" w:hAnsi="宋体" w:eastAsia="宋体" w:cs="宋体"/>
          <w:color w:val="auto"/>
          <w:sz w:val="21"/>
          <w:szCs w:val="21"/>
          <w:highlight w:val="none"/>
        </w:rPr>
        <w:t>三、本规定适用的行业包括：农、林、牧、渔业，工业（包括采矿业，制造业，电力</w:t>
      </w:r>
      <w:r>
        <w:rPr>
          <w:rFonts w:ascii="宋体" w:hAnsi="宋体" w:eastAsia="宋体" w:cs="宋体"/>
          <w:color w:val="auto"/>
          <w:spacing w:val="-1"/>
          <w:sz w:val="21"/>
          <w:szCs w:val="21"/>
          <w:highlight w:val="none"/>
        </w:rPr>
        <w:t>、热力、燃气及水生产和供应业</w:t>
      </w:r>
      <w:r>
        <w:rPr>
          <w:rFonts w:ascii="宋体" w:hAnsi="宋体" w:eastAsia="宋体" w:cs="宋体"/>
          <w:color w:val="auto"/>
          <w:spacing w:val="9"/>
          <w:sz w:val="21"/>
          <w:szCs w:val="21"/>
          <w:highlight w:val="none"/>
        </w:rPr>
        <w:t>），</w:t>
      </w:r>
      <w:r>
        <w:rPr>
          <w:rFonts w:ascii="宋体" w:hAnsi="宋体" w:eastAsia="宋体" w:cs="宋体"/>
          <w:color w:val="auto"/>
          <w:spacing w:val="-1"/>
          <w:sz w:val="21"/>
          <w:szCs w:val="21"/>
          <w:highlight w:val="none"/>
        </w:rPr>
        <w:t>建筑业，批发业，零售业，交通运输业（不含铁路运输业</w:t>
      </w:r>
      <w:r>
        <w:rPr>
          <w:rFonts w:ascii="宋体" w:hAnsi="宋体" w:eastAsia="宋体" w:cs="宋体"/>
          <w:color w:val="auto"/>
          <w:spacing w:val="9"/>
          <w:sz w:val="21"/>
          <w:szCs w:val="21"/>
          <w:highlight w:val="none"/>
        </w:rPr>
        <w:t>），</w:t>
      </w:r>
      <w:r>
        <w:rPr>
          <w:rFonts w:ascii="宋体" w:hAnsi="宋体" w:eastAsia="宋体" w:cs="宋体"/>
          <w:color w:val="auto"/>
          <w:spacing w:val="-1"/>
          <w:sz w:val="21"/>
          <w:szCs w:val="21"/>
          <w:highlight w:val="none"/>
        </w:rPr>
        <w:t>仓储业，</w:t>
      </w:r>
      <w:r>
        <w:rPr>
          <w:rFonts w:ascii="宋体" w:hAnsi="宋体" w:eastAsia="宋体" w:cs="宋体"/>
          <w:color w:val="auto"/>
          <w:spacing w:val="-4"/>
          <w:sz w:val="21"/>
          <w:szCs w:val="21"/>
          <w:highlight w:val="none"/>
        </w:rPr>
        <w:t>邮政业，住宿业，餐饮业，信息传输业（包括电信、互联网和相关服务</w:t>
      </w:r>
      <w:r>
        <w:rPr>
          <w:rFonts w:ascii="宋体" w:hAnsi="宋体" w:eastAsia="宋体" w:cs="宋体"/>
          <w:color w:val="auto"/>
          <w:spacing w:val="-14"/>
          <w:sz w:val="21"/>
          <w:szCs w:val="21"/>
          <w:highlight w:val="none"/>
        </w:rPr>
        <w:t>），</w:t>
      </w:r>
      <w:r>
        <w:rPr>
          <w:rFonts w:ascii="宋体" w:hAnsi="宋体" w:eastAsia="宋体" w:cs="宋体"/>
          <w:color w:val="auto"/>
          <w:spacing w:val="-4"/>
          <w:sz w:val="21"/>
          <w:szCs w:val="21"/>
          <w:highlight w:val="none"/>
        </w:rPr>
        <w:t>软件和信息技术服务业，</w:t>
      </w:r>
      <w:r>
        <w:rPr>
          <w:rFonts w:ascii="宋体" w:hAnsi="宋体" w:eastAsia="宋体" w:cs="宋体"/>
          <w:color w:val="auto"/>
          <w:sz w:val="21"/>
          <w:szCs w:val="21"/>
          <w:highlight w:val="none"/>
        </w:rPr>
        <w:t>房地产开发经营，物业管理，租赁和商务服务业，</w:t>
      </w:r>
      <w:r>
        <w:rPr>
          <w:rFonts w:hint="eastAsia" w:ascii="宋体" w:hAnsi="宋体" w:eastAsia="宋体" w:cs="宋体"/>
          <w:color w:val="auto"/>
          <w:sz w:val="21"/>
          <w:szCs w:val="21"/>
          <w:highlight w:val="none"/>
          <w:lang w:val="en-US" w:eastAsia="zh-CN"/>
        </w:rPr>
        <w:t>其他未列明行业</w:t>
      </w:r>
      <w:r>
        <w:rPr>
          <w:rFonts w:ascii="宋体" w:hAnsi="宋体" w:eastAsia="宋体" w:cs="宋体"/>
          <w:color w:val="auto"/>
          <w:sz w:val="21"/>
          <w:szCs w:val="21"/>
          <w:highlight w:val="none"/>
        </w:rPr>
        <w:t>（包括科学研究和技术服务</w:t>
      </w:r>
      <w:r>
        <w:rPr>
          <w:rFonts w:ascii="宋体" w:hAnsi="宋体" w:eastAsia="宋体" w:cs="宋体"/>
          <w:color w:val="auto"/>
          <w:spacing w:val="-1"/>
          <w:sz w:val="21"/>
          <w:szCs w:val="21"/>
          <w:highlight w:val="none"/>
        </w:rPr>
        <w:t>业，</w:t>
      </w:r>
      <w:r>
        <w:rPr>
          <w:rFonts w:ascii="宋体" w:hAnsi="宋体" w:eastAsia="宋体" w:cs="宋体"/>
          <w:color w:val="auto"/>
          <w:spacing w:val="-9"/>
          <w:sz w:val="21"/>
          <w:szCs w:val="21"/>
          <w:highlight w:val="none"/>
        </w:rPr>
        <w:t>水利、环境和公共设施管理业，居民服务、修理和其他服务业，社会工作，文化、体育和娱乐业等）。</w:t>
      </w:r>
    </w:p>
    <w:p w14:paraId="75D258FC">
      <w:pPr>
        <w:spacing w:before="170" w:line="221" w:lineRule="auto"/>
        <w:ind w:left="462"/>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四、各行业划型标准为：</w:t>
      </w:r>
    </w:p>
    <w:p w14:paraId="169CB02D">
      <w:pPr>
        <w:spacing w:before="167" w:line="253" w:lineRule="auto"/>
        <w:ind w:left="23" w:right="74" w:firstLine="42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（一）农、林、牧、渔业。营业收入</w:t>
      </w:r>
      <w:r>
        <w:rPr>
          <w:rFonts w:ascii="Times New Roman" w:hAnsi="Times New Roman" w:eastAsia="Times New Roman" w:cs="Times New Roman"/>
          <w:color w:val="auto"/>
          <w:spacing w:val="-1"/>
          <w:sz w:val="21"/>
          <w:szCs w:val="21"/>
          <w:highlight w:val="none"/>
        </w:rPr>
        <w:t>20000</w:t>
      </w:r>
      <w:r>
        <w:rPr>
          <w:rFonts w:ascii="宋体" w:hAnsi="宋体" w:eastAsia="宋体" w:cs="宋体"/>
          <w:color w:val="auto"/>
          <w:spacing w:val="-1"/>
          <w:sz w:val="21"/>
          <w:szCs w:val="21"/>
          <w:highlight w:val="none"/>
        </w:rPr>
        <w:t>万元以下的为中小微型企业。其中，营业收入</w:t>
      </w:r>
      <w:r>
        <w:rPr>
          <w:rFonts w:ascii="Times New Roman" w:hAnsi="Times New Roman" w:eastAsia="Times New Roman" w:cs="Times New Roman"/>
          <w:color w:val="auto"/>
          <w:spacing w:val="-1"/>
          <w:sz w:val="21"/>
          <w:szCs w:val="21"/>
          <w:highlight w:val="none"/>
        </w:rPr>
        <w:t>500</w:t>
      </w:r>
      <w:r>
        <w:rPr>
          <w:rFonts w:ascii="宋体" w:hAnsi="宋体" w:eastAsia="宋体" w:cs="宋体"/>
          <w:color w:val="auto"/>
          <w:spacing w:val="-2"/>
          <w:sz w:val="21"/>
          <w:szCs w:val="21"/>
          <w:highlight w:val="none"/>
        </w:rPr>
        <w:t>万元及以上的为中型企业，营业收入</w:t>
      </w:r>
      <w:r>
        <w:rPr>
          <w:rFonts w:ascii="Times New Roman" w:hAnsi="Times New Roman" w:eastAsia="Times New Roman" w:cs="Times New Roman"/>
          <w:color w:val="auto"/>
          <w:spacing w:val="-2"/>
          <w:sz w:val="21"/>
          <w:szCs w:val="21"/>
          <w:highlight w:val="none"/>
        </w:rPr>
        <w:t>50</w:t>
      </w:r>
      <w:r>
        <w:rPr>
          <w:rFonts w:ascii="宋体" w:hAnsi="宋体" w:eastAsia="宋体" w:cs="宋体"/>
          <w:color w:val="auto"/>
          <w:spacing w:val="-2"/>
          <w:sz w:val="21"/>
          <w:szCs w:val="21"/>
          <w:highlight w:val="none"/>
        </w:rPr>
        <w:t>万元及以上的为小型企业，营业收入</w:t>
      </w:r>
      <w:r>
        <w:rPr>
          <w:rFonts w:ascii="Times New Roman" w:hAnsi="Times New Roman" w:eastAsia="Times New Roman" w:cs="Times New Roman"/>
          <w:color w:val="auto"/>
          <w:spacing w:val="-2"/>
          <w:sz w:val="21"/>
          <w:szCs w:val="21"/>
          <w:highlight w:val="none"/>
        </w:rPr>
        <w:t>50</w:t>
      </w:r>
      <w:r>
        <w:rPr>
          <w:rFonts w:ascii="宋体" w:hAnsi="宋体" w:eastAsia="宋体" w:cs="宋体"/>
          <w:color w:val="auto"/>
          <w:spacing w:val="-2"/>
          <w:sz w:val="21"/>
          <w:szCs w:val="21"/>
          <w:highlight w:val="none"/>
        </w:rPr>
        <w:t>万元以</w:t>
      </w:r>
      <w:r>
        <w:rPr>
          <w:rFonts w:ascii="宋体" w:hAnsi="宋体" w:eastAsia="宋体" w:cs="宋体"/>
          <w:color w:val="auto"/>
          <w:spacing w:val="-3"/>
          <w:sz w:val="21"/>
          <w:szCs w:val="21"/>
          <w:highlight w:val="none"/>
        </w:rPr>
        <w:t>下的为微型</w:t>
      </w:r>
      <w:r>
        <w:rPr>
          <w:rFonts w:ascii="宋体" w:hAnsi="宋体" w:eastAsia="宋体" w:cs="宋体"/>
          <w:color w:val="auto"/>
          <w:spacing w:val="-9"/>
          <w:sz w:val="21"/>
          <w:szCs w:val="21"/>
          <w:highlight w:val="none"/>
        </w:rPr>
        <w:t>企业。</w:t>
      </w:r>
    </w:p>
    <w:p w14:paraId="797886AD">
      <w:pPr>
        <w:spacing w:before="158" w:line="254" w:lineRule="auto"/>
        <w:ind w:left="19" w:right="76" w:firstLine="42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（二）工业。从业人员</w:t>
      </w:r>
      <w:r>
        <w:rPr>
          <w:rFonts w:ascii="Times New Roman" w:hAnsi="Times New Roman" w:eastAsia="Times New Roman" w:cs="Times New Roman"/>
          <w:color w:val="auto"/>
          <w:spacing w:val="-2"/>
          <w:sz w:val="21"/>
          <w:szCs w:val="21"/>
          <w:highlight w:val="none"/>
        </w:rPr>
        <w:t>1000</w:t>
      </w:r>
      <w:r>
        <w:rPr>
          <w:rFonts w:ascii="宋体" w:hAnsi="宋体" w:eastAsia="宋体" w:cs="宋体"/>
          <w:color w:val="auto"/>
          <w:spacing w:val="-2"/>
          <w:sz w:val="21"/>
          <w:szCs w:val="21"/>
          <w:highlight w:val="none"/>
        </w:rPr>
        <w:t>人以下或营业收入</w:t>
      </w:r>
      <w:r>
        <w:rPr>
          <w:rFonts w:ascii="Times New Roman" w:hAnsi="Times New Roman" w:eastAsia="Times New Roman" w:cs="Times New Roman"/>
          <w:color w:val="auto"/>
          <w:spacing w:val="-2"/>
          <w:sz w:val="21"/>
          <w:szCs w:val="21"/>
          <w:highlight w:val="none"/>
        </w:rPr>
        <w:t>40000</w:t>
      </w:r>
      <w:r>
        <w:rPr>
          <w:rFonts w:ascii="宋体" w:hAnsi="宋体" w:eastAsia="宋体" w:cs="宋体"/>
          <w:color w:val="auto"/>
          <w:spacing w:val="-2"/>
          <w:sz w:val="21"/>
          <w:szCs w:val="21"/>
          <w:highlight w:val="none"/>
        </w:rPr>
        <w:t>万元以下的为中小微型企业。其中，从</w:t>
      </w:r>
      <w:r>
        <w:rPr>
          <w:rFonts w:ascii="宋体" w:hAnsi="宋体" w:eastAsia="宋体" w:cs="宋体"/>
          <w:color w:val="auto"/>
          <w:sz w:val="21"/>
          <w:szCs w:val="21"/>
          <w:highlight w:val="none"/>
        </w:rPr>
        <w:t>业人员</w:t>
      </w:r>
      <w:r>
        <w:rPr>
          <w:rFonts w:ascii="Times New Roman" w:hAnsi="Times New Roman" w:eastAsia="Times New Roman" w:cs="Times New Roman"/>
          <w:color w:val="auto"/>
          <w:sz w:val="21"/>
          <w:szCs w:val="21"/>
          <w:highlight w:val="none"/>
        </w:rPr>
        <w:t>300</w:t>
      </w:r>
      <w:r>
        <w:rPr>
          <w:rFonts w:ascii="宋体" w:hAnsi="宋体" w:eastAsia="宋体" w:cs="宋体"/>
          <w:color w:val="auto"/>
          <w:sz w:val="21"/>
          <w:szCs w:val="21"/>
          <w:highlight w:val="none"/>
        </w:rPr>
        <w:t>人及以上，且营业收入</w:t>
      </w:r>
      <w:r>
        <w:rPr>
          <w:rFonts w:ascii="Times New Roman" w:hAnsi="Times New Roman" w:eastAsia="Times New Roman" w:cs="Times New Roman"/>
          <w:color w:val="auto"/>
          <w:sz w:val="21"/>
          <w:szCs w:val="21"/>
          <w:highlight w:val="none"/>
        </w:rPr>
        <w:t>2000</w:t>
      </w:r>
      <w:r>
        <w:rPr>
          <w:rFonts w:ascii="宋体" w:hAnsi="宋体" w:eastAsia="宋体" w:cs="宋体"/>
          <w:color w:val="auto"/>
          <w:sz w:val="21"/>
          <w:szCs w:val="21"/>
          <w:highlight w:val="none"/>
        </w:rPr>
        <w:t>万元及以上的</w:t>
      </w:r>
      <w:r>
        <w:rPr>
          <w:rFonts w:ascii="宋体" w:hAnsi="宋体" w:eastAsia="宋体" w:cs="宋体"/>
          <w:color w:val="auto"/>
          <w:spacing w:val="-1"/>
          <w:sz w:val="21"/>
          <w:szCs w:val="21"/>
          <w:highlight w:val="none"/>
        </w:rPr>
        <w:t>为中型企业；从业人员</w:t>
      </w:r>
      <w:r>
        <w:rPr>
          <w:rFonts w:ascii="Times New Roman" w:hAnsi="Times New Roman" w:eastAsia="Times New Roman" w:cs="Times New Roman"/>
          <w:color w:val="auto"/>
          <w:spacing w:val="-1"/>
          <w:sz w:val="21"/>
          <w:szCs w:val="21"/>
          <w:highlight w:val="none"/>
        </w:rPr>
        <w:t>20</w:t>
      </w:r>
      <w:r>
        <w:rPr>
          <w:rFonts w:ascii="宋体" w:hAnsi="宋体" w:eastAsia="宋体" w:cs="宋体"/>
          <w:color w:val="auto"/>
          <w:spacing w:val="-1"/>
          <w:sz w:val="21"/>
          <w:szCs w:val="21"/>
          <w:highlight w:val="none"/>
        </w:rPr>
        <w:t>人及以上，且营业</w:t>
      </w:r>
      <w:r>
        <w:rPr>
          <w:rFonts w:ascii="宋体" w:hAnsi="宋体" w:eastAsia="宋体" w:cs="宋体"/>
          <w:color w:val="auto"/>
          <w:sz w:val="21"/>
          <w:szCs w:val="21"/>
          <w:highlight w:val="none"/>
        </w:rPr>
        <w:t>收入</w:t>
      </w:r>
      <w:r>
        <w:rPr>
          <w:rFonts w:ascii="Times New Roman" w:hAnsi="Times New Roman" w:eastAsia="Times New Roman" w:cs="Times New Roman"/>
          <w:color w:val="auto"/>
          <w:sz w:val="21"/>
          <w:szCs w:val="21"/>
          <w:highlight w:val="none"/>
        </w:rPr>
        <w:t>300</w:t>
      </w:r>
      <w:r>
        <w:rPr>
          <w:rFonts w:ascii="宋体" w:hAnsi="宋体" w:eastAsia="宋体" w:cs="宋体"/>
          <w:color w:val="auto"/>
          <w:sz w:val="21"/>
          <w:szCs w:val="21"/>
          <w:highlight w:val="none"/>
        </w:rPr>
        <w:t>万元及以上的为小型企业；从业人员</w:t>
      </w:r>
      <w:r>
        <w:rPr>
          <w:rFonts w:ascii="Times New Roman" w:hAnsi="Times New Roman" w:eastAsia="Times New Roman" w:cs="Times New Roman"/>
          <w:color w:val="auto"/>
          <w:sz w:val="21"/>
          <w:szCs w:val="21"/>
          <w:highlight w:val="none"/>
        </w:rPr>
        <w:t>20</w:t>
      </w:r>
      <w:r>
        <w:rPr>
          <w:rFonts w:ascii="宋体" w:hAnsi="宋体" w:eastAsia="宋体" w:cs="宋体"/>
          <w:color w:val="auto"/>
          <w:sz w:val="21"/>
          <w:szCs w:val="21"/>
          <w:highlight w:val="none"/>
        </w:rPr>
        <w:t>人以下或营业收入</w:t>
      </w:r>
      <w:r>
        <w:rPr>
          <w:rFonts w:ascii="Times New Roman" w:hAnsi="Times New Roman" w:eastAsia="Times New Roman" w:cs="Times New Roman"/>
          <w:color w:val="auto"/>
          <w:sz w:val="21"/>
          <w:szCs w:val="21"/>
          <w:highlight w:val="none"/>
        </w:rPr>
        <w:t>300</w:t>
      </w:r>
      <w:r>
        <w:rPr>
          <w:rFonts w:ascii="宋体" w:hAnsi="宋体" w:eastAsia="宋体" w:cs="宋体"/>
          <w:color w:val="auto"/>
          <w:sz w:val="21"/>
          <w:szCs w:val="21"/>
          <w:highlight w:val="none"/>
        </w:rPr>
        <w:t>万元以下的为微型企业。</w:t>
      </w:r>
    </w:p>
    <w:p w14:paraId="63CC2CCD">
      <w:pPr>
        <w:spacing w:before="153" w:line="255" w:lineRule="auto"/>
        <w:ind w:left="20" w:right="16" w:firstLine="387"/>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（三）建筑业。营业收入</w:t>
      </w:r>
      <w:r>
        <w:rPr>
          <w:rFonts w:ascii="Times New Roman" w:hAnsi="Times New Roman" w:eastAsia="Times New Roman" w:cs="Times New Roman"/>
          <w:color w:val="auto"/>
          <w:spacing w:val="-3"/>
          <w:sz w:val="21"/>
          <w:szCs w:val="21"/>
          <w:highlight w:val="none"/>
        </w:rPr>
        <w:t>80000</w:t>
      </w:r>
      <w:r>
        <w:rPr>
          <w:rFonts w:ascii="宋体" w:hAnsi="宋体" w:eastAsia="宋体" w:cs="宋体"/>
          <w:color w:val="auto"/>
          <w:spacing w:val="-3"/>
          <w:sz w:val="21"/>
          <w:szCs w:val="21"/>
          <w:highlight w:val="none"/>
        </w:rPr>
        <w:t>万元以下或资产总额</w:t>
      </w:r>
      <w:r>
        <w:rPr>
          <w:rFonts w:ascii="Times New Roman" w:hAnsi="Times New Roman" w:eastAsia="Times New Roman" w:cs="Times New Roman"/>
          <w:color w:val="auto"/>
          <w:spacing w:val="-3"/>
          <w:sz w:val="21"/>
          <w:szCs w:val="21"/>
          <w:highlight w:val="none"/>
        </w:rPr>
        <w:t>80000</w:t>
      </w:r>
      <w:r>
        <w:rPr>
          <w:rFonts w:ascii="宋体" w:hAnsi="宋体" w:eastAsia="宋体" w:cs="宋体"/>
          <w:color w:val="auto"/>
          <w:spacing w:val="-3"/>
          <w:sz w:val="21"/>
          <w:szCs w:val="21"/>
          <w:highlight w:val="none"/>
        </w:rPr>
        <w:t>万元以下的</w:t>
      </w:r>
      <w:r>
        <w:rPr>
          <w:rFonts w:ascii="宋体" w:hAnsi="宋体" w:eastAsia="宋体" w:cs="宋体"/>
          <w:color w:val="auto"/>
          <w:spacing w:val="-4"/>
          <w:sz w:val="21"/>
          <w:szCs w:val="21"/>
          <w:highlight w:val="none"/>
        </w:rPr>
        <w:t>为中小微型企业。其中，</w:t>
      </w:r>
      <w:r>
        <w:rPr>
          <w:rFonts w:ascii="宋体" w:hAnsi="宋体" w:eastAsia="宋体" w:cs="宋体"/>
          <w:color w:val="auto"/>
          <w:spacing w:val="-5"/>
          <w:sz w:val="21"/>
          <w:szCs w:val="21"/>
          <w:highlight w:val="none"/>
        </w:rPr>
        <w:t>营业收入</w:t>
      </w:r>
      <w:r>
        <w:rPr>
          <w:rFonts w:ascii="Times New Roman" w:hAnsi="Times New Roman" w:eastAsia="Times New Roman" w:cs="Times New Roman"/>
          <w:color w:val="auto"/>
          <w:spacing w:val="-5"/>
          <w:sz w:val="21"/>
          <w:szCs w:val="21"/>
          <w:highlight w:val="none"/>
        </w:rPr>
        <w:t>6000</w:t>
      </w:r>
      <w:r>
        <w:rPr>
          <w:rFonts w:ascii="宋体" w:hAnsi="宋体" w:eastAsia="宋体" w:cs="宋体"/>
          <w:color w:val="auto"/>
          <w:spacing w:val="-5"/>
          <w:sz w:val="21"/>
          <w:szCs w:val="21"/>
          <w:highlight w:val="none"/>
        </w:rPr>
        <w:t>万元及以上，且资产总额</w:t>
      </w:r>
      <w:r>
        <w:rPr>
          <w:rFonts w:ascii="Times New Roman" w:hAnsi="Times New Roman" w:eastAsia="Times New Roman" w:cs="Times New Roman"/>
          <w:color w:val="auto"/>
          <w:spacing w:val="-5"/>
          <w:sz w:val="21"/>
          <w:szCs w:val="21"/>
          <w:highlight w:val="none"/>
        </w:rPr>
        <w:t>5000</w:t>
      </w:r>
      <w:r>
        <w:rPr>
          <w:rFonts w:ascii="宋体" w:hAnsi="宋体" w:eastAsia="宋体" w:cs="宋体"/>
          <w:color w:val="auto"/>
          <w:spacing w:val="-5"/>
          <w:sz w:val="21"/>
          <w:szCs w:val="21"/>
          <w:highlight w:val="none"/>
        </w:rPr>
        <w:t>万元及以上的为中型企业；营业收入</w:t>
      </w:r>
      <w:r>
        <w:rPr>
          <w:rFonts w:ascii="Times New Roman" w:hAnsi="Times New Roman" w:eastAsia="Times New Roman" w:cs="Times New Roman"/>
          <w:color w:val="auto"/>
          <w:spacing w:val="-5"/>
          <w:sz w:val="21"/>
          <w:szCs w:val="21"/>
          <w:highlight w:val="none"/>
        </w:rPr>
        <w:t>300</w:t>
      </w:r>
      <w:r>
        <w:rPr>
          <w:rFonts w:ascii="宋体" w:hAnsi="宋体" w:eastAsia="宋体" w:cs="宋体"/>
          <w:color w:val="auto"/>
          <w:spacing w:val="-5"/>
          <w:sz w:val="21"/>
          <w:szCs w:val="21"/>
          <w:highlight w:val="none"/>
        </w:rPr>
        <w:t>万元及以上，</w:t>
      </w:r>
      <w:r>
        <w:rPr>
          <w:rFonts w:ascii="宋体" w:hAnsi="宋体" w:eastAsia="宋体" w:cs="宋体"/>
          <w:color w:val="auto"/>
          <w:spacing w:val="-2"/>
          <w:sz w:val="21"/>
          <w:szCs w:val="21"/>
          <w:highlight w:val="none"/>
        </w:rPr>
        <w:t>且资产总额</w:t>
      </w:r>
      <w:r>
        <w:rPr>
          <w:rFonts w:ascii="Times New Roman" w:hAnsi="Times New Roman" w:eastAsia="Times New Roman" w:cs="Times New Roman"/>
          <w:color w:val="auto"/>
          <w:spacing w:val="-2"/>
          <w:sz w:val="21"/>
          <w:szCs w:val="21"/>
          <w:highlight w:val="none"/>
        </w:rPr>
        <w:t>300</w:t>
      </w:r>
      <w:r>
        <w:rPr>
          <w:rFonts w:ascii="宋体" w:hAnsi="宋体" w:eastAsia="宋体" w:cs="宋体"/>
          <w:color w:val="auto"/>
          <w:spacing w:val="-2"/>
          <w:sz w:val="21"/>
          <w:szCs w:val="21"/>
          <w:highlight w:val="none"/>
        </w:rPr>
        <w:t>万元及以上的为小型企业；营业收入</w:t>
      </w:r>
      <w:r>
        <w:rPr>
          <w:rFonts w:ascii="Times New Roman" w:hAnsi="Times New Roman" w:eastAsia="Times New Roman" w:cs="Times New Roman"/>
          <w:color w:val="auto"/>
          <w:spacing w:val="-2"/>
          <w:sz w:val="21"/>
          <w:szCs w:val="21"/>
          <w:highlight w:val="none"/>
        </w:rPr>
        <w:t>300</w:t>
      </w:r>
      <w:r>
        <w:rPr>
          <w:rFonts w:ascii="宋体" w:hAnsi="宋体" w:eastAsia="宋体" w:cs="宋体"/>
          <w:color w:val="auto"/>
          <w:spacing w:val="-2"/>
          <w:sz w:val="21"/>
          <w:szCs w:val="21"/>
          <w:highlight w:val="none"/>
        </w:rPr>
        <w:t>万元以下或资产总额</w:t>
      </w:r>
      <w:r>
        <w:rPr>
          <w:rFonts w:ascii="Times New Roman" w:hAnsi="Times New Roman" w:eastAsia="Times New Roman" w:cs="Times New Roman"/>
          <w:color w:val="auto"/>
          <w:spacing w:val="-2"/>
          <w:sz w:val="21"/>
          <w:szCs w:val="21"/>
          <w:highlight w:val="none"/>
        </w:rPr>
        <w:t>300</w:t>
      </w:r>
      <w:r>
        <w:rPr>
          <w:rFonts w:ascii="宋体" w:hAnsi="宋体" w:eastAsia="宋体" w:cs="宋体"/>
          <w:color w:val="auto"/>
          <w:spacing w:val="-2"/>
          <w:sz w:val="21"/>
          <w:szCs w:val="21"/>
          <w:highlight w:val="none"/>
        </w:rPr>
        <w:t>万元以下的为微型企业。</w:t>
      </w:r>
    </w:p>
    <w:p w14:paraId="33A448F1">
      <w:pPr>
        <w:spacing w:before="160" w:line="254" w:lineRule="auto"/>
        <w:ind w:left="19" w:right="74" w:firstLine="41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（四）批发业。从业人员</w:t>
      </w:r>
      <w:r>
        <w:rPr>
          <w:rFonts w:ascii="Times New Roman" w:hAnsi="Times New Roman" w:eastAsia="Times New Roman" w:cs="Times New Roman"/>
          <w:color w:val="auto"/>
          <w:spacing w:val="-2"/>
          <w:sz w:val="21"/>
          <w:szCs w:val="21"/>
          <w:highlight w:val="none"/>
        </w:rPr>
        <w:t>200</w:t>
      </w:r>
      <w:r>
        <w:rPr>
          <w:rFonts w:ascii="宋体" w:hAnsi="宋体" w:eastAsia="宋体" w:cs="宋体"/>
          <w:color w:val="auto"/>
          <w:spacing w:val="-2"/>
          <w:sz w:val="21"/>
          <w:szCs w:val="21"/>
          <w:highlight w:val="none"/>
        </w:rPr>
        <w:t>人以下或营业收入</w:t>
      </w:r>
      <w:r>
        <w:rPr>
          <w:rFonts w:ascii="Times New Roman" w:hAnsi="Times New Roman" w:eastAsia="Times New Roman" w:cs="Times New Roman"/>
          <w:color w:val="auto"/>
          <w:spacing w:val="-2"/>
          <w:sz w:val="21"/>
          <w:szCs w:val="21"/>
          <w:highlight w:val="none"/>
        </w:rPr>
        <w:t>40000</w:t>
      </w:r>
      <w:r>
        <w:rPr>
          <w:rFonts w:ascii="宋体" w:hAnsi="宋体" w:eastAsia="宋体" w:cs="宋体"/>
          <w:color w:val="auto"/>
          <w:spacing w:val="-2"/>
          <w:sz w:val="21"/>
          <w:szCs w:val="21"/>
          <w:highlight w:val="none"/>
        </w:rPr>
        <w:t>万元以下的为中小微型企业。其中，从</w:t>
      </w:r>
      <w:r>
        <w:rPr>
          <w:rFonts w:ascii="宋体" w:hAnsi="宋体" w:eastAsia="宋体" w:cs="宋体"/>
          <w:color w:val="auto"/>
          <w:spacing w:val="-1"/>
          <w:sz w:val="21"/>
          <w:szCs w:val="21"/>
          <w:highlight w:val="none"/>
        </w:rPr>
        <w:t>业人员</w:t>
      </w:r>
      <w:r>
        <w:rPr>
          <w:rFonts w:ascii="Times New Roman" w:hAnsi="Times New Roman" w:eastAsia="Times New Roman" w:cs="Times New Roman"/>
          <w:color w:val="auto"/>
          <w:spacing w:val="-1"/>
          <w:sz w:val="21"/>
          <w:szCs w:val="21"/>
          <w:highlight w:val="none"/>
        </w:rPr>
        <w:t>20</w:t>
      </w:r>
      <w:r>
        <w:rPr>
          <w:rFonts w:ascii="宋体" w:hAnsi="宋体" w:eastAsia="宋体" w:cs="宋体"/>
          <w:color w:val="auto"/>
          <w:spacing w:val="-1"/>
          <w:sz w:val="21"/>
          <w:szCs w:val="21"/>
          <w:highlight w:val="none"/>
        </w:rPr>
        <w:t>人及以上，且营业收入</w:t>
      </w:r>
      <w:r>
        <w:rPr>
          <w:rFonts w:ascii="Times New Roman" w:hAnsi="Times New Roman" w:eastAsia="Times New Roman" w:cs="Times New Roman"/>
          <w:color w:val="auto"/>
          <w:spacing w:val="-1"/>
          <w:sz w:val="21"/>
          <w:szCs w:val="21"/>
          <w:highlight w:val="none"/>
        </w:rPr>
        <w:t>5000</w:t>
      </w:r>
      <w:r>
        <w:rPr>
          <w:rFonts w:ascii="宋体" w:hAnsi="宋体" w:eastAsia="宋体" w:cs="宋体"/>
          <w:color w:val="auto"/>
          <w:spacing w:val="-1"/>
          <w:sz w:val="21"/>
          <w:szCs w:val="21"/>
          <w:highlight w:val="none"/>
        </w:rPr>
        <w:t>万元及以上的为中型企业；从业人员</w:t>
      </w:r>
      <w:r>
        <w:rPr>
          <w:rFonts w:ascii="Times New Roman" w:hAnsi="Times New Roman" w:eastAsia="Times New Roman" w:cs="Times New Roman"/>
          <w:color w:val="auto"/>
          <w:spacing w:val="-1"/>
          <w:sz w:val="21"/>
          <w:szCs w:val="21"/>
          <w:highlight w:val="none"/>
        </w:rPr>
        <w:t>5</w:t>
      </w:r>
      <w:r>
        <w:rPr>
          <w:rFonts w:ascii="宋体" w:hAnsi="宋体" w:eastAsia="宋体" w:cs="宋体"/>
          <w:color w:val="auto"/>
          <w:spacing w:val="-1"/>
          <w:sz w:val="21"/>
          <w:szCs w:val="21"/>
          <w:highlight w:val="none"/>
        </w:rPr>
        <w:t>人及以上，且营业收</w:t>
      </w:r>
      <w:r>
        <w:rPr>
          <w:rFonts w:ascii="宋体" w:hAnsi="宋体" w:eastAsia="宋体" w:cs="宋体"/>
          <w:color w:val="auto"/>
          <w:sz w:val="21"/>
          <w:szCs w:val="21"/>
          <w:highlight w:val="none"/>
        </w:rPr>
        <w:t>入</w:t>
      </w:r>
      <w:r>
        <w:rPr>
          <w:rFonts w:ascii="Times New Roman" w:hAnsi="Times New Roman" w:eastAsia="Times New Roman" w:cs="Times New Roman"/>
          <w:color w:val="auto"/>
          <w:sz w:val="21"/>
          <w:szCs w:val="21"/>
          <w:highlight w:val="none"/>
        </w:rPr>
        <w:t>1000</w:t>
      </w:r>
      <w:r>
        <w:rPr>
          <w:rFonts w:ascii="宋体" w:hAnsi="宋体" w:eastAsia="宋体" w:cs="宋体"/>
          <w:color w:val="auto"/>
          <w:sz w:val="21"/>
          <w:szCs w:val="21"/>
          <w:highlight w:val="none"/>
        </w:rPr>
        <w:t>万元及以上的为小型企业；从业人员</w:t>
      </w:r>
      <w:r>
        <w:rPr>
          <w:rFonts w:ascii="Times New Roman" w:hAnsi="Times New Roman" w:eastAsia="Times New Roman" w:cs="Times New Roman"/>
          <w:color w:val="auto"/>
          <w:sz w:val="21"/>
          <w:szCs w:val="21"/>
          <w:highlight w:val="none"/>
        </w:rPr>
        <w:t>5</w:t>
      </w:r>
      <w:r>
        <w:rPr>
          <w:rFonts w:ascii="宋体" w:hAnsi="宋体" w:eastAsia="宋体" w:cs="宋体"/>
          <w:color w:val="auto"/>
          <w:sz w:val="21"/>
          <w:szCs w:val="21"/>
          <w:highlight w:val="none"/>
        </w:rPr>
        <w:t>人以下或营业收入</w:t>
      </w:r>
      <w:r>
        <w:rPr>
          <w:rFonts w:ascii="Times New Roman" w:hAnsi="Times New Roman" w:eastAsia="Times New Roman" w:cs="Times New Roman"/>
          <w:color w:val="auto"/>
          <w:sz w:val="21"/>
          <w:szCs w:val="21"/>
          <w:highlight w:val="none"/>
        </w:rPr>
        <w:t>1</w:t>
      </w:r>
      <w:r>
        <w:rPr>
          <w:rFonts w:ascii="Times New Roman" w:hAnsi="Times New Roman" w:eastAsia="Times New Roman" w:cs="Times New Roman"/>
          <w:color w:val="auto"/>
          <w:spacing w:val="-1"/>
          <w:sz w:val="21"/>
          <w:szCs w:val="21"/>
          <w:highlight w:val="none"/>
        </w:rPr>
        <w:t>000</w:t>
      </w:r>
      <w:r>
        <w:rPr>
          <w:rFonts w:ascii="宋体" w:hAnsi="宋体" w:eastAsia="宋体" w:cs="宋体"/>
          <w:color w:val="auto"/>
          <w:spacing w:val="-1"/>
          <w:sz w:val="21"/>
          <w:szCs w:val="21"/>
          <w:highlight w:val="none"/>
        </w:rPr>
        <w:t>万元以下的为微型企业。</w:t>
      </w:r>
    </w:p>
    <w:p w14:paraId="2BDC4ECD">
      <w:pPr>
        <w:spacing w:before="154" w:line="254" w:lineRule="auto"/>
        <w:ind w:left="19" w:right="74" w:firstLine="41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（五）零售业。从业人员</w:t>
      </w:r>
      <w:r>
        <w:rPr>
          <w:rFonts w:ascii="Times New Roman" w:hAnsi="Times New Roman" w:eastAsia="Times New Roman" w:cs="Times New Roman"/>
          <w:color w:val="auto"/>
          <w:spacing w:val="-2"/>
          <w:sz w:val="21"/>
          <w:szCs w:val="21"/>
          <w:highlight w:val="none"/>
        </w:rPr>
        <w:t>300</w:t>
      </w:r>
      <w:r>
        <w:rPr>
          <w:rFonts w:ascii="宋体" w:hAnsi="宋体" w:eastAsia="宋体" w:cs="宋体"/>
          <w:color w:val="auto"/>
          <w:spacing w:val="-2"/>
          <w:sz w:val="21"/>
          <w:szCs w:val="21"/>
          <w:highlight w:val="none"/>
        </w:rPr>
        <w:t>人以下或营业收入</w:t>
      </w:r>
      <w:r>
        <w:rPr>
          <w:rFonts w:ascii="Times New Roman" w:hAnsi="Times New Roman" w:eastAsia="Times New Roman" w:cs="Times New Roman"/>
          <w:color w:val="auto"/>
          <w:spacing w:val="-2"/>
          <w:sz w:val="21"/>
          <w:szCs w:val="21"/>
          <w:highlight w:val="none"/>
        </w:rPr>
        <w:t>20000</w:t>
      </w:r>
      <w:r>
        <w:rPr>
          <w:rFonts w:ascii="宋体" w:hAnsi="宋体" w:eastAsia="宋体" w:cs="宋体"/>
          <w:color w:val="auto"/>
          <w:spacing w:val="-2"/>
          <w:sz w:val="21"/>
          <w:szCs w:val="21"/>
          <w:highlight w:val="none"/>
        </w:rPr>
        <w:t>万元以下的为中小微型企业。其中，从业人员</w:t>
      </w:r>
      <w:r>
        <w:rPr>
          <w:rFonts w:ascii="Times New Roman" w:hAnsi="Times New Roman" w:eastAsia="Times New Roman" w:cs="Times New Roman"/>
          <w:color w:val="auto"/>
          <w:spacing w:val="-2"/>
          <w:sz w:val="21"/>
          <w:szCs w:val="21"/>
          <w:highlight w:val="none"/>
        </w:rPr>
        <w:t>50</w:t>
      </w:r>
      <w:r>
        <w:rPr>
          <w:rFonts w:ascii="宋体" w:hAnsi="宋体" w:eastAsia="宋体" w:cs="宋体"/>
          <w:color w:val="auto"/>
          <w:spacing w:val="-2"/>
          <w:sz w:val="21"/>
          <w:szCs w:val="21"/>
          <w:highlight w:val="none"/>
        </w:rPr>
        <w:t>人及以上，且营业收入</w:t>
      </w:r>
      <w:r>
        <w:rPr>
          <w:rFonts w:ascii="Times New Roman" w:hAnsi="Times New Roman" w:eastAsia="Times New Roman" w:cs="Times New Roman"/>
          <w:color w:val="auto"/>
          <w:spacing w:val="-2"/>
          <w:sz w:val="21"/>
          <w:szCs w:val="21"/>
          <w:highlight w:val="none"/>
        </w:rPr>
        <w:t>500</w:t>
      </w:r>
      <w:r>
        <w:rPr>
          <w:rFonts w:ascii="宋体" w:hAnsi="宋体" w:eastAsia="宋体" w:cs="宋体"/>
          <w:color w:val="auto"/>
          <w:spacing w:val="-2"/>
          <w:sz w:val="21"/>
          <w:szCs w:val="21"/>
          <w:highlight w:val="none"/>
        </w:rPr>
        <w:t>万元及以上的为中型企业；从业人员</w:t>
      </w:r>
      <w:r>
        <w:rPr>
          <w:rFonts w:ascii="Times New Roman" w:hAnsi="Times New Roman" w:eastAsia="Times New Roman" w:cs="Times New Roman"/>
          <w:color w:val="auto"/>
          <w:spacing w:val="-2"/>
          <w:sz w:val="21"/>
          <w:szCs w:val="21"/>
          <w:highlight w:val="none"/>
        </w:rPr>
        <w:t>10</w:t>
      </w:r>
      <w:r>
        <w:rPr>
          <w:rFonts w:ascii="宋体" w:hAnsi="宋体" w:eastAsia="宋体" w:cs="宋体"/>
          <w:color w:val="auto"/>
          <w:spacing w:val="-2"/>
          <w:sz w:val="21"/>
          <w:szCs w:val="21"/>
          <w:highlight w:val="none"/>
        </w:rPr>
        <w:t>人及</w:t>
      </w:r>
      <w:r>
        <w:rPr>
          <w:rFonts w:ascii="宋体" w:hAnsi="宋体" w:eastAsia="宋体" w:cs="宋体"/>
          <w:color w:val="auto"/>
          <w:spacing w:val="-3"/>
          <w:sz w:val="21"/>
          <w:szCs w:val="21"/>
          <w:highlight w:val="none"/>
        </w:rPr>
        <w:t>以上，且营业收</w:t>
      </w:r>
      <w:r>
        <w:rPr>
          <w:rFonts w:ascii="宋体" w:hAnsi="宋体" w:eastAsia="宋体" w:cs="宋体"/>
          <w:color w:val="auto"/>
          <w:spacing w:val="-2"/>
          <w:sz w:val="21"/>
          <w:szCs w:val="21"/>
          <w:highlight w:val="none"/>
        </w:rPr>
        <w:t>入</w:t>
      </w:r>
      <w:r>
        <w:rPr>
          <w:rFonts w:ascii="Times New Roman" w:hAnsi="Times New Roman" w:eastAsia="Times New Roman" w:cs="Times New Roman"/>
          <w:color w:val="auto"/>
          <w:spacing w:val="-2"/>
          <w:sz w:val="21"/>
          <w:szCs w:val="21"/>
          <w:highlight w:val="none"/>
        </w:rPr>
        <w:t>100</w:t>
      </w:r>
      <w:r>
        <w:rPr>
          <w:rFonts w:ascii="宋体" w:hAnsi="宋体" w:eastAsia="宋体" w:cs="宋体"/>
          <w:color w:val="auto"/>
          <w:spacing w:val="-2"/>
          <w:sz w:val="21"/>
          <w:szCs w:val="21"/>
          <w:highlight w:val="none"/>
        </w:rPr>
        <w:t>万元及以上的为小型企业；从业人员</w:t>
      </w:r>
      <w:r>
        <w:rPr>
          <w:rFonts w:ascii="Times New Roman" w:hAnsi="Times New Roman" w:eastAsia="Times New Roman" w:cs="Times New Roman"/>
          <w:color w:val="auto"/>
          <w:spacing w:val="-2"/>
          <w:sz w:val="21"/>
          <w:szCs w:val="21"/>
          <w:highlight w:val="none"/>
        </w:rPr>
        <w:t>10</w:t>
      </w:r>
      <w:r>
        <w:rPr>
          <w:rFonts w:ascii="宋体" w:hAnsi="宋体" w:eastAsia="宋体" w:cs="宋体"/>
          <w:color w:val="auto"/>
          <w:spacing w:val="-2"/>
          <w:sz w:val="21"/>
          <w:szCs w:val="21"/>
          <w:highlight w:val="none"/>
        </w:rPr>
        <w:t>人以下或营业收入</w:t>
      </w:r>
      <w:r>
        <w:rPr>
          <w:rFonts w:ascii="Times New Roman" w:hAnsi="Times New Roman" w:eastAsia="Times New Roman" w:cs="Times New Roman"/>
          <w:color w:val="auto"/>
          <w:spacing w:val="-2"/>
          <w:sz w:val="21"/>
          <w:szCs w:val="21"/>
          <w:highlight w:val="none"/>
        </w:rPr>
        <w:t>100</w:t>
      </w:r>
      <w:r>
        <w:rPr>
          <w:rFonts w:ascii="宋体" w:hAnsi="宋体" w:eastAsia="宋体" w:cs="宋体"/>
          <w:color w:val="auto"/>
          <w:spacing w:val="-2"/>
          <w:sz w:val="21"/>
          <w:szCs w:val="21"/>
          <w:highlight w:val="none"/>
        </w:rPr>
        <w:t>万元以下的为微型企业。</w:t>
      </w:r>
    </w:p>
    <w:p w14:paraId="0BCBF230">
      <w:pPr>
        <w:spacing w:before="155" w:line="255" w:lineRule="auto"/>
        <w:ind w:left="20" w:right="66" w:firstLine="428"/>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（六）交通运输业。从业人员</w:t>
      </w:r>
      <w:r>
        <w:rPr>
          <w:rFonts w:ascii="Times New Roman" w:hAnsi="Times New Roman" w:eastAsia="Times New Roman" w:cs="Times New Roman"/>
          <w:color w:val="auto"/>
          <w:spacing w:val="-2"/>
          <w:sz w:val="21"/>
          <w:szCs w:val="21"/>
          <w:highlight w:val="none"/>
        </w:rPr>
        <w:t>1000</w:t>
      </w:r>
      <w:r>
        <w:rPr>
          <w:rFonts w:ascii="宋体" w:hAnsi="宋体" w:eastAsia="宋体" w:cs="宋体"/>
          <w:color w:val="auto"/>
          <w:spacing w:val="-2"/>
          <w:sz w:val="21"/>
          <w:szCs w:val="21"/>
          <w:highlight w:val="none"/>
        </w:rPr>
        <w:t>人以下或营业收入</w:t>
      </w:r>
      <w:r>
        <w:rPr>
          <w:rFonts w:ascii="Times New Roman" w:hAnsi="Times New Roman" w:eastAsia="Times New Roman" w:cs="Times New Roman"/>
          <w:color w:val="auto"/>
          <w:spacing w:val="-2"/>
          <w:sz w:val="21"/>
          <w:szCs w:val="21"/>
          <w:highlight w:val="none"/>
        </w:rPr>
        <w:t>30000</w:t>
      </w:r>
      <w:r>
        <w:rPr>
          <w:rFonts w:ascii="宋体" w:hAnsi="宋体" w:eastAsia="宋体" w:cs="宋体"/>
          <w:color w:val="auto"/>
          <w:spacing w:val="-2"/>
          <w:sz w:val="21"/>
          <w:szCs w:val="21"/>
          <w:highlight w:val="none"/>
        </w:rPr>
        <w:t>万元以下的为中小微型企业。其</w:t>
      </w:r>
      <w:r>
        <w:rPr>
          <w:rFonts w:ascii="宋体" w:hAnsi="宋体" w:eastAsia="宋体" w:cs="宋体"/>
          <w:color w:val="auto"/>
          <w:sz w:val="21"/>
          <w:szCs w:val="21"/>
          <w:highlight w:val="none"/>
        </w:rPr>
        <w:t>中，从业人员</w:t>
      </w:r>
      <w:r>
        <w:rPr>
          <w:rFonts w:ascii="Times New Roman" w:hAnsi="Times New Roman" w:eastAsia="Times New Roman" w:cs="Times New Roman"/>
          <w:color w:val="auto"/>
          <w:sz w:val="21"/>
          <w:szCs w:val="21"/>
          <w:highlight w:val="none"/>
        </w:rPr>
        <w:t>300</w:t>
      </w:r>
      <w:r>
        <w:rPr>
          <w:rFonts w:ascii="宋体" w:hAnsi="宋体" w:eastAsia="宋体" w:cs="宋体"/>
          <w:color w:val="auto"/>
          <w:sz w:val="21"/>
          <w:szCs w:val="21"/>
          <w:highlight w:val="none"/>
        </w:rPr>
        <w:t>人及以上，且营业收</w:t>
      </w:r>
      <w:r>
        <w:rPr>
          <w:rFonts w:ascii="宋体" w:hAnsi="宋体" w:eastAsia="宋体" w:cs="宋体"/>
          <w:color w:val="auto"/>
          <w:spacing w:val="-1"/>
          <w:sz w:val="21"/>
          <w:szCs w:val="21"/>
          <w:highlight w:val="none"/>
        </w:rPr>
        <w:t>入</w:t>
      </w:r>
      <w:r>
        <w:rPr>
          <w:rFonts w:ascii="Times New Roman" w:hAnsi="Times New Roman" w:eastAsia="Times New Roman" w:cs="Times New Roman"/>
          <w:color w:val="auto"/>
          <w:spacing w:val="-1"/>
          <w:sz w:val="21"/>
          <w:szCs w:val="21"/>
          <w:highlight w:val="none"/>
        </w:rPr>
        <w:t>3000</w:t>
      </w:r>
      <w:r>
        <w:rPr>
          <w:rFonts w:ascii="宋体" w:hAnsi="宋体" w:eastAsia="宋体" w:cs="宋体"/>
          <w:color w:val="auto"/>
          <w:spacing w:val="-1"/>
          <w:sz w:val="21"/>
          <w:szCs w:val="21"/>
          <w:highlight w:val="none"/>
        </w:rPr>
        <w:t>万元及以上的为中型企业；从业人员</w:t>
      </w:r>
      <w:r>
        <w:rPr>
          <w:rFonts w:ascii="Times New Roman" w:hAnsi="Times New Roman" w:eastAsia="Times New Roman" w:cs="Times New Roman"/>
          <w:color w:val="auto"/>
          <w:spacing w:val="-1"/>
          <w:sz w:val="21"/>
          <w:szCs w:val="21"/>
          <w:highlight w:val="none"/>
        </w:rPr>
        <w:t>20</w:t>
      </w:r>
      <w:r>
        <w:rPr>
          <w:rFonts w:ascii="宋体" w:hAnsi="宋体" w:eastAsia="宋体" w:cs="宋体"/>
          <w:color w:val="auto"/>
          <w:spacing w:val="-1"/>
          <w:sz w:val="21"/>
          <w:szCs w:val="21"/>
          <w:highlight w:val="none"/>
        </w:rPr>
        <w:t>人及以上，且营业收入</w:t>
      </w:r>
      <w:r>
        <w:rPr>
          <w:rFonts w:ascii="Times New Roman" w:hAnsi="Times New Roman" w:eastAsia="Times New Roman" w:cs="Times New Roman"/>
          <w:color w:val="auto"/>
          <w:spacing w:val="-1"/>
          <w:sz w:val="21"/>
          <w:szCs w:val="21"/>
          <w:highlight w:val="none"/>
        </w:rPr>
        <w:t>200</w:t>
      </w:r>
      <w:r>
        <w:rPr>
          <w:rFonts w:ascii="宋体" w:hAnsi="宋体" w:eastAsia="宋体" w:cs="宋体"/>
          <w:color w:val="auto"/>
          <w:spacing w:val="-1"/>
          <w:sz w:val="21"/>
          <w:szCs w:val="21"/>
          <w:highlight w:val="none"/>
        </w:rPr>
        <w:t>万元及以上的为小型企业；从业人员</w:t>
      </w:r>
      <w:r>
        <w:rPr>
          <w:rFonts w:ascii="Times New Roman" w:hAnsi="Times New Roman" w:eastAsia="Times New Roman" w:cs="Times New Roman"/>
          <w:color w:val="auto"/>
          <w:spacing w:val="-1"/>
          <w:sz w:val="21"/>
          <w:szCs w:val="21"/>
          <w:highlight w:val="none"/>
        </w:rPr>
        <w:t>20</w:t>
      </w:r>
      <w:r>
        <w:rPr>
          <w:rFonts w:ascii="宋体" w:hAnsi="宋体" w:eastAsia="宋体" w:cs="宋体"/>
          <w:color w:val="auto"/>
          <w:spacing w:val="-1"/>
          <w:sz w:val="21"/>
          <w:szCs w:val="21"/>
          <w:highlight w:val="none"/>
        </w:rPr>
        <w:t>人以下或营业收入</w:t>
      </w:r>
      <w:r>
        <w:rPr>
          <w:rFonts w:ascii="Times New Roman" w:hAnsi="Times New Roman" w:eastAsia="Times New Roman" w:cs="Times New Roman"/>
          <w:color w:val="auto"/>
          <w:spacing w:val="-1"/>
          <w:sz w:val="21"/>
          <w:szCs w:val="21"/>
          <w:highlight w:val="none"/>
        </w:rPr>
        <w:t>200</w:t>
      </w:r>
      <w:r>
        <w:rPr>
          <w:rFonts w:ascii="宋体" w:hAnsi="宋体" w:eastAsia="宋体" w:cs="宋体"/>
          <w:color w:val="auto"/>
          <w:spacing w:val="-1"/>
          <w:sz w:val="21"/>
          <w:szCs w:val="21"/>
          <w:highlight w:val="none"/>
        </w:rPr>
        <w:t>万元以下的</w:t>
      </w:r>
      <w:r>
        <w:rPr>
          <w:rFonts w:ascii="宋体" w:hAnsi="宋体" w:eastAsia="宋体" w:cs="宋体"/>
          <w:color w:val="auto"/>
          <w:spacing w:val="-2"/>
          <w:sz w:val="21"/>
          <w:szCs w:val="21"/>
          <w:highlight w:val="none"/>
        </w:rPr>
        <w:t>为微型</w:t>
      </w:r>
      <w:r>
        <w:rPr>
          <w:rFonts w:ascii="宋体" w:hAnsi="宋体" w:eastAsia="宋体" w:cs="宋体"/>
          <w:color w:val="auto"/>
          <w:spacing w:val="-8"/>
          <w:sz w:val="21"/>
          <w:szCs w:val="21"/>
          <w:highlight w:val="none"/>
        </w:rPr>
        <w:t>企业。</w:t>
      </w:r>
    </w:p>
    <w:p w14:paraId="67E8FA7F">
      <w:pPr>
        <w:spacing w:before="158" w:line="254" w:lineRule="auto"/>
        <w:ind w:left="19" w:right="74" w:firstLine="41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（七）仓储业。从业人员</w:t>
      </w:r>
      <w:r>
        <w:rPr>
          <w:rFonts w:ascii="Times New Roman" w:hAnsi="Times New Roman" w:eastAsia="Times New Roman" w:cs="Times New Roman"/>
          <w:color w:val="auto"/>
          <w:spacing w:val="-2"/>
          <w:sz w:val="21"/>
          <w:szCs w:val="21"/>
          <w:highlight w:val="none"/>
        </w:rPr>
        <w:t>200</w:t>
      </w:r>
      <w:r>
        <w:rPr>
          <w:rFonts w:ascii="宋体" w:hAnsi="宋体" w:eastAsia="宋体" w:cs="宋体"/>
          <w:color w:val="auto"/>
          <w:spacing w:val="-2"/>
          <w:sz w:val="21"/>
          <w:szCs w:val="21"/>
          <w:highlight w:val="none"/>
        </w:rPr>
        <w:t>人以下或营业收入</w:t>
      </w:r>
      <w:r>
        <w:rPr>
          <w:rFonts w:ascii="Times New Roman" w:hAnsi="Times New Roman" w:eastAsia="Times New Roman" w:cs="Times New Roman"/>
          <w:color w:val="auto"/>
          <w:spacing w:val="-2"/>
          <w:sz w:val="21"/>
          <w:szCs w:val="21"/>
          <w:highlight w:val="none"/>
        </w:rPr>
        <w:t>30000</w:t>
      </w:r>
      <w:r>
        <w:rPr>
          <w:rFonts w:ascii="宋体" w:hAnsi="宋体" w:eastAsia="宋体" w:cs="宋体"/>
          <w:color w:val="auto"/>
          <w:spacing w:val="-2"/>
          <w:sz w:val="21"/>
          <w:szCs w:val="21"/>
          <w:highlight w:val="none"/>
        </w:rPr>
        <w:t>万元以下的为中小微型企业。其中，从</w:t>
      </w:r>
      <w:r>
        <w:rPr>
          <w:rFonts w:ascii="宋体" w:hAnsi="宋体" w:eastAsia="宋体" w:cs="宋体"/>
          <w:color w:val="auto"/>
          <w:spacing w:val="-1"/>
          <w:sz w:val="21"/>
          <w:szCs w:val="21"/>
          <w:highlight w:val="none"/>
        </w:rPr>
        <w:t>业人员</w:t>
      </w:r>
      <w:r>
        <w:rPr>
          <w:rFonts w:ascii="Times New Roman" w:hAnsi="Times New Roman" w:eastAsia="Times New Roman" w:cs="Times New Roman"/>
          <w:color w:val="auto"/>
          <w:spacing w:val="-1"/>
          <w:sz w:val="21"/>
          <w:szCs w:val="21"/>
          <w:highlight w:val="none"/>
        </w:rPr>
        <w:t>100</w:t>
      </w:r>
      <w:r>
        <w:rPr>
          <w:rFonts w:ascii="宋体" w:hAnsi="宋体" w:eastAsia="宋体" w:cs="宋体"/>
          <w:color w:val="auto"/>
          <w:spacing w:val="-1"/>
          <w:sz w:val="21"/>
          <w:szCs w:val="21"/>
          <w:highlight w:val="none"/>
        </w:rPr>
        <w:t>人及以上，且营业收入</w:t>
      </w:r>
      <w:r>
        <w:rPr>
          <w:rFonts w:ascii="Times New Roman" w:hAnsi="Times New Roman" w:eastAsia="Times New Roman" w:cs="Times New Roman"/>
          <w:color w:val="auto"/>
          <w:spacing w:val="-1"/>
          <w:sz w:val="21"/>
          <w:szCs w:val="21"/>
          <w:highlight w:val="none"/>
        </w:rPr>
        <w:t>1000</w:t>
      </w:r>
      <w:r>
        <w:rPr>
          <w:rFonts w:ascii="宋体" w:hAnsi="宋体" w:eastAsia="宋体" w:cs="宋体"/>
          <w:color w:val="auto"/>
          <w:spacing w:val="-1"/>
          <w:sz w:val="21"/>
          <w:szCs w:val="21"/>
          <w:highlight w:val="none"/>
        </w:rPr>
        <w:t>万元及以上的为中型企业；从业人员</w:t>
      </w:r>
      <w:r>
        <w:rPr>
          <w:rFonts w:ascii="Times New Roman" w:hAnsi="Times New Roman" w:eastAsia="Times New Roman" w:cs="Times New Roman"/>
          <w:color w:val="auto"/>
          <w:spacing w:val="-1"/>
          <w:sz w:val="21"/>
          <w:szCs w:val="21"/>
          <w:highlight w:val="none"/>
        </w:rPr>
        <w:t>20</w:t>
      </w:r>
      <w:r>
        <w:rPr>
          <w:rFonts w:ascii="宋体" w:hAnsi="宋体" w:eastAsia="宋体" w:cs="宋体"/>
          <w:color w:val="auto"/>
          <w:spacing w:val="-2"/>
          <w:sz w:val="21"/>
          <w:szCs w:val="21"/>
          <w:highlight w:val="none"/>
        </w:rPr>
        <w:t>人及以上，且营业</w:t>
      </w:r>
      <w:r>
        <w:rPr>
          <w:rFonts w:ascii="宋体" w:hAnsi="宋体" w:eastAsia="宋体" w:cs="宋体"/>
          <w:color w:val="auto"/>
          <w:spacing w:val="-1"/>
          <w:sz w:val="21"/>
          <w:szCs w:val="21"/>
          <w:highlight w:val="none"/>
        </w:rPr>
        <w:t>收入</w:t>
      </w:r>
      <w:r>
        <w:rPr>
          <w:rFonts w:ascii="Times New Roman" w:hAnsi="Times New Roman" w:eastAsia="Times New Roman" w:cs="Times New Roman"/>
          <w:color w:val="auto"/>
          <w:spacing w:val="-1"/>
          <w:sz w:val="21"/>
          <w:szCs w:val="21"/>
          <w:highlight w:val="none"/>
        </w:rPr>
        <w:t>100</w:t>
      </w:r>
      <w:r>
        <w:rPr>
          <w:rFonts w:ascii="宋体" w:hAnsi="宋体" w:eastAsia="宋体" w:cs="宋体"/>
          <w:color w:val="auto"/>
          <w:spacing w:val="-1"/>
          <w:sz w:val="21"/>
          <w:szCs w:val="21"/>
          <w:highlight w:val="none"/>
        </w:rPr>
        <w:t>万元及以上的为小型企业；从业人员</w:t>
      </w:r>
      <w:r>
        <w:rPr>
          <w:rFonts w:ascii="Times New Roman" w:hAnsi="Times New Roman" w:eastAsia="Times New Roman" w:cs="Times New Roman"/>
          <w:color w:val="auto"/>
          <w:spacing w:val="-1"/>
          <w:sz w:val="21"/>
          <w:szCs w:val="21"/>
          <w:highlight w:val="none"/>
        </w:rPr>
        <w:t>20</w:t>
      </w:r>
      <w:r>
        <w:rPr>
          <w:rFonts w:ascii="宋体" w:hAnsi="宋体" w:eastAsia="宋体" w:cs="宋体"/>
          <w:color w:val="auto"/>
          <w:spacing w:val="-1"/>
          <w:sz w:val="21"/>
          <w:szCs w:val="21"/>
          <w:highlight w:val="none"/>
        </w:rPr>
        <w:t>人以下或营业收入</w:t>
      </w:r>
      <w:r>
        <w:rPr>
          <w:rFonts w:ascii="Times New Roman" w:hAnsi="Times New Roman" w:eastAsia="Times New Roman" w:cs="Times New Roman"/>
          <w:color w:val="auto"/>
          <w:spacing w:val="-1"/>
          <w:sz w:val="21"/>
          <w:szCs w:val="21"/>
          <w:highlight w:val="none"/>
        </w:rPr>
        <w:t>100</w:t>
      </w:r>
      <w:r>
        <w:rPr>
          <w:rFonts w:ascii="宋体" w:hAnsi="宋体" w:eastAsia="宋体" w:cs="宋体"/>
          <w:color w:val="auto"/>
          <w:spacing w:val="-1"/>
          <w:sz w:val="21"/>
          <w:szCs w:val="21"/>
          <w:highlight w:val="none"/>
        </w:rPr>
        <w:t>万元以下的为微型企业。</w:t>
      </w:r>
    </w:p>
    <w:p w14:paraId="043B6EB5">
      <w:pPr>
        <w:spacing w:before="153" w:line="254" w:lineRule="auto"/>
        <w:ind w:left="19" w:firstLine="42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（八）邮政业。从业人员</w:t>
      </w:r>
      <w:r>
        <w:rPr>
          <w:rFonts w:ascii="Times New Roman" w:hAnsi="Times New Roman" w:eastAsia="Times New Roman" w:cs="Times New Roman"/>
          <w:color w:val="auto"/>
          <w:spacing w:val="-3"/>
          <w:sz w:val="21"/>
          <w:szCs w:val="21"/>
          <w:highlight w:val="none"/>
        </w:rPr>
        <w:t>1000</w:t>
      </w:r>
      <w:r>
        <w:rPr>
          <w:rFonts w:ascii="宋体" w:hAnsi="宋体" w:eastAsia="宋体" w:cs="宋体"/>
          <w:color w:val="auto"/>
          <w:spacing w:val="-3"/>
          <w:sz w:val="21"/>
          <w:szCs w:val="21"/>
          <w:highlight w:val="none"/>
        </w:rPr>
        <w:t>人以下或营业收入</w:t>
      </w:r>
      <w:r>
        <w:rPr>
          <w:rFonts w:ascii="Times New Roman" w:hAnsi="Times New Roman" w:eastAsia="Times New Roman" w:cs="Times New Roman"/>
          <w:color w:val="auto"/>
          <w:spacing w:val="-3"/>
          <w:sz w:val="21"/>
          <w:szCs w:val="21"/>
          <w:highlight w:val="none"/>
        </w:rPr>
        <w:t>30000</w:t>
      </w:r>
      <w:r>
        <w:rPr>
          <w:rFonts w:ascii="宋体" w:hAnsi="宋体" w:eastAsia="宋体" w:cs="宋体"/>
          <w:color w:val="auto"/>
          <w:spacing w:val="-3"/>
          <w:sz w:val="21"/>
          <w:szCs w:val="21"/>
          <w:highlight w:val="none"/>
        </w:rPr>
        <w:t>万元以下的为中小微型</w:t>
      </w:r>
      <w:r>
        <w:rPr>
          <w:rFonts w:ascii="宋体" w:hAnsi="宋体" w:eastAsia="宋体" w:cs="宋体"/>
          <w:color w:val="auto"/>
          <w:spacing w:val="-4"/>
          <w:sz w:val="21"/>
          <w:szCs w:val="21"/>
          <w:highlight w:val="none"/>
        </w:rPr>
        <w:t>企业。其中，</w:t>
      </w:r>
      <w:r>
        <w:rPr>
          <w:rFonts w:ascii="宋体" w:hAnsi="宋体" w:eastAsia="宋体" w:cs="宋体"/>
          <w:color w:val="auto"/>
          <w:spacing w:val="-1"/>
          <w:sz w:val="21"/>
          <w:szCs w:val="21"/>
          <w:highlight w:val="none"/>
        </w:rPr>
        <w:t>从业人员</w:t>
      </w:r>
      <w:r>
        <w:rPr>
          <w:rFonts w:ascii="Times New Roman" w:hAnsi="Times New Roman" w:eastAsia="Times New Roman" w:cs="Times New Roman"/>
          <w:color w:val="auto"/>
          <w:spacing w:val="-1"/>
          <w:sz w:val="21"/>
          <w:szCs w:val="21"/>
          <w:highlight w:val="none"/>
        </w:rPr>
        <w:t>300</w:t>
      </w:r>
      <w:r>
        <w:rPr>
          <w:rFonts w:ascii="宋体" w:hAnsi="宋体" w:eastAsia="宋体" w:cs="宋体"/>
          <w:color w:val="auto"/>
          <w:spacing w:val="-1"/>
          <w:sz w:val="21"/>
          <w:szCs w:val="21"/>
          <w:highlight w:val="none"/>
        </w:rPr>
        <w:t>人及以上，且营业收入</w:t>
      </w:r>
      <w:r>
        <w:rPr>
          <w:rFonts w:ascii="Times New Roman" w:hAnsi="Times New Roman" w:eastAsia="Times New Roman" w:cs="Times New Roman"/>
          <w:color w:val="auto"/>
          <w:spacing w:val="-1"/>
          <w:sz w:val="21"/>
          <w:szCs w:val="21"/>
          <w:highlight w:val="none"/>
        </w:rPr>
        <w:t>2000</w:t>
      </w:r>
      <w:r>
        <w:rPr>
          <w:rFonts w:ascii="宋体" w:hAnsi="宋体" w:eastAsia="宋体" w:cs="宋体"/>
          <w:color w:val="auto"/>
          <w:spacing w:val="-1"/>
          <w:sz w:val="21"/>
          <w:szCs w:val="21"/>
          <w:highlight w:val="none"/>
        </w:rPr>
        <w:t>万元及以上的为中型企业；从业人员</w:t>
      </w:r>
      <w:r>
        <w:rPr>
          <w:rFonts w:ascii="Times New Roman" w:hAnsi="Times New Roman" w:eastAsia="Times New Roman" w:cs="Times New Roman"/>
          <w:color w:val="auto"/>
          <w:spacing w:val="-1"/>
          <w:sz w:val="21"/>
          <w:szCs w:val="21"/>
          <w:highlight w:val="none"/>
        </w:rPr>
        <w:t>20</w:t>
      </w:r>
      <w:r>
        <w:rPr>
          <w:rFonts w:ascii="宋体" w:hAnsi="宋体" w:eastAsia="宋体" w:cs="宋体"/>
          <w:color w:val="auto"/>
          <w:spacing w:val="-1"/>
          <w:sz w:val="21"/>
          <w:szCs w:val="21"/>
          <w:highlight w:val="none"/>
        </w:rPr>
        <w:t>人及以上，且营</w:t>
      </w:r>
      <w:r>
        <w:rPr>
          <w:rFonts w:ascii="宋体" w:hAnsi="宋体" w:eastAsia="宋体" w:cs="宋体"/>
          <w:color w:val="auto"/>
          <w:spacing w:val="-2"/>
          <w:sz w:val="21"/>
          <w:szCs w:val="21"/>
          <w:highlight w:val="none"/>
        </w:rPr>
        <w:t>业收入</w:t>
      </w:r>
      <w:r>
        <w:rPr>
          <w:rFonts w:ascii="Times New Roman" w:hAnsi="Times New Roman" w:eastAsia="Times New Roman" w:cs="Times New Roman"/>
          <w:color w:val="auto"/>
          <w:spacing w:val="-2"/>
          <w:sz w:val="21"/>
          <w:szCs w:val="21"/>
          <w:highlight w:val="none"/>
        </w:rPr>
        <w:t>100</w:t>
      </w:r>
      <w:r>
        <w:rPr>
          <w:rFonts w:ascii="宋体" w:hAnsi="宋体" w:eastAsia="宋体" w:cs="宋体"/>
          <w:color w:val="auto"/>
          <w:spacing w:val="-2"/>
          <w:sz w:val="21"/>
          <w:szCs w:val="21"/>
          <w:highlight w:val="none"/>
        </w:rPr>
        <w:t>万元及以上的为小型企业；从业人员</w:t>
      </w:r>
      <w:r>
        <w:rPr>
          <w:rFonts w:ascii="Times New Roman" w:hAnsi="Times New Roman" w:eastAsia="Times New Roman" w:cs="Times New Roman"/>
          <w:color w:val="auto"/>
          <w:spacing w:val="-2"/>
          <w:sz w:val="21"/>
          <w:szCs w:val="21"/>
          <w:highlight w:val="none"/>
        </w:rPr>
        <w:t>20</w:t>
      </w:r>
      <w:r>
        <w:rPr>
          <w:rFonts w:ascii="宋体" w:hAnsi="宋体" w:eastAsia="宋体" w:cs="宋体"/>
          <w:color w:val="auto"/>
          <w:spacing w:val="-2"/>
          <w:sz w:val="21"/>
          <w:szCs w:val="21"/>
          <w:highlight w:val="none"/>
        </w:rPr>
        <w:t>人以下或营业收入</w:t>
      </w:r>
      <w:r>
        <w:rPr>
          <w:rFonts w:ascii="Times New Roman" w:hAnsi="Times New Roman" w:eastAsia="Times New Roman" w:cs="Times New Roman"/>
          <w:color w:val="auto"/>
          <w:spacing w:val="-2"/>
          <w:sz w:val="21"/>
          <w:szCs w:val="21"/>
          <w:highlight w:val="none"/>
        </w:rPr>
        <w:t>100</w:t>
      </w:r>
      <w:r>
        <w:rPr>
          <w:rFonts w:ascii="宋体" w:hAnsi="宋体" w:eastAsia="宋体" w:cs="宋体"/>
          <w:color w:val="auto"/>
          <w:spacing w:val="-2"/>
          <w:sz w:val="21"/>
          <w:szCs w:val="21"/>
          <w:highlight w:val="none"/>
        </w:rPr>
        <w:t>万元以下的为微型企</w:t>
      </w:r>
      <w:r>
        <w:rPr>
          <w:rFonts w:ascii="宋体" w:hAnsi="宋体" w:eastAsia="宋体" w:cs="宋体"/>
          <w:color w:val="auto"/>
          <w:spacing w:val="-3"/>
          <w:sz w:val="21"/>
          <w:szCs w:val="21"/>
          <w:highlight w:val="none"/>
        </w:rPr>
        <w:t>业。</w:t>
      </w:r>
    </w:p>
    <w:p w14:paraId="4AA02112">
      <w:pPr>
        <w:spacing w:line="254" w:lineRule="auto"/>
        <w:rPr>
          <w:rFonts w:ascii="宋体" w:hAnsi="宋体" w:eastAsia="宋体" w:cs="宋体"/>
          <w:color w:val="auto"/>
          <w:sz w:val="21"/>
          <w:szCs w:val="21"/>
          <w:highlight w:val="none"/>
        </w:rPr>
        <w:sectPr>
          <w:footerReference r:id="rId23" w:type="default"/>
          <w:pgSz w:w="11907" w:h="16839"/>
          <w:pgMar w:top="1389" w:right="1051" w:bottom="1154" w:left="1785" w:header="0" w:footer="954" w:gutter="0"/>
          <w:cols w:space="720" w:num="1"/>
        </w:sectPr>
      </w:pPr>
    </w:p>
    <w:p w14:paraId="4AD51284">
      <w:pPr>
        <w:spacing w:before="67" w:line="254" w:lineRule="auto"/>
        <w:ind w:left="19" w:right="53" w:firstLine="41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（九）住宿业。从业人员</w:t>
      </w:r>
      <w:r>
        <w:rPr>
          <w:rFonts w:ascii="Times New Roman" w:hAnsi="Times New Roman" w:eastAsia="Times New Roman" w:cs="Times New Roman"/>
          <w:color w:val="auto"/>
          <w:spacing w:val="-2"/>
          <w:sz w:val="21"/>
          <w:szCs w:val="21"/>
          <w:highlight w:val="none"/>
        </w:rPr>
        <w:t>300</w:t>
      </w:r>
      <w:r>
        <w:rPr>
          <w:rFonts w:ascii="宋体" w:hAnsi="宋体" w:eastAsia="宋体" w:cs="宋体"/>
          <w:color w:val="auto"/>
          <w:spacing w:val="-2"/>
          <w:sz w:val="21"/>
          <w:szCs w:val="21"/>
          <w:highlight w:val="none"/>
        </w:rPr>
        <w:t>人以下或营业收入</w:t>
      </w:r>
      <w:r>
        <w:rPr>
          <w:rFonts w:ascii="Times New Roman" w:hAnsi="Times New Roman" w:eastAsia="Times New Roman" w:cs="Times New Roman"/>
          <w:color w:val="auto"/>
          <w:spacing w:val="-2"/>
          <w:sz w:val="21"/>
          <w:szCs w:val="21"/>
          <w:highlight w:val="none"/>
        </w:rPr>
        <w:t>10000</w:t>
      </w:r>
      <w:r>
        <w:rPr>
          <w:rFonts w:ascii="宋体" w:hAnsi="宋体" w:eastAsia="宋体" w:cs="宋体"/>
          <w:color w:val="auto"/>
          <w:spacing w:val="-2"/>
          <w:sz w:val="21"/>
          <w:szCs w:val="21"/>
          <w:highlight w:val="none"/>
        </w:rPr>
        <w:t>万元以下的</w:t>
      </w:r>
      <w:r>
        <w:rPr>
          <w:rFonts w:ascii="宋体" w:hAnsi="宋体" w:eastAsia="宋体" w:cs="宋体"/>
          <w:color w:val="auto"/>
          <w:spacing w:val="-3"/>
          <w:sz w:val="21"/>
          <w:szCs w:val="21"/>
          <w:highlight w:val="none"/>
        </w:rPr>
        <w:t>为中小微型企业。其中，从</w:t>
      </w:r>
      <w:r>
        <w:rPr>
          <w:rFonts w:ascii="宋体" w:hAnsi="宋体" w:eastAsia="宋体" w:cs="宋体"/>
          <w:color w:val="auto"/>
          <w:spacing w:val="-2"/>
          <w:sz w:val="21"/>
          <w:szCs w:val="21"/>
          <w:highlight w:val="none"/>
        </w:rPr>
        <w:t>业人员</w:t>
      </w:r>
      <w:r>
        <w:rPr>
          <w:rFonts w:ascii="Times New Roman" w:hAnsi="Times New Roman" w:eastAsia="Times New Roman" w:cs="Times New Roman"/>
          <w:color w:val="auto"/>
          <w:spacing w:val="-2"/>
          <w:sz w:val="21"/>
          <w:szCs w:val="21"/>
          <w:highlight w:val="none"/>
        </w:rPr>
        <w:t>100</w:t>
      </w:r>
      <w:r>
        <w:rPr>
          <w:rFonts w:ascii="宋体" w:hAnsi="宋体" w:eastAsia="宋体" w:cs="宋体"/>
          <w:color w:val="auto"/>
          <w:spacing w:val="-2"/>
          <w:sz w:val="21"/>
          <w:szCs w:val="21"/>
          <w:highlight w:val="none"/>
        </w:rPr>
        <w:t>人及以上，且营业收入</w:t>
      </w:r>
      <w:r>
        <w:rPr>
          <w:rFonts w:ascii="Times New Roman" w:hAnsi="Times New Roman" w:eastAsia="Times New Roman" w:cs="Times New Roman"/>
          <w:color w:val="auto"/>
          <w:spacing w:val="-2"/>
          <w:sz w:val="21"/>
          <w:szCs w:val="21"/>
          <w:highlight w:val="none"/>
        </w:rPr>
        <w:t>2000</w:t>
      </w:r>
      <w:r>
        <w:rPr>
          <w:rFonts w:ascii="宋体" w:hAnsi="宋体" w:eastAsia="宋体" w:cs="宋体"/>
          <w:color w:val="auto"/>
          <w:spacing w:val="-2"/>
          <w:sz w:val="21"/>
          <w:szCs w:val="21"/>
          <w:highlight w:val="none"/>
        </w:rPr>
        <w:t>万元及以上的为中型企业</w:t>
      </w:r>
      <w:r>
        <w:rPr>
          <w:rFonts w:ascii="宋体" w:hAnsi="宋体" w:eastAsia="宋体" w:cs="宋体"/>
          <w:color w:val="auto"/>
          <w:spacing w:val="-3"/>
          <w:sz w:val="21"/>
          <w:szCs w:val="21"/>
          <w:highlight w:val="none"/>
        </w:rPr>
        <w:t>；从业人员</w:t>
      </w:r>
      <w:r>
        <w:rPr>
          <w:rFonts w:ascii="Times New Roman" w:hAnsi="Times New Roman" w:eastAsia="Times New Roman" w:cs="Times New Roman"/>
          <w:color w:val="auto"/>
          <w:spacing w:val="-3"/>
          <w:sz w:val="21"/>
          <w:szCs w:val="21"/>
          <w:highlight w:val="none"/>
        </w:rPr>
        <w:t>10</w:t>
      </w:r>
      <w:r>
        <w:rPr>
          <w:rFonts w:ascii="宋体" w:hAnsi="宋体" w:eastAsia="宋体" w:cs="宋体"/>
          <w:color w:val="auto"/>
          <w:spacing w:val="-3"/>
          <w:sz w:val="21"/>
          <w:szCs w:val="21"/>
          <w:highlight w:val="none"/>
        </w:rPr>
        <w:t>人及以上，且营业</w:t>
      </w:r>
      <w:r>
        <w:rPr>
          <w:rFonts w:ascii="宋体" w:hAnsi="宋体" w:eastAsia="宋体" w:cs="宋体"/>
          <w:color w:val="auto"/>
          <w:spacing w:val="-2"/>
          <w:sz w:val="21"/>
          <w:szCs w:val="21"/>
          <w:highlight w:val="none"/>
        </w:rPr>
        <w:t>收入</w:t>
      </w:r>
      <w:r>
        <w:rPr>
          <w:rFonts w:ascii="Times New Roman" w:hAnsi="Times New Roman" w:eastAsia="Times New Roman" w:cs="Times New Roman"/>
          <w:color w:val="auto"/>
          <w:spacing w:val="-2"/>
          <w:sz w:val="21"/>
          <w:szCs w:val="21"/>
          <w:highlight w:val="none"/>
        </w:rPr>
        <w:t>100</w:t>
      </w:r>
      <w:r>
        <w:rPr>
          <w:rFonts w:ascii="宋体" w:hAnsi="宋体" w:eastAsia="宋体" w:cs="宋体"/>
          <w:color w:val="auto"/>
          <w:spacing w:val="-2"/>
          <w:sz w:val="21"/>
          <w:szCs w:val="21"/>
          <w:highlight w:val="none"/>
        </w:rPr>
        <w:t>万元及以上的为小型企业；从业人员</w:t>
      </w:r>
      <w:r>
        <w:rPr>
          <w:rFonts w:ascii="Times New Roman" w:hAnsi="Times New Roman" w:eastAsia="Times New Roman" w:cs="Times New Roman"/>
          <w:color w:val="auto"/>
          <w:spacing w:val="-2"/>
          <w:sz w:val="21"/>
          <w:szCs w:val="21"/>
          <w:highlight w:val="none"/>
        </w:rPr>
        <w:t>10</w:t>
      </w:r>
      <w:r>
        <w:rPr>
          <w:rFonts w:ascii="宋体" w:hAnsi="宋体" w:eastAsia="宋体" w:cs="宋体"/>
          <w:color w:val="auto"/>
          <w:spacing w:val="-2"/>
          <w:sz w:val="21"/>
          <w:szCs w:val="21"/>
          <w:highlight w:val="none"/>
        </w:rPr>
        <w:t>人以下或营业收入</w:t>
      </w:r>
      <w:r>
        <w:rPr>
          <w:rFonts w:ascii="Times New Roman" w:hAnsi="Times New Roman" w:eastAsia="Times New Roman" w:cs="Times New Roman"/>
          <w:color w:val="auto"/>
          <w:spacing w:val="-2"/>
          <w:sz w:val="21"/>
          <w:szCs w:val="21"/>
          <w:highlight w:val="none"/>
        </w:rPr>
        <w:t>100</w:t>
      </w:r>
      <w:r>
        <w:rPr>
          <w:rFonts w:ascii="宋体" w:hAnsi="宋体" w:eastAsia="宋体" w:cs="宋体"/>
          <w:color w:val="auto"/>
          <w:spacing w:val="-3"/>
          <w:sz w:val="21"/>
          <w:szCs w:val="21"/>
          <w:highlight w:val="none"/>
        </w:rPr>
        <w:t>万元以下的为微型企业。</w:t>
      </w:r>
    </w:p>
    <w:p w14:paraId="331AD475">
      <w:pPr>
        <w:spacing w:before="153" w:line="254" w:lineRule="auto"/>
        <w:ind w:left="19" w:right="53" w:firstLine="41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（十）餐饮业。从业人员</w:t>
      </w:r>
      <w:r>
        <w:rPr>
          <w:rFonts w:ascii="Times New Roman" w:hAnsi="Times New Roman" w:eastAsia="Times New Roman" w:cs="Times New Roman"/>
          <w:color w:val="auto"/>
          <w:spacing w:val="-2"/>
          <w:sz w:val="21"/>
          <w:szCs w:val="21"/>
          <w:highlight w:val="none"/>
        </w:rPr>
        <w:t>300</w:t>
      </w:r>
      <w:r>
        <w:rPr>
          <w:rFonts w:ascii="宋体" w:hAnsi="宋体" w:eastAsia="宋体" w:cs="宋体"/>
          <w:color w:val="auto"/>
          <w:spacing w:val="-2"/>
          <w:sz w:val="21"/>
          <w:szCs w:val="21"/>
          <w:highlight w:val="none"/>
        </w:rPr>
        <w:t>人以下或营业收入</w:t>
      </w:r>
      <w:r>
        <w:rPr>
          <w:rFonts w:ascii="Times New Roman" w:hAnsi="Times New Roman" w:eastAsia="Times New Roman" w:cs="Times New Roman"/>
          <w:color w:val="auto"/>
          <w:spacing w:val="-2"/>
          <w:sz w:val="21"/>
          <w:szCs w:val="21"/>
          <w:highlight w:val="none"/>
        </w:rPr>
        <w:t>10000</w:t>
      </w:r>
      <w:r>
        <w:rPr>
          <w:rFonts w:ascii="宋体" w:hAnsi="宋体" w:eastAsia="宋体" w:cs="宋体"/>
          <w:color w:val="auto"/>
          <w:spacing w:val="-2"/>
          <w:sz w:val="21"/>
          <w:szCs w:val="21"/>
          <w:highlight w:val="none"/>
        </w:rPr>
        <w:t>万元以下的</w:t>
      </w:r>
      <w:r>
        <w:rPr>
          <w:rFonts w:ascii="宋体" w:hAnsi="宋体" w:eastAsia="宋体" w:cs="宋体"/>
          <w:color w:val="auto"/>
          <w:spacing w:val="-3"/>
          <w:sz w:val="21"/>
          <w:szCs w:val="21"/>
          <w:highlight w:val="none"/>
        </w:rPr>
        <w:t>为中小微型企业。其中，从</w:t>
      </w:r>
      <w:r>
        <w:rPr>
          <w:rFonts w:ascii="宋体" w:hAnsi="宋体" w:eastAsia="宋体" w:cs="宋体"/>
          <w:color w:val="auto"/>
          <w:spacing w:val="-2"/>
          <w:sz w:val="21"/>
          <w:szCs w:val="21"/>
          <w:highlight w:val="none"/>
        </w:rPr>
        <w:t>业人员</w:t>
      </w:r>
      <w:r>
        <w:rPr>
          <w:rFonts w:ascii="Times New Roman" w:hAnsi="Times New Roman" w:eastAsia="Times New Roman" w:cs="Times New Roman"/>
          <w:color w:val="auto"/>
          <w:spacing w:val="-2"/>
          <w:sz w:val="21"/>
          <w:szCs w:val="21"/>
          <w:highlight w:val="none"/>
        </w:rPr>
        <w:t>100</w:t>
      </w:r>
      <w:r>
        <w:rPr>
          <w:rFonts w:ascii="宋体" w:hAnsi="宋体" w:eastAsia="宋体" w:cs="宋体"/>
          <w:color w:val="auto"/>
          <w:spacing w:val="-2"/>
          <w:sz w:val="21"/>
          <w:szCs w:val="21"/>
          <w:highlight w:val="none"/>
        </w:rPr>
        <w:t>人及以上，且营业收入</w:t>
      </w:r>
      <w:r>
        <w:rPr>
          <w:rFonts w:ascii="Times New Roman" w:hAnsi="Times New Roman" w:eastAsia="Times New Roman" w:cs="Times New Roman"/>
          <w:color w:val="auto"/>
          <w:spacing w:val="-2"/>
          <w:sz w:val="21"/>
          <w:szCs w:val="21"/>
          <w:highlight w:val="none"/>
        </w:rPr>
        <w:t>2000</w:t>
      </w:r>
      <w:r>
        <w:rPr>
          <w:rFonts w:ascii="宋体" w:hAnsi="宋体" w:eastAsia="宋体" w:cs="宋体"/>
          <w:color w:val="auto"/>
          <w:spacing w:val="-2"/>
          <w:sz w:val="21"/>
          <w:szCs w:val="21"/>
          <w:highlight w:val="none"/>
        </w:rPr>
        <w:t>万元及以上的为中型企业</w:t>
      </w:r>
      <w:r>
        <w:rPr>
          <w:rFonts w:ascii="宋体" w:hAnsi="宋体" w:eastAsia="宋体" w:cs="宋体"/>
          <w:color w:val="auto"/>
          <w:spacing w:val="-3"/>
          <w:sz w:val="21"/>
          <w:szCs w:val="21"/>
          <w:highlight w:val="none"/>
        </w:rPr>
        <w:t>；从业人员</w:t>
      </w:r>
      <w:r>
        <w:rPr>
          <w:rFonts w:ascii="Times New Roman" w:hAnsi="Times New Roman" w:eastAsia="Times New Roman" w:cs="Times New Roman"/>
          <w:color w:val="auto"/>
          <w:spacing w:val="-3"/>
          <w:sz w:val="21"/>
          <w:szCs w:val="21"/>
          <w:highlight w:val="none"/>
        </w:rPr>
        <w:t>10</w:t>
      </w:r>
      <w:r>
        <w:rPr>
          <w:rFonts w:ascii="宋体" w:hAnsi="宋体" w:eastAsia="宋体" w:cs="宋体"/>
          <w:color w:val="auto"/>
          <w:spacing w:val="-3"/>
          <w:sz w:val="21"/>
          <w:szCs w:val="21"/>
          <w:highlight w:val="none"/>
        </w:rPr>
        <w:t>人及以上，且营业</w:t>
      </w:r>
      <w:r>
        <w:rPr>
          <w:rFonts w:ascii="宋体" w:hAnsi="宋体" w:eastAsia="宋体" w:cs="宋体"/>
          <w:color w:val="auto"/>
          <w:spacing w:val="-2"/>
          <w:sz w:val="21"/>
          <w:szCs w:val="21"/>
          <w:highlight w:val="none"/>
        </w:rPr>
        <w:t>收入</w:t>
      </w:r>
      <w:r>
        <w:rPr>
          <w:rFonts w:ascii="Times New Roman" w:hAnsi="Times New Roman" w:eastAsia="Times New Roman" w:cs="Times New Roman"/>
          <w:color w:val="auto"/>
          <w:spacing w:val="-2"/>
          <w:sz w:val="21"/>
          <w:szCs w:val="21"/>
          <w:highlight w:val="none"/>
        </w:rPr>
        <w:t>100</w:t>
      </w:r>
      <w:r>
        <w:rPr>
          <w:rFonts w:ascii="宋体" w:hAnsi="宋体" w:eastAsia="宋体" w:cs="宋体"/>
          <w:color w:val="auto"/>
          <w:spacing w:val="-2"/>
          <w:sz w:val="21"/>
          <w:szCs w:val="21"/>
          <w:highlight w:val="none"/>
        </w:rPr>
        <w:t>万元及以上的为小型企业；从业人员</w:t>
      </w:r>
      <w:r>
        <w:rPr>
          <w:rFonts w:ascii="Times New Roman" w:hAnsi="Times New Roman" w:eastAsia="Times New Roman" w:cs="Times New Roman"/>
          <w:color w:val="auto"/>
          <w:spacing w:val="-2"/>
          <w:sz w:val="21"/>
          <w:szCs w:val="21"/>
          <w:highlight w:val="none"/>
        </w:rPr>
        <w:t>10</w:t>
      </w:r>
      <w:r>
        <w:rPr>
          <w:rFonts w:ascii="宋体" w:hAnsi="宋体" w:eastAsia="宋体" w:cs="宋体"/>
          <w:color w:val="auto"/>
          <w:spacing w:val="-2"/>
          <w:sz w:val="21"/>
          <w:szCs w:val="21"/>
          <w:highlight w:val="none"/>
        </w:rPr>
        <w:t>人以下或营业收入</w:t>
      </w:r>
      <w:r>
        <w:rPr>
          <w:rFonts w:ascii="Times New Roman" w:hAnsi="Times New Roman" w:eastAsia="Times New Roman" w:cs="Times New Roman"/>
          <w:color w:val="auto"/>
          <w:spacing w:val="-2"/>
          <w:sz w:val="21"/>
          <w:szCs w:val="21"/>
          <w:highlight w:val="none"/>
        </w:rPr>
        <w:t>100</w:t>
      </w:r>
      <w:r>
        <w:rPr>
          <w:rFonts w:ascii="宋体" w:hAnsi="宋体" w:eastAsia="宋体" w:cs="宋体"/>
          <w:color w:val="auto"/>
          <w:spacing w:val="-3"/>
          <w:sz w:val="21"/>
          <w:szCs w:val="21"/>
          <w:highlight w:val="none"/>
        </w:rPr>
        <w:t>万元以下的为微型企业。</w:t>
      </w:r>
    </w:p>
    <w:p w14:paraId="2C1D9259">
      <w:pPr>
        <w:spacing w:before="155" w:line="255" w:lineRule="auto"/>
        <w:ind w:left="20" w:firstLine="428"/>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（十一）信息传输业。从业人员</w:t>
      </w:r>
      <w:r>
        <w:rPr>
          <w:rFonts w:ascii="Times New Roman" w:hAnsi="Times New Roman" w:eastAsia="Times New Roman" w:cs="Times New Roman"/>
          <w:color w:val="auto"/>
          <w:spacing w:val="-2"/>
          <w:sz w:val="21"/>
          <w:szCs w:val="21"/>
          <w:highlight w:val="none"/>
        </w:rPr>
        <w:t>2000</w:t>
      </w:r>
      <w:r>
        <w:rPr>
          <w:rFonts w:ascii="宋体" w:hAnsi="宋体" w:eastAsia="宋体" w:cs="宋体"/>
          <w:color w:val="auto"/>
          <w:spacing w:val="-2"/>
          <w:sz w:val="21"/>
          <w:szCs w:val="21"/>
          <w:highlight w:val="none"/>
        </w:rPr>
        <w:t>人以下或营业收入</w:t>
      </w:r>
      <w:r>
        <w:rPr>
          <w:rFonts w:ascii="Times New Roman" w:hAnsi="Times New Roman" w:eastAsia="Times New Roman" w:cs="Times New Roman"/>
          <w:color w:val="auto"/>
          <w:spacing w:val="-2"/>
          <w:sz w:val="21"/>
          <w:szCs w:val="21"/>
          <w:highlight w:val="none"/>
        </w:rPr>
        <w:t>100000</w:t>
      </w:r>
      <w:r>
        <w:rPr>
          <w:rFonts w:ascii="宋体" w:hAnsi="宋体" w:eastAsia="宋体" w:cs="宋体"/>
          <w:color w:val="auto"/>
          <w:spacing w:val="-2"/>
          <w:sz w:val="21"/>
          <w:szCs w:val="21"/>
          <w:highlight w:val="none"/>
        </w:rPr>
        <w:t>万元以下的为中小微型企业。</w:t>
      </w:r>
      <w:r>
        <w:rPr>
          <w:rFonts w:ascii="宋体" w:hAnsi="宋体" w:eastAsia="宋体" w:cs="宋体"/>
          <w:color w:val="auto"/>
          <w:spacing w:val="-6"/>
          <w:sz w:val="21"/>
          <w:szCs w:val="21"/>
          <w:highlight w:val="none"/>
        </w:rPr>
        <w:t>其中，从业人员</w:t>
      </w:r>
      <w:r>
        <w:rPr>
          <w:rFonts w:ascii="Times New Roman" w:hAnsi="Times New Roman" w:eastAsia="Times New Roman" w:cs="Times New Roman"/>
          <w:color w:val="auto"/>
          <w:spacing w:val="-6"/>
          <w:sz w:val="21"/>
          <w:szCs w:val="21"/>
          <w:highlight w:val="none"/>
        </w:rPr>
        <w:t>100</w:t>
      </w:r>
      <w:r>
        <w:rPr>
          <w:rFonts w:ascii="宋体" w:hAnsi="宋体" w:eastAsia="宋体" w:cs="宋体"/>
          <w:color w:val="auto"/>
          <w:spacing w:val="-6"/>
          <w:sz w:val="21"/>
          <w:szCs w:val="21"/>
          <w:highlight w:val="none"/>
        </w:rPr>
        <w:t>人及以上，且营业收入</w:t>
      </w:r>
      <w:r>
        <w:rPr>
          <w:rFonts w:ascii="Times New Roman" w:hAnsi="Times New Roman" w:eastAsia="Times New Roman" w:cs="Times New Roman"/>
          <w:color w:val="auto"/>
          <w:spacing w:val="-6"/>
          <w:sz w:val="21"/>
          <w:szCs w:val="21"/>
          <w:highlight w:val="none"/>
        </w:rPr>
        <w:t>1000</w:t>
      </w:r>
      <w:r>
        <w:rPr>
          <w:rFonts w:ascii="宋体" w:hAnsi="宋体" w:eastAsia="宋体" w:cs="宋体"/>
          <w:color w:val="auto"/>
          <w:spacing w:val="-6"/>
          <w:sz w:val="21"/>
          <w:szCs w:val="21"/>
          <w:highlight w:val="none"/>
        </w:rPr>
        <w:t>万元及以上的为中型企业；从业人员</w:t>
      </w:r>
      <w:r>
        <w:rPr>
          <w:rFonts w:ascii="Times New Roman" w:hAnsi="Times New Roman" w:eastAsia="Times New Roman" w:cs="Times New Roman"/>
          <w:color w:val="auto"/>
          <w:spacing w:val="-6"/>
          <w:sz w:val="21"/>
          <w:szCs w:val="21"/>
          <w:highlight w:val="none"/>
        </w:rPr>
        <w:t>1</w:t>
      </w:r>
      <w:r>
        <w:rPr>
          <w:rFonts w:ascii="Times New Roman" w:hAnsi="Times New Roman" w:eastAsia="Times New Roman" w:cs="Times New Roman"/>
          <w:color w:val="auto"/>
          <w:spacing w:val="-7"/>
          <w:sz w:val="21"/>
          <w:szCs w:val="21"/>
          <w:highlight w:val="none"/>
        </w:rPr>
        <w:t>0</w:t>
      </w:r>
      <w:r>
        <w:rPr>
          <w:rFonts w:ascii="宋体" w:hAnsi="宋体" w:eastAsia="宋体" w:cs="宋体"/>
          <w:color w:val="auto"/>
          <w:spacing w:val="-7"/>
          <w:sz w:val="21"/>
          <w:szCs w:val="21"/>
          <w:highlight w:val="none"/>
        </w:rPr>
        <w:t>人及以上，</w:t>
      </w:r>
      <w:r>
        <w:rPr>
          <w:rFonts w:ascii="宋体" w:hAnsi="宋体" w:eastAsia="宋体" w:cs="宋体"/>
          <w:color w:val="auto"/>
          <w:spacing w:val="-2"/>
          <w:sz w:val="21"/>
          <w:szCs w:val="21"/>
          <w:highlight w:val="none"/>
        </w:rPr>
        <w:t>且营业收入</w:t>
      </w:r>
      <w:r>
        <w:rPr>
          <w:rFonts w:ascii="Times New Roman" w:hAnsi="Times New Roman" w:eastAsia="Times New Roman" w:cs="Times New Roman"/>
          <w:color w:val="auto"/>
          <w:spacing w:val="-2"/>
          <w:sz w:val="21"/>
          <w:szCs w:val="21"/>
          <w:highlight w:val="none"/>
        </w:rPr>
        <w:t>100</w:t>
      </w:r>
      <w:r>
        <w:rPr>
          <w:rFonts w:ascii="宋体" w:hAnsi="宋体" w:eastAsia="宋体" w:cs="宋体"/>
          <w:color w:val="auto"/>
          <w:spacing w:val="-2"/>
          <w:sz w:val="21"/>
          <w:szCs w:val="21"/>
          <w:highlight w:val="none"/>
        </w:rPr>
        <w:t>万元及以上的为小型企业；从业人员</w:t>
      </w:r>
      <w:r>
        <w:rPr>
          <w:rFonts w:ascii="Times New Roman" w:hAnsi="Times New Roman" w:eastAsia="Times New Roman" w:cs="Times New Roman"/>
          <w:color w:val="auto"/>
          <w:spacing w:val="-2"/>
          <w:sz w:val="21"/>
          <w:szCs w:val="21"/>
          <w:highlight w:val="none"/>
        </w:rPr>
        <w:t>10</w:t>
      </w:r>
      <w:r>
        <w:rPr>
          <w:rFonts w:ascii="宋体" w:hAnsi="宋体" w:eastAsia="宋体" w:cs="宋体"/>
          <w:color w:val="auto"/>
          <w:spacing w:val="-2"/>
          <w:sz w:val="21"/>
          <w:szCs w:val="21"/>
          <w:highlight w:val="none"/>
        </w:rPr>
        <w:t>人</w:t>
      </w:r>
      <w:r>
        <w:rPr>
          <w:rFonts w:ascii="宋体" w:hAnsi="宋体" w:eastAsia="宋体" w:cs="宋体"/>
          <w:color w:val="auto"/>
          <w:spacing w:val="-3"/>
          <w:sz w:val="21"/>
          <w:szCs w:val="21"/>
          <w:highlight w:val="none"/>
        </w:rPr>
        <w:t>以下或营业收入</w:t>
      </w:r>
      <w:r>
        <w:rPr>
          <w:rFonts w:ascii="Times New Roman" w:hAnsi="Times New Roman" w:eastAsia="Times New Roman" w:cs="Times New Roman"/>
          <w:color w:val="auto"/>
          <w:spacing w:val="-3"/>
          <w:sz w:val="21"/>
          <w:szCs w:val="21"/>
          <w:highlight w:val="none"/>
        </w:rPr>
        <w:t>100</w:t>
      </w:r>
      <w:r>
        <w:rPr>
          <w:rFonts w:ascii="宋体" w:hAnsi="宋体" w:eastAsia="宋体" w:cs="宋体"/>
          <w:color w:val="auto"/>
          <w:spacing w:val="-3"/>
          <w:sz w:val="21"/>
          <w:szCs w:val="21"/>
          <w:highlight w:val="none"/>
        </w:rPr>
        <w:t>万元以下的为微型</w:t>
      </w:r>
      <w:r>
        <w:rPr>
          <w:rFonts w:ascii="宋体" w:hAnsi="宋体" w:eastAsia="宋体" w:cs="宋体"/>
          <w:color w:val="auto"/>
          <w:spacing w:val="-8"/>
          <w:sz w:val="21"/>
          <w:szCs w:val="21"/>
          <w:highlight w:val="none"/>
        </w:rPr>
        <w:t>企业。</w:t>
      </w:r>
    </w:p>
    <w:p w14:paraId="0907B22D">
      <w:pPr>
        <w:spacing w:before="157" w:line="253" w:lineRule="auto"/>
        <w:ind w:left="22" w:right="53" w:firstLine="40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（十二）软件和信息技术服务业。从业人员</w:t>
      </w:r>
      <w:r>
        <w:rPr>
          <w:rFonts w:ascii="Times New Roman" w:hAnsi="Times New Roman" w:eastAsia="Times New Roman" w:cs="Times New Roman"/>
          <w:color w:val="auto"/>
          <w:spacing w:val="-2"/>
          <w:sz w:val="21"/>
          <w:szCs w:val="21"/>
          <w:highlight w:val="none"/>
        </w:rPr>
        <w:t>300</w:t>
      </w:r>
      <w:r>
        <w:rPr>
          <w:rFonts w:ascii="宋体" w:hAnsi="宋体" w:eastAsia="宋体" w:cs="宋体"/>
          <w:color w:val="auto"/>
          <w:spacing w:val="-2"/>
          <w:sz w:val="21"/>
          <w:szCs w:val="21"/>
          <w:highlight w:val="none"/>
        </w:rPr>
        <w:t>人以下或营业收入</w:t>
      </w:r>
      <w:r>
        <w:rPr>
          <w:rFonts w:ascii="Times New Roman" w:hAnsi="Times New Roman" w:eastAsia="Times New Roman" w:cs="Times New Roman"/>
          <w:color w:val="auto"/>
          <w:spacing w:val="-2"/>
          <w:sz w:val="21"/>
          <w:szCs w:val="21"/>
          <w:highlight w:val="none"/>
        </w:rPr>
        <w:t>10000</w:t>
      </w:r>
      <w:r>
        <w:rPr>
          <w:rFonts w:ascii="宋体" w:hAnsi="宋体" w:eastAsia="宋体" w:cs="宋体"/>
          <w:color w:val="auto"/>
          <w:spacing w:val="-2"/>
          <w:sz w:val="21"/>
          <w:szCs w:val="21"/>
          <w:highlight w:val="none"/>
        </w:rPr>
        <w:t>万元以下的为中</w:t>
      </w:r>
      <w:r>
        <w:rPr>
          <w:rFonts w:ascii="宋体" w:hAnsi="宋体" w:eastAsia="宋体" w:cs="宋体"/>
          <w:color w:val="auto"/>
          <w:spacing w:val="-3"/>
          <w:sz w:val="21"/>
          <w:szCs w:val="21"/>
          <w:highlight w:val="none"/>
        </w:rPr>
        <w:t>小微</w:t>
      </w:r>
      <w:r>
        <w:rPr>
          <w:rFonts w:ascii="宋体" w:hAnsi="宋体" w:eastAsia="宋体" w:cs="宋体"/>
          <w:color w:val="auto"/>
          <w:spacing w:val="-2"/>
          <w:sz w:val="21"/>
          <w:szCs w:val="21"/>
          <w:highlight w:val="none"/>
        </w:rPr>
        <w:t>型企业。其中，从业人员</w:t>
      </w:r>
      <w:r>
        <w:rPr>
          <w:rFonts w:ascii="Times New Roman" w:hAnsi="Times New Roman" w:eastAsia="Times New Roman" w:cs="Times New Roman"/>
          <w:color w:val="auto"/>
          <w:spacing w:val="-2"/>
          <w:sz w:val="21"/>
          <w:szCs w:val="21"/>
          <w:highlight w:val="none"/>
        </w:rPr>
        <w:t>100</w:t>
      </w:r>
      <w:r>
        <w:rPr>
          <w:rFonts w:ascii="宋体" w:hAnsi="宋体" w:eastAsia="宋体" w:cs="宋体"/>
          <w:color w:val="auto"/>
          <w:spacing w:val="-2"/>
          <w:sz w:val="21"/>
          <w:szCs w:val="21"/>
          <w:highlight w:val="none"/>
        </w:rPr>
        <w:t>人及以上，且营业收入</w:t>
      </w:r>
      <w:r>
        <w:rPr>
          <w:rFonts w:ascii="Times New Roman" w:hAnsi="Times New Roman" w:eastAsia="Times New Roman" w:cs="Times New Roman"/>
          <w:color w:val="auto"/>
          <w:spacing w:val="-2"/>
          <w:sz w:val="21"/>
          <w:szCs w:val="21"/>
          <w:highlight w:val="none"/>
        </w:rPr>
        <w:t>1000</w:t>
      </w:r>
      <w:r>
        <w:rPr>
          <w:rFonts w:ascii="宋体" w:hAnsi="宋体" w:eastAsia="宋体" w:cs="宋体"/>
          <w:color w:val="auto"/>
          <w:spacing w:val="-2"/>
          <w:sz w:val="21"/>
          <w:szCs w:val="21"/>
          <w:highlight w:val="none"/>
        </w:rPr>
        <w:t>万元及以上的为中型企业；从业人员</w:t>
      </w:r>
      <w:r>
        <w:rPr>
          <w:rFonts w:ascii="Times New Roman" w:hAnsi="Times New Roman" w:eastAsia="Times New Roman" w:cs="Times New Roman"/>
          <w:color w:val="auto"/>
          <w:spacing w:val="-2"/>
          <w:sz w:val="21"/>
          <w:szCs w:val="21"/>
          <w:highlight w:val="none"/>
        </w:rPr>
        <w:t>10</w:t>
      </w:r>
      <w:r>
        <w:rPr>
          <w:rFonts w:ascii="宋体" w:hAnsi="宋体" w:eastAsia="宋体" w:cs="宋体"/>
          <w:color w:val="auto"/>
          <w:spacing w:val="-2"/>
          <w:sz w:val="21"/>
          <w:szCs w:val="21"/>
          <w:highlight w:val="none"/>
        </w:rPr>
        <w:t>人及以上，且营业收入</w:t>
      </w:r>
      <w:r>
        <w:rPr>
          <w:rFonts w:ascii="Times New Roman" w:hAnsi="Times New Roman" w:eastAsia="Times New Roman" w:cs="Times New Roman"/>
          <w:color w:val="auto"/>
          <w:spacing w:val="-2"/>
          <w:sz w:val="21"/>
          <w:szCs w:val="21"/>
          <w:highlight w:val="none"/>
        </w:rPr>
        <w:t>50</w:t>
      </w:r>
      <w:r>
        <w:rPr>
          <w:rFonts w:ascii="宋体" w:hAnsi="宋体" w:eastAsia="宋体" w:cs="宋体"/>
          <w:color w:val="auto"/>
          <w:spacing w:val="-2"/>
          <w:sz w:val="21"/>
          <w:szCs w:val="21"/>
          <w:highlight w:val="none"/>
        </w:rPr>
        <w:t>万元及以上的为小型企业；从业人员</w:t>
      </w:r>
      <w:r>
        <w:rPr>
          <w:rFonts w:ascii="Times New Roman" w:hAnsi="Times New Roman" w:eastAsia="Times New Roman" w:cs="Times New Roman"/>
          <w:color w:val="auto"/>
          <w:spacing w:val="-2"/>
          <w:sz w:val="21"/>
          <w:szCs w:val="21"/>
          <w:highlight w:val="none"/>
        </w:rPr>
        <w:t>10</w:t>
      </w:r>
      <w:r>
        <w:rPr>
          <w:rFonts w:ascii="宋体" w:hAnsi="宋体" w:eastAsia="宋体" w:cs="宋体"/>
          <w:color w:val="auto"/>
          <w:spacing w:val="-2"/>
          <w:sz w:val="21"/>
          <w:szCs w:val="21"/>
          <w:highlight w:val="none"/>
        </w:rPr>
        <w:t>人以下或营业收入</w:t>
      </w:r>
      <w:r>
        <w:rPr>
          <w:rFonts w:ascii="Times New Roman" w:hAnsi="Times New Roman" w:eastAsia="Times New Roman" w:cs="Times New Roman"/>
          <w:color w:val="auto"/>
          <w:spacing w:val="-2"/>
          <w:sz w:val="21"/>
          <w:szCs w:val="21"/>
          <w:highlight w:val="none"/>
        </w:rPr>
        <w:t>50</w:t>
      </w:r>
      <w:r>
        <w:rPr>
          <w:rFonts w:ascii="宋体" w:hAnsi="宋体" w:eastAsia="宋体" w:cs="宋体"/>
          <w:color w:val="auto"/>
          <w:spacing w:val="-2"/>
          <w:sz w:val="21"/>
          <w:szCs w:val="21"/>
          <w:highlight w:val="none"/>
        </w:rPr>
        <w:t>万元以下</w:t>
      </w:r>
      <w:r>
        <w:rPr>
          <w:rFonts w:ascii="宋体" w:hAnsi="宋体" w:eastAsia="宋体" w:cs="宋体"/>
          <w:color w:val="auto"/>
          <w:spacing w:val="-4"/>
          <w:sz w:val="21"/>
          <w:szCs w:val="21"/>
          <w:highlight w:val="none"/>
        </w:rPr>
        <w:t>的为微型企业。</w:t>
      </w:r>
    </w:p>
    <w:p w14:paraId="6FCF5F55">
      <w:pPr>
        <w:spacing w:before="171" w:line="256" w:lineRule="auto"/>
        <w:ind w:left="16" w:right="53" w:firstLine="43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（十三）房地产开发经营。营业收入</w:t>
      </w:r>
      <w:r>
        <w:rPr>
          <w:rFonts w:ascii="Times New Roman" w:hAnsi="Times New Roman" w:eastAsia="Times New Roman" w:cs="Times New Roman"/>
          <w:color w:val="auto"/>
          <w:spacing w:val="-2"/>
          <w:sz w:val="21"/>
          <w:szCs w:val="21"/>
          <w:highlight w:val="none"/>
        </w:rPr>
        <w:t>200000</w:t>
      </w:r>
      <w:r>
        <w:rPr>
          <w:rFonts w:ascii="宋体" w:hAnsi="宋体" w:eastAsia="宋体" w:cs="宋体"/>
          <w:color w:val="auto"/>
          <w:spacing w:val="-2"/>
          <w:sz w:val="21"/>
          <w:szCs w:val="21"/>
          <w:highlight w:val="none"/>
        </w:rPr>
        <w:t>万元以下或资产总额</w:t>
      </w:r>
      <w:r>
        <w:rPr>
          <w:rFonts w:ascii="Times New Roman" w:hAnsi="Times New Roman" w:eastAsia="Times New Roman" w:cs="Times New Roman"/>
          <w:color w:val="auto"/>
          <w:spacing w:val="-2"/>
          <w:sz w:val="21"/>
          <w:szCs w:val="21"/>
          <w:highlight w:val="none"/>
        </w:rPr>
        <w:t>10000</w:t>
      </w:r>
      <w:r>
        <w:rPr>
          <w:rFonts w:ascii="宋体" w:hAnsi="宋体" w:eastAsia="宋体" w:cs="宋体"/>
          <w:color w:val="auto"/>
          <w:spacing w:val="-2"/>
          <w:sz w:val="21"/>
          <w:szCs w:val="21"/>
          <w:highlight w:val="none"/>
        </w:rPr>
        <w:t>万元以下的为中小微型企业。其中，营业收入</w:t>
      </w:r>
      <w:r>
        <w:rPr>
          <w:rFonts w:ascii="Times New Roman" w:hAnsi="Times New Roman" w:eastAsia="Times New Roman" w:cs="Times New Roman"/>
          <w:color w:val="auto"/>
          <w:spacing w:val="-2"/>
          <w:sz w:val="21"/>
          <w:szCs w:val="21"/>
          <w:highlight w:val="none"/>
        </w:rPr>
        <w:t>1000</w:t>
      </w:r>
      <w:r>
        <w:rPr>
          <w:rFonts w:ascii="宋体" w:hAnsi="宋体" w:eastAsia="宋体" w:cs="宋体"/>
          <w:color w:val="auto"/>
          <w:spacing w:val="-2"/>
          <w:sz w:val="21"/>
          <w:szCs w:val="21"/>
          <w:highlight w:val="none"/>
        </w:rPr>
        <w:t>万元及以</w:t>
      </w:r>
      <w:r>
        <w:rPr>
          <w:rFonts w:ascii="宋体" w:hAnsi="宋体" w:eastAsia="宋体" w:cs="宋体"/>
          <w:color w:val="auto"/>
          <w:spacing w:val="-3"/>
          <w:sz w:val="21"/>
          <w:szCs w:val="21"/>
          <w:highlight w:val="none"/>
        </w:rPr>
        <w:t>上，且资产总额</w:t>
      </w:r>
      <w:r>
        <w:rPr>
          <w:rFonts w:ascii="Times New Roman" w:hAnsi="Times New Roman" w:eastAsia="Times New Roman" w:cs="Times New Roman"/>
          <w:color w:val="auto"/>
          <w:spacing w:val="-3"/>
          <w:sz w:val="21"/>
          <w:szCs w:val="21"/>
          <w:highlight w:val="none"/>
        </w:rPr>
        <w:t>5000</w:t>
      </w:r>
      <w:r>
        <w:rPr>
          <w:rFonts w:ascii="宋体" w:hAnsi="宋体" w:eastAsia="宋体" w:cs="宋体"/>
          <w:color w:val="auto"/>
          <w:spacing w:val="-3"/>
          <w:sz w:val="21"/>
          <w:szCs w:val="21"/>
          <w:highlight w:val="none"/>
        </w:rPr>
        <w:t>万元及以上的为中型企业；营业收入</w:t>
      </w:r>
      <w:r>
        <w:rPr>
          <w:rFonts w:ascii="Times New Roman" w:hAnsi="Times New Roman" w:eastAsia="Times New Roman" w:cs="Times New Roman"/>
          <w:color w:val="auto"/>
          <w:spacing w:val="-2"/>
          <w:sz w:val="21"/>
          <w:szCs w:val="21"/>
          <w:highlight w:val="none"/>
        </w:rPr>
        <w:t>100</w:t>
      </w:r>
      <w:r>
        <w:rPr>
          <w:rFonts w:ascii="宋体" w:hAnsi="宋体" w:eastAsia="宋体" w:cs="宋体"/>
          <w:color w:val="auto"/>
          <w:spacing w:val="-2"/>
          <w:sz w:val="21"/>
          <w:szCs w:val="21"/>
          <w:highlight w:val="none"/>
        </w:rPr>
        <w:t>万元及以上，且资产总额</w:t>
      </w:r>
      <w:r>
        <w:rPr>
          <w:rFonts w:ascii="Times New Roman" w:hAnsi="Times New Roman" w:eastAsia="Times New Roman" w:cs="Times New Roman"/>
          <w:color w:val="auto"/>
          <w:spacing w:val="-2"/>
          <w:sz w:val="21"/>
          <w:szCs w:val="21"/>
          <w:highlight w:val="none"/>
        </w:rPr>
        <w:t>2000</w:t>
      </w:r>
      <w:r>
        <w:rPr>
          <w:rFonts w:ascii="宋体" w:hAnsi="宋体" w:eastAsia="宋体" w:cs="宋体"/>
          <w:color w:val="auto"/>
          <w:spacing w:val="-2"/>
          <w:sz w:val="21"/>
          <w:szCs w:val="21"/>
          <w:highlight w:val="none"/>
        </w:rPr>
        <w:t>万元及以上的为小型企业；营业收入</w:t>
      </w:r>
      <w:r>
        <w:rPr>
          <w:rFonts w:ascii="Times New Roman" w:hAnsi="Times New Roman" w:eastAsia="Times New Roman" w:cs="Times New Roman"/>
          <w:color w:val="auto"/>
          <w:spacing w:val="-2"/>
          <w:sz w:val="21"/>
          <w:szCs w:val="21"/>
          <w:highlight w:val="none"/>
        </w:rPr>
        <w:t>100</w:t>
      </w:r>
      <w:r>
        <w:rPr>
          <w:rFonts w:ascii="宋体" w:hAnsi="宋体" w:eastAsia="宋体" w:cs="宋体"/>
          <w:color w:val="auto"/>
          <w:spacing w:val="-2"/>
          <w:sz w:val="21"/>
          <w:szCs w:val="21"/>
          <w:highlight w:val="none"/>
        </w:rPr>
        <w:t>万元以下或资产总额</w:t>
      </w:r>
      <w:r>
        <w:rPr>
          <w:rFonts w:ascii="Times New Roman" w:hAnsi="Times New Roman" w:eastAsia="Times New Roman" w:cs="Times New Roman"/>
          <w:color w:val="auto"/>
          <w:spacing w:val="-2"/>
          <w:sz w:val="21"/>
          <w:szCs w:val="21"/>
          <w:highlight w:val="none"/>
        </w:rPr>
        <w:t>2000</w:t>
      </w:r>
      <w:r>
        <w:rPr>
          <w:rFonts w:ascii="宋体" w:hAnsi="宋体" w:eastAsia="宋体" w:cs="宋体"/>
          <w:color w:val="auto"/>
          <w:spacing w:val="-2"/>
          <w:sz w:val="21"/>
          <w:szCs w:val="21"/>
          <w:highlight w:val="none"/>
        </w:rPr>
        <w:t>万元以下的为微型企业。</w:t>
      </w:r>
    </w:p>
    <w:p w14:paraId="6C0A7434">
      <w:pPr>
        <w:spacing w:before="153" w:line="256" w:lineRule="auto"/>
        <w:ind w:left="19" w:firstLine="388"/>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（十四）物业管理。从业人员</w:t>
      </w:r>
      <w:r>
        <w:rPr>
          <w:rFonts w:ascii="Times New Roman" w:hAnsi="Times New Roman" w:eastAsia="Times New Roman" w:cs="Times New Roman"/>
          <w:color w:val="auto"/>
          <w:spacing w:val="-3"/>
          <w:sz w:val="21"/>
          <w:szCs w:val="21"/>
          <w:highlight w:val="none"/>
        </w:rPr>
        <w:t>1000</w:t>
      </w:r>
      <w:r>
        <w:rPr>
          <w:rFonts w:ascii="宋体" w:hAnsi="宋体" w:eastAsia="宋体" w:cs="宋体"/>
          <w:color w:val="auto"/>
          <w:spacing w:val="-3"/>
          <w:sz w:val="21"/>
          <w:szCs w:val="21"/>
          <w:highlight w:val="none"/>
        </w:rPr>
        <w:t>人以下或营业收入</w:t>
      </w:r>
      <w:r>
        <w:rPr>
          <w:rFonts w:ascii="Times New Roman" w:hAnsi="Times New Roman" w:eastAsia="Times New Roman" w:cs="Times New Roman"/>
          <w:color w:val="auto"/>
          <w:spacing w:val="-3"/>
          <w:sz w:val="21"/>
          <w:szCs w:val="21"/>
          <w:highlight w:val="none"/>
        </w:rPr>
        <w:t>5000</w:t>
      </w:r>
      <w:r>
        <w:rPr>
          <w:rFonts w:ascii="宋体" w:hAnsi="宋体" w:eastAsia="宋体" w:cs="宋体"/>
          <w:color w:val="auto"/>
          <w:spacing w:val="-3"/>
          <w:sz w:val="21"/>
          <w:szCs w:val="21"/>
          <w:highlight w:val="none"/>
        </w:rPr>
        <w:t>万元</w:t>
      </w:r>
      <w:r>
        <w:rPr>
          <w:rFonts w:ascii="宋体" w:hAnsi="宋体" w:eastAsia="宋体" w:cs="宋体"/>
          <w:color w:val="auto"/>
          <w:spacing w:val="-4"/>
          <w:sz w:val="21"/>
          <w:szCs w:val="21"/>
          <w:highlight w:val="none"/>
        </w:rPr>
        <w:t>以下的为中小微型企业。其中，</w:t>
      </w:r>
      <w:r>
        <w:rPr>
          <w:rFonts w:ascii="宋体" w:hAnsi="宋体" w:eastAsia="宋体" w:cs="宋体"/>
          <w:color w:val="auto"/>
          <w:spacing w:val="-2"/>
          <w:sz w:val="21"/>
          <w:szCs w:val="21"/>
          <w:highlight w:val="none"/>
        </w:rPr>
        <w:t>从业人员</w:t>
      </w:r>
      <w:r>
        <w:rPr>
          <w:rFonts w:ascii="Times New Roman" w:hAnsi="Times New Roman" w:eastAsia="Times New Roman" w:cs="Times New Roman"/>
          <w:color w:val="auto"/>
          <w:spacing w:val="-2"/>
          <w:sz w:val="21"/>
          <w:szCs w:val="21"/>
          <w:highlight w:val="none"/>
        </w:rPr>
        <w:t>300</w:t>
      </w:r>
      <w:r>
        <w:rPr>
          <w:rFonts w:ascii="宋体" w:hAnsi="宋体" w:eastAsia="宋体" w:cs="宋体"/>
          <w:color w:val="auto"/>
          <w:spacing w:val="-2"/>
          <w:sz w:val="21"/>
          <w:szCs w:val="21"/>
          <w:highlight w:val="none"/>
        </w:rPr>
        <w:t>人及以上，且营业收入</w:t>
      </w:r>
      <w:r>
        <w:rPr>
          <w:rFonts w:ascii="Times New Roman" w:hAnsi="Times New Roman" w:eastAsia="Times New Roman" w:cs="Times New Roman"/>
          <w:color w:val="auto"/>
          <w:spacing w:val="-2"/>
          <w:sz w:val="21"/>
          <w:szCs w:val="21"/>
          <w:highlight w:val="none"/>
        </w:rPr>
        <w:t>1000</w:t>
      </w:r>
      <w:r>
        <w:rPr>
          <w:rFonts w:ascii="宋体" w:hAnsi="宋体" w:eastAsia="宋体" w:cs="宋体"/>
          <w:color w:val="auto"/>
          <w:spacing w:val="-2"/>
          <w:sz w:val="21"/>
          <w:szCs w:val="21"/>
          <w:highlight w:val="none"/>
        </w:rPr>
        <w:t>万元及以上的为中型企业；从业人员</w:t>
      </w:r>
      <w:r>
        <w:rPr>
          <w:rFonts w:ascii="Times New Roman" w:hAnsi="Times New Roman" w:eastAsia="Times New Roman" w:cs="Times New Roman"/>
          <w:color w:val="auto"/>
          <w:spacing w:val="-2"/>
          <w:sz w:val="21"/>
          <w:szCs w:val="21"/>
          <w:highlight w:val="none"/>
        </w:rPr>
        <w:t>100</w:t>
      </w:r>
      <w:r>
        <w:rPr>
          <w:rFonts w:ascii="宋体" w:hAnsi="宋体" w:eastAsia="宋体" w:cs="宋体"/>
          <w:color w:val="auto"/>
          <w:spacing w:val="-3"/>
          <w:sz w:val="21"/>
          <w:szCs w:val="21"/>
          <w:highlight w:val="none"/>
        </w:rPr>
        <w:t>人及以上，且</w:t>
      </w:r>
      <w:r>
        <w:rPr>
          <w:rFonts w:ascii="宋体" w:hAnsi="宋体" w:eastAsia="宋体" w:cs="宋体"/>
          <w:color w:val="auto"/>
          <w:spacing w:val="-2"/>
          <w:sz w:val="21"/>
          <w:szCs w:val="21"/>
          <w:highlight w:val="none"/>
        </w:rPr>
        <w:t>营业收入</w:t>
      </w:r>
      <w:r>
        <w:rPr>
          <w:rFonts w:ascii="Times New Roman" w:hAnsi="Times New Roman" w:eastAsia="Times New Roman" w:cs="Times New Roman"/>
          <w:color w:val="auto"/>
          <w:spacing w:val="-2"/>
          <w:sz w:val="21"/>
          <w:szCs w:val="21"/>
          <w:highlight w:val="none"/>
        </w:rPr>
        <w:t>500</w:t>
      </w:r>
      <w:r>
        <w:rPr>
          <w:rFonts w:ascii="宋体" w:hAnsi="宋体" w:eastAsia="宋体" w:cs="宋体"/>
          <w:color w:val="auto"/>
          <w:spacing w:val="-2"/>
          <w:sz w:val="21"/>
          <w:szCs w:val="21"/>
          <w:highlight w:val="none"/>
        </w:rPr>
        <w:t>万元及以上的为小型企业；从业人员</w:t>
      </w:r>
      <w:r>
        <w:rPr>
          <w:rFonts w:ascii="Times New Roman" w:hAnsi="Times New Roman" w:eastAsia="Times New Roman" w:cs="Times New Roman"/>
          <w:color w:val="auto"/>
          <w:spacing w:val="-2"/>
          <w:sz w:val="21"/>
          <w:szCs w:val="21"/>
          <w:highlight w:val="none"/>
        </w:rPr>
        <w:t>100</w:t>
      </w:r>
      <w:r>
        <w:rPr>
          <w:rFonts w:ascii="宋体" w:hAnsi="宋体" w:eastAsia="宋体" w:cs="宋体"/>
          <w:color w:val="auto"/>
          <w:spacing w:val="-2"/>
          <w:sz w:val="21"/>
          <w:szCs w:val="21"/>
          <w:highlight w:val="none"/>
        </w:rPr>
        <w:t>人</w:t>
      </w:r>
      <w:r>
        <w:rPr>
          <w:rFonts w:ascii="宋体" w:hAnsi="宋体" w:eastAsia="宋体" w:cs="宋体"/>
          <w:color w:val="auto"/>
          <w:spacing w:val="-3"/>
          <w:sz w:val="21"/>
          <w:szCs w:val="21"/>
          <w:highlight w:val="none"/>
        </w:rPr>
        <w:t>以下或营业收入</w:t>
      </w:r>
      <w:r>
        <w:rPr>
          <w:rFonts w:ascii="Times New Roman" w:hAnsi="Times New Roman" w:eastAsia="Times New Roman" w:cs="Times New Roman"/>
          <w:color w:val="auto"/>
          <w:spacing w:val="-3"/>
          <w:sz w:val="21"/>
          <w:szCs w:val="21"/>
          <w:highlight w:val="none"/>
        </w:rPr>
        <w:t>500</w:t>
      </w:r>
      <w:r>
        <w:rPr>
          <w:rFonts w:ascii="宋体" w:hAnsi="宋体" w:eastAsia="宋体" w:cs="宋体"/>
          <w:color w:val="auto"/>
          <w:spacing w:val="-3"/>
          <w:sz w:val="21"/>
          <w:szCs w:val="21"/>
          <w:highlight w:val="none"/>
        </w:rPr>
        <w:t>万元以下的为微型企</w:t>
      </w:r>
      <w:r>
        <w:rPr>
          <w:rFonts w:ascii="宋体" w:hAnsi="宋体" w:eastAsia="宋体" w:cs="宋体"/>
          <w:color w:val="auto"/>
          <w:spacing w:val="-10"/>
          <w:sz w:val="21"/>
          <w:szCs w:val="21"/>
          <w:highlight w:val="none"/>
        </w:rPr>
        <w:t>业。</w:t>
      </w:r>
    </w:p>
    <w:p w14:paraId="33A8F808">
      <w:pPr>
        <w:spacing w:before="155" w:line="253" w:lineRule="auto"/>
        <w:ind w:left="19" w:right="53" w:firstLine="42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（十五）租赁和商务服务业。从业人员</w:t>
      </w:r>
      <w:r>
        <w:rPr>
          <w:rFonts w:ascii="Times New Roman" w:hAnsi="Times New Roman" w:eastAsia="Times New Roman" w:cs="Times New Roman"/>
          <w:color w:val="auto"/>
          <w:spacing w:val="-2"/>
          <w:sz w:val="21"/>
          <w:szCs w:val="21"/>
          <w:highlight w:val="none"/>
        </w:rPr>
        <w:t>300</w:t>
      </w:r>
      <w:r>
        <w:rPr>
          <w:rFonts w:ascii="宋体" w:hAnsi="宋体" w:eastAsia="宋体" w:cs="宋体"/>
          <w:color w:val="auto"/>
          <w:spacing w:val="-2"/>
          <w:sz w:val="21"/>
          <w:szCs w:val="21"/>
          <w:highlight w:val="none"/>
        </w:rPr>
        <w:t>人以下或资产总额</w:t>
      </w:r>
      <w:r>
        <w:rPr>
          <w:rFonts w:ascii="Times New Roman" w:hAnsi="Times New Roman" w:eastAsia="Times New Roman" w:cs="Times New Roman"/>
          <w:color w:val="auto"/>
          <w:spacing w:val="-2"/>
          <w:sz w:val="21"/>
          <w:szCs w:val="21"/>
          <w:highlight w:val="none"/>
        </w:rPr>
        <w:t>120000</w:t>
      </w:r>
      <w:r>
        <w:rPr>
          <w:rFonts w:ascii="宋体" w:hAnsi="宋体" w:eastAsia="宋体" w:cs="宋体"/>
          <w:color w:val="auto"/>
          <w:spacing w:val="-2"/>
          <w:sz w:val="21"/>
          <w:szCs w:val="21"/>
          <w:highlight w:val="none"/>
        </w:rPr>
        <w:t>万元以下的为中小微型</w:t>
      </w:r>
      <w:r>
        <w:rPr>
          <w:rFonts w:ascii="宋体" w:hAnsi="宋体" w:eastAsia="宋体" w:cs="宋体"/>
          <w:color w:val="auto"/>
          <w:spacing w:val="-6"/>
          <w:sz w:val="21"/>
          <w:szCs w:val="21"/>
          <w:highlight w:val="none"/>
        </w:rPr>
        <w:t>企业。其中，从业人员</w:t>
      </w:r>
      <w:r>
        <w:rPr>
          <w:rFonts w:ascii="Times New Roman" w:hAnsi="Times New Roman" w:eastAsia="Times New Roman" w:cs="Times New Roman"/>
          <w:color w:val="auto"/>
          <w:spacing w:val="-6"/>
          <w:sz w:val="21"/>
          <w:szCs w:val="21"/>
          <w:highlight w:val="none"/>
        </w:rPr>
        <w:t>100</w:t>
      </w:r>
      <w:r>
        <w:rPr>
          <w:rFonts w:ascii="宋体" w:hAnsi="宋体" w:eastAsia="宋体" w:cs="宋体"/>
          <w:color w:val="auto"/>
          <w:spacing w:val="-6"/>
          <w:sz w:val="21"/>
          <w:szCs w:val="21"/>
          <w:highlight w:val="none"/>
        </w:rPr>
        <w:t>人及以上，且资产总额</w:t>
      </w:r>
      <w:r>
        <w:rPr>
          <w:rFonts w:ascii="Times New Roman" w:hAnsi="Times New Roman" w:eastAsia="Times New Roman" w:cs="Times New Roman"/>
          <w:color w:val="auto"/>
          <w:spacing w:val="-6"/>
          <w:sz w:val="21"/>
          <w:szCs w:val="21"/>
          <w:highlight w:val="none"/>
        </w:rPr>
        <w:t>8000</w:t>
      </w:r>
      <w:r>
        <w:rPr>
          <w:rFonts w:ascii="宋体" w:hAnsi="宋体" w:eastAsia="宋体" w:cs="宋体"/>
          <w:color w:val="auto"/>
          <w:spacing w:val="-6"/>
          <w:sz w:val="21"/>
          <w:szCs w:val="21"/>
          <w:highlight w:val="none"/>
        </w:rPr>
        <w:t>万元及以上的为中型企业；从业人员</w:t>
      </w:r>
      <w:r>
        <w:rPr>
          <w:rFonts w:ascii="Times New Roman" w:hAnsi="Times New Roman" w:eastAsia="Times New Roman" w:cs="Times New Roman"/>
          <w:color w:val="auto"/>
          <w:spacing w:val="-6"/>
          <w:sz w:val="21"/>
          <w:szCs w:val="21"/>
          <w:highlight w:val="none"/>
        </w:rPr>
        <w:t>10</w:t>
      </w:r>
      <w:r>
        <w:rPr>
          <w:rFonts w:ascii="宋体" w:hAnsi="宋体" w:eastAsia="宋体" w:cs="宋体"/>
          <w:color w:val="auto"/>
          <w:spacing w:val="-6"/>
          <w:sz w:val="21"/>
          <w:szCs w:val="21"/>
          <w:highlight w:val="none"/>
        </w:rPr>
        <w:t>人</w:t>
      </w:r>
      <w:r>
        <w:rPr>
          <w:rFonts w:ascii="宋体" w:hAnsi="宋体" w:eastAsia="宋体" w:cs="宋体"/>
          <w:color w:val="auto"/>
          <w:spacing w:val="-2"/>
          <w:sz w:val="21"/>
          <w:szCs w:val="21"/>
          <w:highlight w:val="none"/>
        </w:rPr>
        <w:t>及以上，且资产总额</w:t>
      </w:r>
      <w:r>
        <w:rPr>
          <w:rFonts w:ascii="Times New Roman" w:hAnsi="Times New Roman" w:eastAsia="Times New Roman" w:cs="Times New Roman"/>
          <w:color w:val="auto"/>
          <w:spacing w:val="-2"/>
          <w:sz w:val="21"/>
          <w:szCs w:val="21"/>
          <w:highlight w:val="none"/>
        </w:rPr>
        <w:t>100</w:t>
      </w:r>
      <w:r>
        <w:rPr>
          <w:rFonts w:ascii="宋体" w:hAnsi="宋体" w:eastAsia="宋体" w:cs="宋体"/>
          <w:color w:val="auto"/>
          <w:spacing w:val="-2"/>
          <w:sz w:val="21"/>
          <w:szCs w:val="21"/>
          <w:highlight w:val="none"/>
        </w:rPr>
        <w:t>万元及以上的为小型企业；从业人员</w:t>
      </w:r>
      <w:r>
        <w:rPr>
          <w:rFonts w:ascii="Times New Roman" w:hAnsi="Times New Roman" w:eastAsia="Times New Roman" w:cs="Times New Roman"/>
          <w:color w:val="auto"/>
          <w:spacing w:val="-2"/>
          <w:sz w:val="21"/>
          <w:szCs w:val="21"/>
          <w:highlight w:val="none"/>
        </w:rPr>
        <w:t>10</w:t>
      </w:r>
      <w:r>
        <w:rPr>
          <w:rFonts w:ascii="宋体" w:hAnsi="宋体" w:eastAsia="宋体" w:cs="宋体"/>
          <w:color w:val="auto"/>
          <w:spacing w:val="-3"/>
          <w:sz w:val="21"/>
          <w:szCs w:val="21"/>
          <w:highlight w:val="none"/>
        </w:rPr>
        <w:t>人以下或资产总额</w:t>
      </w:r>
      <w:r>
        <w:rPr>
          <w:rFonts w:ascii="Times New Roman" w:hAnsi="Times New Roman" w:eastAsia="Times New Roman" w:cs="Times New Roman"/>
          <w:color w:val="auto"/>
          <w:spacing w:val="-3"/>
          <w:sz w:val="21"/>
          <w:szCs w:val="21"/>
          <w:highlight w:val="none"/>
        </w:rPr>
        <w:t>100</w:t>
      </w:r>
      <w:r>
        <w:rPr>
          <w:rFonts w:ascii="宋体" w:hAnsi="宋体" w:eastAsia="宋体" w:cs="宋体"/>
          <w:color w:val="auto"/>
          <w:spacing w:val="-3"/>
          <w:sz w:val="21"/>
          <w:szCs w:val="21"/>
          <w:highlight w:val="none"/>
        </w:rPr>
        <w:t>万元以下的为微型企业。</w:t>
      </w:r>
    </w:p>
    <w:p w14:paraId="401BDF4D">
      <w:pPr>
        <w:spacing w:before="170" w:line="249" w:lineRule="auto"/>
        <w:ind w:left="44" w:right="53" w:firstLine="39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（十六）</w:t>
      </w:r>
      <w:r>
        <w:rPr>
          <w:rFonts w:hint="eastAsia" w:ascii="宋体" w:hAnsi="宋体" w:eastAsia="宋体" w:cs="宋体"/>
          <w:color w:val="auto"/>
          <w:spacing w:val="-2"/>
          <w:sz w:val="21"/>
          <w:szCs w:val="21"/>
          <w:highlight w:val="none"/>
          <w:lang w:val="en-US" w:eastAsia="zh-CN"/>
        </w:rPr>
        <w:t>其他未列明行业</w:t>
      </w:r>
      <w:r>
        <w:rPr>
          <w:rFonts w:ascii="宋体" w:hAnsi="宋体" w:eastAsia="宋体" w:cs="宋体"/>
          <w:color w:val="auto"/>
          <w:spacing w:val="-2"/>
          <w:sz w:val="21"/>
          <w:szCs w:val="21"/>
          <w:highlight w:val="none"/>
        </w:rPr>
        <w:t>。从业人员</w:t>
      </w:r>
      <w:r>
        <w:rPr>
          <w:rFonts w:ascii="Times New Roman" w:hAnsi="Times New Roman" w:eastAsia="Times New Roman" w:cs="Times New Roman"/>
          <w:color w:val="auto"/>
          <w:spacing w:val="-2"/>
          <w:sz w:val="21"/>
          <w:szCs w:val="21"/>
          <w:highlight w:val="none"/>
        </w:rPr>
        <w:t>300</w:t>
      </w:r>
      <w:r>
        <w:rPr>
          <w:rFonts w:ascii="宋体" w:hAnsi="宋体" w:eastAsia="宋体" w:cs="宋体"/>
          <w:color w:val="auto"/>
          <w:spacing w:val="-2"/>
          <w:sz w:val="21"/>
          <w:szCs w:val="21"/>
          <w:highlight w:val="none"/>
        </w:rPr>
        <w:t>人以下的为中小微型企业。其中，从业人员</w:t>
      </w:r>
      <w:r>
        <w:rPr>
          <w:rFonts w:ascii="Times New Roman" w:hAnsi="Times New Roman" w:eastAsia="Times New Roman" w:cs="Times New Roman"/>
          <w:color w:val="auto"/>
          <w:spacing w:val="-2"/>
          <w:sz w:val="21"/>
          <w:szCs w:val="21"/>
          <w:highlight w:val="none"/>
        </w:rPr>
        <w:t>100</w:t>
      </w:r>
      <w:r>
        <w:rPr>
          <w:rFonts w:ascii="宋体" w:hAnsi="宋体" w:eastAsia="宋体" w:cs="宋体"/>
          <w:color w:val="auto"/>
          <w:spacing w:val="-2"/>
          <w:sz w:val="21"/>
          <w:szCs w:val="21"/>
          <w:highlight w:val="none"/>
        </w:rPr>
        <w:t>人及以上的为中型企业；从业人员</w:t>
      </w:r>
      <w:r>
        <w:rPr>
          <w:rFonts w:ascii="Times New Roman" w:hAnsi="Times New Roman" w:eastAsia="Times New Roman" w:cs="Times New Roman"/>
          <w:color w:val="auto"/>
          <w:spacing w:val="-2"/>
          <w:sz w:val="21"/>
          <w:szCs w:val="21"/>
          <w:highlight w:val="none"/>
        </w:rPr>
        <w:t>10</w:t>
      </w:r>
      <w:r>
        <w:rPr>
          <w:rFonts w:ascii="宋体" w:hAnsi="宋体" w:eastAsia="宋体" w:cs="宋体"/>
          <w:color w:val="auto"/>
          <w:spacing w:val="-2"/>
          <w:sz w:val="21"/>
          <w:szCs w:val="21"/>
          <w:highlight w:val="none"/>
        </w:rPr>
        <w:t>人及以上的为小型企业；从业人员</w:t>
      </w:r>
      <w:r>
        <w:rPr>
          <w:rFonts w:ascii="Times New Roman" w:hAnsi="Times New Roman" w:eastAsia="Times New Roman" w:cs="Times New Roman"/>
          <w:color w:val="auto"/>
          <w:spacing w:val="-2"/>
          <w:sz w:val="21"/>
          <w:szCs w:val="21"/>
          <w:highlight w:val="none"/>
        </w:rPr>
        <w:t>10</w:t>
      </w:r>
      <w:r>
        <w:rPr>
          <w:rFonts w:ascii="宋体" w:hAnsi="宋体" w:eastAsia="宋体" w:cs="宋体"/>
          <w:color w:val="auto"/>
          <w:spacing w:val="-2"/>
          <w:sz w:val="21"/>
          <w:szCs w:val="21"/>
          <w:highlight w:val="none"/>
        </w:rPr>
        <w:t>人以下的</w:t>
      </w:r>
      <w:r>
        <w:rPr>
          <w:rFonts w:ascii="宋体" w:hAnsi="宋体" w:eastAsia="宋体" w:cs="宋体"/>
          <w:color w:val="auto"/>
          <w:spacing w:val="-3"/>
          <w:sz w:val="21"/>
          <w:szCs w:val="21"/>
          <w:highlight w:val="none"/>
        </w:rPr>
        <w:t>为微型企业。</w:t>
      </w:r>
    </w:p>
    <w:p w14:paraId="2D88DE06">
      <w:pPr>
        <w:spacing w:before="153" w:line="220"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五、企业类型的划分以统计部门的统计数据为依据。</w:t>
      </w:r>
    </w:p>
    <w:p w14:paraId="66A2E2D1">
      <w:pPr>
        <w:spacing w:before="169" w:line="242" w:lineRule="auto"/>
        <w:ind w:left="22" w:right="53" w:firstLine="42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六、本规定适用于在中华人民共和国境内依法设</w:t>
      </w:r>
      <w:r>
        <w:rPr>
          <w:rFonts w:ascii="宋体" w:hAnsi="宋体" w:eastAsia="宋体" w:cs="宋体"/>
          <w:color w:val="auto"/>
          <w:spacing w:val="-2"/>
          <w:sz w:val="21"/>
          <w:szCs w:val="21"/>
          <w:highlight w:val="none"/>
        </w:rPr>
        <w:t>立的各类所有制和各种组织形式的企业。个体</w:t>
      </w:r>
      <w:r>
        <w:rPr>
          <w:rFonts w:ascii="宋体" w:hAnsi="宋体" w:eastAsia="宋体" w:cs="宋体"/>
          <w:color w:val="auto"/>
          <w:spacing w:val="-1"/>
          <w:sz w:val="21"/>
          <w:szCs w:val="21"/>
          <w:highlight w:val="none"/>
        </w:rPr>
        <w:t>工商户和本规定以外的行业，参照本规定进行划型。</w:t>
      </w:r>
    </w:p>
    <w:p w14:paraId="5C8FC6C1">
      <w:pPr>
        <w:spacing w:before="170" w:line="250" w:lineRule="auto"/>
        <w:ind w:left="22" w:right="55" w:firstLine="41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七、本规定的中型企业标准上限即为大型企业标</w:t>
      </w:r>
      <w:r>
        <w:rPr>
          <w:rFonts w:ascii="宋体" w:hAnsi="宋体" w:eastAsia="宋体" w:cs="宋体"/>
          <w:color w:val="auto"/>
          <w:spacing w:val="-2"/>
          <w:sz w:val="21"/>
          <w:szCs w:val="21"/>
          <w:highlight w:val="none"/>
        </w:rPr>
        <w:t>准的下限，国家统计部门据此制定大中小微型</w:t>
      </w:r>
      <w:r>
        <w:rPr>
          <w:rFonts w:ascii="宋体" w:hAnsi="宋体" w:eastAsia="宋体" w:cs="宋体"/>
          <w:color w:val="auto"/>
          <w:spacing w:val="-1"/>
          <w:sz w:val="21"/>
          <w:szCs w:val="21"/>
          <w:highlight w:val="none"/>
        </w:rPr>
        <w:t>企业的统计分类。国务院有关部门据此进行相关数据分析</w:t>
      </w:r>
      <w:r>
        <w:rPr>
          <w:rFonts w:ascii="宋体" w:hAnsi="宋体" w:eastAsia="宋体" w:cs="宋体"/>
          <w:color w:val="auto"/>
          <w:spacing w:val="-2"/>
          <w:sz w:val="21"/>
          <w:szCs w:val="21"/>
          <w:highlight w:val="none"/>
        </w:rPr>
        <w:t>，不得制定与本规定不一致的企业划型标</w:t>
      </w:r>
      <w:r>
        <w:rPr>
          <w:rFonts w:ascii="宋体" w:hAnsi="宋体" w:eastAsia="宋体" w:cs="宋体"/>
          <w:color w:val="auto"/>
          <w:spacing w:val="-10"/>
          <w:sz w:val="21"/>
          <w:szCs w:val="21"/>
          <w:highlight w:val="none"/>
        </w:rPr>
        <w:t>准。</w:t>
      </w:r>
    </w:p>
    <w:p w14:paraId="35A4B3E3">
      <w:pPr>
        <w:spacing w:before="168" w:line="242" w:lineRule="auto"/>
        <w:ind w:left="21" w:right="56" w:firstLine="424"/>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八、本规定由工业和信息化部、国家统计局会同有关部门根据《国民经济行业分类》修订情况和企业发展变化情况适时修订。</w:t>
      </w:r>
    </w:p>
    <w:p w14:paraId="3D4CE68D">
      <w:pPr>
        <w:spacing w:before="169" w:line="220" w:lineRule="auto"/>
        <w:ind w:left="447"/>
        <w:rPr>
          <w:rFonts w:ascii="宋体" w:hAnsi="宋体" w:eastAsia="宋体" w:cs="宋体"/>
          <w:color w:val="auto"/>
          <w:sz w:val="21"/>
          <w:szCs w:val="21"/>
          <w:highlight w:val="none"/>
        </w:rPr>
      </w:pPr>
      <w:r>
        <w:rPr>
          <w:rFonts w:ascii="宋体" w:hAnsi="宋体" w:eastAsia="宋体" w:cs="宋体"/>
          <w:color w:val="auto"/>
          <w:sz w:val="21"/>
          <w:szCs w:val="21"/>
          <w:highlight w:val="none"/>
        </w:rPr>
        <w:t>九、本规定由工业和信息化部、国家统计局会</w:t>
      </w:r>
      <w:r>
        <w:rPr>
          <w:rFonts w:ascii="宋体" w:hAnsi="宋体" w:eastAsia="宋体" w:cs="宋体"/>
          <w:color w:val="auto"/>
          <w:spacing w:val="-1"/>
          <w:sz w:val="21"/>
          <w:szCs w:val="21"/>
          <w:highlight w:val="none"/>
        </w:rPr>
        <w:t>同有关部门负责解释。</w:t>
      </w:r>
    </w:p>
    <w:p w14:paraId="55033EFA">
      <w:pPr>
        <w:spacing w:before="169" w:line="242" w:lineRule="auto"/>
        <w:ind w:left="20" w:right="53" w:firstLine="420"/>
        <w:rPr>
          <w:rFonts w:ascii="宋体" w:hAnsi="宋体" w:eastAsia="宋体" w:cs="宋体"/>
          <w:color w:val="auto"/>
          <w:sz w:val="21"/>
          <w:szCs w:val="21"/>
          <w:highlight w:val="none"/>
        </w:rPr>
      </w:pPr>
      <w:r>
        <w:rPr>
          <w:rFonts w:ascii="宋体" w:hAnsi="宋体" w:eastAsia="宋体" w:cs="宋体"/>
          <w:color w:val="auto"/>
          <w:sz w:val="21"/>
          <w:szCs w:val="21"/>
          <w:highlight w:val="none"/>
        </w:rPr>
        <w:t>十、本规定自发布之日起执行，原国家经贸委、原国家</w:t>
      </w:r>
      <w:r>
        <w:rPr>
          <w:rFonts w:ascii="宋体" w:hAnsi="宋体" w:eastAsia="宋体" w:cs="宋体"/>
          <w:color w:val="auto"/>
          <w:spacing w:val="-1"/>
          <w:sz w:val="21"/>
          <w:szCs w:val="21"/>
          <w:highlight w:val="none"/>
        </w:rPr>
        <w:t>计委、财政部和国家统计局</w:t>
      </w:r>
      <w:r>
        <w:rPr>
          <w:rFonts w:ascii="Times New Roman" w:hAnsi="Times New Roman" w:eastAsia="Times New Roman" w:cs="Times New Roman"/>
          <w:color w:val="auto"/>
          <w:spacing w:val="-1"/>
          <w:sz w:val="21"/>
          <w:szCs w:val="21"/>
          <w:highlight w:val="none"/>
        </w:rPr>
        <w:t>2003</w:t>
      </w:r>
      <w:r>
        <w:rPr>
          <w:rFonts w:ascii="宋体" w:hAnsi="宋体" w:eastAsia="宋体" w:cs="宋体"/>
          <w:color w:val="auto"/>
          <w:spacing w:val="-1"/>
          <w:sz w:val="21"/>
          <w:szCs w:val="21"/>
          <w:highlight w:val="none"/>
        </w:rPr>
        <w:t>年颁布的《中小企业标准暂行规定》同时废止。</w:t>
      </w:r>
    </w:p>
    <w:p w14:paraId="4EBAB407">
      <w:pPr>
        <w:spacing w:line="242" w:lineRule="auto"/>
        <w:rPr>
          <w:rFonts w:ascii="宋体" w:hAnsi="宋体" w:eastAsia="宋体" w:cs="宋体"/>
          <w:color w:val="auto"/>
          <w:sz w:val="21"/>
          <w:szCs w:val="21"/>
          <w:highlight w:val="none"/>
        </w:rPr>
        <w:sectPr>
          <w:footerReference r:id="rId24" w:type="default"/>
          <w:pgSz w:w="11907" w:h="16839"/>
          <w:pgMar w:top="1431" w:right="1072" w:bottom="1154" w:left="1785" w:header="0" w:footer="954" w:gutter="0"/>
          <w:cols w:space="720" w:num="1"/>
        </w:sectPr>
      </w:pPr>
    </w:p>
    <w:p w14:paraId="4622EBF2">
      <w:pPr>
        <w:spacing w:before="87" w:line="223" w:lineRule="auto"/>
        <w:ind w:left="542"/>
        <w:outlineLvl w:val="0"/>
        <w:rPr>
          <w:rFonts w:ascii="宋体" w:hAnsi="宋体" w:eastAsia="宋体" w:cs="宋体"/>
          <w:color w:val="auto"/>
          <w:sz w:val="43"/>
          <w:szCs w:val="43"/>
          <w:highlight w:val="none"/>
        </w:rPr>
      </w:pPr>
      <w:bookmarkStart w:id="8" w:name="bookmark10"/>
      <w:bookmarkEnd w:id="8"/>
      <w:r>
        <w:rPr>
          <w:rFonts w:ascii="宋体" w:hAnsi="宋体" w:eastAsia="宋体" w:cs="宋体"/>
          <w:b/>
          <w:bCs/>
          <w:color w:val="auto"/>
          <w:spacing w:val="5"/>
          <w:sz w:val="43"/>
          <w:szCs w:val="43"/>
          <w:highlight w:val="none"/>
        </w:rPr>
        <w:t>第四章评审程序、评审方法和评审标准</w:t>
      </w:r>
    </w:p>
    <w:p w14:paraId="11A8343A">
      <w:pPr>
        <w:pStyle w:val="4"/>
        <w:spacing w:line="264" w:lineRule="auto"/>
        <w:rPr>
          <w:color w:val="auto"/>
          <w:highlight w:val="none"/>
        </w:rPr>
      </w:pPr>
    </w:p>
    <w:p w14:paraId="0A5BBBC2">
      <w:pPr>
        <w:pStyle w:val="4"/>
        <w:spacing w:line="264" w:lineRule="auto"/>
        <w:rPr>
          <w:color w:val="auto"/>
          <w:highlight w:val="none"/>
        </w:rPr>
      </w:pPr>
    </w:p>
    <w:p w14:paraId="7F952E1B">
      <w:pPr>
        <w:pStyle w:val="4"/>
        <w:spacing w:line="265" w:lineRule="auto"/>
        <w:rPr>
          <w:color w:val="auto"/>
          <w:highlight w:val="none"/>
        </w:rPr>
      </w:pPr>
    </w:p>
    <w:p w14:paraId="49DDDB52">
      <w:pPr>
        <w:pStyle w:val="4"/>
        <w:spacing w:line="265" w:lineRule="auto"/>
        <w:rPr>
          <w:color w:val="auto"/>
          <w:highlight w:val="none"/>
        </w:rPr>
      </w:pPr>
    </w:p>
    <w:p w14:paraId="7CDD86E7">
      <w:pPr>
        <w:spacing w:before="101" w:line="226" w:lineRule="auto"/>
        <w:ind w:left="2751"/>
        <w:rPr>
          <w:rFonts w:ascii="宋体" w:hAnsi="宋体" w:eastAsia="宋体" w:cs="宋体"/>
          <w:color w:val="auto"/>
          <w:sz w:val="31"/>
          <w:szCs w:val="31"/>
          <w:highlight w:val="none"/>
        </w:rPr>
      </w:pPr>
      <w:r>
        <w:rPr>
          <w:rFonts w:ascii="宋体" w:hAnsi="宋体" w:eastAsia="宋体" w:cs="宋体"/>
          <w:b/>
          <w:bCs/>
          <w:color w:val="auto"/>
          <w:spacing w:val="5"/>
          <w:sz w:val="31"/>
          <w:szCs w:val="31"/>
          <w:highlight w:val="none"/>
        </w:rPr>
        <w:t>一、评审程序和评审方法</w:t>
      </w:r>
    </w:p>
    <w:p w14:paraId="14CA3714">
      <w:pPr>
        <w:spacing w:before="231" w:line="219" w:lineRule="auto"/>
        <w:ind w:left="517"/>
        <w:rPr>
          <w:rFonts w:ascii="黑体" w:hAnsi="黑体" w:eastAsia="黑体" w:cs="黑体"/>
          <w:color w:val="auto"/>
          <w:sz w:val="24"/>
          <w:szCs w:val="24"/>
          <w:highlight w:val="none"/>
        </w:rPr>
      </w:pPr>
      <w:r>
        <w:rPr>
          <w:rFonts w:ascii="黑体" w:hAnsi="黑体" w:eastAsia="黑体" w:cs="黑体"/>
          <w:b/>
          <w:bCs/>
          <w:color w:val="auto"/>
          <w:spacing w:val="-6"/>
          <w:sz w:val="24"/>
          <w:szCs w:val="24"/>
          <w:highlight w:val="none"/>
        </w:rPr>
        <w:t>1.资格审查</w:t>
      </w:r>
    </w:p>
    <w:p w14:paraId="52523AF6">
      <w:pPr>
        <w:spacing w:before="176" w:line="220" w:lineRule="auto"/>
        <w:ind w:left="45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1.1响应文件开启后，磋商小组依法对供应商的资格证明文件</w:t>
      </w:r>
      <w:r>
        <w:rPr>
          <w:rFonts w:ascii="宋体" w:hAnsi="宋体" w:eastAsia="宋体" w:cs="宋体"/>
          <w:color w:val="auto"/>
          <w:spacing w:val="-2"/>
          <w:sz w:val="21"/>
          <w:szCs w:val="21"/>
          <w:highlight w:val="none"/>
        </w:rPr>
        <w:t>进行审查。</w:t>
      </w:r>
    </w:p>
    <w:p w14:paraId="27F1AAD1">
      <w:pPr>
        <w:spacing w:before="157" w:line="220" w:lineRule="auto"/>
        <w:ind w:left="440"/>
        <w:rPr>
          <w:rFonts w:ascii="宋体" w:hAnsi="宋体" w:eastAsia="宋体" w:cs="宋体"/>
          <w:color w:val="auto"/>
          <w:sz w:val="21"/>
          <w:szCs w:val="21"/>
          <w:highlight w:val="none"/>
        </w:rPr>
      </w:pPr>
      <w:r>
        <w:rPr>
          <w:rFonts w:ascii="宋体" w:hAnsi="宋体" w:eastAsia="宋体" w:cs="宋体"/>
          <w:color w:val="auto"/>
          <w:sz w:val="21"/>
          <w:szCs w:val="21"/>
          <w:highlight w:val="none"/>
        </w:rPr>
        <w:t>注：磋商小组在资格审查结束前，对供应商进行信用</w:t>
      </w:r>
      <w:r>
        <w:rPr>
          <w:rFonts w:ascii="宋体" w:hAnsi="宋体" w:eastAsia="宋体" w:cs="宋体"/>
          <w:color w:val="auto"/>
          <w:spacing w:val="-1"/>
          <w:sz w:val="21"/>
          <w:szCs w:val="21"/>
          <w:highlight w:val="none"/>
        </w:rPr>
        <w:t>查询。</w:t>
      </w:r>
    </w:p>
    <w:p w14:paraId="0F14DECA">
      <w:pPr>
        <w:spacing w:before="158" w:line="288" w:lineRule="auto"/>
        <w:ind w:left="57" w:right="25" w:firstLine="389"/>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（1）查询渠道：“信用中国”网站(</w:t>
      </w:r>
      <w:r>
        <w:rPr>
          <w:color w:val="auto"/>
          <w:highlight w:val="none"/>
        </w:rPr>
        <w:fldChar w:fldCharType="begin"/>
      </w:r>
      <w:r>
        <w:rPr>
          <w:color w:val="auto"/>
          <w:highlight w:val="none"/>
        </w:rPr>
        <w:instrText xml:space="preserve"> HYPERLINK "https://www.creditchina.gov.cn" </w:instrText>
      </w:r>
      <w:r>
        <w:rPr>
          <w:color w:val="auto"/>
          <w:highlight w:val="none"/>
        </w:rPr>
        <w:fldChar w:fldCharType="separate"/>
      </w:r>
      <w:r>
        <w:rPr>
          <w:rFonts w:ascii="宋体" w:hAnsi="宋体" w:eastAsia="宋体" w:cs="宋体"/>
          <w:color w:val="auto"/>
          <w:spacing w:val="-5"/>
          <w:sz w:val="21"/>
          <w:szCs w:val="21"/>
          <w:highlight w:val="none"/>
        </w:rPr>
        <w:t>www.creditchina.gov.cn</w:t>
      </w:r>
      <w:r>
        <w:rPr>
          <w:rFonts w:ascii="宋体" w:hAnsi="宋体" w:eastAsia="宋体" w:cs="宋体"/>
          <w:color w:val="auto"/>
          <w:spacing w:val="-5"/>
          <w:sz w:val="21"/>
          <w:szCs w:val="21"/>
          <w:highlight w:val="none"/>
        </w:rPr>
        <w:fldChar w:fldCharType="end"/>
      </w:r>
      <w:r>
        <w:rPr>
          <w:rFonts w:ascii="宋体" w:hAnsi="宋体" w:eastAsia="宋体" w:cs="宋体"/>
          <w:color w:val="auto"/>
          <w:spacing w:val="-5"/>
          <w:sz w:val="21"/>
          <w:szCs w:val="21"/>
          <w:highlight w:val="none"/>
        </w:rPr>
        <w:t>)、中国政府采购网</w:t>
      </w:r>
      <w:r>
        <w:rPr>
          <w:rFonts w:ascii="宋体" w:hAnsi="宋体" w:eastAsia="宋体" w:cs="宋体"/>
          <w:color w:val="auto"/>
          <w:spacing w:val="-3"/>
          <w:sz w:val="21"/>
          <w:szCs w:val="21"/>
          <w:highlight w:val="none"/>
        </w:rPr>
        <w:t>(</w:t>
      </w:r>
      <w:r>
        <w:rPr>
          <w:color w:val="auto"/>
          <w:highlight w:val="none"/>
        </w:rPr>
        <w:fldChar w:fldCharType="begin"/>
      </w:r>
      <w:r>
        <w:rPr>
          <w:color w:val="auto"/>
          <w:highlight w:val="none"/>
        </w:rPr>
        <w:instrText xml:space="preserve"> HYPERLINK "https://www.ccgp.gov.cn)。" </w:instrText>
      </w:r>
      <w:r>
        <w:rPr>
          <w:color w:val="auto"/>
          <w:highlight w:val="none"/>
        </w:rPr>
        <w:fldChar w:fldCharType="separate"/>
      </w:r>
      <w:r>
        <w:rPr>
          <w:rFonts w:ascii="宋体" w:hAnsi="宋体" w:eastAsia="宋体" w:cs="宋体"/>
          <w:color w:val="auto"/>
          <w:spacing w:val="-3"/>
          <w:sz w:val="21"/>
          <w:szCs w:val="21"/>
          <w:highlight w:val="none"/>
        </w:rPr>
        <w:t>www.ccgp.gov.cn)。</w:t>
      </w:r>
      <w:r>
        <w:rPr>
          <w:rFonts w:ascii="宋体" w:hAnsi="宋体" w:eastAsia="宋体" w:cs="宋体"/>
          <w:color w:val="auto"/>
          <w:spacing w:val="-3"/>
          <w:sz w:val="21"/>
          <w:szCs w:val="21"/>
          <w:highlight w:val="none"/>
        </w:rPr>
        <w:fldChar w:fldCharType="end"/>
      </w:r>
    </w:p>
    <w:p w14:paraId="2BDCA5F5">
      <w:pPr>
        <w:spacing w:before="163"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（2）信用查询截止时点：资格审查结束前。</w:t>
      </w:r>
    </w:p>
    <w:p w14:paraId="6BC5FFD6">
      <w:pPr>
        <w:spacing w:before="156" w:line="290" w:lineRule="auto"/>
        <w:ind w:left="21" w:right="11" w:firstLine="42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（3）查询记录和证据留存方式：在查询网站中直接查询，截图另</w:t>
      </w:r>
      <w:r>
        <w:rPr>
          <w:rFonts w:ascii="宋体" w:hAnsi="宋体" w:eastAsia="宋体" w:cs="宋体"/>
          <w:color w:val="auto"/>
          <w:sz w:val="21"/>
          <w:szCs w:val="21"/>
          <w:highlight w:val="none"/>
        </w:rPr>
        <w:t>存为电子文档作为评审资料</w:t>
      </w:r>
      <w:r>
        <w:rPr>
          <w:rFonts w:ascii="宋体" w:hAnsi="宋体" w:eastAsia="宋体" w:cs="宋体"/>
          <w:color w:val="auto"/>
          <w:spacing w:val="-9"/>
          <w:sz w:val="21"/>
          <w:szCs w:val="21"/>
          <w:highlight w:val="none"/>
        </w:rPr>
        <w:t>保存。</w:t>
      </w:r>
    </w:p>
    <w:p w14:paraId="365238F7">
      <w:pPr>
        <w:spacing w:before="157" w:line="342" w:lineRule="auto"/>
        <w:ind w:left="18" w:firstLine="42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（4）信用信息使用规则：对在“信用中国”网站（</w:t>
      </w:r>
      <w:r>
        <w:rPr>
          <w:color w:val="auto"/>
          <w:highlight w:val="none"/>
        </w:rPr>
        <w:fldChar w:fldCharType="begin"/>
      </w:r>
      <w:r>
        <w:rPr>
          <w:color w:val="auto"/>
          <w:highlight w:val="none"/>
        </w:rPr>
        <w:instrText xml:space="preserve"> HYPERLINK "https://www.creditchina.gov.cn" </w:instrText>
      </w:r>
      <w:r>
        <w:rPr>
          <w:color w:val="auto"/>
          <w:highlight w:val="none"/>
        </w:rPr>
        <w:fldChar w:fldCharType="separate"/>
      </w:r>
      <w:r>
        <w:rPr>
          <w:rFonts w:ascii="宋体" w:hAnsi="宋体" w:eastAsia="宋体" w:cs="宋体"/>
          <w:color w:val="auto"/>
          <w:spacing w:val="-1"/>
          <w:sz w:val="21"/>
          <w:szCs w:val="21"/>
          <w:highlight w:val="none"/>
        </w:rPr>
        <w:t>www.creditchina.gov</w:t>
      </w:r>
      <w:r>
        <w:rPr>
          <w:rFonts w:ascii="宋体" w:hAnsi="宋体" w:eastAsia="宋体" w:cs="宋体"/>
          <w:color w:val="auto"/>
          <w:spacing w:val="-2"/>
          <w:sz w:val="21"/>
          <w:szCs w:val="21"/>
          <w:highlight w:val="none"/>
        </w:rPr>
        <w:t>.cn</w:t>
      </w:r>
      <w:r>
        <w:rPr>
          <w:rFonts w:ascii="宋体" w:hAnsi="宋体" w:eastAsia="宋体" w:cs="宋体"/>
          <w:color w:val="auto"/>
          <w:spacing w:val="-2"/>
          <w:sz w:val="21"/>
          <w:szCs w:val="21"/>
          <w:highlight w:val="none"/>
        </w:rPr>
        <w:fldChar w:fldCharType="end"/>
      </w:r>
      <w:r>
        <w:rPr>
          <w:rFonts w:ascii="宋体" w:hAnsi="宋体" w:eastAsia="宋体" w:cs="宋体"/>
          <w:color w:val="auto"/>
          <w:spacing w:val="-2"/>
          <w:sz w:val="21"/>
          <w:szCs w:val="21"/>
          <w:highlight w:val="none"/>
        </w:rPr>
        <w:t>）、中国政府采</w:t>
      </w:r>
      <w:r>
        <w:rPr>
          <w:rFonts w:ascii="宋体" w:hAnsi="宋体" w:eastAsia="宋体" w:cs="宋体"/>
          <w:color w:val="auto"/>
          <w:spacing w:val="1"/>
          <w:sz w:val="21"/>
          <w:szCs w:val="21"/>
          <w:highlight w:val="none"/>
        </w:rPr>
        <w:t>购网（</w:t>
      </w:r>
      <w:r>
        <w:rPr>
          <w:color w:val="auto"/>
          <w:highlight w:val="none"/>
        </w:rPr>
        <w:fldChar w:fldCharType="begin"/>
      </w:r>
      <w:r>
        <w:rPr>
          <w:color w:val="auto"/>
          <w:highlight w:val="none"/>
        </w:rPr>
        <w:instrText xml:space="preserve"> HYPERLINK "https://www.ccgp.gov.cn" </w:instrText>
      </w:r>
      <w:r>
        <w:rPr>
          <w:color w:val="auto"/>
          <w:highlight w:val="none"/>
        </w:rPr>
        <w:fldChar w:fldCharType="separate"/>
      </w:r>
      <w:r>
        <w:rPr>
          <w:rFonts w:ascii="宋体" w:hAnsi="宋体" w:eastAsia="宋体" w:cs="宋体"/>
          <w:color w:val="auto"/>
          <w:sz w:val="21"/>
          <w:szCs w:val="21"/>
          <w:highlight w:val="none"/>
        </w:rPr>
        <w:t>www</w:t>
      </w:r>
      <w:r>
        <w:rPr>
          <w:rFonts w:ascii="宋体" w:hAnsi="宋体" w:eastAsia="宋体" w:cs="宋体"/>
          <w:color w:val="auto"/>
          <w:spacing w:val="1"/>
          <w:sz w:val="21"/>
          <w:szCs w:val="21"/>
          <w:highlight w:val="none"/>
        </w:rPr>
        <w:t>.</w:t>
      </w:r>
      <w:r>
        <w:rPr>
          <w:rFonts w:ascii="宋体" w:hAnsi="宋体" w:eastAsia="宋体" w:cs="宋体"/>
          <w:color w:val="auto"/>
          <w:sz w:val="21"/>
          <w:szCs w:val="21"/>
          <w:highlight w:val="none"/>
        </w:rPr>
        <w:t>ccgp</w:t>
      </w:r>
      <w:r>
        <w:rPr>
          <w:rFonts w:ascii="宋体" w:hAnsi="宋体" w:eastAsia="宋体" w:cs="宋体"/>
          <w:color w:val="auto"/>
          <w:spacing w:val="1"/>
          <w:sz w:val="21"/>
          <w:szCs w:val="21"/>
          <w:highlight w:val="none"/>
        </w:rPr>
        <w:t>.</w:t>
      </w:r>
      <w:r>
        <w:rPr>
          <w:rFonts w:ascii="宋体" w:hAnsi="宋体" w:eastAsia="宋体" w:cs="宋体"/>
          <w:color w:val="auto"/>
          <w:sz w:val="21"/>
          <w:szCs w:val="21"/>
          <w:highlight w:val="none"/>
        </w:rPr>
        <w:t>gov</w:t>
      </w:r>
      <w:r>
        <w:rPr>
          <w:rFonts w:ascii="宋体" w:hAnsi="宋体" w:eastAsia="宋体" w:cs="宋体"/>
          <w:color w:val="auto"/>
          <w:spacing w:val="1"/>
          <w:sz w:val="21"/>
          <w:szCs w:val="21"/>
          <w:highlight w:val="none"/>
        </w:rPr>
        <w:t>.</w:t>
      </w:r>
      <w:r>
        <w:rPr>
          <w:rFonts w:ascii="宋体" w:hAnsi="宋体" w:eastAsia="宋体" w:cs="宋体"/>
          <w:color w:val="auto"/>
          <w:sz w:val="21"/>
          <w:szCs w:val="21"/>
          <w:highlight w:val="none"/>
        </w:rPr>
        <w:t>cn</w:t>
      </w:r>
      <w:r>
        <w:rPr>
          <w:rFonts w:ascii="宋体" w:hAnsi="宋体" w:eastAsia="宋体" w:cs="宋体"/>
          <w:color w:val="auto"/>
          <w:sz w:val="21"/>
          <w:szCs w:val="21"/>
          <w:highlight w:val="none"/>
        </w:rPr>
        <w:fldChar w:fldCharType="end"/>
      </w:r>
      <w:r>
        <w:rPr>
          <w:rFonts w:ascii="宋体" w:hAnsi="宋体" w:eastAsia="宋体" w:cs="宋体"/>
          <w:color w:val="auto"/>
          <w:spacing w:val="1"/>
          <w:sz w:val="21"/>
          <w:szCs w:val="21"/>
          <w:highlight w:val="none"/>
        </w:rPr>
        <w:t>）被列入失信被执行人、重大税收违法失信主体、政府采购严重违法失信</w:t>
      </w:r>
      <w:r>
        <w:rPr>
          <w:rFonts w:ascii="宋体" w:hAnsi="宋体" w:eastAsia="宋体" w:cs="宋体"/>
          <w:color w:val="auto"/>
          <w:spacing w:val="-1"/>
          <w:sz w:val="21"/>
          <w:szCs w:val="21"/>
          <w:highlight w:val="none"/>
        </w:rPr>
        <w:t>行为记录名单及其他不符合《中华人民共和国政府采购法》第二十二</w:t>
      </w:r>
      <w:r>
        <w:rPr>
          <w:rFonts w:ascii="宋体" w:hAnsi="宋体" w:eastAsia="宋体" w:cs="宋体"/>
          <w:color w:val="auto"/>
          <w:spacing w:val="-2"/>
          <w:sz w:val="21"/>
          <w:szCs w:val="21"/>
          <w:highlight w:val="none"/>
        </w:rPr>
        <w:t>条规定条件的供应商，资格审</w:t>
      </w:r>
      <w:r>
        <w:rPr>
          <w:rFonts w:ascii="宋体" w:hAnsi="宋体" w:eastAsia="宋体" w:cs="宋体"/>
          <w:color w:val="auto"/>
          <w:spacing w:val="-1"/>
          <w:sz w:val="21"/>
          <w:szCs w:val="21"/>
          <w:highlight w:val="none"/>
        </w:rPr>
        <w:t>查不通过，不得参与政府采购活动。两个以上的自然人、法人或</w:t>
      </w:r>
      <w:r>
        <w:rPr>
          <w:rFonts w:ascii="宋体" w:hAnsi="宋体" w:eastAsia="宋体" w:cs="宋体"/>
          <w:color w:val="auto"/>
          <w:spacing w:val="-2"/>
          <w:sz w:val="21"/>
          <w:szCs w:val="21"/>
          <w:highlight w:val="none"/>
        </w:rPr>
        <w:t>者其他组织组成一个联合体，以一</w:t>
      </w:r>
      <w:r>
        <w:rPr>
          <w:rFonts w:ascii="宋体" w:hAnsi="宋体" w:eastAsia="宋体" w:cs="宋体"/>
          <w:color w:val="auto"/>
          <w:spacing w:val="-1"/>
          <w:sz w:val="21"/>
          <w:szCs w:val="21"/>
          <w:highlight w:val="none"/>
        </w:rPr>
        <w:t>个供应商的身份共同参加政府采购活动的，应当对所有联合体成员进</w:t>
      </w:r>
      <w:r>
        <w:rPr>
          <w:rFonts w:ascii="宋体" w:hAnsi="宋体" w:eastAsia="宋体" w:cs="宋体"/>
          <w:color w:val="auto"/>
          <w:spacing w:val="-2"/>
          <w:sz w:val="21"/>
          <w:szCs w:val="21"/>
          <w:highlight w:val="none"/>
        </w:rPr>
        <w:t>行信用记录查询，联合体成员</w:t>
      </w:r>
      <w:r>
        <w:rPr>
          <w:rFonts w:ascii="宋体" w:hAnsi="宋体" w:eastAsia="宋体" w:cs="宋体"/>
          <w:color w:val="auto"/>
          <w:spacing w:val="-1"/>
          <w:sz w:val="21"/>
          <w:szCs w:val="21"/>
          <w:highlight w:val="none"/>
        </w:rPr>
        <w:t>存在不良信用记录（被列入失信被执行人、重大税收违法失信主</w:t>
      </w:r>
      <w:r>
        <w:rPr>
          <w:rFonts w:ascii="宋体" w:hAnsi="宋体" w:eastAsia="宋体" w:cs="宋体"/>
          <w:color w:val="auto"/>
          <w:spacing w:val="-2"/>
          <w:sz w:val="21"/>
          <w:szCs w:val="21"/>
          <w:highlight w:val="none"/>
        </w:rPr>
        <w:t>体、政府采购严重违法失信行为记</w:t>
      </w:r>
      <w:r>
        <w:rPr>
          <w:rFonts w:ascii="宋体" w:hAnsi="宋体" w:eastAsia="宋体" w:cs="宋体"/>
          <w:color w:val="auto"/>
          <w:spacing w:val="-1"/>
          <w:sz w:val="21"/>
          <w:szCs w:val="21"/>
          <w:highlight w:val="none"/>
        </w:rPr>
        <w:t>录名单及其他不符合《中华人民共和国政府采购法》第二十二条规定</w:t>
      </w:r>
      <w:r>
        <w:rPr>
          <w:rFonts w:ascii="宋体" w:hAnsi="宋体" w:eastAsia="宋体" w:cs="宋体"/>
          <w:color w:val="auto"/>
          <w:spacing w:val="-2"/>
          <w:sz w:val="21"/>
          <w:szCs w:val="21"/>
          <w:highlight w:val="none"/>
        </w:rPr>
        <w:t>条件的供应商）的，视同联合</w:t>
      </w:r>
      <w:r>
        <w:rPr>
          <w:rFonts w:ascii="宋体" w:hAnsi="宋体" w:eastAsia="宋体" w:cs="宋体"/>
          <w:color w:val="auto"/>
          <w:spacing w:val="-1"/>
          <w:sz w:val="21"/>
          <w:szCs w:val="21"/>
          <w:highlight w:val="none"/>
        </w:rPr>
        <w:t>体存在不良信用记录。</w:t>
      </w:r>
    </w:p>
    <w:p w14:paraId="79B3443F">
      <w:pPr>
        <w:spacing w:before="158" w:line="289" w:lineRule="auto"/>
        <w:ind w:left="21" w:firstLine="43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1.2资格审查标准为本磋商文件中载明对供应商资格要求的条件。资格审查采用合格制，凡符</w:t>
      </w:r>
      <w:r>
        <w:rPr>
          <w:rFonts w:ascii="宋体" w:hAnsi="宋体" w:eastAsia="宋体" w:cs="宋体"/>
          <w:color w:val="auto"/>
          <w:sz w:val="21"/>
          <w:szCs w:val="21"/>
          <w:highlight w:val="none"/>
        </w:rPr>
        <w:t>合磋商文件规定的供应商资格要求的响应文件均通过资</w:t>
      </w:r>
      <w:r>
        <w:rPr>
          <w:rFonts w:ascii="宋体" w:hAnsi="宋体" w:eastAsia="宋体" w:cs="宋体"/>
          <w:color w:val="auto"/>
          <w:spacing w:val="-1"/>
          <w:sz w:val="21"/>
          <w:szCs w:val="21"/>
          <w:highlight w:val="none"/>
        </w:rPr>
        <w:t>格审查。</w:t>
      </w:r>
    </w:p>
    <w:p w14:paraId="7DB07BFB">
      <w:pPr>
        <w:spacing w:before="160" w:line="220" w:lineRule="auto"/>
        <w:ind w:left="45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1.3供应商有下列情形之一的，资格审查不</w:t>
      </w:r>
      <w:r>
        <w:rPr>
          <w:rFonts w:ascii="宋体" w:hAnsi="宋体" w:eastAsia="宋体" w:cs="宋体"/>
          <w:color w:val="auto"/>
          <w:spacing w:val="-2"/>
          <w:sz w:val="21"/>
          <w:szCs w:val="21"/>
          <w:highlight w:val="none"/>
        </w:rPr>
        <w:t>通过，其响应文件按无效响应处理：</w:t>
      </w:r>
    </w:p>
    <w:p w14:paraId="7DC3D937">
      <w:pPr>
        <w:spacing w:before="158"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（1）不具备磋商文件中规定的资格要求的；</w:t>
      </w:r>
    </w:p>
    <w:p w14:paraId="75246359">
      <w:pPr>
        <w:spacing w:before="157" w:line="220"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（2）未按磋商文件规定的方式获取本磋商文件的供应商；</w:t>
      </w:r>
    </w:p>
    <w:p w14:paraId="3FFB3CBB">
      <w:pPr>
        <w:spacing w:before="158" w:line="290" w:lineRule="auto"/>
        <w:ind w:left="21" w:right="4" w:firstLine="42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（3）响应文件的资格证明文件缺少任一项“供应商须知前附表”资格证明文件规定</w:t>
      </w:r>
      <w:r>
        <w:rPr>
          <w:rFonts w:ascii="宋体" w:hAnsi="宋体" w:eastAsia="宋体" w:cs="宋体"/>
          <w:color w:val="auto"/>
          <w:sz w:val="21"/>
          <w:szCs w:val="21"/>
          <w:highlight w:val="none"/>
        </w:rPr>
        <w:t>的“必须</w:t>
      </w:r>
      <w:r>
        <w:rPr>
          <w:rFonts w:ascii="宋体" w:hAnsi="宋体" w:eastAsia="宋体" w:cs="宋体"/>
          <w:color w:val="auto"/>
          <w:spacing w:val="-1"/>
          <w:sz w:val="21"/>
          <w:szCs w:val="21"/>
          <w:highlight w:val="none"/>
        </w:rPr>
        <w:t>提供”的文件资料的；</w:t>
      </w:r>
    </w:p>
    <w:p w14:paraId="2D984EFA">
      <w:pPr>
        <w:spacing w:before="159" w:line="289" w:lineRule="auto"/>
        <w:ind w:left="37" w:right="4" w:firstLine="408"/>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（4）响应文件中的资格证明文件出现任一项不符合“供应商须知前附表”资格证明</w:t>
      </w:r>
      <w:r>
        <w:rPr>
          <w:rFonts w:ascii="宋体" w:hAnsi="宋体" w:eastAsia="宋体" w:cs="宋体"/>
          <w:color w:val="auto"/>
          <w:sz w:val="21"/>
          <w:szCs w:val="21"/>
          <w:highlight w:val="none"/>
        </w:rPr>
        <w:t>文件规定</w:t>
      </w:r>
      <w:r>
        <w:rPr>
          <w:rFonts w:ascii="宋体" w:hAnsi="宋体" w:eastAsia="宋体" w:cs="宋体"/>
          <w:color w:val="auto"/>
          <w:spacing w:val="-3"/>
          <w:sz w:val="21"/>
          <w:szCs w:val="21"/>
          <w:highlight w:val="none"/>
        </w:rPr>
        <w:t>的“必须提供”的文件资料要求或者无效的；</w:t>
      </w:r>
    </w:p>
    <w:p w14:paraId="74E538DA">
      <w:pPr>
        <w:spacing w:before="159" w:line="313" w:lineRule="auto"/>
        <w:ind w:left="21" w:right="2" w:firstLine="42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（5）同一合同项下的不同供应商，单位负责人为同一人或者存在直接控股、管理关</w:t>
      </w:r>
      <w:r>
        <w:rPr>
          <w:rFonts w:ascii="宋体" w:hAnsi="宋体" w:eastAsia="宋体" w:cs="宋体"/>
          <w:color w:val="auto"/>
          <w:sz w:val="21"/>
          <w:szCs w:val="21"/>
          <w:highlight w:val="none"/>
        </w:rPr>
        <w:t>系的；为</w:t>
      </w:r>
      <w:r>
        <w:rPr>
          <w:rFonts w:ascii="宋体" w:hAnsi="宋体" w:eastAsia="宋体" w:cs="宋体"/>
          <w:color w:val="auto"/>
          <w:spacing w:val="-1"/>
          <w:sz w:val="21"/>
          <w:szCs w:val="21"/>
          <w:highlight w:val="none"/>
        </w:rPr>
        <w:t>本项目提供过整体设计、规范编制或者项目管理、监理、</w:t>
      </w:r>
      <w:r>
        <w:rPr>
          <w:rFonts w:ascii="宋体" w:hAnsi="宋体" w:eastAsia="宋体" w:cs="宋体"/>
          <w:color w:val="auto"/>
          <w:spacing w:val="-2"/>
          <w:sz w:val="21"/>
          <w:szCs w:val="21"/>
          <w:highlight w:val="none"/>
        </w:rPr>
        <w:t>检测等服务的供应商，再参加该采购项目</w:t>
      </w:r>
      <w:r>
        <w:rPr>
          <w:rFonts w:ascii="宋体" w:hAnsi="宋体" w:eastAsia="宋体" w:cs="宋体"/>
          <w:color w:val="auto"/>
          <w:spacing w:val="-3"/>
          <w:sz w:val="21"/>
          <w:szCs w:val="21"/>
          <w:highlight w:val="none"/>
        </w:rPr>
        <w:t>的其他采购活动的。</w:t>
      </w:r>
    </w:p>
    <w:p w14:paraId="3BE26721">
      <w:pPr>
        <w:spacing w:line="313" w:lineRule="auto"/>
        <w:rPr>
          <w:rFonts w:ascii="宋体" w:hAnsi="宋体" w:eastAsia="宋体" w:cs="宋体"/>
          <w:color w:val="auto"/>
          <w:sz w:val="21"/>
          <w:szCs w:val="21"/>
          <w:highlight w:val="none"/>
        </w:rPr>
        <w:sectPr>
          <w:footerReference r:id="rId25" w:type="default"/>
          <w:pgSz w:w="11907" w:h="16839"/>
          <w:pgMar w:top="1418" w:right="1125" w:bottom="1154" w:left="1785" w:header="0" w:footer="954" w:gutter="0"/>
          <w:cols w:space="720" w:num="1"/>
        </w:sectPr>
      </w:pPr>
    </w:p>
    <w:p w14:paraId="6BB28EB1">
      <w:pPr>
        <w:spacing w:before="41" w:line="361" w:lineRule="auto"/>
        <w:ind w:left="19" w:right="26" w:firstLine="43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1.4通过资格审查的合格供应商不足3家的，不得进入符合性审</w:t>
      </w:r>
      <w:r>
        <w:rPr>
          <w:rFonts w:ascii="宋体" w:hAnsi="宋体" w:eastAsia="宋体" w:cs="宋体"/>
          <w:color w:val="auto"/>
          <w:spacing w:val="-2"/>
          <w:sz w:val="21"/>
          <w:szCs w:val="21"/>
          <w:highlight w:val="none"/>
        </w:rPr>
        <w:t>查环节，采购人或者采购代理机构应当重新开展采购活动。</w:t>
      </w:r>
    </w:p>
    <w:p w14:paraId="324B6B7B">
      <w:pPr>
        <w:spacing w:before="2" w:line="219" w:lineRule="auto"/>
        <w:ind w:left="505"/>
        <w:rPr>
          <w:rFonts w:ascii="黑体" w:hAnsi="黑体" w:eastAsia="黑体" w:cs="黑体"/>
          <w:color w:val="auto"/>
          <w:sz w:val="24"/>
          <w:szCs w:val="24"/>
          <w:highlight w:val="none"/>
        </w:rPr>
      </w:pPr>
      <w:r>
        <w:rPr>
          <w:rFonts w:ascii="黑体" w:hAnsi="黑体" w:eastAsia="黑体" w:cs="黑体"/>
          <w:b/>
          <w:bCs/>
          <w:color w:val="auto"/>
          <w:spacing w:val="-4"/>
          <w:sz w:val="24"/>
          <w:szCs w:val="24"/>
          <w:highlight w:val="none"/>
        </w:rPr>
        <w:t>2.符合性审查</w:t>
      </w:r>
    </w:p>
    <w:p w14:paraId="612E74E9">
      <w:pPr>
        <w:spacing w:before="176" w:line="290" w:lineRule="auto"/>
        <w:ind w:left="22" w:right="24" w:firstLine="4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2.1由磋商小组对通过资格审查的合格供应商的响应文件的竞标报价、商务、技术等实质性要</w:t>
      </w:r>
      <w:r>
        <w:rPr>
          <w:rFonts w:ascii="宋体" w:hAnsi="宋体" w:eastAsia="宋体" w:cs="宋体"/>
          <w:color w:val="auto"/>
          <w:sz w:val="21"/>
          <w:szCs w:val="21"/>
          <w:highlight w:val="none"/>
        </w:rPr>
        <w:t>求进行符合性审查，以确定其是否满足磋商文件的实</w:t>
      </w:r>
      <w:r>
        <w:rPr>
          <w:rFonts w:ascii="宋体" w:hAnsi="宋体" w:eastAsia="宋体" w:cs="宋体"/>
          <w:color w:val="auto"/>
          <w:spacing w:val="-1"/>
          <w:sz w:val="21"/>
          <w:szCs w:val="21"/>
          <w:highlight w:val="none"/>
        </w:rPr>
        <w:t>质性要求。</w:t>
      </w:r>
    </w:p>
    <w:p w14:paraId="1F7E8B72">
      <w:pPr>
        <w:spacing w:before="158" w:line="313" w:lineRule="auto"/>
        <w:ind w:left="20" w:right="23" w:firstLine="42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2.2磋商小组在对响应文件进行符合性审查时，可以要求供应商对响应文件中含义不明确、同类问题表述不一致或者有明显文字和计算错误的内容等作出必要的</w:t>
      </w:r>
      <w:r>
        <w:rPr>
          <w:rFonts w:ascii="宋体" w:hAnsi="宋体" w:eastAsia="宋体" w:cs="宋体"/>
          <w:color w:val="auto"/>
          <w:spacing w:val="-2"/>
          <w:sz w:val="21"/>
          <w:szCs w:val="21"/>
          <w:highlight w:val="none"/>
        </w:rPr>
        <w:t>澄清、说明或者更正。供应商的</w:t>
      </w:r>
      <w:r>
        <w:rPr>
          <w:rFonts w:ascii="宋体" w:hAnsi="宋体" w:eastAsia="宋体" w:cs="宋体"/>
          <w:color w:val="auto"/>
          <w:spacing w:val="-1"/>
          <w:sz w:val="21"/>
          <w:szCs w:val="21"/>
          <w:highlight w:val="none"/>
        </w:rPr>
        <w:t>澄清、说明或者更正不得超出响应文件的范围或者改变响应文件的实质性内容。</w:t>
      </w:r>
    </w:p>
    <w:p w14:paraId="6C945080">
      <w:pPr>
        <w:spacing w:before="155" w:line="325" w:lineRule="auto"/>
        <w:ind w:left="19" w:right="24" w:firstLine="423"/>
        <w:rPr>
          <w:rFonts w:ascii="宋体" w:hAnsi="宋体" w:eastAsia="宋体" w:cs="宋体"/>
          <w:color w:val="auto"/>
          <w:sz w:val="21"/>
          <w:szCs w:val="21"/>
          <w:highlight w:val="none"/>
        </w:rPr>
      </w:pPr>
      <w:r>
        <w:rPr>
          <w:rFonts w:ascii="宋体" w:hAnsi="宋体" w:eastAsia="宋体" w:cs="宋体"/>
          <w:color w:val="auto"/>
          <w:sz w:val="21"/>
          <w:szCs w:val="21"/>
          <w:highlight w:val="none"/>
        </w:rPr>
        <w:t>2.3磋商小组要求供应商澄清、说明或者更正响应文件应当</w:t>
      </w:r>
      <w:r>
        <w:rPr>
          <w:rFonts w:ascii="宋体" w:hAnsi="宋体" w:eastAsia="宋体" w:cs="宋体"/>
          <w:color w:val="auto"/>
          <w:spacing w:val="-1"/>
          <w:sz w:val="21"/>
          <w:szCs w:val="21"/>
          <w:highlight w:val="none"/>
        </w:rPr>
        <w:t>以电子澄清函形式作出。供应商的澄清、说明或者更正应当以电子回函形式按照磋商小组的要求作出</w:t>
      </w:r>
      <w:r>
        <w:rPr>
          <w:rFonts w:ascii="宋体" w:hAnsi="宋体" w:eastAsia="宋体" w:cs="宋体"/>
          <w:color w:val="auto"/>
          <w:spacing w:val="-2"/>
          <w:sz w:val="21"/>
          <w:szCs w:val="21"/>
          <w:highlight w:val="none"/>
        </w:rPr>
        <w:t>明确的澄清、说明或者更正，未</w:t>
      </w:r>
      <w:r>
        <w:rPr>
          <w:rFonts w:ascii="宋体" w:hAnsi="宋体" w:eastAsia="宋体" w:cs="宋体"/>
          <w:color w:val="auto"/>
          <w:spacing w:val="-1"/>
          <w:sz w:val="21"/>
          <w:szCs w:val="21"/>
          <w:highlight w:val="none"/>
        </w:rPr>
        <w:t>按磋商小组的要求作出明确澄清、说明或者更正的供应商的响应文</w:t>
      </w:r>
      <w:r>
        <w:rPr>
          <w:rFonts w:ascii="宋体" w:hAnsi="宋体" w:eastAsia="宋体" w:cs="宋体"/>
          <w:color w:val="auto"/>
          <w:spacing w:val="-2"/>
          <w:sz w:val="21"/>
          <w:szCs w:val="21"/>
          <w:highlight w:val="none"/>
        </w:rPr>
        <w:t>件将按照有利于采购人的原则由</w:t>
      </w:r>
      <w:r>
        <w:rPr>
          <w:rFonts w:ascii="宋体" w:hAnsi="宋体" w:eastAsia="宋体" w:cs="宋体"/>
          <w:color w:val="auto"/>
          <w:sz w:val="21"/>
          <w:szCs w:val="21"/>
          <w:highlight w:val="none"/>
        </w:rPr>
        <w:t>磋商小组进行判定。供应商的澄清、说明或者更正必须加盖电子</w:t>
      </w:r>
      <w:r>
        <w:rPr>
          <w:rFonts w:ascii="宋体" w:hAnsi="宋体" w:eastAsia="宋体" w:cs="宋体"/>
          <w:color w:val="auto"/>
          <w:spacing w:val="-1"/>
          <w:sz w:val="21"/>
          <w:szCs w:val="21"/>
          <w:highlight w:val="none"/>
        </w:rPr>
        <w:t>签章。</w:t>
      </w:r>
    </w:p>
    <w:p w14:paraId="6D8E2229">
      <w:pPr>
        <w:spacing w:before="158" w:line="359" w:lineRule="auto"/>
        <w:ind w:left="19" w:firstLine="423"/>
        <w:jc w:val="both"/>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异常情况处理：如遇无法正常使用线上发送澄清函</w:t>
      </w:r>
      <w:r>
        <w:rPr>
          <w:rFonts w:ascii="宋体" w:hAnsi="宋体" w:eastAsia="宋体" w:cs="宋体"/>
          <w:color w:val="auto"/>
          <w:spacing w:val="-2"/>
          <w:sz w:val="21"/>
          <w:szCs w:val="21"/>
          <w:highlight w:val="none"/>
        </w:rPr>
        <w:t>的情况，将启动书面形式办理。启动书面形</w:t>
      </w:r>
      <w:r>
        <w:rPr>
          <w:rFonts w:ascii="宋体" w:hAnsi="宋体" w:eastAsia="宋体" w:cs="宋体"/>
          <w:color w:val="auto"/>
          <w:spacing w:val="-1"/>
          <w:sz w:val="21"/>
          <w:szCs w:val="21"/>
          <w:highlight w:val="none"/>
        </w:rPr>
        <w:t>式办理的情况下，磋商小组以书面形式要求供应商在规定时间内作出必要的澄清、说明或者补正。供应商的澄清、说明或者补正必须采用书面形式，并加盖公章</w:t>
      </w:r>
      <w:r>
        <w:rPr>
          <w:rFonts w:ascii="宋体" w:hAnsi="宋体" w:eastAsia="宋体" w:cs="宋体"/>
          <w:color w:val="auto"/>
          <w:spacing w:val="-2"/>
          <w:sz w:val="21"/>
          <w:szCs w:val="21"/>
          <w:highlight w:val="none"/>
        </w:rPr>
        <w:t>，或者由法定代表人或者其授权的代</w:t>
      </w:r>
      <w:r>
        <w:rPr>
          <w:rFonts w:ascii="宋体" w:hAnsi="宋体" w:eastAsia="宋体" w:cs="宋体"/>
          <w:color w:val="auto"/>
          <w:spacing w:val="-1"/>
          <w:sz w:val="21"/>
          <w:szCs w:val="21"/>
          <w:highlight w:val="none"/>
        </w:rPr>
        <w:t>表签字。</w:t>
      </w:r>
    </w:p>
    <w:p w14:paraId="4969DD58">
      <w:pPr>
        <w:spacing w:line="219" w:lineRule="auto"/>
        <w:ind w:left="418"/>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2.4首次响应文件报价出现前后不一致的，按照下列规定修正：</w:t>
      </w:r>
    </w:p>
    <w:p w14:paraId="3E89BB76">
      <w:pPr>
        <w:spacing w:before="159" w:line="219" w:lineRule="auto"/>
        <w:ind w:left="446"/>
        <w:rPr>
          <w:rFonts w:ascii="宋体" w:hAnsi="宋体" w:eastAsia="宋体" w:cs="宋体"/>
          <w:color w:val="auto"/>
          <w:sz w:val="21"/>
          <w:szCs w:val="21"/>
          <w:highlight w:val="none"/>
        </w:rPr>
      </w:pPr>
      <w:r>
        <w:rPr>
          <w:rFonts w:ascii="宋体" w:hAnsi="宋体" w:eastAsia="宋体" w:cs="宋体"/>
          <w:color w:val="auto"/>
          <w:sz w:val="21"/>
          <w:szCs w:val="21"/>
          <w:highlight w:val="none"/>
        </w:rPr>
        <w:t>（1）响应文件中报价表内容与响应文件中相应内容不</w:t>
      </w:r>
      <w:r>
        <w:rPr>
          <w:rFonts w:ascii="宋体" w:hAnsi="宋体" w:eastAsia="宋体" w:cs="宋体"/>
          <w:color w:val="auto"/>
          <w:spacing w:val="-1"/>
          <w:sz w:val="21"/>
          <w:szCs w:val="21"/>
          <w:highlight w:val="none"/>
        </w:rPr>
        <w:t>一致的，以报价表为准；</w:t>
      </w:r>
    </w:p>
    <w:p w14:paraId="281AE0CB">
      <w:pPr>
        <w:spacing w:before="158" w:line="221"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（2）大写金额和小写金额不一致的，以大写金额为准；</w:t>
      </w:r>
    </w:p>
    <w:p w14:paraId="507B2935">
      <w:pPr>
        <w:spacing w:before="158" w:line="219" w:lineRule="auto"/>
        <w:ind w:left="446"/>
        <w:rPr>
          <w:rFonts w:ascii="宋体" w:hAnsi="宋体" w:eastAsia="宋体" w:cs="宋体"/>
          <w:color w:val="auto"/>
          <w:sz w:val="21"/>
          <w:szCs w:val="21"/>
          <w:highlight w:val="none"/>
        </w:rPr>
      </w:pPr>
      <w:r>
        <w:rPr>
          <w:rFonts w:ascii="宋体" w:hAnsi="宋体" w:eastAsia="宋体" w:cs="宋体"/>
          <w:color w:val="auto"/>
          <w:sz w:val="21"/>
          <w:szCs w:val="21"/>
          <w:highlight w:val="none"/>
        </w:rPr>
        <w:t>（3）单价金额小数点或者百分比有明显错位的，以报价表的总价</w:t>
      </w:r>
      <w:r>
        <w:rPr>
          <w:rFonts w:ascii="宋体" w:hAnsi="宋体" w:eastAsia="宋体" w:cs="宋体"/>
          <w:color w:val="auto"/>
          <w:spacing w:val="-1"/>
          <w:sz w:val="21"/>
          <w:szCs w:val="21"/>
          <w:highlight w:val="none"/>
        </w:rPr>
        <w:t>为准，并修改单价；</w:t>
      </w:r>
    </w:p>
    <w:p w14:paraId="29F55602">
      <w:pPr>
        <w:spacing w:before="161" w:line="219"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（4）总价金额与按单价汇总金额不一致的，以单价金额计算结果为准。</w:t>
      </w:r>
    </w:p>
    <w:p w14:paraId="7C8D31E3">
      <w:pPr>
        <w:spacing w:before="158" w:line="359" w:lineRule="auto"/>
        <w:ind w:left="22" w:right="36" w:firstLine="438"/>
        <w:rPr>
          <w:rFonts w:ascii="宋体" w:hAnsi="宋体" w:eastAsia="宋体" w:cs="宋体"/>
          <w:color w:val="auto"/>
          <w:sz w:val="21"/>
          <w:szCs w:val="21"/>
          <w:highlight w:val="none"/>
        </w:rPr>
      </w:pPr>
      <w:r>
        <w:rPr>
          <w:rFonts w:ascii="宋体" w:hAnsi="宋体" w:eastAsia="宋体" w:cs="宋体"/>
          <w:color w:val="auto"/>
          <w:sz w:val="21"/>
          <w:szCs w:val="21"/>
          <w:highlight w:val="none"/>
        </w:rPr>
        <w:t>同时出现两种以上不一致的，按照以上（1）-（4）规定的顺序逐条进行修正。修正后的报价经供应商确认后产生约束力，供应商不确认的，其响应文件按无效响</w:t>
      </w:r>
      <w:r>
        <w:rPr>
          <w:rFonts w:ascii="宋体" w:hAnsi="宋体" w:eastAsia="宋体" w:cs="宋体"/>
          <w:color w:val="auto"/>
          <w:spacing w:val="-1"/>
          <w:sz w:val="21"/>
          <w:szCs w:val="21"/>
          <w:highlight w:val="none"/>
        </w:rPr>
        <w:t>应处理。</w:t>
      </w:r>
    </w:p>
    <w:p w14:paraId="5A98746B">
      <w:pPr>
        <w:spacing w:line="219" w:lineRule="auto"/>
        <w:ind w:left="44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2.5商务技术报价评审</w:t>
      </w:r>
    </w:p>
    <w:p w14:paraId="68953AD5">
      <w:pPr>
        <w:spacing w:before="159" w:line="221" w:lineRule="auto"/>
        <w:ind w:left="4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在评审时，如发现下列情形之一的，将被视为响应文件无效处理：</w:t>
      </w:r>
    </w:p>
    <w:p w14:paraId="03144106">
      <w:pPr>
        <w:spacing w:before="159" w:line="221"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（1）商务技术评审</w:t>
      </w:r>
    </w:p>
    <w:p w14:paraId="1468055B">
      <w:pPr>
        <w:spacing w:before="156" w:line="220" w:lineRule="auto"/>
        <w:ind w:left="45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1）响应文件未按磋商文件要求签署、盖章；</w:t>
      </w:r>
    </w:p>
    <w:p w14:paraId="7E5E47EF">
      <w:pPr>
        <w:spacing w:before="158" w:line="220"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2）委托代理人未能出具有效身份证或者出具的身份证与授权委托书中的</w:t>
      </w:r>
      <w:r>
        <w:rPr>
          <w:rFonts w:ascii="宋体" w:hAnsi="宋体" w:eastAsia="宋体" w:cs="宋体"/>
          <w:color w:val="auto"/>
          <w:spacing w:val="-1"/>
          <w:sz w:val="21"/>
          <w:szCs w:val="21"/>
          <w:highlight w:val="none"/>
        </w:rPr>
        <w:t>信息不符的；</w:t>
      </w:r>
    </w:p>
    <w:p w14:paraId="1108C8D0">
      <w:pPr>
        <w:spacing w:before="158" w:line="221" w:lineRule="auto"/>
        <w:ind w:left="444"/>
        <w:rPr>
          <w:rFonts w:ascii="宋体" w:hAnsi="宋体" w:eastAsia="宋体" w:cs="宋体"/>
          <w:color w:val="auto"/>
          <w:sz w:val="21"/>
          <w:szCs w:val="21"/>
          <w:highlight w:val="none"/>
        </w:rPr>
      </w:pPr>
      <w:r>
        <w:rPr>
          <w:rFonts w:ascii="宋体" w:hAnsi="宋体" w:eastAsia="宋体" w:cs="宋体"/>
          <w:color w:val="auto"/>
          <w:sz w:val="21"/>
          <w:szCs w:val="21"/>
          <w:highlight w:val="none"/>
        </w:rPr>
        <w:t>3）提交的磋商保证金无效的或者未按照磋商文件的规</w:t>
      </w:r>
      <w:r>
        <w:rPr>
          <w:rFonts w:ascii="宋体" w:hAnsi="宋体" w:eastAsia="宋体" w:cs="宋体"/>
          <w:color w:val="auto"/>
          <w:spacing w:val="-1"/>
          <w:sz w:val="21"/>
          <w:szCs w:val="21"/>
          <w:highlight w:val="none"/>
        </w:rPr>
        <w:t>定提交磋商保证金；</w:t>
      </w:r>
    </w:p>
    <w:p w14:paraId="4E1C0B5B">
      <w:pPr>
        <w:spacing w:before="160" w:line="324" w:lineRule="auto"/>
        <w:ind w:left="19" w:right="23" w:firstLine="41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4）响应文件未提供任一项“供应商须知前附表”商务技术文</w:t>
      </w:r>
      <w:r>
        <w:rPr>
          <w:rFonts w:ascii="宋体" w:hAnsi="宋体" w:eastAsia="宋体" w:cs="宋体"/>
          <w:color w:val="auto"/>
          <w:spacing w:val="-2"/>
          <w:sz w:val="21"/>
          <w:szCs w:val="21"/>
          <w:highlight w:val="none"/>
        </w:rPr>
        <w:t>件中“必须提供”或者“委托时</w:t>
      </w:r>
      <w:r>
        <w:rPr>
          <w:rFonts w:ascii="宋体" w:hAnsi="宋体" w:eastAsia="宋体" w:cs="宋体"/>
          <w:color w:val="auto"/>
          <w:spacing w:val="-1"/>
          <w:sz w:val="21"/>
          <w:szCs w:val="21"/>
          <w:highlight w:val="none"/>
        </w:rPr>
        <w:t>必须提供”的文件资料；响应文件提供的商务技术文件出现</w:t>
      </w:r>
      <w:r>
        <w:rPr>
          <w:rFonts w:ascii="宋体" w:hAnsi="宋体" w:eastAsia="宋体" w:cs="宋体"/>
          <w:color w:val="auto"/>
          <w:spacing w:val="-2"/>
          <w:sz w:val="21"/>
          <w:szCs w:val="21"/>
          <w:highlight w:val="none"/>
        </w:rPr>
        <w:t>任一项不符合“供应商须知前附表”商</w:t>
      </w:r>
      <w:r>
        <w:rPr>
          <w:rFonts w:ascii="宋体" w:hAnsi="宋体" w:eastAsia="宋体" w:cs="宋体"/>
          <w:color w:val="auto"/>
          <w:sz w:val="21"/>
          <w:szCs w:val="21"/>
          <w:highlight w:val="none"/>
        </w:rPr>
        <w:t>务技术文件中“必须提供”或者“委托时必须提供”文件资料要求的规定或者提供的商务技术文</w:t>
      </w:r>
      <w:r>
        <w:rPr>
          <w:rFonts w:ascii="宋体" w:hAnsi="宋体" w:eastAsia="宋体" w:cs="宋体"/>
          <w:color w:val="auto"/>
          <w:spacing w:val="-1"/>
          <w:sz w:val="21"/>
          <w:szCs w:val="21"/>
          <w:highlight w:val="none"/>
        </w:rPr>
        <w:t>件无效。</w:t>
      </w:r>
    </w:p>
    <w:p w14:paraId="18A7190D">
      <w:pPr>
        <w:spacing w:before="157" w:line="220" w:lineRule="auto"/>
        <w:ind w:left="44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5）商务、技术要求允许负偏离的条款数超过“供应商须知前附表”规定项数的；</w:t>
      </w:r>
    </w:p>
    <w:p w14:paraId="66C63D36">
      <w:pPr>
        <w:spacing w:line="220" w:lineRule="auto"/>
        <w:rPr>
          <w:rFonts w:ascii="宋体" w:hAnsi="宋体" w:eastAsia="宋体" w:cs="宋体"/>
          <w:color w:val="auto"/>
          <w:sz w:val="21"/>
          <w:szCs w:val="21"/>
          <w:highlight w:val="none"/>
        </w:rPr>
        <w:sectPr>
          <w:footerReference r:id="rId26" w:type="default"/>
          <w:pgSz w:w="11907" w:h="16839"/>
          <w:pgMar w:top="1427" w:right="1102" w:bottom="1154" w:left="1785" w:header="0" w:footer="954" w:gutter="0"/>
          <w:cols w:space="720" w:num="1"/>
        </w:sectPr>
      </w:pPr>
    </w:p>
    <w:p w14:paraId="3A4D3B31">
      <w:pPr>
        <w:spacing w:before="41" w:line="221"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6）未对竞标有效期作出响应或者响应文件承诺的竞标有效期不满足磋商文件要</w:t>
      </w:r>
      <w:r>
        <w:rPr>
          <w:rFonts w:ascii="宋体" w:hAnsi="宋体" w:eastAsia="宋体" w:cs="宋体"/>
          <w:color w:val="auto"/>
          <w:spacing w:val="-2"/>
          <w:sz w:val="21"/>
          <w:szCs w:val="21"/>
          <w:highlight w:val="none"/>
        </w:rPr>
        <w:t>求；</w:t>
      </w:r>
    </w:p>
    <w:p w14:paraId="0C4072BE">
      <w:pPr>
        <w:spacing w:before="157" w:line="221"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7）响应文件的实质性内容未使用中文表述、使用计量单位不符合磋商文件要求；</w:t>
      </w:r>
    </w:p>
    <w:p w14:paraId="43D94569">
      <w:pPr>
        <w:spacing w:before="157" w:line="291" w:lineRule="auto"/>
        <w:ind w:left="25" w:right="89" w:firstLine="41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8）响应文件中的文件资料因填写不齐全或者内容虚假或者出现其他情</w:t>
      </w:r>
      <w:r>
        <w:rPr>
          <w:rFonts w:ascii="宋体" w:hAnsi="宋体" w:eastAsia="宋体" w:cs="宋体"/>
          <w:color w:val="auto"/>
          <w:sz w:val="21"/>
          <w:szCs w:val="21"/>
          <w:highlight w:val="none"/>
        </w:rPr>
        <w:t>形而导致被磋商小组认</w:t>
      </w:r>
      <w:r>
        <w:rPr>
          <w:rFonts w:ascii="宋体" w:hAnsi="宋体" w:eastAsia="宋体" w:cs="宋体"/>
          <w:color w:val="auto"/>
          <w:spacing w:val="-3"/>
          <w:sz w:val="21"/>
          <w:szCs w:val="21"/>
          <w:highlight w:val="none"/>
        </w:rPr>
        <w:t>定无效；</w:t>
      </w:r>
    </w:p>
    <w:p w14:paraId="2C88C9CC">
      <w:pPr>
        <w:spacing w:before="156" w:line="220" w:lineRule="auto"/>
        <w:ind w:left="44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9）响应文件含有采购人不能接受的附加条件；</w:t>
      </w:r>
    </w:p>
    <w:p w14:paraId="5B8303EC">
      <w:pPr>
        <w:spacing w:before="157" w:line="220" w:lineRule="auto"/>
        <w:ind w:left="45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10）属于“供应商须知正文”第7.5条情形；</w:t>
      </w:r>
    </w:p>
    <w:p w14:paraId="2C42B10C">
      <w:pPr>
        <w:spacing w:before="157" w:line="220" w:lineRule="auto"/>
        <w:ind w:left="45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11）虚假竞标，或者出现其他情形而导致被磋商小组认定无效；</w:t>
      </w:r>
    </w:p>
    <w:p w14:paraId="54DFE7D4">
      <w:pPr>
        <w:spacing w:before="161" w:line="289" w:lineRule="auto"/>
        <w:ind w:left="30" w:right="85" w:firstLine="42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12）磋商文件未载明允许提供备选（替代）竞标方案或明确不允许提供备选（替代）竞标方案时，供应商提供了备选（替代）竞标方案的；</w:t>
      </w:r>
    </w:p>
    <w:p w14:paraId="671F53AE">
      <w:pPr>
        <w:spacing w:before="158" w:line="291" w:lineRule="auto"/>
        <w:ind w:left="37" w:right="85" w:firstLine="418"/>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13）响应文件标注的项目名称或者项目编号与磋商文件标注的项目名称或者项目编号不一致</w:t>
      </w:r>
      <w:r>
        <w:rPr>
          <w:rFonts w:ascii="宋体" w:hAnsi="宋体" w:eastAsia="宋体" w:cs="宋体"/>
          <w:color w:val="auto"/>
          <w:spacing w:val="-19"/>
          <w:sz w:val="21"/>
          <w:szCs w:val="21"/>
          <w:highlight w:val="none"/>
        </w:rPr>
        <w:t>的；</w:t>
      </w:r>
    </w:p>
    <w:p w14:paraId="1E811481">
      <w:pPr>
        <w:spacing w:before="154" w:line="220" w:lineRule="auto"/>
        <w:ind w:left="45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14）竞争性磋商文件明确不允许分包，响应文件拟分包的；</w:t>
      </w:r>
    </w:p>
    <w:p w14:paraId="09EBABA8">
      <w:pPr>
        <w:spacing w:before="160" w:line="221" w:lineRule="auto"/>
        <w:ind w:left="45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15）未响应磋商文件实质性要求；</w:t>
      </w:r>
    </w:p>
    <w:p w14:paraId="1B9FB2E6">
      <w:pPr>
        <w:spacing w:before="157" w:line="221" w:lineRule="auto"/>
        <w:ind w:left="45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16）法律、法规和磋商文件规定的其他无效情形。</w:t>
      </w:r>
    </w:p>
    <w:p w14:paraId="7FF877C7">
      <w:pPr>
        <w:spacing w:before="157" w:line="219"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（2）报价评审</w:t>
      </w:r>
    </w:p>
    <w:p w14:paraId="798134F9">
      <w:pPr>
        <w:spacing w:before="159" w:line="219" w:lineRule="auto"/>
        <w:ind w:left="45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1）响应文件未提供“供应商须知前附表”报价文件中规定的</w:t>
      </w:r>
      <w:r>
        <w:rPr>
          <w:rFonts w:ascii="宋体" w:hAnsi="宋体" w:eastAsia="宋体" w:cs="宋体"/>
          <w:color w:val="auto"/>
          <w:spacing w:val="-2"/>
          <w:sz w:val="21"/>
          <w:szCs w:val="21"/>
          <w:highlight w:val="none"/>
        </w:rPr>
        <w:t>“竞标报价表”；</w:t>
      </w:r>
    </w:p>
    <w:p w14:paraId="4B5A9051">
      <w:pPr>
        <w:spacing w:before="159" w:line="219"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2）未采用人民币报价或者未按照磋商文件标</w:t>
      </w:r>
      <w:r>
        <w:rPr>
          <w:rFonts w:ascii="宋体" w:hAnsi="宋体" w:eastAsia="宋体" w:cs="宋体"/>
          <w:color w:val="auto"/>
          <w:spacing w:val="-1"/>
          <w:sz w:val="21"/>
          <w:szCs w:val="21"/>
          <w:highlight w:val="none"/>
        </w:rPr>
        <w:t>明的币种报价；</w:t>
      </w:r>
    </w:p>
    <w:p w14:paraId="178FC8AA">
      <w:pPr>
        <w:spacing w:before="161" w:line="312" w:lineRule="auto"/>
        <w:ind w:left="21" w:firstLine="42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3）供应商未就所竞标分标进行报价或者存在漏项报价；供应商未就所竞标分标的单项内</w:t>
      </w:r>
      <w:r>
        <w:rPr>
          <w:rFonts w:ascii="宋体" w:hAnsi="宋体" w:eastAsia="宋体" w:cs="宋体"/>
          <w:color w:val="auto"/>
          <w:sz w:val="21"/>
          <w:szCs w:val="21"/>
          <w:highlight w:val="none"/>
        </w:rPr>
        <w:t>容作</w:t>
      </w:r>
      <w:r>
        <w:rPr>
          <w:rFonts w:ascii="宋体" w:hAnsi="宋体" w:eastAsia="宋体" w:cs="宋体"/>
          <w:color w:val="auto"/>
          <w:spacing w:val="-4"/>
          <w:sz w:val="21"/>
          <w:szCs w:val="21"/>
          <w:highlight w:val="none"/>
        </w:rPr>
        <w:t>唯一报价；供应商未就所竞标分标的全部内容作完整唯一总</w:t>
      </w:r>
      <w:r>
        <w:rPr>
          <w:rFonts w:ascii="宋体" w:hAnsi="宋体" w:eastAsia="宋体" w:cs="宋体"/>
          <w:color w:val="auto"/>
          <w:spacing w:val="-5"/>
          <w:sz w:val="21"/>
          <w:szCs w:val="21"/>
          <w:highlight w:val="none"/>
        </w:rPr>
        <w:t>价报价；供应商响应文件中存在有选择、</w:t>
      </w:r>
      <w:r>
        <w:rPr>
          <w:rFonts w:ascii="宋体" w:hAnsi="宋体" w:eastAsia="宋体" w:cs="宋体"/>
          <w:color w:val="auto"/>
          <w:sz w:val="21"/>
          <w:szCs w:val="21"/>
          <w:highlight w:val="none"/>
        </w:rPr>
        <w:t>有条件报价的（磋商文件允许有备选方案或者其他约</w:t>
      </w:r>
      <w:r>
        <w:rPr>
          <w:rFonts w:ascii="宋体" w:hAnsi="宋体" w:eastAsia="宋体" w:cs="宋体"/>
          <w:color w:val="auto"/>
          <w:spacing w:val="-1"/>
          <w:sz w:val="21"/>
          <w:szCs w:val="21"/>
          <w:highlight w:val="none"/>
        </w:rPr>
        <w:t>定的除外</w:t>
      </w:r>
      <w:r>
        <w:rPr>
          <w:rFonts w:ascii="宋体" w:hAnsi="宋体" w:eastAsia="宋体" w:cs="宋体"/>
          <w:color w:val="auto"/>
          <w:spacing w:val="-13"/>
          <w:sz w:val="21"/>
          <w:szCs w:val="21"/>
          <w:highlight w:val="none"/>
        </w:rPr>
        <w:t>）；</w:t>
      </w:r>
    </w:p>
    <w:p w14:paraId="4DD03AD8">
      <w:pPr>
        <w:spacing w:before="159" w:line="313" w:lineRule="auto"/>
        <w:ind w:left="18" w:right="76" w:firstLine="4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4）竞标报价（包含首次报价、最后报价）超过所竞标分标规定的采购预算金额或者最高限价</w:t>
      </w:r>
      <w:r>
        <w:rPr>
          <w:rFonts w:ascii="宋体" w:hAnsi="宋体" w:eastAsia="宋体" w:cs="宋体"/>
          <w:color w:val="auto"/>
          <w:spacing w:val="-1"/>
          <w:sz w:val="21"/>
          <w:szCs w:val="21"/>
          <w:highlight w:val="none"/>
        </w:rPr>
        <w:t>的（如本项目公布了最高限价</w:t>
      </w:r>
      <w:r>
        <w:rPr>
          <w:rFonts w:ascii="宋体" w:hAnsi="宋体" w:eastAsia="宋体" w:cs="宋体"/>
          <w:color w:val="auto"/>
          <w:spacing w:val="-9"/>
          <w:sz w:val="21"/>
          <w:szCs w:val="21"/>
          <w:highlight w:val="none"/>
        </w:rPr>
        <w:t>）；</w:t>
      </w:r>
      <w:r>
        <w:rPr>
          <w:rFonts w:ascii="宋体" w:hAnsi="宋体" w:eastAsia="宋体" w:cs="宋体"/>
          <w:color w:val="auto"/>
          <w:spacing w:val="-1"/>
          <w:sz w:val="21"/>
          <w:szCs w:val="21"/>
          <w:highlight w:val="none"/>
        </w:rPr>
        <w:t>分项竞标报价（包含首次报价、最后报价）超过磋商文件分项采</w:t>
      </w:r>
      <w:r>
        <w:rPr>
          <w:rFonts w:ascii="宋体" w:hAnsi="宋体" w:eastAsia="宋体" w:cs="宋体"/>
          <w:color w:val="auto"/>
          <w:sz w:val="21"/>
          <w:szCs w:val="21"/>
          <w:highlight w:val="none"/>
        </w:rPr>
        <w:t>购预算金额或者最高限价的（如本项目公布了最</w:t>
      </w:r>
      <w:r>
        <w:rPr>
          <w:rFonts w:ascii="宋体" w:hAnsi="宋体" w:eastAsia="宋体" w:cs="宋体"/>
          <w:color w:val="auto"/>
          <w:spacing w:val="-1"/>
          <w:sz w:val="21"/>
          <w:szCs w:val="21"/>
          <w:highlight w:val="none"/>
        </w:rPr>
        <w:t>高限价</w:t>
      </w:r>
      <w:r>
        <w:rPr>
          <w:rFonts w:ascii="宋体" w:hAnsi="宋体" w:eastAsia="宋体" w:cs="宋体"/>
          <w:color w:val="auto"/>
          <w:sz w:val="21"/>
          <w:szCs w:val="21"/>
          <w:highlight w:val="none"/>
        </w:rPr>
        <w:t>）；</w:t>
      </w:r>
    </w:p>
    <w:p w14:paraId="5045E6B0">
      <w:pPr>
        <w:spacing w:before="160" w:line="324" w:lineRule="auto"/>
        <w:ind w:left="22" w:right="74" w:firstLine="422"/>
        <w:rPr>
          <w:rFonts w:ascii="宋体" w:hAnsi="宋体" w:eastAsia="宋体" w:cs="宋体"/>
          <w:color w:val="auto"/>
          <w:sz w:val="21"/>
          <w:szCs w:val="21"/>
          <w:highlight w:val="none"/>
        </w:rPr>
      </w:pPr>
      <w:r>
        <w:rPr>
          <w:rFonts w:ascii="宋体" w:hAnsi="宋体" w:eastAsia="宋体" w:cs="宋体"/>
          <w:color w:val="auto"/>
          <w:sz w:val="21"/>
          <w:szCs w:val="21"/>
          <w:highlight w:val="none"/>
        </w:rPr>
        <w:t>5）修正后的报价，供应商不确认的；或者经供应商确认修正后的竞标报价（包含首次报价、</w:t>
      </w:r>
      <w:r>
        <w:rPr>
          <w:rFonts w:ascii="宋体" w:hAnsi="宋体" w:eastAsia="宋体" w:cs="宋体"/>
          <w:color w:val="auto"/>
          <w:spacing w:val="-1"/>
          <w:sz w:val="21"/>
          <w:szCs w:val="21"/>
          <w:highlight w:val="none"/>
        </w:rPr>
        <w:t>最后报价）超过所竞标分标规定的采购预算金额或者最高限价（如本项目公布了最高限价</w:t>
      </w:r>
      <w:r>
        <w:rPr>
          <w:rFonts w:ascii="宋体" w:hAnsi="宋体" w:eastAsia="宋体" w:cs="宋体"/>
          <w:color w:val="auto"/>
          <w:spacing w:val="-10"/>
          <w:sz w:val="21"/>
          <w:szCs w:val="21"/>
          <w:highlight w:val="none"/>
        </w:rPr>
        <w:t>）；</w:t>
      </w:r>
      <w:r>
        <w:rPr>
          <w:rFonts w:ascii="宋体" w:hAnsi="宋体" w:eastAsia="宋体" w:cs="宋体"/>
          <w:color w:val="auto"/>
          <w:spacing w:val="-1"/>
          <w:sz w:val="21"/>
          <w:szCs w:val="21"/>
          <w:highlight w:val="none"/>
        </w:rPr>
        <w:t>或者经供应商确认修正后分项竞标报价（包含首次报价、最后报价</w:t>
      </w:r>
      <w:r>
        <w:rPr>
          <w:rFonts w:ascii="宋体" w:hAnsi="宋体" w:eastAsia="宋体" w:cs="宋体"/>
          <w:color w:val="auto"/>
          <w:spacing w:val="-2"/>
          <w:sz w:val="21"/>
          <w:szCs w:val="21"/>
          <w:highlight w:val="none"/>
        </w:rPr>
        <w:t>）超过磋商文件分项采购预算金额或者最高限价的（如本项目公布了最高限价）。</w:t>
      </w:r>
    </w:p>
    <w:p w14:paraId="5B1038FF">
      <w:pPr>
        <w:spacing w:before="159" w:line="220"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6）响应文件响应的标的数量及单位与竞争性磋商采购文件要求实质性不一致的。</w:t>
      </w:r>
    </w:p>
    <w:p w14:paraId="1EF5CB8F">
      <w:pPr>
        <w:spacing w:before="156" w:line="313" w:lineRule="auto"/>
        <w:ind w:left="20" w:right="74" w:firstLine="422"/>
        <w:rPr>
          <w:rFonts w:ascii="宋体" w:hAnsi="宋体" w:eastAsia="宋体" w:cs="宋体"/>
          <w:color w:val="auto"/>
          <w:sz w:val="21"/>
          <w:szCs w:val="21"/>
          <w:highlight w:val="none"/>
        </w:rPr>
      </w:pPr>
      <w:r>
        <w:rPr>
          <w:rFonts w:ascii="宋体" w:hAnsi="宋体" w:eastAsia="宋体" w:cs="宋体"/>
          <w:color w:val="auto"/>
          <w:sz w:val="21"/>
          <w:szCs w:val="21"/>
          <w:highlight w:val="none"/>
        </w:rPr>
        <w:t>2.6磋商小组对响应文件进行评审，未实质性响应磋商文件</w:t>
      </w:r>
      <w:r>
        <w:rPr>
          <w:rFonts w:ascii="宋体" w:hAnsi="宋体" w:eastAsia="宋体" w:cs="宋体"/>
          <w:color w:val="auto"/>
          <w:spacing w:val="-1"/>
          <w:sz w:val="21"/>
          <w:szCs w:val="21"/>
          <w:highlight w:val="none"/>
        </w:rPr>
        <w:t>的响应文件按无效处理，磋商小组应当将资格和符合性不通过的情况告知有关供应商。磋商小组从符</w:t>
      </w:r>
      <w:r>
        <w:rPr>
          <w:rFonts w:ascii="宋体" w:hAnsi="宋体" w:eastAsia="宋体" w:cs="宋体"/>
          <w:color w:val="auto"/>
          <w:spacing w:val="-2"/>
          <w:sz w:val="21"/>
          <w:szCs w:val="21"/>
          <w:highlight w:val="none"/>
        </w:rPr>
        <w:t>合磋商文件规定的相应资格条件</w:t>
      </w:r>
      <w:r>
        <w:rPr>
          <w:rFonts w:ascii="宋体" w:hAnsi="宋体" w:eastAsia="宋体" w:cs="宋体"/>
          <w:color w:val="auto"/>
          <w:spacing w:val="-1"/>
          <w:sz w:val="21"/>
          <w:szCs w:val="21"/>
          <w:highlight w:val="none"/>
        </w:rPr>
        <w:t>的供应商名单中确定不少于3家的供应商参</w:t>
      </w:r>
      <w:r>
        <w:rPr>
          <w:rFonts w:ascii="宋体" w:hAnsi="宋体" w:eastAsia="宋体" w:cs="宋体"/>
          <w:color w:val="auto"/>
          <w:spacing w:val="-2"/>
          <w:sz w:val="21"/>
          <w:szCs w:val="21"/>
          <w:highlight w:val="none"/>
        </w:rPr>
        <w:t>加磋商。</w:t>
      </w:r>
    </w:p>
    <w:p w14:paraId="2C79FB30">
      <w:pPr>
        <w:spacing w:before="161" w:line="289" w:lineRule="auto"/>
        <w:ind w:left="20" w:right="76" w:firstLine="42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2.7通过符合性审查的合格供应商不足3家的，不得进入磋商环节，采购人或者采购代理机构</w:t>
      </w:r>
      <w:r>
        <w:rPr>
          <w:rFonts w:ascii="宋体" w:hAnsi="宋体" w:eastAsia="宋体" w:cs="宋体"/>
          <w:color w:val="auto"/>
          <w:spacing w:val="-2"/>
          <w:sz w:val="21"/>
          <w:szCs w:val="21"/>
          <w:highlight w:val="none"/>
        </w:rPr>
        <w:t>应当重新开展采购活动。</w:t>
      </w:r>
    </w:p>
    <w:p w14:paraId="65A79213">
      <w:pPr>
        <w:spacing w:before="164" w:line="219" w:lineRule="auto"/>
        <w:ind w:left="504"/>
        <w:rPr>
          <w:rFonts w:ascii="黑体" w:hAnsi="黑体" w:eastAsia="黑体" w:cs="黑体"/>
          <w:color w:val="auto"/>
          <w:sz w:val="24"/>
          <w:szCs w:val="24"/>
          <w:highlight w:val="none"/>
        </w:rPr>
      </w:pPr>
      <w:r>
        <w:rPr>
          <w:rFonts w:ascii="黑体" w:hAnsi="黑体" w:eastAsia="黑体" w:cs="黑体"/>
          <w:b/>
          <w:bCs/>
          <w:color w:val="auto"/>
          <w:spacing w:val="-4"/>
          <w:sz w:val="24"/>
          <w:szCs w:val="24"/>
          <w:highlight w:val="none"/>
        </w:rPr>
        <w:t>3.磋商程序</w:t>
      </w:r>
    </w:p>
    <w:p w14:paraId="3072A164">
      <w:pPr>
        <w:spacing w:line="219" w:lineRule="auto"/>
        <w:rPr>
          <w:rFonts w:ascii="黑体" w:hAnsi="黑体" w:eastAsia="黑体" w:cs="黑体"/>
          <w:color w:val="auto"/>
          <w:sz w:val="24"/>
          <w:szCs w:val="24"/>
          <w:highlight w:val="none"/>
        </w:rPr>
        <w:sectPr>
          <w:footerReference r:id="rId27" w:type="default"/>
          <w:pgSz w:w="11907" w:h="16839"/>
          <w:pgMar w:top="1427" w:right="1051" w:bottom="1154" w:left="1785" w:header="0" w:footer="954" w:gutter="0"/>
          <w:cols w:space="720" w:num="1"/>
        </w:sectPr>
      </w:pPr>
    </w:p>
    <w:p w14:paraId="1EFD5A7B">
      <w:pPr>
        <w:spacing w:before="41" w:line="313" w:lineRule="auto"/>
        <w:ind w:left="19" w:right="2" w:firstLine="424"/>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3.1磋商小组集中与单一供应商分别进行磋商，并给予所有参加磋商的供应</w:t>
      </w:r>
      <w:r>
        <w:rPr>
          <w:rFonts w:ascii="宋体" w:hAnsi="宋体" w:eastAsia="宋体" w:cs="宋体"/>
          <w:color w:val="auto"/>
          <w:spacing w:val="-3"/>
          <w:sz w:val="21"/>
          <w:szCs w:val="21"/>
          <w:highlight w:val="none"/>
        </w:rPr>
        <w:t>商平等的磋商机会。</w:t>
      </w:r>
      <w:r>
        <w:rPr>
          <w:rFonts w:ascii="宋体" w:hAnsi="宋体" w:eastAsia="宋体" w:cs="宋体"/>
          <w:color w:val="auto"/>
          <w:spacing w:val="-1"/>
          <w:sz w:val="21"/>
          <w:szCs w:val="21"/>
          <w:highlight w:val="none"/>
        </w:rPr>
        <w:t>符合磋商资格的供应商必须在接到磋商通知后在规定时间内在广西</w:t>
      </w:r>
      <w:r>
        <w:rPr>
          <w:rFonts w:ascii="宋体" w:hAnsi="宋体" w:eastAsia="宋体" w:cs="宋体"/>
          <w:color w:val="auto"/>
          <w:spacing w:val="-2"/>
          <w:sz w:val="21"/>
          <w:szCs w:val="21"/>
          <w:highlight w:val="none"/>
        </w:rPr>
        <w:t>政府采购云平台上参加磋商，未</w:t>
      </w:r>
      <w:r>
        <w:rPr>
          <w:rFonts w:ascii="宋体" w:hAnsi="宋体" w:eastAsia="宋体" w:cs="宋体"/>
          <w:color w:val="auto"/>
          <w:spacing w:val="-1"/>
          <w:sz w:val="21"/>
          <w:szCs w:val="21"/>
          <w:highlight w:val="none"/>
        </w:rPr>
        <w:t>在规定时间内参加磋商的视同放弃参加磋商权利，其响应文件按无效响应处理。</w:t>
      </w:r>
    </w:p>
    <w:p w14:paraId="75DA5D12">
      <w:pPr>
        <w:spacing w:before="160" w:line="312" w:lineRule="auto"/>
        <w:ind w:left="19" w:right="74" w:firstLine="42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3.2在磋商过程中，磋商小组可以根据磋商文件和磋商情况实质性变动采购需求中的技术、服务要求以及合同草案条款，但不得变动磋商文件中的其他内容。实</w:t>
      </w:r>
      <w:r>
        <w:rPr>
          <w:rFonts w:ascii="宋体" w:hAnsi="宋体" w:eastAsia="宋体" w:cs="宋体"/>
          <w:color w:val="auto"/>
          <w:spacing w:val="-2"/>
          <w:sz w:val="21"/>
          <w:szCs w:val="21"/>
          <w:highlight w:val="none"/>
        </w:rPr>
        <w:t>质性变动的内容，须经采购人代</w:t>
      </w:r>
      <w:r>
        <w:rPr>
          <w:rFonts w:ascii="宋体" w:hAnsi="宋体" w:eastAsia="宋体" w:cs="宋体"/>
          <w:color w:val="auto"/>
          <w:sz w:val="21"/>
          <w:szCs w:val="21"/>
          <w:highlight w:val="none"/>
        </w:rPr>
        <w:t>表确认。可能实质性变动的内容为采购需求中的技术、服务要求以及合同草案条款。</w:t>
      </w:r>
    </w:p>
    <w:p w14:paraId="7AC28AAC">
      <w:pPr>
        <w:spacing w:before="158" w:line="290" w:lineRule="auto"/>
        <w:ind w:left="22" w:right="74" w:firstLine="421"/>
        <w:rPr>
          <w:rFonts w:ascii="宋体" w:hAnsi="宋体" w:eastAsia="宋体" w:cs="宋体"/>
          <w:color w:val="auto"/>
          <w:sz w:val="21"/>
          <w:szCs w:val="21"/>
          <w:highlight w:val="none"/>
        </w:rPr>
      </w:pPr>
      <w:r>
        <w:rPr>
          <w:rFonts w:ascii="宋体" w:hAnsi="宋体" w:eastAsia="宋体" w:cs="宋体"/>
          <w:color w:val="auto"/>
          <w:sz w:val="21"/>
          <w:szCs w:val="21"/>
          <w:highlight w:val="none"/>
        </w:rPr>
        <w:t>3.3对磋商文件作出的实质性变动是磋商文件的有效组</w:t>
      </w:r>
      <w:r>
        <w:rPr>
          <w:rFonts w:ascii="宋体" w:hAnsi="宋体" w:eastAsia="宋体" w:cs="宋体"/>
          <w:color w:val="auto"/>
          <w:spacing w:val="-1"/>
          <w:sz w:val="21"/>
          <w:szCs w:val="21"/>
          <w:highlight w:val="none"/>
        </w:rPr>
        <w:t>成部分，由磋商小组及时以电子澄清函形式同时通知所有参加磋商的供应商。</w:t>
      </w:r>
    </w:p>
    <w:p w14:paraId="3BB64AF4">
      <w:pPr>
        <w:spacing w:before="157" w:line="313" w:lineRule="auto"/>
        <w:ind w:left="22" w:right="74" w:firstLine="422"/>
        <w:rPr>
          <w:rFonts w:ascii="宋体" w:hAnsi="宋体" w:eastAsia="宋体" w:cs="宋体"/>
          <w:color w:val="auto"/>
          <w:sz w:val="21"/>
          <w:szCs w:val="21"/>
          <w:highlight w:val="none"/>
        </w:rPr>
      </w:pPr>
      <w:r>
        <w:rPr>
          <w:rFonts w:ascii="宋体" w:hAnsi="宋体" w:eastAsia="宋体" w:cs="宋体"/>
          <w:color w:val="auto"/>
          <w:sz w:val="21"/>
          <w:szCs w:val="21"/>
          <w:highlight w:val="none"/>
        </w:rPr>
        <w:t>3.4供应商必须按照磋商文件的变动情况和磋商小组</w:t>
      </w:r>
      <w:r>
        <w:rPr>
          <w:rFonts w:ascii="宋体" w:hAnsi="宋体" w:eastAsia="宋体" w:cs="宋体"/>
          <w:color w:val="auto"/>
          <w:spacing w:val="-1"/>
          <w:sz w:val="21"/>
          <w:szCs w:val="21"/>
          <w:highlight w:val="none"/>
        </w:rPr>
        <w:t>的要求以回函的形式重新提交响应文件，并加盖电子签章。参加磋商的供应商未在规定时间内重新提交</w:t>
      </w:r>
      <w:r>
        <w:rPr>
          <w:rFonts w:ascii="宋体" w:hAnsi="宋体" w:eastAsia="宋体" w:cs="宋体"/>
          <w:color w:val="auto"/>
          <w:spacing w:val="-2"/>
          <w:sz w:val="21"/>
          <w:szCs w:val="21"/>
          <w:highlight w:val="none"/>
        </w:rPr>
        <w:t>响应文件的，视同退出磋商，其响应</w:t>
      </w:r>
      <w:r>
        <w:rPr>
          <w:rFonts w:ascii="宋体" w:hAnsi="宋体" w:eastAsia="宋体" w:cs="宋体"/>
          <w:color w:val="auto"/>
          <w:spacing w:val="-1"/>
          <w:sz w:val="21"/>
          <w:szCs w:val="21"/>
          <w:highlight w:val="none"/>
        </w:rPr>
        <w:t>文件按无效处理。</w:t>
      </w:r>
    </w:p>
    <w:p w14:paraId="7526197D">
      <w:pPr>
        <w:spacing w:before="157" w:line="219" w:lineRule="auto"/>
        <w:ind w:left="444"/>
        <w:rPr>
          <w:rFonts w:ascii="宋体" w:hAnsi="宋体" w:eastAsia="宋体" w:cs="宋体"/>
          <w:color w:val="auto"/>
          <w:sz w:val="21"/>
          <w:szCs w:val="21"/>
          <w:highlight w:val="none"/>
        </w:rPr>
      </w:pPr>
      <w:r>
        <w:rPr>
          <w:rFonts w:ascii="宋体" w:hAnsi="宋体" w:eastAsia="宋体" w:cs="宋体"/>
          <w:color w:val="auto"/>
          <w:spacing w:val="-10"/>
          <w:sz w:val="21"/>
          <w:szCs w:val="21"/>
          <w:highlight w:val="none"/>
        </w:rPr>
        <w:t>3.5磋商中，磋商的任何一方不得透露与磋商有关的其他供应商的技术资料、价格和其他信息。</w:t>
      </w:r>
    </w:p>
    <w:p w14:paraId="00D230B3">
      <w:pPr>
        <w:spacing w:before="161" w:line="220" w:lineRule="auto"/>
        <w:ind w:left="444"/>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3.6采购代理机构对磋商过程和重要磋商内容进行记录。</w:t>
      </w:r>
    </w:p>
    <w:p w14:paraId="6591668C">
      <w:pPr>
        <w:spacing w:before="159" w:line="331" w:lineRule="auto"/>
        <w:ind w:left="21" w:firstLine="42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3.7根据《财政部关于政府采购竞争性磋商采购方式管理暂行办法有关问题的补充通知》（财</w:t>
      </w:r>
      <w:r>
        <w:rPr>
          <w:rFonts w:ascii="宋体" w:hAnsi="宋体" w:eastAsia="宋体" w:cs="宋体"/>
          <w:color w:val="auto"/>
          <w:sz w:val="21"/>
          <w:szCs w:val="21"/>
          <w:highlight w:val="none"/>
        </w:rPr>
        <w:t>库〔</w:t>
      </w:r>
      <w:r>
        <w:rPr>
          <w:rFonts w:ascii="Times New Roman" w:hAnsi="Times New Roman" w:eastAsia="Times New Roman" w:cs="Times New Roman"/>
          <w:color w:val="auto"/>
          <w:sz w:val="21"/>
          <w:szCs w:val="21"/>
          <w:highlight w:val="none"/>
        </w:rPr>
        <w:t>2015</w:t>
      </w: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124</w:t>
      </w:r>
      <w:r>
        <w:rPr>
          <w:rFonts w:ascii="宋体" w:hAnsi="宋体" w:eastAsia="宋体" w:cs="宋体"/>
          <w:color w:val="auto"/>
          <w:sz w:val="21"/>
          <w:szCs w:val="21"/>
          <w:highlight w:val="none"/>
        </w:rPr>
        <w:t>号）的规定，采用竞争性磋商采</w:t>
      </w:r>
      <w:r>
        <w:rPr>
          <w:rFonts w:ascii="宋体" w:hAnsi="宋体" w:eastAsia="宋体" w:cs="宋体"/>
          <w:color w:val="auto"/>
          <w:spacing w:val="-1"/>
          <w:sz w:val="21"/>
          <w:szCs w:val="21"/>
          <w:highlight w:val="none"/>
        </w:rPr>
        <w:t>购方式采购的政府购买服务项目（含政府和社会资本合作项目</w:t>
      </w:r>
      <w:r>
        <w:rPr>
          <w:rFonts w:ascii="宋体" w:hAnsi="宋体" w:eastAsia="宋体" w:cs="宋体"/>
          <w:color w:val="auto"/>
          <w:spacing w:val="-11"/>
          <w:sz w:val="21"/>
          <w:szCs w:val="21"/>
          <w:highlight w:val="none"/>
        </w:rPr>
        <w:t>），</w:t>
      </w:r>
      <w:r>
        <w:rPr>
          <w:rFonts w:ascii="宋体" w:hAnsi="宋体" w:eastAsia="宋体" w:cs="宋体"/>
          <w:color w:val="auto"/>
          <w:spacing w:val="-1"/>
          <w:sz w:val="21"/>
          <w:szCs w:val="21"/>
          <w:highlight w:val="none"/>
        </w:rPr>
        <w:t>在采购过程中符合要求的供应商（社会资本）只有</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家的，竞争性磋商采购活动可</w:t>
      </w:r>
      <w:r>
        <w:rPr>
          <w:rFonts w:ascii="宋体" w:hAnsi="宋体" w:eastAsia="宋体" w:cs="宋体"/>
          <w:color w:val="auto"/>
          <w:spacing w:val="-2"/>
          <w:sz w:val="21"/>
          <w:szCs w:val="21"/>
          <w:highlight w:val="none"/>
        </w:rPr>
        <w:t>以继续进行。采购过程中符合要求的供应商（社会资本）只有</w:t>
      </w:r>
      <w:r>
        <w:rPr>
          <w:rFonts w:ascii="Times New Roman" w:hAnsi="Times New Roman" w:eastAsia="Times New Roman" w:cs="Times New Roman"/>
          <w:color w:val="auto"/>
          <w:spacing w:val="-2"/>
          <w:sz w:val="21"/>
          <w:szCs w:val="21"/>
          <w:highlight w:val="none"/>
        </w:rPr>
        <w:t>1</w:t>
      </w:r>
      <w:r>
        <w:rPr>
          <w:rFonts w:ascii="宋体" w:hAnsi="宋体" w:eastAsia="宋体" w:cs="宋体"/>
          <w:color w:val="auto"/>
          <w:spacing w:val="-2"/>
          <w:sz w:val="21"/>
          <w:szCs w:val="21"/>
          <w:highlight w:val="none"/>
        </w:rPr>
        <w:t>家的，采购人（项目实施机构）或</w:t>
      </w:r>
      <w:r>
        <w:rPr>
          <w:rFonts w:ascii="宋体" w:hAnsi="宋体" w:eastAsia="宋体" w:cs="宋体"/>
          <w:color w:val="auto"/>
          <w:spacing w:val="-4"/>
          <w:sz w:val="21"/>
          <w:szCs w:val="21"/>
          <w:highlight w:val="none"/>
        </w:rPr>
        <w:t>者采购代理机构应当终止竞争性磋商采购活动，发布项目终</w:t>
      </w:r>
      <w:r>
        <w:rPr>
          <w:rFonts w:ascii="宋体" w:hAnsi="宋体" w:eastAsia="宋体" w:cs="宋体"/>
          <w:color w:val="auto"/>
          <w:spacing w:val="-5"/>
          <w:sz w:val="21"/>
          <w:szCs w:val="21"/>
          <w:highlight w:val="none"/>
        </w:rPr>
        <w:t>止公告并说明原因，重新开展采购活动。</w:t>
      </w:r>
    </w:p>
    <w:p w14:paraId="5D7DC4B0">
      <w:pPr>
        <w:spacing w:before="159" w:line="289" w:lineRule="auto"/>
        <w:ind w:left="20" w:right="21" w:firstLine="420"/>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3.8</w:t>
      </w:r>
      <w:r>
        <w:rPr>
          <w:rFonts w:ascii="宋体" w:hAnsi="宋体" w:eastAsia="宋体" w:cs="宋体"/>
          <w:color w:val="auto"/>
          <w:spacing w:val="-2"/>
          <w:sz w:val="21"/>
          <w:szCs w:val="21"/>
          <w:highlight w:val="none"/>
        </w:rPr>
        <w:t>除本章第</w:t>
      </w:r>
      <w:r>
        <w:rPr>
          <w:rFonts w:ascii="Times New Roman" w:hAnsi="Times New Roman" w:eastAsia="Times New Roman" w:cs="Times New Roman"/>
          <w:color w:val="auto"/>
          <w:spacing w:val="-2"/>
          <w:sz w:val="21"/>
          <w:szCs w:val="21"/>
          <w:highlight w:val="none"/>
        </w:rPr>
        <w:t>3.7</w:t>
      </w:r>
      <w:r>
        <w:rPr>
          <w:rFonts w:ascii="宋体" w:hAnsi="宋体" w:eastAsia="宋体" w:cs="宋体"/>
          <w:color w:val="auto"/>
          <w:spacing w:val="-2"/>
          <w:sz w:val="21"/>
          <w:szCs w:val="21"/>
          <w:highlight w:val="none"/>
        </w:rPr>
        <w:t>条情形外，对磋商过程提交的响应文件进行有效性、完整性和响应程度审查，</w:t>
      </w:r>
      <w:r>
        <w:rPr>
          <w:rFonts w:ascii="宋体" w:hAnsi="宋体" w:eastAsia="宋体" w:cs="宋体"/>
          <w:color w:val="auto"/>
          <w:spacing w:val="-1"/>
          <w:sz w:val="21"/>
          <w:szCs w:val="21"/>
          <w:highlight w:val="none"/>
        </w:rPr>
        <w:t>通过审查的合格供应商不足3家的，采购人或者采购代理机构应当重新开展采购活</w:t>
      </w:r>
      <w:r>
        <w:rPr>
          <w:rFonts w:ascii="宋体" w:hAnsi="宋体" w:eastAsia="宋体" w:cs="宋体"/>
          <w:color w:val="auto"/>
          <w:spacing w:val="-2"/>
          <w:sz w:val="21"/>
          <w:szCs w:val="21"/>
          <w:highlight w:val="none"/>
        </w:rPr>
        <w:t>动。</w:t>
      </w:r>
    </w:p>
    <w:p w14:paraId="51464ABF">
      <w:pPr>
        <w:spacing w:before="165" w:line="219" w:lineRule="auto"/>
        <w:ind w:left="501"/>
        <w:rPr>
          <w:rFonts w:ascii="黑体" w:hAnsi="黑体" w:eastAsia="黑体" w:cs="黑体"/>
          <w:color w:val="auto"/>
          <w:sz w:val="24"/>
          <w:szCs w:val="24"/>
          <w:highlight w:val="none"/>
        </w:rPr>
      </w:pPr>
      <w:r>
        <w:rPr>
          <w:rFonts w:ascii="黑体" w:hAnsi="黑体" w:eastAsia="黑体" w:cs="黑体"/>
          <w:b/>
          <w:bCs/>
          <w:color w:val="auto"/>
          <w:spacing w:val="-6"/>
          <w:sz w:val="24"/>
          <w:szCs w:val="24"/>
          <w:highlight w:val="none"/>
        </w:rPr>
        <w:t>4.最后报价</w:t>
      </w:r>
    </w:p>
    <w:p w14:paraId="221D11B9">
      <w:pPr>
        <w:spacing w:before="178" w:line="312" w:lineRule="auto"/>
        <w:ind w:left="19" w:right="76" w:firstLine="41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4.1磋商文件能够详细列明采购标的的技术、服务要求的，磋商结束后，磋商小组应当要求所</w:t>
      </w:r>
      <w:r>
        <w:rPr>
          <w:rFonts w:ascii="宋体" w:hAnsi="宋体" w:eastAsia="宋体" w:cs="宋体"/>
          <w:color w:val="auto"/>
          <w:spacing w:val="3"/>
          <w:sz w:val="21"/>
          <w:szCs w:val="21"/>
          <w:highlight w:val="none"/>
        </w:rPr>
        <w:t>有继续参加磋商的供应商在规定时间内在广西政府采购云平台开标大厅提交最后报价，除本章第</w:t>
      </w:r>
      <w:r>
        <w:rPr>
          <w:rFonts w:ascii="宋体" w:hAnsi="宋体" w:eastAsia="宋体" w:cs="宋体"/>
          <w:color w:val="auto"/>
          <w:spacing w:val="-2"/>
          <w:sz w:val="21"/>
          <w:szCs w:val="21"/>
          <w:highlight w:val="none"/>
        </w:rPr>
        <w:t>4.3条外，提交最后报价的供应商不得少于3家，否则必须重新采购。</w:t>
      </w:r>
    </w:p>
    <w:p w14:paraId="23910355">
      <w:pPr>
        <w:spacing w:before="158" w:line="313" w:lineRule="auto"/>
        <w:ind w:left="20" w:right="76" w:firstLine="419"/>
        <w:rPr>
          <w:rFonts w:ascii="宋体" w:hAnsi="宋体" w:eastAsia="宋体" w:cs="宋体"/>
          <w:color w:val="auto"/>
          <w:sz w:val="21"/>
          <w:szCs w:val="21"/>
          <w:highlight w:val="none"/>
        </w:rPr>
      </w:pPr>
      <w:r>
        <w:rPr>
          <w:rFonts w:ascii="宋体" w:hAnsi="宋体" w:eastAsia="宋体" w:cs="宋体"/>
          <w:color w:val="auto"/>
          <w:sz w:val="21"/>
          <w:szCs w:val="21"/>
          <w:highlight w:val="none"/>
        </w:rPr>
        <w:t>4.2磋商文件不能详细列明采购标的的技术、服务要求，需经</w:t>
      </w:r>
      <w:r>
        <w:rPr>
          <w:rFonts w:ascii="宋体" w:hAnsi="宋体" w:eastAsia="宋体" w:cs="宋体"/>
          <w:color w:val="auto"/>
          <w:spacing w:val="-1"/>
          <w:sz w:val="21"/>
          <w:szCs w:val="21"/>
          <w:highlight w:val="none"/>
        </w:rPr>
        <w:t>磋商由供应商提供最后设计方案</w:t>
      </w:r>
      <w:r>
        <w:rPr>
          <w:rFonts w:ascii="宋体" w:hAnsi="宋体" w:eastAsia="宋体" w:cs="宋体"/>
          <w:color w:val="auto"/>
          <w:spacing w:val="-2"/>
          <w:sz w:val="21"/>
          <w:szCs w:val="21"/>
          <w:highlight w:val="none"/>
        </w:rPr>
        <w:t>或者解决方案的，磋商结束后，由磋商小组按照少数服从多数的原则投票推荐3家以上供应商的设</w:t>
      </w:r>
      <w:r>
        <w:rPr>
          <w:rFonts w:ascii="宋体" w:hAnsi="宋体" w:eastAsia="宋体" w:cs="宋体"/>
          <w:color w:val="auto"/>
          <w:sz w:val="21"/>
          <w:szCs w:val="21"/>
          <w:highlight w:val="none"/>
        </w:rPr>
        <w:t>计方案或者解决方案，并要求其在规定时间内在广西政府采购云平台开标大厅提交最后报价。</w:t>
      </w:r>
    </w:p>
    <w:p w14:paraId="29F25559">
      <w:pPr>
        <w:spacing w:before="159" w:line="313" w:lineRule="auto"/>
        <w:ind w:left="21" w:right="76" w:firstLine="418"/>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4.3最后报价是供应商响应文件的有效组成部分。符合《</w:t>
      </w:r>
      <w:r>
        <w:rPr>
          <w:rFonts w:ascii="宋体" w:hAnsi="宋体" w:eastAsia="宋体" w:cs="宋体"/>
          <w:color w:val="auto"/>
          <w:spacing w:val="-2"/>
          <w:sz w:val="21"/>
          <w:szCs w:val="21"/>
          <w:highlight w:val="none"/>
        </w:rPr>
        <w:t>政府采购竞争性磋商采购方式管理暂</w:t>
      </w:r>
      <w:r>
        <w:rPr>
          <w:rFonts w:ascii="宋体" w:hAnsi="宋体" w:eastAsia="宋体" w:cs="宋体"/>
          <w:color w:val="auto"/>
          <w:sz w:val="21"/>
          <w:szCs w:val="21"/>
          <w:highlight w:val="none"/>
        </w:rPr>
        <w:t>行办法》（财库〔2014〕214号）第三条第四项</w:t>
      </w:r>
      <w:r>
        <w:rPr>
          <w:rFonts w:ascii="宋体" w:hAnsi="宋体" w:eastAsia="宋体" w:cs="宋体"/>
          <w:color w:val="auto"/>
          <w:spacing w:val="-1"/>
          <w:sz w:val="21"/>
          <w:szCs w:val="21"/>
          <w:highlight w:val="none"/>
        </w:rPr>
        <w:t>“市场竞争不充分的科研项目，以及需要扶持的科</w:t>
      </w:r>
      <w:r>
        <w:rPr>
          <w:rFonts w:ascii="宋体" w:hAnsi="宋体" w:eastAsia="宋体" w:cs="宋体"/>
          <w:color w:val="auto"/>
          <w:spacing w:val="-2"/>
          <w:sz w:val="21"/>
          <w:szCs w:val="21"/>
          <w:highlight w:val="none"/>
        </w:rPr>
        <w:t>技成果转化项目”和本章第3.7条情形的，提交最后报价的供应商可以为2家。</w:t>
      </w:r>
    </w:p>
    <w:p w14:paraId="4821D2FD">
      <w:pPr>
        <w:spacing w:before="159" w:line="289" w:lineRule="auto"/>
        <w:ind w:left="24" w:firstLine="41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4.4已经提交响应文件的供应商，在提交最后报价之前，可以根据磋商情况退出磋商，退出磋</w:t>
      </w:r>
      <w:r>
        <w:rPr>
          <w:rFonts w:ascii="宋体" w:hAnsi="宋体" w:eastAsia="宋体" w:cs="宋体"/>
          <w:color w:val="auto"/>
          <w:spacing w:val="-4"/>
          <w:sz w:val="21"/>
          <w:szCs w:val="21"/>
          <w:highlight w:val="none"/>
        </w:rPr>
        <w:t>商的供应商的响应文件按无效响应处理。采购人、采</w:t>
      </w:r>
      <w:r>
        <w:rPr>
          <w:rFonts w:ascii="宋体" w:hAnsi="宋体" w:eastAsia="宋体" w:cs="宋体"/>
          <w:color w:val="auto"/>
          <w:spacing w:val="-5"/>
          <w:sz w:val="21"/>
          <w:szCs w:val="21"/>
          <w:highlight w:val="none"/>
        </w:rPr>
        <w:t>购代理机构将退还退出磋商的供应商的保证金。</w:t>
      </w:r>
    </w:p>
    <w:p w14:paraId="69CEB164">
      <w:pPr>
        <w:spacing w:before="158" w:line="219" w:lineRule="auto"/>
        <w:ind w:left="4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4.5供应商未在规定时间内提交最后报价的，视同退出磋商，其响应文件按无效处理。</w:t>
      </w:r>
    </w:p>
    <w:p w14:paraId="0D611487">
      <w:pPr>
        <w:spacing w:before="159" w:line="219" w:lineRule="auto"/>
        <w:ind w:left="439"/>
        <w:rPr>
          <w:rFonts w:ascii="宋体" w:hAnsi="宋体" w:eastAsia="宋体" w:cs="宋体"/>
          <w:color w:val="auto"/>
          <w:sz w:val="21"/>
          <w:szCs w:val="21"/>
          <w:highlight w:val="none"/>
        </w:rPr>
      </w:pPr>
      <w:r>
        <w:rPr>
          <w:rFonts w:ascii="宋体" w:hAnsi="宋体" w:eastAsia="宋体" w:cs="宋体"/>
          <w:color w:val="auto"/>
          <w:sz w:val="21"/>
          <w:szCs w:val="21"/>
          <w:highlight w:val="none"/>
        </w:rPr>
        <w:t>4.6最后报价统一开启后，磋商小组对最后报价进行有效性、</w:t>
      </w:r>
      <w:r>
        <w:rPr>
          <w:rFonts w:ascii="宋体" w:hAnsi="宋体" w:eastAsia="宋体" w:cs="宋体"/>
          <w:color w:val="auto"/>
          <w:spacing w:val="-1"/>
          <w:sz w:val="21"/>
          <w:szCs w:val="21"/>
          <w:highlight w:val="none"/>
        </w:rPr>
        <w:t>完整性和响应程度的审查。</w:t>
      </w:r>
    </w:p>
    <w:p w14:paraId="22AFFE44">
      <w:pPr>
        <w:spacing w:line="219" w:lineRule="auto"/>
        <w:rPr>
          <w:rFonts w:ascii="宋体" w:hAnsi="宋体" w:eastAsia="宋体" w:cs="宋体"/>
          <w:color w:val="auto"/>
          <w:sz w:val="21"/>
          <w:szCs w:val="21"/>
          <w:highlight w:val="none"/>
        </w:rPr>
        <w:sectPr>
          <w:footerReference r:id="rId28" w:type="default"/>
          <w:pgSz w:w="11907" w:h="16839"/>
          <w:pgMar w:top="1427" w:right="1051" w:bottom="1154" w:left="1785" w:header="0" w:footer="954" w:gutter="0"/>
          <w:cols w:space="720" w:num="1"/>
        </w:sectPr>
      </w:pPr>
    </w:p>
    <w:p w14:paraId="17B2E8AB">
      <w:pPr>
        <w:spacing w:before="42" w:line="219" w:lineRule="auto"/>
        <w:ind w:left="43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4.7最后报价出现前后不一致的，按照本章第2.4条的规定修正。</w:t>
      </w:r>
    </w:p>
    <w:p w14:paraId="602A2BD3">
      <w:pPr>
        <w:spacing w:before="159" w:line="219" w:lineRule="auto"/>
        <w:ind w:left="43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4.8修正后的报价出现下列情形的，按无效响应处理：</w:t>
      </w:r>
    </w:p>
    <w:p w14:paraId="493D60EC">
      <w:pPr>
        <w:spacing w:before="158" w:line="220"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（1）供应商不确认的（全流程电子化评标采取在线确认</w:t>
      </w:r>
      <w:r>
        <w:rPr>
          <w:rFonts w:ascii="宋体" w:hAnsi="宋体" w:eastAsia="宋体" w:cs="宋体"/>
          <w:color w:val="auto"/>
          <w:spacing w:val="6"/>
          <w:sz w:val="21"/>
          <w:szCs w:val="21"/>
          <w:highlight w:val="none"/>
        </w:rPr>
        <w:t>）；</w:t>
      </w:r>
    </w:p>
    <w:p w14:paraId="0D513F8C">
      <w:pPr>
        <w:spacing w:before="160" w:line="289" w:lineRule="auto"/>
        <w:ind w:left="18" w:right="66" w:firstLine="42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（2）经供应商确认修正后的竞标报价（包含首次报价、最后报</w:t>
      </w:r>
      <w:r>
        <w:rPr>
          <w:rFonts w:ascii="宋体" w:hAnsi="宋体" w:eastAsia="宋体" w:cs="宋体"/>
          <w:color w:val="auto"/>
          <w:sz w:val="21"/>
          <w:szCs w:val="21"/>
          <w:highlight w:val="none"/>
        </w:rPr>
        <w:t>价）超过所竞标分标规定的采购预算金额或者最高限价的（如本项目公布了最</w:t>
      </w:r>
      <w:r>
        <w:rPr>
          <w:rFonts w:ascii="宋体" w:hAnsi="宋体" w:eastAsia="宋体" w:cs="宋体"/>
          <w:color w:val="auto"/>
          <w:spacing w:val="-1"/>
          <w:sz w:val="21"/>
          <w:szCs w:val="21"/>
          <w:highlight w:val="none"/>
        </w:rPr>
        <w:t>高限价</w:t>
      </w:r>
      <w:r>
        <w:rPr>
          <w:rFonts w:ascii="宋体" w:hAnsi="宋体" w:eastAsia="宋体" w:cs="宋体"/>
          <w:color w:val="auto"/>
          <w:sz w:val="21"/>
          <w:szCs w:val="21"/>
          <w:highlight w:val="none"/>
        </w:rPr>
        <w:t>）；</w:t>
      </w:r>
    </w:p>
    <w:p w14:paraId="51F21688">
      <w:pPr>
        <w:spacing w:before="158" w:line="289" w:lineRule="auto"/>
        <w:ind w:left="22" w:right="67" w:firstLine="42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（3）经供应商确认修正后的竞标报价（包含首次报价、最后</w:t>
      </w:r>
      <w:r>
        <w:rPr>
          <w:rFonts w:ascii="宋体" w:hAnsi="宋体" w:eastAsia="宋体" w:cs="宋体"/>
          <w:color w:val="auto"/>
          <w:sz w:val="21"/>
          <w:szCs w:val="21"/>
          <w:highlight w:val="none"/>
        </w:rPr>
        <w:t>报价）超过分项采购预算金额或</w:t>
      </w:r>
      <w:r>
        <w:rPr>
          <w:rFonts w:ascii="宋体" w:hAnsi="宋体" w:eastAsia="宋体" w:cs="宋体"/>
          <w:color w:val="auto"/>
          <w:spacing w:val="-2"/>
          <w:sz w:val="21"/>
          <w:szCs w:val="21"/>
          <w:highlight w:val="none"/>
        </w:rPr>
        <w:t>者最高限价的（如本项目公布了最高限价）。</w:t>
      </w:r>
    </w:p>
    <w:p w14:paraId="48FDA60B">
      <w:pPr>
        <w:spacing w:before="161" w:line="219" w:lineRule="auto"/>
        <w:ind w:left="4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4.9经供应商确认修正后的最后报价作为评审及签订合同的依据。</w:t>
      </w:r>
    </w:p>
    <w:p w14:paraId="30A10698">
      <w:pPr>
        <w:spacing w:before="163" w:line="219"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4.10 异常低价响应审查 </w:t>
      </w:r>
    </w:p>
    <w:p w14:paraId="0F00E4A5">
      <w:pPr>
        <w:spacing w:before="163" w:line="219"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（1）磋商小组在评审中发现下列情形之一的，应当启动异常低价响应审查程序：</w:t>
      </w:r>
    </w:p>
    <w:p w14:paraId="5E1B3B90">
      <w:pPr>
        <w:spacing w:before="163" w:line="219"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①响应报价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费率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低于全部通过符合性审查供应商响应报价平均值 </w:t>
      </w:r>
      <w:r>
        <w:rPr>
          <w:rFonts w:hint="eastAsia" w:ascii="宋体" w:hAnsi="宋体" w:eastAsia="宋体" w:cs="宋体"/>
          <w:color w:val="auto"/>
          <w:sz w:val="21"/>
          <w:szCs w:val="21"/>
          <w:highlight w:val="none"/>
          <w:lang w:val="en-US" w:eastAsia="zh-CN"/>
        </w:rPr>
        <w:t>50</w:t>
      </w:r>
      <w:r>
        <w:rPr>
          <w:rFonts w:hint="eastAsia" w:ascii="宋体" w:hAnsi="宋体" w:eastAsia="宋体" w:cs="宋体"/>
          <w:color w:val="auto"/>
          <w:sz w:val="21"/>
          <w:szCs w:val="21"/>
          <w:highlight w:val="none"/>
        </w:rPr>
        <w:t>%的，即响应报价＜全部通过符 合性审查供应商响应报价平均值×</w:t>
      </w:r>
      <w:r>
        <w:rPr>
          <w:rFonts w:hint="eastAsia" w:ascii="宋体" w:hAnsi="宋体" w:eastAsia="宋体" w:cs="宋体"/>
          <w:color w:val="auto"/>
          <w:sz w:val="21"/>
          <w:szCs w:val="21"/>
          <w:highlight w:val="none"/>
          <w:lang w:val="en-US" w:eastAsia="zh-CN"/>
        </w:rPr>
        <w:t>50</w:t>
      </w:r>
      <w:r>
        <w:rPr>
          <w:rFonts w:hint="eastAsia" w:ascii="宋体" w:hAnsi="宋体" w:eastAsia="宋体" w:cs="宋体"/>
          <w:color w:val="auto"/>
          <w:sz w:val="21"/>
          <w:szCs w:val="21"/>
          <w:highlight w:val="none"/>
        </w:rPr>
        <w:t xml:space="preserve">%； </w:t>
      </w:r>
    </w:p>
    <w:p w14:paraId="7DBE98D7">
      <w:pPr>
        <w:spacing w:before="163" w:line="219"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②响应报价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费率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低于通过符合性审查的次低报价供应商响应报价 </w:t>
      </w:r>
      <w:r>
        <w:rPr>
          <w:rFonts w:hint="eastAsia" w:ascii="宋体" w:hAnsi="宋体" w:eastAsia="宋体" w:cs="宋体"/>
          <w:color w:val="auto"/>
          <w:sz w:val="21"/>
          <w:szCs w:val="21"/>
          <w:highlight w:val="none"/>
          <w:lang w:val="en-US" w:eastAsia="zh-CN"/>
        </w:rPr>
        <w:t>50</w:t>
      </w:r>
      <w:r>
        <w:rPr>
          <w:rFonts w:hint="eastAsia" w:ascii="宋体" w:hAnsi="宋体" w:eastAsia="宋体" w:cs="宋体"/>
          <w:color w:val="auto"/>
          <w:sz w:val="21"/>
          <w:szCs w:val="21"/>
          <w:highlight w:val="none"/>
        </w:rPr>
        <w:t>%的，即响应报价＜通过符合性 审查的次低报价供应商响应报价×</w:t>
      </w:r>
      <w:r>
        <w:rPr>
          <w:rFonts w:hint="eastAsia" w:ascii="宋体" w:hAnsi="宋体" w:eastAsia="宋体" w:cs="宋体"/>
          <w:color w:val="auto"/>
          <w:sz w:val="21"/>
          <w:szCs w:val="21"/>
          <w:highlight w:val="none"/>
          <w:lang w:val="en-US" w:eastAsia="zh-CN"/>
        </w:rPr>
        <w:t>50</w:t>
      </w:r>
      <w:r>
        <w:rPr>
          <w:rFonts w:hint="eastAsia" w:ascii="宋体" w:hAnsi="宋体" w:eastAsia="宋体" w:cs="宋体"/>
          <w:color w:val="auto"/>
          <w:sz w:val="21"/>
          <w:szCs w:val="21"/>
          <w:highlight w:val="none"/>
        </w:rPr>
        <w:t xml:space="preserve">%； </w:t>
      </w:r>
    </w:p>
    <w:p w14:paraId="4595405A">
      <w:pPr>
        <w:spacing w:before="163" w:line="219"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③响应报价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费率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按费率计算后的报价（元）</w:t>
      </w:r>
      <w:r>
        <w:rPr>
          <w:rFonts w:hint="eastAsia" w:ascii="宋体" w:hAnsi="宋体" w:eastAsia="宋体" w:cs="宋体"/>
          <w:color w:val="auto"/>
          <w:sz w:val="21"/>
          <w:szCs w:val="21"/>
          <w:highlight w:val="none"/>
        </w:rPr>
        <w:t>低于采购项目最高限价</w:t>
      </w:r>
      <w:r>
        <w:rPr>
          <w:rFonts w:hint="eastAsia" w:ascii="宋体" w:hAnsi="宋体" w:eastAsia="宋体" w:cs="宋体"/>
          <w:color w:val="auto"/>
          <w:sz w:val="21"/>
          <w:szCs w:val="21"/>
          <w:highlight w:val="none"/>
          <w:lang w:val="en-US" w:eastAsia="zh-CN"/>
        </w:rPr>
        <w:t>45</w:t>
      </w:r>
      <w:r>
        <w:rPr>
          <w:rFonts w:hint="eastAsia" w:ascii="宋体" w:hAnsi="宋体" w:eastAsia="宋体" w:cs="宋体"/>
          <w:color w:val="auto"/>
          <w:sz w:val="21"/>
          <w:szCs w:val="21"/>
          <w:highlight w:val="none"/>
        </w:rPr>
        <w:t>%的，即响应报价＜采购项目最高限价×</w:t>
      </w:r>
      <w:r>
        <w:rPr>
          <w:rFonts w:hint="eastAsia" w:ascii="宋体" w:hAnsi="宋体" w:eastAsia="宋体" w:cs="宋体"/>
          <w:color w:val="auto"/>
          <w:sz w:val="21"/>
          <w:szCs w:val="21"/>
          <w:highlight w:val="none"/>
          <w:lang w:val="en-US" w:eastAsia="zh-CN"/>
        </w:rPr>
        <w:t>45</w:t>
      </w:r>
      <w:r>
        <w:rPr>
          <w:rFonts w:hint="eastAsia" w:ascii="宋体" w:hAnsi="宋体" w:eastAsia="宋体" w:cs="宋体"/>
          <w:color w:val="auto"/>
          <w:sz w:val="21"/>
          <w:szCs w:val="21"/>
          <w:highlight w:val="none"/>
        </w:rPr>
        <w:t xml:space="preserve">%； </w:t>
      </w:r>
    </w:p>
    <w:p w14:paraId="6FDC3F7F">
      <w:pPr>
        <w:spacing w:before="163" w:line="219"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④磋商小组基于专业判断，认为供应商报价过低，有可能影响产品质量或者不能诚信履约的其 他情形。 </w:t>
      </w:r>
    </w:p>
    <w:p w14:paraId="0C8DF9BD">
      <w:pPr>
        <w:spacing w:before="163" w:line="219"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66358939">
      <w:pPr>
        <w:spacing w:before="163" w:line="219"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磋商小组依据专业经验，参考同类项目中标（成交）价格、类似产品市场价格水平、行业人工 费用标准、国家有关部门指导行业协会发布的行业平均成本等情况，对报价合理性进行判断。相关 供应商不能提供书面说明、证明材料，或者提供的书面说明、证明材料不能证明其报价合理性的，磋商小组应当将其作为无效响应处理。 </w:t>
      </w:r>
    </w:p>
    <w:p w14:paraId="0A49D1F8">
      <w:pPr>
        <w:spacing w:before="163" w:line="219"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采购人、采购代理机构应当为磋商小组在评审现场及时获取同类项目中标（成交）价格、类似产品市场价格水平、行业人工费用标准、国家有关部门指导行业协会发布的行业平均成本等相关信 息资料提供便利。磋商小组借助互联网等渠道查询相关信息的，应当严格遵守评审工作纪律，不得实施影响评审公正的行为。 </w:t>
      </w:r>
    </w:p>
    <w:p w14:paraId="4BFB3FB4">
      <w:pPr>
        <w:spacing w:before="163" w:line="219"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异常低价响应审查的启动原因、审查意见和审查结果应当在评审报告中记录，并随供应商提供 的相关书面说明及证明材料，以及磋商小组有关互联网浏览、查询历史一并归档。</w:t>
      </w:r>
    </w:p>
    <w:p w14:paraId="4204DA11">
      <w:pPr>
        <w:spacing w:before="163" w:line="219" w:lineRule="auto"/>
        <w:ind w:left="0" w:leftChars="0" w:firstLine="420"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4.11供应商出现最后报价按无效响应处理或者响应文件按无效处理时，磋商小组应当告知有关供应商。</w:t>
      </w:r>
    </w:p>
    <w:p w14:paraId="7C6139B8">
      <w:pPr>
        <w:spacing w:before="163" w:line="219" w:lineRule="auto"/>
        <w:ind w:left="0" w:leftChars="0" w:firstLine="420"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ascii="宋体" w:hAnsi="宋体" w:eastAsia="宋体" w:cs="宋体"/>
          <w:color w:val="auto"/>
          <w:sz w:val="21"/>
          <w:szCs w:val="21"/>
          <w:highlight w:val="none"/>
        </w:rPr>
        <w:t>.1</w:t>
      </w:r>
      <w:r>
        <w:rPr>
          <w:rFonts w:hint="eastAsia" w:ascii="宋体" w:hAnsi="宋体" w:eastAsia="宋体" w:cs="宋体"/>
          <w:color w:val="auto"/>
          <w:sz w:val="21"/>
          <w:szCs w:val="21"/>
          <w:highlight w:val="none"/>
        </w:rPr>
        <w:t>2最后报价结束后，磋商小组不得再与供应商进行任何形式的商谈。</w:t>
      </w:r>
    </w:p>
    <w:p w14:paraId="3FA7DAC2">
      <w:pPr>
        <w:spacing w:before="167" w:line="219" w:lineRule="auto"/>
        <w:ind w:left="504"/>
        <w:rPr>
          <w:rFonts w:ascii="黑体" w:hAnsi="黑体" w:eastAsia="黑体" w:cs="黑体"/>
          <w:color w:val="auto"/>
          <w:sz w:val="24"/>
          <w:szCs w:val="24"/>
          <w:highlight w:val="none"/>
        </w:rPr>
      </w:pPr>
      <w:r>
        <w:rPr>
          <w:rFonts w:ascii="黑体" w:hAnsi="黑体" w:eastAsia="黑体" w:cs="黑体"/>
          <w:b/>
          <w:bCs/>
          <w:color w:val="auto"/>
          <w:spacing w:val="-4"/>
          <w:sz w:val="24"/>
          <w:szCs w:val="24"/>
          <w:highlight w:val="none"/>
        </w:rPr>
        <w:t>5.比较与评价</w:t>
      </w:r>
    </w:p>
    <w:p w14:paraId="2F3E69AC">
      <w:pPr>
        <w:spacing w:before="175" w:line="221" w:lineRule="auto"/>
        <w:ind w:left="444"/>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5.1评审方法：综合评分法。</w:t>
      </w:r>
    </w:p>
    <w:p w14:paraId="1F909288">
      <w:pPr>
        <w:spacing w:before="156" w:line="290" w:lineRule="auto"/>
        <w:ind w:left="22" w:right="53" w:firstLine="421"/>
        <w:rPr>
          <w:rFonts w:ascii="宋体" w:hAnsi="宋体" w:eastAsia="宋体" w:cs="宋体"/>
          <w:color w:val="auto"/>
          <w:sz w:val="21"/>
          <w:szCs w:val="21"/>
          <w:highlight w:val="none"/>
        </w:rPr>
      </w:pPr>
      <w:r>
        <w:rPr>
          <w:rFonts w:ascii="宋体" w:hAnsi="宋体" w:eastAsia="宋体" w:cs="宋体"/>
          <w:color w:val="auto"/>
          <w:sz w:val="21"/>
          <w:szCs w:val="21"/>
          <w:highlight w:val="none"/>
        </w:rPr>
        <w:t>5.2经磋商确定最终采购需求和提交最后报价的供</w:t>
      </w:r>
      <w:r>
        <w:rPr>
          <w:rFonts w:ascii="宋体" w:hAnsi="宋体" w:eastAsia="宋体" w:cs="宋体"/>
          <w:color w:val="auto"/>
          <w:spacing w:val="-1"/>
          <w:sz w:val="21"/>
          <w:szCs w:val="21"/>
          <w:highlight w:val="none"/>
        </w:rPr>
        <w:t>应商后，由磋商小组采用综合评分法对提交最后报价的供应商的响应文件和最后报价进行综合评</w:t>
      </w:r>
      <w:r>
        <w:rPr>
          <w:rFonts w:ascii="宋体" w:hAnsi="宋体" w:eastAsia="宋体" w:cs="宋体"/>
          <w:color w:val="auto"/>
          <w:spacing w:val="-2"/>
          <w:sz w:val="21"/>
          <w:szCs w:val="21"/>
          <w:highlight w:val="none"/>
        </w:rPr>
        <w:t>分。</w:t>
      </w:r>
    </w:p>
    <w:p w14:paraId="78F15DE3">
      <w:pPr>
        <w:spacing w:before="160" w:line="289" w:lineRule="auto"/>
        <w:ind w:left="20" w:right="55" w:firstLine="424"/>
        <w:rPr>
          <w:rFonts w:ascii="宋体" w:hAnsi="宋体" w:eastAsia="宋体" w:cs="宋体"/>
          <w:color w:val="auto"/>
          <w:sz w:val="21"/>
          <w:szCs w:val="21"/>
          <w:highlight w:val="none"/>
        </w:rPr>
      </w:pPr>
      <w:r>
        <w:rPr>
          <w:rFonts w:ascii="宋体" w:hAnsi="宋体" w:eastAsia="宋体" w:cs="宋体"/>
          <w:color w:val="auto"/>
          <w:sz w:val="21"/>
          <w:szCs w:val="21"/>
          <w:highlight w:val="none"/>
        </w:rPr>
        <w:t>5.3评审时，磋商小组各成员应当独立对每个有效</w:t>
      </w:r>
      <w:r>
        <w:rPr>
          <w:rFonts w:ascii="宋体" w:hAnsi="宋体" w:eastAsia="宋体" w:cs="宋体"/>
          <w:color w:val="auto"/>
          <w:spacing w:val="-1"/>
          <w:sz w:val="21"/>
          <w:szCs w:val="21"/>
          <w:highlight w:val="none"/>
        </w:rPr>
        <w:t>响应的文件进行评价、打分，然后汇总每个</w:t>
      </w:r>
      <w:r>
        <w:rPr>
          <w:rFonts w:ascii="宋体" w:hAnsi="宋体" w:eastAsia="宋体" w:cs="宋体"/>
          <w:color w:val="auto"/>
          <w:spacing w:val="-2"/>
          <w:sz w:val="21"/>
          <w:szCs w:val="21"/>
          <w:highlight w:val="none"/>
        </w:rPr>
        <w:t>供应商每项评分因素的得分。</w:t>
      </w:r>
    </w:p>
    <w:p w14:paraId="31B5030E">
      <w:pPr>
        <w:spacing w:before="157" w:line="289" w:lineRule="auto"/>
        <w:ind w:left="23" w:right="105" w:firstLine="422"/>
        <w:rPr>
          <w:rFonts w:ascii="宋体" w:hAnsi="宋体" w:eastAsia="宋体" w:cs="宋体"/>
          <w:color w:val="auto"/>
          <w:sz w:val="21"/>
          <w:szCs w:val="21"/>
          <w:highlight w:val="none"/>
        </w:rPr>
      </w:pPr>
      <w:r>
        <w:rPr>
          <w:rFonts w:ascii="宋体" w:hAnsi="宋体" w:eastAsia="宋体" w:cs="宋体"/>
          <w:color w:val="auto"/>
          <w:sz w:val="21"/>
          <w:szCs w:val="21"/>
          <w:highlight w:val="none"/>
        </w:rPr>
        <w:t>（1）磋商小组按照磋商文件中规定的评审标准计算各供应商的报价</w:t>
      </w:r>
      <w:r>
        <w:rPr>
          <w:rFonts w:ascii="宋体" w:hAnsi="宋体" w:eastAsia="宋体" w:cs="宋体"/>
          <w:color w:val="auto"/>
          <w:spacing w:val="-1"/>
          <w:sz w:val="21"/>
          <w:szCs w:val="21"/>
          <w:highlight w:val="none"/>
        </w:rPr>
        <w:t>得分。项目评审过程中，</w:t>
      </w:r>
      <w:r>
        <w:rPr>
          <w:rFonts w:ascii="宋体" w:hAnsi="宋体" w:eastAsia="宋体" w:cs="宋体"/>
          <w:color w:val="auto"/>
          <w:spacing w:val="-2"/>
          <w:sz w:val="21"/>
          <w:szCs w:val="21"/>
          <w:highlight w:val="none"/>
        </w:rPr>
        <w:t>不得去掉最后报价中的最高报价和最低报价。</w:t>
      </w:r>
    </w:p>
    <w:p w14:paraId="573419E2">
      <w:pPr>
        <w:spacing w:before="162" w:line="220" w:lineRule="auto"/>
        <w:ind w:left="446"/>
        <w:rPr>
          <w:rFonts w:ascii="宋体" w:hAnsi="宋体" w:eastAsia="宋体" w:cs="宋体"/>
          <w:color w:val="auto"/>
          <w:sz w:val="21"/>
          <w:szCs w:val="21"/>
          <w:highlight w:val="none"/>
        </w:rPr>
      </w:pPr>
      <w:r>
        <w:rPr>
          <w:rFonts w:ascii="宋体" w:hAnsi="宋体" w:eastAsia="宋体" w:cs="宋体"/>
          <w:color w:val="auto"/>
          <w:sz w:val="21"/>
          <w:szCs w:val="21"/>
          <w:highlight w:val="none"/>
        </w:rPr>
        <w:t>（2）各供应商的得分为磋商小组所有成员的</w:t>
      </w:r>
      <w:r>
        <w:rPr>
          <w:rFonts w:ascii="宋体" w:hAnsi="宋体" w:eastAsia="宋体" w:cs="宋体"/>
          <w:color w:val="auto"/>
          <w:spacing w:val="-1"/>
          <w:sz w:val="21"/>
          <w:szCs w:val="21"/>
          <w:highlight w:val="none"/>
        </w:rPr>
        <w:t>有效评分的算术平均数。</w:t>
      </w:r>
    </w:p>
    <w:p w14:paraId="7D6FF186">
      <w:pPr>
        <w:spacing w:before="157" w:line="289" w:lineRule="auto"/>
        <w:ind w:left="22" w:right="53" w:firstLine="422"/>
        <w:rPr>
          <w:rFonts w:ascii="宋体" w:hAnsi="宋体" w:eastAsia="宋体" w:cs="宋体"/>
          <w:color w:val="auto"/>
          <w:sz w:val="21"/>
          <w:szCs w:val="21"/>
          <w:highlight w:val="none"/>
        </w:rPr>
      </w:pPr>
      <w:r>
        <w:rPr>
          <w:rFonts w:ascii="宋体" w:hAnsi="宋体" w:eastAsia="宋体" w:cs="宋体"/>
          <w:color w:val="auto"/>
          <w:sz w:val="21"/>
          <w:szCs w:val="21"/>
          <w:highlight w:val="none"/>
        </w:rPr>
        <w:t>5.4评审价为供应商的最后报价进行政策性扣除后的价</w:t>
      </w:r>
      <w:r>
        <w:rPr>
          <w:rFonts w:ascii="宋体" w:hAnsi="宋体" w:eastAsia="宋体" w:cs="宋体"/>
          <w:color w:val="auto"/>
          <w:spacing w:val="-1"/>
          <w:sz w:val="21"/>
          <w:szCs w:val="21"/>
          <w:highlight w:val="none"/>
        </w:rPr>
        <w:t>格，评审价只是作为评审时使用。最终</w:t>
      </w:r>
      <w:r>
        <w:rPr>
          <w:rFonts w:ascii="宋体" w:hAnsi="宋体" w:eastAsia="宋体" w:cs="宋体"/>
          <w:color w:val="auto"/>
          <w:sz w:val="21"/>
          <w:szCs w:val="21"/>
          <w:highlight w:val="none"/>
        </w:rPr>
        <w:t>成交供应商的成交金额等于最后报价（如有修正，以确认修正后的最后报价</w:t>
      </w:r>
      <w:r>
        <w:rPr>
          <w:rFonts w:ascii="宋体" w:hAnsi="宋体" w:eastAsia="宋体" w:cs="宋体"/>
          <w:color w:val="auto"/>
          <w:spacing w:val="-1"/>
          <w:sz w:val="21"/>
          <w:szCs w:val="21"/>
          <w:highlight w:val="none"/>
        </w:rPr>
        <w:t>为准）。</w:t>
      </w:r>
    </w:p>
    <w:p w14:paraId="3231623D">
      <w:pPr>
        <w:spacing w:before="159" w:line="313" w:lineRule="auto"/>
        <w:ind w:left="25" w:firstLine="419"/>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5.5由磋商小组根据综合评分情况，按照评审得分由高到低顺序推荐3名以上成交候选</w:t>
      </w:r>
      <w:r>
        <w:rPr>
          <w:rFonts w:ascii="宋体" w:hAnsi="宋体" w:eastAsia="宋体" w:cs="宋体"/>
          <w:color w:val="auto"/>
          <w:spacing w:val="-6"/>
          <w:sz w:val="21"/>
          <w:szCs w:val="21"/>
          <w:highlight w:val="none"/>
        </w:rPr>
        <w:t>供应商，</w:t>
      </w:r>
      <w:r>
        <w:rPr>
          <w:rFonts w:ascii="宋体" w:hAnsi="宋体" w:eastAsia="宋体" w:cs="宋体"/>
          <w:color w:val="auto"/>
          <w:spacing w:val="-2"/>
          <w:sz w:val="21"/>
          <w:szCs w:val="21"/>
          <w:highlight w:val="none"/>
        </w:rPr>
        <w:t>并编写评审报告。符合本章第4.3条情形的，可以推荐2家成交候选供</w:t>
      </w:r>
      <w:r>
        <w:rPr>
          <w:rFonts w:ascii="宋体" w:hAnsi="宋体" w:eastAsia="宋体" w:cs="宋体"/>
          <w:color w:val="auto"/>
          <w:spacing w:val="-3"/>
          <w:sz w:val="21"/>
          <w:szCs w:val="21"/>
          <w:highlight w:val="none"/>
        </w:rPr>
        <w:t>应商。评审得分相同的，按</w:t>
      </w:r>
      <w:r>
        <w:rPr>
          <w:rFonts w:ascii="宋体" w:hAnsi="宋体" w:eastAsia="宋体" w:cs="宋体"/>
          <w:color w:val="auto"/>
          <w:sz w:val="21"/>
          <w:szCs w:val="21"/>
          <w:highlight w:val="none"/>
        </w:rPr>
        <w:t>照最后报价由低到高的顺序推荐。评审得分且最后报价相同的，按照技术指标优</w:t>
      </w:r>
      <w:r>
        <w:rPr>
          <w:rFonts w:ascii="宋体" w:hAnsi="宋体" w:eastAsia="宋体" w:cs="宋体"/>
          <w:color w:val="auto"/>
          <w:spacing w:val="-1"/>
          <w:sz w:val="21"/>
          <w:szCs w:val="21"/>
          <w:highlight w:val="none"/>
        </w:rPr>
        <w:t>劣顺序推荐。</w:t>
      </w:r>
    </w:p>
    <w:p w14:paraId="57731C6B">
      <w:pPr>
        <w:spacing w:before="160" w:line="324" w:lineRule="auto"/>
        <w:ind w:left="22" w:right="53" w:firstLine="422"/>
        <w:rPr>
          <w:rFonts w:ascii="宋体" w:hAnsi="宋体" w:eastAsia="宋体" w:cs="宋体"/>
          <w:color w:val="auto"/>
          <w:sz w:val="21"/>
          <w:szCs w:val="21"/>
          <w:highlight w:val="none"/>
        </w:rPr>
      </w:pPr>
      <w:r>
        <w:rPr>
          <w:rFonts w:ascii="宋体" w:hAnsi="宋体" w:eastAsia="宋体" w:cs="宋体"/>
          <w:color w:val="auto"/>
          <w:sz w:val="21"/>
          <w:szCs w:val="21"/>
          <w:highlight w:val="none"/>
        </w:rPr>
        <w:t>5.6评审报告应当由磋商小组全体人员签字认可。磋商</w:t>
      </w:r>
      <w:r>
        <w:rPr>
          <w:rFonts w:ascii="宋体" w:hAnsi="宋体" w:eastAsia="宋体" w:cs="宋体"/>
          <w:color w:val="auto"/>
          <w:spacing w:val="-1"/>
          <w:sz w:val="21"/>
          <w:szCs w:val="21"/>
          <w:highlight w:val="none"/>
        </w:rPr>
        <w:t>小组成员对评审报告有异议的，磋商小组按照少数服从多数的原则推荐成交候选供应商，采购程</w:t>
      </w:r>
      <w:r>
        <w:rPr>
          <w:rFonts w:ascii="宋体" w:hAnsi="宋体" w:eastAsia="宋体" w:cs="宋体"/>
          <w:color w:val="auto"/>
          <w:spacing w:val="-2"/>
          <w:sz w:val="21"/>
          <w:szCs w:val="21"/>
          <w:highlight w:val="none"/>
        </w:rPr>
        <w:t>序继续进行。对评审报告有异议的磋商小</w:t>
      </w:r>
      <w:r>
        <w:rPr>
          <w:rFonts w:ascii="宋体" w:hAnsi="宋体" w:eastAsia="宋体" w:cs="宋体"/>
          <w:color w:val="auto"/>
          <w:spacing w:val="-1"/>
          <w:sz w:val="21"/>
          <w:szCs w:val="21"/>
          <w:highlight w:val="none"/>
        </w:rPr>
        <w:t>组成员，应当在报告上签署不同意见并说明理由，由磋商小组</w:t>
      </w:r>
      <w:r>
        <w:rPr>
          <w:rFonts w:ascii="宋体" w:hAnsi="宋体" w:eastAsia="宋体" w:cs="宋体"/>
          <w:color w:val="auto"/>
          <w:spacing w:val="-2"/>
          <w:sz w:val="21"/>
          <w:szCs w:val="21"/>
          <w:highlight w:val="none"/>
        </w:rPr>
        <w:t>书面记录相关情况。磋商小组成员拒</w:t>
      </w:r>
      <w:r>
        <w:rPr>
          <w:rFonts w:ascii="宋体" w:hAnsi="宋体" w:eastAsia="宋体" w:cs="宋体"/>
          <w:color w:val="auto"/>
          <w:sz w:val="21"/>
          <w:szCs w:val="21"/>
          <w:highlight w:val="none"/>
        </w:rPr>
        <w:t>绝在报告上签字又不书面说明其不同意见和理由的，视为同意评</w:t>
      </w:r>
      <w:r>
        <w:rPr>
          <w:rFonts w:ascii="宋体" w:hAnsi="宋体" w:eastAsia="宋体" w:cs="宋体"/>
          <w:color w:val="auto"/>
          <w:spacing w:val="-1"/>
          <w:sz w:val="21"/>
          <w:szCs w:val="21"/>
          <w:highlight w:val="none"/>
        </w:rPr>
        <w:t>审报告。</w:t>
      </w:r>
    </w:p>
    <w:p w14:paraId="024F2797">
      <w:pPr>
        <w:pStyle w:val="4"/>
        <w:spacing w:line="346" w:lineRule="auto"/>
        <w:rPr>
          <w:color w:val="auto"/>
          <w:highlight w:val="none"/>
        </w:rPr>
      </w:pPr>
    </w:p>
    <w:p w14:paraId="13C2ABFB">
      <w:pPr>
        <w:pStyle w:val="4"/>
        <w:spacing w:line="347" w:lineRule="auto"/>
        <w:rPr>
          <w:color w:val="auto"/>
          <w:highlight w:val="none"/>
        </w:rPr>
      </w:pPr>
    </w:p>
    <w:p w14:paraId="7486A144">
      <w:pPr>
        <w:spacing w:before="101" w:line="226" w:lineRule="auto"/>
        <w:ind w:left="3553"/>
        <w:rPr>
          <w:rFonts w:ascii="宋体" w:hAnsi="宋体" w:eastAsia="宋体" w:cs="宋体"/>
          <w:color w:val="auto"/>
          <w:sz w:val="31"/>
          <w:szCs w:val="31"/>
          <w:highlight w:val="none"/>
        </w:rPr>
      </w:pPr>
      <w:r>
        <w:rPr>
          <w:rFonts w:ascii="宋体" w:hAnsi="宋体" w:eastAsia="宋体" w:cs="宋体"/>
          <w:b/>
          <w:bCs/>
          <w:color w:val="auto"/>
          <w:spacing w:val="5"/>
          <w:sz w:val="31"/>
          <w:szCs w:val="31"/>
          <w:highlight w:val="none"/>
        </w:rPr>
        <w:t>二、评审标准</w:t>
      </w:r>
    </w:p>
    <w:p w14:paraId="67E9AFC0">
      <w:pPr>
        <w:spacing w:before="226" w:line="361" w:lineRule="auto"/>
        <w:ind w:left="22" w:right="55" w:firstLine="41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6.评审依据：磋商小组将以磋商响应文件为评审</w:t>
      </w:r>
      <w:r>
        <w:rPr>
          <w:rFonts w:ascii="宋体" w:hAnsi="宋体" w:eastAsia="宋体" w:cs="宋体"/>
          <w:color w:val="auto"/>
          <w:spacing w:val="-2"/>
          <w:sz w:val="21"/>
          <w:szCs w:val="21"/>
          <w:highlight w:val="none"/>
        </w:rPr>
        <w:t>依据，对供应商的报价、技术、商务等方面内</w:t>
      </w:r>
      <w:r>
        <w:rPr>
          <w:rFonts w:ascii="宋体" w:hAnsi="宋体" w:eastAsia="宋体" w:cs="宋体"/>
          <w:color w:val="auto"/>
          <w:spacing w:val="-1"/>
          <w:sz w:val="21"/>
          <w:szCs w:val="21"/>
          <w:highlight w:val="none"/>
        </w:rPr>
        <w:t>容按百分制打分。（计分方法按四舍五入取至百分位）</w:t>
      </w:r>
    </w:p>
    <w:p w14:paraId="58A7E6CC">
      <w:pPr>
        <w:spacing w:line="361" w:lineRule="auto"/>
        <w:rPr>
          <w:rFonts w:ascii="宋体" w:hAnsi="宋体" w:eastAsia="宋体" w:cs="宋体"/>
          <w:color w:val="auto"/>
          <w:sz w:val="21"/>
          <w:szCs w:val="21"/>
          <w:highlight w:val="none"/>
        </w:rPr>
        <w:sectPr>
          <w:footerReference r:id="rId29" w:type="default"/>
          <w:pgSz w:w="11907" w:h="16839"/>
          <w:pgMar w:top="1427" w:right="1073" w:bottom="1154" w:left="1785" w:header="0" w:footer="954" w:gutter="0"/>
          <w:cols w:space="720" w:num="1"/>
        </w:sectPr>
      </w:pPr>
    </w:p>
    <w:p w14:paraId="5B35A780">
      <w:pPr>
        <w:spacing w:line="91" w:lineRule="auto"/>
        <w:rPr>
          <w:rFonts w:ascii="Arial"/>
          <w:color w:val="auto"/>
          <w:sz w:val="2"/>
          <w:highlight w:val="none"/>
        </w:rPr>
      </w:pPr>
    </w:p>
    <w:tbl>
      <w:tblPr>
        <w:tblStyle w:val="11"/>
        <w:tblW w:w="981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0"/>
        <w:gridCol w:w="1235"/>
        <w:gridCol w:w="7008"/>
        <w:gridCol w:w="814"/>
      </w:tblGrid>
      <w:tr w14:paraId="3B5C8D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60" w:type="dxa"/>
            <w:vAlign w:val="top"/>
          </w:tcPr>
          <w:p w14:paraId="6546B6B9">
            <w:pPr>
              <w:pStyle w:val="12"/>
              <w:spacing w:before="175" w:line="222" w:lineRule="auto"/>
              <w:ind w:left="172"/>
              <w:rPr>
                <w:color w:val="auto"/>
                <w:highlight w:val="none"/>
              </w:rPr>
            </w:pPr>
            <w:r>
              <w:rPr>
                <w:b/>
                <w:bCs/>
                <w:color w:val="auto"/>
                <w:spacing w:val="-4"/>
                <w:highlight w:val="none"/>
              </w:rPr>
              <w:t>序号</w:t>
            </w:r>
          </w:p>
        </w:tc>
        <w:tc>
          <w:tcPr>
            <w:tcW w:w="1235" w:type="dxa"/>
            <w:vAlign w:val="top"/>
          </w:tcPr>
          <w:p w14:paraId="0D3D27A6">
            <w:pPr>
              <w:pStyle w:val="12"/>
              <w:spacing w:before="175" w:line="221" w:lineRule="auto"/>
              <w:ind w:left="199"/>
              <w:rPr>
                <w:color w:val="auto"/>
                <w:highlight w:val="none"/>
              </w:rPr>
            </w:pPr>
            <w:r>
              <w:rPr>
                <w:b/>
                <w:bCs/>
                <w:color w:val="auto"/>
                <w:spacing w:val="-3"/>
                <w:highlight w:val="none"/>
              </w:rPr>
              <w:t>评审因素</w:t>
            </w:r>
          </w:p>
        </w:tc>
        <w:tc>
          <w:tcPr>
            <w:tcW w:w="7008" w:type="dxa"/>
            <w:vAlign w:val="top"/>
          </w:tcPr>
          <w:p w14:paraId="20A2AB0E">
            <w:pPr>
              <w:pStyle w:val="12"/>
              <w:spacing w:before="175" w:line="221" w:lineRule="auto"/>
              <w:ind w:left="2668"/>
              <w:rPr>
                <w:color w:val="auto"/>
                <w:highlight w:val="none"/>
              </w:rPr>
            </w:pPr>
            <w:r>
              <w:rPr>
                <w:b/>
                <w:bCs/>
                <w:color w:val="auto"/>
                <w:spacing w:val="-2"/>
                <w:highlight w:val="none"/>
              </w:rPr>
              <w:t>评审因素具体内容</w:t>
            </w:r>
          </w:p>
        </w:tc>
        <w:tc>
          <w:tcPr>
            <w:tcW w:w="814" w:type="dxa"/>
            <w:vAlign w:val="top"/>
          </w:tcPr>
          <w:p w14:paraId="700F921A">
            <w:pPr>
              <w:pStyle w:val="12"/>
              <w:spacing w:before="175" w:line="221" w:lineRule="auto"/>
              <w:ind w:left="200"/>
              <w:rPr>
                <w:color w:val="auto"/>
                <w:highlight w:val="none"/>
              </w:rPr>
            </w:pPr>
            <w:r>
              <w:rPr>
                <w:b/>
                <w:bCs/>
                <w:color w:val="auto"/>
                <w:spacing w:val="-5"/>
                <w:highlight w:val="none"/>
              </w:rPr>
              <w:t>分值</w:t>
            </w:r>
          </w:p>
        </w:tc>
      </w:tr>
      <w:tr w14:paraId="0494BB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60" w:type="dxa"/>
            <w:vAlign w:val="top"/>
          </w:tcPr>
          <w:p w14:paraId="583DCCEA">
            <w:pPr>
              <w:spacing w:line="252" w:lineRule="auto"/>
              <w:rPr>
                <w:rFonts w:ascii="Arial"/>
                <w:color w:val="auto"/>
                <w:sz w:val="21"/>
                <w:highlight w:val="none"/>
              </w:rPr>
            </w:pPr>
          </w:p>
          <w:p w14:paraId="54E4F60B">
            <w:pPr>
              <w:spacing w:line="253" w:lineRule="auto"/>
              <w:rPr>
                <w:rFonts w:ascii="Arial"/>
                <w:color w:val="auto"/>
                <w:sz w:val="21"/>
                <w:highlight w:val="none"/>
              </w:rPr>
            </w:pPr>
          </w:p>
          <w:p w14:paraId="63D8A25E">
            <w:pPr>
              <w:spacing w:line="253" w:lineRule="auto"/>
              <w:rPr>
                <w:rFonts w:ascii="Arial"/>
                <w:color w:val="auto"/>
                <w:sz w:val="21"/>
                <w:highlight w:val="none"/>
              </w:rPr>
            </w:pPr>
          </w:p>
          <w:p w14:paraId="57E56A69">
            <w:pPr>
              <w:pStyle w:val="12"/>
              <w:spacing w:before="69" w:line="242" w:lineRule="auto"/>
              <w:ind w:left="347"/>
              <w:rPr>
                <w:color w:val="auto"/>
                <w:highlight w:val="none"/>
              </w:rPr>
            </w:pPr>
            <w:r>
              <w:rPr>
                <w:color w:val="auto"/>
                <w:highlight w:val="none"/>
              </w:rPr>
              <w:t>1</w:t>
            </w:r>
          </w:p>
        </w:tc>
        <w:tc>
          <w:tcPr>
            <w:tcW w:w="1235" w:type="dxa"/>
            <w:vAlign w:val="top"/>
          </w:tcPr>
          <w:p w14:paraId="09E69BA2">
            <w:pPr>
              <w:spacing w:line="252" w:lineRule="auto"/>
              <w:rPr>
                <w:rFonts w:ascii="Arial"/>
                <w:color w:val="auto"/>
                <w:sz w:val="21"/>
                <w:highlight w:val="none"/>
              </w:rPr>
            </w:pPr>
          </w:p>
          <w:p w14:paraId="1425C37E">
            <w:pPr>
              <w:spacing w:line="253" w:lineRule="auto"/>
              <w:rPr>
                <w:rFonts w:ascii="Arial"/>
                <w:color w:val="auto"/>
                <w:sz w:val="21"/>
                <w:highlight w:val="none"/>
              </w:rPr>
            </w:pPr>
          </w:p>
          <w:p w14:paraId="196230D9">
            <w:pPr>
              <w:spacing w:line="253" w:lineRule="auto"/>
              <w:rPr>
                <w:rFonts w:ascii="Arial"/>
                <w:color w:val="auto"/>
                <w:sz w:val="21"/>
                <w:highlight w:val="none"/>
              </w:rPr>
            </w:pPr>
          </w:p>
          <w:p w14:paraId="6F172783">
            <w:pPr>
              <w:pStyle w:val="12"/>
              <w:spacing w:before="69" w:line="219" w:lineRule="auto"/>
              <w:ind w:left="307"/>
              <w:rPr>
                <w:color w:val="auto"/>
                <w:highlight w:val="none"/>
              </w:rPr>
            </w:pPr>
            <w:r>
              <w:rPr>
                <w:color w:val="auto"/>
                <w:spacing w:val="-2"/>
                <w:highlight w:val="none"/>
              </w:rPr>
              <w:t>价格分</w:t>
            </w:r>
          </w:p>
        </w:tc>
        <w:tc>
          <w:tcPr>
            <w:tcW w:w="7008" w:type="dxa"/>
            <w:vAlign w:val="top"/>
          </w:tcPr>
          <w:p w14:paraId="3206CB64">
            <w:pPr>
              <w:pStyle w:val="12"/>
              <w:spacing w:before="170" w:line="304" w:lineRule="auto"/>
              <w:ind w:left="115" w:right="98" w:firstLine="423"/>
              <w:rPr>
                <w:color w:val="auto"/>
                <w:highlight w:val="none"/>
              </w:rPr>
            </w:pPr>
            <w:r>
              <w:rPr>
                <w:color w:val="auto"/>
                <w:spacing w:val="-1"/>
                <w:highlight w:val="none"/>
              </w:rPr>
              <w:t>（1）以进入比较与评价环节的最低的磋商报价为基准价，基准价</w:t>
            </w:r>
            <w:r>
              <w:rPr>
                <w:color w:val="auto"/>
                <w:spacing w:val="-2"/>
                <w:highlight w:val="none"/>
              </w:rPr>
              <w:t>得分</w:t>
            </w:r>
            <w:r>
              <w:rPr>
                <w:color w:val="auto"/>
                <w:spacing w:val="-8"/>
                <w:highlight w:val="none"/>
              </w:rPr>
              <w:t>为20分。</w:t>
            </w:r>
          </w:p>
          <w:p w14:paraId="412DDA1E">
            <w:pPr>
              <w:pStyle w:val="12"/>
              <w:spacing w:before="187" w:line="219" w:lineRule="auto"/>
              <w:ind w:left="539"/>
              <w:rPr>
                <w:color w:val="auto"/>
                <w:highlight w:val="none"/>
              </w:rPr>
            </w:pPr>
            <w:r>
              <w:rPr>
                <w:color w:val="auto"/>
                <w:spacing w:val="-4"/>
                <w:highlight w:val="none"/>
              </w:rPr>
              <w:t>（2）价格分计算公式：</w:t>
            </w:r>
          </w:p>
          <w:p w14:paraId="7C5892B0">
            <w:pPr>
              <w:pStyle w:val="12"/>
              <w:spacing w:before="192" w:line="219" w:lineRule="auto"/>
              <w:ind w:left="531"/>
              <w:rPr>
                <w:color w:val="auto"/>
                <w:highlight w:val="none"/>
              </w:rPr>
            </w:pPr>
            <w:r>
              <w:rPr>
                <w:color w:val="auto"/>
                <w:spacing w:val="-3"/>
                <w:highlight w:val="none"/>
              </w:rPr>
              <w:t>报价得分=（基准价/最后报价）×20分</w:t>
            </w:r>
          </w:p>
        </w:tc>
        <w:tc>
          <w:tcPr>
            <w:tcW w:w="814" w:type="dxa"/>
            <w:vAlign w:val="top"/>
          </w:tcPr>
          <w:p w14:paraId="7D1BDA26">
            <w:pPr>
              <w:spacing w:line="252" w:lineRule="auto"/>
              <w:rPr>
                <w:rFonts w:ascii="Arial"/>
                <w:color w:val="auto"/>
                <w:sz w:val="21"/>
                <w:highlight w:val="none"/>
              </w:rPr>
            </w:pPr>
          </w:p>
          <w:p w14:paraId="4A58E943">
            <w:pPr>
              <w:spacing w:line="253" w:lineRule="auto"/>
              <w:rPr>
                <w:rFonts w:ascii="Arial"/>
                <w:color w:val="auto"/>
                <w:sz w:val="21"/>
                <w:highlight w:val="none"/>
              </w:rPr>
            </w:pPr>
          </w:p>
          <w:p w14:paraId="25C9323E">
            <w:pPr>
              <w:spacing w:line="253" w:lineRule="auto"/>
              <w:rPr>
                <w:rFonts w:ascii="Arial"/>
                <w:color w:val="auto"/>
                <w:sz w:val="21"/>
                <w:highlight w:val="none"/>
              </w:rPr>
            </w:pPr>
          </w:p>
          <w:p w14:paraId="5FBF8484">
            <w:pPr>
              <w:pStyle w:val="12"/>
              <w:spacing w:before="69" w:line="221" w:lineRule="auto"/>
              <w:ind w:left="173"/>
              <w:rPr>
                <w:color w:val="auto"/>
                <w:highlight w:val="none"/>
              </w:rPr>
            </w:pPr>
            <w:r>
              <w:rPr>
                <w:color w:val="auto"/>
                <w:spacing w:val="-4"/>
                <w:highlight w:val="none"/>
              </w:rPr>
              <w:t>20分</w:t>
            </w:r>
          </w:p>
        </w:tc>
      </w:tr>
      <w:tr w14:paraId="08A63E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760" w:type="dxa"/>
            <w:vAlign w:val="top"/>
          </w:tcPr>
          <w:p w14:paraId="2A4451FD">
            <w:pPr>
              <w:pStyle w:val="12"/>
              <w:spacing w:before="172" w:line="232" w:lineRule="auto"/>
              <w:ind w:left="334"/>
              <w:rPr>
                <w:color w:val="auto"/>
                <w:highlight w:val="none"/>
              </w:rPr>
            </w:pPr>
            <w:r>
              <w:rPr>
                <w:color w:val="auto"/>
                <w:highlight w:val="none"/>
              </w:rPr>
              <w:t>2</w:t>
            </w:r>
          </w:p>
        </w:tc>
        <w:tc>
          <w:tcPr>
            <w:tcW w:w="1235" w:type="dxa"/>
            <w:vAlign w:val="top"/>
          </w:tcPr>
          <w:p w14:paraId="75AB54A2">
            <w:pPr>
              <w:pStyle w:val="12"/>
              <w:spacing w:before="171" w:line="221" w:lineRule="auto"/>
              <w:ind w:left="307"/>
              <w:rPr>
                <w:color w:val="auto"/>
                <w:highlight w:val="none"/>
              </w:rPr>
            </w:pPr>
            <w:r>
              <w:rPr>
                <w:color w:val="auto"/>
                <w:spacing w:val="-2"/>
                <w:highlight w:val="none"/>
              </w:rPr>
              <w:t>技术分</w:t>
            </w:r>
          </w:p>
        </w:tc>
        <w:tc>
          <w:tcPr>
            <w:tcW w:w="7822" w:type="dxa"/>
            <w:gridSpan w:val="2"/>
            <w:vAlign w:val="top"/>
          </w:tcPr>
          <w:p w14:paraId="506AE793">
            <w:pPr>
              <w:pStyle w:val="12"/>
              <w:spacing w:before="171" w:line="221" w:lineRule="auto"/>
              <w:ind w:left="3494"/>
              <w:rPr>
                <w:color w:val="auto"/>
                <w:highlight w:val="none"/>
              </w:rPr>
            </w:pPr>
            <w:r>
              <w:rPr>
                <w:color w:val="auto"/>
                <w:spacing w:val="-1"/>
                <w:highlight w:val="none"/>
              </w:rPr>
              <w:t>评审因素</w:t>
            </w:r>
          </w:p>
        </w:tc>
      </w:tr>
      <w:tr w14:paraId="263A28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760" w:type="dxa"/>
            <w:vAlign w:val="top"/>
          </w:tcPr>
          <w:p w14:paraId="5E1D3556">
            <w:pPr>
              <w:spacing w:line="250" w:lineRule="auto"/>
              <w:rPr>
                <w:rFonts w:ascii="Arial"/>
                <w:color w:val="auto"/>
                <w:sz w:val="21"/>
                <w:highlight w:val="none"/>
              </w:rPr>
            </w:pPr>
          </w:p>
          <w:p w14:paraId="715F806A">
            <w:pPr>
              <w:spacing w:line="250" w:lineRule="auto"/>
              <w:rPr>
                <w:rFonts w:ascii="Arial"/>
                <w:color w:val="auto"/>
                <w:sz w:val="21"/>
                <w:highlight w:val="none"/>
              </w:rPr>
            </w:pPr>
          </w:p>
          <w:p w14:paraId="23D5E17D">
            <w:pPr>
              <w:spacing w:line="251" w:lineRule="auto"/>
              <w:rPr>
                <w:rFonts w:ascii="Arial"/>
                <w:color w:val="auto"/>
                <w:sz w:val="21"/>
                <w:highlight w:val="none"/>
              </w:rPr>
            </w:pPr>
          </w:p>
          <w:p w14:paraId="04BEEC2E">
            <w:pPr>
              <w:spacing w:line="251" w:lineRule="auto"/>
              <w:rPr>
                <w:rFonts w:ascii="Arial"/>
                <w:color w:val="auto"/>
                <w:sz w:val="21"/>
                <w:highlight w:val="none"/>
              </w:rPr>
            </w:pPr>
          </w:p>
          <w:p w14:paraId="49CB2619">
            <w:pPr>
              <w:spacing w:line="251" w:lineRule="auto"/>
              <w:rPr>
                <w:rFonts w:ascii="Arial"/>
                <w:color w:val="auto"/>
                <w:sz w:val="21"/>
                <w:highlight w:val="none"/>
              </w:rPr>
            </w:pPr>
          </w:p>
          <w:p w14:paraId="400DD223">
            <w:pPr>
              <w:spacing w:line="251" w:lineRule="auto"/>
              <w:rPr>
                <w:rFonts w:ascii="Arial"/>
                <w:color w:val="auto"/>
                <w:sz w:val="21"/>
                <w:highlight w:val="none"/>
              </w:rPr>
            </w:pPr>
          </w:p>
          <w:p w14:paraId="7F0B22C3">
            <w:pPr>
              <w:spacing w:line="251" w:lineRule="auto"/>
              <w:rPr>
                <w:rFonts w:ascii="Arial"/>
                <w:color w:val="auto"/>
                <w:sz w:val="21"/>
                <w:highlight w:val="none"/>
              </w:rPr>
            </w:pPr>
          </w:p>
          <w:p w14:paraId="3FC56252">
            <w:pPr>
              <w:spacing w:line="251" w:lineRule="auto"/>
              <w:rPr>
                <w:rFonts w:ascii="Arial"/>
                <w:color w:val="auto"/>
                <w:sz w:val="21"/>
                <w:highlight w:val="none"/>
              </w:rPr>
            </w:pPr>
          </w:p>
          <w:p w14:paraId="26C4233A">
            <w:pPr>
              <w:spacing w:line="251" w:lineRule="auto"/>
              <w:rPr>
                <w:rFonts w:ascii="Arial"/>
                <w:color w:val="auto"/>
                <w:sz w:val="21"/>
                <w:highlight w:val="none"/>
              </w:rPr>
            </w:pPr>
          </w:p>
          <w:p w14:paraId="0B4780CE">
            <w:pPr>
              <w:spacing w:line="251" w:lineRule="auto"/>
              <w:rPr>
                <w:rFonts w:ascii="Arial"/>
                <w:color w:val="auto"/>
                <w:sz w:val="21"/>
                <w:highlight w:val="none"/>
              </w:rPr>
            </w:pPr>
          </w:p>
          <w:p w14:paraId="6048CB91">
            <w:pPr>
              <w:pStyle w:val="12"/>
              <w:spacing w:before="68"/>
              <w:ind w:left="231"/>
              <w:rPr>
                <w:color w:val="auto"/>
                <w:highlight w:val="none"/>
              </w:rPr>
            </w:pPr>
            <w:r>
              <w:rPr>
                <w:color w:val="auto"/>
                <w:spacing w:val="-3"/>
                <w:highlight w:val="none"/>
              </w:rPr>
              <w:t>2.1</w:t>
            </w:r>
          </w:p>
        </w:tc>
        <w:tc>
          <w:tcPr>
            <w:tcW w:w="1235" w:type="dxa"/>
            <w:vAlign w:val="top"/>
          </w:tcPr>
          <w:p w14:paraId="7693FB88">
            <w:pPr>
              <w:spacing w:line="259" w:lineRule="auto"/>
              <w:rPr>
                <w:rFonts w:ascii="Arial"/>
                <w:color w:val="auto"/>
                <w:sz w:val="21"/>
                <w:highlight w:val="none"/>
              </w:rPr>
            </w:pPr>
          </w:p>
          <w:p w14:paraId="13EF4332">
            <w:pPr>
              <w:spacing w:line="259" w:lineRule="auto"/>
              <w:rPr>
                <w:rFonts w:ascii="Arial"/>
                <w:color w:val="auto"/>
                <w:sz w:val="21"/>
                <w:highlight w:val="none"/>
              </w:rPr>
            </w:pPr>
          </w:p>
          <w:p w14:paraId="183C7034">
            <w:pPr>
              <w:spacing w:line="259" w:lineRule="auto"/>
              <w:rPr>
                <w:rFonts w:ascii="Arial"/>
                <w:color w:val="auto"/>
                <w:sz w:val="21"/>
                <w:highlight w:val="none"/>
              </w:rPr>
            </w:pPr>
          </w:p>
          <w:p w14:paraId="71167A5C">
            <w:pPr>
              <w:spacing w:line="259" w:lineRule="auto"/>
              <w:rPr>
                <w:rFonts w:ascii="Arial"/>
                <w:color w:val="auto"/>
                <w:sz w:val="21"/>
                <w:highlight w:val="none"/>
              </w:rPr>
            </w:pPr>
          </w:p>
          <w:p w14:paraId="2A62FDCA">
            <w:pPr>
              <w:spacing w:line="259" w:lineRule="auto"/>
              <w:rPr>
                <w:rFonts w:ascii="Arial"/>
                <w:color w:val="auto"/>
                <w:sz w:val="21"/>
                <w:highlight w:val="none"/>
              </w:rPr>
            </w:pPr>
          </w:p>
          <w:p w14:paraId="25872BC1">
            <w:pPr>
              <w:spacing w:line="259" w:lineRule="auto"/>
              <w:rPr>
                <w:rFonts w:ascii="Arial"/>
                <w:color w:val="auto"/>
                <w:sz w:val="21"/>
                <w:highlight w:val="none"/>
              </w:rPr>
            </w:pPr>
          </w:p>
          <w:p w14:paraId="236E4AE5">
            <w:pPr>
              <w:spacing w:line="259" w:lineRule="auto"/>
              <w:rPr>
                <w:rFonts w:ascii="Arial"/>
                <w:color w:val="auto"/>
                <w:sz w:val="21"/>
                <w:highlight w:val="none"/>
              </w:rPr>
            </w:pPr>
          </w:p>
          <w:p w14:paraId="495D6F39">
            <w:pPr>
              <w:spacing w:line="259" w:lineRule="auto"/>
              <w:rPr>
                <w:rFonts w:ascii="Arial"/>
                <w:color w:val="auto"/>
                <w:sz w:val="21"/>
                <w:highlight w:val="none"/>
              </w:rPr>
            </w:pPr>
          </w:p>
          <w:p w14:paraId="6078C0FC">
            <w:pPr>
              <w:pStyle w:val="12"/>
              <w:spacing w:before="68" w:line="386" w:lineRule="auto"/>
              <w:ind w:left="112" w:leftChars="0" w:right="103" w:firstLine="8" w:firstLineChars="0"/>
              <w:rPr>
                <w:color w:val="auto"/>
                <w:highlight w:val="none"/>
              </w:rPr>
            </w:pPr>
            <w:r>
              <w:rPr>
                <w:rFonts w:hint="eastAsia"/>
                <w:color w:val="auto"/>
                <w:highlight w:val="none"/>
                <w:lang w:val="en-US" w:eastAsia="zh-CN"/>
              </w:rPr>
              <w:t>整体</w:t>
            </w:r>
            <w:r>
              <w:rPr>
                <w:color w:val="auto"/>
                <w:highlight w:val="none"/>
                <w:lang w:val="en-US" w:eastAsia="zh-CN"/>
              </w:rPr>
              <w:t>服务方案</w:t>
            </w:r>
          </w:p>
          <w:p w14:paraId="704FA69B">
            <w:pPr>
              <w:pStyle w:val="12"/>
              <w:spacing w:before="68" w:line="386" w:lineRule="auto"/>
              <w:ind w:left="112" w:leftChars="0" w:right="103" w:firstLine="8" w:firstLineChars="0"/>
              <w:rPr>
                <w:color w:val="auto"/>
                <w:highlight w:val="none"/>
              </w:rPr>
            </w:pPr>
          </w:p>
        </w:tc>
        <w:tc>
          <w:tcPr>
            <w:tcW w:w="7008" w:type="dxa"/>
            <w:vAlign w:val="center"/>
          </w:tcPr>
          <w:p w14:paraId="6234F08D">
            <w:pPr>
              <w:pStyle w:val="12"/>
              <w:spacing w:before="189" w:line="345" w:lineRule="auto"/>
              <w:ind w:left="112" w:right="24" w:firstLine="427"/>
              <w:jc w:val="both"/>
              <w:rPr>
                <w:b/>
                <w:bCs/>
                <w:color w:val="auto"/>
                <w:highlight w:val="none"/>
              </w:rPr>
            </w:pPr>
            <w:r>
              <w:rPr>
                <w:b/>
                <w:bCs/>
                <w:color w:val="auto"/>
                <w:highlight w:val="none"/>
                <w:lang w:val="en-US" w:eastAsia="zh-CN"/>
              </w:rPr>
              <w:t>评审说明：针对本项目涵盖的厂房建设、道路维修硬化、公共照明、桥梁建设、人饮工程、水利建设六大类工程业态，结合项目复核验收服务需求，对投标单位编制的专项复核验收服务方案的完整性、业态贴合度、实操落地性进行综合打分。</w:t>
            </w:r>
          </w:p>
          <w:p w14:paraId="4F366831">
            <w:pPr>
              <w:pStyle w:val="12"/>
              <w:spacing w:before="189" w:line="345" w:lineRule="auto"/>
              <w:ind w:left="112" w:right="24" w:firstLine="427"/>
              <w:jc w:val="both"/>
              <w:rPr>
                <w:color w:val="auto"/>
                <w:highlight w:val="none"/>
              </w:rPr>
            </w:pPr>
            <w:r>
              <w:rPr>
                <w:color w:val="auto"/>
                <w:highlight w:val="none"/>
                <w:lang w:val="en-US" w:eastAsia="zh-CN"/>
              </w:rPr>
              <w:t>第一档（</w:t>
            </w:r>
            <w:r>
              <w:rPr>
                <w:rFonts w:hint="eastAsia"/>
                <w:color w:val="auto"/>
                <w:highlight w:val="none"/>
                <w:lang w:val="en-US" w:eastAsia="zh-CN"/>
              </w:rPr>
              <w:t>14</w:t>
            </w:r>
            <w:r>
              <w:rPr>
                <w:color w:val="auto"/>
                <w:highlight w:val="none"/>
                <w:lang w:val="en-US" w:eastAsia="zh-CN"/>
              </w:rPr>
              <w:t>分）：完整提供①总体服务总则、②六大类工程业态专项复核验收细则、③竣工质量抽检细则、④工程竣工资料核备方案、⑤整改闭环及成果交付方案，5项核心方案内容齐全、编制规范、逻辑完整。服务方案完全匹配本项目厂房、道路、照明、桥梁、人饮、水利全部建设业态及项目的复核验收工作需求，项目针对性极强、服务流程体系完整、可直接落地实施。</w:t>
            </w:r>
          </w:p>
          <w:p w14:paraId="412F293C">
            <w:pPr>
              <w:pStyle w:val="12"/>
              <w:spacing w:before="189" w:line="345" w:lineRule="auto"/>
              <w:ind w:left="112" w:right="24" w:firstLine="427"/>
              <w:jc w:val="both"/>
              <w:rPr>
                <w:color w:val="auto"/>
                <w:highlight w:val="none"/>
              </w:rPr>
            </w:pPr>
            <w:r>
              <w:rPr>
                <w:color w:val="auto"/>
                <w:highlight w:val="none"/>
                <w:lang w:val="en-US" w:eastAsia="zh-CN"/>
              </w:rPr>
              <w:t>第二档（</w:t>
            </w:r>
            <w:r>
              <w:rPr>
                <w:rFonts w:hint="eastAsia"/>
                <w:color w:val="auto"/>
                <w:highlight w:val="none"/>
                <w:lang w:val="en-US" w:eastAsia="zh-CN"/>
              </w:rPr>
              <w:t>10</w:t>
            </w:r>
            <w:r>
              <w:rPr>
                <w:color w:val="auto"/>
                <w:highlight w:val="none"/>
                <w:lang w:val="en-US" w:eastAsia="zh-CN"/>
              </w:rPr>
              <w:t>分）：具备①总体服务总则、②六大类工程业态专项复核验收细则、③竣工质量抽检细则、④工程竣工资料核备方案、⑤整改闭环及成果交付方案五项核心内容，但仅4项内容完整合规，任意一项内容存在缺失、编制简略或针对性不足问题。整体方案贴合本项目多业态复核验收核心需求，服务流程规范，具备较强落地实施性。</w:t>
            </w:r>
          </w:p>
          <w:p w14:paraId="09436AD7">
            <w:pPr>
              <w:pStyle w:val="12"/>
              <w:spacing w:before="189" w:line="345" w:lineRule="auto"/>
              <w:ind w:left="112" w:right="24" w:firstLine="427"/>
              <w:jc w:val="both"/>
              <w:rPr>
                <w:color w:val="auto"/>
                <w:highlight w:val="none"/>
              </w:rPr>
            </w:pPr>
            <w:r>
              <w:rPr>
                <w:color w:val="auto"/>
                <w:highlight w:val="none"/>
                <w:lang w:val="en-US" w:eastAsia="zh-CN"/>
              </w:rPr>
              <w:t>第三档（</w:t>
            </w:r>
            <w:r>
              <w:rPr>
                <w:rFonts w:hint="eastAsia"/>
                <w:color w:val="auto"/>
                <w:highlight w:val="none"/>
                <w:lang w:val="en-US" w:eastAsia="zh-CN"/>
              </w:rPr>
              <w:t>6</w:t>
            </w:r>
            <w:r>
              <w:rPr>
                <w:color w:val="auto"/>
                <w:highlight w:val="none"/>
                <w:lang w:val="en-US" w:eastAsia="zh-CN"/>
              </w:rPr>
              <w:t>分）：包含①总体服务总则、②部分子项目复核验收细则、③质量抽检细则、④资料核备方案、⑤成果交付方案相关内容，仅3项内容完整完善，存在任意两项内容缺失、编制不完整或未贴合本项目多业态特点的问题。方案框架基本齐全，可基本满足本项目复核验收基础服务需求。</w:t>
            </w:r>
          </w:p>
          <w:p w14:paraId="6E403D03">
            <w:pPr>
              <w:pStyle w:val="12"/>
              <w:spacing w:before="189" w:line="345" w:lineRule="auto"/>
              <w:ind w:left="112" w:right="24" w:firstLine="427"/>
              <w:jc w:val="both"/>
              <w:rPr>
                <w:color w:val="auto"/>
                <w:highlight w:val="none"/>
              </w:rPr>
            </w:pPr>
            <w:r>
              <w:rPr>
                <w:color w:val="auto"/>
                <w:highlight w:val="none"/>
                <w:lang w:val="en-US" w:eastAsia="zh-CN"/>
              </w:rPr>
              <w:t>第四档（</w:t>
            </w:r>
            <w:r>
              <w:rPr>
                <w:rFonts w:hint="eastAsia"/>
                <w:color w:val="auto"/>
                <w:highlight w:val="none"/>
                <w:lang w:val="en-US" w:eastAsia="zh-CN"/>
              </w:rPr>
              <w:t>3</w:t>
            </w:r>
            <w:r>
              <w:rPr>
                <w:color w:val="auto"/>
                <w:highlight w:val="none"/>
                <w:lang w:val="en-US" w:eastAsia="zh-CN"/>
              </w:rPr>
              <w:t>分）：仅提供①总体服务总则、②通用工程验收流程、③基础资料整理方案3项基础内容，未针对本项目厂房、道路、照明、桥梁、人饮、水利六大业态编制专项复核验收细则，无分项目、分业态针对性服务内容，方案针对性弱、内容简单笼统，仅可满足基础简易核查工作。</w:t>
            </w:r>
          </w:p>
          <w:p w14:paraId="7837C2D5">
            <w:pPr>
              <w:pStyle w:val="12"/>
              <w:spacing w:before="189" w:line="345" w:lineRule="auto"/>
              <w:ind w:left="112" w:right="24" w:firstLine="427"/>
              <w:jc w:val="both"/>
              <w:rPr>
                <w:color w:val="auto"/>
                <w:highlight w:val="none"/>
              </w:rPr>
            </w:pPr>
            <w:r>
              <w:rPr>
                <w:color w:val="auto"/>
                <w:highlight w:val="none"/>
                <w:lang w:val="en-US" w:eastAsia="zh-CN"/>
              </w:rPr>
              <w:t>第五档（</w:t>
            </w:r>
            <w:r>
              <w:rPr>
                <w:rFonts w:hint="eastAsia"/>
                <w:color w:val="auto"/>
                <w:highlight w:val="none"/>
                <w:lang w:val="en-US" w:eastAsia="zh-CN"/>
              </w:rPr>
              <w:t>1</w:t>
            </w:r>
            <w:r>
              <w:rPr>
                <w:color w:val="auto"/>
                <w:highlight w:val="none"/>
                <w:lang w:val="en-US" w:eastAsia="zh-CN"/>
              </w:rPr>
              <w:t>分）：仅提供简单的服务概述，仅包含1-2项零散、碎片化服务内容，无完整成套的专项复核验收服务方案，无适配本项目多业态、多数量项目的专项验收流程、核查标准及实施举措，无法满足本项目复核验收服务基本工作要求。</w:t>
            </w:r>
          </w:p>
        </w:tc>
        <w:tc>
          <w:tcPr>
            <w:tcW w:w="814" w:type="dxa"/>
            <w:vAlign w:val="top"/>
          </w:tcPr>
          <w:p w14:paraId="3F2D187A">
            <w:pPr>
              <w:spacing w:line="250" w:lineRule="auto"/>
              <w:rPr>
                <w:rFonts w:ascii="Arial"/>
                <w:color w:val="auto"/>
                <w:sz w:val="21"/>
                <w:highlight w:val="none"/>
              </w:rPr>
            </w:pPr>
          </w:p>
          <w:p w14:paraId="6740369B">
            <w:pPr>
              <w:spacing w:line="250" w:lineRule="auto"/>
              <w:rPr>
                <w:rFonts w:ascii="Arial"/>
                <w:color w:val="auto"/>
                <w:sz w:val="21"/>
                <w:highlight w:val="none"/>
              </w:rPr>
            </w:pPr>
          </w:p>
          <w:p w14:paraId="1FFEC99D">
            <w:pPr>
              <w:spacing w:line="251" w:lineRule="auto"/>
              <w:rPr>
                <w:rFonts w:ascii="Arial"/>
                <w:color w:val="auto"/>
                <w:sz w:val="21"/>
                <w:highlight w:val="none"/>
              </w:rPr>
            </w:pPr>
          </w:p>
          <w:p w14:paraId="732B3119">
            <w:pPr>
              <w:spacing w:line="251" w:lineRule="auto"/>
              <w:rPr>
                <w:rFonts w:ascii="Arial"/>
                <w:color w:val="auto"/>
                <w:sz w:val="21"/>
                <w:highlight w:val="none"/>
              </w:rPr>
            </w:pPr>
          </w:p>
          <w:p w14:paraId="2737E78F">
            <w:pPr>
              <w:spacing w:line="251" w:lineRule="auto"/>
              <w:rPr>
                <w:rFonts w:ascii="Arial"/>
                <w:color w:val="auto"/>
                <w:sz w:val="21"/>
                <w:highlight w:val="none"/>
              </w:rPr>
            </w:pPr>
          </w:p>
          <w:p w14:paraId="2A50EF27">
            <w:pPr>
              <w:spacing w:line="251" w:lineRule="auto"/>
              <w:rPr>
                <w:rFonts w:ascii="Arial"/>
                <w:color w:val="auto"/>
                <w:sz w:val="21"/>
                <w:highlight w:val="none"/>
              </w:rPr>
            </w:pPr>
          </w:p>
          <w:p w14:paraId="2DCAE136">
            <w:pPr>
              <w:spacing w:line="251" w:lineRule="auto"/>
              <w:rPr>
                <w:rFonts w:ascii="Arial"/>
                <w:color w:val="auto"/>
                <w:sz w:val="21"/>
                <w:highlight w:val="none"/>
              </w:rPr>
            </w:pPr>
          </w:p>
          <w:p w14:paraId="39043132">
            <w:pPr>
              <w:spacing w:line="251" w:lineRule="auto"/>
              <w:rPr>
                <w:rFonts w:ascii="Arial"/>
                <w:color w:val="auto"/>
                <w:sz w:val="21"/>
                <w:highlight w:val="none"/>
              </w:rPr>
            </w:pPr>
          </w:p>
          <w:p w14:paraId="1B37DA25">
            <w:pPr>
              <w:spacing w:line="251" w:lineRule="auto"/>
              <w:rPr>
                <w:rFonts w:ascii="Arial"/>
                <w:color w:val="auto"/>
                <w:sz w:val="21"/>
                <w:highlight w:val="none"/>
              </w:rPr>
            </w:pPr>
          </w:p>
          <w:p w14:paraId="793DB1DF">
            <w:pPr>
              <w:spacing w:line="251" w:lineRule="auto"/>
              <w:rPr>
                <w:rFonts w:ascii="Arial"/>
                <w:color w:val="auto"/>
                <w:sz w:val="21"/>
                <w:highlight w:val="none"/>
              </w:rPr>
            </w:pPr>
          </w:p>
          <w:p w14:paraId="67D720D2">
            <w:pPr>
              <w:pStyle w:val="12"/>
              <w:spacing w:before="69" w:line="221" w:lineRule="auto"/>
              <w:ind w:left="186"/>
              <w:rPr>
                <w:color w:val="auto"/>
                <w:highlight w:val="none"/>
              </w:rPr>
            </w:pPr>
            <w:r>
              <w:rPr>
                <w:rFonts w:hint="eastAsia"/>
                <w:color w:val="auto"/>
                <w:spacing w:val="-8"/>
                <w:highlight w:val="none"/>
                <w:lang w:val="en-US" w:eastAsia="zh-CN"/>
              </w:rPr>
              <w:t>14</w:t>
            </w:r>
            <w:r>
              <w:rPr>
                <w:color w:val="auto"/>
                <w:spacing w:val="-8"/>
                <w:highlight w:val="none"/>
              </w:rPr>
              <w:t>分</w:t>
            </w:r>
          </w:p>
        </w:tc>
      </w:tr>
      <w:tr w14:paraId="32EEFE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70" w:hRule="atLeast"/>
        </w:trPr>
        <w:tc>
          <w:tcPr>
            <w:tcW w:w="760" w:type="dxa"/>
            <w:vAlign w:val="center"/>
          </w:tcPr>
          <w:p w14:paraId="13288C72">
            <w:pPr>
              <w:pStyle w:val="12"/>
              <w:spacing w:before="68" w:line="386" w:lineRule="auto"/>
              <w:ind w:left="112" w:right="103" w:firstLine="73"/>
              <w:jc w:val="both"/>
              <w:rPr>
                <w:rFonts w:hint="default" w:eastAsia="宋体"/>
                <w:color w:val="auto"/>
                <w:spacing w:val="2"/>
                <w:highlight w:val="none"/>
                <w:lang w:val="en-US" w:eastAsia="zh-CN"/>
              </w:rPr>
            </w:pPr>
            <w:r>
              <w:rPr>
                <w:rFonts w:hint="eastAsia"/>
                <w:color w:val="auto"/>
                <w:spacing w:val="2"/>
                <w:highlight w:val="none"/>
                <w:lang w:val="en-US" w:eastAsia="zh-CN"/>
              </w:rPr>
              <w:t>2.2</w:t>
            </w:r>
          </w:p>
        </w:tc>
        <w:tc>
          <w:tcPr>
            <w:tcW w:w="1235" w:type="dxa"/>
            <w:vAlign w:val="center"/>
          </w:tcPr>
          <w:p w14:paraId="11131CCD">
            <w:pPr>
              <w:pStyle w:val="12"/>
              <w:spacing w:before="68" w:line="386" w:lineRule="auto"/>
              <w:ind w:left="112" w:leftChars="0" w:right="103" w:firstLine="8" w:firstLineChars="0"/>
              <w:jc w:val="both"/>
              <w:rPr>
                <w:color w:val="auto"/>
                <w:spacing w:val="2"/>
                <w:highlight w:val="none"/>
              </w:rPr>
            </w:pPr>
            <w:r>
              <w:rPr>
                <w:color w:val="auto"/>
                <w:spacing w:val="2"/>
                <w:highlight w:val="none"/>
                <w:lang w:val="en-US" w:eastAsia="zh-CN"/>
              </w:rPr>
              <w:t>专项工程复核验收技术保障能力</w:t>
            </w:r>
          </w:p>
          <w:p w14:paraId="2FB5C0D0">
            <w:pPr>
              <w:pStyle w:val="12"/>
              <w:spacing w:before="68" w:line="386" w:lineRule="auto"/>
              <w:ind w:left="112" w:right="103" w:firstLine="73"/>
              <w:jc w:val="both"/>
              <w:rPr>
                <w:color w:val="auto"/>
                <w:spacing w:val="2"/>
                <w:highlight w:val="none"/>
              </w:rPr>
            </w:pPr>
          </w:p>
        </w:tc>
        <w:tc>
          <w:tcPr>
            <w:tcW w:w="7008" w:type="dxa"/>
            <w:vAlign w:val="center"/>
          </w:tcPr>
          <w:p w14:paraId="495D73BA">
            <w:pPr>
              <w:pStyle w:val="12"/>
              <w:spacing w:before="187" w:line="332" w:lineRule="auto"/>
              <w:ind w:left="112" w:right="101" w:firstLine="429"/>
              <w:jc w:val="both"/>
              <w:rPr>
                <w:rFonts w:hint="eastAsia" w:eastAsia="宋体"/>
                <w:b/>
                <w:bCs/>
                <w:color w:val="auto"/>
                <w:spacing w:val="-1"/>
                <w:highlight w:val="none"/>
                <w:lang w:val="en-US" w:eastAsia="zh-CN"/>
              </w:rPr>
            </w:pPr>
            <w:r>
              <w:rPr>
                <w:rFonts w:hint="eastAsia" w:eastAsia="宋体"/>
                <w:b/>
                <w:bCs/>
                <w:color w:val="auto"/>
                <w:spacing w:val="-1"/>
                <w:highlight w:val="none"/>
                <w:lang w:val="en-US" w:eastAsia="zh-CN"/>
              </w:rPr>
              <w:t>评审说明：针对本项目涵盖的厂房建设、道路维修硬化、公共照明、桥梁建设、人饮工程、水利建设六大类工程业态，对投标单位专项复核技术保障体系进行综合评分，依据提交的技术体系文件</w:t>
            </w:r>
            <w:r>
              <w:rPr>
                <w:rFonts w:hint="eastAsia"/>
                <w:b/>
                <w:bCs/>
                <w:color w:val="auto"/>
                <w:spacing w:val="-1"/>
                <w:highlight w:val="none"/>
                <w:lang w:val="en-US" w:eastAsia="zh-CN"/>
              </w:rPr>
              <w:t>（方案）</w:t>
            </w:r>
            <w:r>
              <w:rPr>
                <w:rFonts w:hint="eastAsia" w:eastAsia="宋体"/>
                <w:b/>
                <w:bCs/>
                <w:color w:val="auto"/>
                <w:spacing w:val="-1"/>
                <w:highlight w:val="none"/>
                <w:lang w:val="en-US" w:eastAsia="zh-CN"/>
              </w:rPr>
              <w:t>、各业态专项核查标准方案完整性、专业性、贴合度打分。</w:t>
            </w:r>
          </w:p>
          <w:p w14:paraId="31E8CDB2">
            <w:pPr>
              <w:pStyle w:val="12"/>
              <w:spacing w:before="187" w:line="332" w:lineRule="auto"/>
              <w:ind w:left="112" w:right="101" w:firstLine="429"/>
              <w:jc w:val="both"/>
              <w:rPr>
                <w:rFonts w:hint="eastAsia" w:eastAsia="宋体"/>
                <w:color w:val="auto"/>
                <w:spacing w:val="-1"/>
                <w:highlight w:val="none"/>
                <w:lang w:val="en-US" w:eastAsia="zh-CN"/>
              </w:rPr>
            </w:pPr>
            <w:r>
              <w:rPr>
                <w:rFonts w:hint="eastAsia" w:eastAsia="宋体"/>
                <w:color w:val="auto"/>
                <w:spacing w:val="-1"/>
                <w:highlight w:val="none"/>
                <w:lang w:val="en-US" w:eastAsia="zh-CN"/>
              </w:rPr>
              <w:t>第一档（</w:t>
            </w:r>
            <w:r>
              <w:rPr>
                <w:rFonts w:hint="eastAsia"/>
                <w:color w:val="auto"/>
                <w:spacing w:val="-1"/>
                <w:highlight w:val="none"/>
                <w:lang w:val="en-US" w:eastAsia="zh-CN"/>
              </w:rPr>
              <w:t>14</w:t>
            </w:r>
            <w:r>
              <w:rPr>
                <w:rFonts w:hint="eastAsia" w:eastAsia="宋体"/>
                <w:color w:val="auto"/>
                <w:spacing w:val="-1"/>
                <w:highlight w:val="none"/>
                <w:lang w:val="en-US" w:eastAsia="zh-CN"/>
              </w:rPr>
              <w:t>分）：完整提供①厂房土建结构安全复核技术标准、②道路维修及硬化工程实测实量技术方案、③公共照明项目质量缺陷判定及整改技术导则、④桥梁工程质量复核验收技术规范、⑤人饮及水利工程核查验收技术细则，5项核心专项技术</w:t>
            </w:r>
            <w:r>
              <w:rPr>
                <w:rFonts w:hint="eastAsia"/>
                <w:color w:val="auto"/>
                <w:spacing w:val="-1"/>
                <w:highlight w:val="none"/>
                <w:lang w:val="en-US" w:eastAsia="zh-CN"/>
              </w:rPr>
              <w:t>方案</w:t>
            </w:r>
            <w:r>
              <w:rPr>
                <w:rFonts w:hint="eastAsia" w:eastAsia="宋体"/>
                <w:color w:val="auto"/>
                <w:spacing w:val="-1"/>
                <w:highlight w:val="none"/>
                <w:lang w:val="en-US" w:eastAsia="zh-CN"/>
              </w:rPr>
              <w:t>件齐全、规范、专业，技术体系全覆盖本项目六大工程业态，完全贴合本项目137个项目复核验收实际工作需求，技术保障体系全面、成熟、可落地。</w:t>
            </w:r>
          </w:p>
          <w:p w14:paraId="26BCEB68">
            <w:pPr>
              <w:pStyle w:val="12"/>
              <w:spacing w:before="187" w:line="332" w:lineRule="auto"/>
              <w:ind w:left="112" w:right="101" w:firstLine="429"/>
              <w:jc w:val="both"/>
              <w:rPr>
                <w:rFonts w:hint="eastAsia" w:eastAsia="宋体"/>
                <w:color w:val="auto"/>
                <w:spacing w:val="-1"/>
                <w:highlight w:val="none"/>
                <w:lang w:eastAsia="zh-CN"/>
              </w:rPr>
            </w:pPr>
            <w:r>
              <w:rPr>
                <w:rFonts w:hint="eastAsia" w:eastAsia="宋体"/>
                <w:color w:val="auto"/>
                <w:spacing w:val="-1"/>
                <w:highlight w:val="none"/>
                <w:lang w:val="en-US" w:eastAsia="zh-CN"/>
              </w:rPr>
              <w:t>第二档（</w:t>
            </w:r>
            <w:r>
              <w:rPr>
                <w:rFonts w:hint="eastAsia"/>
                <w:color w:val="auto"/>
                <w:spacing w:val="-1"/>
                <w:highlight w:val="none"/>
                <w:lang w:val="en-US" w:eastAsia="zh-CN"/>
              </w:rPr>
              <w:t>10</w:t>
            </w:r>
            <w:r>
              <w:rPr>
                <w:rFonts w:hint="eastAsia" w:eastAsia="宋体"/>
                <w:color w:val="auto"/>
                <w:spacing w:val="-1"/>
                <w:highlight w:val="none"/>
                <w:lang w:val="en-US" w:eastAsia="zh-CN"/>
              </w:rPr>
              <w:t>分）：提供厂房土建复核、道路工程实测、公共照明质量核验、桥梁工程验收、水利及人饮工程核查、工程质量缺陷整改等6项相关技术</w:t>
            </w:r>
            <w:r>
              <w:rPr>
                <w:rFonts w:hint="eastAsia"/>
                <w:color w:val="auto"/>
                <w:spacing w:val="-1"/>
                <w:highlight w:val="none"/>
                <w:lang w:val="en-US" w:eastAsia="zh-CN"/>
              </w:rPr>
              <w:t>方案</w:t>
            </w:r>
            <w:r>
              <w:rPr>
                <w:rFonts w:hint="eastAsia" w:eastAsia="宋体"/>
                <w:color w:val="auto"/>
                <w:spacing w:val="-1"/>
                <w:highlight w:val="none"/>
                <w:lang w:val="en-US" w:eastAsia="zh-CN"/>
              </w:rPr>
              <w:t>，整体技术保障体系完善，仅缺少1项细分业态专项技术内容或个别</w:t>
            </w:r>
            <w:r>
              <w:rPr>
                <w:rFonts w:hint="eastAsia"/>
                <w:color w:val="auto"/>
                <w:spacing w:val="-1"/>
                <w:highlight w:val="none"/>
                <w:lang w:val="en-US" w:eastAsia="zh-CN"/>
              </w:rPr>
              <w:t>方案</w:t>
            </w:r>
            <w:r>
              <w:rPr>
                <w:rFonts w:hint="eastAsia" w:eastAsia="宋体"/>
                <w:color w:val="auto"/>
                <w:spacing w:val="-1"/>
                <w:highlight w:val="none"/>
                <w:lang w:val="en-US" w:eastAsia="zh-CN"/>
              </w:rPr>
              <w:t>针对性略有欠缺，可满足本项目大部分工程业态复核验收工作需。</w:t>
            </w:r>
          </w:p>
          <w:p w14:paraId="5E2491D8">
            <w:pPr>
              <w:pStyle w:val="12"/>
              <w:spacing w:before="187" w:line="332" w:lineRule="auto"/>
              <w:ind w:left="112" w:right="101" w:firstLine="429"/>
              <w:jc w:val="both"/>
              <w:rPr>
                <w:rFonts w:hint="eastAsia" w:eastAsia="宋体"/>
                <w:color w:val="auto"/>
                <w:spacing w:val="-1"/>
                <w:highlight w:val="none"/>
                <w:lang w:eastAsia="zh-CN"/>
              </w:rPr>
            </w:pPr>
            <w:r>
              <w:rPr>
                <w:rFonts w:hint="eastAsia" w:eastAsia="宋体"/>
                <w:color w:val="auto"/>
                <w:spacing w:val="-1"/>
                <w:highlight w:val="none"/>
                <w:lang w:val="en-US" w:eastAsia="zh-CN"/>
              </w:rPr>
              <w:t>第三档（</w:t>
            </w:r>
            <w:r>
              <w:rPr>
                <w:rFonts w:hint="eastAsia"/>
                <w:color w:val="auto"/>
                <w:spacing w:val="-1"/>
                <w:highlight w:val="none"/>
                <w:lang w:val="en-US" w:eastAsia="zh-CN"/>
              </w:rPr>
              <w:t>6</w:t>
            </w:r>
            <w:r>
              <w:rPr>
                <w:rFonts w:hint="eastAsia" w:eastAsia="宋体"/>
                <w:color w:val="auto"/>
                <w:spacing w:val="-1"/>
                <w:highlight w:val="none"/>
                <w:lang w:val="en-US" w:eastAsia="zh-CN"/>
              </w:rPr>
              <w:t>分）：提供土建工程验收、道路基础设施核查、水利工程验收、公共设施通用核验等4项及以上核心技术内容，覆盖厂房、道路、水利主要业态，但缺失公共照明、桥梁、人饮工程中1-2类专项技术</w:t>
            </w:r>
            <w:r>
              <w:rPr>
                <w:rFonts w:hint="eastAsia"/>
                <w:color w:val="auto"/>
                <w:spacing w:val="-1"/>
                <w:highlight w:val="none"/>
                <w:lang w:val="en-US" w:eastAsia="zh-CN"/>
              </w:rPr>
              <w:t>方案</w:t>
            </w:r>
            <w:r>
              <w:rPr>
                <w:rFonts w:hint="eastAsia" w:eastAsia="宋体"/>
                <w:color w:val="auto"/>
                <w:spacing w:val="-1"/>
                <w:highlight w:val="none"/>
                <w:lang w:val="en-US" w:eastAsia="zh-CN"/>
              </w:rPr>
              <w:t>，无针对性缺陷整改专项技术导则，技术体系基本完整，可满足项目基础复核验收需求。</w:t>
            </w:r>
          </w:p>
          <w:p w14:paraId="7236F977">
            <w:pPr>
              <w:pStyle w:val="12"/>
              <w:spacing w:before="187" w:line="332" w:lineRule="auto"/>
              <w:ind w:left="112" w:right="101" w:firstLine="429"/>
              <w:jc w:val="both"/>
              <w:rPr>
                <w:rFonts w:hint="eastAsia" w:eastAsia="宋体"/>
                <w:color w:val="auto"/>
                <w:spacing w:val="-1"/>
                <w:highlight w:val="none"/>
                <w:lang w:eastAsia="zh-CN"/>
              </w:rPr>
            </w:pPr>
            <w:r>
              <w:rPr>
                <w:rFonts w:hint="eastAsia" w:eastAsia="宋体"/>
                <w:color w:val="auto"/>
                <w:spacing w:val="-1"/>
                <w:highlight w:val="none"/>
                <w:lang w:val="en-US" w:eastAsia="zh-CN"/>
              </w:rPr>
              <w:t>第四档（</w:t>
            </w:r>
            <w:r>
              <w:rPr>
                <w:rFonts w:hint="eastAsia"/>
                <w:color w:val="auto"/>
                <w:spacing w:val="-1"/>
                <w:highlight w:val="none"/>
                <w:lang w:val="en-US" w:eastAsia="zh-CN"/>
              </w:rPr>
              <w:t>3</w:t>
            </w:r>
            <w:r>
              <w:rPr>
                <w:rFonts w:hint="eastAsia" w:eastAsia="宋体"/>
                <w:color w:val="auto"/>
                <w:spacing w:val="-1"/>
                <w:highlight w:val="none"/>
                <w:lang w:val="en-US" w:eastAsia="zh-CN"/>
              </w:rPr>
              <w:t>分）：仅提供通用工程验收技术标准、基础工程量及质量核查方法，提供基础技术内容不超过3项，无适配本项目厂房、道路、照明、桥梁、水利、人饮的分业态专项技术方案，技术针对性、专业性一般，仅能满足简单基础核查工作。</w:t>
            </w:r>
          </w:p>
          <w:p w14:paraId="1522630D">
            <w:pPr>
              <w:pStyle w:val="12"/>
              <w:spacing w:before="187" w:line="332" w:lineRule="auto"/>
              <w:ind w:left="112" w:right="101" w:firstLine="429"/>
              <w:jc w:val="both"/>
              <w:rPr>
                <w:rFonts w:hint="eastAsia" w:eastAsia="宋体"/>
                <w:color w:val="auto"/>
                <w:spacing w:val="-1"/>
                <w:highlight w:val="none"/>
                <w:lang w:eastAsia="zh-CN"/>
              </w:rPr>
            </w:pPr>
            <w:r>
              <w:rPr>
                <w:rFonts w:hint="eastAsia" w:eastAsia="宋体"/>
                <w:color w:val="auto"/>
                <w:spacing w:val="-1"/>
                <w:highlight w:val="none"/>
                <w:lang w:val="en-US" w:eastAsia="zh-CN"/>
              </w:rPr>
              <w:t>第五档（</w:t>
            </w:r>
            <w:r>
              <w:rPr>
                <w:rFonts w:hint="eastAsia"/>
                <w:color w:val="auto"/>
                <w:spacing w:val="-1"/>
                <w:highlight w:val="none"/>
                <w:lang w:val="en-US" w:eastAsia="zh-CN"/>
              </w:rPr>
              <w:t>1</w:t>
            </w:r>
            <w:r>
              <w:rPr>
                <w:rFonts w:hint="eastAsia" w:eastAsia="宋体"/>
                <w:color w:val="auto"/>
                <w:spacing w:val="-1"/>
                <w:highlight w:val="none"/>
                <w:lang w:val="en-US" w:eastAsia="zh-CN"/>
              </w:rPr>
              <w:t>分）：未提供成套专项技术保障</w:t>
            </w:r>
            <w:r>
              <w:rPr>
                <w:rFonts w:hint="eastAsia"/>
                <w:color w:val="auto"/>
                <w:spacing w:val="-1"/>
                <w:highlight w:val="none"/>
                <w:lang w:val="en-US" w:eastAsia="zh-CN"/>
              </w:rPr>
              <w:t>方案</w:t>
            </w:r>
            <w:r>
              <w:rPr>
                <w:rFonts w:hint="eastAsia" w:eastAsia="宋体"/>
                <w:color w:val="auto"/>
                <w:spacing w:val="-1"/>
                <w:highlight w:val="none"/>
                <w:lang w:val="en-US" w:eastAsia="zh-CN"/>
              </w:rPr>
              <w:t>，仅以口头说明、简单文字概述作为技术支撑，无规范、完整的技术体系资料、核查标准、实施方案，技术保障能力不足，无法适配本项目多业态、大批量项目复核验收工作。</w:t>
            </w:r>
          </w:p>
        </w:tc>
        <w:tc>
          <w:tcPr>
            <w:tcW w:w="814" w:type="dxa"/>
            <w:vAlign w:val="center"/>
          </w:tcPr>
          <w:p w14:paraId="04FDA351">
            <w:pPr>
              <w:pStyle w:val="12"/>
              <w:spacing w:before="69" w:line="221" w:lineRule="auto"/>
              <w:ind w:left="186"/>
              <w:jc w:val="both"/>
              <w:rPr>
                <w:rFonts w:hint="default" w:eastAsia="宋体"/>
                <w:color w:val="auto"/>
                <w:spacing w:val="-8"/>
                <w:highlight w:val="none"/>
                <w:lang w:val="en-US" w:eastAsia="zh-CN"/>
              </w:rPr>
            </w:pPr>
            <w:r>
              <w:rPr>
                <w:rFonts w:hint="eastAsia"/>
                <w:color w:val="auto"/>
                <w:spacing w:val="-8"/>
                <w:highlight w:val="none"/>
                <w:lang w:val="en-US" w:eastAsia="zh-CN"/>
              </w:rPr>
              <w:t>14分</w:t>
            </w:r>
          </w:p>
        </w:tc>
      </w:tr>
      <w:tr w14:paraId="42155E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60" w:type="dxa"/>
            <w:vAlign w:val="center"/>
          </w:tcPr>
          <w:p w14:paraId="4E6CD988">
            <w:pPr>
              <w:pStyle w:val="12"/>
              <w:spacing w:before="68" w:line="386" w:lineRule="auto"/>
              <w:ind w:left="112" w:right="103" w:firstLine="73"/>
              <w:jc w:val="both"/>
              <w:rPr>
                <w:rFonts w:hint="default"/>
                <w:color w:val="auto"/>
                <w:spacing w:val="2"/>
                <w:highlight w:val="none"/>
                <w:lang w:val="en-US" w:eastAsia="zh-CN"/>
              </w:rPr>
            </w:pPr>
            <w:r>
              <w:rPr>
                <w:rFonts w:hint="eastAsia"/>
                <w:color w:val="auto"/>
                <w:spacing w:val="2"/>
                <w:highlight w:val="none"/>
                <w:lang w:val="en-US" w:eastAsia="zh-CN"/>
              </w:rPr>
              <w:t>2.3</w:t>
            </w:r>
          </w:p>
        </w:tc>
        <w:tc>
          <w:tcPr>
            <w:tcW w:w="1235" w:type="dxa"/>
            <w:vAlign w:val="center"/>
          </w:tcPr>
          <w:p w14:paraId="36AB01A5">
            <w:pPr>
              <w:pStyle w:val="12"/>
              <w:spacing w:before="68" w:line="386" w:lineRule="auto"/>
              <w:ind w:left="112" w:right="103" w:firstLine="73"/>
              <w:jc w:val="both"/>
              <w:rPr>
                <w:color w:val="auto"/>
                <w:spacing w:val="2"/>
                <w:highlight w:val="none"/>
              </w:rPr>
            </w:pPr>
            <w:r>
              <w:rPr>
                <w:rFonts w:hint="eastAsia"/>
                <w:color w:val="auto"/>
                <w:spacing w:val="2"/>
                <w:highlight w:val="none"/>
                <w:lang w:val="en-US" w:eastAsia="zh-CN"/>
              </w:rPr>
              <w:t>管理</w:t>
            </w:r>
            <w:r>
              <w:rPr>
                <w:color w:val="auto"/>
                <w:spacing w:val="2"/>
                <w:highlight w:val="none"/>
                <w:lang w:val="en-US" w:eastAsia="zh-CN"/>
              </w:rPr>
              <w:t>服务能力</w:t>
            </w:r>
          </w:p>
          <w:p w14:paraId="6055C487">
            <w:pPr>
              <w:pStyle w:val="12"/>
              <w:spacing w:before="68" w:line="386" w:lineRule="auto"/>
              <w:ind w:left="112" w:right="103" w:firstLine="73"/>
              <w:jc w:val="both"/>
              <w:rPr>
                <w:color w:val="auto"/>
                <w:spacing w:val="2"/>
                <w:highlight w:val="none"/>
              </w:rPr>
            </w:pPr>
          </w:p>
        </w:tc>
        <w:tc>
          <w:tcPr>
            <w:tcW w:w="7008" w:type="dxa"/>
            <w:vAlign w:val="center"/>
          </w:tcPr>
          <w:p w14:paraId="6EBB08D2">
            <w:pPr>
              <w:pStyle w:val="12"/>
              <w:spacing w:before="187" w:line="332" w:lineRule="auto"/>
              <w:ind w:left="112" w:right="101" w:firstLine="429"/>
              <w:jc w:val="both"/>
              <w:rPr>
                <w:rFonts w:hint="default"/>
                <w:b/>
                <w:bCs/>
                <w:color w:val="auto"/>
                <w:spacing w:val="-1"/>
                <w:highlight w:val="none"/>
                <w:lang w:val="en-US" w:eastAsia="zh-CN"/>
              </w:rPr>
            </w:pPr>
            <w:r>
              <w:rPr>
                <w:rFonts w:hint="default"/>
                <w:b/>
                <w:bCs/>
                <w:color w:val="auto"/>
                <w:spacing w:val="-1"/>
                <w:highlight w:val="none"/>
                <w:lang w:val="en-US" w:eastAsia="zh-CN"/>
              </w:rPr>
              <w:t>评审说明：针对乡村振兴项目</w:t>
            </w:r>
            <w:r>
              <w:rPr>
                <w:rFonts w:hint="eastAsia"/>
                <w:b/>
                <w:bCs/>
                <w:color w:val="auto"/>
                <w:spacing w:val="-1"/>
                <w:highlight w:val="none"/>
                <w:lang w:val="en-US" w:eastAsia="zh-CN"/>
              </w:rPr>
              <w:t>资料</w:t>
            </w:r>
            <w:r>
              <w:rPr>
                <w:rFonts w:hint="default"/>
                <w:b/>
                <w:bCs/>
                <w:color w:val="auto"/>
                <w:spacing w:val="-1"/>
                <w:highlight w:val="none"/>
                <w:lang w:val="en-US" w:eastAsia="zh-CN"/>
              </w:rPr>
              <w:t>归档、全过程资料审查服务体系进行量化评分。</w:t>
            </w:r>
          </w:p>
          <w:p w14:paraId="5053CAA0">
            <w:pPr>
              <w:pStyle w:val="12"/>
              <w:spacing w:before="187" w:line="332" w:lineRule="auto"/>
              <w:ind w:left="112" w:right="101" w:firstLine="429"/>
              <w:jc w:val="both"/>
              <w:rPr>
                <w:rFonts w:hint="default"/>
                <w:color w:val="auto"/>
                <w:spacing w:val="-1"/>
                <w:highlight w:val="none"/>
                <w:lang w:val="en-US" w:eastAsia="zh-CN"/>
              </w:rPr>
            </w:pPr>
            <w:r>
              <w:rPr>
                <w:rFonts w:hint="default"/>
                <w:color w:val="auto"/>
                <w:spacing w:val="-1"/>
                <w:highlight w:val="none"/>
                <w:lang w:val="en-US" w:eastAsia="zh-CN"/>
              </w:rPr>
              <w:t>第一档（</w:t>
            </w:r>
            <w:r>
              <w:rPr>
                <w:rFonts w:hint="eastAsia"/>
                <w:color w:val="auto"/>
                <w:spacing w:val="-1"/>
                <w:highlight w:val="none"/>
                <w:lang w:val="en-US" w:eastAsia="zh-CN"/>
              </w:rPr>
              <w:t>14</w:t>
            </w:r>
            <w:r>
              <w:rPr>
                <w:rFonts w:hint="default"/>
                <w:color w:val="auto"/>
                <w:spacing w:val="-1"/>
                <w:highlight w:val="none"/>
                <w:lang w:val="en-US" w:eastAsia="zh-CN"/>
              </w:rPr>
              <w:t>分）：提供①前期立项资料审核清单、②施工过程资料核查标准、③竣工归档资料审核细则、④资料问题闭环整改机制，</w:t>
            </w:r>
            <w:r>
              <w:rPr>
                <w:rFonts w:hint="eastAsia"/>
                <w:color w:val="auto"/>
                <w:spacing w:val="-1"/>
                <w:highlight w:val="none"/>
                <w:lang w:val="en-US" w:eastAsia="zh-CN"/>
              </w:rPr>
              <w:t>4</w:t>
            </w:r>
            <w:r>
              <w:rPr>
                <w:rFonts w:hint="default"/>
                <w:color w:val="auto"/>
                <w:spacing w:val="-1"/>
                <w:highlight w:val="none"/>
                <w:lang w:val="en-US" w:eastAsia="zh-CN"/>
              </w:rPr>
              <w:t>项核查体系齐全，全覆盖项目资料核查要求。</w:t>
            </w:r>
          </w:p>
          <w:p w14:paraId="6C74FE70">
            <w:pPr>
              <w:pStyle w:val="12"/>
              <w:spacing w:before="187" w:line="332" w:lineRule="auto"/>
              <w:ind w:left="112" w:right="101" w:firstLine="429"/>
              <w:jc w:val="both"/>
              <w:rPr>
                <w:rFonts w:hint="default"/>
                <w:color w:val="auto"/>
                <w:spacing w:val="-1"/>
                <w:highlight w:val="none"/>
                <w:lang w:val="en-US" w:eastAsia="zh-CN"/>
              </w:rPr>
            </w:pPr>
            <w:r>
              <w:rPr>
                <w:rFonts w:hint="default"/>
                <w:color w:val="auto"/>
                <w:spacing w:val="-1"/>
                <w:highlight w:val="none"/>
                <w:lang w:val="en-US" w:eastAsia="zh-CN"/>
              </w:rPr>
              <w:t>第二档（</w:t>
            </w:r>
            <w:r>
              <w:rPr>
                <w:rFonts w:hint="eastAsia"/>
                <w:color w:val="auto"/>
                <w:spacing w:val="-1"/>
                <w:highlight w:val="none"/>
                <w:lang w:val="en-US" w:eastAsia="zh-CN"/>
              </w:rPr>
              <w:t>10</w:t>
            </w:r>
            <w:r>
              <w:rPr>
                <w:rFonts w:hint="default"/>
                <w:color w:val="auto"/>
                <w:spacing w:val="-1"/>
                <w:highlight w:val="none"/>
                <w:lang w:val="en-US" w:eastAsia="zh-CN"/>
              </w:rPr>
              <w:t>分）：提供①前期资料审核、②过程资料核查、③竣工归档审核、④问题整改机制，</w:t>
            </w:r>
            <w:r>
              <w:rPr>
                <w:rFonts w:hint="eastAsia"/>
                <w:color w:val="auto"/>
                <w:spacing w:val="-1"/>
                <w:highlight w:val="none"/>
                <w:lang w:val="en-US" w:eastAsia="zh-CN"/>
              </w:rPr>
              <w:t>4</w:t>
            </w:r>
            <w:r>
              <w:rPr>
                <w:rFonts w:hint="default"/>
                <w:color w:val="auto"/>
                <w:spacing w:val="-1"/>
                <w:highlight w:val="none"/>
                <w:lang w:val="en-US" w:eastAsia="zh-CN"/>
              </w:rPr>
              <w:t>项核查</w:t>
            </w:r>
            <w:r>
              <w:rPr>
                <w:rFonts w:hint="eastAsia"/>
                <w:color w:val="auto"/>
                <w:spacing w:val="-1"/>
                <w:highlight w:val="none"/>
                <w:lang w:val="en-US" w:eastAsia="zh-CN"/>
              </w:rPr>
              <w:t>体系</w:t>
            </w:r>
            <w:r>
              <w:rPr>
                <w:rFonts w:hint="default"/>
                <w:color w:val="auto"/>
                <w:spacing w:val="-1"/>
                <w:highlight w:val="none"/>
                <w:lang w:val="en-US" w:eastAsia="zh-CN"/>
              </w:rPr>
              <w:t>内容</w:t>
            </w:r>
            <w:r>
              <w:rPr>
                <w:rFonts w:hint="eastAsia"/>
                <w:color w:val="auto"/>
                <w:spacing w:val="-1"/>
                <w:highlight w:val="none"/>
                <w:lang w:val="en-US" w:eastAsia="zh-CN"/>
              </w:rPr>
              <w:t>任意一项内容</w:t>
            </w:r>
            <w:r>
              <w:rPr>
                <w:rFonts w:hint="eastAsia"/>
                <w:color w:val="auto"/>
                <w:highlight w:val="none"/>
                <w:lang w:val="en-US" w:eastAsia="zh-CN"/>
              </w:rPr>
              <w:t>不完整或缺少</w:t>
            </w:r>
            <w:r>
              <w:rPr>
                <w:rFonts w:hint="default"/>
                <w:color w:val="auto"/>
                <w:spacing w:val="-1"/>
                <w:highlight w:val="none"/>
                <w:lang w:val="en-US" w:eastAsia="zh-CN"/>
              </w:rPr>
              <w:t>，体系完善</w:t>
            </w:r>
            <w:r>
              <w:rPr>
                <w:rFonts w:hint="eastAsia"/>
                <w:color w:val="auto"/>
                <w:spacing w:val="-1"/>
                <w:highlight w:val="none"/>
                <w:lang w:val="en-US" w:eastAsia="zh-CN"/>
              </w:rPr>
              <w:t>但内容不全</w:t>
            </w:r>
            <w:r>
              <w:rPr>
                <w:rFonts w:hint="default"/>
                <w:color w:val="auto"/>
                <w:spacing w:val="-1"/>
                <w:highlight w:val="none"/>
                <w:lang w:val="en-US" w:eastAsia="zh-CN"/>
              </w:rPr>
              <w:t>。</w:t>
            </w:r>
          </w:p>
          <w:p w14:paraId="68792027">
            <w:pPr>
              <w:pStyle w:val="12"/>
              <w:spacing w:before="187" w:line="332" w:lineRule="auto"/>
              <w:ind w:left="112" w:right="101" w:firstLine="429"/>
              <w:jc w:val="both"/>
              <w:rPr>
                <w:rFonts w:hint="default"/>
                <w:color w:val="auto"/>
                <w:spacing w:val="-1"/>
                <w:highlight w:val="none"/>
                <w:lang w:val="en-US" w:eastAsia="zh-CN"/>
              </w:rPr>
            </w:pPr>
            <w:r>
              <w:rPr>
                <w:rFonts w:hint="default"/>
                <w:color w:val="auto"/>
                <w:spacing w:val="-1"/>
                <w:highlight w:val="none"/>
                <w:lang w:val="en-US" w:eastAsia="zh-CN"/>
              </w:rPr>
              <w:t>第三档（</w:t>
            </w:r>
            <w:r>
              <w:rPr>
                <w:rFonts w:hint="eastAsia"/>
                <w:color w:val="auto"/>
                <w:spacing w:val="-1"/>
                <w:highlight w:val="none"/>
                <w:lang w:val="en-US" w:eastAsia="zh-CN"/>
              </w:rPr>
              <w:t>6</w:t>
            </w:r>
            <w:r>
              <w:rPr>
                <w:rFonts w:hint="default"/>
                <w:color w:val="auto"/>
                <w:spacing w:val="-1"/>
                <w:highlight w:val="none"/>
                <w:lang w:val="en-US" w:eastAsia="zh-CN"/>
              </w:rPr>
              <w:t>分）：提供①项目全流程资料审核清单、②资料核查标准、③基础整改机制，</w:t>
            </w:r>
            <w:r>
              <w:rPr>
                <w:rFonts w:hint="eastAsia"/>
                <w:color w:val="auto"/>
                <w:spacing w:val="-1"/>
                <w:highlight w:val="none"/>
                <w:lang w:val="en-US" w:eastAsia="zh-CN"/>
              </w:rPr>
              <w:t>3</w:t>
            </w:r>
            <w:r>
              <w:rPr>
                <w:rFonts w:hint="default"/>
                <w:color w:val="auto"/>
                <w:spacing w:val="-1"/>
                <w:highlight w:val="none"/>
                <w:lang w:val="en-US" w:eastAsia="zh-CN"/>
              </w:rPr>
              <w:t>项核心内容，资料分类核查不细致，缺少专项归档细则。</w:t>
            </w:r>
          </w:p>
          <w:p w14:paraId="2B26D13C">
            <w:pPr>
              <w:pStyle w:val="12"/>
              <w:spacing w:before="187" w:line="332" w:lineRule="auto"/>
              <w:ind w:left="112" w:right="101" w:firstLine="429"/>
              <w:jc w:val="both"/>
              <w:rPr>
                <w:rFonts w:hint="default"/>
                <w:color w:val="auto"/>
                <w:spacing w:val="-1"/>
                <w:highlight w:val="none"/>
                <w:lang w:val="en-US" w:eastAsia="zh-CN"/>
              </w:rPr>
            </w:pPr>
            <w:r>
              <w:rPr>
                <w:rFonts w:hint="default"/>
                <w:color w:val="auto"/>
                <w:spacing w:val="-1"/>
                <w:highlight w:val="none"/>
                <w:lang w:val="en-US" w:eastAsia="zh-CN"/>
              </w:rPr>
              <w:t>第四档（</w:t>
            </w:r>
            <w:r>
              <w:rPr>
                <w:rFonts w:hint="eastAsia"/>
                <w:color w:val="auto"/>
                <w:spacing w:val="-1"/>
                <w:highlight w:val="none"/>
                <w:lang w:val="en-US" w:eastAsia="zh-CN"/>
              </w:rPr>
              <w:t>3</w:t>
            </w:r>
            <w:r>
              <w:rPr>
                <w:rFonts w:hint="default"/>
                <w:color w:val="auto"/>
                <w:spacing w:val="-1"/>
                <w:highlight w:val="none"/>
                <w:lang w:val="en-US" w:eastAsia="zh-CN"/>
              </w:rPr>
              <w:t>分）：仅提供通用资料审核、简单资金核查说明，3项以内基础内容，无细化清单、无闭环机制。</w:t>
            </w:r>
          </w:p>
          <w:p w14:paraId="58D268C5">
            <w:pPr>
              <w:pStyle w:val="12"/>
              <w:spacing w:before="187" w:line="332" w:lineRule="auto"/>
              <w:ind w:left="112" w:right="101" w:firstLine="429"/>
              <w:jc w:val="both"/>
              <w:rPr>
                <w:rFonts w:hint="default"/>
                <w:color w:val="auto"/>
                <w:spacing w:val="-1"/>
                <w:highlight w:val="none"/>
                <w:lang w:val="en-US" w:eastAsia="zh-CN"/>
              </w:rPr>
            </w:pPr>
            <w:r>
              <w:rPr>
                <w:rFonts w:hint="default"/>
                <w:color w:val="auto"/>
                <w:spacing w:val="-1"/>
                <w:highlight w:val="none"/>
                <w:lang w:val="en-US" w:eastAsia="zh-CN"/>
              </w:rPr>
              <w:t>第五档（</w:t>
            </w:r>
            <w:r>
              <w:rPr>
                <w:rFonts w:hint="eastAsia"/>
                <w:color w:val="auto"/>
                <w:spacing w:val="-1"/>
                <w:highlight w:val="none"/>
                <w:lang w:val="en-US" w:eastAsia="zh-CN"/>
              </w:rPr>
              <w:t>1</w:t>
            </w:r>
            <w:r>
              <w:rPr>
                <w:rFonts w:hint="default"/>
                <w:color w:val="auto"/>
                <w:spacing w:val="-1"/>
                <w:highlight w:val="none"/>
                <w:lang w:val="en-US" w:eastAsia="zh-CN"/>
              </w:rPr>
              <w:t>分）：未提供资料及资金核查专项方案，无专项核查体系，无法满足项目合规复核要求。</w:t>
            </w:r>
          </w:p>
        </w:tc>
        <w:tc>
          <w:tcPr>
            <w:tcW w:w="814" w:type="dxa"/>
            <w:vAlign w:val="center"/>
          </w:tcPr>
          <w:p w14:paraId="7FE30BD3">
            <w:pPr>
              <w:pStyle w:val="12"/>
              <w:spacing w:before="69" w:line="221" w:lineRule="auto"/>
              <w:ind w:left="186"/>
              <w:jc w:val="both"/>
              <w:rPr>
                <w:rFonts w:hint="default"/>
                <w:color w:val="auto"/>
                <w:spacing w:val="-8"/>
                <w:highlight w:val="none"/>
                <w:lang w:val="en-US" w:eastAsia="zh-CN"/>
              </w:rPr>
            </w:pPr>
            <w:r>
              <w:rPr>
                <w:rFonts w:hint="eastAsia"/>
                <w:color w:val="auto"/>
                <w:spacing w:val="-8"/>
                <w:highlight w:val="none"/>
                <w:lang w:val="en-US" w:eastAsia="zh-CN"/>
              </w:rPr>
              <w:t>14分</w:t>
            </w:r>
          </w:p>
        </w:tc>
      </w:tr>
      <w:tr w14:paraId="0E1A59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3" w:hRule="atLeast"/>
        </w:trPr>
        <w:tc>
          <w:tcPr>
            <w:tcW w:w="760" w:type="dxa"/>
            <w:vAlign w:val="top"/>
          </w:tcPr>
          <w:p w14:paraId="43981367">
            <w:pPr>
              <w:spacing w:line="248" w:lineRule="auto"/>
              <w:rPr>
                <w:rFonts w:ascii="Arial"/>
                <w:color w:val="auto"/>
                <w:sz w:val="21"/>
                <w:highlight w:val="none"/>
              </w:rPr>
            </w:pPr>
          </w:p>
          <w:p w14:paraId="4CCAD36E">
            <w:pPr>
              <w:spacing w:line="248" w:lineRule="auto"/>
              <w:rPr>
                <w:rFonts w:ascii="Arial"/>
                <w:color w:val="auto"/>
                <w:sz w:val="21"/>
                <w:highlight w:val="none"/>
              </w:rPr>
            </w:pPr>
          </w:p>
          <w:p w14:paraId="1F10097D">
            <w:pPr>
              <w:spacing w:line="248" w:lineRule="auto"/>
              <w:rPr>
                <w:rFonts w:ascii="Arial"/>
                <w:color w:val="auto"/>
                <w:sz w:val="21"/>
                <w:highlight w:val="none"/>
              </w:rPr>
            </w:pPr>
          </w:p>
          <w:p w14:paraId="35E7F4A2">
            <w:pPr>
              <w:spacing w:line="248" w:lineRule="auto"/>
              <w:rPr>
                <w:rFonts w:ascii="Arial"/>
                <w:color w:val="auto"/>
                <w:sz w:val="21"/>
                <w:highlight w:val="none"/>
              </w:rPr>
            </w:pPr>
          </w:p>
          <w:p w14:paraId="66A7E0B5">
            <w:pPr>
              <w:spacing w:line="248" w:lineRule="auto"/>
              <w:rPr>
                <w:rFonts w:ascii="Arial"/>
                <w:color w:val="auto"/>
                <w:sz w:val="21"/>
                <w:highlight w:val="none"/>
              </w:rPr>
            </w:pPr>
          </w:p>
          <w:p w14:paraId="53DC8306">
            <w:pPr>
              <w:spacing w:line="248" w:lineRule="auto"/>
              <w:rPr>
                <w:rFonts w:ascii="Arial"/>
                <w:color w:val="auto"/>
                <w:sz w:val="21"/>
                <w:highlight w:val="none"/>
              </w:rPr>
            </w:pPr>
          </w:p>
          <w:p w14:paraId="11C37D27">
            <w:pPr>
              <w:spacing w:line="248" w:lineRule="auto"/>
              <w:rPr>
                <w:rFonts w:ascii="Arial"/>
                <w:color w:val="auto"/>
                <w:sz w:val="21"/>
                <w:highlight w:val="none"/>
              </w:rPr>
            </w:pPr>
          </w:p>
          <w:p w14:paraId="57FC5EE6">
            <w:pPr>
              <w:spacing w:line="248" w:lineRule="auto"/>
              <w:rPr>
                <w:rFonts w:ascii="Arial"/>
                <w:color w:val="auto"/>
                <w:sz w:val="21"/>
                <w:highlight w:val="none"/>
              </w:rPr>
            </w:pPr>
          </w:p>
          <w:p w14:paraId="2463473F">
            <w:pPr>
              <w:spacing w:line="248" w:lineRule="auto"/>
              <w:rPr>
                <w:rFonts w:ascii="Arial"/>
                <w:color w:val="auto"/>
                <w:sz w:val="21"/>
                <w:highlight w:val="none"/>
              </w:rPr>
            </w:pPr>
          </w:p>
          <w:p w14:paraId="5495BB41">
            <w:pPr>
              <w:spacing w:line="249" w:lineRule="auto"/>
              <w:rPr>
                <w:rFonts w:ascii="Arial"/>
                <w:color w:val="auto"/>
                <w:sz w:val="21"/>
                <w:highlight w:val="none"/>
              </w:rPr>
            </w:pPr>
          </w:p>
          <w:p w14:paraId="4271425A">
            <w:pPr>
              <w:spacing w:line="249" w:lineRule="auto"/>
              <w:rPr>
                <w:rFonts w:ascii="Arial"/>
                <w:color w:val="auto"/>
                <w:sz w:val="21"/>
                <w:highlight w:val="none"/>
              </w:rPr>
            </w:pPr>
          </w:p>
          <w:p w14:paraId="38D5DCD5">
            <w:pPr>
              <w:pStyle w:val="12"/>
              <w:spacing w:before="68"/>
              <w:ind w:left="231"/>
              <w:rPr>
                <w:rFonts w:hint="eastAsia" w:eastAsia="宋体"/>
                <w:color w:val="auto"/>
                <w:highlight w:val="none"/>
                <w:lang w:eastAsia="zh-CN"/>
              </w:rPr>
            </w:pPr>
            <w:r>
              <w:rPr>
                <w:color w:val="auto"/>
                <w:spacing w:val="-3"/>
                <w:highlight w:val="none"/>
              </w:rPr>
              <w:t>2.</w:t>
            </w:r>
            <w:r>
              <w:rPr>
                <w:rFonts w:hint="eastAsia"/>
                <w:color w:val="auto"/>
                <w:spacing w:val="-3"/>
                <w:highlight w:val="none"/>
                <w:lang w:val="en-US" w:eastAsia="zh-CN"/>
              </w:rPr>
              <w:t>4</w:t>
            </w:r>
          </w:p>
        </w:tc>
        <w:tc>
          <w:tcPr>
            <w:tcW w:w="1235" w:type="dxa"/>
            <w:vAlign w:val="top"/>
          </w:tcPr>
          <w:p w14:paraId="6929BAEA">
            <w:pPr>
              <w:spacing w:line="248" w:lineRule="auto"/>
              <w:rPr>
                <w:rFonts w:ascii="Arial"/>
                <w:color w:val="auto"/>
                <w:sz w:val="21"/>
                <w:highlight w:val="none"/>
              </w:rPr>
            </w:pPr>
          </w:p>
          <w:p w14:paraId="0377DD5F">
            <w:pPr>
              <w:spacing w:line="248" w:lineRule="auto"/>
              <w:rPr>
                <w:rFonts w:ascii="Arial"/>
                <w:color w:val="auto"/>
                <w:sz w:val="21"/>
                <w:highlight w:val="none"/>
              </w:rPr>
            </w:pPr>
          </w:p>
          <w:p w14:paraId="0D018D15">
            <w:pPr>
              <w:spacing w:line="248" w:lineRule="auto"/>
              <w:rPr>
                <w:rFonts w:ascii="Arial"/>
                <w:color w:val="auto"/>
                <w:sz w:val="21"/>
                <w:highlight w:val="none"/>
              </w:rPr>
            </w:pPr>
          </w:p>
          <w:p w14:paraId="4B2E207B">
            <w:pPr>
              <w:spacing w:line="248" w:lineRule="auto"/>
              <w:rPr>
                <w:rFonts w:ascii="Arial"/>
                <w:color w:val="auto"/>
                <w:sz w:val="21"/>
                <w:highlight w:val="none"/>
              </w:rPr>
            </w:pPr>
          </w:p>
          <w:p w14:paraId="1D9DC574">
            <w:pPr>
              <w:spacing w:line="248" w:lineRule="auto"/>
              <w:rPr>
                <w:rFonts w:ascii="Arial"/>
                <w:color w:val="auto"/>
                <w:sz w:val="21"/>
                <w:highlight w:val="none"/>
              </w:rPr>
            </w:pPr>
          </w:p>
          <w:p w14:paraId="0F1FD2BB">
            <w:pPr>
              <w:spacing w:line="248" w:lineRule="auto"/>
              <w:rPr>
                <w:rFonts w:ascii="Arial"/>
                <w:color w:val="auto"/>
                <w:sz w:val="21"/>
                <w:highlight w:val="none"/>
              </w:rPr>
            </w:pPr>
          </w:p>
          <w:p w14:paraId="0BF43C8E">
            <w:pPr>
              <w:spacing w:line="248" w:lineRule="auto"/>
              <w:rPr>
                <w:rFonts w:ascii="Arial"/>
                <w:color w:val="auto"/>
                <w:sz w:val="21"/>
                <w:highlight w:val="none"/>
              </w:rPr>
            </w:pPr>
          </w:p>
          <w:p w14:paraId="03B2B873">
            <w:pPr>
              <w:spacing w:line="248" w:lineRule="auto"/>
              <w:rPr>
                <w:rFonts w:ascii="Arial"/>
                <w:color w:val="auto"/>
                <w:sz w:val="21"/>
                <w:highlight w:val="none"/>
              </w:rPr>
            </w:pPr>
          </w:p>
          <w:p w14:paraId="3ED7CD20">
            <w:pPr>
              <w:spacing w:line="248" w:lineRule="auto"/>
              <w:rPr>
                <w:rFonts w:ascii="Arial"/>
                <w:color w:val="auto"/>
                <w:sz w:val="21"/>
                <w:highlight w:val="none"/>
              </w:rPr>
            </w:pPr>
          </w:p>
          <w:p w14:paraId="612E07C9">
            <w:pPr>
              <w:spacing w:line="248" w:lineRule="auto"/>
              <w:rPr>
                <w:rFonts w:ascii="Arial"/>
                <w:color w:val="auto"/>
                <w:sz w:val="21"/>
                <w:highlight w:val="none"/>
              </w:rPr>
            </w:pPr>
          </w:p>
          <w:p w14:paraId="6BEC1367">
            <w:pPr>
              <w:spacing w:line="249" w:lineRule="auto"/>
              <w:rPr>
                <w:rFonts w:ascii="Arial"/>
                <w:color w:val="auto"/>
                <w:sz w:val="21"/>
                <w:highlight w:val="none"/>
              </w:rPr>
            </w:pPr>
          </w:p>
          <w:p w14:paraId="0D41DE58">
            <w:pPr>
              <w:pStyle w:val="12"/>
              <w:spacing w:before="69" w:line="220" w:lineRule="auto"/>
              <w:ind w:left="200"/>
              <w:rPr>
                <w:color w:val="auto"/>
                <w:highlight w:val="none"/>
              </w:rPr>
            </w:pPr>
            <w:r>
              <w:rPr>
                <w:color w:val="auto"/>
                <w:highlight w:val="none"/>
                <w:lang w:val="en-US" w:eastAsia="zh-CN"/>
              </w:rPr>
              <w:t>服务团队配置</w:t>
            </w:r>
          </w:p>
          <w:p w14:paraId="2C999375">
            <w:pPr>
              <w:pStyle w:val="12"/>
              <w:spacing w:before="69" w:line="220" w:lineRule="auto"/>
              <w:ind w:left="200"/>
              <w:rPr>
                <w:color w:val="auto"/>
                <w:highlight w:val="none"/>
              </w:rPr>
            </w:pPr>
          </w:p>
          <w:p w14:paraId="23A4ACA2">
            <w:pPr>
              <w:pStyle w:val="12"/>
              <w:spacing w:before="69" w:line="220" w:lineRule="auto"/>
              <w:ind w:left="200"/>
              <w:rPr>
                <w:color w:val="auto"/>
                <w:highlight w:val="none"/>
              </w:rPr>
            </w:pPr>
          </w:p>
        </w:tc>
        <w:tc>
          <w:tcPr>
            <w:tcW w:w="7008" w:type="dxa"/>
            <w:vAlign w:val="center"/>
          </w:tcPr>
          <w:p w14:paraId="6A7621AF">
            <w:pPr>
              <w:pStyle w:val="12"/>
              <w:spacing w:before="190" w:line="345" w:lineRule="auto"/>
              <w:ind w:left="115" w:right="42" w:firstLine="423"/>
              <w:jc w:val="both"/>
              <w:rPr>
                <w:b/>
                <w:bCs/>
                <w:color w:val="auto"/>
                <w:highlight w:val="none"/>
              </w:rPr>
            </w:pPr>
            <w:r>
              <w:rPr>
                <w:b/>
                <w:bCs/>
                <w:color w:val="auto"/>
                <w:highlight w:val="none"/>
                <w:lang w:val="en-US" w:eastAsia="zh-CN"/>
              </w:rPr>
              <w:t>评审说明：依据人员专业配置、服务质保、售后答疑、成果交付、整改复核保障内容阶梯量化评分。</w:t>
            </w:r>
          </w:p>
          <w:p w14:paraId="7B212F07">
            <w:pPr>
              <w:pStyle w:val="12"/>
              <w:spacing w:before="190" w:line="345" w:lineRule="auto"/>
              <w:ind w:left="115" w:right="42" w:firstLine="423"/>
              <w:jc w:val="both"/>
              <w:rPr>
                <w:color w:val="auto"/>
                <w:highlight w:val="none"/>
              </w:rPr>
            </w:pPr>
            <w:r>
              <w:rPr>
                <w:color w:val="auto"/>
                <w:highlight w:val="none"/>
                <w:lang w:val="en-US" w:eastAsia="zh-CN"/>
              </w:rPr>
              <w:t>第一档（</w:t>
            </w:r>
            <w:r>
              <w:rPr>
                <w:rFonts w:hint="eastAsia"/>
                <w:color w:val="auto"/>
                <w:highlight w:val="none"/>
                <w:lang w:val="en-US" w:eastAsia="zh-CN"/>
              </w:rPr>
              <w:t>14</w:t>
            </w:r>
            <w:r>
              <w:rPr>
                <w:color w:val="auto"/>
                <w:highlight w:val="none"/>
                <w:lang w:val="en-US" w:eastAsia="zh-CN"/>
              </w:rPr>
              <w:t>分）：提供①</w:t>
            </w:r>
            <w:r>
              <w:rPr>
                <w:rFonts w:hint="eastAsia"/>
                <w:color w:val="auto"/>
                <w:highlight w:val="none"/>
                <w:lang w:val="en-US" w:eastAsia="zh-CN"/>
              </w:rPr>
              <w:t>相关</w:t>
            </w:r>
            <w:r>
              <w:rPr>
                <w:color w:val="auto"/>
                <w:highlight w:val="none"/>
                <w:lang w:val="en-US" w:eastAsia="zh-CN"/>
              </w:rPr>
              <w:t>专业人员配置</w:t>
            </w:r>
            <w:r>
              <w:rPr>
                <w:rFonts w:hint="eastAsia"/>
                <w:color w:val="auto"/>
                <w:highlight w:val="none"/>
                <w:lang w:val="en-US" w:eastAsia="zh-CN"/>
              </w:rPr>
              <w:t>齐全</w:t>
            </w:r>
            <w:r>
              <w:rPr>
                <w:color w:val="auto"/>
                <w:highlight w:val="none"/>
                <w:lang w:val="en-US" w:eastAsia="zh-CN"/>
              </w:rPr>
              <w:t>、②全程质保服务承诺</w:t>
            </w:r>
            <w:r>
              <w:rPr>
                <w:rFonts w:hint="eastAsia"/>
                <w:color w:val="auto"/>
                <w:highlight w:val="none"/>
                <w:lang w:val="en-US" w:eastAsia="zh-CN"/>
              </w:rPr>
              <w:t>及措施</w:t>
            </w:r>
            <w:r>
              <w:rPr>
                <w:color w:val="auto"/>
                <w:highlight w:val="none"/>
                <w:lang w:val="en-US" w:eastAsia="zh-CN"/>
              </w:rPr>
              <w:t>、③全套成果交付及售后答疑保障</w:t>
            </w:r>
            <w:r>
              <w:rPr>
                <w:rFonts w:hint="eastAsia"/>
                <w:color w:val="auto"/>
                <w:highlight w:val="none"/>
                <w:lang w:val="en-US" w:eastAsia="zh-CN"/>
              </w:rPr>
              <w:t>，3项</w:t>
            </w:r>
            <w:r>
              <w:rPr>
                <w:color w:val="auto"/>
                <w:highlight w:val="none"/>
                <w:lang w:val="en-US" w:eastAsia="zh-CN"/>
              </w:rPr>
              <w:t>内容齐全，人员专业全覆盖、服务保障完善。</w:t>
            </w:r>
          </w:p>
          <w:p w14:paraId="52ADA93E">
            <w:pPr>
              <w:pStyle w:val="12"/>
              <w:spacing w:before="190" w:line="345" w:lineRule="auto"/>
              <w:ind w:left="115" w:right="42" w:firstLine="423"/>
              <w:jc w:val="both"/>
              <w:rPr>
                <w:color w:val="auto"/>
                <w:highlight w:val="none"/>
              </w:rPr>
            </w:pPr>
            <w:r>
              <w:rPr>
                <w:color w:val="auto"/>
                <w:highlight w:val="none"/>
                <w:lang w:val="en-US" w:eastAsia="zh-CN"/>
              </w:rPr>
              <w:t>第二档（</w:t>
            </w:r>
            <w:r>
              <w:rPr>
                <w:rFonts w:hint="eastAsia"/>
                <w:color w:val="auto"/>
                <w:highlight w:val="none"/>
                <w:lang w:val="en-US" w:eastAsia="zh-CN"/>
              </w:rPr>
              <w:t>10</w:t>
            </w:r>
            <w:r>
              <w:rPr>
                <w:color w:val="auto"/>
                <w:highlight w:val="none"/>
                <w:lang w:val="en-US" w:eastAsia="zh-CN"/>
              </w:rPr>
              <w:t>分）：提供①</w:t>
            </w:r>
            <w:r>
              <w:rPr>
                <w:rFonts w:hint="eastAsia"/>
                <w:color w:val="auto"/>
                <w:highlight w:val="none"/>
                <w:lang w:val="en-US" w:eastAsia="zh-CN"/>
              </w:rPr>
              <w:t>相关专业人员配置</w:t>
            </w:r>
            <w:r>
              <w:rPr>
                <w:color w:val="auto"/>
                <w:highlight w:val="none"/>
                <w:lang w:val="en-US" w:eastAsia="zh-CN"/>
              </w:rPr>
              <w:t>土建、②</w:t>
            </w:r>
            <w:r>
              <w:rPr>
                <w:rFonts w:hint="eastAsia"/>
                <w:color w:val="auto"/>
                <w:highlight w:val="none"/>
                <w:lang w:val="en-US" w:eastAsia="zh-CN"/>
              </w:rPr>
              <w:t>有</w:t>
            </w:r>
            <w:r>
              <w:rPr>
                <w:color w:val="auto"/>
                <w:highlight w:val="none"/>
                <w:lang w:val="en-US" w:eastAsia="zh-CN"/>
              </w:rPr>
              <w:t>质保服务承诺</w:t>
            </w:r>
            <w:r>
              <w:rPr>
                <w:rFonts w:hint="eastAsia"/>
                <w:color w:val="auto"/>
                <w:highlight w:val="none"/>
                <w:lang w:val="en-US" w:eastAsia="zh-CN"/>
              </w:rPr>
              <w:t>及措施、</w:t>
            </w:r>
            <w:r>
              <w:rPr>
                <w:color w:val="auto"/>
                <w:highlight w:val="none"/>
                <w:lang w:val="en-US" w:eastAsia="zh-CN"/>
              </w:rPr>
              <w:t>③</w:t>
            </w:r>
            <w:r>
              <w:rPr>
                <w:rFonts w:hint="eastAsia"/>
                <w:color w:val="auto"/>
                <w:highlight w:val="none"/>
                <w:lang w:val="en-US" w:eastAsia="zh-CN"/>
              </w:rPr>
              <w:t>有</w:t>
            </w:r>
            <w:r>
              <w:rPr>
                <w:color w:val="auto"/>
                <w:highlight w:val="none"/>
                <w:lang w:val="en-US" w:eastAsia="zh-CN"/>
              </w:rPr>
              <w:t>成果交付及售后答疑保障，</w:t>
            </w:r>
            <w:r>
              <w:rPr>
                <w:rFonts w:hint="eastAsia"/>
                <w:color w:val="auto"/>
                <w:highlight w:val="none"/>
                <w:lang w:val="en-US" w:eastAsia="zh-CN"/>
              </w:rPr>
              <w:t>3项</w:t>
            </w:r>
            <w:r>
              <w:rPr>
                <w:color w:val="auto"/>
                <w:highlight w:val="none"/>
                <w:lang w:val="en-US" w:eastAsia="zh-CN"/>
              </w:rPr>
              <w:t>内容</w:t>
            </w:r>
            <w:r>
              <w:rPr>
                <w:rFonts w:hint="eastAsia"/>
                <w:color w:val="auto"/>
                <w:highlight w:val="none"/>
                <w:lang w:val="en-US" w:eastAsia="zh-CN"/>
              </w:rPr>
              <w:t>不够细致</w:t>
            </w:r>
            <w:r>
              <w:rPr>
                <w:color w:val="auto"/>
                <w:highlight w:val="none"/>
                <w:lang w:val="en-US" w:eastAsia="zh-CN"/>
              </w:rPr>
              <w:t>，保障措施一般。</w:t>
            </w:r>
          </w:p>
          <w:p w14:paraId="51FAD305">
            <w:pPr>
              <w:pStyle w:val="12"/>
              <w:spacing w:before="190" w:line="345" w:lineRule="auto"/>
              <w:ind w:left="115" w:right="42" w:firstLine="423"/>
              <w:jc w:val="both"/>
              <w:rPr>
                <w:color w:val="auto"/>
                <w:highlight w:val="none"/>
              </w:rPr>
            </w:pPr>
            <w:r>
              <w:rPr>
                <w:color w:val="auto"/>
                <w:highlight w:val="none"/>
                <w:lang w:val="en-US" w:eastAsia="zh-CN"/>
              </w:rPr>
              <w:t>第三档（</w:t>
            </w:r>
            <w:r>
              <w:rPr>
                <w:rFonts w:hint="eastAsia"/>
                <w:color w:val="auto"/>
                <w:highlight w:val="none"/>
                <w:lang w:val="en-US" w:eastAsia="zh-CN"/>
              </w:rPr>
              <w:t>6</w:t>
            </w:r>
            <w:r>
              <w:rPr>
                <w:color w:val="auto"/>
                <w:highlight w:val="none"/>
                <w:lang w:val="en-US" w:eastAsia="zh-CN"/>
              </w:rPr>
              <w:t>分）：提供①</w:t>
            </w:r>
            <w:r>
              <w:rPr>
                <w:rFonts w:hint="eastAsia"/>
                <w:color w:val="auto"/>
                <w:highlight w:val="none"/>
                <w:lang w:val="en-US" w:eastAsia="zh-CN"/>
              </w:rPr>
              <w:t>有</w:t>
            </w:r>
            <w:r>
              <w:rPr>
                <w:color w:val="auto"/>
                <w:highlight w:val="none"/>
                <w:lang w:val="en-US" w:eastAsia="zh-CN"/>
              </w:rPr>
              <w:t>人员配置、②</w:t>
            </w:r>
            <w:r>
              <w:rPr>
                <w:rFonts w:hint="eastAsia"/>
                <w:color w:val="auto"/>
                <w:highlight w:val="none"/>
                <w:lang w:val="en-US" w:eastAsia="zh-CN"/>
              </w:rPr>
              <w:t>有</w:t>
            </w:r>
            <w:r>
              <w:rPr>
                <w:color w:val="auto"/>
                <w:highlight w:val="none"/>
                <w:lang w:val="en-US" w:eastAsia="zh-CN"/>
              </w:rPr>
              <w:t>质保服务承诺、③</w:t>
            </w:r>
            <w:r>
              <w:rPr>
                <w:rFonts w:hint="eastAsia"/>
                <w:color w:val="auto"/>
                <w:highlight w:val="none"/>
                <w:lang w:val="en-US" w:eastAsia="zh-CN"/>
              </w:rPr>
              <w:t>有</w:t>
            </w:r>
            <w:r>
              <w:rPr>
                <w:color w:val="auto"/>
                <w:highlight w:val="none"/>
                <w:lang w:val="en-US" w:eastAsia="zh-CN"/>
              </w:rPr>
              <w:t>成果交付说明，</w:t>
            </w:r>
            <w:r>
              <w:rPr>
                <w:rFonts w:hint="eastAsia"/>
                <w:color w:val="auto"/>
                <w:highlight w:val="none"/>
                <w:lang w:val="en-US" w:eastAsia="zh-CN"/>
              </w:rPr>
              <w:t>3</w:t>
            </w:r>
            <w:r>
              <w:rPr>
                <w:color w:val="auto"/>
                <w:highlight w:val="none"/>
                <w:lang w:val="en-US" w:eastAsia="zh-CN"/>
              </w:rPr>
              <w:t>项基础保障内容，人员配置不够全覆盖。</w:t>
            </w:r>
          </w:p>
          <w:p w14:paraId="5034093A">
            <w:pPr>
              <w:pStyle w:val="12"/>
              <w:spacing w:before="190" w:line="345" w:lineRule="auto"/>
              <w:ind w:left="115" w:right="42" w:firstLine="423"/>
              <w:jc w:val="both"/>
              <w:rPr>
                <w:color w:val="auto"/>
                <w:highlight w:val="none"/>
              </w:rPr>
            </w:pPr>
            <w:r>
              <w:rPr>
                <w:color w:val="auto"/>
                <w:highlight w:val="none"/>
                <w:lang w:val="en-US" w:eastAsia="zh-CN"/>
              </w:rPr>
              <w:t>第四档（</w:t>
            </w:r>
            <w:r>
              <w:rPr>
                <w:rFonts w:hint="eastAsia"/>
                <w:color w:val="auto"/>
                <w:highlight w:val="none"/>
                <w:lang w:val="en-US" w:eastAsia="zh-CN"/>
              </w:rPr>
              <w:t>3</w:t>
            </w:r>
            <w:r>
              <w:rPr>
                <w:color w:val="auto"/>
                <w:highlight w:val="none"/>
                <w:lang w:val="en-US" w:eastAsia="zh-CN"/>
              </w:rPr>
              <w:t>分）：仅提供简单人员配置表、基础服务承诺，3项以内基础内容，无完善交付与质保体系。</w:t>
            </w:r>
          </w:p>
          <w:p w14:paraId="27B50581">
            <w:pPr>
              <w:pStyle w:val="12"/>
              <w:spacing w:before="190" w:line="345" w:lineRule="auto"/>
              <w:ind w:left="115" w:right="42" w:firstLine="423"/>
              <w:jc w:val="both"/>
              <w:rPr>
                <w:color w:val="auto"/>
                <w:highlight w:val="none"/>
              </w:rPr>
            </w:pPr>
            <w:r>
              <w:rPr>
                <w:color w:val="auto"/>
                <w:highlight w:val="none"/>
                <w:lang w:val="en-US" w:eastAsia="zh-CN"/>
              </w:rPr>
              <w:t>第五档（</w:t>
            </w:r>
            <w:r>
              <w:rPr>
                <w:rFonts w:hint="eastAsia"/>
                <w:color w:val="auto"/>
                <w:highlight w:val="none"/>
                <w:lang w:val="en-US" w:eastAsia="zh-CN"/>
              </w:rPr>
              <w:t>1</w:t>
            </w:r>
            <w:r>
              <w:rPr>
                <w:color w:val="auto"/>
                <w:highlight w:val="none"/>
                <w:lang w:val="en-US" w:eastAsia="zh-CN"/>
              </w:rPr>
              <w:t>分）：未提供团队配置、质保、交付保障相关资料，无有效服务保障内容，服务履约能力弱。</w:t>
            </w:r>
          </w:p>
        </w:tc>
        <w:tc>
          <w:tcPr>
            <w:tcW w:w="814" w:type="dxa"/>
            <w:vAlign w:val="top"/>
          </w:tcPr>
          <w:p w14:paraId="48F68BA6">
            <w:pPr>
              <w:spacing w:line="248" w:lineRule="auto"/>
              <w:rPr>
                <w:rFonts w:ascii="Arial"/>
                <w:color w:val="auto"/>
                <w:sz w:val="21"/>
                <w:highlight w:val="none"/>
              </w:rPr>
            </w:pPr>
          </w:p>
          <w:p w14:paraId="5DAE0948">
            <w:pPr>
              <w:spacing w:line="248" w:lineRule="auto"/>
              <w:rPr>
                <w:rFonts w:ascii="Arial"/>
                <w:color w:val="auto"/>
                <w:sz w:val="21"/>
                <w:highlight w:val="none"/>
              </w:rPr>
            </w:pPr>
          </w:p>
          <w:p w14:paraId="06D0FB27">
            <w:pPr>
              <w:spacing w:line="248" w:lineRule="auto"/>
              <w:rPr>
                <w:rFonts w:ascii="Arial"/>
                <w:color w:val="auto"/>
                <w:sz w:val="21"/>
                <w:highlight w:val="none"/>
              </w:rPr>
            </w:pPr>
          </w:p>
          <w:p w14:paraId="38D7B286">
            <w:pPr>
              <w:spacing w:line="248" w:lineRule="auto"/>
              <w:rPr>
                <w:rFonts w:ascii="Arial"/>
                <w:color w:val="auto"/>
                <w:sz w:val="21"/>
                <w:highlight w:val="none"/>
              </w:rPr>
            </w:pPr>
          </w:p>
          <w:p w14:paraId="4106BD35">
            <w:pPr>
              <w:spacing w:line="248" w:lineRule="auto"/>
              <w:rPr>
                <w:rFonts w:ascii="Arial"/>
                <w:color w:val="auto"/>
                <w:sz w:val="21"/>
                <w:highlight w:val="none"/>
              </w:rPr>
            </w:pPr>
          </w:p>
          <w:p w14:paraId="6093ADAA">
            <w:pPr>
              <w:spacing w:line="248" w:lineRule="auto"/>
              <w:rPr>
                <w:rFonts w:ascii="Arial"/>
                <w:color w:val="auto"/>
                <w:sz w:val="21"/>
                <w:highlight w:val="none"/>
              </w:rPr>
            </w:pPr>
          </w:p>
          <w:p w14:paraId="0428032A">
            <w:pPr>
              <w:spacing w:line="248" w:lineRule="auto"/>
              <w:rPr>
                <w:rFonts w:ascii="Arial"/>
                <w:color w:val="auto"/>
                <w:sz w:val="21"/>
                <w:highlight w:val="none"/>
              </w:rPr>
            </w:pPr>
          </w:p>
          <w:p w14:paraId="776D9C4E">
            <w:pPr>
              <w:spacing w:line="248" w:lineRule="auto"/>
              <w:rPr>
                <w:rFonts w:ascii="Arial"/>
                <w:color w:val="auto"/>
                <w:sz w:val="21"/>
                <w:highlight w:val="none"/>
              </w:rPr>
            </w:pPr>
          </w:p>
          <w:p w14:paraId="3E0A1FA8">
            <w:pPr>
              <w:spacing w:line="248" w:lineRule="auto"/>
              <w:rPr>
                <w:rFonts w:ascii="Arial"/>
                <w:color w:val="auto"/>
                <w:sz w:val="21"/>
                <w:highlight w:val="none"/>
              </w:rPr>
            </w:pPr>
          </w:p>
          <w:p w14:paraId="0925F9C4">
            <w:pPr>
              <w:spacing w:line="249" w:lineRule="auto"/>
              <w:rPr>
                <w:rFonts w:ascii="Arial"/>
                <w:color w:val="auto"/>
                <w:sz w:val="21"/>
                <w:highlight w:val="none"/>
              </w:rPr>
            </w:pPr>
          </w:p>
          <w:p w14:paraId="4291C50A">
            <w:pPr>
              <w:spacing w:line="249" w:lineRule="auto"/>
              <w:rPr>
                <w:rFonts w:ascii="Arial"/>
                <w:color w:val="auto"/>
                <w:sz w:val="21"/>
                <w:highlight w:val="none"/>
              </w:rPr>
            </w:pPr>
          </w:p>
          <w:p w14:paraId="38A4E699">
            <w:pPr>
              <w:pStyle w:val="12"/>
              <w:spacing w:before="68" w:line="221" w:lineRule="auto"/>
              <w:ind w:left="186"/>
              <w:rPr>
                <w:color w:val="auto"/>
                <w:highlight w:val="none"/>
              </w:rPr>
            </w:pPr>
            <w:r>
              <w:rPr>
                <w:rFonts w:hint="eastAsia"/>
                <w:color w:val="auto"/>
                <w:spacing w:val="-8"/>
                <w:highlight w:val="none"/>
                <w:lang w:val="en-US" w:eastAsia="zh-CN"/>
              </w:rPr>
              <w:t>14</w:t>
            </w:r>
            <w:r>
              <w:rPr>
                <w:color w:val="auto"/>
                <w:spacing w:val="-8"/>
                <w:highlight w:val="none"/>
              </w:rPr>
              <w:t>分</w:t>
            </w:r>
          </w:p>
        </w:tc>
      </w:tr>
      <w:tr w14:paraId="01CA5E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2" w:hRule="atLeast"/>
        </w:trPr>
        <w:tc>
          <w:tcPr>
            <w:tcW w:w="760" w:type="dxa"/>
            <w:vAlign w:val="center"/>
          </w:tcPr>
          <w:p w14:paraId="692AC99C">
            <w:pPr>
              <w:pStyle w:val="12"/>
              <w:spacing w:before="68"/>
              <w:ind w:left="231"/>
              <w:jc w:val="both"/>
              <w:rPr>
                <w:rFonts w:hint="default" w:eastAsia="宋体"/>
                <w:color w:val="auto"/>
                <w:spacing w:val="-3"/>
                <w:highlight w:val="none"/>
                <w:lang w:val="en-US" w:eastAsia="zh-CN"/>
              </w:rPr>
            </w:pPr>
            <w:r>
              <w:rPr>
                <w:rFonts w:hint="eastAsia"/>
                <w:color w:val="auto"/>
                <w:spacing w:val="-3"/>
                <w:highlight w:val="none"/>
                <w:lang w:val="en-US" w:eastAsia="zh-CN"/>
              </w:rPr>
              <w:t>2.5</w:t>
            </w:r>
          </w:p>
        </w:tc>
        <w:tc>
          <w:tcPr>
            <w:tcW w:w="1235" w:type="dxa"/>
            <w:vAlign w:val="center"/>
          </w:tcPr>
          <w:p w14:paraId="7B87A01B">
            <w:pPr>
              <w:pStyle w:val="12"/>
              <w:spacing w:before="69" w:line="221" w:lineRule="auto"/>
              <w:ind w:left="200" w:leftChars="0"/>
              <w:jc w:val="both"/>
              <w:rPr>
                <w:color w:val="auto"/>
                <w:spacing w:val="-2"/>
                <w:highlight w:val="none"/>
              </w:rPr>
            </w:pPr>
            <w:r>
              <w:rPr>
                <w:rFonts w:hint="eastAsia"/>
                <w:color w:val="auto"/>
                <w:spacing w:val="-2"/>
                <w:highlight w:val="none"/>
                <w:lang w:val="en-US" w:eastAsia="zh-CN"/>
              </w:rPr>
              <w:t>售后</w:t>
            </w:r>
            <w:r>
              <w:rPr>
                <w:color w:val="auto"/>
                <w:spacing w:val="-2"/>
                <w:highlight w:val="none"/>
              </w:rPr>
              <w:t>服务方案</w:t>
            </w:r>
          </w:p>
        </w:tc>
        <w:tc>
          <w:tcPr>
            <w:tcW w:w="7008" w:type="dxa"/>
            <w:vAlign w:val="center"/>
          </w:tcPr>
          <w:p w14:paraId="526D1C08">
            <w:pPr>
              <w:pStyle w:val="12"/>
              <w:spacing w:before="174" w:line="332" w:lineRule="auto"/>
              <w:ind w:left="122" w:right="98" w:firstLine="416"/>
              <w:jc w:val="both"/>
              <w:rPr>
                <w:color w:val="auto"/>
                <w:highlight w:val="none"/>
              </w:rPr>
            </w:pPr>
            <w:r>
              <w:rPr>
                <w:color w:val="auto"/>
                <w:spacing w:val="-1"/>
                <w:highlight w:val="none"/>
              </w:rPr>
              <w:t>（1）提供有售后方案；采购人有任何项目相关疑问，响应及处理</w:t>
            </w:r>
            <w:r>
              <w:rPr>
                <w:color w:val="auto"/>
                <w:spacing w:val="-2"/>
                <w:highlight w:val="none"/>
              </w:rPr>
              <w:t>问题时间：供应商在接到采购人处理问题的通知后，</w:t>
            </w:r>
            <w:r>
              <w:rPr>
                <w:rFonts w:hint="eastAsia"/>
                <w:color w:val="auto"/>
                <w:spacing w:val="-2"/>
                <w:highlight w:val="none"/>
                <w:lang w:val="en-US" w:eastAsia="zh-CN"/>
              </w:rPr>
              <w:t>2</w:t>
            </w:r>
            <w:r>
              <w:rPr>
                <w:color w:val="auto"/>
                <w:spacing w:val="-2"/>
                <w:highlight w:val="none"/>
              </w:rPr>
              <w:t>小时内作出响应，</w:t>
            </w:r>
            <w:r>
              <w:rPr>
                <w:rFonts w:hint="eastAsia"/>
                <w:color w:val="auto"/>
                <w:spacing w:val="-2"/>
                <w:highlight w:val="none"/>
                <w:lang w:val="en-US" w:eastAsia="zh-CN"/>
              </w:rPr>
              <w:t>12</w:t>
            </w:r>
            <w:r>
              <w:rPr>
                <w:color w:val="auto"/>
                <w:spacing w:val="-2"/>
                <w:highlight w:val="none"/>
              </w:rPr>
              <w:t>小时</w:t>
            </w:r>
            <w:r>
              <w:rPr>
                <w:color w:val="auto"/>
                <w:spacing w:val="-3"/>
                <w:highlight w:val="none"/>
              </w:rPr>
              <w:t>内到达采购人指定现场，</w:t>
            </w:r>
            <w:r>
              <w:rPr>
                <w:rFonts w:hint="eastAsia"/>
                <w:color w:val="auto"/>
                <w:spacing w:val="-3"/>
                <w:highlight w:val="none"/>
                <w:lang w:val="en-US" w:eastAsia="zh-CN"/>
              </w:rPr>
              <w:t>24</w:t>
            </w:r>
            <w:r>
              <w:rPr>
                <w:color w:val="auto"/>
                <w:spacing w:val="-3"/>
                <w:highlight w:val="none"/>
              </w:rPr>
              <w:t>小时内解决问题的，</w:t>
            </w:r>
            <w:r>
              <w:rPr>
                <w:rFonts w:hint="eastAsia"/>
                <w:color w:val="auto"/>
                <w:spacing w:val="-3"/>
                <w:highlight w:val="none"/>
                <w:lang w:val="en-US" w:eastAsia="zh-CN"/>
              </w:rPr>
              <w:t>得2</w:t>
            </w:r>
            <w:r>
              <w:rPr>
                <w:color w:val="auto"/>
                <w:spacing w:val="-3"/>
                <w:highlight w:val="none"/>
              </w:rPr>
              <w:t>分。</w:t>
            </w:r>
          </w:p>
          <w:p w14:paraId="787BE58A">
            <w:pPr>
              <w:pStyle w:val="12"/>
              <w:spacing w:before="189" w:line="345" w:lineRule="auto"/>
              <w:ind w:left="112" w:right="99" w:firstLine="426"/>
              <w:jc w:val="both"/>
              <w:rPr>
                <w:color w:val="auto"/>
                <w:highlight w:val="none"/>
              </w:rPr>
            </w:pPr>
            <w:r>
              <w:rPr>
                <w:color w:val="auto"/>
                <w:spacing w:val="-1"/>
                <w:highlight w:val="none"/>
              </w:rPr>
              <w:t>（2）提供有售后保证措施、售后方案，提供服务期内响应服</w:t>
            </w:r>
            <w:r>
              <w:rPr>
                <w:color w:val="auto"/>
                <w:spacing w:val="-2"/>
                <w:highlight w:val="none"/>
              </w:rPr>
              <w:t>务的联系</w:t>
            </w:r>
            <w:r>
              <w:rPr>
                <w:color w:val="auto"/>
                <w:spacing w:val="2"/>
                <w:highlight w:val="none"/>
              </w:rPr>
              <w:t>人和联系电话等方面的情况；采购人有任何项目相关疑问，响应及处理问题时间：供应商在接到采购人处理问题的通知后，</w:t>
            </w:r>
            <w:r>
              <w:rPr>
                <w:rFonts w:hint="eastAsia"/>
                <w:color w:val="auto"/>
                <w:spacing w:val="2"/>
                <w:highlight w:val="none"/>
                <w:lang w:val="en-US" w:eastAsia="zh-CN"/>
              </w:rPr>
              <w:t>1小时</w:t>
            </w:r>
            <w:r>
              <w:rPr>
                <w:color w:val="auto"/>
                <w:spacing w:val="2"/>
                <w:highlight w:val="none"/>
              </w:rPr>
              <w:t>内作出响应，</w:t>
            </w:r>
            <w:r>
              <w:rPr>
                <w:rFonts w:hint="eastAsia"/>
                <w:color w:val="auto"/>
                <w:spacing w:val="2"/>
                <w:highlight w:val="none"/>
                <w:lang w:val="en-US" w:eastAsia="zh-CN"/>
              </w:rPr>
              <w:t>8</w:t>
            </w:r>
            <w:r>
              <w:rPr>
                <w:color w:val="auto"/>
                <w:spacing w:val="-2"/>
                <w:highlight w:val="none"/>
              </w:rPr>
              <w:t>小时内到达采购人指定现场，</w:t>
            </w:r>
            <w:r>
              <w:rPr>
                <w:rFonts w:hint="eastAsia"/>
                <w:color w:val="auto"/>
                <w:spacing w:val="-2"/>
                <w:highlight w:val="none"/>
                <w:lang w:val="en-US" w:eastAsia="zh-CN"/>
              </w:rPr>
              <w:t>12</w:t>
            </w:r>
            <w:r>
              <w:rPr>
                <w:color w:val="auto"/>
                <w:spacing w:val="-2"/>
                <w:highlight w:val="none"/>
              </w:rPr>
              <w:t>小时内解决问题的，</w:t>
            </w:r>
            <w:r>
              <w:rPr>
                <w:color w:val="auto"/>
                <w:spacing w:val="-3"/>
                <w:highlight w:val="none"/>
              </w:rPr>
              <w:t>得</w:t>
            </w:r>
            <w:r>
              <w:rPr>
                <w:rFonts w:hint="eastAsia"/>
                <w:color w:val="auto"/>
                <w:spacing w:val="-3"/>
                <w:highlight w:val="none"/>
                <w:lang w:val="en-US" w:eastAsia="zh-CN"/>
              </w:rPr>
              <w:t>7</w:t>
            </w:r>
            <w:r>
              <w:rPr>
                <w:color w:val="auto"/>
                <w:spacing w:val="-3"/>
                <w:highlight w:val="none"/>
              </w:rPr>
              <w:t>分。</w:t>
            </w:r>
          </w:p>
          <w:p w14:paraId="3472BA64">
            <w:pPr>
              <w:pStyle w:val="12"/>
              <w:spacing w:before="193" w:line="353" w:lineRule="auto"/>
              <w:ind w:left="112" w:leftChars="0" w:right="98" w:rightChars="0" w:firstLine="427" w:firstLineChars="0"/>
              <w:jc w:val="both"/>
              <w:rPr>
                <w:color w:val="auto"/>
                <w:spacing w:val="-1"/>
                <w:highlight w:val="none"/>
              </w:rPr>
            </w:pPr>
            <w:r>
              <w:rPr>
                <w:color w:val="auto"/>
                <w:spacing w:val="-1"/>
                <w:highlight w:val="none"/>
              </w:rPr>
              <w:t>（3）提供有详细的保证措施及应急预案措施、售后方案，提</w:t>
            </w:r>
            <w:r>
              <w:rPr>
                <w:color w:val="auto"/>
                <w:spacing w:val="-2"/>
                <w:highlight w:val="none"/>
              </w:rPr>
              <w:t>供服务期</w:t>
            </w:r>
            <w:r>
              <w:rPr>
                <w:color w:val="auto"/>
                <w:spacing w:val="2"/>
                <w:highlight w:val="none"/>
              </w:rPr>
              <w:t>内响应服务的联系人和联系电话等方面的情况；采购人有任何项目相关疑</w:t>
            </w:r>
            <w:r>
              <w:rPr>
                <w:color w:val="auto"/>
                <w:spacing w:val="-1"/>
                <w:highlight w:val="none"/>
              </w:rPr>
              <w:t>问，响应及处理问题时间：供应商在接到采购人处理问题的通知后，30分</w:t>
            </w:r>
            <w:r>
              <w:rPr>
                <w:color w:val="auto"/>
                <w:spacing w:val="-2"/>
                <w:highlight w:val="none"/>
              </w:rPr>
              <w:t>钟内作出响应，</w:t>
            </w:r>
            <w:r>
              <w:rPr>
                <w:rFonts w:hint="eastAsia"/>
                <w:color w:val="auto"/>
                <w:spacing w:val="-2"/>
                <w:highlight w:val="none"/>
                <w:lang w:val="en-US" w:eastAsia="zh-CN"/>
              </w:rPr>
              <w:t>4</w:t>
            </w:r>
            <w:r>
              <w:rPr>
                <w:color w:val="auto"/>
                <w:spacing w:val="-2"/>
                <w:highlight w:val="none"/>
              </w:rPr>
              <w:t>小时内到达采购人指定现场，</w:t>
            </w:r>
            <w:r>
              <w:rPr>
                <w:rFonts w:hint="eastAsia"/>
                <w:color w:val="auto"/>
                <w:spacing w:val="-2"/>
                <w:highlight w:val="none"/>
                <w:lang w:val="en-US" w:eastAsia="zh-CN"/>
              </w:rPr>
              <w:t>8</w:t>
            </w:r>
            <w:r>
              <w:rPr>
                <w:color w:val="auto"/>
                <w:spacing w:val="-2"/>
                <w:highlight w:val="none"/>
              </w:rPr>
              <w:t>小时内解决问题。有配合采购人完成整体项目的验收的服务承诺的，得</w:t>
            </w:r>
            <w:r>
              <w:rPr>
                <w:rFonts w:hint="eastAsia"/>
                <w:color w:val="auto"/>
                <w:spacing w:val="-2"/>
                <w:highlight w:val="none"/>
                <w:lang w:val="en-US" w:eastAsia="zh-CN"/>
              </w:rPr>
              <w:t>12</w:t>
            </w:r>
            <w:r>
              <w:rPr>
                <w:color w:val="auto"/>
                <w:spacing w:val="-2"/>
                <w:highlight w:val="none"/>
              </w:rPr>
              <w:t>分。</w:t>
            </w:r>
          </w:p>
        </w:tc>
        <w:tc>
          <w:tcPr>
            <w:tcW w:w="814" w:type="dxa"/>
            <w:vAlign w:val="center"/>
          </w:tcPr>
          <w:p w14:paraId="68FEC422">
            <w:pPr>
              <w:pStyle w:val="12"/>
              <w:spacing w:before="68" w:line="221" w:lineRule="auto"/>
              <w:ind w:left="186"/>
              <w:jc w:val="both"/>
              <w:rPr>
                <w:rFonts w:hint="default" w:eastAsia="宋体"/>
                <w:color w:val="auto"/>
                <w:spacing w:val="-8"/>
                <w:highlight w:val="none"/>
                <w:lang w:val="en-US" w:eastAsia="zh-CN"/>
              </w:rPr>
            </w:pPr>
            <w:r>
              <w:rPr>
                <w:rFonts w:hint="eastAsia"/>
                <w:color w:val="auto"/>
                <w:spacing w:val="-8"/>
                <w:highlight w:val="none"/>
                <w:lang w:val="en-US" w:eastAsia="zh-CN"/>
              </w:rPr>
              <w:t>12分</w:t>
            </w:r>
          </w:p>
        </w:tc>
      </w:tr>
      <w:tr w14:paraId="68D28A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760" w:type="dxa"/>
            <w:vAlign w:val="top"/>
          </w:tcPr>
          <w:p w14:paraId="267271BA">
            <w:pPr>
              <w:pStyle w:val="12"/>
              <w:spacing w:before="257" w:line="241" w:lineRule="auto"/>
              <w:ind w:left="336" w:leftChars="0"/>
              <w:rPr>
                <w:rFonts w:hint="eastAsia"/>
                <w:color w:val="auto"/>
                <w:spacing w:val="-3"/>
                <w:highlight w:val="none"/>
                <w:lang w:val="en-US" w:eastAsia="zh-CN"/>
              </w:rPr>
            </w:pPr>
            <w:r>
              <w:rPr>
                <w:color w:val="auto"/>
                <w:highlight w:val="none"/>
              </w:rPr>
              <w:t>3</w:t>
            </w:r>
          </w:p>
        </w:tc>
        <w:tc>
          <w:tcPr>
            <w:tcW w:w="1235" w:type="dxa"/>
            <w:vAlign w:val="top"/>
          </w:tcPr>
          <w:p w14:paraId="4B43C93F">
            <w:pPr>
              <w:pStyle w:val="12"/>
              <w:spacing w:before="257" w:line="221" w:lineRule="auto"/>
              <w:ind w:left="310" w:leftChars="0"/>
              <w:rPr>
                <w:rFonts w:hint="eastAsia"/>
                <w:color w:val="auto"/>
                <w:spacing w:val="-2"/>
                <w:highlight w:val="none"/>
                <w:lang w:val="en-US" w:eastAsia="zh-CN"/>
              </w:rPr>
            </w:pPr>
            <w:r>
              <w:rPr>
                <w:color w:val="auto"/>
                <w:spacing w:val="-2"/>
                <w:highlight w:val="none"/>
              </w:rPr>
              <w:t>商务分</w:t>
            </w:r>
          </w:p>
        </w:tc>
        <w:tc>
          <w:tcPr>
            <w:tcW w:w="7822" w:type="dxa"/>
            <w:gridSpan w:val="2"/>
            <w:vAlign w:val="center"/>
          </w:tcPr>
          <w:p w14:paraId="412E3B25">
            <w:pPr>
              <w:pStyle w:val="12"/>
              <w:spacing w:before="68" w:line="221" w:lineRule="auto"/>
              <w:ind w:left="186"/>
              <w:jc w:val="center"/>
              <w:rPr>
                <w:rFonts w:hint="eastAsia"/>
                <w:color w:val="auto"/>
                <w:spacing w:val="-8"/>
                <w:highlight w:val="none"/>
                <w:lang w:val="en-US" w:eastAsia="zh-CN"/>
              </w:rPr>
            </w:pPr>
            <w:r>
              <w:rPr>
                <w:color w:val="auto"/>
                <w:spacing w:val="-1"/>
                <w:highlight w:val="none"/>
              </w:rPr>
              <w:t>评审因素</w:t>
            </w:r>
          </w:p>
        </w:tc>
      </w:tr>
      <w:tr w14:paraId="3A8AEB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760" w:type="dxa"/>
            <w:vAlign w:val="top"/>
          </w:tcPr>
          <w:p w14:paraId="21E61F8A">
            <w:pPr>
              <w:spacing w:line="299" w:lineRule="auto"/>
              <w:rPr>
                <w:rFonts w:ascii="Arial"/>
                <w:color w:val="auto"/>
                <w:sz w:val="21"/>
                <w:highlight w:val="none"/>
              </w:rPr>
            </w:pPr>
          </w:p>
          <w:p w14:paraId="2E74BA66">
            <w:pPr>
              <w:spacing w:line="299" w:lineRule="auto"/>
              <w:rPr>
                <w:rFonts w:ascii="Arial"/>
                <w:color w:val="auto"/>
                <w:sz w:val="21"/>
                <w:highlight w:val="none"/>
              </w:rPr>
            </w:pPr>
          </w:p>
          <w:p w14:paraId="0024FA93">
            <w:pPr>
              <w:spacing w:line="299" w:lineRule="auto"/>
              <w:rPr>
                <w:rFonts w:ascii="Arial"/>
                <w:color w:val="auto"/>
                <w:sz w:val="21"/>
                <w:highlight w:val="none"/>
              </w:rPr>
            </w:pPr>
          </w:p>
          <w:p w14:paraId="7C31179D">
            <w:pPr>
              <w:spacing w:line="300" w:lineRule="auto"/>
              <w:rPr>
                <w:rFonts w:ascii="Arial"/>
                <w:color w:val="auto"/>
                <w:sz w:val="21"/>
                <w:highlight w:val="none"/>
              </w:rPr>
            </w:pPr>
          </w:p>
          <w:p w14:paraId="25964FBE">
            <w:pPr>
              <w:pStyle w:val="12"/>
              <w:spacing w:before="68"/>
              <w:ind w:left="233" w:leftChars="0"/>
              <w:rPr>
                <w:rFonts w:hint="eastAsia"/>
                <w:color w:val="auto"/>
                <w:spacing w:val="-3"/>
                <w:highlight w:val="none"/>
                <w:lang w:val="en-US" w:eastAsia="zh-CN"/>
              </w:rPr>
            </w:pPr>
            <w:r>
              <w:rPr>
                <w:color w:val="auto"/>
                <w:spacing w:val="-3"/>
                <w:highlight w:val="none"/>
              </w:rPr>
              <w:t>3.1</w:t>
            </w:r>
          </w:p>
        </w:tc>
        <w:tc>
          <w:tcPr>
            <w:tcW w:w="1235" w:type="dxa"/>
            <w:vAlign w:val="top"/>
          </w:tcPr>
          <w:p w14:paraId="06471FB6">
            <w:pPr>
              <w:spacing w:line="244" w:lineRule="auto"/>
              <w:rPr>
                <w:rFonts w:ascii="Arial"/>
                <w:color w:val="auto"/>
                <w:sz w:val="21"/>
                <w:highlight w:val="none"/>
              </w:rPr>
            </w:pPr>
          </w:p>
          <w:p w14:paraId="258ECA44">
            <w:pPr>
              <w:spacing w:line="244" w:lineRule="auto"/>
              <w:rPr>
                <w:rFonts w:ascii="Arial"/>
                <w:color w:val="auto"/>
                <w:sz w:val="21"/>
                <w:highlight w:val="none"/>
              </w:rPr>
            </w:pPr>
          </w:p>
          <w:p w14:paraId="749AC9CF">
            <w:pPr>
              <w:spacing w:line="244" w:lineRule="auto"/>
              <w:rPr>
                <w:rFonts w:ascii="Arial"/>
                <w:color w:val="auto"/>
                <w:sz w:val="21"/>
                <w:highlight w:val="none"/>
              </w:rPr>
            </w:pPr>
          </w:p>
          <w:p w14:paraId="0E3B8D3D">
            <w:pPr>
              <w:spacing w:line="245" w:lineRule="auto"/>
              <w:rPr>
                <w:rFonts w:ascii="Arial"/>
                <w:color w:val="auto"/>
                <w:sz w:val="21"/>
                <w:highlight w:val="none"/>
              </w:rPr>
            </w:pPr>
          </w:p>
          <w:p w14:paraId="5F4710DD">
            <w:pPr>
              <w:pStyle w:val="12"/>
              <w:spacing w:before="69" w:line="222" w:lineRule="auto"/>
              <w:ind w:left="202"/>
              <w:rPr>
                <w:rFonts w:hint="eastAsia"/>
                <w:color w:val="auto"/>
                <w:spacing w:val="-2"/>
                <w:highlight w:val="none"/>
                <w:lang w:val="en-US" w:eastAsia="zh-CN"/>
              </w:rPr>
            </w:pPr>
            <w:r>
              <w:rPr>
                <w:color w:val="auto"/>
                <w:spacing w:val="-2"/>
                <w:highlight w:val="none"/>
              </w:rPr>
              <w:t>人员团队</w:t>
            </w:r>
            <w:r>
              <w:rPr>
                <w:color w:val="auto"/>
                <w:highlight w:val="none"/>
              </w:rPr>
              <w:t>分</w:t>
            </w:r>
          </w:p>
        </w:tc>
        <w:tc>
          <w:tcPr>
            <w:tcW w:w="7008" w:type="dxa"/>
            <w:vAlign w:val="top"/>
          </w:tcPr>
          <w:p w14:paraId="6EF13BBB">
            <w:pPr>
              <w:pStyle w:val="12"/>
              <w:spacing w:before="172" w:line="387" w:lineRule="auto"/>
              <w:ind w:left="112" w:right="98" w:firstLine="423"/>
              <w:jc w:val="both"/>
              <w:rPr>
                <w:rFonts w:hint="default" w:eastAsia="宋体"/>
                <w:color w:val="auto"/>
                <w:spacing w:val="-2"/>
                <w:highlight w:val="none"/>
                <w:lang w:val="en-US" w:eastAsia="zh-CN"/>
              </w:rPr>
            </w:pPr>
            <w:r>
              <w:rPr>
                <w:rFonts w:hint="eastAsia"/>
                <w:color w:val="auto"/>
                <w:spacing w:val="-2"/>
                <w:highlight w:val="none"/>
                <w:lang w:val="en-US" w:eastAsia="zh-CN"/>
              </w:rPr>
              <w:t>1、</w:t>
            </w:r>
            <w:r>
              <w:rPr>
                <w:color w:val="auto"/>
                <w:spacing w:val="-2"/>
                <w:highlight w:val="none"/>
              </w:rPr>
              <w:t>投入本项目的</w:t>
            </w:r>
            <w:r>
              <w:rPr>
                <w:rFonts w:hint="eastAsia"/>
                <w:color w:val="auto"/>
                <w:spacing w:val="-2"/>
                <w:highlight w:val="none"/>
                <w:lang w:val="en-US" w:eastAsia="zh-CN"/>
              </w:rPr>
              <w:t>项目负责人具有</w:t>
            </w:r>
            <w:r>
              <w:rPr>
                <w:rFonts w:hint="eastAsia" w:ascii="宋体" w:hAnsi="宋体" w:cs="Courier New"/>
                <w:i w:val="0"/>
                <w:iCs w:val="0"/>
                <w:color w:val="auto"/>
                <w:szCs w:val="21"/>
                <w:highlight w:val="none"/>
                <w:lang w:val="en-US" w:eastAsia="zh-CN"/>
              </w:rPr>
              <w:t>土木工程专业或工业与民用建筑专业</w:t>
            </w:r>
            <w:r>
              <w:rPr>
                <w:rFonts w:hint="eastAsia"/>
                <w:color w:val="auto"/>
                <w:spacing w:val="-2"/>
                <w:highlight w:val="none"/>
                <w:lang w:val="en-US" w:eastAsia="zh-CN"/>
              </w:rPr>
              <w:t>中级职称得2分，具有高级职称得4分；</w:t>
            </w:r>
          </w:p>
          <w:p w14:paraId="60D4764A">
            <w:pPr>
              <w:pStyle w:val="12"/>
              <w:spacing w:before="172" w:line="387" w:lineRule="auto"/>
              <w:ind w:left="112" w:right="98" w:firstLine="423"/>
              <w:jc w:val="both"/>
              <w:rPr>
                <w:color w:val="auto"/>
                <w:highlight w:val="none"/>
              </w:rPr>
            </w:pPr>
            <w:r>
              <w:rPr>
                <w:rFonts w:hint="eastAsia"/>
                <w:color w:val="auto"/>
                <w:spacing w:val="-2"/>
                <w:highlight w:val="none"/>
                <w:lang w:val="en-US" w:eastAsia="zh-CN"/>
              </w:rPr>
              <w:t>2、</w:t>
            </w:r>
            <w:r>
              <w:rPr>
                <w:color w:val="auto"/>
                <w:spacing w:val="-2"/>
                <w:highlight w:val="none"/>
              </w:rPr>
              <w:t>投入本项目的实施人员或技术人员</w:t>
            </w:r>
            <w:r>
              <w:rPr>
                <w:color w:val="auto"/>
                <w:spacing w:val="-4"/>
                <w:highlight w:val="none"/>
              </w:rPr>
              <w:t>具</w:t>
            </w:r>
            <w:r>
              <w:rPr>
                <w:rFonts w:hint="eastAsia"/>
                <w:color w:val="auto"/>
                <w:spacing w:val="-4"/>
                <w:highlight w:val="none"/>
                <w:lang w:eastAsia="zh-CN"/>
              </w:rPr>
              <w:t>（</w:t>
            </w:r>
            <w:r>
              <w:rPr>
                <w:rFonts w:hint="eastAsia"/>
                <w:color w:val="auto"/>
                <w:spacing w:val="-4"/>
                <w:highlight w:val="none"/>
                <w:lang w:val="en-US" w:eastAsia="zh-CN"/>
              </w:rPr>
              <w:t>不包含项目负责人</w:t>
            </w:r>
            <w:r>
              <w:rPr>
                <w:rFonts w:hint="eastAsia"/>
                <w:color w:val="auto"/>
                <w:spacing w:val="-4"/>
                <w:highlight w:val="none"/>
                <w:lang w:eastAsia="zh-CN"/>
              </w:rPr>
              <w:t>）</w:t>
            </w:r>
            <w:r>
              <w:rPr>
                <w:rFonts w:hint="eastAsia"/>
                <w:color w:val="auto"/>
                <w:spacing w:val="-4"/>
                <w:highlight w:val="none"/>
                <w:lang w:val="en-US" w:eastAsia="zh-CN"/>
              </w:rPr>
              <w:t>具有服务范围内项目相对应</w:t>
            </w:r>
            <w:r>
              <w:rPr>
                <w:color w:val="auto"/>
                <w:spacing w:val="-4"/>
                <w:highlight w:val="none"/>
              </w:rPr>
              <w:t>专业</w:t>
            </w:r>
            <w:r>
              <w:rPr>
                <w:rFonts w:hint="eastAsia"/>
                <w:color w:val="auto"/>
                <w:spacing w:val="-4"/>
                <w:highlight w:val="none"/>
                <w:lang w:eastAsia="zh-CN"/>
              </w:rPr>
              <w:t>【</w:t>
            </w:r>
            <w:r>
              <w:rPr>
                <w:rFonts w:hint="eastAsia"/>
                <w:color w:val="auto"/>
                <w:spacing w:val="-4"/>
                <w:highlight w:val="none"/>
                <w:lang w:val="en-US" w:eastAsia="zh-CN"/>
              </w:rPr>
              <w:t>相对应专业是指包括但不限于建筑类专业（如</w:t>
            </w:r>
            <w:r>
              <w:rPr>
                <w:rFonts w:hint="eastAsia" w:ascii="宋体" w:hAnsi="宋体" w:cs="Courier New"/>
                <w:i w:val="0"/>
                <w:iCs w:val="0"/>
                <w:color w:val="auto"/>
                <w:szCs w:val="21"/>
                <w:highlight w:val="none"/>
                <w:lang w:val="en-US" w:eastAsia="zh-CN"/>
              </w:rPr>
              <w:t>土木工程、公路与城市道路、工业与民用建筑等</w:t>
            </w:r>
            <w:r>
              <w:rPr>
                <w:rFonts w:hint="eastAsia"/>
                <w:color w:val="auto"/>
                <w:spacing w:val="-4"/>
                <w:highlight w:val="none"/>
                <w:lang w:val="en-US" w:eastAsia="zh-CN"/>
              </w:rPr>
              <w:t>）</w:t>
            </w:r>
            <w:r>
              <w:rPr>
                <w:rFonts w:hint="eastAsia"/>
                <w:color w:val="auto"/>
                <w:spacing w:val="-4"/>
                <w:highlight w:val="none"/>
                <w:lang w:eastAsia="zh-CN"/>
              </w:rPr>
              <w:t>】</w:t>
            </w:r>
            <w:r>
              <w:rPr>
                <w:color w:val="auto"/>
                <w:spacing w:val="-4"/>
                <w:highlight w:val="none"/>
              </w:rPr>
              <w:t>的职称证书或者</w:t>
            </w:r>
            <w:r>
              <w:rPr>
                <w:color w:val="auto"/>
                <w:spacing w:val="-1"/>
                <w:highlight w:val="none"/>
              </w:rPr>
              <w:t>执业注册资格证书的，</w:t>
            </w:r>
            <w:r>
              <w:rPr>
                <w:rFonts w:hint="eastAsia"/>
                <w:color w:val="auto"/>
                <w:spacing w:val="-1"/>
                <w:highlight w:val="none"/>
                <w:lang w:val="en-US" w:eastAsia="zh-CN"/>
              </w:rPr>
              <w:t>具有中级职称每人得1</w:t>
            </w:r>
            <w:r>
              <w:rPr>
                <w:color w:val="auto"/>
                <w:spacing w:val="-1"/>
                <w:highlight w:val="none"/>
              </w:rPr>
              <w:t>分，</w:t>
            </w:r>
            <w:r>
              <w:rPr>
                <w:rFonts w:hint="eastAsia"/>
                <w:color w:val="auto"/>
                <w:spacing w:val="-1"/>
                <w:highlight w:val="none"/>
                <w:lang w:val="en-US" w:eastAsia="zh-CN"/>
              </w:rPr>
              <w:t>具有高级职称每人得2分，满分6分</w:t>
            </w:r>
            <w:r>
              <w:rPr>
                <w:color w:val="auto"/>
                <w:spacing w:val="-2"/>
                <w:highlight w:val="none"/>
              </w:rPr>
              <w:t>。</w:t>
            </w:r>
          </w:p>
          <w:p w14:paraId="09E99F84">
            <w:pPr>
              <w:pStyle w:val="12"/>
              <w:spacing w:before="2" w:line="307" w:lineRule="auto"/>
              <w:ind w:left="117" w:leftChars="0" w:right="156" w:rightChars="0" w:firstLine="420" w:firstLineChars="0"/>
              <w:rPr>
                <w:color w:val="auto"/>
                <w:spacing w:val="-1"/>
                <w:highlight w:val="none"/>
              </w:rPr>
            </w:pPr>
            <w:r>
              <w:rPr>
                <w:b/>
                <w:bCs/>
                <w:color w:val="auto"/>
                <w:spacing w:val="-2"/>
                <w:highlight w:val="none"/>
              </w:rPr>
              <w:t>备注：在响应文件中提供人员相关证明材料或证书复印件并加盖供应</w:t>
            </w:r>
            <w:r>
              <w:rPr>
                <w:b/>
                <w:bCs/>
                <w:color w:val="auto"/>
                <w:spacing w:val="-4"/>
                <w:highlight w:val="none"/>
              </w:rPr>
              <w:t>商单位电子签章，未按要求提供不予计分。</w:t>
            </w:r>
          </w:p>
        </w:tc>
        <w:tc>
          <w:tcPr>
            <w:tcW w:w="814" w:type="dxa"/>
            <w:vAlign w:val="top"/>
          </w:tcPr>
          <w:p w14:paraId="7BB749AD">
            <w:pPr>
              <w:spacing w:line="299" w:lineRule="auto"/>
              <w:rPr>
                <w:rFonts w:ascii="Arial"/>
                <w:color w:val="auto"/>
                <w:sz w:val="21"/>
                <w:highlight w:val="none"/>
              </w:rPr>
            </w:pPr>
          </w:p>
          <w:p w14:paraId="0AE9573E">
            <w:pPr>
              <w:spacing w:line="299" w:lineRule="auto"/>
              <w:rPr>
                <w:rFonts w:ascii="Arial"/>
                <w:color w:val="auto"/>
                <w:sz w:val="21"/>
                <w:highlight w:val="none"/>
              </w:rPr>
            </w:pPr>
          </w:p>
          <w:p w14:paraId="1BAD4A1D">
            <w:pPr>
              <w:spacing w:line="299" w:lineRule="auto"/>
              <w:rPr>
                <w:rFonts w:ascii="Arial"/>
                <w:color w:val="auto"/>
                <w:sz w:val="21"/>
                <w:highlight w:val="none"/>
              </w:rPr>
            </w:pPr>
          </w:p>
          <w:p w14:paraId="60943F9B">
            <w:pPr>
              <w:spacing w:line="300" w:lineRule="auto"/>
              <w:rPr>
                <w:rFonts w:ascii="Arial"/>
                <w:color w:val="auto"/>
                <w:sz w:val="21"/>
                <w:highlight w:val="none"/>
              </w:rPr>
            </w:pPr>
          </w:p>
          <w:p w14:paraId="033C6986">
            <w:pPr>
              <w:pStyle w:val="12"/>
              <w:spacing w:before="68" w:line="221" w:lineRule="auto"/>
              <w:ind w:left="186" w:leftChars="0"/>
              <w:rPr>
                <w:rFonts w:hint="eastAsia"/>
                <w:color w:val="auto"/>
                <w:spacing w:val="-8"/>
                <w:highlight w:val="none"/>
                <w:lang w:val="en-US" w:eastAsia="zh-CN"/>
              </w:rPr>
            </w:pPr>
            <w:r>
              <w:rPr>
                <w:rFonts w:hint="eastAsia"/>
                <w:color w:val="auto"/>
                <w:spacing w:val="-8"/>
                <w:highlight w:val="none"/>
                <w:lang w:val="en-US" w:eastAsia="zh-CN"/>
              </w:rPr>
              <w:t>10</w:t>
            </w:r>
            <w:r>
              <w:rPr>
                <w:color w:val="auto"/>
                <w:spacing w:val="-8"/>
                <w:highlight w:val="none"/>
              </w:rPr>
              <w:t>分</w:t>
            </w:r>
          </w:p>
        </w:tc>
      </w:tr>
      <w:tr w14:paraId="150DF2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760" w:type="dxa"/>
            <w:vAlign w:val="top"/>
          </w:tcPr>
          <w:p w14:paraId="725040A1">
            <w:pPr>
              <w:spacing w:line="271" w:lineRule="auto"/>
              <w:rPr>
                <w:rFonts w:ascii="Arial"/>
                <w:color w:val="auto"/>
                <w:sz w:val="21"/>
                <w:highlight w:val="none"/>
              </w:rPr>
            </w:pPr>
          </w:p>
          <w:p w14:paraId="62AC861C">
            <w:pPr>
              <w:spacing w:line="271" w:lineRule="auto"/>
              <w:rPr>
                <w:rFonts w:ascii="Arial"/>
                <w:color w:val="auto"/>
                <w:sz w:val="21"/>
                <w:highlight w:val="none"/>
              </w:rPr>
            </w:pPr>
          </w:p>
          <w:p w14:paraId="4256AA8A">
            <w:pPr>
              <w:pStyle w:val="12"/>
              <w:spacing w:before="68"/>
              <w:ind w:left="233" w:leftChars="0"/>
              <w:rPr>
                <w:color w:val="auto"/>
                <w:spacing w:val="-3"/>
                <w:highlight w:val="none"/>
              </w:rPr>
            </w:pPr>
            <w:r>
              <w:rPr>
                <w:color w:val="auto"/>
                <w:spacing w:val="-3"/>
                <w:highlight w:val="none"/>
              </w:rPr>
              <w:t>3.2</w:t>
            </w:r>
          </w:p>
        </w:tc>
        <w:tc>
          <w:tcPr>
            <w:tcW w:w="1235" w:type="dxa"/>
            <w:vAlign w:val="top"/>
          </w:tcPr>
          <w:p w14:paraId="7C924FEF">
            <w:pPr>
              <w:spacing w:line="325" w:lineRule="auto"/>
              <w:rPr>
                <w:rFonts w:ascii="Arial"/>
                <w:color w:val="auto"/>
                <w:sz w:val="21"/>
                <w:highlight w:val="none"/>
              </w:rPr>
            </w:pPr>
          </w:p>
          <w:p w14:paraId="5F938F3D">
            <w:pPr>
              <w:pStyle w:val="12"/>
              <w:spacing w:before="68" w:line="221" w:lineRule="auto"/>
              <w:ind w:left="204"/>
              <w:rPr>
                <w:color w:val="auto"/>
                <w:highlight w:val="none"/>
              </w:rPr>
            </w:pPr>
            <w:r>
              <w:rPr>
                <w:color w:val="auto"/>
                <w:spacing w:val="-3"/>
                <w:highlight w:val="none"/>
              </w:rPr>
              <w:t>项目业绩</w:t>
            </w:r>
            <w:r>
              <w:rPr>
                <w:color w:val="auto"/>
                <w:highlight w:val="none"/>
              </w:rPr>
              <w:t>分</w:t>
            </w:r>
          </w:p>
        </w:tc>
        <w:tc>
          <w:tcPr>
            <w:tcW w:w="7008" w:type="dxa"/>
            <w:vAlign w:val="top"/>
          </w:tcPr>
          <w:p w14:paraId="298B984C">
            <w:pPr>
              <w:pStyle w:val="12"/>
              <w:spacing w:before="174" w:line="334" w:lineRule="auto"/>
              <w:ind w:left="116" w:leftChars="0" w:right="98" w:rightChars="0" w:firstLine="419" w:firstLineChars="0"/>
              <w:jc w:val="both"/>
              <w:rPr>
                <w:b/>
                <w:bCs/>
                <w:color w:val="auto"/>
                <w:spacing w:val="-2"/>
                <w:highlight w:val="none"/>
              </w:rPr>
            </w:pPr>
            <w:r>
              <w:rPr>
                <w:color w:val="auto"/>
                <w:spacing w:val="-4"/>
                <w:highlight w:val="none"/>
              </w:rPr>
              <w:t>202</w:t>
            </w:r>
            <w:r>
              <w:rPr>
                <w:rFonts w:hint="eastAsia"/>
                <w:color w:val="auto"/>
                <w:spacing w:val="-4"/>
                <w:highlight w:val="none"/>
                <w:lang w:val="en-US" w:eastAsia="zh-CN"/>
              </w:rPr>
              <w:t>3</w:t>
            </w:r>
            <w:r>
              <w:rPr>
                <w:color w:val="auto"/>
                <w:spacing w:val="-4"/>
                <w:highlight w:val="none"/>
              </w:rPr>
              <w:t>年1月1日以来至响应文件递交截止日期止，供应商类似项目业</w:t>
            </w:r>
            <w:r>
              <w:rPr>
                <w:color w:val="auto"/>
                <w:spacing w:val="-3"/>
                <w:highlight w:val="none"/>
              </w:rPr>
              <w:t>绩，每项得</w:t>
            </w:r>
            <w:r>
              <w:rPr>
                <w:rFonts w:hint="eastAsia"/>
                <w:color w:val="auto"/>
                <w:spacing w:val="-3"/>
                <w:highlight w:val="none"/>
                <w:lang w:val="en-US" w:eastAsia="zh-CN"/>
              </w:rPr>
              <w:t>1</w:t>
            </w:r>
            <w:r>
              <w:rPr>
                <w:color w:val="auto"/>
                <w:spacing w:val="-3"/>
                <w:highlight w:val="none"/>
              </w:rPr>
              <w:t>分，满分</w:t>
            </w:r>
            <w:r>
              <w:rPr>
                <w:rFonts w:hint="eastAsia"/>
                <w:color w:val="auto"/>
                <w:spacing w:val="-3"/>
                <w:highlight w:val="none"/>
                <w:lang w:val="en-US" w:eastAsia="zh-CN"/>
              </w:rPr>
              <w:t>2</w:t>
            </w:r>
            <w:r>
              <w:rPr>
                <w:color w:val="auto"/>
                <w:spacing w:val="-3"/>
                <w:highlight w:val="none"/>
              </w:rPr>
              <w:t>分。[</w:t>
            </w:r>
            <w:r>
              <w:rPr>
                <w:color w:val="auto"/>
                <w:spacing w:val="-4"/>
                <w:highlight w:val="none"/>
              </w:rPr>
              <w:t>类似项目业</w:t>
            </w:r>
            <w:r>
              <w:rPr>
                <w:color w:val="auto"/>
                <w:spacing w:val="-3"/>
                <w:highlight w:val="none"/>
              </w:rPr>
              <w:t>绩</w:t>
            </w:r>
            <w:r>
              <w:rPr>
                <w:rFonts w:hint="eastAsia"/>
                <w:color w:val="auto"/>
                <w:spacing w:val="-3"/>
                <w:highlight w:val="none"/>
                <w:lang w:val="en-US" w:eastAsia="zh-CN"/>
              </w:rPr>
              <w:t>是指</w:t>
            </w:r>
            <w:r>
              <w:rPr>
                <w:rFonts w:hint="eastAsia" w:ascii="宋体" w:hAnsi="宋体" w:cs="Courier New"/>
                <w:i w:val="0"/>
                <w:iCs w:val="0"/>
                <w:color w:val="auto"/>
                <w:szCs w:val="21"/>
                <w:highlight w:val="none"/>
                <w:lang w:val="en-US" w:eastAsia="zh-CN"/>
              </w:rPr>
              <w:t>厂房检测</w:t>
            </w:r>
            <w:r>
              <w:rPr>
                <w:rFonts w:hint="eastAsia" w:cs="Courier New"/>
                <w:i w:val="0"/>
                <w:iCs w:val="0"/>
                <w:color w:val="auto"/>
                <w:szCs w:val="21"/>
                <w:highlight w:val="none"/>
                <w:lang w:val="en-US" w:eastAsia="zh-CN"/>
              </w:rPr>
              <w:t>（</w:t>
            </w:r>
            <w:r>
              <w:rPr>
                <w:rFonts w:hint="eastAsia" w:ascii="宋体" w:hAnsi="宋体" w:cs="Courier New"/>
                <w:i w:val="0"/>
                <w:iCs w:val="0"/>
                <w:color w:val="auto"/>
                <w:szCs w:val="21"/>
                <w:highlight w:val="none"/>
                <w:lang w:val="en-US" w:eastAsia="zh-CN"/>
              </w:rPr>
              <w:t>或复核</w:t>
            </w:r>
            <w:r>
              <w:rPr>
                <w:rFonts w:hint="eastAsia" w:cs="Courier New"/>
                <w:i w:val="0"/>
                <w:iCs w:val="0"/>
                <w:color w:val="auto"/>
                <w:szCs w:val="21"/>
                <w:highlight w:val="none"/>
                <w:lang w:val="en-US" w:eastAsia="zh-CN"/>
              </w:rPr>
              <w:t>）</w:t>
            </w:r>
            <w:r>
              <w:rPr>
                <w:rFonts w:hint="eastAsia" w:ascii="宋体" w:hAnsi="宋体" w:cs="Courier New"/>
                <w:i w:val="0"/>
                <w:iCs w:val="0"/>
                <w:color w:val="auto"/>
                <w:szCs w:val="21"/>
                <w:highlight w:val="none"/>
                <w:lang w:val="en-US" w:eastAsia="zh-CN"/>
              </w:rPr>
              <w:t>、道路检测</w:t>
            </w:r>
            <w:r>
              <w:rPr>
                <w:rFonts w:hint="eastAsia" w:cs="Courier New"/>
                <w:i w:val="0"/>
                <w:iCs w:val="0"/>
                <w:color w:val="auto"/>
                <w:szCs w:val="21"/>
                <w:highlight w:val="none"/>
                <w:lang w:val="en-US" w:eastAsia="zh-CN"/>
              </w:rPr>
              <w:t>（</w:t>
            </w:r>
            <w:r>
              <w:rPr>
                <w:rFonts w:hint="eastAsia" w:ascii="宋体" w:hAnsi="宋体" w:cs="Courier New"/>
                <w:i w:val="0"/>
                <w:iCs w:val="0"/>
                <w:color w:val="auto"/>
                <w:szCs w:val="21"/>
                <w:highlight w:val="none"/>
                <w:lang w:val="en-US" w:eastAsia="zh-CN"/>
              </w:rPr>
              <w:t>或复核</w:t>
            </w:r>
            <w:r>
              <w:rPr>
                <w:rFonts w:hint="eastAsia" w:cs="Courier New"/>
                <w:i w:val="0"/>
                <w:iCs w:val="0"/>
                <w:color w:val="auto"/>
                <w:szCs w:val="21"/>
                <w:highlight w:val="none"/>
                <w:lang w:val="en-US" w:eastAsia="zh-CN"/>
              </w:rPr>
              <w:t>）</w:t>
            </w:r>
            <w:r>
              <w:rPr>
                <w:rFonts w:hint="eastAsia" w:ascii="宋体" w:hAnsi="宋体" w:cs="Courier New"/>
                <w:i w:val="0"/>
                <w:iCs w:val="0"/>
                <w:color w:val="auto"/>
                <w:szCs w:val="21"/>
                <w:highlight w:val="none"/>
                <w:lang w:val="en-US" w:eastAsia="zh-CN"/>
              </w:rPr>
              <w:t>项目业绩。]</w:t>
            </w:r>
            <w:r>
              <w:rPr>
                <w:color w:val="auto"/>
                <w:spacing w:val="-3"/>
                <w:highlight w:val="none"/>
              </w:rPr>
              <w:t>以合同或者</w:t>
            </w:r>
            <w:r>
              <w:rPr>
                <w:color w:val="auto"/>
                <w:spacing w:val="-4"/>
                <w:highlight w:val="none"/>
              </w:rPr>
              <w:t>中标（成交）通知书或验收书</w:t>
            </w:r>
            <w:r>
              <w:rPr>
                <w:color w:val="auto"/>
                <w:spacing w:val="-1"/>
                <w:highlight w:val="none"/>
              </w:rPr>
              <w:t>（报告）复印件为准，并加盖供应商电子签章]。</w:t>
            </w:r>
          </w:p>
        </w:tc>
        <w:tc>
          <w:tcPr>
            <w:tcW w:w="814" w:type="dxa"/>
            <w:vAlign w:val="top"/>
          </w:tcPr>
          <w:p w14:paraId="01EBE628">
            <w:pPr>
              <w:spacing w:line="271" w:lineRule="auto"/>
              <w:rPr>
                <w:rFonts w:ascii="Arial"/>
                <w:color w:val="auto"/>
                <w:sz w:val="21"/>
                <w:highlight w:val="none"/>
              </w:rPr>
            </w:pPr>
          </w:p>
          <w:p w14:paraId="0A6A3396">
            <w:pPr>
              <w:spacing w:line="271" w:lineRule="auto"/>
              <w:rPr>
                <w:rFonts w:ascii="Arial"/>
                <w:color w:val="auto"/>
                <w:sz w:val="21"/>
                <w:highlight w:val="none"/>
              </w:rPr>
            </w:pPr>
          </w:p>
          <w:p w14:paraId="2AB89EB7">
            <w:pPr>
              <w:pStyle w:val="12"/>
              <w:spacing w:before="68" w:line="221" w:lineRule="auto"/>
              <w:ind w:left="186" w:leftChars="0"/>
              <w:rPr>
                <w:rFonts w:hint="eastAsia"/>
                <w:color w:val="auto"/>
                <w:spacing w:val="-8"/>
                <w:highlight w:val="none"/>
                <w:lang w:val="en-US" w:eastAsia="zh-CN"/>
              </w:rPr>
            </w:pPr>
            <w:r>
              <w:rPr>
                <w:rFonts w:hint="eastAsia"/>
                <w:color w:val="auto"/>
                <w:spacing w:val="-8"/>
                <w:highlight w:val="none"/>
                <w:lang w:val="en-US" w:eastAsia="zh-CN"/>
              </w:rPr>
              <w:t>2</w:t>
            </w:r>
            <w:r>
              <w:rPr>
                <w:color w:val="auto"/>
                <w:spacing w:val="-8"/>
                <w:highlight w:val="none"/>
              </w:rPr>
              <w:t>分</w:t>
            </w:r>
          </w:p>
        </w:tc>
      </w:tr>
      <w:tr w14:paraId="5C47D6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9003" w:type="dxa"/>
            <w:gridSpan w:val="3"/>
            <w:tcBorders>
              <w:right w:val="single" w:color="auto" w:sz="4" w:space="0"/>
            </w:tcBorders>
            <w:vAlign w:val="top"/>
          </w:tcPr>
          <w:p w14:paraId="228464FD">
            <w:pPr>
              <w:pStyle w:val="12"/>
              <w:spacing w:before="68" w:line="221" w:lineRule="auto"/>
              <w:ind w:left="186" w:leftChars="0"/>
              <w:rPr>
                <w:rFonts w:hint="eastAsia"/>
                <w:color w:val="auto"/>
                <w:spacing w:val="-8"/>
                <w:highlight w:val="none"/>
                <w:lang w:val="en-US" w:eastAsia="zh-CN"/>
              </w:rPr>
            </w:pPr>
            <w:r>
              <w:rPr>
                <w:color w:val="auto"/>
                <w:spacing w:val="-1"/>
                <w:highlight w:val="none"/>
              </w:rPr>
              <w:t>总得分为以上各项评审因素得分合计</w:t>
            </w:r>
          </w:p>
        </w:tc>
        <w:tc>
          <w:tcPr>
            <w:tcW w:w="814" w:type="dxa"/>
            <w:tcBorders>
              <w:left w:val="single" w:color="auto" w:sz="4" w:space="0"/>
            </w:tcBorders>
            <w:vAlign w:val="top"/>
          </w:tcPr>
          <w:p w14:paraId="1CF44390">
            <w:pPr>
              <w:pStyle w:val="12"/>
              <w:spacing w:before="68" w:line="221" w:lineRule="auto"/>
              <w:ind w:left="186" w:leftChars="0"/>
              <w:rPr>
                <w:color w:val="auto"/>
                <w:spacing w:val="-1"/>
                <w:highlight w:val="none"/>
              </w:rPr>
            </w:pPr>
            <w:r>
              <w:rPr>
                <w:color w:val="auto"/>
                <w:spacing w:val="-6"/>
                <w:highlight w:val="none"/>
              </w:rPr>
              <w:t>100分</w:t>
            </w:r>
          </w:p>
        </w:tc>
      </w:tr>
    </w:tbl>
    <w:p w14:paraId="437C83B4">
      <w:pPr>
        <w:pStyle w:val="4"/>
        <w:rPr>
          <w:color w:val="auto"/>
          <w:highlight w:val="none"/>
        </w:rPr>
      </w:pPr>
    </w:p>
    <w:p w14:paraId="1490E19D">
      <w:pPr>
        <w:rPr>
          <w:color w:val="auto"/>
          <w:highlight w:val="none"/>
        </w:rPr>
        <w:sectPr>
          <w:footerReference r:id="rId30" w:type="default"/>
          <w:pgSz w:w="11907" w:h="16839"/>
          <w:pgMar w:top="1431" w:right="708" w:bottom="1154" w:left="1375" w:header="0" w:footer="954" w:gutter="0"/>
          <w:cols w:space="720" w:num="1"/>
        </w:sectPr>
      </w:pPr>
    </w:p>
    <w:p w14:paraId="10DE171D">
      <w:pPr>
        <w:spacing w:line="91" w:lineRule="auto"/>
        <w:rPr>
          <w:rFonts w:ascii="Arial"/>
          <w:color w:val="auto"/>
          <w:sz w:val="2"/>
          <w:highlight w:val="none"/>
        </w:rPr>
      </w:pPr>
    </w:p>
    <w:p w14:paraId="0750B6F0">
      <w:pPr>
        <w:pStyle w:val="4"/>
        <w:spacing w:line="254" w:lineRule="auto"/>
        <w:rPr>
          <w:color w:val="auto"/>
          <w:highlight w:val="none"/>
        </w:rPr>
      </w:pPr>
    </w:p>
    <w:p w14:paraId="5E780441">
      <w:pPr>
        <w:pStyle w:val="4"/>
        <w:spacing w:line="254" w:lineRule="auto"/>
        <w:rPr>
          <w:color w:val="auto"/>
          <w:highlight w:val="none"/>
        </w:rPr>
      </w:pPr>
    </w:p>
    <w:p w14:paraId="3BDF6F12">
      <w:pPr>
        <w:spacing w:before="68" w:line="479" w:lineRule="auto"/>
        <w:ind w:left="431" w:right="410" w:firstLine="424"/>
        <w:jc w:val="both"/>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7.由磋商小组根据综合评分情况，按照评审得分由高到低顺序推荐3名以上成交候选供应商，并编写评审报告，评审报告通过电子交易平台向采购人、采购代理机构提交。符合本章第4.3条情形的，可以推荐2家成交候选供应商。评审得分相同的，按照最后报价（不计算价格折扣）由低到高的顺序推荐。评审得分且最后报价（不计算价格折扣）相同的，按照技术指标优劣顺序推荐（按</w:t>
      </w:r>
      <w:r>
        <w:rPr>
          <w:rFonts w:ascii="宋体" w:hAnsi="宋体" w:eastAsia="宋体" w:cs="宋体"/>
          <w:color w:val="auto"/>
          <w:spacing w:val="-1"/>
          <w:sz w:val="21"/>
          <w:szCs w:val="21"/>
          <w:highlight w:val="none"/>
        </w:rPr>
        <w:t>技术得分由高到低排序，技术得分相同的按照技术要求偏离分</w:t>
      </w:r>
      <w:r>
        <w:rPr>
          <w:rFonts w:ascii="宋体" w:hAnsi="宋体" w:eastAsia="宋体" w:cs="宋体"/>
          <w:color w:val="auto"/>
          <w:spacing w:val="-2"/>
          <w:sz w:val="21"/>
          <w:szCs w:val="21"/>
          <w:highlight w:val="none"/>
        </w:rPr>
        <w:t>由高到低排序）。评审得分、最后报</w:t>
      </w:r>
      <w:r>
        <w:rPr>
          <w:rFonts w:ascii="宋体" w:hAnsi="宋体" w:eastAsia="宋体" w:cs="宋体"/>
          <w:color w:val="auto"/>
          <w:sz w:val="21"/>
          <w:szCs w:val="21"/>
          <w:highlight w:val="none"/>
        </w:rPr>
        <w:t>价（不计算价格折扣）、技术得分、技术要求偏离</w:t>
      </w:r>
      <w:r>
        <w:rPr>
          <w:rFonts w:ascii="宋体" w:hAnsi="宋体" w:eastAsia="宋体" w:cs="宋体"/>
          <w:color w:val="auto"/>
          <w:spacing w:val="-1"/>
          <w:sz w:val="21"/>
          <w:szCs w:val="21"/>
          <w:highlight w:val="none"/>
        </w:rPr>
        <w:t>分均相同的，由磋商小组随机抽取推荐。</w:t>
      </w:r>
    </w:p>
    <w:p w14:paraId="7ADAC779">
      <w:pPr>
        <w:spacing w:line="479" w:lineRule="auto"/>
        <w:rPr>
          <w:rFonts w:ascii="宋体" w:hAnsi="宋体" w:eastAsia="宋体" w:cs="宋体"/>
          <w:color w:val="auto"/>
          <w:sz w:val="21"/>
          <w:szCs w:val="21"/>
          <w:highlight w:val="none"/>
        </w:rPr>
        <w:sectPr>
          <w:footerReference r:id="rId31" w:type="default"/>
          <w:pgSz w:w="11907" w:h="16839"/>
          <w:pgMar w:top="1431" w:right="708" w:bottom="1154" w:left="1375" w:header="0" w:footer="954" w:gutter="0"/>
          <w:cols w:space="720" w:num="1"/>
        </w:sectPr>
      </w:pPr>
    </w:p>
    <w:p w14:paraId="28820185">
      <w:pPr>
        <w:pStyle w:val="4"/>
        <w:spacing w:line="246" w:lineRule="auto"/>
        <w:rPr>
          <w:color w:val="auto"/>
          <w:highlight w:val="none"/>
        </w:rPr>
      </w:pPr>
    </w:p>
    <w:p w14:paraId="5229D294">
      <w:pPr>
        <w:pStyle w:val="4"/>
        <w:spacing w:line="246" w:lineRule="auto"/>
        <w:rPr>
          <w:color w:val="auto"/>
          <w:highlight w:val="none"/>
        </w:rPr>
      </w:pPr>
    </w:p>
    <w:p w14:paraId="3FC91588">
      <w:pPr>
        <w:pStyle w:val="4"/>
        <w:spacing w:line="246" w:lineRule="auto"/>
        <w:rPr>
          <w:color w:val="auto"/>
          <w:highlight w:val="none"/>
        </w:rPr>
      </w:pPr>
    </w:p>
    <w:p w14:paraId="77B1A5FB">
      <w:pPr>
        <w:pStyle w:val="4"/>
        <w:spacing w:line="246" w:lineRule="auto"/>
        <w:rPr>
          <w:color w:val="auto"/>
          <w:highlight w:val="none"/>
        </w:rPr>
      </w:pPr>
    </w:p>
    <w:p w14:paraId="0E51B2E1">
      <w:pPr>
        <w:pStyle w:val="4"/>
        <w:spacing w:line="246" w:lineRule="auto"/>
        <w:rPr>
          <w:color w:val="auto"/>
          <w:highlight w:val="none"/>
        </w:rPr>
      </w:pPr>
    </w:p>
    <w:p w14:paraId="7CAC2A75">
      <w:pPr>
        <w:pStyle w:val="4"/>
        <w:spacing w:line="246" w:lineRule="auto"/>
        <w:rPr>
          <w:color w:val="auto"/>
          <w:highlight w:val="none"/>
        </w:rPr>
      </w:pPr>
    </w:p>
    <w:p w14:paraId="5CC0DDE0">
      <w:pPr>
        <w:pStyle w:val="4"/>
        <w:spacing w:line="246" w:lineRule="auto"/>
        <w:rPr>
          <w:color w:val="auto"/>
          <w:highlight w:val="none"/>
        </w:rPr>
      </w:pPr>
    </w:p>
    <w:p w14:paraId="21D0E51D">
      <w:pPr>
        <w:pStyle w:val="4"/>
        <w:spacing w:line="247" w:lineRule="auto"/>
        <w:rPr>
          <w:color w:val="auto"/>
          <w:highlight w:val="none"/>
        </w:rPr>
      </w:pPr>
    </w:p>
    <w:p w14:paraId="7E57C33F">
      <w:pPr>
        <w:pStyle w:val="4"/>
        <w:spacing w:line="247" w:lineRule="auto"/>
        <w:rPr>
          <w:color w:val="auto"/>
          <w:highlight w:val="none"/>
        </w:rPr>
      </w:pPr>
    </w:p>
    <w:p w14:paraId="2E61D3BF">
      <w:pPr>
        <w:pStyle w:val="4"/>
        <w:spacing w:line="247" w:lineRule="auto"/>
        <w:rPr>
          <w:color w:val="auto"/>
          <w:highlight w:val="none"/>
        </w:rPr>
      </w:pPr>
    </w:p>
    <w:p w14:paraId="1741AC72">
      <w:pPr>
        <w:pStyle w:val="4"/>
        <w:spacing w:line="247" w:lineRule="auto"/>
        <w:rPr>
          <w:color w:val="auto"/>
          <w:highlight w:val="none"/>
        </w:rPr>
      </w:pPr>
    </w:p>
    <w:p w14:paraId="225EABC1">
      <w:pPr>
        <w:pStyle w:val="4"/>
        <w:spacing w:line="247" w:lineRule="auto"/>
        <w:rPr>
          <w:color w:val="auto"/>
          <w:highlight w:val="none"/>
        </w:rPr>
      </w:pPr>
    </w:p>
    <w:p w14:paraId="79DBAC63">
      <w:pPr>
        <w:pStyle w:val="4"/>
        <w:spacing w:line="247" w:lineRule="auto"/>
        <w:rPr>
          <w:color w:val="auto"/>
          <w:highlight w:val="none"/>
        </w:rPr>
      </w:pPr>
    </w:p>
    <w:p w14:paraId="1243F9A8">
      <w:pPr>
        <w:pStyle w:val="4"/>
        <w:spacing w:line="247" w:lineRule="auto"/>
        <w:rPr>
          <w:color w:val="auto"/>
          <w:highlight w:val="none"/>
        </w:rPr>
      </w:pPr>
    </w:p>
    <w:p w14:paraId="1057E484">
      <w:pPr>
        <w:pStyle w:val="4"/>
        <w:spacing w:line="247" w:lineRule="auto"/>
        <w:rPr>
          <w:color w:val="auto"/>
          <w:highlight w:val="none"/>
        </w:rPr>
      </w:pPr>
    </w:p>
    <w:p w14:paraId="6AB9A52C">
      <w:pPr>
        <w:pStyle w:val="4"/>
        <w:spacing w:line="247" w:lineRule="auto"/>
        <w:rPr>
          <w:color w:val="auto"/>
          <w:highlight w:val="none"/>
        </w:rPr>
      </w:pPr>
    </w:p>
    <w:p w14:paraId="62984D6C">
      <w:pPr>
        <w:pStyle w:val="4"/>
        <w:spacing w:line="247" w:lineRule="auto"/>
        <w:rPr>
          <w:color w:val="auto"/>
          <w:highlight w:val="none"/>
        </w:rPr>
      </w:pPr>
    </w:p>
    <w:p w14:paraId="121FF166">
      <w:pPr>
        <w:pStyle w:val="4"/>
        <w:spacing w:line="247" w:lineRule="auto"/>
        <w:rPr>
          <w:color w:val="auto"/>
          <w:highlight w:val="none"/>
        </w:rPr>
      </w:pPr>
    </w:p>
    <w:p w14:paraId="09D05A72">
      <w:pPr>
        <w:pStyle w:val="4"/>
        <w:spacing w:line="247" w:lineRule="auto"/>
        <w:rPr>
          <w:color w:val="auto"/>
          <w:highlight w:val="none"/>
        </w:rPr>
      </w:pPr>
    </w:p>
    <w:p w14:paraId="662CB835">
      <w:pPr>
        <w:pStyle w:val="4"/>
        <w:spacing w:line="247" w:lineRule="auto"/>
        <w:rPr>
          <w:color w:val="auto"/>
          <w:highlight w:val="none"/>
        </w:rPr>
      </w:pPr>
    </w:p>
    <w:p w14:paraId="65E95129">
      <w:pPr>
        <w:spacing w:before="140" w:line="223" w:lineRule="auto"/>
        <w:ind w:left="2420"/>
        <w:outlineLvl w:val="0"/>
        <w:rPr>
          <w:rFonts w:ascii="宋体" w:hAnsi="宋体" w:eastAsia="宋体" w:cs="宋体"/>
          <w:color w:val="auto"/>
          <w:sz w:val="43"/>
          <w:szCs w:val="43"/>
          <w:highlight w:val="none"/>
        </w:rPr>
      </w:pPr>
      <w:bookmarkStart w:id="9" w:name="bookmark11"/>
      <w:bookmarkEnd w:id="9"/>
      <w:r>
        <w:rPr>
          <w:rFonts w:ascii="宋体" w:hAnsi="宋体" w:eastAsia="宋体" w:cs="宋体"/>
          <w:b/>
          <w:bCs/>
          <w:color w:val="auto"/>
          <w:sz w:val="43"/>
          <w:szCs w:val="43"/>
          <w:highlight w:val="none"/>
        </w:rPr>
        <w:t>第五章响应文件格式</w:t>
      </w:r>
    </w:p>
    <w:p w14:paraId="2CE62B64">
      <w:pPr>
        <w:spacing w:line="223" w:lineRule="auto"/>
        <w:rPr>
          <w:rFonts w:ascii="宋体" w:hAnsi="宋体" w:eastAsia="宋体" w:cs="宋体"/>
          <w:color w:val="auto"/>
          <w:sz w:val="43"/>
          <w:szCs w:val="43"/>
          <w:highlight w:val="none"/>
        </w:rPr>
        <w:sectPr>
          <w:footerReference r:id="rId32" w:type="default"/>
          <w:pgSz w:w="11907" w:h="16839"/>
          <w:pgMar w:top="1431" w:right="1785" w:bottom="1154" w:left="1785" w:header="0" w:footer="954" w:gutter="0"/>
          <w:cols w:space="720" w:num="1"/>
        </w:sectPr>
      </w:pPr>
    </w:p>
    <w:p w14:paraId="5B6EA63B">
      <w:pPr>
        <w:spacing w:before="63" w:line="225" w:lineRule="auto"/>
        <w:ind w:left="29"/>
        <w:rPr>
          <w:rFonts w:ascii="宋体" w:hAnsi="宋体" w:eastAsia="宋体" w:cs="宋体"/>
          <w:color w:val="auto"/>
          <w:sz w:val="31"/>
          <w:szCs w:val="31"/>
          <w:highlight w:val="none"/>
        </w:rPr>
      </w:pPr>
      <w:r>
        <w:rPr>
          <w:rFonts w:ascii="宋体" w:hAnsi="宋体" w:eastAsia="宋体" w:cs="宋体"/>
          <w:b/>
          <w:bCs/>
          <w:color w:val="auto"/>
          <w:spacing w:val="4"/>
          <w:sz w:val="31"/>
          <w:szCs w:val="31"/>
          <w:highlight w:val="none"/>
        </w:rPr>
        <w:t>一、资格证明文件格式</w:t>
      </w:r>
    </w:p>
    <w:p w14:paraId="3ABC93DD">
      <w:pPr>
        <w:spacing w:before="157" w:line="225" w:lineRule="auto"/>
        <w:ind w:left="48"/>
        <w:rPr>
          <w:rFonts w:ascii="宋体" w:hAnsi="宋体" w:eastAsia="宋体" w:cs="宋体"/>
          <w:color w:val="auto"/>
          <w:sz w:val="31"/>
          <w:szCs w:val="31"/>
          <w:highlight w:val="none"/>
        </w:rPr>
      </w:pPr>
      <w:r>
        <w:rPr>
          <w:rFonts w:ascii="宋体" w:hAnsi="宋体" w:eastAsia="宋体" w:cs="宋体"/>
          <w:b/>
          <w:bCs/>
          <w:color w:val="auto"/>
          <w:spacing w:val="3"/>
          <w:sz w:val="31"/>
          <w:szCs w:val="31"/>
          <w:highlight w:val="none"/>
        </w:rPr>
        <w:t>1.资格证明文件封面格式：</w:t>
      </w:r>
    </w:p>
    <w:p w14:paraId="51641ED6">
      <w:pPr>
        <w:pStyle w:val="4"/>
        <w:spacing w:line="309" w:lineRule="auto"/>
        <w:rPr>
          <w:color w:val="auto"/>
          <w:highlight w:val="none"/>
        </w:rPr>
      </w:pPr>
    </w:p>
    <w:p w14:paraId="50276342">
      <w:pPr>
        <w:pStyle w:val="4"/>
        <w:spacing w:line="310" w:lineRule="auto"/>
        <w:rPr>
          <w:color w:val="auto"/>
          <w:highlight w:val="none"/>
        </w:rPr>
      </w:pPr>
    </w:p>
    <w:p w14:paraId="48BC4815">
      <w:pPr>
        <w:pStyle w:val="4"/>
        <w:spacing w:line="310" w:lineRule="auto"/>
        <w:rPr>
          <w:color w:val="auto"/>
          <w:highlight w:val="none"/>
        </w:rPr>
      </w:pPr>
    </w:p>
    <w:p w14:paraId="3B27BC15">
      <w:pPr>
        <w:spacing w:before="140" w:line="223" w:lineRule="auto"/>
        <w:ind w:left="2699"/>
        <w:rPr>
          <w:rFonts w:ascii="宋体" w:hAnsi="宋体" w:eastAsia="宋体" w:cs="宋体"/>
          <w:color w:val="auto"/>
          <w:sz w:val="43"/>
          <w:szCs w:val="43"/>
          <w:highlight w:val="none"/>
        </w:rPr>
      </w:pPr>
      <w:r>
        <w:rPr>
          <w:rFonts w:ascii="宋体" w:hAnsi="宋体" w:eastAsia="宋体" w:cs="宋体"/>
          <w:color w:val="auto"/>
          <w:spacing w:val="-20"/>
          <w:sz w:val="43"/>
          <w:szCs w:val="43"/>
          <w:highlight w:val="none"/>
        </w:rPr>
        <w:t>电子响应文件</w:t>
      </w:r>
    </w:p>
    <w:p w14:paraId="7DA7DEA5">
      <w:pPr>
        <w:pStyle w:val="4"/>
        <w:spacing w:line="469" w:lineRule="auto"/>
        <w:rPr>
          <w:color w:val="auto"/>
          <w:highlight w:val="none"/>
        </w:rPr>
      </w:pPr>
    </w:p>
    <w:p w14:paraId="7F88E996">
      <w:pPr>
        <w:spacing w:before="141" w:line="604" w:lineRule="exact"/>
        <w:ind w:left="2090"/>
        <w:rPr>
          <w:rFonts w:ascii="宋体" w:hAnsi="宋体" w:eastAsia="宋体" w:cs="宋体"/>
          <w:color w:val="auto"/>
          <w:sz w:val="43"/>
          <w:szCs w:val="43"/>
          <w:highlight w:val="none"/>
        </w:rPr>
      </w:pPr>
      <w:r>
        <w:rPr>
          <w:rFonts w:ascii="宋体" w:hAnsi="宋体" w:eastAsia="宋体" w:cs="宋体"/>
          <w:b/>
          <w:bCs/>
          <w:color w:val="auto"/>
          <w:spacing w:val="-2"/>
          <w:position w:val="3"/>
          <w:sz w:val="43"/>
          <w:szCs w:val="43"/>
          <w:highlight w:val="none"/>
        </w:rPr>
        <w:t>资格证明文件</w:t>
      </w:r>
    </w:p>
    <w:p w14:paraId="1D082D78">
      <w:pPr>
        <w:pStyle w:val="4"/>
        <w:spacing w:line="245" w:lineRule="auto"/>
        <w:rPr>
          <w:color w:val="auto"/>
          <w:highlight w:val="none"/>
        </w:rPr>
      </w:pPr>
    </w:p>
    <w:p w14:paraId="0A237720">
      <w:pPr>
        <w:pStyle w:val="4"/>
        <w:spacing w:line="245" w:lineRule="auto"/>
        <w:rPr>
          <w:color w:val="auto"/>
          <w:highlight w:val="none"/>
        </w:rPr>
      </w:pPr>
    </w:p>
    <w:p w14:paraId="6F2B6E78">
      <w:pPr>
        <w:pStyle w:val="4"/>
        <w:spacing w:line="245" w:lineRule="auto"/>
        <w:rPr>
          <w:color w:val="auto"/>
          <w:highlight w:val="none"/>
        </w:rPr>
      </w:pPr>
    </w:p>
    <w:p w14:paraId="61E7BA90">
      <w:pPr>
        <w:pStyle w:val="4"/>
        <w:spacing w:line="245" w:lineRule="auto"/>
        <w:rPr>
          <w:color w:val="auto"/>
          <w:highlight w:val="none"/>
        </w:rPr>
      </w:pPr>
    </w:p>
    <w:p w14:paraId="1B83B95C">
      <w:pPr>
        <w:pStyle w:val="4"/>
        <w:spacing w:line="245" w:lineRule="auto"/>
        <w:rPr>
          <w:color w:val="auto"/>
          <w:highlight w:val="none"/>
        </w:rPr>
      </w:pPr>
    </w:p>
    <w:p w14:paraId="2CD6BADC">
      <w:pPr>
        <w:pStyle w:val="4"/>
        <w:spacing w:line="245" w:lineRule="auto"/>
        <w:rPr>
          <w:color w:val="auto"/>
          <w:highlight w:val="none"/>
        </w:rPr>
      </w:pPr>
    </w:p>
    <w:p w14:paraId="71F98201">
      <w:pPr>
        <w:pStyle w:val="4"/>
        <w:spacing w:line="246" w:lineRule="auto"/>
        <w:rPr>
          <w:color w:val="auto"/>
          <w:highlight w:val="none"/>
        </w:rPr>
      </w:pPr>
    </w:p>
    <w:p w14:paraId="4799922F">
      <w:pPr>
        <w:pStyle w:val="4"/>
        <w:spacing w:line="246" w:lineRule="auto"/>
        <w:rPr>
          <w:color w:val="auto"/>
          <w:highlight w:val="none"/>
        </w:rPr>
      </w:pPr>
    </w:p>
    <w:p w14:paraId="15C39FE2">
      <w:pPr>
        <w:pStyle w:val="4"/>
        <w:spacing w:line="246" w:lineRule="auto"/>
        <w:rPr>
          <w:color w:val="auto"/>
          <w:highlight w:val="none"/>
        </w:rPr>
      </w:pPr>
    </w:p>
    <w:p w14:paraId="01171F3A">
      <w:pPr>
        <w:spacing w:before="102" w:line="226" w:lineRule="auto"/>
        <w:ind w:left="670"/>
        <w:rPr>
          <w:rFonts w:ascii="宋体" w:hAnsi="宋体" w:eastAsia="宋体" w:cs="宋体"/>
          <w:color w:val="auto"/>
          <w:sz w:val="31"/>
          <w:szCs w:val="31"/>
          <w:highlight w:val="none"/>
        </w:rPr>
      </w:pPr>
      <w:r>
        <w:rPr>
          <w:rFonts w:ascii="宋体" w:hAnsi="宋体" w:eastAsia="宋体" w:cs="宋体"/>
          <w:color w:val="auto"/>
          <w:spacing w:val="3"/>
          <w:sz w:val="31"/>
          <w:szCs w:val="31"/>
          <w:highlight w:val="none"/>
        </w:rPr>
        <w:t>项目名称：</w:t>
      </w:r>
    </w:p>
    <w:p w14:paraId="1564779B">
      <w:pPr>
        <w:pStyle w:val="4"/>
        <w:spacing w:line="293" w:lineRule="auto"/>
        <w:rPr>
          <w:color w:val="auto"/>
          <w:highlight w:val="none"/>
        </w:rPr>
      </w:pPr>
    </w:p>
    <w:p w14:paraId="077D92F1">
      <w:pPr>
        <w:pStyle w:val="4"/>
        <w:spacing w:line="294" w:lineRule="auto"/>
        <w:rPr>
          <w:color w:val="auto"/>
          <w:highlight w:val="none"/>
        </w:rPr>
      </w:pPr>
    </w:p>
    <w:p w14:paraId="02B89CE3">
      <w:pPr>
        <w:spacing w:before="100" w:line="225" w:lineRule="auto"/>
        <w:ind w:left="749"/>
        <w:rPr>
          <w:rFonts w:ascii="宋体" w:hAnsi="宋体" w:eastAsia="宋体" w:cs="宋体"/>
          <w:color w:val="auto"/>
          <w:sz w:val="31"/>
          <w:szCs w:val="31"/>
          <w:highlight w:val="none"/>
        </w:rPr>
      </w:pPr>
      <w:r>
        <w:rPr>
          <w:rFonts w:ascii="宋体" w:hAnsi="宋体" w:eastAsia="宋体" w:cs="宋体"/>
          <w:color w:val="auto"/>
          <w:spacing w:val="3"/>
          <w:sz w:val="31"/>
          <w:szCs w:val="31"/>
          <w:highlight w:val="none"/>
        </w:rPr>
        <w:t>项目编号：</w:t>
      </w:r>
    </w:p>
    <w:p w14:paraId="448758D6">
      <w:pPr>
        <w:pStyle w:val="4"/>
        <w:spacing w:line="294" w:lineRule="auto"/>
        <w:rPr>
          <w:color w:val="auto"/>
          <w:highlight w:val="none"/>
        </w:rPr>
      </w:pPr>
    </w:p>
    <w:p w14:paraId="27B44681">
      <w:pPr>
        <w:pStyle w:val="4"/>
        <w:spacing w:line="294" w:lineRule="auto"/>
        <w:rPr>
          <w:color w:val="auto"/>
          <w:highlight w:val="none"/>
        </w:rPr>
      </w:pPr>
    </w:p>
    <w:p w14:paraId="37D6E8F0">
      <w:pPr>
        <w:spacing w:before="101" w:line="226" w:lineRule="auto"/>
        <w:jc w:val="right"/>
        <w:rPr>
          <w:rFonts w:ascii="宋体" w:hAnsi="宋体" w:eastAsia="宋体" w:cs="宋体"/>
          <w:color w:val="auto"/>
          <w:sz w:val="31"/>
          <w:szCs w:val="31"/>
          <w:highlight w:val="none"/>
        </w:rPr>
      </w:pPr>
      <w:r>
        <w:rPr>
          <w:rFonts w:ascii="宋体" w:hAnsi="宋体" w:eastAsia="宋体" w:cs="宋体"/>
          <w:color w:val="auto"/>
          <w:spacing w:val="5"/>
          <w:sz w:val="31"/>
          <w:szCs w:val="31"/>
          <w:highlight w:val="none"/>
        </w:rPr>
        <w:t>所竞分标（如有则填写，无分标时填写“无”或者</w:t>
      </w:r>
      <w:r>
        <w:rPr>
          <w:rFonts w:ascii="宋体" w:hAnsi="宋体" w:eastAsia="宋体" w:cs="宋体"/>
          <w:color w:val="auto"/>
          <w:spacing w:val="4"/>
          <w:sz w:val="31"/>
          <w:szCs w:val="31"/>
          <w:highlight w:val="none"/>
        </w:rPr>
        <w:t>留空</w:t>
      </w:r>
      <w:r>
        <w:rPr>
          <w:rFonts w:ascii="宋体" w:hAnsi="宋体" w:eastAsia="宋体" w:cs="宋体"/>
          <w:color w:val="auto"/>
          <w:spacing w:val="-14"/>
          <w:sz w:val="31"/>
          <w:szCs w:val="31"/>
          <w:highlight w:val="none"/>
        </w:rPr>
        <w:t>）：</w:t>
      </w:r>
    </w:p>
    <w:p w14:paraId="34DEA0D1">
      <w:pPr>
        <w:pStyle w:val="4"/>
        <w:spacing w:line="259" w:lineRule="auto"/>
        <w:rPr>
          <w:color w:val="auto"/>
          <w:highlight w:val="none"/>
        </w:rPr>
      </w:pPr>
    </w:p>
    <w:p w14:paraId="75642DDA">
      <w:pPr>
        <w:pStyle w:val="4"/>
        <w:spacing w:line="259" w:lineRule="auto"/>
        <w:rPr>
          <w:color w:val="auto"/>
          <w:highlight w:val="none"/>
        </w:rPr>
      </w:pPr>
    </w:p>
    <w:p w14:paraId="4CC5AE1F">
      <w:pPr>
        <w:spacing w:before="101" w:line="224" w:lineRule="auto"/>
        <w:ind w:left="744"/>
        <w:rPr>
          <w:rFonts w:ascii="宋体" w:hAnsi="宋体" w:eastAsia="宋体" w:cs="宋体"/>
          <w:color w:val="auto"/>
          <w:sz w:val="31"/>
          <w:szCs w:val="31"/>
          <w:highlight w:val="none"/>
        </w:rPr>
      </w:pPr>
      <w:r>
        <w:rPr>
          <w:rFonts w:ascii="宋体" w:hAnsi="宋体" w:eastAsia="宋体" w:cs="宋体"/>
          <w:color w:val="auto"/>
          <w:spacing w:val="-1"/>
          <w:sz w:val="31"/>
          <w:szCs w:val="31"/>
          <w:highlight w:val="none"/>
        </w:rPr>
        <w:t>供应商名称：</w:t>
      </w:r>
    </w:p>
    <w:p w14:paraId="292E6F56">
      <w:pPr>
        <w:pStyle w:val="4"/>
        <w:spacing w:line="246" w:lineRule="auto"/>
        <w:rPr>
          <w:color w:val="auto"/>
          <w:highlight w:val="none"/>
        </w:rPr>
      </w:pPr>
    </w:p>
    <w:p w14:paraId="43AB1865">
      <w:pPr>
        <w:pStyle w:val="4"/>
        <w:spacing w:line="246" w:lineRule="auto"/>
        <w:rPr>
          <w:color w:val="auto"/>
          <w:highlight w:val="none"/>
        </w:rPr>
      </w:pPr>
    </w:p>
    <w:p w14:paraId="14B3D6D0">
      <w:pPr>
        <w:pStyle w:val="4"/>
        <w:spacing w:line="246" w:lineRule="auto"/>
        <w:rPr>
          <w:color w:val="auto"/>
          <w:highlight w:val="none"/>
        </w:rPr>
      </w:pPr>
    </w:p>
    <w:p w14:paraId="4F3D1905">
      <w:pPr>
        <w:pStyle w:val="4"/>
        <w:spacing w:line="247" w:lineRule="auto"/>
        <w:rPr>
          <w:color w:val="auto"/>
          <w:highlight w:val="none"/>
        </w:rPr>
      </w:pPr>
    </w:p>
    <w:p w14:paraId="61780E29">
      <w:pPr>
        <w:pStyle w:val="4"/>
        <w:spacing w:line="247" w:lineRule="auto"/>
        <w:rPr>
          <w:color w:val="auto"/>
          <w:highlight w:val="none"/>
        </w:rPr>
      </w:pPr>
    </w:p>
    <w:p w14:paraId="41317508">
      <w:pPr>
        <w:pStyle w:val="4"/>
        <w:spacing w:line="247" w:lineRule="auto"/>
        <w:rPr>
          <w:color w:val="auto"/>
          <w:highlight w:val="none"/>
        </w:rPr>
      </w:pPr>
    </w:p>
    <w:p w14:paraId="4FB06ACB">
      <w:pPr>
        <w:pStyle w:val="4"/>
        <w:spacing w:line="247" w:lineRule="auto"/>
        <w:rPr>
          <w:color w:val="auto"/>
          <w:highlight w:val="none"/>
        </w:rPr>
      </w:pPr>
    </w:p>
    <w:p w14:paraId="29375205">
      <w:pPr>
        <w:pStyle w:val="4"/>
        <w:spacing w:line="247" w:lineRule="auto"/>
        <w:rPr>
          <w:color w:val="auto"/>
          <w:highlight w:val="none"/>
        </w:rPr>
      </w:pPr>
    </w:p>
    <w:p w14:paraId="5AE3CC3C">
      <w:pPr>
        <w:spacing w:before="102" w:line="225" w:lineRule="auto"/>
        <w:ind w:left="3393"/>
        <w:rPr>
          <w:rFonts w:ascii="宋体" w:hAnsi="宋体" w:eastAsia="宋体" w:cs="宋体"/>
          <w:color w:val="auto"/>
          <w:sz w:val="31"/>
          <w:szCs w:val="31"/>
          <w:highlight w:val="none"/>
        </w:rPr>
      </w:pPr>
      <w:r>
        <w:rPr>
          <w:rFonts w:ascii="宋体" w:hAnsi="宋体" w:eastAsia="宋体" w:cs="宋体"/>
          <w:color w:val="auto"/>
          <w:spacing w:val="-6"/>
          <w:sz w:val="31"/>
          <w:szCs w:val="31"/>
          <w:highlight w:val="none"/>
        </w:rPr>
        <w:t>年月日</w:t>
      </w:r>
    </w:p>
    <w:p w14:paraId="7171EF47">
      <w:pPr>
        <w:spacing w:line="225" w:lineRule="auto"/>
        <w:rPr>
          <w:rFonts w:ascii="宋体" w:hAnsi="宋体" w:eastAsia="宋体" w:cs="宋体"/>
          <w:color w:val="auto"/>
          <w:sz w:val="31"/>
          <w:szCs w:val="31"/>
          <w:highlight w:val="none"/>
        </w:rPr>
        <w:sectPr>
          <w:footerReference r:id="rId33" w:type="default"/>
          <w:pgSz w:w="11907" w:h="16839"/>
          <w:pgMar w:top="1423" w:right="1151" w:bottom="1154" w:left="1785" w:header="0" w:footer="954" w:gutter="0"/>
          <w:cols w:space="720" w:num="1"/>
        </w:sectPr>
      </w:pPr>
    </w:p>
    <w:p w14:paraId="0E63DDD7">
      <w:pPr>
        <w:spacing w:before="125" w:line="225" w:lineRule="auto"/>
        <w:ind w:left="169"/>
        <w:rPr>
          <w:rFonts w:ascii="宋体" w:hAnsi="宋体" w:eastAsia="宋体" w:cs="宋体"/>
          <w:color w:val="auto"/>
          <w:sz w:val="31"/>
          <w:szCs w:val="31"/>
          <w:highlight w:val="none"/>
        </w:rPr>
      </w:pPr>
      <w:r>
        <w:rPr>
          <w:rFonts w:ascii="宋体" w:hAnsi="宋体" w:eastAsia="宋体" w:cs="宋体"/>
          <w:b/>
          <w:bCs/>
          <w:color w:val="auto"/>
          <w:spacing w:val="5"/>
          <w:sz w:val="31"/>
          <w:szCs w:val="31"/>
          <w:highlight w:val="none"/>
        </w:rPr>
        <w:t>2.资格证明文件目录</w:t>
      </w:r>
    </w:p>
    <w:p w14:paraId="750AA955">
      <w:pPr>
        <w:pStyle w:val="4"/>
        <w:spacing w:line="265" w:lineRule="auto"/>
        <w:rPr>
          <w:color w:val="auto"/>
          <w:highlight w:val="none"/>
        </w:rPr>
      </w:pPr>
    </w:p>
    <w:p w14:paraId="6A79362E">
      <w:pPr>
        <w:spacing w:before="101" w:line="371" w:lineRule="auto"/>
        <w:ind w:left="24" w:firstLine="645"/>
        <w:rPr>
          <w:rFonts w:ascii="宋体" w:hAnsi="宋体" w:eastAsia="宋体" w:cs="宋体"/>
          <w:color w:val="auto"/>
          <w:sz w:val="31"/>
          <w:szCs w:val="31"/>
          <w:highlight w:val="none"/>
        </w:rPr>
      </w:pPr>
      <w:r>
        <w:rPr>
          <w:rFonts w:ascii="宋体" w:hAnsi="宋体" w:eastAsia="宋体" w:cs="宋体"/>
          <w:color w:val="auto"/>
          <w:spacing w:val="9"/>
          <w:sz w:val="31"/>
          <w:szCs w:val="31"/>
          <w:highlight w:val="none"/>
        </w:rPr>
        <w:t>根据磋商文件规定及供应商提供的材料自行编写目录（部分</w:t>
      </w:r>
      <w:r>
        <w:rPr>
          <w:rFonts w:ascii="宋体" w:hAnsi="宋体" w:eastAsia="宋体" w:cs="宋体"/>
          <w:color w:val="auto"/>
          <w:spacing w:val="1"/>
          <w:sz w:val="31"/>
          <w:szCs w:val="31"/>
          <w:highlight w:val="none"/>
        </w:rPr>
        <w:t>格式后附）。</w:t>
      </w:r>
    </w:p>
    <w:p w14:paraId="1A0850C4">
      <w:pPr>
        <w:spacing w:line="371" w:lineRule="auto"/>
        <w:rPr>
          <w:rFonts w:ascii="宋体" w:hAnsi="宋体" w:eastAsia="宋体" w:cs="宋体"/>
          <w:color w:val="auto"/>
          <w:sz w:val="31"/>
          <w:szCs w:val="31"/>
          <w:highlight w:val="none"/>
        </w:rPr>
        <w:sectPr>
          <w:footerReference r:id="rId34" w:type="default"/>
          <w:pgSz w:w="11907" w:h="16839"/>
          <w:pgMar w:top="1431" w:right="1148" w:bottom="1154" w:left="1785" w:header="0" w:footer="954" w:gutter="0"/>
          <w:cols w:space="720" w:num="1"/>
        </w:sectPr>
      </w:pPr>
    </w:p>
    <w:p w14:paraId="18B2B2B1">
      <w:pPr>
        <w:pStyle w:val="4"/>
        <w:spacing w:line="397" w:lineRule="auto"/>
        <w:rPr>
          <w:color w:val="auto"/>
          <w:highlight w:val="none"/>
        </w:rPr>
      </w:pPr>
    </w:p>
    <w:p w14:paraId="2CA477F4">
      <w:pPr>
        <w:spacing w:before="91" w:line="219" w:lineRule="auto"/>
        <w:ind w:left="138"/>
        <w:rPr>
          <w:rFonts w:hint="eastAsia" w:ascii="宋体" w:hAnsi="宋体" w:eastAsia="宋体" w:cs="宋体"/>
          <w:color w:val="auto"/>
          <w:sz w:val="28"/>
          <w:szCs w:val="28"/>
          <w:highlight w:val="none"/>
          <w:lang w:eastAsia="zh-CN"/>
        </w:rPr>
      </w:pPr>
      <w:r>
        <w:rPr>
          <w:rFonts w:ascii="宋体" w:hAnsi="宋体" w:eastAsia="宋体" w:cs="宋体"/>
          <w:b/>
          <w:bCs/>
          <w:color w:val="auto"/>
          <w:spacing w:val="-3"/>
          <w:sz w:val="24"/>
          <w:szCs w:val="24"/>
          <w:highlight w:val="none"/>
        </w:rPr>
        <w:t>3.</w:t>
      </w:r>
      <w:r>
        <w:rPr>
          <w:rFonts w:ascii="宋体" w:hAnsi="宋体" w:eastAsia="宋体" w:cs="宋体"/>
          <w:b/>
          <w:bCs/>
          <w:color w:val="auto"/>
          <w:spacing w:val="-3"/>
          <w:sz w:val="28"/>
          <w:szCs w:val="28"/>
          <w:highlight w:val="none"/>
        </w:rPr>
        <w:t>供应商直接控股股东</w:t>
      </w:r>
      <w:r>
        <w:rPr>
          <w:rFonts w:hint="eastAsia" w:ascii="宋体" w:hAnsi="宋体" w:eastAsia="宋体" w:cs="宋体"/>
          <w:b/>
          <w:bCs/>
          <w:color w:val="auto"/>
          <w:spacing w:val="-3"/>
          <w:sz w:val="28"/>
          <w:szCs w:val="28"/>
          <w:highlight w:val="none"/>
          <w:lang w:eastAsia="zh-CN"/>
        </w:rPr>
        <w:t>、</w:t>
      </w:r>
      <w:r>
        <w:rPr>
          <w:rFonts w:ascii="宋体" w:hAnsi="宋体" w:eastAsia="宋体" w:cs="宋体"/>
          <w:b/>
          <w:bCs/>
          <w:color w:val="auto"/>
          <w:spacing w:val="-4"/>
          <w:sz w:val="28"/>
          <w:szCs w:val="28"/>
          <w:highlight w:val="none"/>
        </w:rPr>
        <w:t>直接管理关系</w:t>
      </w:r>
      <w:r>
        <w:rPr>
          <w:rFonts w:ascii="宋体" w:hAnsi="宋体" w:eastAsia="宋体" w:cs="宋体"/>
          <w:b/>
          <w:bCs/>
          <w:color w:val="auto"/>
          <w:spacing w:val="-3"/>
          <w:sz w:val="28"/>
          <w:szCs w:val="28"/>
          <w:highlight w:val="none"/>
        </w:rPr>
        <w:t>信息表</w:t>
      </w:r>
      <w:r>
        <w:rPr>
          <w:rFonts w:hint="eastAsia" w:ascii="宋体" w:hAnsi="宋体" w:eastAsia="宋体" w:cs="宋体"/>
          <w:b/>
          <w:bCs/>
          <w:color w:val="auto"/>
          <w:spacing w:val="-3"/>
          <w:sz w:val="28"/>
          <w:szCs w:val="28"/>
          <w:highlight w:val="none"/>
          <w:lang w:eastAsia="zh-CN"/>
        </w:rPr>
        <w:t>（</w:t>
      </w:r>
      <w:r>
        <w:rPr>
          <w:rFonts w:hint="eastAsia" w:ascii="宋体" w:hAnsi="宋体" w:eastAsia="宋体" w:cs="宋体"/>
          <w:b/>
          <w:bCs/>
          <w:color w:val="auto"/>
          <w:spacing w:val="-3"/>
          <w:sz w:val="28"/>
          <w:szCs w:val="28"/>
          <w:highlight w:val="none"/>
          <w:lang w:val="en-US" w:eastAsia="zh-CN"/>
        </w:rPr>
        <w:t>格式</w:t>
      </w:r>
      <w:r>
        <w:rPr>
          <w:rFonts w:hint="eastAsia" w:ascii="宋体" w:hAnsi="宋体" w:eastAsia="宋体" w:cs="宋体"/>
          <w:b/>
          <w:bCs/>
          <w:color w:val="auto"/>
          <w:spacing w:val="-3"/>
          <w:sz w:val="28"/>
          <w:szCs w:val="28"/>
          <w:highlight w:val="none"/>
          <w:lang w:eastAsia="zh-CN"/>
        </w:rPr>
        <w:t>）</w:t>
      </w:r>
    </w:p>
    <w:p w14:paraId="0F838D0B">
      <w:pPr>
        <w:pStyle w:val="4"/>
        <w:spacing w:line="467" w:lineRule="auto"/>
        <w:rPr>
          <w:color w:val="auto"/>
          <w:highlight w:val="none"/>
        </w:rPr>
      </w:pPr>
    </w:p>
    <w:p w14:paraId="4BA75354">
      <w:pPr>
        <w:spacing w:before="100" w:line="224" w:lineRule="auto"/>
        <w:ind w:left="2698"/>
        <w:rPr>
          <w:rFonts w:ascii="宋体" w:hAnsi="宋体" w:eastAsia="宋体" w:cs="宋体"/>
          <w:color w:val="auto"/>
          <w:sz w:val="31"/>
          <w:szCs w:val="31"/>
          <w:highlight w:val="none"/>
        </w:rPr>
      </w:pPr>
      <w:r>
        <w:rPr>
          <w:rFonts w:ascii="宋体" w:hAnsi="宋体" w:eastAsia="宋体" w:cs="宋体"/>
          <w:b/>
          <w:bCs/>
          <w:color w:val="auto"/>
          <w:spacing w:val="6"/>
          <w:sz w:val="31"/>
          <w:szCs w:val="31"/>
          <w:highlight w:val="none"/>
        </w:rPr>
        <w:t>供应商直接控股股东信息表</w:t>
      </w:r>
    </w:p>
    <w:p w14:paraId="63ECDF5E">
      <w:pPr>
        <w:spacing w:before="76"/>
        <w:rPr>
          <w:color w:val="auto"/>
          <w:highlight w:val="none"/>
        </w:rPr>
      </w:pPr>
    </w:p>
    <w:tbl>
      <w:tblPr>
        <w:tblStyle w:val="11"/>
        <w:tblW w:w="948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2267"/>
        <w:gridCol w:w="1240"/>
        <w:gridCol w:w="3722"/>
        <w:gridCol w:w="1420"/>
      </w:tblGrid>
      <w:tr w14:paraId="5D5A61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2" w:hRule="atLeast"/>
        </w:trPr>
        <w:tc>
          <w:tcPr>
            <w:tcW w:w="832" w:type="dxa"/>
            <w:shd w:val="clear" w:color="auto" w:fill="EAE3D8"/>
            <w:vAlign w:val="top"/>
          </w:tcPr>
          <w:p w14:paraId="06413EB7">
            <w:pPr>
              <w:spacing w:line="316" w:lineRule="auto"/>
              <w:rPr>
                <w:rFonts w:ascii="Arial"/>
                <w:color w:val="auto"/>
                <w:sz w:val="21"/>
                <w:highlight w:val="none"/>
              </w:rPr>
            </w:pPr>
          </w:p>
          <w:p w14:paraId="2908487E">
            <w:pPr>
              <w:pStyle w:val="12"/>
              <w:spacing w:before="78" w:line="221" w:lineRule="auto"/>
              <w:ind w:left="181"/>
              <w:rPr>
                <w:color w:val="auto"/>
                <w:sz w:val="24"/>
                <w:szCs w:val="24"/>
                <w:highlight w:val="none"/>
              </w:rPr>
            </w:pPr>
            <w:r>
              <w:rPr>
                <w:b/>
                <w:bCs/>
                <w:color w:val="auto"/>
                <w:spacing w:val="-5"/>
                <w:sz w:val="24"/>
                <w:szCs w:val="24"/>
                <w:highlight w:val="none"/>
              </w:rPr>
              <w:t>序号</w:t>
            </w:r>
          </w:p>
        </w:tc>
        <w:tc>
          <w:tcPr>
            <w:tcW w:w="2267" w:type="dxa"/>
            <w:shd w:val="clear" w:color="auto" w:fill="EAE3D8"/>
            <w:vAlign w:val="top"/>
          </w:tcPr>
          <w:p w14:paraId="753BB431">
            <w:pPr>
              <w:spacing w:line="315" w:lineRule="auto"/>
              <w:rPr>
                <w:rFonts w:ascii="Arial"/>
                <w:color w:val="auto"/>
                <w:sz w:val="21"/>
                <w:highlight w:val="none"/>
              </w:rPr>
            </w:pPr>
          </w:p>
          <w:p w14:paraId="510E9571">
            <w:pPr>
              <w:pStyle w:val="12"/>
              <w:spacing w:before="78" w:line="220" w:lineRule="auto"/>
              <w:ind w:left="177"/>
              <w:rPr>
                <w:color w:val="auto"/>
                <w:sz w:val="24"/>
                <w:szCs w:val="24"/>
                <w:highlight w:val="none"/>
              </w:rPr>
            </w:pPr>
            <w:r>
              <w:rPr>
                <w:b/>
                <w:bCs/>
                <w:color w:val="auto"/>
                <w:spacing w:val="-4"/>
                <w:sz w:val="24"/>
                <w:szCs w:val="24"/>
                <w:highlight w:val="none"/>
              </w:rPr>
              <w:t>直接控股股东名称</w:t>
            </w:r>
          </w:p>
        </w:tc>
        <w:tc>
          <w:tcPr>
            <w:tcW w:w="1240" w:type="dxa"/>
            <w:shd w:val="clear" w:color="auto" w:fill="EAE3D8"/>
            <w:vAlign w:val="top"/>
          </w:tcPr>
          <w:p w14:paraId="324C3D89">
            <w:pPr>
              <w:pStyle w:val="12"/>
              <w:spacing w:before="160" w:line="221" w:lineRule="auto"/>
              <w:ind w:left="164"/>
              <w:rPr>
                <w:color w:val="auto"/>
                <w:sz w:val="24"/>
                <w:szCs w:val="24"/>
                <w:highlight w:val="none"/>
              </w:rPr>
            </w:pPr>
            <w:r>
              <w:rPr>
                <w:b/>
                <w:bCs/>
                <w:color w:val="auto"/>
                <w:spacing w:val="-9"/>
                <w:sz w:val="24"/>
                <w:szCs w:val="24"/>
                <w:highlight w:val="none"/>
              </w:rPr>
              <w:t>出资比例</w:t>
            </w:r>
          </w:p>
          <w:p w14:paraId="6F0B3BDF">
            <w:pPr>
              <w:pStyle w:val="12"/>
              <w:spacing w:before="181" w:line="222" w:lineRule="auto"/>
              <w:ind w:left="485"/>
              <w:rPr>
                <w:color w:val="auto"/>
                <w:sz w:val="24"/>
                <w:szCs w:val="24"/>
                <w:highlight w:val="none"/>
              </w:rPr>
            </w:pPr>
            <w:r>
              <w:rPr>
                <w:b/>
                <w:bCs/>
                <w:color w:val="auto"/>
                <w:spacing w:val="-15"/>
                <w:w w:val="96"/>
                <w:sz w:val="24"/>
                <w:szCs w:val="24"/>
                <w:highlight w:val="none"/>
              </w:rPr>
              <w:t>(%)</w:t>
            </w:r>
          </w:p>
        </w:tc>
        <w:tc>
          <w:tcPr>
            <w:tcW w:w="3722" w:type="dxa"/>
            <w:shd w:val="clear" w:color="auto" w:fill="EAE3D8"/>
            <w:vAlign w:val="top"/>
          </w:tcPr>
          <w:p w14:paraId="3B3336A8">
            <w:pPr>
              <w:pStyle w:val="12"/>
              <w:spacing w:before="160" w:line="364" w:lineRule="auto"/>
              <w:ind w:left="1744" w:right="175" w:hanging="1560"/>
              <w:rPr>
                <w:color w:val="auto"/>
                <w:sz w:val="24"/>
                <w:szCs w:val="24"/>
                <w:highlight w:val="none"/>
              </w:rPr>
            </w:pPr>
            <w:r>
              <w:rPr>
                <w:b/>
                <w:bCs/>
                <w:color w:val="auto"/>
                <w:spacing w:val="-3"/>
                <w:sz w:val="24"/>
                <w:szCs w:val="24"/>
                <w:highlight w:val="none"/>
              </w:rPr>
              <w:t>身份证号码或者统一社会信用代码</w:t>
            </w:r>
          </w:p>
        </w:tc>
        <w:tc>
          <w:tcPr>
            <w:tcW w:w="1420" w:type="dxa"/>
            <w:shd w:val="clear" w:color="auto" w:fill="EAE3D8"/>
            <w:vAlign w:val="top"/>
          </w:tcPr>
          <w:p w14:paraId="2DBEC771">
            <w:pPr>
              <w:spacing w:line="316" w:lineRule="auto"/>
              <w:rPr>
                <w:rFonts w:ascii="Arial"/>
                <w:color w:val="auto"/>
                <w:sz w:val="21"/>
                <w:highlight w:val="none"/>
              </w:rPr>
            </w:pPr>
          </w:p>
          <w:p w14:paraId="0BB64055">
            <w:pPr>
              <w:pStyle w:val="12"/>
              <w:spacing w:before="78" w:line="221" w:lineRule="auto"/>
              <w:ind w:left="477"/>
              <w:rPr>
                <w:color w:val="auto"/>
                <w:sz w:val="24"/>
                <w:szCs w:val="24"/>
                <w:highlight w:val="none"/>
              </w:rPr>
            </w:pPr>
            <w:r>
              <w:rPr>
                <w:b/>
                <w:bCs/>
                <w:color w:val="auto"/>
                <w:spacing w:val="-5"/>
                <w:sz w:val="24"/>
                <w:szCs w:val="24"/>
                <w:highlight w:val="none"/>
              </w:rPr>
              <w:t>备注</w:t>
            </w:r>
          </w:p>
        </w:tc>
      </w:tr>
      <w:tr w14:paraId="3A5ED6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trPr>
        <w:tc>
          <w:tcPr>
            <w:tcW w:w="832" w:type="dxa"/>
            <w:vAlign w:val="top"/>
          </w:tcPr>
          <w:p w14:paraId="2ABB7E02">
            <w:pPr>
              <w:pStyle w:val="12"/>
              <w:spacing w:before="159" w:line="241" w:lineRule="auto"/>
              <w:ind w:left="379"/>
              <w:rPr>
                <w:color w:val="auto"/>
                <w:sz w:val="24"/>
                <w:szCs w:val="24"/>
                <w:highlight w:val="none"/>
              </w:rPr>
            </w:pPr>
            <w:r>
              <w:rPr>
                <w:color w:val="auto"/>
                <w:sz w:val="24"/>
                <w:szCs w:val="24"/>
                <w:highlight w:val="none"/>
              </w:rPr>
              <w:t>1</w:t>
            </w:r>
          </w:p>
        </w:tc>
        <w:tc>
          <w:tcPr>
            <w:tcW w:w="2267" w:type="dxa"/>
            <w:vAlign w:val="top"/>
          </w:tcPr>
          <w:p w14:paraId="04B5E596">
            <w:pPr>
              <w:rPr>
                <w:rFonts w:ascii="Arial"/>
                <w:color w:val="auto"/>
                <w:sz w:val="21"/>
                <w:highlight w:val="none"/>
              </w:rPr>
            </w:pPr>
          </w:p>
        </w:tc>
        <w:tc>
          <w:tcPr>
            <w:tcW w:w="1240" w:type="dxa"/>
            <w:vAlign w:val="top"/>
          </w:tcPr>
          <w:p w14:paraId="45D43056">
            <w:pPr>
              <w:rPr>
                <w:rFonts w:ascii="Arial"/>
                <w:color w:val="auto"/>
                <w:sz w:val="21"/>
                <w:highlight w:val="none"/>
              </w:rPr>
            </w:pPr>
          </w:p>
        </w:tc>
        <w:tc>
          <w:tcPr>
            <w:tcW w:w="3722" w:type="dxa"/>
            <w:vAlign w:val="top"/>
          </w:tcPr>
          <w:p w14:paraId="4ADE3827">
            <w:pPr>
              <w:rPr>
                <w:rFonts w:ascii="Arial"/>
                <w:color w:val="auto"/>
                <w:sz w:val="21"/>
                <w:highlight w:val="none"/>
              </w:rPr>
            </w:pPr>
          </w:p>
        </w:tc>
        <w:tc>
          <w:tcPr>
            <w:tcW w:w="1420" w:type="dxa"/>
            <w:vAlign w:val="top"/>
          </w:tcPr>
          <w:p w14:paraId="69501562">
            <w:pPr>
              <w:rPr>
                <w:rFonts w:ascii="Arial"/>
                <w:color w:val="auto"/>
                <w:sz w:val="21"/>
                <w:highlight w:val="none"/>
              </w:rPr>
            </w:pPr>
          </w:p>
        </w:tc>
      </w:tr>
      <w:tr w14:paraId="5A8D80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trPr>
        <w:tc>
          <w:tcPr>
            <w:tcW w:w="832" w:type="dxa"/>
            <w:vAlign w:val="top"/>
          </w:tcPr>
          <w:p w14:paraId="65EACD97">
            <w:pPr>
              <w:pStyle w:val="12"/>
              <w:spacing w:before="158" w:line="241" w:lineRule="auto"/>
              <w:ind w:left="364"/>
              <w:rPr>
                <w:color w:val="auto"/>
                <w:sz w:val="24"/>
                <w:szCs w:val="24"/>
                <w:highlight w:val="none"/>
              </w:rPr>
            </w:pPr>
            <w:r>
              <w:rPr>
                <w:color w:val="auto"/>
                <w:sz w:val="24"/>
                <w:szCs w:val="24"/>
                <w:highlight w:val="none"/>
              </w:rPr>
              <w:t>2</w:t>
            </w:r>
          </w:p>
        </w:tc>
        <w:tc>
          <w:tcPr>
            <w:tcW w:w="2267" w:type="dxa"/>
            <w:vAlign w:val="top"/>
          </w:tcPr>
          <w:p w14:paraId="34AB7CBE">
            <w:pPr>
              <w:rPr>
                <w:rFonts w:ascii="Arial"/>
                <w:color w:val="auto"/>
                <w:sz w:val="21"/>
                <w:highlight w:val="none"/>
              </w:rPr>
            </w:pPr>
          </w:p>
        </w:tc>
        <w:tc>
          <w:tcPr>
            <w:tcW w:w="1240" w:type="dxa"/>
            <w:vAlign w:val="top"/>
          </w:tcPr>
          <w:p w14:paraId="3FCCB246">
            <w:pPr>
              <w:rPr>
                <w:rFonts w:ascii="Arial"/>
                <w:color w:val="auto"/>
                <w:sz w:val="21"/>
                <w:highlight w:val="none"/>
              </w:rPr>
            </w:pPr>
          </w:p>
        </w:tc>
        <w:tc>
          <w:tcPr>
            <w:tcW w:w="3722" w:type="dxa"/>
            <w:vAlign w:val="top"/>
          </w:tcPr>
          <w:p w14:paraId="02377B71">
            <w:pPr>
              <w:rPr>
                <w:rFonts w:ascii="Arial"/>
                <w:color w:val="auto"/>
                <w:sz w:val="21"/>
                <w:highlight w:val="none"/>
              </w:rPr>
            </w:pPr>
          </w:p>
        </w:tc>
        <w:tc>
          <w:tcPr>
            <w:tcW w:w="1420" w:type="dxa"/>
            <w:vAlign w:val="top"/>
          </w:tcPr>
          <w:p w14:paraId="73896168">
            <w:pPr>
              <w:rPr>
                <w:rFonts w:ascii="Arial"/>
                <w:color w:val="auto"/>
                <w:sz w:val="21"/>
                <w:highlight w:val="none"/>
              </w:rPr>
            </w:pPr>
          </w:p>
        </w:tc>
      </w:tr>
      <w:tr w14:paraId="609E4C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9" w:hRule="atLeast"/>
        </w:trPr>
        <w:tc>
          <w:tcPr>
            <w:tcW w:w="832" w:type="dxa"/>
            <w:vAlign w:val="top"/>
          </w:tcPr>
          <w:p w14:paraId="67B2701F">
            <w:pPr>
              <w:pStyle w:val="12"/>
              <w:spacing w:before="158"/>
              <w:ind w:left="366"/>
              <w:rPr>
                <w:color w:val="auto"/>
                <w:sz w:val="24"/>
                <w:szCs w:val="24"/>
                <w:highlight w:val="none"/>
              </w:rPr>
            </w:pPr>
            <w:r>
              <w:rPr>
                <w:color w:val="auto"/>
                <w:sz w:val="24"/>
                <w:szCs w:val="24"/>
                <w:highlight w:val="none"/>
              </w:rPr>
              <w:t>3</w:t>
            </w:r>
          </w:p>
        </w:tc>
        <w:tc>
          <w:tcPr>
            <w:tcW w:w="2267" w:type="dxa"/>
            <w:vAlign w:val="top"/>
          </w:tcPr>
          <w:p w14:paraId="4E2FD6BC">
            <w:pPr>
              <w:rPr>
                <w:rFonts w:ascii="Arial"/>
                <w:color w:val="auto"/>
                <w:sz w:val="21"/>
                <w:highlight w:val="none"/>
              </w:rPr>
            </w:pPr>
          </w:p>
        </w:tc>
        <w:tc>
          <w:tcPr>
            <w:tcW w:w="1240" w:type="dxa"/>
            <w:vAlign w:val="top"/>
          </w:tcPr>
          <w:p w14:paraId="7A53348C">
            <w:pPr>
              <w:rPr>
                <w:rFonts w:ascii="Arial"/>
                <w:color w:val="auto"/>
                <w:sz w:val="21"/>
                <w:highlight w:val="none"/>
              </w:rPr>
            </w:pPr>
          </w:p>
        </w:tc>
        <w:tc>
          <w:tcPr>
            <w:tcW w:w="3722" w:type="dxa"/>
            <w:vAlign w:val="top"/>
          </w:tcPr>
          <w:p w14:paraId="0506DDA4">
            <w:pPr>
              <w:rPr>
                <w:rFonts w:ascii="Arial"/>
                <w:color w:val="auto"/>
                <w:sz w:val="21"/>
                <w:highlight w:val="none"/>
              </w:rPr>
            </w:pPr>
          </w:p>
        </w:tc>
        <w:tc>
          <w:tcPr>
            <w:tcW w:w="1420" w:type="dxa"/>
            <w:vAlign w:val="top"/>
          </w:tcPr>
          <w:p w14:paraId="74CB9C0F">
            <w:pPr>
              <w:rPr>
                <w:rFonts w:ascii="Arial"/>
                <w:color w:val="auto"/>
                <w:sz w:val="21"/>
                <w:highlight w:val="none"/>
              </w:rPr>
            </w:pPr>
          </w:p>
        </w:tc>
      </w:tr>
      <w:tr w14:paraId="05EA0F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832" w:type="dxa"/>
            <w:vAlign w:val="top"/>
          </w:tcPr>
          <w:p w14:paraId="0E86AB59">
            <w:pPr>
              <w:pStyle w:val="12"/>
              <w:spacing w:before="162" w:line="378" w:lineRule="exact"/>
              <w:ind w:left="197"/>
              <w:rPr>
                <w:color w:val="auto"/>
                <w:sz w:val="24"/>
                <w:szCs w:val="24"/>
                <w:highlight w:val="none"/>
              </w:rPr>
            </w:pPr>
            <w:r>
              <w:rPr>
                <w:color w:val="auto"/>
                <w:spacing w:val="-7"/>
                <w:position w:val="3"/>
                <w:sz w:val="24"/>
                <w:szCs w:val="24"/>
                <w:highlight w:val="none"/>
              </w:rPr>
              <w:t>……</w:t>
            </w:r>
          </w:p>
        </w:tc>
        <w:tc>
          <w:tcPr>
            <w:tcW w:w="2267" w:type="dxa"/>
            <w:vAlign w:val="top"/>
          </w:tcPr>
          <w:p w14:paraId="12BDED45">
            <w:pPr>
              <w:rPr>
                <w:rFonts w:ascii="Arial"/>
                <w:color w:val="auto"/>
                <w:sz w:val="21"/>
                <w:highlight w:val="none"/>
              </w:rPr>
            </w:pPr>
          </w:p>
        </w:tc>
        <w:tc>
          <w:tcPr>
            <w:tcW w:w="1240" w:type="dxa"/>
            <w:vAlign w:val="top"/>
          </w:tcPr>
          <w:p w14:paraId="2A5DAB1F">
            <w:pPr>
              <w:rPr>
                <w:rFonts w:ascii="Arial"/>
                <w:color w:val="auto"/>
                <w:sz w:val="21"/>
                <w:highlight w:val="none"/>
              </w:rPr>
            </w:pPr>
          </w:p>
        </w:tc>
        <w:tc>
          <w:tcPr>
            <w:tcW w:w="3722" w:type="dxa"/>
            <w:vAlign w:val="top"/>
          </w:tcPr>
          <w:p w14:paraId="68AAD53F">
            <w:pPr>
              <w:rPr>
                <w:rFonts w:ascii="Arial"/>
                <w:color w:val="auto"/>
                <w:sz w:val="21"/>
                <w:highlight w:val="none"/>
              </w:rPr>
            </w:pPr>
          </w:p>
        </w:tc>
        <w:tc>
          <w:tcPr>
            <w:tcW w:w="1420" w:type="dxa"/>
            <w:vAlign w:val="top"/>
          </w:tcPr>
          <w:p w14:paraId="7BEC9977">
            <w:pPr>
              <w:rPr>
                <w:rFonts w:ascii="Arial"/>
                <w:color w:val="auto"/>
                <w:sz w:val="21"/>
                <w:highlight w:val="none"/>
              </w:rPr>
            </w:pPr>
          </w:p>
        </w:tc>
      </w:tr>
    </w:tbl>
    <w:p w14:paraId="6DC9D0FD">
      <w:pPr>
        <w:spacing w:before="36" w:line="224" w:lineRule="auto"/>
        <w:ind w:left="134"/>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注：</w:t>
      </w:r>
    </w:p>
    <w:p w14:paraId="1CC4D662">
      <w:pPr>
        <w:spacing w:before="176" w:line="324" w:lineRule="auto"/>
        <w:ind w:left="134" w:right="300" w:firstLine="1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1.直接控股股东：是指其出资额占有限责任公司资本总额百分之五十以上或者其持有</w:t>
      </w:r>
      <w:r>
        <w:rPr>
          <w:rFonts w:ascii="宋体" w:hAnsi="宋体" w:eastAsia="宋体" w:cs="宋体"/>
          <w:color w:val="auto"/>
          <w:sz w:val="24"/>
          <w:szCs w:val="24"/>
          <w:highlight w:val="none"/>
        </w:rPr>
        <w:t>的股份占股份有限公司股份总额百分之五十以上的股东；出</w:t>
      </w:r>
      <w:r>
        <w:rPr>
          <w:rFonts w:ascii="宋体" w:hAnsi="宋体" w:eastAsia="宋体" w:cs="宋体"/>
          <w:color w:val="auto"/>
          <w:spacing w:val="-1"/>
          <w:sz w:val="24"/>
          <w:szCs w:val="24"/>
          <w:highlight w:val="none"/>
        </w:rPr>
        <w:t>资额或者持有股份的比例</w:t>
      </w:r>
      <w:r>
        <w:rPr>
          <w:rFonts w:ascii="宋体" w:hAnsi="宋体" w:eastAsia="宋体" w:cs="宋体"/>
          <w:color w:val="auto"/>
          <w:spacing w:val="-2"/>
          <w:sz w:val="24"/>
          <w:szCs w:val="24"/>
          <w:highlight w:val="none"/>
        </w:rPr>
        <w:t>虽然不足百分之五十，但依其出资额或者持有的股份所享有的表决权已足以对股东会、</w:t>
      </w:r>
      <w:r>
        <w:rPr>
          <w:rFonts w:ascii="宋体" w:hAnsi="宋体" w:eastAsia="宋体" w:cs="宋体"/>
          <w:color w:val="auto"/>
          <w:spacing w:val="-3"/>
          <w:sz w:val="24"/>
          <w:szCs w:val="24"/>
          <w:highlight w:val="none"/>
        </w:rPr>
        <w:t>股东大会的决议产生重大影响的股东。</w:t>
      </w:r>
    </w:p>
    <w:p w14:paraId="4B1FAC72">
      <w:pPr>
        <w:spacing w:before="184" w:line="289" w:lineRule="auto"/>
        <w:ind w:left="136" w:right="481"/>
        <w:rPr>
          <w:rFonts w:ascii="宋体" w:hAnsi="宋体" w:eastAsia="宋体" w:cs="宋体"/>
          <w:color w:val="auto"/>
          <w:sz w:val="24"/>
          <w:szCs w:val="24"/>
          <w:highlight w:val="none"/>
        </w:rPr>
      </w:pPr>
      <w:r>
        <w:rPr>
          <w:rFonts w:ascii="宋体" w:hAnsi="宋体" w:eastAsia="宋体" w:cs="宋体"/>
          <w:color w:val="auto"/>
          <w:sz w:val="24"/>
          <w:szCs w:val="24"/>
          <w:highlight w:val="none"/>
        </w:rPr>
        <w:t>2.本表所指的控股关系仅限于直接控股关系，不包括</w:t>
      </w:r>
      <w:r>
        <w:rPr>
          <w:rFonts w:ascii="宋体" w:hAnsi="宋体" w:eastAsia="宋体" w:cs="宋体"/>
          <w:color w:val="auto"/>
          <w:spacing w:val="-1"/>
          <w:sz w:val="24"/>
          <w:szCs w:val="24"/>
          <w:highlight w:val="none"/>
        </w:rPr>
        <w:t>间接的控股关系。公司实际控制</w:t>
      </w:r>
      <w:r>
        <w:rPr>
          <w:rFonts w:ascii="宋体" w:hAnsi="宋体" w:eastAsia="宋体" w:cs="宋体"/>
          <w:color w:val="auto"/>
          <w:spacing w:val="-2"/>
          <w:sz w:val="24"/>
          <w:szCs w:val="24"/>
          <w:highlight w:val="none"/>
        </w:rPr>
        <w:t>人与公司之间的关系不属于本表所指的直接控股关系。</w:t>
      </w:r>
    </w:p>
    <w:p w14:paraId="52996DD6">
      <w:pPr>
        <w:spacing w:before="181" w:line="219" w:lineRule="auto"/>
        <w:ind w:left="138"/>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3.供应商不存在直接控股股东的，则在“</w:t>
      </w:r>
      <w:r>
        <w:rPr>
          <w:rFonts w:ascii="宋体" w:hAnsi="宋体" w:eastAsia="宋体" w:cs="宋体"/>
          <w:b/>
          <w:bCs/>
          <w:color w:val="auto"/>
          <w:spacing w:val="-2"/>
          <w:sz w:val="24"/>
          <w:szCs w:val="24"/>
          <w:highlight w:val="none"/>
        </w:rPr>
        <w:t>直接控股股东名称</w:t>
      </w:r>
      <w:r>
        <w:rPr>
          <w:rFonts w:ascii="宋体" w:hAnsi="宋体" w:eastAsia="宋体" w:cs="宋体"/>
          <w:color w:val="auto"/>
          <w:spacing w:val="-2"/>
          <w:sz w:val="24"/>
          <w:szCs w:val="24"/>
          <w:highlight w:val="none"/>
        </w:rPr>
        <w:t>”中填“无”。</w:t>
      </w:r>
    </w:p>
    <w:p w14:paraId="2189420D">
      <w:pPr>
        <w:pStyle w:val="4"/>
        <w:spacing w:line="249" w:lineRule="auto"/>
        <w:rPr>
          <w:color w:val="auto"/>
          <w:highlight w:val="none"/>
        </w:rPr>
      </w:pPr>
    </w:p>
    <w:p w14:paraId="0551C25A">
      <w:pPr>
        <w:pStyle w:val="4"/>
        <w:spacing w:line="249" w:lineRule="auto"/>
        <w:rPr>
          <w:color w:val="auto"/>
          <w:highlight w:val="none"/>
        </w:rPr>
      </w:pPr>
    </w:p>
    <w:p w14:paraId="6583B59B">
      <w:pPr>
        <w:pStyle w:val="4"/>
        <w:spacing w:line="249" w:lineRule="auto"/>
        <w:rPr>
          <w:color w:val="auto"/>
          <w:highlight w:val="none"/>
        </w:rPr>
      </w:pPr>
    </w:p>
    <w:p w14:paraId="3CB40755">
      <w:pPr>
        <w:pStyle w:val="4"/>
        <w:spacing w:line="249" w:lineRule="auto"/>
        <w:rPr>
          <w:color w:val="auto"/>
          <w:highlight w:val="none"/>
        </w:rPr>
      </w:pPr>
    </w:p>
    <w:p w14:paraId="6D604E36">
      <w:pPr>
        <w:pStyle w:val="4"/>
        <w:spacing w:line="249" w:lineRule="auto"/>
        <w:rPr>
          <w:color w:val="auto"/>
          <w:highlight w:val="none"/>
        </w:rPr>
      </w:pPr>
    </w:p>
    <w:p w14:paraId="406F24CD">
      <w:pPr>
        <w:pStyle w:val="4"/>
        <w:spacing w:line="249" w:lineRule="auto"/>
        <w:rPr>
          <w:color w:val="auto"/>
          <w:highlight w:val="none"/>
        </w:rPr>
      </w:pPr>
    </w:p>
    <w:p w14:paraId="76671FCF">
      <w:pPr>
        <w:spacing w:before="79" w:line="220" w:lineRule="auto"/>
        <w:ind w:left="1692"/>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法定代表人或者委托代理人（签字或者电子签名</w:t>
      </w:r>
      <w:r>
        <w:rPr>
          <w:rFonts w:ascii="宋体" w:hAnsi="宋体" w:eastAsia="宋体" w:cs="宋体"/>
          <w:color w:val="auto"/>
          <w:spacing w:val="-1"/>
          <w:sz w:val="24"/>
          <w:szCs w:val="24"/>
          <w:highlight w:val="none"/>
        </w:rPr>
        <w:t>）：</w:t>
      </w:r>
    </w:p>
    <w:p w14:paraId="17AC4A54">
      <w:pPr>
        <w:spacing w:before="183" w:line="219" w:lineRule="auto"/>
        <w:ind w:left="4423"/>
        <w:rPr>
          <w:rFonts w:ascii="宋体" w:hAnsi="宋体" w:eastAsia="宋体" w:cs="宋体"/>
          <w:color w:val="auto"/>
          <w:sz w:val="24"/>
          <w:szCs w:val="24"/>
          <w:highlight w:val="none"/>
        </w:rPr>
      </w:pPr>
      <w:r>
        <w:rPr>
          <w:rFonts w:ascii="宋体" w:hAnsi="宋体" w:eastAsia="宋体" w:cs="宋体"/>
          <w:color w:val="auto"/>
          <w:spacing w:val="-6"/>
          <w:sz w:val="24"/>
          <w:szCs w:val="24"/>
          <w:highlight w:val="none"/>
        </w:rPr>
        <w:t>供应商名称（电子签章</w:t>
      </w:r>
      <w:r>
        <w:rPr>
          <w:rFonts w:ascii="宋体" w:hAnsi="宋体" w:eastAsia="宋体" w:cs="宋体"/>
          <w:color w:val="auto"/>
          <w:spacing w:val="-1"/>
          <w:sz w:val="24"/>
          <w:szCs w:val="24"/>
          <w:highlight w:val="none"/>
        </w:rPr>
        <w:t>）：</w:t>
      </w:r>
    </w:p>
    <w:p w14:paraId="626110B6">
      <w:pPr>
        <w:spacing w:before="180" w:line="220" w:lineRule="auto"/>
        <w:ind w:left="4495"/>
        <w:rPr>
          <w:rFonts w:ascii="宋体" w:hAnsi="宋体" w:eastAsia="宋体" w:cs="宋体"/>
          <w:color w:val="auto"/>
          <w:sz w:val="24"/>
          <w:szCs w:val="24"/>
          <w:highlight w:val="none"/>
        </w:rPr>
      </w:pPr>
      <w:r>
        <w:rPr>
          <w:rFonts w:ascii="宋体" w:hAnsi="宋体" w:eastAsia="宋体" w:cs="宋体"/>
          <w:color w:val="auto"/>
          <w:spacing w:val="-13"/>
          <w:sz w:val="24"/>
          <w:szCs w:val="24"/>
          <w:highlight w:val="none"/>
        </w:rPr>
        <w:t>日期：年月日</w:t>
      </w:r>
    </w:p>
    <w:p w14:paraId="18298EE8">
      <w:pPr>
        <w:spacing w:line="220" w:lineRule="auto"/>
        <w:rPr>
          <w:rFonts w:ascii="宋体" w:hAnsi="宋体" w:eastAsia="宋体" w:cs="宋体"/>
          <w:color w:val="auto"/>
          <w:sz w:val="24"/>
          <w:szCs w:val="24"/>
          <w:highlight w:val="none"/>
        </w:rPr>
        <w:sectPr>
          <w:footerReference r:id="rId35" w:type="default"/>
          <w:pgSz w:w="11907" w:h="16839"/>
          <w:pgMar w:top="1431" w:right="746" w:bottom="1154" w:left="1673" w:header="0" w:footer="954" w:gutter="0"/>
          <w:cols w:space="720" w:num="1"/>
        </w:sectPr>
      </w:pPr>
    </w:p>
    <w:p w14:paraId="26C438DF">
      <w:pPr>
        <w:pStyle w:val="4"/>
        <w:spacing w:line="244" w:lineRule="auto"/>
        <w:rPr>
          <w:color w:val="auto"/>
          <w:highlight w:val="none"/>
        </w:rPr>
      </w:pPr>
    </w:p>
    <w:p w14:paraId="56E5C1FC">
      <w:pPr>
        <w:pStyle w:val="4"/>
        <w:spacing w:line="245" w:lineRule="auto"/>
        <w:rPr>
          <w:color w:val="auto"/>
          <w:highlight w:val="none"/>
        </w:rPr>
      </w:pPr>
    </w:p>
    <w:p w14:paraId="3B15B7F8">
      <w:pPr>
        <w:pStyle w:val="4"/>
        <w:spacing w:line="245" w:lineRule="auto"/>
        <w:rPr>
          <w:color w:val="auto"/>
          <w:highlight w:val="none"/>
        </w:rPr>
      </w:pPr>
    </w:p>
    <w:p w14:paraId="1F019EEB">
      <w:pPr>
        <w:spacing w:before="101" w:line="224" w:lineRule="auto"/>
        <w:ind w:left="2698"/>
        <w:rPr>
          <w:rFonts w:ascii="宋体" w:hAnsi="宋体" w:eastAsia="宋体" w:cs="宋体"/>
          <w:color w:val="auto"/>
          <w:sz w:val="31"/>
          <w:szCs w:val="31"/>
          <w:highlight w:val="none"/>
        </w:rPr>
      </w:pPr>
      <w:r>
        <w:rPr>
          <w:rFonts w:ascii="宋体" w:hAnsi="宋体" w:eastAsia="宋体" w:cs="宋体"/>
          <w:b/>
          <w:bCs/>
          <w:color w:val="auto"/>
          <w:spacing w:val="6"/>
          <w:sz w:val="31"/>
          <w:szCs w:val="31"/>
          <w:highlight w:val="none"/>
        </w:rPr>
        <w:t>供应商直接管理关系信息表</w:t>
      </w:r>
    </w:p>
    <w:p w14:paraId="4B21DCE0">
      <w:pPr>
        <w:spacing w:line="199" w:lineRule="exact"/>
        <w:rPr>
          <w:color w:val="auto"/>
          <w:highlight w:val="none"/>
        </w:rPr>
      </w:pPr>
    </w:p>
    <w:tbl>
      <w:tblPr>
        <w:tblStyle w:val="11"/>
        <w:tblW w:w="96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10"/>
        <w:gridCol w:w="2658"/>
        <w:gridCol w:w="3922"/>
        <w:gridCol w:w="2068"/>
      </w:tblGrid>
      <w:tr w14:paraId="295696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trPr>
        <w:tc>
          <w:tcPr>
            <w:tcW w:w="1010" w:type="dxa"/>
            <w:shd w:val="clear" w:color="auto" w:fill="EAE3D8"/>
            <w:vAlign w:val="top"/>
          </w:tcPr>
          <w:p w14:paraId="5A386027">
            <w:pPr>
              <w:pStyle w:val="12"/>
              <w:spacing w:before="160" w:line="221" w:lineRule="auto"/>
              <w:ind w:left="269"/>
              <w:rPr>
                <w:color w:val="auto"/>
                <w:sz w:val="24"/>
                <w:szCs w:val="24"/>
                <w:highlight w:val="none"/>
              </w:rPr>
            </w:pPr>
            <w:r>
              <w:rPr>
                <w:b/>
                <w:bCs/>
                <w:color w:val="auto"/>
                <w:spacing w:val="-5"/>
                <w:sz w:val="24"/>
                <w:szCs w:val="24"/>
                <w:highlight w:val="none"/>
              </w:rPr>
              <w:t>序号</w:t>
            </w:r>
          </w:p>
        </w:tc>
        <w:tc>
          <w:tcPr>
            <w:tcW w:w="2658" w:type="dxa"/>
            <w:shd w:val="clear" w:color="auto" w:fill="EAE3D8"/>
            <w:vAlign w:val="top"/>
          </w:tcPr>
          <w:p w14:paraId="5E341E78">
            <w:pPr>
              <w:pStyle w:val="12"/>
              <w:spacing w:before="160" w:line="220" w:lineRule="auto"/>
              <w:ind w:left="131"/>
              <w:rPr>
                <w:color w:val="auto"/>
                <w:sz w:val="24"/>
                <w:szCs w:val="24"/>
                <w:highlight w:val="none"/>
              </w:rPr>
            </w:pPr>
            <w:r>
              <w:rPr>
                <w:b/>
                <w:bCs/>
                <w:color w:val="auto"/>
                <w:spacing w:val="-3"/>
                <w:sz w:val="24"/>
                <w:szCs w:val="24"/>
                <w:highlight w:val="none"/>
              </w:rPr>
              <w:t>直接管理关系单位名称</w:t>
            </w:r>
          </w:p>
        </w:tc>
        <w:tc>
          <w:tcPr>
            <w:tcW w:w="3922" w:type="dxa"/>
            <w:shd w:val="clear" w:color="auto" w:fill="EAE3D8"/>
            <w:vAlign w:val="top"/>
          </w:tcPr>
          <w:p w14:paraId="0CD39578">
            <w:pPr>
              <w:pStyle w:val="12"/>
              <w:spacing w:before="160" w:line="219" w:lineRule="auto"/>
              <w:ind w:left="1008"/>
              <w:rPr>
                <w:color w:val="auto"/>
                <w:sz w:val="24"/>
                <w:szCs w:val="24"/>
                <w:highlight w:val="none"/>
              </w:rPr>
            </w:pPr>
            <w:r>
              <w:rPr>
                <w:b/>
                <w:bCs/>
                <w:color w:val="auto"/>
                <w:spacing w:val="-4"/>
                <w:sz w:val="24"/>
                <w:szCs w:val="24"/>
                <w:highlight w:val="none"/>
              </w:rPr>
              <w:t>统一社会信用代码</w:t>
            </w:r>
          </w:p>
        </w:tc>
        <w:tc>
          <w:tcPr>
            <w:tcW w:w="2068" w:type="dxa"/>
            <w:shd w:val="clear" w:color="auto" w:fill="EAE3D8"/>
            <w:vAlign w:val="top"/>
          </w:tcPr>
          <w:p w14:paraId="05D2234C">
            <w:pPr>
              <w:pStyle w:val="12"/>
              <w:spacing w:before="160" w:line="221" w:lineRule="auto"/>
              <w:ind w:left="799"/>
              <w:rPr>
                <w:color w:val="auto"/>
                <w:sz w:val="24"/>
                <w:szCs w:val="24"/>
                <w:highlight w:val="none"/>
              </w:rPr>
            </w:pPr>
            <w:r>
              <w:rPr>
                <w:b/>
                <w:bCs/>
                <w:color w:val="auto"/>
                <w:spacing w:val="-5"/>
                <w:sz w:val="24"/>
                <w:szCs w:val="24"/>
                <w:highlight w:val="none"/>
              </w:rPr>
              <w:t>备注</w:t>
            </w:r>
          </w:p>
        </w:tc>
      </w:tr>
      <w:tr w14:paraId="51FABF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1" w:hRule="atLeast"/>
        </w:trPr>
        <w:tc>
          <w:tcPr>
            <w:tcW w:w="1010" w:type="dxa"/>
            <w:vAlign w:val="top"/>
          </w:tcPr>
          <w:p w14:paraId="7F0F856E">
            <w:pPr>
              <w:pStyle w:val="12"/>
              <w:spacing w:before="159" w:line="241" w:lineRule="auto"/>
              <w:ind w:left="468"/>
              <w:rPr>
                <w:color w:val="auto"/>
                <w:sz w:val="24"/>
                <w:szCs w:val="24"/>
                <w:highlight w:val="none"/>
              </w:rPr>
            </w:pPr>
            <w:r>
              <w:rPr>
                <w:color w:val="auto"/>
                <w:sz w:val="24"/>
                <w:szCs w:val="24"/>
                <w:highlight w:val="none"/>
              </w:rPr>
              <w:t>1</w:t>
            </w:r>
          </w:p>
        </w:tc>
        <w:tc>
          <w:tcPr>
            <w:tcW w:w="2658" w:type="dxa"/>
            <w:vAlign w:val="top"/>
          </w:tcPr>
          <w:p w14:paraId="15C5B394">
            <w:pPr>
              <w:rPr>
                <w:rFonts w:ascii="Arial"/>
                <w:color w:val="auto"/>
                <w:sz w:val="21"/>
                <w:highlight w:val="none"/>
              </w:rPr>
            </w:pPr>
          </w:p>
        </w:tc>
        <w:tc>
          <w:tcPr>
            <w:tcW w:w="3922" w:type="dxa"/>
            <w:vAlign w:val="top"/>
          </w:tcPr>
          <w:p w14:paraId="204FA649">
            <w:pPr>
              <w:rPr>
                <w:rFonts w:ascii="Arial"/>
                <w:color w:val="auto"/>
                <w:sz w:val="21"/>
                <w:highlight w:val="none"/>
              </w:rPr>
            </w:pPr>
          </w:p>
        </w:tc>
        <w:tc>
          <w:tcPr>
            <w:tcW w:w="2068" w:type="dxa"/>
            <w:vAlign w:val="top"/>
          </w:tcPr>
          <w:p w14:paraId="09BFE0E8">
            <w:pPr>
              <w:rPr>
                <w:rFonts w:ascii="Arial"/>
                <w:color w:val="auto"/>
                <w:sz w:val="21"/>
                <w:highlight w:val="none"/>
              </w:rPr>
            </w:pPr>
          </w:p>
        </w:tc>
      </w:tr>
      <w:tr w14:paraId="3F10E7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trPr>
        <w:tc>
          <w:tcPr>
            <w:tcW w:w="1010" w:type="dxa"/>
            <w:vAlign w:val="top"/>
          </w:tcPr>
          <w:p w14:paraId="635F2245">
            <w:pPr>
              <w:pStyle w:val="12"/>
              <w:spacing w:before="158" w:line="241" w:lineRule="auto"/>
              <w:ind w:left="453"/>
              <w:rPr>
                <w:color w:val="auto"/>
                <w:sz w:val="24"/>
                <w:szCs w:val="24"/>
                <w:highlight w:val="none"/>
              </w:rPr>
            </w:pPr>
            <w:r>
              <w:rPr>
                <w:color w:val="auto"/>
                <w:sz w:val="24"/>
                <w:szCs w:val="24"/>
                <w:highlight w:val="none"/>
              </w:rPr>
              <w:t>2</w:t>
            </w:r>
          </w:p>
        </w:tc>
        <w:tc>
          <w:tcPr>
            <w:tcW w:w="2658" w:type="dxa"/>
            <w:vAlign w:val="top"/>
          </w:tcPr>
          <w:p w14:paraId="41753985">
            <w:pPr>
              <w:rPr>
                <w:rFonts w:ascii="Arial"/>
                <w:color w:val="auto"/>
                <w:sz w:val="21"/>
                <w:highlight w:val="none"/>
              </w:rPr>
            </w:pPr>
          </w:p>
        </w:tc>
        <w:tc>
          <w:tcPr>
            <w:tcW w:w="3922" w:type="dxa"/>
            <w:vAlign w:val="top"/>
          </w:tcPr>
          <w:p w14:paraId="28648F0D">
            <w:pPr>
              <w:rPr>
                <w:rFonts w:ascii="Arial"/>
                <w:color w:val="auto"/>
                <w:sz w:val="21"/>
                <w:highlight w:val="none"/>
              </w:rPr>
            </w:pPr>
          </w:p>
        </w:tc>
        <w:tc>
          <w:tcPr>
            <w:tcW w:w="2068" w:type="dxa"/>
            <w:vAlign w:val="top"/>
          </w:tcPr>
          <w:p w14:paraId="6B0EE45B">
            <w:pPr>
              <w:rPr>
                <w:rFonts w:ascii="Arial"/>
                <w:color w:val="auto"/>
                <w:sz w:val="21"/>
                <w:highlight w:val="none"/>
              </w:rPr>
            </w:pPr>
          </w:p>
        </w:tc>
      </w:tr>
      <w:tr w14:paraId="793F5F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1010" w:type="dxa"/>
            <w:vAlign w:val="top"/>
          </w:tcPr>
          <w:p w14:paraId="63D3E3AE">
            <w:pPr>
              <w:pStyle w:val="12"/>
              <w:spacing w:before="159"/>
              <w:ind w:left="455"/>
              <w:rPr>
                <w:color w:val="auto"/>
                <w:sz w:val="24"/>
                <w:szCs w:val="24"/>
                <w:highlight w:val="none"/>
              </w:rPr>
            </w:pPr>
            <w:r>
              <w:rPr>
                <w:color w:val="auto"/>
                <w:sz w:val="24"/>
                <w:szCs w:val="24"/>
                <w:highlight w:val="none"/>
              </w:rPr>
              <w:t>3</w:t>
            </w:r>
          </w:p>
        </w:tc>
        <w:tc>
          <w:tcPr>
            <w:tcW w:w="2658" w:type="dxa"/>
            <w:vAlign w:val="top"/>
          </w:tcPr>
          <w:p w14:paraId="0E15FECC">
            <w:pPr>
              <w:rPr>
                <w:rFonts w:ascii="Arial"/>
                <w:color w:val="auto"/>
                <w:sz w:val="21"/>
                <w:highlight w:val="none"/>
              </w:rPr>
            </w:pPr>
          </w:p>
        </w:tc>
        <w:tc>
          <w:tcPr>
            <w:tcW w:w="3922" w:type="dxa"/>
            <w:vAlign w:val="top"/>
          </w:tcPr>
          <w:p w14:paraId="13C2F6B2">
            <w:pPr>
              <w:rPr>
                <w:rFonts w:ascii="Arial"/>
                <w:color w:val="auto"/>
                <w:sz w:val="21"/>
                <w:highlight w:val="none"/>
              </w:rPr>
            </w:pPr>
          </w:p>
        </w:tc>
        <w:tc>
          <w:tcPr>
            <w:tcW w:w="2068" w:type="dxa"/>
            <w:vAlign w:val="top"/>
          </w:tcPr>
          <w:p w14:paraId="3679CD6A">
            <w:pPr>
              <w:rPr>
                <w:rFonts w:ascii="Arial"/>
                <w:color w:val="auto"/>
                <w:sz w:val="21"/>
                <w:highlight w:val="none"/>
              </w:rPr>
            </w:pPr>
          </w:p>
        </w:tc>
      </w:tr>
      <w:tr w14:paraId="023603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1010" w:type="dxa"/>
            <w:vAlign w:val="top"/>
          </w:tcPr>
          <w:p w14:paraId="20941E3B">
            <w:pPr>
              <w:pStyle w:val="12"/>
              <w:spacing w:before="162" w:line="378" w:lineRule="exact"/>
              <w:ind w:left="285"/>
              <w:rPr>
                <w:color w:val="auto"/>
                <w:sz w:val="24"/>
                <w:szCs w:val="24"/>
                <w:highlight w:val="none"/>
              </w:rPr>
            </w:pPr>
            <w:r>
              <w:rPr>
                <w:color w:val="auto"/>
                <w:spacing w:val="-7"/>
                <w:position w:val="3"/>
                <w:sz w:val="24"/>
                <w:szCs w:val="24"/>
                <w:highlight w:val="none"/>
              </w:rPr>
              <w:t>……</w:t>
            </w:r>
          </w:p>
        </w:tc>
        <w:tc>
          <w:tcPr>
            <w:tcW w:w="2658" w:type="dxa"/>
            <w:vAlign w:val="top"/>
          </w:tcPr>
          <w:p w14:paraId="1A896438">
            <w:pPr>
              <w:rPr>
                <w:rFonts w:ascii="Arial"/>
                <w:color w:val="auto"/>
                <w:sz w:val="21"/>
                <w:highlight w:val="none"/>
              </w:rPr>
            </w:pPr>
          </w:p>
        </w:tc>
        <w:tc>
          <w:tcPr>
            <w:tcW w:w="3922" w:type="dxa"/>
            <w:vAlign w:val="top"/>
          </w:tcPr>
          <w:p w14:paraId="1923D469">
            <w:pPr>
              <w:rPr>
                <w:rFonts w:ascii="Arial"/>
                <w:color w:val="auto"/>
                <w:sz w:val="21"/>
                <w:highlight w:val="none"/>
              </w:rPr>
            </w:pPr>
          </w:p>
        </w:tc>
        <w:tc>
          <w:tcPr>
            <w:tcW w:w="2068" w:type="dxa"/>
            <w:vAlign w:val="top"/>
          </w:tcPr>
          <w:p w14:paraId="58AC10DD">
            <w:pPr>
              <w:rPr>
                <w:rFonts w:ascii="Arial"/>
                <w:color w:val="auto"/>
                <w:sz w:val="21"/>
                <w:highlight w:val="none"/>
              </w:rPr>
            </w:pPr>
          </w:p>
        </w:tc>
      </w:tr>
    </w:tbl>
    <w:p w14:paraId="75FBC62B">
      <w:pPr>
        <w:spacing w:before="36" w:line="224" w:lineRule="auto"/>
        <w:ind w:left="134"/>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注：</w:t>
      </w:r>
    </w:p>
    <w:p w14:paraId="2CBFCB17">
      <w:pPr>
        <w:spacing w:before="177" w:line="289" w:lineRule="auto"/>
        <w:ind w:left="138" w:right="496" w:firstLine="493"/>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1.管理关系：是指不具有出资持股关系的其他单位之间存在的管理与被管理关系，如一些上下级关系的事业单位和团体组织。</w:t>
      </w:r>
    </w:p>
    <w:p w14:paraId="19D256FD">
      <w:pPr>
        <w:spacing w:before="182" w:line="219" w:lineRule="auto"/>
        <w:ind w:left="616"/>
        <w:rPr>
          <w:rFonts w:ascii="宋体" w:hAnsi="宋体" w:eastAsia="宋体" w:cs="宋体"/>
          <w:color w:val="auto"/>
          <w:sz w:val="24"/>
          <w:szCs w:val="24"/>
          <w:highlight w:val="none"/>
        </w:rPr>
      </w:pPr>
      <w:r>
        <w:rPr>
          <w:rFonts w:ascii="宋体" w:hAnsi="宋体" w:eastAsia="宋体" w:cs="宋体"/>
          <w:color w:val="auto"/>
          <w:spacing w:val="-12"/>
          <w:sz w:val="24"/>
          <w:szCs w:val="24"/>
          <w:highlight w:val="none"/>
        </w:rPr>
        <w:t>2.本表所指的管理关系仅限于直接管理关系，不包括间接的管理关系。</w:t>
      </w:r>
    </w:p>
    <w:p w14:paraId="343E881E">
      <w:pPr>
        <w:spacing w:before="181" w:line="219" w:lineRule="auto"/>
        <w:ind w:left="618"/>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3.供应商不存在直接管理关系的，则在“</w:t>
      </w:r>
      <w:r>
        <w:rPr>
          <w:rFonts w:ascii="宋体" w:hAnsi="宋体" w:eastAsia="宋体" w:cs="宋体"/>
          <w:b/>
          <w:bCs/>
          <w:color w:val="auto"/>
          <w:spacing w:val="-2"/>
          <w:sz w:val="24"/>
          <w:szCs w:val="24"/>
          <w:highlight w:val="none"/>
        </w:rPr>
        <w:t>直接管理关系单位名称</w:t>
      </w:r>
      <w:r>
        <w:rPr>
          <w:rFonts w:ascii="宋体" w:hAnsi="宋体" w:eastAsia="宋体" w:cs="宋体"/>
          <w:color w:val="auto"/>
          <w:spacing w:val="-2"/>
          <w:sz w:val="24"/>
          <w:szCs w:val="24"/>
          <w:highlight w:val="none"/>
        </w:rPr>
        <w:t>”中填“无”。</w:t>
      </w:r>
    </w:p>
    <w:p w14:paraId="5B026CFA">
      <w:pPr>
        <w:pStyle w:val="4"/>
        <w:spacing w:line="272" w:lineRule="auto"/>
        <w:rPr>
          <w:color w:val="auto"/>
          <w:highlight w:val="none"/>
        </w:rPr>
      </w:pPr>
    </w:p>
    <w:p w14:paraId="70D16ACA">
      <w:pPr>
        <w:pStyle w:val="4"/>
        <w:spacing w:line="272" w:lineRule="auto"/>
        <w:rPr>
          <w:color w:val="auto"/>
          <w:highlight w:val="none"/>
        </w:rPr>
      </w:pPr>
    </w:p>
    <w:p w14:paraId="0D24C453">
      <w:pPr>
        <w:pStyle w:val="4"/>
        <w:spacing w:line="272" w:lineRule="auto"/>
        <w:rPr>
          <w:color w:val="auto"/>
          <w:highlight w:val="none"/>
        </w:rPr>
      </w:pPr>
    </w:p>
    <w:p w14:paraId="49C52C23">
      <w:pPr>
        <w:pStyle w:val="4"/>
        <w:spacing w:line="272" w:lineRule="auto"/>
        <w:rPr>
          <w:color w:val="auto"/>
          <w:highlight w:val="none"/>
        </w:rPr>
      </w:pPr>
    </w:p>
    <w:p w14:paraId="4C109FFE">
      <w:pPr>
        <w:pStyle w:val="4"/>
        <w:spacing w:line="273" w:lineRule="auto"/>
        <w:rPr>
          <w:color w:val="auto"/>
          <w:highlight w:val="none"/>
        </w:rPr>
      </w:pPr>
    </w:p>
    <w:p w14:paraId="69F58EE0">
      <w:pPr>
        <w:pStyle w:val="4"/>
        <w:spacing w:line="273" w:lineRule="auto"/>
        <w:rPr>
          <w:color w:val="auto"/>
          <w:highlight w:val="none"/>
        </w:rPr>
      </w:pPr>
    </w:p>
    <w:p w14:paraId="4FCEDA39">
      <w:pPr>
        <w:pStyle w:val="4"/>
        <w:spacing w:line="273" w:lineRule="auto"/>
        <w:rPr>
          <w:color w:val="auto"/>
          <w:highlight w:val="none"/>
        </w:rPr>
      </w:pPr>
    </w:p>
    <w:p w14:paraId="7CCAE9EC">
      <w:pPr>
        <w:spacing w:before="79" w:line="220" w:lineRule="auto"/>
        <w:ind w:left="1572"/>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法定代表人或者委托代理人（签字或者电子签名</w:t>
      </w:r>
      <w:r>
        <w:rPr>
          <w:rFonts w:ascii="宋体" w:hAnsi="宋体" w:eastAsia="宋体" w:cs="宋体"/>
          <w:color w:val="auto"/>
          <w:spacing w:val="-1"/>
          <w:sz w:val="24"/>
          <w:szCs w:val="24"/>
          <w:highlight w:val="none"/>
        </w:rPr>
        <w:t>）：</w:t>
      </w:r>
    </w:p>
    <w:p w14:paraId="4F6BFF49">
      <w:pPr>
        <w:spacing w:before="182" w:line="219" w:lineRule="auto"/>
        <w:ind w:left="4183"/>
        <w:rPr>
          <w:rFonts w:ascii="宋体" w:hAnsi="宋体" w:eastAsia="宋体" w:cs="宋体"/>
          <w:color w:val="auto"/>
          <w:sz w:val="24"/>
          <w:szCs w:val="24"/>
          <w:highlight w:val="none"/>
        </w:rPr>
      </w:pPr>
      <w:r>
        <w:rPr>
          <w:rFonts w:ascii="宋体" w:hAnsi="宋体" w:eastAsia="宋体" w:cs="宋体"/>
          <w:color w:val="auto"/>
          <w:spacing w:val="-6"/>
          <w:sz w:val="24"/>
          <w:szCs w:val="24"/>
          <w:highlight w:val="none"/>
        </w:rPr>
        <w:t>供应商名称（电子签章</w:t>
      </w:r>
      <w:r>
        <w:rPr>
          <w:rFonts w:ascii="宋体" w:hAnsi="宋体" w:eastAsia="宋体" w:cs="宋体"/>
          <w:color w:val="auto"/>
          <w:spacing w:val="-1"/>
          <w:sz w:val="24"/>
          <w:szCs w:val="24"/>
          <w:highlight w:val="none"/>
        </w:rPr>
        <w:t>）：</w:t>
      </w:r>
    </w:p>
    <w:p w14:paraId="571E13E3">
      <w:pPr>
        <w:spacing w:before="180" w:line="220" w:lineRule="auto"/>
        <w:ind w:left="4255"/>
        <w:rPr>
          <w:rFonts w:ascii="宋体" w:hAnsi="宋体" w:eastAsia="宋体" w:cs="宋体"/>
          <w:color w:val="auto"/>
          <w:sz w:val="24"/>
          <w:szCs w:val="24"/>
          <w:highlight w:val="none"/>
        </w:rPr>
      </w:pPr>
      <w:r>
        <w:rPr>
          <w:rFonts w:ascii="宋体" w:hAnsi="宋体" w:eastAsia="宋体" w:cs="宋体"/>
          <w:color w:val="auto"/>
          <w:spacing w:val="-13"/>
          <w:sz w:val="24"/>
          <w:szCs w:val="24"/>
          <w:highlight w:val="none"/>
        </w:rPr>
        <w:t>日期：年月日</w:t>
      </w:r>
    </w:p>
    <w:p w14:paraId="7D9AB108">
      <w:pPr>
        <w:spacing w:line="220" w:lineRule="auto"/>
        <w:rPr>
          <w:rFonts w:ascii="宋体" w:hAnsi="宋体" w:eastAsia="宋体" w:cs="宋体"/>
          <w:color w:val="auto"/>
          <w:sz w:val="24"/>
          <w:szCs w:val="24"/>
          <w:highlight w:val="none"/>
        </w:rPr>
        <w:sectPr>
          <w:footerReference r:id="rId36" w:type="default"/>
          <w:pgSz w:w="11907" w:h="16839"/>
          <w:pgMar w:top="1425" w:right="569" w:bottom="1154" w:left="1673" w:header="0" w:footer="954" w:gutter="0"/>
          <w:cols w:space="720" w:num="1"/>
        </w:sectPr>
      </w:pPr>
    </w:p>
    <w:p w14:paraId="4ED9F985">
      <w:pPr>
        <w:pStyle w:val="4"/>
        <w:spacing w:line="396" w:lineRule="auto"/>
        <w:rPr>
          <w:color w:val="auto"/>
          <w:highlight w:val="none"/>
        </w:rPr>
      </w:pPr>
    </w:p>
    <w:p w14:paraId="36E0B6A7">
      <w:pPr>
        <w:spacing w:before="78" w:line="220" w:lineRule="auto"/>
        <w:ind w:left="167"/>
        <w:rPr>
          <w:rFonts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lang w:val="en-US" w:eastAsia="zh-CN"/>
        </w:rPr>
        <w:t>4</w:t>
      </w:r>
      <w:r>
        <w:rPr>
          <w:rFonts w:ascii="宋体" w:hAnsi="宋体" w:eastAsia="宋体" w:cs="宋体"/>
          <w:b/>
          <w:bCs/>
          <w:color w:val="auto"/>
          <w:spacing w:val="-5"/>
          <w:sz w:val="24"/>
          <w:szCs w:val="24"/>
          <w:highlight w:val="none"/>
        </w:rPr>
        <w:t>.竞标声明</w:t>
      </w:r>
    </w:p>
    <w:p w14:paraId="2CDF0465">
      <w:pPr>
        <w:pStyle w:val="4"/>
        <w:rPr>
          <w:color w:val="auto"/>
          <w:highlight w:val="none"/>
        </w:rPr>
      </w:pPr>
    </w:p>
    <w:p w14:paraId="127EFA21">
      <w:pPr>
        <w:spacing w:before="101" w:line="225" w:lineRule="auto"/>
        <w:ind w:left="3873"/>
        <w:rPr>
          <w:rFonts w:ascii="宋体" w:hAnsi="宋体" w:eastAsia="宋体" w:cs="宋体"/>
          <w:color w:val="auto"/>
          <w:sz w:val="31"/>
          <w:szCs w:val="31"/>
          <w:highlight w:val="none"/>
        </w:rPr>
      </w:pPr>
      <w:r>
        <w:rPr>
          <w:rFonts w:ascii="宋体" w:hAnsi="宋体" w:eastAsia="宋体" w:cs="宋体"/>
          <w:b/>
          <w:bCs/>
          <w:color w:val="auto"/>
          <w:spacing w:val="3"/>
          <w:sz w:val="31"/>
          <w:szCs w:val="31"/>
          <w:highlight w:val="none"/>
        </w:rPr>
        <w:t>竞标声明</w:t>
      </w:r>
    </w:p>
    <w:p w14:paraId="24507F9E">
      <w:pPr>
        <w:spacing w:before="313" w:line="219" w:lineRule="auto"/>
        <w:ind w:left="2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致</w:t>
      </w:r>
      <w:r>
        <w:rPr>
          <w:rFonts w:ascii="宋体" w:hAnsi="宋体" w:eastAsia="宋体" w:cs="宋体"/>
          <w:color w:val="auto"/>
          <w:spacing w:val="-2"/>
          <w:sz w:val="24"/>
          <w:szCs w:val="24"/>
          <w:highlight w:val="none"/>
        </w:rPr>
        <w:t>：</w:t>
      </w:r>
      <w:r>
        <w:rPr>
          <w:rFonts w:ascii="宋体" w:hAnsi="宋体" w:eastAsia="宋体" w:cs="宋体"/>
          <w:color w:val="auto"/>
          <w:spacing w:val="-2"/>
          <w:sz w:val="24"/>
          <w:szCs w:val="24"/>
          <w:highlight w:val="none"/>
          <w:u w:val="single" w:color="auto"/>
        </w:rPr>
        <w:t>（</w:t>
      </w:r>
      <w:r>
        <w:rPr>
          <w:rFonts w:ascii="宋体" w:hAnsi="宋体" w:eastAsia="宋体" w:cs="宋体"/>
          <w:color w:val="auto"/>
          <w:spacing w:val="-1"/>
          <w:sz w:val="24"/>
          <w:szCs w:val="24"/>
          <w:highlight w:val="none"/>
          <w:u w:val="single" w:color="auto"/>
        </w:rPr>
        <w:t>采购人名称</w:t>
      </w:r>
      <w:r>
        <w:rPr>
          <w:rFonts w:ascii="宋体" w:hAnsi="宋体" w:eastAsia="宋体" w:cs="宋体"/>
          <w:color w:val="auto"/>
          <w:spacing w:val="-2"/>
          <w:sz w:val="24"/>
          <w:szCs w:val="24"/>
          <w:highlight w:val="none"/>
          <w:u w:val="single" w:color="auto"/>
        </w:rPr>
        <w:t>）</w:t>
      </w:r>
      <w:r>
        <w:rPr>
          <w:rFonts w:ascii="宋体" w:hAnsi="宋体" w:eastAsia="宋体" w:cs="宋体"/>
          <w:color w:val="auto"/>
          <w:spacing w:val="-2"/>
          <w:sz w:val="24"/>
          <w:szCs w:val="24"/>
          <w:highlight w:val="none"/>
        </w:rPr>
        <w:t>：</w:t>
      </w:r>
    </w:p>
    <w:p w14:paraId="635197ED">
      <w:pPr>
        <w:tabs>
          <w:tab w:val="left" w:pos="627"/>
        </w:tabs>
        <w:spacing w:before="183" w:line="219" w:lineRule="auto"/>
        <w:ind w:left="492"/>
        <w:rPr>
          <w:rFonts w:ascii="宋体" w:hAnsi="宋体" w:eastAsia="宋体" w:cs="宋体"/>
          <w:color w:val="auto"/>
          <w:sz w:val="24"/>
          <w:szCs w:val="24"/>
          <w:highlight w:val="none"/>
        </w:rPr>
      </w:pPr>
      <w:r>
        <w:rPr>
          <w:rFonts w:ascii="宋体" w:hAnsi="宋体" w:eastAsia="宋体" w:cs="宋体"/>
          <w:color w:val="auto"/>
          <w:sz w:val="24"/>
          <w:szCs w:val="24"/>
          <w:highlight w:val="none"/>
          <w:u w:val="single" w:color="auto"/>
        </w:rPr>
        <w:tab/>
      </w:r>
      <w:r>
        <w:rPr>
          <w:rFonts w:ascii="宋体" w:hAnsi="宋体" w:eastAsia="宋体" w:cs="宋体"/>
          <w:color w:val="auto"/>
          <w:spacing w:val="-3"/>
          <w:sz w:val="24"/>
          <w:szCs w:val="24"/>
          <w:highlight w:val="none"/>
          <w:u w:val="single" w:color="auto"/>
        </w:rPr>
        <w:t>（供应商名称）</w:t>
      </w:r>
      <w:r>
        <w:rPr>
          <w:rFonts w:ascii="宋体" w:hAnsi="宋体" w:eastAsia="宋体" w:cs="宋体"/>
          <w:color w:val="auto"/>
          <w:spacing w:val="-3"/>
          <w:sz w:val="24"/>
          <w:szCs w:val="24"/>
          <w:highlight w:val="none"/>
        </w:rPr>
        <w:t>系中华人民共和国合法供应商，经营地址</w:t>
      </w:r>
      <w:r>
        <w:rPr>
          <w:rFonts w:ascii="宋体" w:hAnsi="宋体" w:eastAsia="宋体" w:cs="宋体"/>
          <w:color w:val="auto"/>
          <w:spacing w:val="-4"/>
          <w:sz w:val="24"/>
          <w:szCs w:val="24"/>
          <w:highlight w:val="none"/>
        </w:rPr>
        <w:t>。</w:t>
      </w:r>
    </w:p>
    <w:p w14:paraId="01489FA1">
      <w:pPr>
        <w:spacing w:before="181" w:line="359" w:lineRule="auto"/>
        <w:ind w:left="27" w:right="88" w:firstLine="476"/>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我方愿意参加贵方组织的</w:t>
      </w:r>
      <w:r>
        <w:rPr>
          <w:rFonts w:ascii="宋体" w:hAnsi="宋体" w:eastAsia="宋体" w:cs="宋体"/>
          <w:color w:val="auto"/>
          <w:spacing w:val="2"/>
          <w:sz w:val="24"/>
          <w:szCs w:val="24"/>
          <w:highlight w:val="none"/>
          <w:u w:val="single" w:color="auto"/>
        </w:rPr>
        <w:t>（项目名称）</w:t>
      </w:r>
      <w:r>
        <w:rPr>
          <w:rFonts w:ascii="宋体" w:hAnsi="宋体" w:eastAsia="宋体" w:cs="宋体"/>
          <w:color w:val="auto"/>
          <w:spacing w:val="2"/>
          <w:sz w:val="24"/>
          <w:szCs w:val="24"/>
          <w:highlight w:val="none"/>
        </w:rPr>
        <w:t>项目的竞标，为便于贵方公正、择优地确</w:t>
      </w:r>
      <w:r>
        <w:rPr>
          <w:rFonts w:ascii="宋体" w:hAnsi="宋体" w:eastAsia="宋体" w:cs="宋体"/>
          <w:color w:val="auto"/>
          <w:spacing w:val="-2"/>
          <w:sz w:val="24"/>
          <w:szCs w:val="24"/>
          <w:highlight w:val="none"/>
        </w:rPr>
        <w:t>定成交供应商及其竞标产品和服务，我方就本次竞标有关事项郑重声明如</w:t>
      </w:r>
      <w:r>
        <w:rPr>
          <w:rFonts w:ascii="宋体" w:hAnsi="宋体" w:eastAsia="宋体" w:cs="宋体"/>
          <w:color w:val="auto"/>
          <w:spacing w:val="-3"/>
          <w:sz w:val="24"/>
          <w:szCs w:val="24"/>
          <w:highlight w:val="none"/>
        </w:rPr>
        <w:t>下：</w:t>
      </w:r>
    </w:p>
    <w:p w14:paraId="77455663">
      <w:pPr>
        <w:spacing w:line="219" w:lineRule="auto"/>
        <w:ind w:left="519"/>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1.我方向贵方提交的所有响应文件、资料都是准确的和</w:t>
      </w:r>
      <w:r>
        <w:rPr>
          <w:rFonts w:ascii="宋体" w:hAnsi="宋体" w:eastAsia="宋体" w:cs="宋体"/>
          <w:color w:val="auto"/>
          <w:spacing w:val="-3"/>
          <w:sz w:val="24"/>
          <w:szCs w:val="24"/>
          <w:highlight w:val="none"/>
        </w:rPr>
        <w:t>真实的。</w:t>
      </w:r>
    </w:p>
    <w:p w14:paraId="2AB8A402">
      <w:pPr>
        <w:spacing w:before="185" w:line="288" w:lineRule="auto"/>
        <w:ind w:left="23" w:right="93" w:firstLine="48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2.我方不是为本次采购项目提供整体设计、规范编制或者项目管理、监理、检测</w:t>
      </w:r>
      <w:r>
        <w:rPr>
          <w:rFonts w:ascii="宋体" w:hAnsi="宋体" w:eastAsia="宋体" w:cs="宋体"/>
          <w:color w:val="auto"/>
          <w:spacing w:val="-2"/>
          <w:sz w:val="24"/>
          <w:szCs w:val="24"/>
          <w:highlight w:val="none"/>
        </w:rPr>
        <w:t>等服务的供应商。</w:t>
      </w:r>
    </w:p>
    <w:p w14:paraId="0F9BB84B">
      <w:pPr>
        <w:spacing w:before="183" w:line="219" w:lineRule="auto"/>
        <w:ind w:left="506"/>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3.在此，我方宣布同意如下：</w:t>
      </w:r>
    </w:p>
    <w:p w14:paraId="10B6F036">
      <w:pPr>
        <w:spacing w:before="181" w:line="220" w:lineRule="auto"/>
        <w:ind w:left="507"/>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（1）将按磋商文件的约定履行合同责任和义务；</w:t>
      </w:r>
    </w:p>
    <w:p w14:paraId="4460C9D5">
      <w:pPr>
        <w:spacing w:before="182" w:line="218" w:lineRule="auto"/>
        <w:ind w:left="507"/>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（2）已详细审查全部磋商文件，包括澄清或者更正公告（如有</w:t>
      </w:r>
      <w:r>
        <w:rPr>
          <w:rFonts w:ascii="宋体" w:hAnsi="宋体" w:eastAsia="宋体" w:cs="宋体"/>
          <w:color w:val="auto"/>
          <w:spacing w:val="6"/>
          <w:sz w:val="24"/>
          <w:szCs w:val="24"/>
          <w:highlight w:val="none"/>
        </w:rPr>
        <w:t>）；</w:t>
      </w:r>
    </w:p>
    <w:p w14:paraId="0B9BDFB1">
      <w:pPr>
        <w:spacing w:before="184" w:line="219" w:lineRule="auto"/>
        <w:ind w:left="507"/>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（3）同意提供按照贵方可能要求的与磋商有关的一切数据或</w:t>
      </w:r>
      <w:r>
        <w:rPr>
          <w:rFonts w:ascii="宋体" w:hAnsi="宋体" w:eastAsia="宋体" w:cs="宋体"/>
          <w:color w:val="auto"/>
          <w:spacing w:val="-3"/>
          <w:sz w:val="24"/>
          <w:szCs w:val="24"/>
          <w:highlight w:val="none"/>
        </w:rPr>
        <w:t>者资料；</w:t>
      </w:r>
    </w:p>
    <w:p w14:paraId="19B21823">
      <w:pPr>
        <w:spacing w:before="181" w:line="220" w:lineRule="auto"/>
        <w:ind w:left="507"/>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（4）响应磋商文件规定的竞标有效期。</w:t>
      </w:r>
    </w:p>
    <w:p w14:paraId="7D52F5CB">
      <w:pPr>
        <w:spacing w:before="182" w:line="219" w:lineRule="auto"/>
        <w:ind w:left="50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4.我方承诺符合《中华人民共和国政府采购法》第二十二条</w:t>
      </w:r>
      <w:r>
        <w:rPr>
          <w:rFonts w:ascii="宋体" w:hAnsi="宋体" w:eastAsia="宋体" w:cs="宋体"/>
          <w:color w:val="auto"/>
          <w:spacing w:val="-3"/>
          <w:sz w:val="24"/>
          <w:szCs w:val="24"/>
          <w:highlight w:val="none"/>
        </w:rPr>
        <w:t>规定：</w:t>
      </w:r>
    </w:p>
    <w:p w14:paraId="6C949464">
      <w:pPr>
        <w:spacing w:before="181" w:line="220" w:lineRule="auto"/>
        <w:ind w:left="507"/>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（1）具有独立承担民事责任的能力；</w:t>
      </w:r>
    </w:p>
    <w:p w14:paraId="519F5D06">
      <w:pPr>
        <w:spacing w:before="183" w:line="219" w:lineRule="auto"/>
        <w:ind w:left="507"/>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（2）具有良好的商业信誉和健全的财务会计制</w:t>
      </w:r>
      <w:r>
        <w:rPr>
          <w:rFonts w:ascii="宋体" w:hAnsi="宋体" w:eastAsia="宋体" w:cs="宋体"/>
          <w:color w:val="auto"/>
          <w:spacing w:val="-4"/>
          <w:sz w:val="24"/>
          <w:szCs w:val="24"/>
          <w:highlight w:val="none"/>
        </w:rPr>
        <w:t>度；</w:t>
      </w:r>
    </w:p>
    <w:p w14:paraId="1CAF80A4">
      <w:pPr>
        <w:spacing w:before="180" w:line="220" w:lineRule="auto"/>
        <w:ind w:left="507"/>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（3）具有履行合同所必需的设备和专业技术能</w:t>
      </w:r>
      <w:r>
        <w:rPr>
          <w:rFonts w:ascii="宋体" w:hAnsi="宋体" w:eastAsia="宋体" w:cs="宋体"/>
          <w:color w:val="auto"/>
          <w:spacing w:val="-4"/>
          <w:sz w:val="24"/>
          <w:szCs w:val="24"/>
          <w:highlight w:val="none"/>
        </w:rPr>
        <w:t>力；</w:t>
      </w:r>
    </w:p>
    <w:p w14:paraId="1DC1DB7E">
      <w:pPr>
        <w:spacing w:before="183" w:line="219" w:lineRule="auto"/>
        <w:ind w:left="507"/>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（4）有依法缴纳税收和社会保障资金的良好记</w:t>
      </w:r>
      <w:r>
        <w:rPr>
          <w:rFonts w:ascii="宋体" w:hAnsi="宋体" w:eastAsia="宋体" w:cs="宋体"/>
          <w:color w:val="auto"/>
          <w:spacing w:val="-4"/>
          <w:sz w:val="24"/>
          <w:szCs w:val="24"/>
          <w:highlight w:val="none"/>
        </w:rPr>
        <w:t>录；</w:t>
      </w:r>
    </w:p>
    <w:p w14:paraId="3A0BEE19">
      <w:pPr>
        <w:spacing w:before="180" w:line="219" w:lineRule="auto"/>
        <w:ind w:left="507"/>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（5）参加政府采购活动前三年内，在经营活动</w:t>
      </w:r>
      <w:r>
        <w:rPr>
          <w:rFonts w:ascii="宋体" w:hAnsi="宋体" w:eastAsia="宋体" w:cs="宋体"/>
          <w:color w:val="auto"/>
          <w:spacing w:val="-3"/>
          <w:sz w:val="24"/>
          <w:szCs w:val="24"/>
          <w:highlight w:val="none"/>
        </w:rPr>
        <w:t>中没有重大违法记录；</w:t>
      </w:r>
    </w:p>
    <w:p w14:paraId="25D21F52">
      <w:pPr>
        <w:spacing w:before="183" w:line="220" w:lineRule="auto"/>
        <w:ind w:left="507"/>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（6）法律、行政法规规定的其他条件。</w:t>
      </w:r>
    </w:p>
    <w:p w14:paraId="381CC9C6">
      <w:pPr>
        <w:spacing w:before="181" w:line="331" w:lineRule="auto"/>
        <w:ind w:left="20" w:firstLine="485"/>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w:t>
      </w:r>
      <w:r>
        <w:rPr>
          <w:rFonts w:ascii="宋体" w:hAnsi="宋体" w:eastAsia="宋体" w:cs="宋体"/>
          <w:color w:val="auto"/>
          <w:spacing w:val="6"/>
          <w:sz w:val="24"/>
          <w:szCs w:val="24"/>
          <w:highlight w:val="none"/>
        </w:rPr>
        <w:t>），</w:t>
      </w:r>
      <w:r>
        <w:rPr>
          <w:rFonts w:ascii="宋体" w:hAnsi="宋体" w:eastAsia="宋体" w:cs="宋体"/>
          <w:color w:val="auto"/>
          <w:spacing w:val="2"/>
          <w:sz w:val="24"/>
          <w:szCs w:val="24"/>
          <w:highlight w:val="none"/>
        </w:rPr>
        <w:t>未被列入失信被执行人、重大税收违法失信主体、政府采购严重违法失信行为记录名单，完全符合《中华人民共</w:t>
      </w:r>
      <w:r>
        <w:rPr>
          <w:rFonts w:ascii="宋体" w:hAnsi="宋体" w:eastAsia="宋体" w:cs="宋体"/>
          <w:color w:val="auto"/>
          <w:spacing w:val="-5"/>
          <w:sz w:val="24"/>
          <w:szCs w:val="24"/>
          <w:highlight w:val="none"/>
        </w:rPr>
        <w:t>和国政府采购法》第二十二条规定的供应商资格条件，我方对此声明负全部法律责任。</w:t>
      </w:r>
    </w:p>
    <w:p w14:paraId="511A44FC">
      <w:pPr>
        <w:spacing w:before="184" w:line="288" w:lineRule="auto"/>
        <w:ind w:left="25" w:right="88" w:firstLine="478"/>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6.根据《中华人民共和国政府采购法实施条例》第五十条要求对政府采购合同进行公告，但政府采购合同中涉及国家秘密、商业秘密的内容除外。我方就对本次响应</w:t>
      </w:r>
    </w:p>
    <w:p w14:paraId="1E8C3D4B">
      <w:pPr>
        <w:spacing w:line="288" w:lineRule="auto"/>
        <w:rPr>
          <w:rFonts w:ascii="宋体" w:hAnsi="宋体" w:eastAsia="宋体" w:cs="宋体"/>
          <w:color w:val="auto"/>
          <w:sz w:val="24"/>
          <w:szCs w:val="24"/>
          <w:highlight w:val="none"/>
        </w:rPr>
        <w:sectPr>
          <w:footerReference r:id="rId37" w:type="default"/>
          <w:pgSz w:w="11907" w:h="16839"/>
          <w:pgMar w:top="1431" w:right="1047" w:bottom="1154" w:left="1785" w:header="0" w:footer="954" w:gutter="0"/>
          <w:cols w:space="720" w:num="1"/>
        </w:sectPr>
      </w:pPr>
    </w:p>
    <w:p w14:paraId="70311EB3">
      <w:pPr>
        <w:spacing w:before="47" w:line="220" w:lineRule="auto"/>
        <w:ind w:left="2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文件进行注明如下：（两项内容中必须选择一项）</w:t>
      </w:r>
    </w:p>
    <w:p w14:paraId="58CEBBAF">
      <w:pPr>
        <w:spacing w:before="182" w:line="219" w:lineRule="auto"/>
        <w:ind w:left="525"/>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□我方本次响应文件内容中未涉及商业秘密；</w:t>
      </w:r>
    </w:p>
    <w:p w14:paraId="30FE7234">
      <w:pPr>
        <w:spacing w:before="180" w:line="219" w:lineRule="auto"/>
        <w:ind w:left="525"/>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□我方本次响应文件涉及商业秘密的内容有</w:t>
      </w:r>
      <w:r>
        <w:rPr>
          <w:rFonts w:ascii="宋体" w:hAnsi="宋体" w:eastAsia="宋体" w:cs="宋体"/>
          <w:color w:val="auto"/>
          <w:spacing w:val="2"/>
          <w:sz w:val="24"/>
          <w:szCs w:val="24"/>
          <w:highlight w:val="none"/>
        </w:rPr>
        <w:t>：；</w:t>
      </w:r>
    </w:p>
    <w:p w14:paraId="5C99FD97">
      <w:pPr>
        <w:spacing w:before="182" w:line="313" w:lineRule="auto"/>
        <w:ind w:left="523" w:hanging="16"/>
        <w:rPr>
          <w:rFonts w:hint="eastAsia"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rPr>
        <w:t>7.与本磋商有关的一切正式往来信函请寄：邮政编号：</w:t>
      </w:r>
      <w:r>
        <w:rPr>
          <w:rFonts w:ascii="宋体" w:hAnsi="宋体" w:eastAsia="宋体" w:cs="宋体"/>
          <w:color w:val="auto"/>
          <w:spacing w:val="-7"/>
          <w:sz w:val="24"/>
          <w:szCs w:val="24"/>
          <w:highlight w:val="none"/>
        </w:rPr>
        <w:t>电话/传真：电子邮箱：</w:t>
      </w:r>
      <w:r>
        <w:rPr>
          <w:rFonts w:ascii="宋体" w:hAnsi="宋体" w:eastAsia="宋体" w:cs="宋体"/>
          <w:color w:val="auto"/>
          <w:spacing w:val="-1"/>
          <w:sz w:val="24"/>
          <w:szCs w:val="24"/>
          <w:highlight w:val="none"/>
        </w:rPr>
        <w:t>开户银行：账号：</w:t>
      </w:r>
    </w:p>
    <w:p w14:paraId="63E5185B">
      <w:pPr>
        <w:spacing w:before="179" w:line="290" w:lineRule="auto"/>
        <w:ind w:left="22" w:right="9" w:firstLine="479"/>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8.以上事项如有虚假或者隐瞒，我方愿意承担一切后果，并不再寻求任何旨在减</w:t>
      </w:r>
      <w:r>
        <w:rPr>
          <w:rFonts w:ascii="宋体" w:hAnsi="宋体" w:eastAsia="宋体" w:cs="宋体"/>
          <w:color w:val="auto"/>
          <w:spacing w:val="-4"/>
          <w:sz w:val="24"/>
          <w:szCs w:val="24"/>
          <w:highlight w:val="none"/>
        </w:rPr>
        <w:t>轻或者免除法律责任的辩解。</w:t>
      </w:r>
    </w:p>
    <w:p w14:paraId="0033921C">
      <w:pPr>
        <w:spacing w:before="180" w:line="220" w:lineRule="auto"/>
        <w:ind w:left="523"/>
        <w:rPr>
          <w:rFonts w:ascii="宋体" w:hAnsi="宋体" w:eastAsia="宋体" w:cs="宋体"/>
          <w:color w:val="auto"/>
          <w:sz w:val="24"/>
          <w:szCs w:val="24"/>
          <w:highlight w:val="none"/>
        </w:rPr>
      </w:pPr>
      <w:r>
        <w:rPr>
          <w:rFonts w:ascii="宋体" w:hAnsi="宋体" w:eastAsia="宋体" w:cs="宋体"/>
          <w:color w:val="auto"/>
          <w:spacing w:val="-8"/>
          <w:sz w:val="24"/>
          <w:szCs w:val="24"/>
          <w:highlight w:val="none"/>
        </w:rPr>
        <w:t>特此承诺。</w:t>
      </w:r>
    </w:p>
    <w:p w14:paraId="722C21A0">
      <w:pPr>
        <w:spacing w:before="182" w:line="360" w:lineRule="auto"/>
        <w:ind w:left="20" w:right="64"/>
        <w:rPr>
          <w:rFonts w:ascii="宋体" w:hAnsi="宋体" w:eastAsia="宋体" w:cs="宋体"/>
          <w:color w:val="auto"/>
          <w:sz w:val="24"/>
          <w:szCs w:val="24"/>
          <w:highlight w:val="none"/>
        </w:rPr>
      </w:pPr>
      <w:r>
        <w:rPr>
          <w:rFonts w:ascii="宋体" w:hAnsi="宋体" w:eastAsia="宋体" w:cs="宋体"/>
          <w:b/>
          <w:bCs/>
          <w:color w:val="auto"/>
          <w:spacing w:val="-2"/>
          <w:sz w:val="24"/>
          <w:szCs w:val="24"/>
          <w:highlight w:val="none"/>
        </w:rPr>
        <w:t>注：如为联合体竞标，盖章处须加盖联合体牵头人电子签章并由联合体牵头人法定代表人分别签字或者盖章或者电子签名，否则响应文件按无效处理。</w:t>
      </w:r>
    </w:p>
    <w:p w14:paraId="71076A04">
      <w:pPr>
        <w:pStyle w:val="4"/>
        <w:spacing w:line="328" w:lineRule="auto"/>
        <w:rPr>
          <w:color w:val="auto"/>
          <w:highlight w:val="none"/>
        </w:rPr>
      </w:pPr>
    </w:p>
    <w:p w14:paraId="295C65B4">
      <w:pPr>
        <w:spacing w:before="69" w:line="221" w:lineRule="auto"/>
        <w:ind w:left="1595"/>
        <w:rPr>
          <w:rFonts w:hint="eastAsia" w:ascii="宋体" w:hAnsi="宋体" w:eastAsia="宋体" w:cs="宋体"/>
          <w:color w:val="auto"/>
          <w:sz w:val="21"/>
          <w:szCs w:val="21"/>
          <w:highlight w:val="none"/>
          <w:lang w:eastAsia="zh-CN"/>
        </w:rPr>
      </w:pPr>
      <w:r>
        <w:rPr>
          <w:rFonts w:ascii="宋体" w:hAnsi="宋体" w:eastAsia="宋体" w:cs="宋体"/>
          <w:color w:val="auto"/>
          <w:spacing w:val="-1"/>
          <w:sz w:val="21"/>
          <w:szCs w:val="21"/>
          <w:highlight w:val="none"/>
        </w:rPr>
        <w:t>法定代表人或者委托代理人（签字或者电子签名</w:t>
      </w:r>
      <w:r>
        <w:rPr>
          <w:rFonts w:ascii="宋体" w:hAnsi="宋体" w:eastAsia="宋体" w:cs="宋体"/>
          <w:color w:val="auto"/>
          <w:spacing w:val="7"/>
          <w:sz w:val="21"/>
          <w:szCs w:val="21"/>
          <w:highlight w:val="none"/>
        </w:rPr>
        <w:t>）：</w:t>
      </w:r>
    </w:p>
    <w:p w14:paraId="6FDED057">
      <w:pPr>
        <w:spacing w:before="157" w:line="220" w:lineRule="auto"/>
        <w:ind w:left="3800"/>
        <w:rPr>
          <w:rFonts w:hint="eastAsia" w:ascii="宋体" w:hAnsi="宋体" w:eastAsia="宋体" w:cs="宋体"/>
          <w:color w:val="auto"/>
          <w:sz w:val="21"/>
          <w:szCs w:val="21"/>
          <w:highlight w:val="none"/>
          <w:lang w:eastAsia="zh-CN"/>
        </w:rPr>
      </w:pPr>
      <w:r>
        <w:rPr>
          <w:rFonts w:ascii="宋体" w:hAnsi="宋体" w:eastAsia="宋体" w:cs="宋体"/>
          <w:color w:val="auto"/>
          <w:spacing w:val="-1"/>
          <w:sz w:val="21"/>
          <w:szCs w:val="21"/>
          <w:highlight w:val="none"/>
        </w:rPr>
        <w:t>供应商名称（电子签章</w:t>
      </w:r>
      <w:r>
        <w:rPr>
          <w:rFonts w:ascii="宋体" w:hAnsi="宋体" w:eastAsia="宋体" w:cs="宋体"/>
          <w:color w:val="auto"/>
          <w:spacing w:val="1"/>
          <w:sz w:val="21"/>
          <w:szCs w:val="21"/>
          <w:highlight w:val="none"/>
        </w:rPr>
        <w:t>）：</w:t>
      </w:r>
    </w:p>
    <w:p w14:paraId="712560B2">
      <w:pPr>
        <w:spacing w:before="164" w:line="220" w:lineRule="auto"/>
        <w:jc w:val="right"/>
        <w:rPr>
          <w:rFonts w:ascii="宋体" w:hAnsi="宋体" w:eastAsia="宋体" w:cs="宋体"/>
          <w:color w:val="auto"/>
          <w:sz w:val="24"/>
          <w:szCs w:val="24"/>
          <w:highlight w:val="none"/>
        </w:rPr>
      </w:pPr>
      <w:r>
        <w:rPr>
          <w:rFonts w:ascii="宋体" w:hAnsi="宋体" w:eastAsia="宋体" w:cs="宋体"/>
          <w:color w:val="auto"/>
          <w:spacing w:val="-22"/>
          <w:sz w:val="24"/>
          <w:szCs w:val="24"/>
          <w:highlight w:val="none"/>
        </w:rPr>
        <w:t>日期：年月日</w:t>
      </w:r>
    </w:p>
    <w:p w14:paraId="24D6297A">
      <w:pPr>
        <w:spacing w:line="220" w:lineRule="auto"/>
        <w:rPr>
          <w:rFonts w:ascii="宋体" w:hAnsi="宋体" w:eastAsia="宋体" w:cs="宋体"/>
          <w:color w:val="auto"/>
          <w:sz w:val="24"/>
          <w:szCs w:val="24"/>
          <w:highlight w:val="none"/>
        </w:rPr>
        <w:sectPr>
          <w:footerReference r:id="rId38" w:type="default"/>
          <w:pgSz w:w="11907" w:h="16839"/>
          <w:pgMar w:top="1428" w:right="1130" w:bottom="1154" w:left="1785" w:header="0" w:footer="954" w:gutter="0"/>
          <w:cols w:space="720" w:num="1"/>
        </w:sectPr>
      </w:pPr>
    </w:p>
    <w:p w14:paraId="786211CD">
      <w:pPr>
        <w:spacing w:before="104" w:line="603" w:lineRule="exact"/>
        <w:ind w:left="2744"/>
        <w:rPr>
          <w:rFonts w:ascii="宋体" w:hAnsi="宋体" w:eastAsia="宋体" w:cs="宋体"/>
          <w:color w:val="auto"/>
          <w:sz w:val="43"/>
          <w:szCs w:val="43"/>
          <w:highlight w:val="none"/>
        </w:rPr>
      </w:pPr>
      <w:r>
        <w:rPr>
          <w:rFonts w:ascii="宋体" w:hAnsi="宋体" w:eastAsia="宋体" w:cs="宋体"/>
          <w:b/>
          <w:bCs/>
          <w:color w:val="auto"/>
          <w:spacing w:val="4"/>
          <w:position w:val="3"/>
          <w:sz w:val="43"/>
          <w:szCs w:val="43"/>
          <w:highlight w:val="none"/>
        </w:rPr>
        <w:t>联合体竞标协议书</w:t>
      </w:r>
    </w:p>
    <w:p w14:paraId="3A445165">
      <w:pPr>
        <w:pStyle w:val="4"/>
        <w:spacing w:line="319" w:lineRule="auto"/>
        <w:rPr>
          <w:color w:val="auto"/>
          <w:highlight w:val="none"/>
        </w:rPr>
      </w:pPr>
    </w:p>
    <w:p w14:paraId="4C62DD99">
      <w:pPr>
        <w:tabs>
          <w:tab w:val="left" w:pos="1211"/>
        </w:tabs>
        <w:spacing w:before="78" w:line="359" w:lineRule="auto"/>
        <w:ind w:left="27" w:right="87" w:firstLine="464"/>
        <w:rPr>
          <w:rFonts w:ascii="宋体" w:hAnsi="宋体" w:eastAsia="宋体" w:cs="宋体"/>
          <w:color w:val="auto"/>
          <w:sz w:val="24"/>
          <w:szCs w:val="24"/>
          <w:highlight w:val="none"/>
        </w:rPr>
      </w:pPr>
      <w:r>
        <w:rPr>
          <w:rFonts w:ascii="宋体" w:hAnsi="宋体" w:eastAsia="宋体" w:cs="宋体"/>
          <w:color w:val="auto"/>
          <w:sz w:val="24"/>
          <w:szCs w:val="24"/>
          <w:highlight w:val="none"/>
          <w:u w:val="single" w:color="auto"/>
        </w:rPr>
        <w:tab/>
      </w:r>
      <w:r>
        <w:rPr>
          <w:rFonts w:ascii="宋体" w:hAnsi="宋体" w:eastAsia="宋体" w:cs="宋体"/>
          <w:color w:val="auto"/>
          <w:sz w:val="24"/>
          <w:szCs w:val="24"/>
          <w:highlight w:val="none"/>
        </w:rPr>
        <w:t>（所有成员单位名称）自愿组成（联合体名称）联合体，共同参加</w:t>
      </w:r>
      <w:r>
        <w:rPr>
          <w:rFonts w:ascii="宋体" w:hAnsi="宋体" w:eastAsia="宋体" w:cs="宋体"/>
          <w:color w:val="auto"/>
          <w:spacing w:val="-2"/>
          <w:sz w:val="24"/>
          <w:szCs w:val="24"/>
          <w:highlight w:val="none"/>
        </w:rPr>
        <w:t>（项目名称）采购项目竞标。现就联合体竞标事宜订立如下协议。</w:t>
      </w:r>
    </w:p>
    <w:p w14:paraId="389916F2">
      <w:pPr>
        <w:spacing w:before="1" w:line="218" w:lineRule="auto"/>
        <w:ind w:left="519"/>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1.（某成员单位名称）为（联合体名称）牵头人。</w:t>
      </w:r>
    </w:p>
    <w:p w14:paraId="5DB5DCE4">
      <w:pPr>
        <w:spacing w:before="184" w:line="312" w:lineRule="auto"/>
        <w:ind w:left="22" w:firstLine="48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2.联合体各成员授权牵头人代表联合体参加</w:t>
      </w:r>
      <w:r>
        <w:rPr>
          <w:rFonts w:ascii="宋体" w:hAnsi="宋体" w:eastAsia="宋体" w:cs="宋体"/>
          <w:color w:val="auto"/>
          <w:spacing w:val="-3"/>
          <w:sz w:val="24"/>
          <w:szCs w:val="24"/>
          <w:highlight w:val="none"/>
        </w:rPr>
        <w:t>竞标活动，签署文件及对文件的盖章，</w:t>
      </w:r>
      <w:r>
        <w:rPr>
          <w:rFonts w:ascii="宋体" w:hAnsi="宋体" w:eastAsia="宋体" w:cs="宋体"/>
          <w:color w:val="auto"/>
          <w:spacing w:val="2"/>
          <w:sz w:val="24"/>
          <w:szCs w:val="24"/>
          <w:highlight w:val="none"/>
        </w:rPr>
        <w:t>提交和接收相关的资料、信息及指示，进行合同磋商活动，负责合同实施阶段的组织</w:t>
      </w:r>
      <w:r>
        <w:rPr>
          <w:rFonts w:ascii="宋体" w:hAnsi="宋体" w:eastAsia="宋体" w:cs="宋体"/>
          <w:color w:val="auto"/>
          <w:spacing w:val="-2"/>
          <w:sz w:val="24"/>
          <w:szCs w:val="24"/>
          <w:highlight w:val="none"/>
        </w:rPr>
        <w:t>和协调工作，以及处理与本竞标项目有关的一切事宜。</w:t>
      </w:r>
    </w:p>
    <w:p w14:paraId="26D4CD67">
      <w:pPr>
        <w:spacing w:before="183" w:line="312" w:lineRule="auto"/>
        <w:ind w:left="23" w:right="69" w:firstLine="48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3.联合体牵头人在本项目中签署和盖章的一切文件和处理的一切事宜，联合体各成员均予以承认。联合体各成员将严格按照磋商文件、响应文件和合同的要求全面履</w:t>
      </w:r>
      <w:r>
        <w:rPr>
          <w:rFonts w:ascii="宋体" w:hAnsi="宋体" w:eastAsia="宋体" w:cs="宋体"/>
          <w:color w:val="auto"/>
          <w:spacing w:val="-3"/>
          <w:sz w:val="24"/>
          <w:szCs w:val="24"/>
          <w:highlight w:val="none"/>
        </w:rPr>
        <w:t>行义务，并向采购人承担连带责任。</w:t>
      </w:r>
    </w:p>
    <w:p w14:paraId="375E885D">
      <w:pPr>
        <w:spacing w:before="182" w:line="220" w:lineRule="auto"/>
        <w:ind w:left="500"/>
        <w:rPr>
          <w:rFonts w:ascii="宋体" w:hAnsi="宋体" w:eastAsia="宋体" w:cs="宋体"/>
          <w:color w:val="auto"/>
          <w:sz w:val="24"/>
          <w:szCs w:val="24"/>
          <w:highlight w:val="none"/>
        </w:rPr>
      </w:pPr>
      <w:r>
        <w:rPr>
          <w:rFonts w:ascii="宋体" w:hAnsi="宋体" w:eastAsia="宋体" w:cs="宋体"/>
          <w:color w:val="auto"/>
          <w:sz w:val="24"/>
          <w:szCs w:val="24"/>
          <w:highlight w:val="none"/>
        </w:rPr>
        <w:t>4.联合体各成员单位内部的职责分工如下</w:t>
      </w:r>
      <w:r>
        <w:rPr>
          <w:rFonts w:ascii="宋体" w:hAnsi="宋体" w:eastAsia="宋体" w:cs="宋体"/>
          <w:color w:val="auto"/>
          <w:spacing w:val="-1"/>
          <w:sz w:val="24"/>
          <w:szCs w:val="24"/>
          <w:highlight w:val="none"/>
        </w:rPr>
        <w:t>：。</w:t>
      </w:r>
    </w:p>
    <w:p w14:paraId="6ECBD085">
      <w:pPr>
        <w:spacing w:before="184" w:line="288" w:lineRule="auto"/>
        <w:ind w:left="23" w:right="56" w:firstLine="482"/>
        <w:rPr>
          <w:rFonts w:ascii="宋体" w:hAnsi="宋体" w:eastAsia="宋体" w:cs="宋体"/>
          <w:color w:val="auto"/>
          <w:sz w:val="24"/>
          <w:szCs w:val="24"/>
          <w:highlight w:val="none"/>
        </w:rPr>
      </w:pPr>
      <w:r>
        <w:rPr>
          <w:rFonts w:ascii="宋体" w:hAnsi="宋体" w:eastAsia="宋体" w:cs="宋体"/>
          <w:color w:val="auto"/>
          <w:spacing w:val="-10"/>
          <w:sz w:val="24"/>
          <w:szCs w:val="24"/>
          <w:highlight w:val="none"/>
        </w:rPr>
        <w:t>5.本协议书自所有成员单位法定代表人（单位负责人）或者其</w:t>
      </w:r>
      <w:r>
        <w:rPr>
          <w:rFonts w:ascii="宋体" w:hAnsi="宋体" w:eastAsia="宋体" w:cs="宋体"/>
          <w:color w:val="auto"/>
          <w:spacing w:val="-11"/>
          <w:sz w:val="24"/>
          <w:szCs w:val="24"/>
          <w:highlight w:val="none"/>
        </w:rPr>
        <w:t>委托代理人签字或者盖</w:t>
      </w:r>
      <w:r>
        <w:rPr>
          <w:rFonts w:ascii="宋体" w:hAnsi="宋体" w:eastAsia="宋体" w:cs="宋体"/>
          <w:color w:val="auto"/>
          <w:spacing w:val="-13"/>
          <w:sz w:val="24"/>
          <w:szCs w:val="24"/>
          <w:highlight w:val="none"/>
        </w:rPr>
        <w:t>单位公章之日起生效，合同履行完毕后自动失效。</w:t>
      </w:r>
    </w:p>
    <w:p w14:paraId="601D05B9">
      <w:pPr>
        <w:spacing w:before="183" w:line="219" w:lineRule="auto"/>
        <w:ind w:left="503"/>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6.本协议书一式份，联合体成员和采购人各执一份。</w:t>
      </w:r>
    </w:p>
    <w:p w14:paraId="03FADA3F">
      <w:pPr>
        <w:spacing w:before="180" w:line="362" w:lineRule="auto"/>
        <w:ind w:left="26" w:right="67" w:firstLine="475"/>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注：本协议书应附法定代表人身份证明书；有委托代理的，应附授权委托书（格</w:t>
      </w:r>
      <w:r>
        <w:rPr>
          <w:rFonts w:ascii="宋体" w:hAnsi="宋体" w:eastAsia="宋体" w:cs="宋体"/>
          <w:color w:val="auto"/>
          <w:spacing w:val="-8"/>
          <w:sz w:val="24"/>
          <w:szCs w:val="24"/>
          <w:highlight w:val="none"/>
        </w:rPr>
        <w:t>式自拟）。</w:t>
      </w:r>
    </w:p>
    <w:p w14:paraId="60C38297">
      <w:pPr>
        <w:pStyle w:val="4"/>
        <w:spacing w:line="380" w:lineRule="auto"/>
        <w:rPr>
          <w:color w:val="auto"/>
          <w:highlight w:val="none"/>
        </w:rPr>
      </w:pPr>
    </w:p>
    <w:p w14:paraId="6F25890F">
      <w:pPr>
        <w:spacing w:before="79" w:line="219" w:lineRule="auto"/>
        <w:ind w:left="22"/>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联合体牵头人名称（电子签章</w:t>
      </w:r>
      <w:r>
        <w:rPr>
          <w:rFonts w:ascii="宋体" w:hAnsi="宋体" w:eastAsia="宋体" w:cs="宋体"/>
          <w:color w:val="auto"/>
          <w:spacing w:val="1"/>
          <w:sz w:val="24"/>
          <w:szCs w:val="24"/>
          <w:highlight w:val="none"/>
        </w:rPr>
        <w:t>）：</w:t>
      </w:r>
    </w:p>
    <w:p w14:paraId="67453D69">
      <w:pPr>
        <w:spacing w:before="181" w:line="220" w:lineRule="auto"/>
        <w:ind w:left="22"/>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法定代表人或者其委托代理人（签字或者电子签名</w:t>
      </w:r>
      <w:r>
        <w:rPr>
          <w:rFonts w:ascii="宋体" w:hAnsi="宋体" w:eastAsia="宋体" w:cs="宋体"/>
          <w:color w:val="auto"/>
          <w:spacing w:val="1"/>
          <w:sz w:val="24"/>
          <w:szCs w:val="24"/>
          <w:highlight w:val="none"/>
        </w:rPr>
        <w:t>）：</w:t>
      </w:r>
    </w:p>
    <w:p w14:paraId="539C9F1C">
      <w:pPr>
        <w:pStyle w:val="4"/>
        <w:spacing w:line="283" w:lineRule="auto"/>
        <w:rPr>
          <w:color w:val="auto"/>
          <w:highlight w:val="none"/>
        </w:rPr>
      </w:pPr>
    </w:p>
    <w:p w14:paraId="46DA3921">
      <w:pPr>
        <w:pStyle w:val="4"/>
        <w:spacing w:line="283" w:lineRule="auto"/>
        <w:rPr>
          <w:color w:val="auto"/>
          <w:highlight w:val="none"/>
        </w:rPr>
      </w:pPr>
    </w:p>
    <w:p w14:paraId="1E8D4AC9">
      <w:pPr>
        <w:spacing w:before="78" w:line="219" w:lineRule="auto"/>
        <w:ind w:left="22"/>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联合体成员名称（盖公章或者电子签章</w:t>
      </w:r>
      <w:r>
        <w:rPr>
          <w:rFonts w:ascii="宋体" w:hAnsi="宋体" w:eastAsia="宋体" w:cs="宋体"/>
          <w:color w:val="auto"/>
          <w:spacing w:val="2"/>
          <w:sz w:val="24"/>
          <w:szCs w:val="24"/>
          <w:highlight w:val="none"/>
        </w:rPr>
        <w:t>）：</w:t>
      </w:r>
    </w:p>
    <w:p w14:paraId="35F59FD7">
      <w:pPr>
        <w:spacing w:before="183" w:line="220" w:lineRule="auto"/>
        <w:ind w:left="22"/>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法定代表人或者其委托代理人（签字或者电子签名</w:t>
      </w:r>
      <w:r>
        <w:rPr>
          <w:rFonts w:ascii="宋体" w:hAnsi="宋体" w:eastAsia="宋体" w:cs="宋体"/>
          <w:color w:val="auto"/>
          <w:spacing w:val="1"/>
          <w:sz w:val="24"/>
          <w:szCs w:val="24"/>
          <w:highlight w:val="none"/>
        </w:rPr>
        <w:t>）：</w:t>
      </w:r>
    </w:p>
    <w:p w14:paraId="075E239C">
      <w:pPr>
        <w:pStyle w:val="4"/>
        <w:spacing w:line="283" w:lineRule="auto"/>
        <w:rPr>
          <w:color w:val="auto"/>
          <w:highlight w:val="none"/>
        </w:rPr>
      </w:pPr>
    </w:p>
    <w:p w14:paraId="5EF563E0">
      <w:pPr>
        <w:pStyle w:val="4"/>
        <w:spacing w:line="283" w:lineRule="auto"/>
        <w:rPr>
          <w:color w:val="auto"/>
          <w:highlight w:val="none"/>
        </w:rPr>
      </w:pPr>
    </w:p>
    <w:p w14:paraId="6324180B">
      <w:pPr>
        <w:spacing w:before="79" w:line="219" w:lineRule="auto"/>
        <w:ind w:left="22"/>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联合体成员名称（盖公章或者电子签章</w:t>
      </w:r>
      <w:r>
        <w:rPr>
          <w:rFonts w:ascii="宋体" w:hAnsi="宋体" w:eastAsia="宋体" w:cs="宋体"/>
          <w:color w:val="auto"/>
          <w:spacing w:val="2"/>
          <w:sz w:val="24"/>
          <w:szCs w:val="24"/>
          <w:highlight w:val="none"/>
        </w:rPr>
        <w:t>）：</w:t>
      </w:r>
    </w:p>
    <w:p w14:paraId="7DC70C0E">
      <w:pPr>
        <w:spacing w:before="181" w:line="220" w:lineRule="auto"/>
        <w:ind w:left="22"/>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法定代表人或者其委托代理人（签字或者电子签名</w:t>
      </w:r>
      <w:r>
        <w:rPr>
          <w:rFonts w:ascii="宋体" w:hAnsi="宋体" w:eastAsia="宋体" w:cs="宋体"/>
          <w:color w:val="auto"/>
          <w:spacing w:val="1"/>
          <w:sz w:val="24"/>
          <w:szCs w:val="24"/>
          <w:highlight w:val="none"/>
        </w:rPr>
        <w:t>）：</w:t>
      </w:r>
    </w:p>
    <w:p w14:paraId="7A622D05">
      <w:pPr>
        <w:spacing w:before="182" w:line="379" w:lineRule="exact"/>
        <w:ind w:left="36"/>
        <w:rPr>
          <w:rFonts w:ascii="宋体" w:hAnsi="宋体" w:eastAsia="宋体" w:cs="宋体"/>
          <w:color w:val="auto"/>
          <w:sz w:val="24"/>
          <w:szCs w:val="24"/>
          <w:highlight w:val="none"/>
        </w:rPr>
      </w:pPr>
      <w:r>
        <w:rPr>
          <w:rFonts w:ascii="宋体" w:hAnsi="宋体" w:eastAsia="宋体" w:cs="宋体"/>
          <w:color w:val="auto"/>
          <w:spacing w:val="-7"/>
          <w:position w:val="3"/>
          <w:sz w:val="24"/>
          <w:szCs w:val="24"/>
          <w:highlight w:val="none"/>
        </w:rPr>
        <w:t>……</w:t>
      </w:r>
    </w:p>
    <w:p w14:paraId="066E7BE5">
      <w:pPr>
        <w:pStyle w:val="4"/>
        <w:spacing w:line="473" w:lineRule="auto"/>
        <w:rPr>
          <w:color w:val="auto"/>
          <w:highlight w:val="none"/>
        </w:rPr>
      </w:pPr>
    </w:p>
    <w:p w14:paraId="4409F48C">
      <w:pPr>
        <w:spacing w:before="78" w:line="220" w:lineRule="auto"/>
        <w:ind w:left="5943"/>
        <w:rPr>
          <w:rFonts w:ascii="宋体" w:hAnsi="宋体" w:eastAsia="宋体" w:cs="宋体"/>
          <w:color w:val="auto"/>
          <w:sz w:val="24"/>
          <w:szCs w:val="24"/>
          <w:highlight w:val="none"/>
        </w:rPr>
      </w:pPr>
      <w:r>
        <w:rPr>
          <w:rFonts w:ascii="宋体" w:hAnsi="宋体" w:eastAsia="宋体" w:cs="宋体"/>
          <w:color w:val="auto"/>
          <w:spacing w:val="-9"/>
          <w:sz w:val="24"/>
          <w:szCs w:val="24"/>
          <w:highlight w:val="none"/>
        </w:rPr>
        <w:t>日期：年月日</w:t>
      </w:r>
    </w:p>
    <w:p w14:paraId="688E5961">
      <w:pPr>
        <w:spacing w:line="220" w:lineRule="auto"/>
        <w:rPr>
          <w:rFonts w:ascii="宋体" w:hAnsi="宋体" w:eastAsia="宋体" w:cs="宋体"/>
          <w:color w:val="auto"/>
          <w:sz w:val="24"/>
          <w:szCs w:val="24"/>
          <w:highlight w:val="none"/>
        </w:rPr>
        <w:sectPr>
          <w:footerReference r:id="rId39" w:type="default"/>
          <w:pgSz w:w="11907" w:h="16839"/>
          <w:pgMar w:top="1356" w:right="1065" w:bottom="1154" w:left="1785" w:header="0" w:footer="952" w:gutter="0"/>
          <w:cols w:space="720" w:num="1"/>
        </w:sectPr>
      </w:pPr>
    </w:p>
    <w:p w14:paraId="3239CF79">
      <w:pPr>
        <w:spacing w:before="63" w:line="224" w:lineRule="auto"/>
        <w:ind w:left="29"/>
        <w:rPr>
          <w:rFonts w:ascii="宋体" w:hAnsi="宋体" w:eastAsia="宋体" w:cs="宋体"/>
          <w:color w:val="auto"/>
          <w:sz w:val="31"/>
          <w:szCs w:val="31"/>
          <w:highlight w:val="none"/>
        </w:rPr>
      </w:pPr>
      <w:r>
        <w:rPr>
          <w:rFonts w:ascii="宋体" w:hAnsi="宋体" w:eastAsia="宋体" w:cs="宋体"/>
          <w:b/>
          <w:bCs/>
          <w:color w:val="auto"/>
          <w:spacing w:val="5"/>
          <w:sz w:val="31"/>
          <w:szCs w:val="31"/>
          <w:highlight w:val="none"/>
        </w:rPr>
        <w:t>二、报价文件格式</w:t>
      </w:r>
    </w:p>
    <w:p w14:paraId="2F811545">
      <w:pPr>
        <w:pStyle w:val="4"/>
        <w:spacing w:line="263" w:lineRule="auto"/>
        <w:rPr>
          <w:color w:val="auto"/>
          <w:highlight w:val="none"/>
        </w:rPr>
      </w:pPr>
    </w:p>
    <w:p w14:paraId="1E8D0191">
      <w:pPr>
        <w:spacing w:before="101" w:line="224" w:lineRule="auto"/>
        <w:ind w:left="48"/>
        <w:rPr>
          <w:rFonts w:ascii="宋体" w:hAnsi="宋体" w:eastAsia="宋体" w:cs="宋体"/>
          <w:color w:val="auto"/>
          <w:sz w:val="31"/>
          <w:szCs w:val="31"/>
          <w:highlight w:val="none"/>
        </w:rPr>
      </w:pPr>
      <w:r>
        <w:rPr>
          <w:rFonts w:ascii="宋体" w:hAnsi="宋体" w:eastAsia="宋体" w:cs="宋体"/>
          <w:b/>
          <w:bCs/>
          <w:color w:val="auto"/>
          <w:spacing w:val="3"/>
          <w:sz w:val="31"/>
          <w:szCs w:val="31"/>
          <w:highlight w:val="none"/>
        </w:rPr>
        <w:t>1.报价文件封面格式</w:t>
      </w:r>
    </w:p>
    <w:p w14:paraId="6A3AE183">
      <w:pPr>
        <w:pStyle w:val="4"/>
        <w:spacing w:line="259" w:lineRule="auto"/>
        <w:rPr>
          <w:color w:val="auto"/>
          <w:highlight w:val="none"/>
        </w:rPr>
      </w:pPr>
    </w:p>
    <w:p w14:paraId="45684E94">
      <w:pPr>
        <w:pStyle w:val="4"/>
        <w:spacing w:line="260" w:lineRule="auto"/>
        <w:rPr>
          <w:color w:val="auto"/>
          <w:highlight w:val="none"/>
        </w:rPr>
      </w:pPr>
    </w:p>
    <w:p w14:paraId="273E8CF8">
      <w:pPr>
        <w:pStyle w:val="4"/>
        <w:spacing w:line="260" w:lineRule="auto"/>
        <w:rPr>
          <w:color w:val="auto"/>
          <w:highlight w:val="none"/>
        </w:rPr>
      </w:pPr>
    </w:p>
    <w:p w14:paraId="713C5B53">
      <w:pPr>
        <w:spacing w:before="140" w:line="223" w:lineRule="auto"/>
        <w:ind w:left="2699"/>
        <w:rPr>
          <w:rFonts w:ascii="宋体" w:hAnsi="宋体" w:eastAsia="宋体" w:cs="宋体"/>
          <w:color w:val="auto"/>
          <w:sz w:val="43"/>
          <w:szCs w:val="43"/>
          <w:highlight w:val="none"/>
        </w:rPr>
      </w:pPr>
      <w:r>
        <w:rPr>
          <w:rFonts w:ascii="宋体" w:hAnsi="宋体" w:eastAsia="宋体" w:cs="宋体"/>
          <w:color w:val="auto"/>
          <w:spacing w:val="-20"/>
          <w:sz w:val="43"/>
          <w:szCs w:val="43"/>
          <w:highlight w:val="none"/>
        </w:rPr>
        <w:t>电子响应文件</w:t>
      </w:r>
    </w:p>
    <w:p w14:paraId="49D9A2D1">
      <w:pPr>
        <w:pStyle w:val="4"/>
        <w:spacing w:line="308" w:lineRule="auto"/>
        <w:rPr>
          <w:color w:val="auto"/>
          <w:highlight w:val="none"/>
        </w:rPr>
      </w:pPr>
    </w:p>
    <w:p w14:paraId="39349ACA">
      <w:pPr>
        <w:pStyle w:val="4"/>
        <w:spacing w:line="308" w:lineRule="auto"/>
        <w:rPr>
          <w:color w:val="auto"/>
          <w:highlight w:val="none"/>
        </w:rPr>
      </w:pPr>
    </w:p>
    <w:p w14:paraId="15B83742">
      <w:pPr>
        <w:pStyle w:val="4"/>
        <w:spacing w:line="308" w:lineRule="auto"/>
        <w:rPr>
          <w:color w:val="auto"/>
          <w:highlight w:val="none"/>
        </w:rPr>
      </w:pPr>
    </w:p>
    <w:p w14:paraId="46F2D055">
      <w:pPr>
        <w:spacing w:before="140" w:line="216" w:lineRule="auto"/>
        <w:ind w:left="2965"/>
        <w:rPr>
          <w:rFonts w:ascii="宋体" w:hAnsi="宋体" w:eastAsia="宋体" w:cs="宋体"/>
          <w:color w:val="auto"/>
          <w:sz w:val="43"/>
          <w:szCs w:val="43"/>
          <w:highlight w:val="none"/>
        </w:rPr>
      </w:pPr>
      <w:r>
        <w:rPr>
          <w:rFonts w:ascii="宋体" w:hAnsi="宋体" w:eastAsia="宋体" w:cs="宋体"/>
          <w:b/>
          <w:bCs/>
          <w:color w:val="auto"/>
          <w:spacing w:val="1"/>
          <w:sz w:val="43"/>
          <w:szCs w:val="43"/>
          <w:highlight w:val="none"/>
        </w:rPr>
        <w:t>报价文件</w:t>
      </w:r>
    </w:p>
    <w:p w14:paraId="2ADF3BB7">
      <w:pPr>
        <w:pStyle w:val="4"/>
        <w:spacing w:line="253" w:lineRule="auto"/>
        <w:rPr>
          <w:color w:val="auto"/>
          <w:highlight w:val="none"/>
        </w:rPr>
      </w:pPr>
    </w:p>
    <w:p w14:paraId="35EE8EC2">
      <w:pPr>
        <w:pStyle w:val="4"/>
        <w:spacing w:line="253" w:lineRule="auto"/>
        <w:rPr>
          <w:color w:val="auto"/>
          <w:highlight w:val="none"/>
        </w:rPr>
      </w:pPr>
    </w:p>
    <w:p w14:paraId="340F17C9">
      <w:pPr>
        <w:pStyle w:val="4"/>
        <w:spacing w:line="253" w:lineRule="auto"/>
        <w:rPr>
          <w:color w:val="auto"/>
          <w:highlight w:val="none"/>
        </w:rPr>
      </w:pPr>
    </w:p>
    <w:p w14:paraId="4FACF7BA">
      <w:pPr>
        <w:pStyle w:val="4"/>
        <w:spacing w:line="253" w:lineRule="auto"/>
        <w:rPr>
          <w:color w:val="auto"/>
          <w:highlight w:val="none"/>
        </w:rPr>
      </w:pPr>
    </w:p>
    <w:p w14:paraId="2BB7B188">
      <w:pPr>
        <w:pStyle w:val="4"/>
        <w:spacing w:line="253" w:lineRule="auto"/>
        <w:rPr>
          <w:color w:val="auto"/>
          <w:highlight w:val="none"/>
        </w:rPr>
      </w:pPr>
    </w:p>
    <w:p w14:paraId="69FC8C51">
      <w:pPr>
        <w:pStyle w:val="4"/>
        <w:spacing w:line="254" w:lineRule="auto"/>
        <w:rPr>
          <w:color w:val="auto"/>
          <w:highlight w:val="none"/>
        </w:rPr>
      </w:pPr>
    </w:p>
    <w:p w14:paraId="71713CFC">
      <w:pPr>
        <w:pStyle w:val="4"/>
        <w:spacing w:line="254" w:lineRule="auto"/>
        <w:rPr>
          <w:color w:val="auto"/>
          <w:highlight w:val="none"/>
        </w:rPr>
      </w:pPr>
    </w:p>
    <w:p w14:paraId="0E74237B">
      <w:pPr>
        <w:pStyle w:val="4"/>
        <w:spacing w:line="254" w:lineRule="auto"/>
        <w:rPr>
          <w:color w:val="auto"/>
          <w:highlight w:val="none"/>
        </w:rPr>
      </w:pPr>
    </w:p>
    <w:p w14:paraId="41865FFB">
      <w:pPr>
        <w:pStyle w:val="4"/>
        <w:spacing w:line="254" w:lineRule="auto"/>
        <w:rPr>
          <w:color w:val="auto"/>
          <w:highlight w:val="none"/>
        </w:rPr>
      </w:pPr>
    </w:p>
    <w:p w14:paraId="169667F3">
      <w:pPr>
        <w:spacing w:before="101" w:line="226" w:lineRule="auto"/>
        <w:ind w:left="670"/>
        <w:rPr>
          <w:rFonts w:ascii="宋体" w:hAnsi="宋体" w:eastAsia="宋体" w:cs="宋体"/>
          <w:color w:val="auto"/>
          <w:sz w:val="31"/>
          <w:szCs w:val="31"/>
          <w:highlight w:val="none"/>
        </w:rPr>
      </w:pPr>
      <w:r>
        <w:rPr>
          <w:rFonts w:ascii="宋体" w:hAnsi="宋体" w:eastAsia="宋体" w:cs="宋体"/>
          <w:color w:val="auto"/>
          <w:spacing w:val="3"/>
          <w:sz w:val="31"/>
          <w:szCs w:val="31"/>
          <w:highlight w:val="none"/>
        </w:rPr>
        <w:t>项目名称：</w:t>
      </w:r>
    </w:p>
    <w:p w14:paraId="2FDD3E83">
      <w:pPr>
        <w:pStyle w:val="4"/>
        <w:spacing w:line="293" w:lineRule="auto"/>
        <w:rPr>
          <w:color w:val="auto"/>
          <w:highlight w:val="none"/>
        </w:rPr>
      </w:pPr>
    </w:p>
    <w:p w14:paraId="50E57067">
      <w:pPr>
        <w:pStyle w:val="4"/>
        <w:spacing w:line="294" w:lineRule="auto"/>
        <w:rPr>
          <w:color w:val="auto"/>
          <w:highlight w:val="none"/>
        </w:rPr>
      </w:pPr>
    </w:p>
    <w:p w14:paraId="78322B64">
      <w:pPr>
        <w:spacing w:before="100" w:line="225" w:lineRule="auto"/>
        <w:ind w:left="670"/>
        <w:rPr>
          <w:rFonts w:ascii="宋体" w:hAnsi="宋体" w:eastAsia="宋体" w:cs="宋体"/>
          <w:color w:val="auto"/>
          <w:sz w:val="31"/>
          <w:szCs w:val="31"/>
          <w:highlight w:val="none"/>
        </w:rPr>
      </w:pPr>
      <w:r>
        <w:rPr>
          <w:rFonts w:ascii="宋体" w:hAnsi="宋体" w:eastAsia="宋体" w:cs="宋体"/>
          <w:color w:val="auto"/>
          <w:spacing w:val="3"/>
          <w:sz w:val="31"/>
          <w:szCs w:val="31"/>
          <w:highlight w:val="none"/>
        </w:rPr>
        <w:t>项目编号：</w:t>
      </w:r>
    </w:p>
    <w:p w14:paraId="1836ECF1">
      <w:pPr>
        <w:pStyle w:val="4"/>
        <w:spacing w:line="294" w:lineRule="auto"/>
        <w:rPr>
          <w:color w:val="auto"/>
          <w:highlight w:val="none"/>
        </w:rPr>
      </w:pPr>
    </w:p>
    <w:p w14:paraId="13BE8939">
      <w:pPr>
        <w:pStyle w:val="4"/>
        <w:spacing w:line="294" w:lineRule="auto"/>
        <w:rPr>
          <w:color w:val="auto"/>
          <w:highlight w:val="none"/>
        </w:rPr>
      </w:pPr>
    </w:p>
    <w:p w14:paraId="4FA50CCE">
      <w:pPr>
        <w:spacing w:before="101" w:line="226" w:lineRule="auto"/>
        <w:jc w:val="right"/>
        <w:rPr>
          <w:rFonts w:ascii="宋体" w:hAnsi="宋体" w:eastAsia="宋体" w:cs="宋体"/>
          <w:color w:val="auto"/>
          <w:sz w:val="31"/>
          <w:szCs w:val="31"/>
          <w:highlight w:val="none"/>
        </w:rPr>
      </w:pPr>
      <w:r>
        <w:rPr>
          <w:rFonts w:ascii="宋体" w:hAnsi="宋体" w:eastAsia="宋体" w:cs="宋体"/>
          <w:color w:val="auto"/>
          <w:spacing w:val="5"/>
          <w:sz w:val="31"/>
          <w:szCs w:val="31"/>
          <w:highlight w:val="none"/>
        </w:rPr>
        <w:t>所竞分标（如有则填写，无分标时填写“无”或者</w:t>
      </w:r>
      <w:r>
        <w:rPr>
          <w:rFonts w:ascii="宋体" w:hAnsi="宋体" w:eastAsia="宋体" w:cs="宋体"/>
          <w:color w:val="auto"/>
          <w:spacing w:val="4"/>
          <w:sz w:val="31"/>
          <w:szCs w:val="31"/>
          <w:highlight w:val="none"/>
        </w:rPr>
        <w:t>留空</w:t>
      </w:r>
      <w:r>
        <w:rPr>
          <w:rFonts w:ascii="宋体" w:hAnsi="宋体" w:eastAsia="宋体" w:cs="宋体"/>
          <w:color w:val="auto"/>
          <w:spacing w:val="-14"/>
          <w:sz w:val="31"/>
          <w:szCs w:val="31"/>
          <w:highlight w:val="none"/>
        </w:rPr>
        <w:t>）：</w:t>
      </w:r>
    </w:p>
    <w:p w14:paraId="66F67FDF">
      <w:pPr>
        <w:pStyle w:val="4"/>
        <w:spacing w:line="259" w:lineRule="auto"/>
        <w:rPr>
          <w:color w:val="auto"/>
          <w:highlight w:val="none"/>
        </w:rPr>
      </w:pPr>
    </w:p>
    <w:p w14:paraId="23D6F199">
      <w:pPr>
        <w:pStyle w:val="4"/>
        <w:spacing w:line="259" w:lineRule="auto"/>
        <w:rPr>
          <w:color w:val="auto"/>
          <w:highlight w:val="none"/>
        </w:rPr>
      </w:pPr>
    </w:p>
    <w:p w14:paraId="2E53CDEB">
      <w:pPr>
        <w:spacing w:before="101" w:line="224" w:lineRule="auto"/>
        <w:ind w:left="665"/>
        <w:rPr>
          <w:rFonts w:ascii="宋体" w:hAnsi="宋体" w:eastAsia="宋体" w:cs="宋体"/>
          <w:color w:val="auto"/>
          <w:sz w:val="31"/>
          <w:szCs w:val="31"/>
          <w:highlight w:val="none"/>
        </w:rPr>
      </w:pPr>
      <w:r>
        <w:rPr>
          <w:rFonts w:ascii="宋体" w:hAnsi="宋体" w:eastAsia="宋体" w:cs="宋体"/>
          <w:color w:val="auto"/>
          <w:spacing w:val="-1"/>
          <w:sz w:val="31"/>
          <w:szCs w:val="31"/>
          <w:highlight w:val="none"/>
        </w:rPr>
        <w:t>供应商名称：</w:t>
      </w:r>
    </w:p>
    <w:p w14:paraId="47CA6891">
      <w:pPr>
        <w:pStyle w:val="4"/>
        <w:spacing w:line="272" w:lineRule="auto"/>
        <w:rPr>
          <w:color w:val="auto"/>
          <w:highlight w:val="none"/>
        </w:rPr>
      </w:pPr>
    </w:p>
    <w:p w14:paraId="6B326F51">
      <w:pPr>
        <w:pStyle w:val="4"/>
        <w:spacing w:line="272" w:lineRule="auto"/>
        <w:rPr>
          <w:color w:val="auto"/>
          <w:highlight w:val="none"/>
        </w:rPr>
      </w:pPr>
    </w:p>
    <w:p w14:paraId="7D5C7D4F">
      <w:pPr>
        <w:pStyle w:val="4"/>
        <w:spacing w:line="272" w:lineRule="auto"/>
        <w:rPr>
          <w:color w:val="auto"/>
          <w:highlight w:val="none"/>
        </w:rPr>
      </w:pPr>
    </w:p>
    <w:p w14:paraId="4F5EE703">
      <w:pPr>
        <w:pStyle w:val="4"/>
        <w:spacing w:line="272" w:lineRule="auto"/>
        <w:rPr>
          <w:color w:val="auto"/>
          <w:highlight w:val="none"/>
        </w:rPr>
      </w:pPr>
    </w:p>
    <w:p w14:paraId="4A6AD35C">
      <w:pPr>
        <w:pStyle w:val="4"/>
        <w:spacing w:line="272" w:lineRule="auto"/>
        <w:rPr>
          <w:color w:val="auto"/>
          <w:highlight w:val="none"/>
        </w:rPr>
      </w:pPr>
    </w:p>
    <w:p w14:paraId="3671202F">
      <w:pPr>
        <w:pStyle w:val="4"/>
        <w:spacing w:line="273" w:lineRule="auto"/>
        <w:rPr>
          <w:color w:val="auto"/>
          <w:highlight w:val="none"/>
        </w:rPr>
      </w:pPr>
    </w:p>
    <w:p w14:paraId="41CFCF39">
      <w:pPr>
        <w:pStyle w:val="4"/>
        <w:spacing w:line="273" w:lineRule="auto"/>
        <w:rPr>
          <w:color w:val="auto"/>
          <w:highlight w:val="none"/>
        </w:rPr>
      </w:pPr>
    </w:p>
    <w:p w14:paraId="49A5D5E6">
      <w:pPr>
        <w:spacing w:before="101" w:line="225" w:lineRule="auto"/>
        <w:ind w:left="3393"/>
        <w:rPr>
          <w:rFonts w:ascii="宋体" w:hAnsi="宋体" w:eastAsia="宋体" w:cs="宋体"/>
          <w:color w:val="auto"/>
          <w:sz w:val="31"/>
          <w:szCs w:val="31"/>
          <w:highlight w:val="none"/>
        </w:rPr>
      </w:pPr>
      <w:r>
        <w:rPr>
          <w:rFonts w:ascii="宋体" w:hAnsi="宋体" w:eastAsia="宋体" w:cs="宋体"/>
          <w:color w:val="auto"/>
          <w:spacing w:val="-6"/>
          <w:sz w:val="31"/>
          <w:szCs w:val="31"/>
          <w:highlight w:val="none"/>
        </w:rPr>
        <w:t>年月日</w:t>
      </w:r>
    </w:p>
    <w:p w14:paraId="6BEA19FA">
      <w:pPr>
        <w:spacing w:line="225" w:lineRule="auto"/>
        <w:rPr>
          <w:rFonts w:ascii="宋体" w:hAnsi="宋体" w:eastAsia="宋体" w:cs="宋体"/>
          <w:color w:val="auto"/>
          <w:sz w:val="31"/>
          <w:szCs w:val="31"/>
          <w:highlight w:val="none"/>
        </w:rPr>
        <w:sectPr>
          <w:footerReference r:id="rId40" w:type="default"/>
          <w:pgSz w:w="11907" w:h="16839"/>
          <w:pgMar w:top="1423" w:right="1230" w:bottom="1154" w:left="1785" w:header="0" w:footer="952" w:gutter="0"/>
          <w:cols w:space="720" w:num="1"/>
        </w:sectPr>
      </w:pPr>
    </w:p>
    <w:p w14:paraId="2B418A2B">
      <w:pPr>
        <w:spacing w:before="124" w:line="224" w:lineRule="auto"/>
        <w:ind w:left="169"/>
        <w:rPr>
          <w:rFonts w:ascii="宋体" w:hAnsi="宋体" w:eastAsia="宋体" w:cs="宋体"/>
          <w:color w:val="auto"/>
          <w:sz w:val="31"/>
          <w:szCs w:val="31"/>
          <w:highlight w:val="none"/>
        </w:rPr>
      </w:pPr>
      <w:r>
        <w:rPr>
          <w:rFonts w:ascii="宋体" w:hAnsi="宋体" w:eastAsia="宋体" w:cs="宋体"/>
          <w:b/>
          <w:bCs/>
          <w:color w:val="auto"/>
          <w:spacing w:val="4"/>
          <w:sz w:val="31"/>
          <w:szCs w:val="31"/>
          <w:highlight w:val="none"/>
        </w:rPr>
        <w:t>2.报价文件目录</w:t>
      </w:r>
    </w:p>
    <w:p w14:paraId="5CFA1746">
      <w:pPr>
        <w:pStyle w:val="4"/>
        <w:spacing w:line="290" w:lineRule="auto"/>
        <w:rPr>
          <w:color w:val="auto"/>
          <w:highlight w:val="none"/>
        </w:rPr>
      </w:pPr>
    </w:p>
    <w:p w14:paraId="7AF28496">
      <w:pPr>
        <w:spacing w:before="101" w:line="224" w:lineRule="auto"/>
        <w:jc w:val="right"/>
        <w:rPr>
          <w:rFonts w:ascii="宋体" w:hAnsi="宋体" w:eastAsia="宋体" w:cs="宋体"/>
          <w:color w:val="auto"/>
          <w:sz w:val="31"/>
          <w:szCs w:val="31"/>
          <w:highlight w:val="none"/>
        </w:rPr>
      </w:pPr>
      <w:r>
        <w:rPr>
          <w:rFonts w:ascii="宋体" w:hAnsi="宋体" w:eastAsia="宋体" w:cs="宋体"/>
          <w:color w:val="auto"/>
          <w:spacing w:val="9"/>
          <w:sz w:val="31"/>
          <w:szCs w:val="31"/>
          <w:highlight w:val="none"/>
        </w:rPr>
        <w:t>根据磋商文件规定及供应商提供的材料自行编写目录（部分格式</w:t>
      </w:r>
    </w:p>
    <w:p w14:paraId="4F48DF3F">
      <w:pPr>
        <w:spacing w:before="144" w:line="224" w:lineRule="auto"/>
        <w:ind w:left="3874"/>
        <w:rPr>
          <w:rFonts w:ascii="宋体" w:hAnsi="宋体" w:eastAsia="宋体" w:cs="宋体"/>
          <w:color w:val="auto"/>
          <w:sz w:val="31"/>
          <w:szCs w:val="31"/>
          <w:highlight w:val="none"/>
        </w:rPr>
      </w:pPr>
      <w:r>
        <w:rPr>
          <w:rFonts w:ascii="宋体" w:hAnsi="宋体" w:eastAsia="宋体" w:cs="宋体"/>
          <w:color w:val="auto"/>
          <w:spacing w:val="-6"/>
          <w:sz w:val="31"/>
          <w:szCs w:val="31"/>
          <w:highlight w:val="none"/>
        </w:rPr>
        <w:t>后附）。</w:t>
      </w:r>
    </w:p>
    <w:p w14:paraId="203F54F0">
      <w:pPr>
        <w:spacing w:line="224" w:lineRule="auto"/>
        <w:rPr>
          <w:rFonts w:ascii="宋体" w:hAnsi="宋体" w:eastAsia="宋体" w:cs="宋体"/>
          <w:color w:val="auto"/>
          <w:sz w:val="31"/>
          <w:szCs w:val="31"/>
          <w:highlight w:val="none"/>
        </w:rPr>
        <w:sectPr>
          <w:footerReference r:id="rId41" w:type="default"/>
          <w:pgSz w:w="11907" w:h="16839"/>
          <w:pgMar w:top="1431" w:right="1145" w:bottom="1154" w:left="1785" w:header="0" w:footer="954" w:gutter="0"/>
          <w:cols w:space="720" w:num="1"/>
        </w:sectPr>
      </w:pPr>
    </w:p>
    <w:p w14:paraId="4151937C">
      <w:pPr>
        <w:spacing w:before="85" w:line="216" w:lineRule="auto"/>
        <w:ind w:left="0" w:leftChars="0" w:firstLine="0" w:firstLineChars="0"/>
        <w:jc w:val="center"/>
        <w:rPr>
          <w:rFonts w:ascii="宋体" w:hAnsi="宋体" w:eastAsia="宋体" w:cs="宋体"/>
          <w:color w:val="auto"/>
          <w:sz w:val="43"/>
          <w:szCs w:val="43"/>
          <w:highlight w:val="none"/>
        </w:rPr>
      </w:pPr>
      <w:r>
        <w:rPr>
          <w:rFonts w:ascii="宋体" w:hAnsi="宋体" w:eastAsia="宋体" w:cs="宋体"/>
          <w:b/>
          <w:bCs/>
          <w:color w:val="auto"/>
          <w:spacing w:val="1"/>
          <w:sz w:val="43"/>
          <w:szCs w:val="43"/>
          <w:highlight w:val="none"/>
        </w:rPr>
        <w:t>竞标报价表</w:t>
      </w:r>
    </w:p>
    <w:p w14:paraId="75FBAED8">
      <w:pPr>
        <w:pStyle w:val="4"/>
        <w:spacing w:line="366" w:lineRule="auto"/>
        <w:rPr>
          <w:color w:val="auto"/>
          <w:highlight w:val="none"/>
        </w:rPr>
      </w:pPr>
    </w:p>
    <w:p w14:paraId="76E80FD2">
      <w:pPr>
        <w:spacing w:before="78" w:line="220" w:lineRule="auto"/>
        <w:ind w:left="30"/>
        <w:rPr>
          <w:rFonts w:hint="eastAsia"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rPr>
        <w:t>项目名称：</w:t>
      </w:r>
    </w:p>
    <w:p w14:paraId="739A3E10">
      <w:pPr>
        <w:spacing w:before="181" w:line="220" w:lineRule="auto"/>
        <w:ind w:left="30"/>
        <w:rPr>
          <w:rFonts w:hint="eastAsia"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rPr>
        <w:t>项目编号：</w:t>
      </w:r>
    </w:p>
    <w:p w14:paraId="571A653F">
      <w:pPr>
        <w:spacing w:before="179" w:line="219" w:lineRule="auto"/>
        <w:ind w:left="26"/>
        <w:rPr>
          <w:rFonts w:hint="eastAsia"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rPr>
        <w:t>供应商名称：</w:t>
      </w:r>
    </w:p>
    <w:p w14:paraId="592829CD">
      <w:pPr>
        <w:spacing w:before="184" w:line="220" w:lineRule="auto"/>
        <w:ind w:firstLine="7680" w:firstLineChars="3200"/>
        <w:rPr>
          <w:rFonts w:hint="eastAsia" w:ascii="宋体" w:hAnsi="宋体" w:eastAsia="宋体" w:cs="宋体"/>
          <w:color w:val="auto"/>
          <w:sz w:val="24"/>
          <w:szCs w:val="24"/>
          <w:highlight w:val="none"/>
          <w:lang w:eastAsia="zh-CN"/>
        </w:rPr>
      </w:pPr>
    </w:p>
    <w:p w14:paraId="4CA1E61B">
      <w:pPr>
        <w:spacing w:line="143" w:lineRule="exact"/>
        <w:rPr>
          <w:color w:val="auto"/>
          <w:highlight w:val="none"/>
        </w:rPr>
      </w:pPr>
    </w:p>
    <w:tbl>
      <w:tblPr>
        <w:tblStyle w:val="11"/>
        <w:tblW w:w="91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3"/>
        <w:gridCol w:w="2454"/>
        <w:gridCol w:w="1840"/>
        <w:gridCol w:w="2798"/>
        <w:gridCol w:w="1187"/>
      </w:tblGrid>
      <w:tr w14:paraId="033917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23" w:type="dxa"/>
            <w:vAlign w:val="top"/>
          </w:tcPr>
          <w:p w14:paraId="54AE1370">
            <w:pPr>
              <w:pStyle w:val="12"/>
              <w:spacing w:before="283" w:line="221" w:lineRule="auto"/>
              <w:ind w:left="176"/>
              <w:rPr>
                <w:color w:val="auto"/>
                <w:sz w:val="24"/>
                <w:szCs w:val="24"/>
                <w:highlight w:val="none"/>
              </w:rPr>
            </w:pPr>
            <w:r>
              <w:rPr>
                <w:color w:val="auto"/>
                <w:spacing w:val="-3"/>
                <w:sz w:val="24"/>
                <w:szCs w:val="24"/>
                <w:highlight w:val="none"/>
              </w:rPr>
              <w:t>序号</w:t>
            </w:r>
          </w:p>
        </w:tc>
        <w:tc>
          <w:tcPr>
            <w:tcW w:w="2454" w:type="dxa"/>
            <w:vAlign w:val="top"/>
          </w:tcPr>
          <w:p w14:paraId="2822D968">
            <w:pPr>
              <w:pStyle w:val="12"/>
              <w:spacing w:before="283" w:line="220" w:lineRule="auto"/>
              <w:ind w:left="751"/>
              <w:rPr>
                <w:color w:val="auto"/>
                <w:sz w:val="24"/>
                <w:szCs w:val="24"/>
                <w:highlight w:val="none"/>
              </w:rPr>
            </w:pPr>
            <w:r>
              <w:rPr>
                <w:color w:val="auto"/>
                <w:spacing w:val="-3"/>
                <w:sz w:val="24"/>
                <w:szCs w:val="24"/>
                <w:highlight w:val="none"/>
              </w:rPr>
              <w:t>标的名称</w:t>
            </w:r>
          </w:p>
        </w:tc>
        <w:tc>
          <w:tcPr>
            <w:tcW w:w="1840" w:type="dxa"/>
            <w:vAlign w:val="top"/>
          </w:tcPr>
          <w:p w14:paraId="7DD868BD">
            <w:pPr>
              <w:pStyle w:val="12"/>
              <w:spacing w:before="282" w:line="220" w:lineRule="auto"/>
              <w:ind w:left="389"/>
              <w:rPr>
                <w:color w:val="auto"/>
                <w:sz w:val="24"/>
                <w:szCs w:val="24"/>
                <w:highlight w:val="none"/>
              </w:rPr>
            </w:pPr>
            <w:r>
              <w:rPr>
                <w:color w:val="auto"/>
                <w:spacing w:val="-3"/>
                <w:sz w:val="24"/>
                <w:szCs w:val="24"/>
                <w:highlight w:val="none"/>
              </w:rPr>
              <w:t>数量/单位</w:t>
            </w:r>
          </w:p>
        </w:tc>
        <w:tc>
          <w:tcPr>
            <w:tcW w:w="2798" w:type="dxa"/>
            <w:vAlign w:val="top"/>
          </w:tcPr>
          <w:p w14:paraId="30C637C9">
            <w:pPr>
              <w:pStyle w:val="12"/>
              <w:spacing w:before="283" w:line="218" w:lineRule="auto"/>
              <w:ind w:left="80" w:leftChars="38" w:firstLine="0" w:firstLineChars="0"/>
              <w:jc w:val="center"/>
              <w:rPr>
                <w:color w:val="auto"/>
                <w:spacing w:val="-4"/>
                <w:sz w:val="24"/>
                <w:szCs w:val="24"/>
                <w:highlight w:val="none"/>
              </w:rPr>
            </w:pPr>
            <w:r>
              <w:rPr>
                <w:color w:val="auto"/>
                <w:spacing w:val="-4"/>
                <w:sz w:val="24"/>
                <w:szCs w:val="24"/>
                <w:highlight w:val="none"/>
              </w:rPr>
              <w:t>竞标报价</w:t>
            </w:r>
          </w:p>
          <w:p w14:paraId="0B972C35">
            <w:pPr>
              <w:pStyle w:val="12"/>
              <w:spacing w:before="283" w:line="218" w:lineRule="auto"/>
              <w:ind w:left="80" w:leftChars="38" w:firstLine="0" w:firstLineChars="0"/>
              <w:jc w:val="center"/>
              <w:rPr>
                <w:color w:val="auto"/>
                <w:sz w:val="24"/>
                <w:szCs w:val="24"/>
                <w:highlight w:val="none"/>
              </w:rPr>
            </w:pPr>
            <w:r>
              <w:rPr>
                <w:color w:val="auto"/>
                <w:spacing w:val="-4"/>
                <w:sz w:val="24"/>
                <w:szCs w:val="24"/>
                <w:highlight w:val="none"/>
              </w:rPr>
              <w:t>（</w:t>
            </w:r>
            <w:r>
              <w:rPr>
                <w:rFonts w:hint="eastAsia"/>
                <w:color w:val="auto"/>
                <w:spacing w:val="-4"/>
                <w:sz w:val="24"/>
                <w:szCs w:val="24"/>
                <w:highlight w:val="none"/>
                <w:lang w:val="en-US" w:eastAsia="zh-CN"/>
              </w:rPr>
              <w:t>按费率报价</w:t>
            </w:r>
            <w:r>
              <w:rPr>
                <w:color w:val="auto"/>
                <w:spacing w:val="-4"/>
                <w:sz w:val="24"/>
                <w:szCs w:val="24"/>
                <w:highlight w:val="none"/>
              </w:rPr>
              <w:t>）</w:t>
            </w:r>
          </w:p>
        </w:tc>
        <w:tc>
          <w:tcPr>
            <w:tcW w:w="1187" w:type="dxa"/>
            <w:vAlign w:val="top"/>
          </w:tcPr>
          <w:p w14:paraId="7D820417">
            <w:pPr>
              <w:pStyle w:val="12"/>
              <w:spacing w:before="283" w:line="221" w:lineRule="auto"/>
              <w:ind w:left="359"/>
              <w:rPr>
                <w:color w:val="auto"/>
                <w:sz w:val="24"/>
                <w:szCs w:val="24"/>
                <w:highlight w:val="none"/>
              </w:rPr>
            </w:pPr>
            <w:r>
              <w:rPr>
                <w:color w:val="auto"/>
                <w:spacing w:val="-4"/>
                <w:sz w:val="24"/>
                <w:szCs w:val="24"/>
                <w:highlight w:val="none"/>
              </w:rPr>
              <w:t>备注</w:t>
            </w:r>
          </w:p>
        </w:tc>
      </w:tr>
      <w:tr w14:paraId="3E8C71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3" w:hRule="atLeast"/>
        </w:trPr>
        <w:tc>
          <w:tcPr>
            <w:tcW w:w="823" w:type="dxa"/>
            <w:vAlign w:val="top"/>
          </w:tcPr>
          <w:p w14:paraId="102B035F">
            <w:pPr>
              <w:pStyle w:val="12"/>
              <w:spacing w:before="280" w:line="241" w:lineRule="auto"/>
              <w:ind w:left="374"/>
              <w:rPr>
                <w:color w:val="auto"/>
                <w:sz w:val="24"/>
                <w:szCs w:val="24"/>
                <w:highlight w:val="none"/>
              </w:rPr>
            </w:pPr>
            <w:r>
              <w:rPr>
                <w:color w:val="auto"/>
                <w:sz w:val="24"/>
                <w:szCs w:val="24"/>
                <w:highlight w:val="none"/>
              </w:rPr>
              <w:t>1</w:t>
            </w:r>
          </w:p>
        </w:tc>
        <w:tc>
          <w:tcPr>
            <w:tcW w:w="2454" w:type="dxa"/>
            <w:vAlign w:val="top"/>
          </w:tcPr>
          <w:p w14:paraId="4009A858">
            <w:pPr>
              <w:pStyle w:val="12"/>
              <w:spacing w:before="127"/>
              <w:ind w:left="253" w:right="206" w:hanging="42"/>
              <w:rPr>
                <w:rFonts w:hint="eastAsia" w:eastAsia="宋体"/>
                <w:color w:val="auto"/>
                <w:sz w:val="24"/>
                <w:szCs w:val="24"/>
                <w:highlight w:val="none"/>
                <w:lang w:eastAsia="zh-CN"/>
              </w:rPr>
            </w:pPr>
            <w:r>
              <w:rPr>
                <w:rFonts w:hint="eastAsia"/>
                <w:color w:val="auto"/>
                <w:spacing w:val="-4"/>
                <w:sz w:val="24"/>
                <w:szCs w:val="24"/>
                <w:highlight w:val="none"/>
                <w:lang w:eastAsia="zh-CN"/>
              </w:rPr>
              <w:t>北流市2026年财政常态化帮扶资金项目复核验收服务</w:t>
            </w:r>
          </w:p>
        </w:tc>
        <w:tc>
          <w:tcPr>
            <w:tcW w:w="1840" w:type="dxa"/>
            <w:vAlign w:val="top"/>
          </w:tcPr>
          <w:p w14:paraId="0917EE43">
            <w:pPr>
              <w:pStyle w:val="12"/>
              <w:spacing w:before="280" w:line="221" w:lineRule="auto"/>
              <w:ind w:left="734"/>
              <w:rPr>
                <w:rFonts w:hint="eastAsia" w:eastAsia="宋体"/>
                <w:color w:val="auto"/>
                <w:sz w:val="24"/>
                <w:szCs w:val="24"/>
                <w:highlight w:val="none"/>
                <w:lang w:eastAsia="zh-CN"/>
              </w:rPr>
            </w:pPr>
            <w:r>
              <w:rPr>
                <w:rFonts w:hint="eastAsia"/>
                <w:color w:val="auto"/>
                <w:spacing w:val="-14"/>
                <w:sz w:val="24"/>
                <w:szCs w:val="24"/>
                <w:highlight w:val="none"/>
                <w:lang w:eastAsia="zh-CN"/>
              </w:rPr>
              <w:t>1项</w:t>
            </w:r>
          </w:p>
        </w:tc>
        <w:tc>
          <w:tcPr>
            <w:tcW w:w="2798" w:type="dxa"/>
            <w:vAlign w:val="top"/>
          </w:tcPr>
          <w:p w14:paraId="376DD432">
            <w:pPr>
              <w:rPr>
                <w:rFonts w:ascii="Arial"/>
                <w:color w:val="auto"/>
                <w:sz w:val="21"/>
                <w:highlight w:val="none"/>
              </w:rPr>
            </w:pPr>
          </w:p>
        </w:tc>
        <w:tc>
          <w:tcPr>
            <w:tcW w:w="1187" w:type="dxa"/>
            <w:vAlign w:val="top"/>
          </w:tcPr>
          <w:p w14:paraId="1A2BE30A">
            <w:pPr>
              <w:rPr>
                <w:rFonts w:ascii="Arial"/>
                <w:color w:val="auto"/>
                <w:sz w:val="21"/>
                <w:highlight w:val="none"/>
              </w:rPr>
            </w:pPr>
          </w:p>
        </w:tc>
      </w:tr>
      <w:tr w14:paraId="621DFB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9102" w:type="dxa"/>
            <w:gridSpan w:val="5"/>
            <w:vAlign w:val="top"/>
          </w:tcPr>
          <w:p w14:paraId="5025154A">
            <w:pPr>
              <w:pStyle w:val="12"/>
              <w:spacing w:before="282" w:line="218" w:lineRule="auto"/>
              <w:ind w:left="115"/>
              <w:rPr>
                <w:rFonts w:hint="default" w:eastAsia="宋体"/>
                <w:color w:val="auto"/>
                <w:sz w:val="24"/>
                <w:szCs w:val="24"/>
                <w:highlight w:val="none"/>
                <w:lang w:val="en-US" w:eastAsia="zh-CN"/>
              </w:rPr>
            </w:pPr>
            <w:r>
              <w:rPr>
                <w:rFonts w:hint="eastAsia"/>
                <w:color w:val="auto"/>
                <w:spacing w:val="-10"/>
                <w:sz w:val="24"/>
                <w:szCs w:val="24"/>
                <w:highlight w:val="none"/>
                <w:lang w:val="en-US" w:eastAsia="zh-CN"/>
              </w:rPr>
              <w:t>服务期限：</w:t>
            </w:r>
          </w:p>
        </w:tc>
      </w:tr>
      <w:tr w14:paraId="56DD1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9102" w:type="dxa"/>
            <w:gridSpan w:val="5"/>
            <w:vAlign w:val="top"/>
          </w:tcPr>
          <w:p w14:paraId="62C5AA7C">
            <w:pPr>
              <w:pStyle w:val="12"/>
              <w:spacing w:before="127"/>
              <w:ind w:left="253" w:right="206" w:hanging="42"/>
              <w:rPr>
                <w:rFonts w:hint="eastAsia" w:ascii="宋体" w:hAnsi="宋体" w:eastAsia="宋体" w:cs="宋体"/>
                <w:color w:val="auto"/>
                <w:spacing w:val="-4"/>
                <w:sz w:val="24"/>
                <w:szCs w:val="24"/>
                <w:highlight w:val="none"/>
                <w:lang w:val="en-US" w:eastAsia="zh-CN"/>
              </w:rPr>
            </w:pPr>
            <w:r>
              <w:rPr>
                <w:rFonts w:hint="eastAsia" w:ascii="宋体" w:hAnsi="宋体" w:eastAsia="宋体" w:cs="宋体"/>
                <w:color w:val="auto"/>
                <w:spacing w:val="-4"/>
                <w:sz w:val="24"/>
                <w:szCs w:val="24"/>
                <w:highlight w:val="none"/>
                <w:lang w:val="en-US" w:eastAsia="zh-CN"/>
              </w:rPr>
              <w:t>注：</w:t>
            </w:r>
          </w:p>
          <w:p w14:paraId="3BDD93AA">
            <w:pPr>
              <w:pStyle w:val="12"/>
              <w:numPr>
                <w:ilvl w:val="0"/>
                <w:numId w:val="1"/>
              </w:numPr>
              <w:spacing w:before="127"/>
              <w:ind w:left="253" w:right="206" w:hanging="42"/>
              <w:rPr>
                <w:rFonts w:hint="eastAsia" w:ascii="宋体" w:hAnsi="宋体" w:eastAsia="宋体" w:cs="宋体"/>
                <w:color w:val="auto"/>
                <w:spacing w:val="-4"/>
                <w:sz w:val="24"/>
                <w:szCs w:val="24"/>
                <w:highlight w:val="none"/>
                <w:lang w:val="en-US" w:eastAsia="zh-CN"/>
              </w:rPr>
            </w:pPr>
            <w:r>
              <w:rPr>
                <w:rFonts w:hint="eastAsia" w:ascii="宋体" w:hAnsi="宋体" w:eastAsia="宋体" w:cs="宋体"/>
                <w:color w:val="auto"/>
                <w:spacing w:val="-4"/>
                <w:sz w:val="24"/>
                <w:szCs w:val="24"/>
                <w:highlight w:val="none"/>
                <w:lang w:val="en-US" w:eastAsia="zh-CN"/>
              </w:rPr>
              <w:t>本项目采用费率方式报价，投标费率不得大于2%，超出该费率上限的，作投标无效处理。</w:t>
            </w:r>
          </w:p>
          <w:p w14:paraId="605DE033">
            <w:pPr>
              <w:pStyle w:val="12"/>
              <w:numPr>
                <w:ilvl w:val="0"/>
                <w:numId w:val="0"/>
              </w:numPr>
              <w:spacing w:before="127"/>
              <w:ind w:left="211" w:leftChars="0" w:right="206" w:rightChars="0"/>
              <w:rPr>
                <w:rFonts w:hint="eastAsia"/>
                <w:color w:val="auto"/>
                <w:spacing w:val="-10"/>
                <w:sz w:val="24"/>
                <w:szCs w:val="24"/>
                <w:highlight w:val="none"/>
                <w:lang w:val="en-US" w:eastAsia="zh-CN"/>
              </w:rPr>
            </w:pPr>
            <w:r>
              <w:rPr>
                <w:rFonts w:hint="eastAsia" w:ascii="宋体" w:hAnsi="宋体" w:eastAsia="宋体" w:cs="宋体"/>
                <w:color w:val="auto"/>
                <w:spacing w:val="-4"/>
                <w:sz w:val="24"/>
                <w:szCs w:val="24"/>
                <w:highlight w:val="none"/>
                <w:lang w:val="en-US" w:eastAsia="zh-CN"/>
              </w:rPr>
              <w:t>2、服务范围内每个子项目的投标费率应与此项报价一致，不另作报价。</w:t>
            </w:r>
          </w:p>
        </w:tc>
      </w:tr>
    </w:tbl>
    <w:p w14:paraId="73EA1751">
      <w:pPr>
        <w:pStyle w:val="4"/>
        <w:spacing w:line="421" w:lineRule="auto"/>
        <w:rPr>
          <w:color w:val="auto"/>
          <w:highlight w:val="none"/>
        </w:rPr>
      </w:pPr>
    </w:p>
    <w:p w14:paraId="6D71C7B5">
      <w:pPr>
        <w:spacing w:before="78" w:line="224" w:lineRule="auto"/>
        <w:ind w:left="26"/>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注：</w:t>
      </w:r>
    </w:p>
    <w:p w14:paraId="7CA9390D">
      <w:pPr>
        <w:spacing w:before="20" w:line="230" w:lineRule="auto"/>
        <w:ind w:left="27" w:right="330" w:firstLine="496"/>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1.供应商的报价表必须加盖供应商电子签章并由法定代表人或者委托代理人签</w:t>
      </w:r>
      <w:r>
        <w:rPr>
          <w:rFonts w:ascii="宋体" w:hAnsi="宋体" w:eastAsia="宋体" w:cs="宋体"/>
          <w:color w:val="auto"/>
          <w:spacing w:val="-2"/>
          <w:sz w:val="24"/>
          <w:szCs w:val="24"/>
          <w:highlight w:val="none"/>
        </w:rPr>
        <w:t>字或者电子签名，</w:t>
      </w:r>
      <w:r>
        <w:rPr>
          <w:rFonts w:ascii="宋体" w:hAnsi="宋体" w:eastAsia="宋体" w:cs="宋体"/>
          <w:b/>
          <w:bCs/>
          <w:color w:val="auto"/>
          <w:spacing w:val="-2"/>
          <w:sz w:val="24"/>
          <w:szCs w:val="24"/>
          <w:highlight w:val="none"/>
        </w:rPr>
        <w:t>否则其响应文件按无效处理</w:t>
      </w:r>
      <w:r>
        <w:rPr>
          <w:rFonts w:ascii="宋体" w:hAnsi="宋体" w:eastAsia="宋体" w:cs="宋体"/>
          <w:color w:val="auto"/>
          <w:spacing w:val="-2"/>
          <w:sz w:val="24"/>
          <w:szCs w:val="24"/>
          <w:highlight w:val="none"/>
        </w:rPr>
        <w:t>。</w:t>
      </w:r>
    </w:p>
    <w:p w14:paraId="4642041A">
      <w:pPr>
        <w:spacing w:before="24" w:line="230" w:lineRule="auto"/>
        <w:ind w:left="28" w:right="114" w:firstLine="480"/>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2.报价一经涂改，应在涂改处加盖供应商公章或者加盖电子签章或者由法定代表</w:t>
      </w:r>
      <w:r>
        <w:rPr>
          <w:rFonts w:ascii="宋体" w:hAnsi="宋体" w:eastAsia="宋体" w:cs="宋体"/>
          <w:color w:val="auto"/>
          <w:spacing w:val="-2"/>
          <w:sz w:val="24"/>
          <w:szCs w:val="24"/>
          <w:highlight w:val="none"/>
        </w:rPr>
        <w:t>人或者授权委托人签字（或者电子签名</w:t>
      </w:r>
      <w:r>
        <w:rPr>
          <w:rFonts w:ascii="宋体" w:hAnsi="宋体" w:eastAsia="宋体" w:cs="宋体"/>
          <w:color w:val="auto"/>
          <w:spacing w:val="11"/>
          <w:sz w:val="24"/>
          <w:szCs w:val="24"/>
          <w:highlight w:val="none"/>
        </w:rPr>
        <w:t>）</w:t>
      </w:r>
      <w:r>
        <w:rPr>
          <w:rFonts w:ascii="宋体" w:hAnsi="宋体" w:eastAsia="宋体" w:cs="宋体"/>
          <w:b/>
          <w:bCs/>
          <w:color w:val="auto"/>
          <w:spacing w:val="11"/>
          <w:sz w:val="24"/>
          <w:szCs w:val="24"/>
          <w:highlight w:val="none"/>
        </w:rPr>
        <w:t>，</w:t>
      </w:r>
      <w:r>
        <w:rPr>
          <w:rFonts w:ascii="宋体" w:hAnsi="宋体" w:eastAsia="宋体" w:cs="宋体"/>
          <w:b/>
          <w:bCs/>
          <w:color w:val="auto"/>
          <w:spacing w:val="-2"/>
          <w:sz w:val="24"/>
          <w:szCs w:val="24"/>
          <w:highlight w:val="none"/>
        </w:rPr>
        <w:t>否则其响应文件按无效处理。</w:t>
      </w:r>
    </w:p>
    <w:p w14:paraId="74840C62">
      <w:pPr>
        <w:spacing w:before="26" w:line="229" w:lineRule="auto"/>
        <w:ind w:left="30" w:right="210" w:firstLine="480"/>
        <w:rPr>
          <w:rFonts w:ascii="宋体" w:hAnsi="宋体" w:eastAsia="宋体" w:cs="宋体"/>
          <w:color w:val="auto"/>
          <w:sz w:val="24"/>
          <w:szCs w:val="24"/>
          <w:highlight w:val="none"/>
        </w:rPr>
      </w:pPr>
      <w:r>
        <w:rPr>
          <w:rFonts w:ascii="宋体" w:hAnsi="宋体" w:eastAsia="宋体" w:cs="宋体"/>
          <w:color w:val="auto"/>
          <w:sz w:val="24"/>
          <w:szCs w:val="24"/>
          <w:highlight w:val="none"/>
        </w:rPr>
        <w:t>3.如为联合体竞标，“供应商名称”处必须</w:t>
      </w:r>
      <w:r>
        <w:rPr>
          <w:rFonts w:ascii="宋体" w:hAnsi="宋体" w:eastAsia="宋体" w:cs="宋体"/>
          <w:color w:val="auto"/>
          <w:spacing w:val="-1"/>
          <w:sz w:val="24"/>
          <w:szCs w:val="24"/>
          <w:highlight w:val="none"/>
        </w:rPr>
        <w:t>列明联合体各方名称，标注联合体牵</w:t>
      </w:r>
      <w:r>
        <w:rPr>
          <w:rFonts w:ascii="宋体" w:hAnsi="宋体" w:eastAsia="宋体" w:cs="宋体"/>
          <w:color w:val="auto"/>
          <w:spacing w:val="-3"/>
          <w:sz w:val="24"/>
          <w:szCs w:val="24"/>
          <w:highlight w:val="none"/>
        </w:rPr>
        <w:t>头人名称，</w:t>
      </w:r>
      <w:r>
        <w:rPr>
          <w:rFonts w:ascii="宋体" w:hAnsi="宋体" w:eastAsia="宋体" w:cs="宋体"/>
          <w:b/>
          <w:bCs/>
          <w:color w:val="auto"/>
          <w:spacing w:val="-3"/>
          <w:sz w:val="24"/>
          <w:szCs w:val="24"/>
          <w:highlight w:val="none"/>
        </w:rPr>
        <w:t>否则其响应文件按无效响应处理。</w:t>
      </w:r>
    </w:p>
    <w:p w14:paraId="067B1D46">
      <w:pPr>
        <w:spacing w:before="27" w:line="230" w:lineRule="auto"/>
        <w:ind w:left="31" w:right="167" w:firstLine="473"/>
        <w:rPr>
          <w:rFonts w:ascii="宋体" w:hAnsi="宋体" w:eastAsia="宋体" w:cs="宋体"/>
          <w:color w:val="auto"/>
          <w:sz w:val="24"/>
          <w:szCs w:val="24"/>
          <w:highlight w:val="none"/>
        </w:rPr>
      </w:pPr>
      <w:r>
        <w:rPr>
          <w:rFonts w:ascii="宋体" w:hAnsi="宋体" w:eastAsia="宋体" w:cs="宋体"/>
          <w:color w:val="auto"/>
          <w:spacing w:val="-6"/>
          <w:sz w:val="24"/>
          <w:szCs w:val="24"/>
          <w:highlight w:val="none"/>
        </w:rPr>
        <w:t>4.如为联合体竞标，盖章处须加盖联合体牵头人电子签章，</w:t>
      </w:r>
      <w:r>
        <w:rPr>
          <w:rFonts w:ascii="宋体" w:hAnsi="宋体" w:eastAsia="宋体" w:cs="宋体"/>
          <w:b/>
          <w:bCs/>
          <w:color w:val="auto"/>
          <w:spacing w:val="-6"/>
          <w:sz w:val="24"/>
          <w:szCs w:val="24"/>
          <w:highlight w:val="none"/>
        </w:rPr>
        <w:t>否则其响应文件按无效处理。</w:t>
      </w:r>
    </w:p>
    <w:p w14:paraId="4B8B8685">
      <w:pPr>
        <w:spacing w:before="24" w:line="218" w:lineRule="auto"/>
        <w:ind w:left="510"/>
        <w:rPr>
          <w:rFonts w:ascii="宋体" w:hAnsi="宋体" w:eastAsia="宋体" w:cs="宋体"/>
          <w:color w:val="auto"/>
          <w:sz w:val="24"/>
          <w:szCs w:val="24"/>
          <w:highlight w:val="none"/>
        </w:rPr>
      </w:pPr>
      <w:r>
        <w:rPr>
          <w:rFonts w:ascii="宋体" w:hAnsi="宋体" w:eastAsia="宋体" w:cs="宋体"/>
          <w:color w:val="auto"/>
          <w:spacing w:val="-12"/>
          <w:sz w:val="24"/>
          <w:szCs w:val="24"/>
          <w:highlight w:val="none"/>
        </w:rPr>
        <w:t>5.如有多分标，分别列明各分标的报价表，</w:t>
      </w:r>
      <w:r>
        <w:rPr>
          <w:rFonts w:ascii="宋体" w:hAnsi="宋体" w:eastAsia="宋体" w:cs="宋体"/>
          <w:b/>
          <w:bCs/>
          <w:color w:val="auto"/>
          <w:spacing w:val="-12"/>
          <w:sz w:val="24"/>
          <w:szCs w:val="24"/>
          <w:highlight w:val="none"/>
        </w:rPr>
        <w:t>否则其响应文件按无效响应处理。</w:t>
      </w:r>
    </w:p>
    <w:p w14:paraId="1CABDBCD">
      <w:pPr>
        <w:pStyle w:val="4"/>
        <w:spacing w:line="260" w:lineRule="auto"/>
        <w:rPr>
          <w:color w:val="auto"/>
          <w:highlight w:val="none"/>
        </w:rPr>
      </w:pPr>
    </w:p>
    <w:p w14:paraId="77F4337D">
      <w:pPr>
        <w:spacing w:before="78" w:line="220" w:lineRule="auto"/>
        <w:ind w:left="2667"/>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法定代表人或者委托代理人（签字或者电子签名</w:t>
      </w:r>
      <w:r>
        <w:rPr>
          <w:rFonts w:ascii="宋体" w:hAnsi="宋体" w:eastAsia="宋体" w:cs="宋体"/>
          <w:color w:val="auto"/>
          <w:spacing w:val="-1"/>
          <w:sz w:val="24"/>
          <w:szCs w:val="24"/>
          <w:highlight w:val="none"/>
        </w:rPr>
        <w:t>）：</w:t>
      </w:r>
    </w:p>
    <w:p w14:paraId="7334AD7E">
      <w:pPr>
        <w:spacing w:before="182" w:line="219" w:lineRule="auto"/>
        <w:ind w:left="2666"/>
        <w:rPr>
          <w:rFonts w:ascii="宋体" w:hAnsi="宋体" w:eastAsia="宋体" w:cs="宋体"/>
          <w:color w:val="auto"/>
          <w:sz w:val="24"/>
          <w:szCs w:val="24"/>
          <w:highlight w:val="none"/>
        </w:rPr>
      </w:pPr>
      <w:r>
        <w:rPr>
          <w:rFonts w:ascii="宋体" w:hAnsi="宋体" w:eastAsia="宋体" w:cs="宋体"/>
          <w:color w:val="auto"/>
          <w:spacing w:val="-6"/>
          <w:sz w:val="24"/>
          <w:szCs w:val="24"/>
          <w:highlight w:val="none"/>
        </w:rPr>
        <w:t>供应商名称（电子签章</w:t>
      </w:r>
      <w:r>
        <w:rPr>
          <w:rFonts w:ascii="宋体" w:hAnsi="宋体" w:eastAsia="宋体" w:cs="宋体"/>
          <w:color w:val="auto"/>
          <w:spacing w:val="-1"/>
          <w:sz w:val="24"/>
          <w:szCs w:val="24"/>
          <w:highlight w:val="none"/>
        </w:rPr>
        <w:t>）：</w:t>
      </w:r>
    </w:p>
    <w:p w14:paraId="56608A1B">
      <w:pPr>
        <w:spacing w:before="181" w:line="220" w:lineRule="auto"/>
        <w:ind w:left="4147"/>
        <w:rPr>
          <w:rFonts w:ascii="宋体" w:hAnsi="宋体" w:eastAsia="宋体" w:cs="宋体"/>
          <w:color w:val="auto"/>
          <w:sz w:val="24"/>
          <w:szCs w:val="24"/>
          <w:highlight w:val="none"/>
        </w:rPr>
      </w:pPr>
      <w:r>
        <w:rPr>
          <w:rFonts w:ascii="宋体" w:hAnsi="宋体" w:eastAsia="宋体" w:cs="宋体"/>
          <w:color w:val="auto"/>
          <w:spacing w:val="-13"/>
          <w:sz w:val="24"/>
          <w:szCs w:val="24"/>
          <w:highlight w:val="none"/>
        </w:rPr>
        <w:t>日期：年月日</w:t>
      </w:r>
    </w:p>
    <w:p w14:paraId="5740CE7C">
      <w:pPr>
        <w:spacing w:line="220" w:lineRule="auto"/>
        <w:rPr>
          <w:rFonts w:ascii="宋体" w:hAnsi="宋体" w:eastAsia="宋体" w:cs="宋体"/>
          <w:color w:val="auto"/>
          <w:sz w:val="24"/>
          <w:szCs w:val="24"/>
          <w:highlight w:val="none"/>
        </w:rPr>
        <w:sectPr>
          <w:footerReference r:id="rId42" w:type="default"/>
          <w:pgSz w:w="11907" w:h="16839"/>
          <w:pgMar w:top="1401" w:right="1018" w:bottom="1154" w:left="1781" w:header="0" w:footer="952" w:gutter="0"/>
          <w:cols w:space="720" w:num="1"/>
        </w:sectPr>
      </w:pPr>
    </w:p>
    <w:p w14:paraId="76D8FA69">
      <w:pPr>
        <w:spacing w:before="63" w:line="225" w:lineRule="auto"/>
        <w:ind w:left="24"/>
        <w:rPr>
          <w:rFonts w:ascii="宋体" w:hAnsi="宋体" w:eastAsia="宋体" w:cs="宋体"/>
          <w:color w:val="auto"/>
          <w:sz w:val="31"/>
          <w:szCs w:val="31"/>
          <w:highlight w:val="none"/>
        </w:rPr>
      </w:pPr>
      <w:r>
        <w:rPr>
          <w:rFonts w:ascii="宋体" w:hAnsi="宋体" w:eastAsia="宋体" w:cs="宋体"/>
          <w:b/>
          <w:bCs/>
          <w:color w:val="auto"/>
          <w:spacing w:val="6"/>
          <w:sz w:val="31"/>
          <w:szCs w:val="31"/>
          <w:highlight w:val="none"/>
        </w:rPr>
        <w:t>三、商务技术文件格式</w:t>
      </w:r>
    </w:p>
    <w:p w14:paraId="7CBE5877">
      <w:pPr>
        <w:pStyle w:val="4"/>
        <w:spacing w:line="261" w:lineRule="auto"/>
        <w:rPr>
          <w:color w:val="auto"/>
          <w:highlight w:val="none"/>
        </w:rPr>
      </w:pPr>
    </w:p>
    <w:p w14:paraId="65F7B628">
      <w:pPr>
        <w:spacing w:before="101" w:line="225" w:lineRule="auto"/>
        <w:ind w:left="48"/>
        <w:rPr>
          <w:rFonts w:ascii="宋体" w:hAnsi="宋体" w:eastAsia="宋体" w:cs="宋体"/>
          <w:color w:val="auto"/>
          <w:sz w:val="31"/>
          <w:szCs w:val="31"/>
          <w:highlight w:val="none"/>
        </w:rPr>
      </w:pPr>
      <w:r>
        <w:rPr>
          <w:rFonts w:ascii="宋体" w:hAnsi="宋体" w:eastAsia="宋体" w:cs="宋体"/>
          <w:b/>
          <w:bCs/>
          <w:color w:val="auto"/>
          <w:spacing w:val="4"/>
          <w:sz w:val="31"/>
          <w:szCs w:val="31"/>
          <w:highlight w:val="none"/>
        </w:rPr>
        <w:t>1.商务技术文件封面格式</w:t>
      </w:r>
    </w:p>
    <w:p w14:paraId="6F507C60">
      <w:pPr>
        <w:pStyle w:val="4"/>
        <w:spacing w:line="259" w:lineRule="auto"/>
        <w:rPr>
          <w:color w:val="auto"/>
          <w:highlight w:val="none"/>
        </w:rPr>
      </w:pPr>
    </w:p>
    <w:p w14:paraId="570876F6">
      <w:pPr>
        <w:pStyle w:val="4"/>
        <w:spacing w:line="259" w:lineRule="auto"/>
        <w:rPr>
          <w:color w:val="auto"/>
          <w:highlight w:val="none"/>
        </w:rPr>
      </w:pPr>
    </w:p>
    <w:p w14:paraId="1A703964">
      <w:pPr>
        <w:pStyle w:val="4"/>
        <w:spacing w:line="259" w:lineRule="auto"/>
        <w:rPr>
          <w:color w:val="auto"/>
          <w:highlight w:val="none"/>
        </w:rPr>
      </w:pPr>
    </w:p>
    <w:p w14:paraId="5B64458A">
      <w:pPr>
        <w:spacing w:before="140" w:line="223" w:lineRule="auto"/>
        <w:ind w:left="2699"/>
        <w:rPr>
          <w:rFonts w:ascii="宋体" w:hAnsi="宋体" w:eastAsia="宋体" w:cs="宋体"/>
          <w:color w:val="auto"/>
          <w:sz w:val="43"/>
          <w:szCs w:val="43"/>
          <w:highlight w:val="none"/>
        </w:rPr>
      </w:pPr>
      <w:r>
        <w:rPr>
          <w:rFonts w:ascii="宋体" w:hAnsi="宋体" w:eastAsia="宋体" w:cs="宋体"/>
          <w:color w:val="auto"/>
          <w:spacing w:val="-20"/>
          <w:sz w:val="43"/>
          <w:szCs w:val="43"/>
          <w:highlight w:val="none"/>
        </w:rPr>
        <w:t>电子响应文件</w:t>
      </w:r>
    </w:p>
    <w:p w14:paraId="2D7F6B29">
      <w:pPr>
        <w:pStyle w:val="4"/>
        <w:spacing w:line="299" w:lineRule="auto"/>
        <w:rPr>
          <w:color w:val="auto"/>
          <w:highlight w:val="none"/>
        </w:rPr>
      </w:pPr>
    </w:p>
    <w:p w14:paraId="2B2A1B3D">
      <w:pPr>
        <w:pStyle w:val="4"/>
        <w:spacing w:line="300" w:lineRule="auto"/>
        <w:rPr>
          <w:color w:val="auto"/>
          <w:highlight w:val="none"/>
        </w:rPr>
      </w:pPr>
    </w:p>
    <w:p w14:paraId="1547E44C">
      <w:pPr>
        <w:pStyle w:val="4"/>
        <w:spacing w:line="300" w:lineRule="auto"/>
        <w:rPr>
          <w:color w:val="auto"/>
          <w:highlight w:val="none"/>
        </w:rPr>
      </w:pPr>
    </w:p>
    <w:p w14:paraId="0286E3FE">
      <w:pPr>
        <w:spacing w:before="140" w:line="604" w:lineRule="exact"/>
        <w:ind w:left="2090"/>
        <w:rPr>
          <w:rFonts w:ascii="宋体" w:hAnsi="宋体" w:eastAsia="宋体" w:cs="宋体"/>
          <w:color w:val="auto"/>
          <w:sz w:val="43"/>
          <w:szCs w:val="43"/>
          <w:highlight w:val="none"/>
        </w:rPr>
      </w:pPr>
      <w:r>
        <w:rPr>
          <w:rFonts w:ascii="宋体" w:hAnsi="宋体" w:eastAsia="宋体" w:cs="宋体"/>
          <w:b/>
          <w:bCs/>
          <w:color w:val="auto"/>
          <w:spacing w:val="1"/>
          <w:position w:val="3"/>
          <w:sz w:val="43"/>
          <w:szCs w:val="43"/>
          <w:highlight w:val="none"/>
        </w:rPr>
        <w:t>商务技术文件</w:t>
      </w:r>
    </w:p>
    <w:p w14:paraId="5F150407">
      <w:pPr>
        <w:pStyle w:val="4"/>
        <w:spacing w:line="245" w:lineRule="auto"/>
        <w:rPr>
          <w:color w:val="auto"/>
          <w:highlight w:val="none"/>
        </w:rPr>
      </w:pPr>
    </w:p>
    <w:p w14:paraId="22B77363">
      <w:pPr>
        <w:pStyle w:val="4"/>
        <w:spacing w:line="245" w:lineRule="auto"/>
        <w:rPr>
          <w:color w:val="auto"/>
          <w:highlight w:val="none"/>
        </w:rPr>
      </w:pPr>
    </w:p>
    <w:p w14:paraId="6E497F95">
      <w:pPr>
        <w:pStyle w:val="4"/>
        <w:spacing w:line="245" w:lineRule="auto"/>
        <w:rPr>
          <w:color w:val="auto"/>
          <w:highlight w:val="none"/>
        </w:rPr>
      </w:pPr>
    </w:p>
    <w:p w14:paraId="53E84D97">
      <w:pPr>
        <w:pStyle w:val="4"/>
        <w:spacing w:line="245" w:lineRule="auto"/>
        <w:rPr>
          <w:color w:val="auto"/>
          <w:highlight w:val="none"/>
        </w:rPr>
      </w:pPr>
    </w:p>
    <w:p w14:paraId="52A1F839">
      <w:pPr>
        <w:pStyle w:val="4"/>
        <w:spacing w:line="245" w:lineRule="auto"/>
        <w:rPr>
          <w:color w:val="auto"/>
          <w:highlight w:val="none"/>
        </w:rPr>
      </w:pPr>
    </w:p>
    <w:p w14:paraId="4EB39346">
      <w:pPr>
        <w:pStyle w:val="4"/>
        <w:spacing w:line="245" w:lineRule="auto"/>
        <w:rPr>
          <w:color w:val="auto"/>
          <w:highlight w:val="none"/>
        </w:rPr>
      </w:pPr>
    </w:p>
    <w:p w14:paraId="2F03631C">
      <w:pPr>
        <w:pStyle w:val="4"/>
        <w:spacing w:line="245" w:lineRule="auto"/>
        <w:rPr>
          <w:color w:val="auto"/>
          <w:highlight w:val="none"/>
        </w:rPr>
      </w:pPr>
    </w:p>
    <w:p w14:paraId="4895E517">
      <w:pPr>
        <w:pStyle w:val="4"/>
        <w:spacing w:line="245" w:lineRule="auto"/>
        <w:rPr>
          <w:color w:val="auto"/>
          <w:highlight w:val="none"/>
        </w:rPr>
      </w:pPr>
    </w:p>
    <w:p w14:paraId="6EF3FCD5">
      <w:pPr>
        <w:pStyle w:val="4"/>
        <w:spacing w:line="246" w:lineRule="auto"/>
        <w:rPr>
          <w:color w:val="auto"/>
          <w:highlight w:val="none"/>
        </w:rPr>
      </w:pPr>
    </w:p>
    <w:p w14:paraId="583F37DA">
      <w:pPr>
        <w:spacing w:before="101" w:line="226" w:lineRule="auto"/>
        <w:ind w:left="670"/>
        <w:rPr>
          <w:rFonts w:ascii="宋体" w:hAnsi="宋体" w:eastAsia="宋体" w:cs="宋体"/>
          <w:color w:val="auto"/>
          <w:sz w:val="31"/>
          <w:szCs w:val="31"/>
          <w:highlight w:val="none"/>
        </w:rPr>
      </w:pPr>
      <w:r>
        <w:rPr>
          <w:rFonts w:ascii="宋体" w:hAnsi="宋体" w:eastAsia="宋体" w:cs="宋体"/>
          <w:color w:val="auto"/>
          <w:spacing w:val="3"/>
          <w:sz w:val="31"/>
          <w:szCs w:val="31"/>
          <w:highlight w:val="none"/>
        </w:rPr>
        <w:t>项目名称：</w:t>
      </w:r>
    </w:p>
    <w:p w14:paraId="714560D1">
      <w:pPr>
        <w:pStyle w:val="4"/>
        <w:spacing w:line="293" w:lineRule="auto"/>
        <w:rPr>
          <w:color w:val="auto"/>
          <w:highlight w:val="none"/>
        </w:rPr>
      </w:pPr>
    </w:p>
    <w:p w14:paraId="6EE44C69">
      <w:pPr>
        <w:pStyle w:val="4"/>
        <w:spacing w:line="294" w:lineRule="auto"/>
        <w:rPr>
          <w:color w:val="auto"/>
          <w:highlight w:val="none"/>
        </w:rPr>
      </w:pPr>
    </w:p>
    <w:p w14:paraId="0CF5A953">
      <w:pPr>
        <w:spacing w:before="100" w:line="225" w:lineRule="auto"/>
        <w:ind w:left="670"/>
        <w:rPr>
          <w:rFonts w:ascii="宋体" w:hAnsi="宋体" w:eastAsia="宋体" w:cs="宋体"/>
          <w:color w:val="auto"/>
          <w:sz w:val="31"/>
          <w:szCs w:val="31"/>
          <w:highlight w:val="none"/>
        </w:rPr>
      </w:pPr>
      <w:r>
        <w:rPr>
          <w:rFonts w:ascii="宋体" w:hAnsi="宋体" w:eastAsia="宋体" w:cs="宋体"/>
          <w:color w:val="auto"/>
          <w:spacing w:val="3"/>
          <w:sz w:val="31"/>
          <w:szCs w:val="31"/>
          <w:highlight w:val="none"/>
        </w:rPr>
        <w:t>项目编号：</w:t>
      </w:r>
    </w:p>
    <w:p w14:paraId="62704BC8">
      <w:pPr>
        <w:pStyle w:val="4"/>
        <w:spacing w:line="294" w:lineRule="auto"/>
        <w:rPr>
          <w:color w:val="auto"/>
          <w:highlight w:val="none"/>
        </w:rPr>
      </w:pPr>
    </w:p>
    <w:p w14:paraId="7C78E70B">
      <w:pPr>
        <w:pStyle w:val="4"/>
        <w:spacing w:line="294" w:lineRule="auto"/>
        <w:rPr>
          <w:color w:val="auto"/>
          <w:highlight w:val="none"/>
        </w:rPr>
      </w:pPr>
    </w:p>
    <w:p w14:paraId="29981A8D">
      <w:pPr>
        <w:spacing w:before="101" w:line="226" w:lineRule="auto"/>
        <w:jc w:val="right"/>
        <w:rPr>
          <w:rFonts w:ascii="宋体" w:hAnsi="宋体" w:eastAsia="宋体" w:cs="宋体"/>
          <w:color w:val="auto"/>
          <w:sz w:val="31"/>
          <w:szCs w:val="31"/>
          <w:highlight w:val="none"/>
        </w:rPr>
      </w:pPr>
      <w:r>
        <w:rPr>
          <w:rFonts w:ascii="宋体" w:hAnsi="宋体" w:eastAsia="宋体" w:cs="宋体"/>
          <w:color w:val="auto"/>
          <w:spacing w:val="5"/>
          <w:sz w:val="31"/>
          <w:szCs w:val="31"/>
          <w:highlight w:val="none"/>
        </w:rPr>
        <w:t>所竞分标（如有则填写，无分标时填写“无”或者</w:t>
      </w:r>
      <w:r>
        <w:rPr>
          <w:rFonts w:ascii="宋体" w:hAnsi="宋体" w:eastAsia="宋体" w:cs="宋体"/>
          <w:color w:val="auto"/>
          <w:spacing w:val="4"/>
          <w:sz w:val="31"/>
          <w:szCs w:val="31"/>
          <w:highlight w:val="none"/>
        </w:rPr>
        <w:t>留空</w:t>
      </w:r>
      <w:r>
        <w:rPr>
          <w:rFonts w:ascii="宋体" w:hAnsi="宋体" w:eastAsia="宋体" w:cs="宋体"/>
          <w:color w:val="auto"/>
          <w:spacing w:val="-14"/>
          <w:sz w:val="31"/>
          <w:szCs w:val="31"/>
          <w:highlight w:val="none"/>
        </w:rPr>
        <w:t>）：</w:t>
      </w:r>
    </w:p>
    <w:p w14:paraId="25E422DD">
      <w:pPr>
        <w:pStyle w:val="4"/>
        <w:spacing w:line="259" w:lineRule="auto"/>
        <w:rPr>
          <w:color w:val="auto"/>
          <w:highlight w:val="none"/>
        </w:rPr>
      </w:pPr>
    </w:p>
    <w:p w14:paraId="0B1E3588">
      <w:pPr>
        <w:pStyle w:val="4"/>
        <w:spacing w:line="259" w:lineRule="auto"/>
        <w:rPr>
          <w:color w:val="auto"/>
          <w:highlight w:val="none"/>
        </w:rPr>
      </w:pPr>
    </w:p>
    <w:p w14:paraId="6517A519">
      <w:pPr>
        <w:spacing w:before="101" w:line="224" w:lineRule="auto"/>
        <w:ind w:left="665"/>
        <w:rPr>
          <w:rFonts w:ascii="宋体" w:hAnsi="宋体" w:eastAsia="宋体" w:cs="宋体"/>
          <w:color w:val="auto"/>
          <w:sz w:val="31"/>
          <w:szCs w:val="31"/>
          <w:highlight w:val="none"/>
        </w:rPr>
      </w:pPr>
      <w:r>
        <w:rPr>
          <w:rFonts w:ascii="宋体" w:hAnsi="宋体" w:eastAsia="宋体" w:cs="宋体"/>
          <w:color w:val="auto"/>
          <w:spacing w:val="-1"/>
          <w:sz w:val="31"/>
          <w:szCs w:val="31"/>
          <w:highlight w:val="none"/>
        </w:rPr>
        <w:t>供应商名称：</w:t>
      </w:r>
    </w:p>
    <w:p w14:paraId="697701A1">
      <w:pPr>
        <w:pStyle w:val="4"/>
        <w:spacing w:line="272" w:lineRule="auto"/>
        <w:rPr>
          <w:color w:val="auto"/>
          <w:highlight w:val="none"/>
        </w:rPr>
      </w:pPr>
    </w:p>
    <w:p w14:paraId="5D6A7210">
      <w:pPr>
        <w:pStyle w:val="4"/>
        <w:spacing w:line="272" w:lineRule="auto"/>
        <w:rPr>
          <w:color w:val="auto"/>
          <w:highlight w:val="none"/>
        </w:rPr>
      </w:pPr>
    </w:p>
    <w:p w14:paraId="1EA1B699">
      <w:pPr>
        <w:pStyle w:val="4"/>
        <w:spacing w:line="272" w:lineRule="auto"/>
        <w:rPr>
          <w:color w:val="auto"/>
          <w:highlight w:val="none"/>
        </w:rPr>
      </w:pPr>
    </w:p>
    <w:p w14:paraId="7E8B810A">
      <w:pPr>
        <w:pStyle w:val="4"/>
        <w:spacing w:line="272" w:lineRule="auto"/>
        <w:rPr>
          <w:color w:val="auto"/>
          <w:highlight w:val="none"/>
        </w:rPr>
      </w:pPr>
    </w:p>
    <w:p w14:paraId="5597BE9F">
      <w:pPr>
        <w:pStyle w:val="4"/>
        <w:spacing w:line="272" w:lineRule="auto"/>
        <w:rPr>
          <w:color w:val="auto"/>
          <w:highlight w:val="none"/>
        </w:rPr>
      </w:pPr>
    </w:p>
    <w:p w14:paraId="571D9251">
      <w:pPr>
        <w:pStyle w:val="4"/>
        <w:spacing w:line="273" w:lineRule="auto"/>
        <w:rPr>
          <w:color w:val="auto"/>
          <w:highlight w:val="none"/>
        </w:rPr>
      </w:pPr>
    </w:p>
    <w:p w14:paraId="679B8DA3">
      <w:pPr>
        <w:pStyle w:val="4"/>
        <w:spacing w:line="273" w:lineRule="auto"/>
        <w:rPr>
          <w:color w:val="auto"/>
          <w:highlight w:val="none"/>
        </w:rPr>
      </w:pPr>
    </w:p>
    <w:p w14:paraId="018C5DBB">
      <w:pPr>
        <w:spacing w:before="102" w:line="225" w:lineRule="auto"/>
        <w:ind w:left="3393"/>
        <w:rPr>
          <w:rFonts w:ascii="宋体" w:hAnsi="宋体" w:eastAsia="宋体" w:cs="宋体"/>
          <w:color w:val="auto"/>
          <w:sz w:val="31"/>
          <w:szCs w:val="31"/>
          <w:highlight w:val="none"/>
        </w:rPr>
      </w:pPr>
      <w:r>
        <w:rPr>
          <w:rFonts w:ascii="宋体" w:hAnsi="宋体" w:eastAsia="宋体" w:cs="宋体"/>
          <w:color w:val="auto"/>
          <w:spacing w:val="-6"/>
          <w:sz w:val="31"/>
          <w:szCs w:val="31"/>
          <w:highlight w:val="none"/>
        </w:rPr>
        <w:t>年月日</w:t>
      </w:r>
    </w:p>
    <w:p w14:paraId="0BE261EE">
      <w:pPr>
        <w:spacing w:line="225" w:lineRule="auto"/>
        <w:rPr>
          <w:rFonts w:ascii="宋体" w:hAnsi="宋体" w:eastAsia="宋体" w:cs="宋体"/>
          <w:color w:val="auto"/>
          <w:sz w:val="31"/>
          <w:szCs w:val="31"/>
          <w:highlight w:val="none"/>
        </w:rPr>
        <w:sectPr>
          <w:footerReference r:id="rId43" w:type="default"/>
          <w:pgSz w:w="11907" w:h="16839"/>
          <w:pgMar w:top="1423" w:right="1230" w:bottom="1154" w:left="1785" w:header="0" w:footer="954" w:gutter="0"/>
          <w:cols w:space="720" w:num="1"/>
        </w:sectPr>
      </w:pPr>
    </w:p>
    <w:p w14:paraId="3572A931">
      <w:pPr>
        <w:spacing w:before="125" w:line="225" w:lineRule="auto"/>
        <w:ind w:left="268"/>
        <w:rPr>
          <w:rFonts w:ascii="宋体" w:hAnsi="宋体" w:eastAsia="宋体" w:cs="宋体"/>
          <w:color w:val="auto"/>
          <w:sz w:val="31"/>
          <w:szCs w:val="31"/>
          <w:highlight w:val="none"/>
        </w:rPr>
      </w:pPr>
      <w:r>
        <w:rPr>
          <w:rFonts w:ascii="宋体" w:hAnsi="宋体" w:eastAsia="宋体" w:cs="宋体"/>
          <w:b/>
          <w:bCs/>
          <w:color w:val="auto"/>
          <w:spacing w:val="5"/>
          <w:sz w:val="31"/>
          <w:szCs w:val="31"/>
          <w:highlight w:val="none"/>
        </w:rPr>
        <w:t>2.商务技术文件目录</w:t>
      </w:r>
    </w:p>
    <w:p w14:paraId="76ADC788">
      <w:pPr>
        <w:pStyle w:val="4"/>
        <w:spacing w:line="265" w:lineRule="auto"/>
        <w:rPr>
          <w:color w:val="auto"/>
          <w:highlight w:val="none"/>
        </w:rPr>
      </w:pPr>
    </w:p>
    <w:p w14:paraId="166D76A4">
      <w:pPr>
        <w:spacing w:before="101" w:line="371" w:lineRule="auto"/>
        <w:ind w:left="24" w:firstLine="640"/>
        <w:rPr>
          <w:rFonts w:ascii="宋体" w:hAnsi="宋体" w:eastAsia="宋体" w:cs="宋体"/>
          <w:color w:val="auto"/>
          <w:sz w:val="31"/>
          <w:szCs w:val="31"/>
          <w:highlight w:val="none"/>
        </w:rPr>
      </w:pPr>
      <w:r>
        <w:rPr>
          <w:rFonts w:ascii="宋体" w:hAnsi="宋体" w:eastAsia="宋体" w:cs="宋体"/>
          <w:color w:val="auto"/>
          <w:spacing w:val="10"/>
          <w:sz w:val="31"/>
          <w:szCs w:val="31"/>
          <w:highlight w:val="none"/>
        </w:rPr>
        <w:t>根据磋商文件规定及供应商提供的材料自行编写目录</w:t>
      </w:r>
      <w:r>
        <w:rPr>
          <w:rFonts w:ascii="宋体" w:hAnsi="宋体" w:eastAsia="宋体" w:cs="宋体"/>
          <w:color w:val="auto"/>
          <w:spacing w:val="9"/>
          <w:sz w:val="31"/>
          <w:szCs w:val="31"/>
          <w:highlight w:val="none"/>
        </w:rPr>
        <w:t>（部分</w:t>
      </w:r>
      <w:r>
        <w:rPr>
          <w:rFonts w:ascii="宋体" w:hAnsi="宋体" w:eastAsia="宋体" w:cs="宋体"/>
          <w:color w:val="auto"/>
          <w:spacing w:val="1"/>
          <w:sz w:val="31"/>
          <w:szCs w:val="31"/>
          <w:highlight w:val="none"/>
        </w:rPr>
        <w:t>格式后附）。</w:t>
      </w:r>
    </w:p>
    <w:p w14:paraId="56688681">
      <w:pPr>
        <w:spacing w:line="371" w:lineRule="auto"/>
        <w:rPr>
          <w:rFonts w:ascii="宋体" w:hAnsi="宋体" w:eastAsia="宋体" w:cs="宋体"/>
          <w:color w:val="auto"/>
          <w:sz w:val="31"/>
          <w:szCs w:val="31"/>
          <w:highlight w:val="none"/>
        </w:rPr>
        <w:sectPr>
          <w:footerReference r:id="rId44" w:type="default"/>
          <w:pgSz w:w="11907" w:h="16839"/>
          <w:pgMar w:top="1431" w:right="1137" w:bottom="1154" w:left="1785" w:header="0" w:footer="954" w:gutter="0"/>
          <w:cols w:space="720" w:num="1"/>
        </w:sectPr>
      </w:pPr>
    </w:p>
    <w:p w14:paraId="4555BA81">
      <w:pPr>
        <w:spacing w:before="104" w:line="605" w:lineRule="exact"/>
        <w:ind w:left="2092"/>
        <w:rPr>
          <w:rFonts w:ascii="宋体" w:hAnsi="宋体" w:eastAsia="宋体" w:cs="宋体"/>
          <w:color w:val="auto"/>
          <w:sz w:val="43"/>
          <w:szCs w:val="43"/>
          <w:highlight w:val="none"/>
        </w:rPr>
      </w:pPr>
      <w:r>
        <w:rPr>
          <w:rFonts w:ascii="宋体" w:hAnsi="宋体" w:eastAsia="宋体" w:cs="宋体"/>
          <w:b/>
          <w:bCs/>
          <w:color w:val="auto"/>
          <w:spacing w:val="4"/>
          <w:position w:val="3"/>
          <w:sz w:val="43"/>
          <w:szCs w:val="43"/>
          <w:highlight w:val="none"/>
        </w:rPr>
        <w:t>无串通竞标行为的承诺函</w:t>
      </w:r>
    </w:p>
    <w:p w14:paraId="6F1DD136">
      <w:pPr>
        <w:pStyle w:val="4"/>
        <w:spacing w:line="471" w:lineRule="auto"/>
        <w:rPr>
          <w:color w:val="auto"/>
          <w:highlight w:val="none"/>
        </w:rPr>
      </w:pPr>
    </w:p>
    <w:p w14:paraId="35251FC2">
      <w:pPr>
        <w:spacing w:before="78" w:line="220" w:lineRule="auto"/>
        <w:ind w:left="507"/>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一、我方承诺无下列相互串通竞标的情形：</w:t>
      </w:r>
    </w:p>
    <w:p w14:paraId="6E844FBD">
      <w:pPr>
        <w:spacing w:before="182" w:line="219" w:lineRule="auto"/>
        <w:ind w:left="519"/>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1.不同供应商的响应文件由同一单位或者个人编制；</w:t>
      </w:r>
    </w:p>
    <w:p w14:paraId="113F93F8">
      <w:pPr>
        <w:spacing w:before="180" w:line="219" w:lineRule="auto"/>
        <w:ind w:left="504"/>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2.不同供应商委托同一单位或者个人办理竞标事宜；</w:t>
      </w:r>
    </w:p>
    <w:p w14:paraId="174CC9F1">
      <w:pPr>
        <w:spacing w:before="183" w:line="219" w:lineRule="auto"/>
        <w:ind w:left="506"/>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3.不同供应商的响应文件载明的项目管理员为同一个人；</w:t>
      </w:r>
    </w:p>
    <w:p w14:paraId="4D6C19C3">
      <w:pPr>
        <w:spacing w:before="181" w:line="218" w:lineRule="auto"/>
        <w:ind w:left="500"/>
        <w:rPr>
          <w:rFonts w:ascii="宋体" w:hAnsi="宋体" w:eastAsia="宋体" w:cs="宋体"/>
          <w:color w:val="auto"/>
          <w:sz w:val="24"/>
          <w:szCs w:val="24"/>
          <w:highlight w:val="none"/>
        </w:rPr>
      </w:pPr>
      <w:r>
        <w:rPr>
          <w:rFonts w:ascii="宋体" w:hAnsi="宋体" w:eastAsia="宋体" w:cs="宋体"/>
          <w:color w:val="auto"/>
          <w:spacing w:val="-12"/>
          <w:sz w:val="24"/>
          <w:szCs w:val="24"/>
          <w:highlight w:val="none"/>
        </w:rPr>
        <w:t>4.不同供应商的响应文件异常一致或者竞标报价呈规律性差</w:t>
      </w:r>
      <w:r>
        <w:rPr>
          <w:rFonts w:ascii="宋体" w:hAnsi="宋体" w:eastAsia="宋体" w:cs="宋体"/>
          <w:color w:val="auto"/>
          <w:spacing w:val="-13"/>
          <w:sz w:val="24"/>
          <w:szCs w:val="24"/>
          <w:highlight w:val="none"/>
        </w:rPr>
        <w:t>异；</w:t>
      </w:r>
    </w:p>
    <w:p w14:paraId="26074E58">
      <w:pPr>
        <w:spacing w:before="184" w:line="219" w:lineRule="auto"/>
        <w:ind w:left="506"/>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5.不同供应商的响应文件相互混装；</w:t>
      </w:r>
    </w:p>
    <w:p w14:paraId="5E66FD04">
      <w:pPr>
        <w:spacing w:before="181" w:line="219" w:lineRule="auto"/>
        <w:ind w:left="503"/>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6.不同供应商的磋商保证金从同一单位或者个人账户转出。</w:t>
      </w:r>
    </w:p>
    <w:p w14:paraId="5A548C21">
      <w:pPr>
        <w:spacing w:before="184" w:line="220" w:lineRule="auto"/>
        <w:ind w:left="507"/>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二、我方承诺无下列恶意串通的情形：</w:t>
      </w:r>
    </w:p>
    <w:p w14:paraId="5F5D827E">
      <w:pPr>
        <w:spacing w:before="179" w:line="290" w:lineRule="auto"/>
        <w:ind w:left="27" w:right="20" w:firstLine="49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1.供应商直接或者间接从采购人或者采购代理机构</w:t>
      </w:r>
      <w:r>
        <w:rPr>
          <w:rFonts w:ascii="宋体" w:hAnsi="宋体" w:eastAsia="宋体" w:cs="宋体"/>
          <w:color w:val="auto"/>
          <w:spacing w:val="1"/>
          <w:sz w:val="24"/>
          <w:szCs w:val="24"/>
          <w:highlight w:val="none"/>
        </w:rPr>
        <w:t>处获得其他供应商的相关信息</w:t>
      </w:r>
      <w:r>
        <w:rPr>
          <w:rFonts w:ascii="宋体" w:hAnsi="宋体" w:eastAsia="宋体" w:cs="宋体"/>
          <w:color w:val="auto"/>
          <w:spacing w:val="-8"/>
          <w:sz w:val="24"/>
          <w:szCs w:val="24"/>
          <w:highlight w:val="none"/>
        </w:rPr>
        <w:t>并修改其响应文件；</w:t>
      </w:r>
    </w:p>
    <w:p w14:paraId="449E255D">
      <w:pPr>
        <w:spacing w:before="180" w:line="219" w:lineRule="auto"/>
        <w:ind w:left="504"/>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2.供应商按照采购人或者采购代理机构的授意撤换、修</w:t>
      </w:r>
      <w:r>
        <w:rPr>
          <w:rFonts w:ascii="宋体" w:hAnsi="宋体" w:eastAsia="宋体" w:cs="宋体"/>
          <w:color w:val="auto"/>
          <w:spacing w:val="-3"/>
          <w:sz w:val="24"/>
          <w:szCs w:val="24"/>
          <w:highlight w:val="none"/>
        </w:rPr>
        <w:t>改响应文件；</w:t>
      </w:r>
    </w:p>
    <w:p w14:paraId="3665AE5C">
      <w:pPr>
        <w:spacing w:before="184" w:line="218" w:lineRule="auto"/>
        <w:ind w:left="506"/>
        <w:rPr>
          <w:rFonts w:ascii="宋体" w:hAnsi="宋体" w:eastAsia="宋体" w:cs="宋体"/>
          <w:color w:val="auto"/>
          <w:sz w:val="24"/>
          <w:szCs w:val="24"/>
          <w:highlight w:val="none"/>
        </w:rPr>
      </w:pPr>
      <w:r>
        <w:rPr>
          <w:rFonts w:ascii="宋体" w:hAnsi="宋体" w:eastAsia="宋体" w:cs="宋体"/>
          <w:color w:val="auto"/>
          <w:spacing w:val="-13"/>
          <w:sz w:val="24"/>
          <w:szCs w:val="24"/>
          <w:highlight w:val="none"/>
        </w:rPr>
        <w:t>3.供应商之间协商报价、技术方案等响应文件的实质性内容；</w:t>
      </w:r>
    </w:p>
    <w:p w14:paraId="1BAFBCEC">
      <w:pPr>
        <w:spacing w:before="183" w:line="289" w:lineRule="auto"/>
        <w:ind w:left="20" w:right="20" w:firstLine="479"/>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4.属于同一集团、协会、商会等组织成员的供应商按照该组织要求协同参加政府</w:t>
      </w:r>
      <w:r>
        <w:rPr>
          <w:rFonts w:ascii="宋体" w:hAnsi="宋体" w:eastAsia="宋体" w:cs="宋体"/>
          <w:color w:val="auto"/>
          <w:spacing w:val="-11"/>
          <w:sz w:val="24"/>
          <w:szCs w:val="24"/>
          <w:highlight w:val="none"/>
        </w:rPr>
        <w:t>采购活动；</w:t>
      </w:r>
    </w:p>
    <w:p w14:paraId="1BD8422E">
      <w:pPr>
        <w:spacing w:before="179" w:line="314" w:lineRule="auto"/>
        <w:ind w:left="23" w:right="16" w:firstLine="48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5.供应商之间事先约定一致抬高或者压低竞标报价，或者在竞争性磋商项目中事先约定轮流以高价位或者低价位成交，或者事先约定由某一特定供应商成交，然后再</w:t>
      </w:r>
      <w:r>
        <w:rPr>
          <w:rFonts w:ascii="宋体" w:hAnsi="宋体" w:eastAsia="宋体" w:cs="宋体"/>
          <w:color w:val="auto"/>
          <w:spacing w:val="-11"/>
          <w:sz w:val="24"/>
          <w:szCs w:val="24"/>
          <w:highlight w:val="none"/>
        </w:rPr>
        <w:t>参加竞标；</w:t>
      </w:r>
    </w:p>
    <w:p w14:paraId="50DA2932">
      <w:pPr>
        <w:spacing w:before="179" w:line="219" w:lineRule="auto"/>
        <w:ind w:left="503"/>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6.供应商之间商定部分供应商放弃参加政府采购活动或者</w:t>
      </w:r>
      <w:r>
        <w:rPr>
          <w:rFonts w:ascii="宋体" w:hAnsi="宋体" w:eastAsia="宋体" w:cs="宋体"/>
          <w:color w:val="auto"/>
          <w:spacing w:val="-3"/>
          <w:sz w:val="24"/>
          <w:szCs w:val="24"/>
          <w:highlight w:val="none"/>
        </w:rPr>
        <w:t>放弃成交；</w:t>
      </w:r>
    </w:p>
    <w:p w14:paraId="79570D19">
      <w:pPr>
        <w:spacing w:before="185" w:line="288" w:lineRule="auto"/>
        <w:ind w:left="26" w:firstLine="480"/>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7.供应商与采购人或者采购代理机构之间、供应商相互之间，为谋求特定供应</w:t>
      </w:r>
      <w:r>
        <w:rPr>
          <w:rFonts w:ascii="宋体" w:hAnsi="宋体" w:eastAsia="宋体" w:cs="宋体"/>
          <w:color w:val="auto"/>
          <w:spacing w:val="-8"/>
          <w:sz w:val="24"/>
          <w:szCs w:val="24"/>
          <w:highlight w:val="none"/>
        </w:rPr>
        <w:t>商成</w:t>
      </w:r>
      <w:r>
        <w:rPr>
          <w:rFonts w:ascii="宋体" w:hAnsi="宋体" w:eastAsia="宋体" w:cs="宋体"/>
          <w:color w:val="auto"/>
          <w:spacing w:val="-14"/>
          <w:sz w:val="24"/>
          <w:szCs w:val="24"/>
          <w:highlight w:val="none"/>
        </w:rPr>
        <w:t>交或者排斥其他供应商的其他串通行为。</w:t>
      </w:r>
    </w:p>
    <w:p w14:paraId="5185EFD9">
      <w:pPr>
        <w:pStyle w:val="4"/>
        <w:spacing w:line="283" w:lineRule="auto"/>
        <w:rPr>
          <w:color w:val="auto"/>
          <w:highlight w:val="none"/>
        </w:rPr>
      </w:pPr>
    </w:p>
    <w:p w14:paraId="60843377">
      <w:pPr>
        <w:pStyle w:val="4"/>
        <w:spacing w:line="284" w:lineRule="auto"/>
        <w:rPr>
          <w:color w:val="auto"/>
          <w:highlight w:val="none"/>
        </w:rPr>
      </w:pPr>
    </w:p>
    <w:p w14:paraId="043C303D">
      <w:pPr>
        <w:spacing w:before="79" w:line="362" w:lineRule="auto"/>
        <w:ind w:left="27" w:right="23" w:firstLine="503"/>
        <w:rPr>
          <w:rFonts w:ascii="宋体" w:hAnsi="宋体" w:eastAsia="宋体" w:cs="宋体"/>
          <w:color w:val="auto"/>
          <w:sz w:val="24"/>
          <w:szCs w:val="24"/>
          <w:highlight w:val="none"/>
        </w:rPr>
      </w:pPr>
      <w:r>
        <w:rPr>
          <w:rFonts w:ascii="宋体" w:hAnsi="宋体" w:eastAsia="宋体" w:cs="宋体"/>
          <w:b/>
          <w:bCs/>
          <w:color w:val="auto"/>
          <w:spacing w:val="-1"/>
          <w:sz w:val="24"/>
          <w:szCs w:val="24"/>
          <w:highlight w:val="none"/>
        </w:rPr>
        <w:t>以上情形一经核查属实，我方愿意承担一切后果，并不再寻求</w:t>
      </w:r>
      <w:r>
        <w:rPr>
          <w:rFonts w:ascii="宋体" w:hAnsi="宋体" w:eastAsia="宋体" w:cs="宋体"/>
          <w:b/>
          <w:bCs/>
          <w:color w:val="auto"/>
          <w:spacing w:val="-2"/>
          <w:sz w:val="24"/>
          <w:szCs w:val="24"/>
          <w:highlight w:val="none"/>
        </w:rPr>
        <w:t>任何旨在减轻或者</w:t>
      </w:r>
      <w:r>
        <w:rPr>
          <w:rFonts w:ascii="宋体" w:hAnsi="宋体" w:eastAsia="宋体" w:cs="宋体"/>
          <w:b/>
          <w:bCs/>
          <w:color w:val="auto"/>
          <w:spacing w:val="-6"/>
          <w:sz w:val="24"/>
          <w:szCs w:val="24"/>
          <w:highlight w:val="none"/>
        </w:rPr>
        <w:t>免除法律责任的辩解。</w:t>
      </w:r>
    </w:p>
    <w:p w14:paraId="2907E9FE">
      <w:pPr>
        <w:pStyle w:val="4"/>
        <w:spacing w:line="380" w:lineRule="auto"/>
        <w:rPr>
          <w:color w:val="auto"/>
          <w:highlight w:val="none"/>
        </w:rPr>
      </w:pPr>
    </w:p>
    <w:p w14:paraId="63911EA7">
      <w:pPr>
        <w:spacing w:before="78" w:line="219" w:lineRule="auto"/>
        <w:ind w:left="3621"/>
        <w:rPr>
          <w:rFonts w:ascii="宋体" w:hAnsi="宋体" w:eastAsia="宋体" w:cs="宋体"/>
          <w:color w:val="auto"/>
          <w:sz w:val="24"/>
          <w:szCs w:val="24"/>
          <w:highlight w:val="none"/>
        </w:rPr>
      </w:pPr>
      <w:r>
        <w:rPr>
          <w:rFonts w:ascii="宋体" w:hAnsi="宋体" w:eastAsia="宋体" w:cs="宋体"/>
          <w:color w:val="auto"/>
          <w:spacing w:val="-6"/>
          <w:sz w:val="24"/>
          <w:szCs w:val="24"/>
          <w:highlight w:val="none"/>
        </w:rPr>
        <w:t>供应商名称（电子签章</w:t>
      </w:r>
      <w:r>
        <w:rPr>
          <w:rFonts w:ascii="宋体" w:hAnsi="宋体" w:eastAsia="宋体" w:cs="宋体"/>
          <w:color w:val="auto"/>
          <w:spacing w:val="-1"/>
          <w:sz w:val="24"/>
          <w:szCs w:val="24"/>
          <w:highlight w:val="none"/>
        </w:rPr>
        <w:t>）：</w:t>
      </w:r>
    </w:p>
    <w:p w14:paraId="3B699243">
      <w:pPr>
        <w:spacing w:before="181" w:line="220" w:lineRule="auto"/>
        <w:ind w:left="5891"/>
        <w:rPr>
          <w:rFonts w:ascii="宋体" w:hAnsi="宋体" w:eastAsia="宋体" w:cs="宋体"/>
          <w:color w:val="auto"/>
          <w:sz w:val="24"/>
          <w:szCs w:val="24"/>
          <w:highlight w:val="none"/>
        </w:rPr>
      </w:pPr>
      <w:r>
        <w:rPr>
          <w:rFonts w:ascii="宋体" w:hAnsi="宋体" w:eastAsia="宋体" w:cs="宋体"/>
          <w:color w:val="auto"/>
          <w:spacing w:val="-9"/>
          <w:sz w:val="24"/>
          <w:szCs w:val="24"/>
          <w:highlight w:val="none"/>
        </w:rPr>
        <w:t>年月日</w:t>
      </w:r>
    </w:p>
    <w:p w14:paraId="65040A90">
      <w:pPr>
        <w:spacing w:line="220" w:lineRule="auto"/>
        <w:rPr>
          <w:rFonts w:ascii="宋体" w:hAnsi="宋体" w:eastAsia="宋体" w:cs="宋体"/>
          <w:color w:val="auto"/>
          <w:sz w:val="24"/>
          <w:szCs w:val="24"/>
          <w:highlight w:val="none"/>
        </w:rPr>
        <w:sectPr>
          <w:footerReference r:id="rId45" w:type="default"/>
          <w:pgSz w:w="11907" w:h="16839"/>
          <w:pgMar w:top="1356" w:right="1119" w:bottom="1154" w:left="1785" w:header="0" w:footer="954" w:gutter="0"/>
          <w:cols w:space="720" w:num="1"/>
        </w:sectPr>
      </w:pPr>
    </w:p>
    <w:p w14:paraId="09ADD4EF">
      <w:pPr>
        <w:spacing w:before="104" w:line="603" w:lineRule="exact"/>
        <w:ind w:left="2747"/>
        <w:rPr>
          <w:rFonts w:ascii="宋体" w:hAnsi="宋体" w:eastAsia="宋体" w:cs="宋体"/>
          <w:color w:val="auto"/>
          <w:sz w:val="43"/>
          <w:szCs w:val="43"/>
          <w:highlight w:val="none"/>
        </w:rPr>
      </w:pPr>
      <w:r>
        <w:rPr>
          <w:rFonts w:ascii="宋体" w:hAnsi="宋体" w:eastAsia="宋体" w:cs="宋体"/>
          <w:b/>
          <w:bCs/>
          <w:color w:val="auto"/>
          <w:spacing w:val="4"/>
          <w:position w:val="3"/>
          <w:sz w:val="43"/>
          <w:szCs w:val="43"/>
          <w:highlight w:val="none"/>
        </w:rPr>
        <w:t>法定代表人证明书</w:t>
      </w:r>
    </w:p>
    <w:p w14:paraId="22B61334">
      <w:pPr>
        <w:pStyle w:val="4"/>
        <w:spacing w:line="473" w:lineRule="auto"/>
        <w:rPr>
          <w:color w:val="auto"/>
          <w:highlight w:val="none"/>
        </w:rPr>
      </w:pPr>
    </w:p>
    <w:p w14:paraId="5048B165">
      <w:pPr>
        <w:spacing w:before="78" w:line="219" w:lineRule="auto"/>
        <w:ind w:left="561"/>
        <w:rPr>
          <w:rFonts w:hint="eastAsia"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rPr>
        <w:t>供应商名称：</w:t>
      </w:r>
    </w:p>
    <w:p w14:paraId="0A7EFB54">
      <w:pPr>
        <w:spacing w:before="183" w:line="229" w:lineRule="auto"/>
        <w:ind w:left="561"/>
        <w:rPr>
          <w:rFonts w:hint="eastAsia"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rPr>
        <w:t>地址：</w:t>
      </w:r>
    </w:p>
    <w:p w14:paraId="616AE23C">
      <w:pPr>
        <w:spacing w:before="167" w:line="220" w:lineRule="auto"/>
        <w:ind w:left="561"/>
        <w:rPr>
          <w:rFonts w:hint="eastAsia" w:ascii="宋体" w:hAnsi="宋体" w:eastAsia="宋体" w:cs="宋体"/>
          <w:color w:val="auto"/>
          <w:sz w:val="24"/>
          <w:szCs w:val="24"/>
          <w:highlight w:val="none"/>
          <w:lang w:eastAsia="zh-CN"/>
        </w:rPr>
      </w:pPr>
      <w:r>
        <w:rPr>
          <w:rFonts w:ascii="宋体" w:hAnsi="宋体" w:eastAsia="宋体" w:cs="宋体"/>
          <w:color w:val="auto"/>
          <w:spacing w:val="-8"/>
          <w:sz w:val="24"/>
          <w:szCs w:val="24"/>
          <w:highlight w:val="none"/>
        </w:rPr>
        <w:t>姓名：性别：</w:t>
      </w:r>
    </w:p>
    <w:p w14:paraId="1209D139">
      <w:pPr>
        <w:spacing w:before="182" w:line="220" w:lineRule="auto"/>
        <w:ind w:left="562"/>
        <w:rPr>
          <w:rFonts w:hint="eastAsia"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rPr>
        <w:t>年龄：职务：</w:t>
      </w:r>
    </w:p>
    <w:p w14:paraId="5A60065C">
      <w:pPr>
        <w:spacing w:before="179" w:line="220" w:lineRule="auto"/>
        <w:ind w:left="567"/>
        <w:rPr>
          <w:rFonts w:hint="eastAsia" w:ascii="宋体" w:hAnsi="宋体" w:eastAsia="宋体" w:cs="宋体"/>
          <w:color w:val="auto"/>
          <w:sz w:val="24"/>
          <w:szCs w:val="24"/>
          <w:highlight w:val="none"/>
          <w:lang w:eastAsia="zh-CN"/>
        </w:rPr>
      </w:pPr>
      <w:r>
        <w:rPr>
          <w:rFonts w:ascii="宋体" w:hAnsi="宋体" w:eastAsia="宋体" w:cs="宋体"/>
          <w:color w:val="auto"/>
          <w:spacing w:val="-3"/>
          <w:sz w:val="24"/>
          <w:szCs w:val="24"/>
          <w:highlight w:val="none"/>
        </w:rPr>
        <w:t>身份证号码：</w:t>
      </w:r>
    </w:p>
    <w:p w14:paraId="54C341F6">
      <w:pPr>
        <w:spacing w:before="182" w:line="219" w:lineRule="auto"/>
        <w:ind w:left="506"/>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系</w:t>
      </w:r>
      <w:r>
        <w:rPr>
          <w:rFonts w:ascii="宋体" w:hAnsi="宋体" w:eastAsia="宋体" w:cs="宋体"/>
          <w:color w:val="auto"/>
          <w:spacing w:val="-3"/>
          <w:sz w:val="24"/>
          <w:szCs w:val="24"/>
          <w:highlight w:val="none"/>
          <w:u w:val="single" w:color="auto"/>
        </w:rPr>
        <w:t>（供应商名称）</w:t>
      </w:r>
      <w:r>
        <w:rPr>
          <w:rFonts w:ascii="宋体" w:hAnsi="宋体" w:eastAsia="宋体" w:cs="宋体"/>
          <w:color w:val="auto"/>
          <w:spacing w:val="-3"/>
          <w:sz w:val="24"/>
          <w:szCs w:val="24"/>
          <w:highlight w:val="none"/>
        </w:rPr>
        <w:t>的法定代表人。</w:t>
      </w:r>
    </w:p>
    <w:p w14:paraId="0152ADAE">
      <w:pPr>
        <w:spacing w:before="181" w:line="220" w:lineRule="auto"/>
        <w:ind w:left="561"/>
        <w:rPr>
          <w:rFonts w:ascii="宋体" w:hAnsi="宋体" w:eastAsia="宋体" w:cs="宋体"/>
          <w:color w:val="auto"/>
          <w:sz w:val="24"/>
          <w:szCs w:val="24"/>
          <w:highlight w:val="none"/>
        </w:rPr>
      </w:pPr>
      <w:r>
        <w:rPr>
          <w:rFonts w:ascii="宋体" w:hAnsi="宋体" w:eastAsia="宋体" w:cs="宋体"/>
          <w:color w:val="auto"/>
          <w:spacing w:val="-8"/>
          <w:sz w:val="24"/>
          <w:szCs w:val="24"/>
          <w:highlight w:val="none"/>
        </w:rPr>
        <w:t>特此证明。</w:t>
      </w:r>
    </w:p>
    <w:p w14:paraId="2E39C439">
      <w:pPr>
        <w:pStyle w:val="4"/>
        <w:spacing w:line="249" w:lineRule="auto"/>
        <w:rPr>
          <w:color w:val="auto"/>
          <w:highlight w:val="none"/>
        </w:rPr>
      </w:pPr>
    </w:p>
    <w:p w14:paraId="5320CA3D">
      <w:pPr>
        <w:pStyle w:val="4"/>
        <w:spacing w:line="249" w:lineRule="auto"/>
        <w:rPr>
          <w:color w:val="auto"/>
          <w:highlight w:val="none"/>
        </w:rPr>
      </w:pPr>
    </w:p>
    <w:p w14:paraId="287F824F">
      <w:pPr>
        <w:pStyle w:val="4"/>
        <w:spacing w:line="249" w:lineRule="auto"/>
        <w:rPr>
          <w:color w:val="auto"/>
          <w:highlight w:val="none"/>
        </w:rPr>
      </w:pPr>
    </w:p>
    <w:p w14:paraId="3516A538">
      <w:pPr>
        <w:pStyle w:val="4"/>
        <w:spacing w:line="249" w:lineRule="auto"/>
        <w:rPr>
          <w:color w:val="auto"/>
          <w:highlight w:val="none"/>
        </w:rPr>
      </w:pPr>
    </w:p>
    <w:p w14:paraId="3E9D2155">
      <w:pPr>
        <w:pStyle w:val="4"/>
        <w:spacing w:line="249" w:lineRule="auto"/>
        <w:rPr>
          <w:color w:val="auto"/>
          <w:highlight w:val="none"/>
        </w:rPr>
      </w:pPr>
    </w:p>
    <w:p w14:paraId="2FC8725F">
      <w:pPr>
        <w:pStyle w:val="4"/>
        <w:spacing w:line="249" w:lineRule="auto"/>
        <w:rPr>
          <w:color w:val="auto"/>
          <w:highlight w:val="none"/>
        </w:rPr>
      </w:pPr>
    </w:p>
    <w:p w14:paraId="616A807C">
      <w:pPr>
        <w:spacing w:before="79" w:line="219" w:lineRule="auto"/>
        <w:ind w:left="58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附件：法定代表人有效身份证正反面复印件</w:t>
      </w:r>
    </w:p>
    <w:p w14:paraId="6C1A5DB4">
      <w:pPr>
        <w:pStyle w:val="4"/>
        <w:spacing w:line="283" w:lineRule="auto"/>
        <w:rPr>
          <w:color w:val="auto"/>
          <w:highlight w:val="none"/>
        </w:rPr>
      </w:pPr>
    </w:p>
    <w:p w14:paraId="35416D37">
      <w:pPr>
        <w:pStyle w:val="4"/>
        <w:spacing w:line="284" w:lineRule="auto"/>
        <w:rPr>
          <w:color w:val="auto"/>
          <w:highlight w:val="none"/>
        </w:rPr>
      </w:pPr>
    </w:p>
    <w:p w14:paraId="0C582923">
      <w:pPr>
        <w:spacing w:before="78" w:line="219" w:lineRule="auto"/>
        <w:ind w:left="2841"/>
        <w:rPr>
          <w:rFonts w:hint="eastAsia"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rPr>
        <w:t>供应商名称（电子签章</w:t>
      </w:r>
      <w:r>
        <w:rPr>
          <w:rFonts w:ascii="宋体" w:hAnsi="宋体" w:eastAsia="宋体" w:cs="宋体"/>
          <w:color w:val="auto"/>
          <w:sz w:val="24"/>
          <w:szCs w:val="24"/>
          <w:highlight w:val="none"/>
        </w:rPr>
        <w:t>）：</w:t>
      </w:r>
    </w:p>
    <w:p w14:paraId="7F517A23">
      <w:pPr>
        <w:spacing w:before="183" w:line="220" w:lineRule="auto"/>
        <w:ind w:left="5103"/>
        <w:rPr>
          <w:rFonts w:ascii="宋体" w:hAnsi="宋体" w:eastAsia="宋体" w:cs="宋体"/>
          <w:color w:val="auto"/>
          <w:sz w:val="24"/>
          <w:szCs w:val="24"/>
          <w:highlight w:val="none"/>
        </w:rPr>
      </w:pPr>
      <w:r>
        <w:rPr>
          <w:rFonts w:ascii="宋体" w:hAnsi="宋体" w:eastAsia="宋体" w:cs="宋体"/>
          <w:color w:val="auto"/>
          <w:spacing w:val="-13"/>
          <w:sz w:val="24"/>
          <w:szCs w:val="24"/>
          <w:highlight w:val="none"/>
        </w:rPr>
        <w:t>日期：年月日</w:t>
      </w:r>
    </w:p>
    <w:p w14:paraId="6133D5E6">
      <w:pPr>
        <w:pStyle w:val="4"/>
        <w:spacing w:line="258" w:lineRule="auto"/>
        <w:rPr>
          <w:color w:val="auto"/>
          <w:highlight w:val="none"/>
        </w:rPr>
      </w:pPr>
    </w:p>
    <w:p w14:paraId="52F3437C">
      <w:pPr>
        <w:pStyle w:val="4"/>
        <w:spacing w:line="258" w:lineRule="auto"/>
        <w:rPr>
          <w:color w:val="auto"/>
          <w:highlight w:val="none"/>
        </w:rPr>
      </w:pPr>
    </w:p>
    <w:p w14:paraId="27D834CC">
      <w:pPr>
        <w:pStyle w:val="4"/>
        <w:spacing w:line="258" w:lineRule="auto"/>
        <w:rPr>
          <w:color w:val="auto"/>
          <w:highlight w:val="none"/>
        </w:rPr>
      </w:pPr>
    </w:p>
    <w:p w14:paraId="263822B4">
      <w:pPr>
        <w:pStyle w:val="4"/>
        <w:spacing w:line="258" w:lineRule="auto"/>
        <w:rPr>
          <w:color w:val="auto"/>
          <w:highlight w:val="none"/>
        </w:rPr>
      </w:pPr>
    </w:p>
    <w:p w14:paraId="4C93AE9F">
      <w:pPr>
        <w:spacing w:before="78" w:line="219" w:lineRule="auto"/>
        <w:ind w:left="2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注：自然人竞标的无需提供，联合体竞标的只需牵头人出具。</w:t>
      </w:r>
    </w:p>
    <w:p w14:paraId="42422788">
      <w:pPr>
        <w:spacing w:line="219" w:lineRule="auto"/>
        <w:rPr>
          <w:rFonts w:ascii="宋体" w:hAnsi="宋体" w:eastAsia="宋体" w:cs="宋体"/>
          <w:color w:val="auto"/>
          <w:sz w:val="24"/>
          <w:szCs w:val="24"/>
          <w:highlight w:val="none"/>
        </w:rPr>
        <w:sectPr>
          <w:footerReference r:id="rId46" w:type="default"/>
          <w:pgSz w:w="11907" w:h="16839"/>
          <w:pgMar w:top="1356" w:right="1785" w:bottom="1154" w:left="1785" w:header="0" w:footer="954" w:gutter="0"/>
          <w:cols w:space="720" w:num="1"/>
        </w:sectPr>
      </w:pPr>
    </w:p>
    <w:p w14:paraId="31365403">
      <w:pPr>
        <w:pStyle w:val="4"/>
        <w:spacing w:line="387" w:lineRule="auto"/>
        <w:rPr>
          <w:color w:val="auto"/>
          <w:highlight w:val="none"/>
        </w:rPr>
      </w:pPr>
    </w:p>
    <w:p w14:paraId="72509890">
      <w:pPr>
        <w:spacing w:before="140" w:line="603" w:lineRule="exact"/>
        <w:ind w:left="3402"/>
        <w:rPr>
          <w:rFonts w:ascii="宋体" w:hAnsi="宋体" w:eastAsia="宋体" w:cs="宋体"/>
          <w:color w:val="auto"/>
          <w:sz w:val="43"/>
          <w:szCs w:val="43"/>
          <w:highlight w:val="none"/>
        </w:rPr>
      </w:pPr>
      <w:r>
        <w:rPr>
          <w:rFonts w:ascii="宋体" w:hAnsi="宋体" w:eastAsia="宋体" w:cs="宋体"/>
          <w:b/>
          <w:bCs/>
          <w:color w:val="auto"/>
          <w:spacing w:val="4"/>
          <w:position w:val="3"/>
          <w:sz w:val="43"/>
          <w:szCs w:val="43"/>
          <w:highlight w:val="none"/>
        </w:rPr>
        <w:t>授权委托书</w:t>
      </w:r>
    </w:p>
    <w:p w14:paraId="25C9996C">
      <w:pPr>
        <w:spacing w:before="26" w:line="439" w:lineRule="exact"/>
        <w:ind w:left="2886"/>
        <w:rPr>
          <w:rFonts w:ascii="宋体" w:hAnsi="宋体" w:eastAsia="宋体" w:cs="宋体"/>
          <w:color w:val="auto"/>
          <w:sz w:val="31"/>
          <w:szCs w:val="31"/>
          <w:highlight w:val="none"/>
        </w:rPr>
      </w:pPr>
      <w:r>
        <w:rPr>
          <w:rFonts w:ascii="宋体" w:hAnsi="宋体" w:eastAsia="宋体" w:cs="宋体"/>
          <w:b/>
          <w:bCs/>
          <w:color w:val="auto"/>
          <w:spacing w:val="8"/>
          <w:position w:val="2"/>
          <w:sz w:val="31"/>
          <w:szCs w:val="31"/>
          <w:highlight w:val="none"/>
        </w:rPr>
        <w:t>（非联合体竞标格式）</w:t>
      </w:r>
    </w:p>
    <w:p w14:paraId="29B3B353">
      <w:pPr>
        <w:spacing w:before="79" w:line="440" w:lineRule="exact"/>
        <w:ind w:left="3366"/>
        <w:rPr>
          <w:rFonts w:ascii="宋体" w:hAnsi="宋体" w:eastAsia="宋体" w:cs="宋体"/>
          <w:color w:val="auto"/>
          <w:sz w:val="31"/>
          <w:szCs w:val="31"/>
          <w:highlight w:val="none"/>
        </w:rPr>
      </w:pPr>
      <w:r>
        <w:rPr>
          <w:rFonts w:ascii="宋体" w:hAnsi="宋体" w:eastAsia="宋体" w:cs="宋体"/>
          <w:b/>
          <w:bCs/>
          <w:color w:val="auto"/>
          <w:spacing w:val="9"/>
          <w:position w:val="2"/>
          <w:sz w:val="31"/>
          <w:szCs w:val="31"/>
          <w:highlight w:val="none"/>
        </w:rPr>
        <w:t>（如有委托时）</w:t>
      </w:r>
    </w:p>
    <w:p w14:paraId="02869C93">
      <w:pPr>
        <w:pStyle w:val="4"/>
        <w:spacing w:line="427" w:lineRule="auto"/>
        <w:rPr>
          <w:color w:val="auto"/>
          <w:highlight w:val="none"/>
        </w:rPr>
      </w:pPr>
    </w:p>
    <w:p w14:paraId="10AEF4E2">
      <w:pPr>
        <w:spacing w:before="78" w:line="219" w:lineRule="auto"/>
        <w:ind w:left="2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致</w:t>
      </w:r>
      <w:r>
        <w:rPr>
          <w:rFonts w:ascii="宋体" w:hAnsi="宋体" w:eastAsia="宋体" w:cs="宋体"/>
          <w:color w:val="auto"/>
          <w:spacing w:val="-2"/>
          <w:sz w:val="24"/>
          <w:szCs w:val="24"/>
          <w:highlight w:val="none"/>
        </w:rPr>
        <w:t>：</w:t>
      </w:r>
      <w:r>
        <w:rPr>
          <w:rFonts w:ascii="宋体" w:hAnsi="宋体" w:eastAsia="宋体" w:cs="宋体"/>
          <w:color w:val="auto"/>
          <w:spacing w:val="-2"/>
          <w:sz w:val="24"/>
          <w:szCs w:val="24"/>
          <w:highlight w:val="none"/>
          <w:u w:val="single" w:color="auto"/>
        </w:rPr>
        <w:t>（</w:t>
      </w:r>
      <w:r>
        <w:rPr>
          <w:rFonts w:ascii="宋体" w:hAnsi="宋体" w:eastAsia="宋体" w:cs="宋体"/>
          <w:color w:val="auto"/>
          <w:spacing w:val="-1"/>
          <w:sz w:val="24"/>
          <w:szCs w:val="24"/>
          <w:highlight w:val="none"/>
          <w:u w:val="single" w:color="auto"/>
        </w:rPr>
        <w:t>采购人名称</w:t>
      </w:r>
      <w:r>
        <w:rPr>
          <w:rFonts w:ascii="宋体" w:hAnsi="宋体" w:eastAsia="宋体" w:cs="宋体"/>
          <w:color w:val="auto"/>
          <w:spacing w:val="-2"/>
          <w:sz w:val="24"/>
          <w:szCs w:val="24"/>
          <w:highlight w:val="none"/>
          <w:u w:val="single" w:color="auto"/>
        </w:rPr>
        <w:t>）</w:t>
      </w:r>
      <w:r>
        <w:rPr>
          <w:rFonts w:ascii="宋体" w:hAnsi="宋体" w:eastAsia="宋体" w:cs="宋体"/>
          <w:color w:val="auto"/>
          <w:spacing w:val="-2"/>
          <w:sz w:val="24"/>
          <w:szCs w:val="24"/>
          <w:highlight w:val="none"/>
        </w:rPr>
        <w:t>：</w:t>
      </w:r>
    </w:p>
    <w:p w14:paraId="05CCE2F7">
      <w:pPr>
        <w:spacing w:before="183" w:line="359" w:lineRule="auto"/>
        <w:ind w:left="20" w:firstLine="482"/>
        <w:jc w:val="both"/>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我</w:t>
      </w:r>
      <w:r>
        <w:rPr>
          <w:rFonts w:ascii="宋体" w:hAnsi="宋体" w:eastAsia="宋体" w:cs="宋体"/>
          <w:color w:val="auto"/>
          <w:spacing w:val="-4"/>
          <w:sz w:val="24"/>
          <w:szCs w:val="24"/>
          <w:highlight w:val="none"/>
          <w:u w:val="single" w:color="auto"/>
        </w:rPr>
        <w:t>（姓名）</w:t>
      </w:r>
      <w:r>
        <w:rPr>
          <w:rFonts w:ascii="宋体" w:hAnsi="宋体" w:eastAsia="宋体" w:cs="宋体"/>
          <w:color w:val="auto"/>
          <w:spacing w:val="-4"/>
          <w:sz w:val="24"/>
          <w:szCs w:val="24"/>
          <w:highlight w:val="none"/>
        </w:rPr>
        <w:t>系</w:t>
      </w:r>
      <w:r>
        <w:rPr>
          <w:rFonts w:ascii="宋体" w:hAnsi="宋体" w:eastAsia="宋体" w:cs="宋体"/>
          <w:color w:val="auto"/>
          <w:spacing w:val="-4"/>
          <w:sz w:val="24"/>
          <w:szCs w:val="24"/>
          <w:highlight w:val="none"/>
          <w:u w:val="single" w:color="auto"/>
        </w:rPr>
        <w:t>（供应商名称）</w:t>
      </w:r>
      <w:r>
        <w:rPr>
          <w:rFonts w:ascii="宋体" w:hAnsi="宋体" w:eastAsia="宋体" w:cs="宋体"/>
          <w:color w:val="auto"/>
          <w:spacing w:val="-4"/>
          <w:sz w:val="24"/>
          <w:szCs w:val="24"/>
          <w:highlight w:val="none"/>
        </w:rPr>
        <w:t>的（</w:t>
      </w:r>
      <w:r>
        <w:rPr>
          <w:color w:val="auto"/>
          <w:sz w:val="24"/>
          <w:szCs w:val="24"/>
          <w:highlight w:val="none"/>
          <w:u w:val="single" w:color="auto"/>
        </w:rPr>
        <w:drawing>
          <wp:inline distT="0" distB="0" distL="0" distR="0">
            <wp:extent cx="109855" cy="11176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65"/>
                    <a:stretch>
                      <a:fillRect/>
                    </a:stretch>
                  </pic:blipFill>
                  <pic:spPr>
                    <a:xfrm>
                      <a:off x="0" y="0"/>
                      <a:ext cx="110185" cy="111861"/>
                    </a:xfrm>
                    <a:prstGeom prst="rect">
                      <a:avLst/>
                    </a:prstGeom>
                  </pic:spPr>
                </pic:pic>
              </a:graphicData>
            </a:graphic>
          </wp:inline>
        </w:drawing>
      </w:r>
      <w:r>
        <w:rPr>
          <w:rFonts w:ascii="宋体" w:hAnsi="宋体" w:eastAsia="宋体" w:cs="宋体"/>
          <w:color w:val="auto"/>
          <w:spacing w:val="-4"/>
          <w:sz w:val="24"/>
          <w:szCs w:val="24"/>
          <w:highlight w:val="none"/>
          <w:u w:val="single" w:color="auto"/>
        </w:rPr>
        <w:t>法定代表人/□负责人/□自然人本人</w:t>
      </w:r>
      <w:r>
        <w:rPr>
          <w:rFonts w:ascii="宋体" w:hAnsi="宋体" w:eastAsia="宋体" w:cs="宋体"/>
          <w:color w:val="auto"/>
          <w:spacing w:val="-60"/>
          <w:sz w:val="24"/>
          <w:szCs w:val="24"/>
          <w:highlight w:val="none"/>
        </w:rPr>
        <w:t>），</w:t>
      </w:r>
      <w:r>
        <w:rPr>
          <w:rFonts w:ascii="宋体" w:hAnsi="宋体" w:eastAsia="宋体" w:cs="宋体"/>
          <w:color w:val="auto"/>
          <w:sz w:val="24"/>
          <w:szCs w:val="24"/>
          <w:highlight w:val="none"/>
        </w:rPr>
        <w:t>现授权</w:t>
      </w:r>
      <w:r>
        <w:rPr>
          <w:rFonts w:ascii="宋体" w:hAnsi="宋体" w:eastAsia="宋体" w:cs="宋体"/>
          <w:color w:val="auto"/>
          <w:sz w:val="24"/>
          <w:szCs w:val="24"/>
          <w:highlight w:val="none"/>
          <w:u w:val="single" w:color="auto"/>
        </w:rPr>
        <w:t>（姓名）</w:t>
      </w:r>
      <w:r>
        <w:rPr>
          <w:rFonts w:ascii="宋体" w:hAnsi="宋体" w:eastAsia="宋体" w:cs="宋体"/>
          <w:color w:val="auto"/>
          <w:sz w:val="24"/>
          <w:szCs w:val="24"/>
          <w:highlight w:val="none"/>
        </w:rPr>
        <w:t>以我方的名义参加项目的竞标活动，并代表我方全</w:t>
      </w:r>
      <w:r>
        <w:rPr>
          <w:rFonts w:ascii="宋体" w:hAnsi="宋体" w:eastAsia="宋体" w:cs="宋体"/>
          <w:color w:val="auto"/>
          <w:spacing w:val="-1"/>
          <w:sz w:val="24"/>
          <w:szCs w:val="24"/>
          <w:highlight w:val="none"/>
        </w:rPr>
        <w:t>权办理针对上述项目的所有采购程序和环节的具</w:t>
      </w:r>
      <w:r>
        <w:rPr>
          <w:rFonts w:ascii="宋体" w:hAnsi="宋体" w:eastAsia="宋体" w:cs="宋体"/>
          <w:color w:val="auto"/>
          <w:spacing w:val="-2"/>
          <w:sz w:val="24"/>
          <w:szCs w:val="24"/>
          <w:highlight w:val="none"/>
        </w:rPr>
        <w:t>体事务和签署相关文件。</w:t>
      </w:r>
    </w:p>
    <w:p w14:paraId="43D8772F">
      <w:pPr>
        <w:spacing w:line="219" w:lineRule="auto"/>
        <w:ind w:left="503"/>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我方对委托代理人的签字或者电子签名事项负全部责任。</w:t>
      </w:r>
    </w:p>
    <w:p w14:paraId="75B5D3A9">
      <w:pPr>
        <w:spacing w:before="182" w:line="359" w:lineRule="auto"/>
        <w:ind w:left="20" w:right="106" w:firstLine="48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本授权书自签署之日起生效，在撤销授权的书面通知以前，本授权书一直有效。</w:t>
      </w:r>
      <w:r>
        <w:rPr>
          <w:rFonts w:ascii="宋体" w:hAnsi="宋体" w:eastAsia="宋体" w:cs="宋体"/>
          <w:color w:val="auto"/>
          <w:spacing w:val="-1"/>
          <w:sz w:val="24"/>
          <w:szCs w:val="24"/>
          <w:highlight w:val="none"/>
        </w:rPr>
        <w:t>委托代理人在授权书有效期内签署的所有文</w:t>
      </w:r>
      <w:r>
        <w:rPr>
          <w:rFonts w:ascii="宋体" w:hAnsi="宋体" w:eastAsia="宋体" w:cs="宋体"/>
          <w:color w:val="auto"/>
          <w:spacing w:val="-2"/>
          <w:sz w:val="24"/>
          <w:szCs w:val="24"/>
          <w:highlight w:val="none"/>
        </w:rPr>
        <w:t>件不因授权的撤销而失效。</w:t>
      </w:r>
    </w:p>
    <w:p w14:paraId="427D8CB1">
      <w:pPr>
        <w:spacing w:before="1" w:line="219" w:lineRule="auto"/>
        <w:ind w:left="500"/>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委托代理人无转委托权，特此委托。</w:t>
      </w:r>
    </w:p>
    <w:p w14:paraId="572A998F">
      <w:pPr>
        <w:spacing w:before="180" w:line="219" w:lineRule="auto"/>
        <w:ind w:left="520"/>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附：法定代表人身份证明书及委托代理人有效身份证正反面复印件</w:t>
      </w:r>
    </w:p>
    <w:p w14:paraId="735E05CB">
      <w:pPr>
        <w:pStyle w:val="4"/>
        <w:spacing w:line="283" w:lineRule="auto"/>
        <w:rPr>
          <w:color w:val="auto"/>
          <w:highlight w:val="none"/>
        </w:rPr>
      </w:pPr>
    </w:p>
    <w:p w14:paraId="2E5AB1B5">
      <w:pPr>
        <w:pStyle w:val="4"/>
        <w:spacing w:line="284" w:lineRule="auto"/>
        <w:rPr>
          <w:color w:val="auto"/>
          <w:highlight w:val="none"/>
        </w:rPr>
      </w:pPr>
    </w:p>
    <w:p w14:paraId="690792CC">
      <w:pPr>
        <w:spacing w:before="78" w:line="219" w:lineRule="auto"/>
        <w:jc w:val="right"/>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委托代理人（签字或者电子签名</w:t>
      </w:r>
      <w:r>
        <w:rPr>
          <w:rFonts w:ascii="宋体" w:hAnsi="宋体" w:eastAsia="宋体" w:cs="宋体"/>
          <w:color w:val="auto"/>
          <w:spacing w:val="-29"/>
          <w:sz w:val="24"/>
          <w:szCs w:val="24"/>
          <w:highlight w:val="none"/>
        </w:rPr>
        <w:t>）：</w:t>
      </w:r>
      <w:r>
        <w:rPr>
          <w:rFonts w:ascii="宋体" w:hAnsi="宋体" w:eastAsia="宋体" w:cs="宋体"/>
          <w:color w:val="auto"/>
          <w:spacing w:val="-2"/>
          <w:sz w:val="24"/>
          <w:szCs w:val="24"/>
          <w:highlight w:val="none"/>
        </w:rPr>
        <w:t>法定代表人（签</w:t>
      </w:r>
      <w:r>
        <w:rPr>
          <w:rFonts w:ascii="宋体" w:hAnsi="宋体" w:eastAsia="宋体" w:cs="宋体"/>
          <w:color w:val="auto"/>
          <w:spacing w:val="-3"/>
          <w:sz w:val="24"/>
          <w:szCs w:val="24"/>
          <w:highlight w:val="none"/>
        </w:rPr>
        <w:t>字或者盖章或者电子签名</w:t>
      </w:r>
      <w:r>
        <w:rPr>
          <w:rFonts w:ascii="宋体" w:hAnsi="宋体" w:eastAsia="宋体" w:cs="宋体"/>
          <w:color w:val="auto"/>
          <w:spacing w:val="-29"/>
          <w:sz w:val="24"/>
          <w:szCs w:val="24"/>
          <w:highlight w:val="none"/>
        </w:rPr>
        <w:t>）：</w:t>
      </w:r>
    </w:p>
    <w:p w14:paraId="777B1BDE">
      <w:pPr>
        <w:spacing w:before="183" w:line="220" w:lineRule="auto"/>
        <w:ind w:left="20"/>
        <w:rPr>
          <w:rFonts w:ascii="宋体" w:hAnsi="宋体" w:eastAsia="宋体" w:cs="宋体"/>
          <w:color w:val="auto"/>
          <w:sz w:val="24"/>
          <w:szCs w:val="24"/>
          <w:highlight w:val="none"/>
        </w:rPr>
      </w:pPr>
      <w:r>
        <w:rPr>
          <w:rFonts w:ascii="宋体" w:hAnsi="宋体" w:eastAsia="宋体" w:cs="宋体"/>
          <w:color w:val="auto"/>
          <w:spacing w:val="-6"/>
          <w:sz w:val="24"/>
          <w:szCs w:val="24"/>
          <w:highlight w:val="none"/>
        </w:rPr>
        <w:t>委托代理人身份证号码：</w:t>
      </w:r>
    </w:p>
    <w:p w14:paraId="12917FD5">
      <w:pPr>
        <w:pStyle w:val="4"/>
        <w:spacing w:line="283" w:lineRule="auto"/>
        <w:rPr>
          <w:color w:val="auto"/>
          <w:highlight w:val="none"/>
        </w:rPr>
      </w:pPr>
    </w:p>
    <w:p w14:paraId="2ADCBFD1">
      <w:pPr>
        <w:pStyle w:val="4"/>
        <w:spacing w:line="283" w:lineRule="auto"/>
        <w:rPr>
          <w:color w:val="auto"/>
          <w:highlight w:val="none"/>
        </w:rPr>
      </w:pPr>
    </w:p>
    <w:p w14:paraId="6D68842A">
      <w:pPr>
        <w:spacing w:before="79" w:line="219" w:lineRule="auto"/>
        <w:ind w:left="3141"/>
        <w:rPr>
          <w:rFonts w:ascii="宋体" w:hAnsi="宋体" w:eastAsia="宋体" w:cs="宋体"/>
          <w:color w:val="auto"/>
          <w:sz w:val="24"/>
          <w:szCs w:val="24"/>
          <w:highlight w:val="none"/>
        </w:rPr>
      </w:pPr>
      <w:r>
        <w:rPr>
          <w:rFonts w:ascii="宋体" w:hAnsi="宋体" w:eastAsia="宋体" w:cs="宋体"/>
          <w:color w:val="auto"/>
          <w:spacing w:val="-6"/>
          <w:sz w:val="24"/>
          <w:szCs w:val="24"/>
          <w:highlight w:val="none"/>
        </w:rPr>
        <w:t>供应商名称（电子签章</w:t>
      </w:r>
      <w:r>
        <w:rPr>
          <w:rFonts w:ascii="宋体" w:hAnsi="宋体" w:eastAsia="宋体" w:cs="宋体"/>
          <w:color w:val="auto"/>
          <w:spacing w:val="-1"/>
          <w:sz w:val="24"/>
          <w:szCs w:val="24"/>
          <w:highlight w:val="none"/>
        </w:rPr>
        <w:t>）：</w:t>
      </w:r>
    </w:p>
    <w:p w14:paraId="12F31FD7">
      <w:pPr>
        <w:spacing w:before="181" w:line="220" w:lineRule="auto"/>
        <w:ind w:left="4943"/>
        <w:rPr>
          <w:rFonts w:ascii="宋体" w:hAnsi="宋体" w:eastAsia="宋体" w:cs="宋体"/>
          <w:color w:val="auto"/>
          <w:sz w:val="24"/>
          <w:szCs w:val="24"/>
          <w:highlight w:val="none"/>
        </w:rPr>
      </w:pPr>
      <w:r>
        <w:rPr>
          <w:rFonts w:ascii="宋体" w:hAnsi="宋体" w:eastAsia="宋体" w:cs="宋体"/>
          <w:color w:val="auto"/>
          <w:spacing w:val="-9"/>
          <w:sz w:val="24"/>
          <w:szCs w:val="24"/>
          <w:highlight w:val="none"/>
        </w:rPr>
        <w:t>年月日</w:t>
      </w:r>
    </w:p>
    <w:p w14:paraId="65717CBD">
      <w:pPr>
        <w:pStyle w:val="4"/>
        <w:spacing w:line="284" w:lineRule="auto"/>
        <w:rPr>
          <w:color w:val="auto"/>
          <w:highlight w:val="none"/>
        </w:rPr>
      </w:pPr>
    </w:p>
    <w:p w14:paraId="38FCD9A7">
      <w:pPr>
        <w:pStyle w:val="4"/>
        <w:spacing w:line="285" w:lineRule="auto"/>
        <w:rPr>
          <w:color w:val="auto"/>
          <w:highlight w:val="none"/>
        </w:rPr>
      </w:pPr>
    </w:p>
    <w:p w14:paraId="47CA71B3">
      <w:pPr>
        <w:spacing w:before="78" w:line="359" w:lineRule="auto"/>
        <w:ind w:left="20" w:right="8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注：1.法定代表人必须在授权委托书上签字或者盖章或者电子签名，</w:t>
      </w:r>
      <w:r>
        <w:rPr>
          <w:rFonts w:ascii="宋体" w:hAnsi="宋体" w:eastAsia="宋体" w:cs="宋体"/>
          <w:color w:val="auto"/>
          <w:spacing w:val="-2"/>
          <w:sz w:val="24"/>
          <w:szCs w:val="24"/>
          <w:highlight w:val="none"/>
        </w:rPr>
        <w:t>委托代理人必须在授权委托书上签字或者电子签名，</w:t>
      </w:r>
      <w:r>
        <w:rPr>
          <w:rFonts w:ascii="宋体" w:hAnsi="宋体" w:eastAsia="宋体" w:cs="宋体"/>
          <w:b/>
          <w:bCs/>
          <w:color w:val="auto"/>
          <w:spacing w:val="-2"/>
          <w:sz w:val="24"/>
          <w:szCs w:val="24"/>
          <w:highlight w:val="none"/>
        </w:rPr>
        <w:t>否则其响应文件按无效响应处理。</w:t>
      </w:r>
    </w:p>
    <w:p w14:paraId="0284D1D8">
      <w:pPr>
        <w:spacing w:before="2" w:line="359" w:lineRule="auto"/>
        <w:ind w:left="4" w:right="166" w:firstLine="499"/>
        <w:rPr>
          <w:rFonts w:ascii="宋体" w:hAnsi="宋体" w:eastAsia="宋体" w:cs="宋体"/>
          <w:color w:val="auto"/>
          <w:sz w:val="24"/>
          <w:szCs w:val="24"/>
          <w:highlight w:val="none"/>
        </w:rPr>
      </w:pPr>
      <w:r>
        <w:rPr>
          <w:rFonts w:ascii="宋体" w:hAnsi="宋体" w:eastAsia="宋体" w:cs="宋体"/>
          <w:color w:val="auto"/>
          <w:sz w:val="24"/>
          <w:szCs w:val="24"/>
          <w:highlight w:val="none"/>
        </w:rPr>
        <w:t>2.法人、其他组织竞标时“我方”是指“我单位</w:t>
      </w:r>
      <w:r>
        <w:rPr>
          <w:rFonts w:ascii="宋体" w:hAnsi="宋体" w:eastAsia="宋体" w:cs="宋体"/>
          <w:color w:val="auto"/>
          <w:spacing w:val="-1"/>
          <w:sz w:val="24"/>
          <w:szCs w:val="24"/>
          <w:highlight w:val="none"/>
        </w:rPr>
        <w:t>”，自然人竞标时“我方”是指</w:t>
      </w:r>
      <w:r>
        <w:rPr>
          <w:rFonts w:ascii="宋体" w:hAnsi="宋体" w:eastAsia="宋体" w:cs="宋体"/>
          <w:color w:val="auto"/>
          <w:spacing w:val="-5"/>
          <w:sz w:val="24"/>
          <w:szCs w:val="24"/>
          <w:highlight w:val="none"/>
        </w:rPr>
        <w:t>“本人”。</w:t>
      </w:r>
    </w:p>
    <w:p w14:paraId="10B8BFE0">
      <w:pPr>
        <w:spacing w:line="359" w:lineRule="auto"/>
        <w:rPr>
          <w:rFonts w:ascii="宋体" w:hAnsi="宋体" w:eastAsia="宋体" w:cs="宋体"/>
          <w:color w:val="auto"/>
          <w:sz w:val="24"/>
          <w:szCs w:val="24"/>
          <w:highlight w:val="none"/>
        </w:rPr>
        <w:sectPr>
          <w:footerReference r:id="rId47" w:type="default"/>
          <w:pgSz w:w="11907" w:h="16839"/>
          <w:pgMar w:top="1431" w:right="1061" w:bottom="1154" w:left="1785" w:header="0" w:footer="954" w:gutter="0"/>
          <w:cols w:space="720" w:num="1"/>
        </w:sectPr>
      </w:pPr>
    </w:p>
    <w:p w14:paraId="4B5D354F">
      <w:pPr>
        <w:tabs>
          <w:tab w:val="left" w:pos="3366"/>
        </w:tabs>
        <w:spacing w:before="105" w:line="283" w:lineRule="auto"/>
        <w:ind w:left="3047" w:right="3029" w:firstLine="354"/>
        <w:rPr>
          <w:rFonts w:ascii="宋体" w:hAnsi="宋体" w:eastAsia="宋体" w:cs="宋体"/>
          <w:color w:val="auto"/>
          <w:sz w:val="31"/>
          <w:szCs w:val="31"/>
          <w:highlight w:val="none"/>
        </w:rPr>
      </w:pPr>
      <w:r>
        <w:rPr>
          <w:rFonts w:ascii="宋体" w:hAnsi="宋体" w:eastAsia="宋体" w:cs="宋体"/>
          <w:b/>
          <w:bCs/>
          <w:color w:val="auto"/>
          <w:spacing w:val="4"/>
          <w:sz w:val="43"/>
          <w:szCs w:val="43"/>
          <w:highlight w:val="none"/>
        </w:rPr>
        <w:t>授权委托书</w:t>
      </w:r>
      <w:r>
        <w:rPr>
          <w:rFonts w:ascii="宋体" w:hAnsi="宋体" w:eastAsia="宋体" w:cs="宋体"/>
          <w:b/>
          <w:bCs/>
          <w:color w:val="auto"/>
          <w:spacing w:val="9"/>
          <w:sz w:val="31"/>
          <w:szCs w:val="31"/>
          <w:highlight w:val="none"/>
        </w:rPr>
        <w:t>（联合体竞标格式）</w:t>
      </w:r>
      <w:r>
        <w:rPr>
          <w:rFonts w:ascii="宋体" w:hAnsi="宋体" w:eastAsia="宋体" w:cs="宋体"/>
          <w:color w:val="auto"/>
          <w:sz w:val="31"/>
          <w:szCs w:val="31"/>
          <w:highlight w:val="none"/>
        </w:rPr>
        <w:tab/>
      </w:r>
      <w:r>
        <w:rPr>
          <w:rFonts w:ascii="宋体" w:hAnsi="宋体" w:eastAsia="宋体" w:cs="宋体"/>
          <w:b/>
          <w:bCs/>
          <w:color w:val="auto"/>
          <w:spacing w:val="10"/>
          <w:sz w:val="31"/>
          <w:szCs w:val="31"/>
          <w:highlight w:val="none"/>
        </w:rPr>
        <w:t>（如有委托时）</w:t>
      </w:r>
    </w:p>
    <w:p w14:paraId="0D0E2150">
      <w:pPr>
        <w:pStyle w:val="4"/>
        <w:spacing w:line="279" w:lineRule="auto"/>
        <w:rPr>
          <w:color w:val="auto"/>
          <w:highlight w:val="none"/>
        </w:rPr>
      </w:pPr>
    </w:p>
    <w:p w14:paraId="6F85C811">
      <w:pPr>
        <w:pStyle w:val="4"/>
        <w:spacing w:line="279" w:lineRule="auto"/>
        <w:rPr>
          <w:color w:val="auto"/>
          <w:highlight w:val="none"/>
        </w:rPr>
      </w:pPr>
    </w:p>
    <w:p w14:paraId="663A48E8">
      <w:pPr>
        <w:pStyle w:val="4"/>
        <w:spacing w:line="280" w:lineRule="auto"/>
        <w:rPr>
          <w:color w:val="auto"/>
          <w:highlight w:val="none"/>
        </w:rPr>
      </w:pPr>
    </w:p>
    <w:p w14:paraId="123F7A43">
      <w:pPr>
        <w:spacing w:before="78" w:line="359" w:lineRule="auto"/>
        <w:ind w:left="22" w:firstLine="479"/>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本授权委托书声明：根据（牵头人名称）与（联</w:t>
      </w:r>
      <w:r>
        <w:rPr>
          <w:rFonts w:ascii="宋体" w:hAnsi="宋体" w:eastAsia="宋体" w:cs="宋体"/>
          <w:color w:val="auto"/>
          <w:spacing w:val="-19"/>
          <w:sz w:val="24"/>
          <w:szCs w:val="24"/>
          <w:highlight w:val="none"/>
        </w:rPr>
        <w:t>合体</w:t>
      </w:r>
      <w:r>
        <w:rPr>
          <w:rFonts w:ascii="宋体" w:hAnsi="宋体" w:eastAsia="宋体" w:cs="宋体"/>
          <w:color w:val="auto"/>
          <w:spacing w:val="-18"/>
          <w:sz w:val="24"/>
          <w:szCs w:val="24"/>
          <w:highlight w:val="none"/>
        </w:rPr>
        <w:t>其他成员名称）签订的《联合体竞标协议书》的内容</w:t>
      </w:r>
      <w:r>
        <w:rPr>
          <w:rFonts w:ascii="宋体" w:hAnsi="宋体" w:eastAsia="宋体" w:cs="宋体"/>
          <w:color w:val="auto"/>
          <w:spacing w:val="-30"/>
          <w:sz w:val="24"/>
          <w:szCs w:val="24"/>
          <w:highlight w:val="none"/>
        </w:rPr>
        <w:t>，（</w:t>
      </w:r>
      <w:r>
        <w:rPr>
          <w:rFonts w:ascii="宋体" w:hAnsi="宋体" w:eastAsia="宋体" w:cs="宋体"/>
          <w:color w:val="auto"/>
          <w:spacing w:val="-16"/>
          <w:sz w:val="24"/>
          <w:szCs w:val="24"/>
          <w:highlight w:val="none"/>
        </w:rPr>
        <w:t>牵</w:t>
      </w:r>
      <w:r>
        <w:rPr>
          <w:rFonts w:ascii="宋体" w:hAnsi="宋体" w:eastAsia="宋体" w:cs="宋体"/>
          <w:color w:val="auto"/>
          <w:spacing w:val="-2"/>
          <w:sz w:val="24"/>
          <w:szCs w:val="24"/>
          <w:highlight w:val="none"/>
        </w:rPr>
        <w:t>头人名称）的法定代表人（姓名）现授权（姓名）为联合委托代理人，</w:t>
      </w:r>
    </w:p>
    <w:p w14:paraId="0DE55BD5">
      <w:pPr>
        <w:spacing w:line="359" w:lineRule="auto"/>
        <w:ind w:left="20" w:right="328" w:firstLine="6"/>
        <w:rPr>
          <w:rFonts w:ascii="宋体" w:hAnsi="宋体" w:eastAsia="宋体" w:cs="宋体"/>
          <w:color w:val="auto"/>
          <w:sz w:val="24"/>
          <w:szCs w:val="24"/>
          <w:highlight w:val="none"/>
        </w:rPr>
      </w:pPr>
      <w:r>
        <w:rPr>
          <w:rFonts w:ascii="宋体" w:hAnsi="宋体" w:eastAsia="宋体" w:cs="宋体"/>
          <w:color w:val="auto"/>
          <w:sz w:val="24"/>
          <w:szCs w:val="24"/>
          <w:highlight w:val="none"/>
        </w:rPr>
        <w:t>并代表我方全权办理针对上述项目的所有采</w:t>
      </w:r>
      <w:r>
        <w:rPr>
          <w:rFonts w:ascii="宋体" w:hAnsi="宋体" w:eastAsia="宋体" w:cs="宋体"/>
          <w:color w:val="auto"/>
          <w:spacing w:val="-1"/>
          <w:sz w:val="24"/>
          <w:szCs w:val="24"/>
          <w:highlight w:val="none"/>
        </w:rPr>
        <w:t>购程序和环节的具体事务和签署相关文</w:t>
      </w:r>
      <w:r>
        <w:rPr>
          <w:rFonts w:ascii="宋体" w:hAnsi="宋体" w:eastAsia="宋体" w:cs="宋体"/>
          <w:color w:val="auto"/>
          <w:spacing w:val="-11"/>
          <w:sz w:val="24"/>
          <w:szCs w:val="24"/>
          <w:highlight w:val="none"/>
        </w:rPr>
        <w:t>件。</w:t>
      </w:r>
    </w:p>
    <w:p w14:paraId="7AEF8882">
      <w:pPr>
        <w:spacing w:line="219" w:lineRule="auto"/>
        <w:ind w:left="503"/>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我方对委托代理人的签字或者电子签名事项负全部责任。</w:t>
      </w:r>
    </w:p>
    <w:p w14:paraId="4D6371C3">
      <w:pPr>
        <w:spacing w:before="183" w:line="359" w:lineRule="auto"/>
        <w:ind w:left="20" w:right="28" w:firstLine="48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本授权书自签署之日起生效，在撤销授权的书面通知以前，本授权书一直有效。</w:t>
      </w:r>
      <w:r>
        <w:rPr>
          <w:rFonts w:ascii="宋体" w:hAnsi="宋体" w:eastAsia="宋体" w:cs="宋体"/>
          <w:color w:val="auto"/>
          <w:spacing w:val="-1"/>
          <w:sz w:val="24"/>
          <w:szCs w:val="24"/>
          <w:highlight w:val="none"/>
        </w:rPr>
        <w:t>委托代理人在授权书有效期内签署的所有文</w:t>
      </w:r>
      <w:r>
        <w:rPr>
          <w:rFonts w:ascii="宋体" w:hAnsi="宋体" w:eastAsia="宋体" w:cs="宋体"/>
          <w:color w:val="auto"/>
          <w:spacing w:val="-2"/>
          <w:sz w:val="24"/>
          <w:szCs w:val="24"/>
          <w:highlight w:val="none"/>
        </w:rPr>
        <w:t>件不因授权的撤销而失效。</w:t>
      </w:r>
    </w:p>
    <w:p w14:paraId="0CB3F637">
      <w:pPr>
        <w:spacing w:line="219" w:lineRule="auto"/>
        <w:ind w:left="500"/>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委托代理人无转委托权，特此委托。</w:t>
      </w:r>
    </w:p>
    <w:p w14:paraId="463759DD">
      <w:pPr>
        <w:spacing w:before="180" w:line="219" w:lineRule="auto"/>
        <w:ind w:left="520"/>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附：法定代表人身份证明书及委托代理人有效身份证正反面复印件</w:t>
      </w:r>
    </w:p>
    <w:p w14:paraId="54F91394">
      <w:pPr>
        <w:spacing w:before="184" w:line="219" w:lineRule="auto"/>
        <w:ind w:left="503"/>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牵头人法定代表人（签字或者盖章或者电子签名</w:t>
      </w:r>
      <w:r>
        <w:rPr>
          <w:rFonts w:ascii="宋体" w:hAnsi="宋体" w:eastAsia="宋体" w:cs="宋体"/>
          <w:color w:val="auto"/>
          <w:spacing w:val="-1"/>
          <w:sz w:val="24"/>
          <w:szCs w:val="24"/>
          <w:highlight w:val="none"/>
        </w:rPr>
        <w:t>）：</w:t>
      </w:r>
    </w:p>
    <w:p w14:paraId="07E332D5">
      <w:pPr>
        <w:spacing w:before="183" w:line="219" w:lineRule="auto"/>
        <w:ind w:left="3143"/>
        <w:rPr>
          <w:rFonts w:ascii="宋体" w:hAnsi="宋体" w:eastAsia="宋体" w:cs="宋体"/>
          <w:color w:val="auto"/>
          <w:sz w:val="24"/>
          <w:szCs w:val="24"/>
          <w:highlight w:val="none"/>
        </w:rPr>
      </w:pPr>
      <w:r>
        <w:rPr>
          <w:rFonts w:ascii="宋体" w:hAnsi="宋体" w:eastAsia="宋体" w:cs="宋体"/>
          <w:color w:val="auto"/>
          <w:spacing w:val="-6"/>
          <w:sz w:val="24"/>
          <w:szCs w:val="24"/>
          <w:highlight w:val="none"/>
        </w:rPr>
        <w:t>牵头人名称（电子签章</w:t>
      </w:r>
      <w:r>
        <w:rPr>
          <w:rFonts w:ascii="宋体" w:hAnsi="宋体" w:eastAsia="宋体" w:cs="宋体"/>
          <w:color w:val="auto"/>
          <w:spacing w:val="-1"/>
          <w:sz w:val="24"/>
          <w:szCs w:val="24"/>
          <w:highlight w:val="none"/>
        </w:rPr>
        <w:t>）：</w:t>
      </w:r>
    </w:p>
    <w:p w14:paraId="403CD4B2">
      <w:pPr>
        <w:spacing w:before="181" w:line="220" w:lineRule="auto"/>
        <w:ind w:left="3903"/>
        <w:rPr>
          <w:rFonts w:ascii="宋体" w:hAnsi="宋体" w:eastAsia="宋体" w:cs="宋体"/>
          <w:color w:val="auto"/>
          <w:sz w:val="24"/>
          <w:szCs w:val="24"/>
          <w:highlight w:val="none"/>
        </w:rPr>
      </w:pPr>
      <w:r>
        <w:rPr>
          <w:rFonts w:ascii="宋体" w:hAnsi="宋体" w:eastAsia="宋体" w:cs="宋体"/>
          <w:color w:val="auto"/>
          <w:spacing w:val="-13"/>
          <w:sz w:val="24"/>
          <w:szCs w:val="24"/>
          <w:highlight w:val="none"/>
        </w:rPr>
        <w:t>日期：年月日</w:t>
      </w:r>
    </w:p>
    <w:p w14:paraId="3727084D">
      <w:pPr>
        <w:pStyle w:val="4"/>
        <w:spacing w:line="283" w:lineRule="auto"/>
        <w:rPr>
          <w:color w:val="auto"/>
          <w:highlight w:val="none"/>
        </w:rPr>
      </w:pPr>
    </w:p>
    <w:p w14:paraId="0825C6D3">
      <w:pPr>
        <w:pStyle w:val="4"/>
        <w:spacing w:line="283" w:lineRule="auto"/>
        <w:rPr>
          <w:color w:val="auto"/>
          <w:highlight w:val="none"/>
        </w:rPr>
      </w:pPr>
    </w:p>
    <w:p w14:paraId="52EC07CA">
      <w:pPr>
        <w:spacing w:before="78" w:line="220" w:lineRule="auto"/>
        <w:ind w:left="3141"/>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被授权人（签字或者电子签名</w:t>
      </w:r>
      <w:r>
        <w:rPr>
          <w:rFonts w:ascii="宋体" w:hAnsi="宋体" w:eastAsia="宋体" w:cs="宋体"/>
          <w:color w:val="auto"/>
          <w:spacing w:val="1"/>
          <w:sz w:val="24"/>
          <w:szCs w:val="24"/>
          <w:highlight w:val="none"/>
        </w:rPr>
        <w:t>）：</w:t>
      </w:r>
    </w:p>
    <w:p w14:paraId="2C0E0C33">
      <w:pPr>
        <w:spacing w:before="182" w:line="220" w:lineRule="auto"/>
        <w:ind w:left="3903"/>
        <w:rPr>
          <w:rFonts w:ascii="宋体" w:hAnsi="宋体" w:eastAsia="宋体" w:cs="宋体"/>
          <w:color w:val="auto"/>
          <w:sz w:val="24"/>
          <w:szCs w:val="24"/>
          <w:highlight w:val="none"/>
        </w:rPr>
      </w:pPr>
      <w:r>
        <w:rPr>
          <w:rFonts w:ascii="宋体" w:hAnsi="宋体" w:eastAsia="宋体" w:cs="宋体"/>
          <w:color w:val="auto"/>
          <w:spacing w:val="-13"/>
          <w:sz w:val="24"/>
          <w:szCs w:val="24"/>
          <w:highlight w:val="none"/>
        </w:rPr>
        <w:t>日期：年月日</w:t>
      </w:r>
    </w:p>
    <w:p w14:paraId="2DD4101C">
      <w:pPr>
        <w:pStyle w:val="4"/>
        <w:spacing w:line="283" w:lineRule="auto"/>
        <w:rPr>
          <w:color w:val="auto"/>
          <w:highlight w:val="none"/>
        </w:rPr>
      </w:pPr>
    </w:p>
    <w:p w14:paraId="315613D6">
      <w:pPr>
        <w:pStyle w:val="4"/>
        <w:spacing w:line="283" w:lineRule="auto"/>
        <w:rPr>
          <w:color w:val="auto"/>
          <w:highlight w:val="none"/>
        </w:rPr>
      </w:pPr>
    </w:p>
    <w:p w14:paraId="77A9F1F5">
      <w:pPr>
        <w:spacing w:before="79" w:line="359" w:lineRule="auto"/>
        <w:ind w:left="20" w:right="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注：1.法定代表人必须在授权委托书上签字或者盖章或者电子签名，</w:t>
      </w:r>
      <w:r>
        <w:rPr>
          <w:rFonts w:ascii="宋体" w:hAnsi="宋体" w:eastAsia="宋体" w:cs="宋体"/>
          <w:color w:val="auto"/>
          <w:spacing w:val="-2"/>
          <w:sz w:val="24"/>
          <w:szCs w:val="24"/>
          <w:highlight w:val="none"/>
        </w:rPr>
        <w:t>委托代理人必须在授权委托书上签字或者电子签名，</w:t>
      </w:r>
      <w:r>
        <w:rPr>
          <w:rFonts w:ascii="宋体" w:hAnsi="宋体" w:eastAsia="宋体" w:cs="宋体"/>
          <w:b/>
          <w:bCs/>
          <w:color w:val="auto"/>
          <w:spacing w:val="-2"/>
          <w:sz w:val="24"/>
          <w:szCs w:val="24"/>
          <w:highlight w:val="none"/>
        </w:rPr>
        <w:t>否则其响应文件按无效响应处理。</w:t>
      </w:r>
    </w:p>
    <w:p w14:paraId="74087D87">
      <w:pPr>
        <w:spacing w:before="1" w:line="360" w:lineRule="auto"/>
        <w:ind w:left="4" w:right="88" w:firstLine="499"/>
        <w:rPr>
          <w:rFonts w:ascii="宋体" w:hAnsi="宋体" w:eastAsia="宋体" w:cs="宋体"/>
          <w:color w:val="auto"/>
          <w:sz w:val="24"/>
          <w:szCs w:val="24"/>
          <w:highlight w:val="none"/>
        </w:rPr>
      </w:pPr>
      <w:r>
        <w:rPr>
          <w:rFonts w:ascii="宋体" w:hAnsi="宋体" w:eastAsia="宋体" w:cs="宋体"/>
          <w:color w:val="auto"/>
          <w:sz w:val="24"/>
          <w:szCs w:val="24"/>
          <w:highlight w:val="none"/>
        </w:rPr>
        <w:t>2.法人、其他组织竞标时“我方”是指“我单位</w:t>
      </w:r>
      <w:r>
        <w:rPr>
          <w:rFonts w:ascii="宋体" w:hAnsi="宋体" w:eastAsia="宋体" w:cs="宋体"/>
          <w:color w:val="auto"/>
          <w:spacing w:val="-1"/>
          <w:sz w:val="24"/>
          <w:szCs w:val="24"/>
          <w:highlight w:val="none"/>
        </w:rPr>
        <w:t>”，自然人竞标时“我方”是指</w:t>
      </w:r>
      <w:r>
        <w:rPr>
          <w:rFonts w:ascii="宋体" w:hAnsi="宋体" w:eastAsia="宋体" w:cs="宋体"/>
          <w:color w:val="auto"/>
          <w:spacing w:val="-5"/>
          <w:sz w:val="24"/>
          <w:szCs w:val="24"/>
          <w:highlight w:val="none"/>
        </w:rPr>
        <w:t>“本人”。</w:t>
      </w:r>
    </w:p>
    <w:p w14:paraId="419503C7">
      <w:pPr>
        <w:spacing w:line="360" w:lineRule="auto"/>
        <w:rPr>
          <w:rFonts w:ascii="宋体" w:hAnsi="宋体" w:eastAsia="宋体" w:cs="宋体"/>
          <w:color w:val="auto"/>
          <w:sz w:val="24"/>
          <w:szCs w:val="24"/>
          <w:highlight w:val="none"/>
        </w:rPr>
        <w:sectPr>
          <w:footerReference r:id="rId48" w:type="default"/>
          <w:pgSz w:w="11907" w:h="16839"/>
          <w:pgMar w:top="1340" w:right="1140" w:bottom="1154" w:left="1785" w:header="0" w:footer="954" w:gutter="0"/>
          <w:cols w:space="720" w:num="1"/>
        </w:sectPr>
      </w:pPr>
    </w:p>
    <w:p w14:paraId="2D511333">
      <w:pPr>
        <w:spacing w:before="87" w:line="222" w:lineRule="auto"/>
        <w:ind w:left="2631"/>
        <w:rPr>
          <w:rFonts w:ascii="宋体" w:hAnsi="宋体" w:eastAsia="宋体" w:cs="宋体"/>
          <w:color w:val="auto"/>
          <w:sz w:val="43"/>
          <w:szCs w:val="43"/>
          <w:highlight w:val="none"/>
        </w:rPr>
      </w:pPr>
      <w:r>
        <w:rPr>
          <w:rFonts w:ascii="宋体" w:hAnsi="宋体" w:eastAsia="宋体" w:cs="宋体"/>
          <w:b/>
          <w:bCs/>
          <w:color w:val="auto"/>
          <w:spacing w:val="3"/>
          <w:sz w:val="43"/>
          <w:szCs w:val="43"/>
          <w:highlight w:val="none"/>
        </w:rPr>
        <w:t>商务要求偏离表格式</w:t>
      </w:r>
    </w:p>
    <w:p w14:paraId="2B49DFA0">
      <w:pPr>
        <w:spacing w:before="184"/>
        <w:rPr>
          <w:color w:val="auto"/>
          <w:highlight w:val="none"/>
        </w:rPr>
      </w:pPr>
    </w:p>
    <w:tbl>
      <w:tblPr>
        <w:tblStyle w:val="11"/>
        <w:tblW w:w="876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1701"/>
        <w:gridCol w:w="2267"/>
        <w:gridCol w:w="2409"/>
        <w:gridCol w:w="1564"/>
      </w:tblGrid>
      <w:tr w14:paraId="67FB51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8" w:hRule="atLeast"/>
        </w:trPr>
        <w:tc>
          <w:tcPr>
            <w:tcW w:w="820" w:type="dxa"/>
            <w:vAlign w:val="top"/>
          </w:tcPr>
          <w:p w14:paraId="0F86C125">
            <w:pPr>
              <w:pStyle w:val="12"/>
              <w:spacing w:before="311" w:line="221" w:lineRule="auto"/>
              <w:ind w:left="176"/>
              <w:rPr>
                <w:color w:val="auto"/>
                <w:sz w:val="24"/>
                <w:szCs w:val="24"/>
                <w:highlight w:val="none"/>
              </w:rPr>
            </w:pPr>
            <w:r>
              <w:rPr>
                <w:color w:val="auto"/>
                <w:spacing w:val="-3"/>
                <w:sz w:val="24"/>
                <w:szCs w:val="24"/>
                <w:highlight w:val="none"/>
              </w:rPr>
              <w:t>序号</w:t>
            </w:r>
          </w:p>
        </w:tc>
        <w:tc>
          <w:tcPr>
            <w:tcW w:w="1701" w:type="dxa"/>
            <w:vAlign w:val="top"/>
          </w:tcPr>
          <w:p w14:paraId="53FDBC0F">
            <w:pPr>
              <w:pStyle w:val="12"/>
              <w:spacing w:before="312" w:line="220" w:lineRule="auto"/>
              <w:ind w:left="558"/>
              <w:rPr>
                <w:color w:val="auto"/>
                <w:sz w:val="24"/>
                <w:szCs w:val="24"/>
                <w:highlight w:val="none"/>
              </w:rPr>
            </w:pPr>
            <w:r>
              <w:rPr>
                <w:color w:val="auto"/>
                <w:spacing w:val="-7"/>
                <w:sz w:val="24"/>
                <w:szCs w:val="24"/>
                <w:highlight w:val="none"/>
              </w:rPr>
              <w:t>项目</w:t>
            </w:r>
          </w:p>
        </w:tc>
        <w:tc>
          <w:tcPr>
            <w:tcW w:w="2267" w:type="dxa"/>
            <w:vAlign w:val="top"/>
          </w:tcPr>
          <w:p w14:paraId="2B022EE2">
            <w:pPr>
              <w:pStyle w:val="12"/>
              <w:spacing w:before="311" w:line="220" w:lineRule="auto"/>
              <w:ind w:left="178"/>
              <w:rPr>
                <w:color w:val="auto"/>
                <w:sz w:val="24"/>
                <w:szCs w:val="24"/>
                <w:highlight w:val="none"/>
              </w:rPr>
            </w:pPr>
            <w:r>
              <w:rPr>
                <w:color w:val="auto"/>
                <w:spacing w:val="-1"/>
                <w:sz w:val="24"/>
                <w:szCs w:val="24"/>
                <w:highlight w:val="none"/>
              </w:rPr>
              <w:t>磋商文件商务要求</w:t>
            </w:r>
          </w:p>
        </w:tc>
        <w:tc>
          <w:tcPr>
            <w:tcW w:w="2409" w:type="dxa"/>
            <w:vAlign w:val="top"/>
          </w:tcPr>
          <w:p w14:paraId="1B6F0B6E">
            <w:pPr>
              <w:pStyle w:val="12"/>
              <w:spacing w:before="311" w:line="219" w:lineRule="auto"/>
              <w:ind w:left="492"/>
              <w:rPr>
                <w:color w:val="auto"/>
                <w:sz w:val="24"/>
                <w:szCs w:val="24"/>
                <w:highlight w:val="none"/>
              </w:rPr>
            </w:pPr>
            <w:r>
              <w:rPr>
                <w:color w:val="auto"/>
                <w:spacing w:val="-2"/>
                <w:sz w:val="24"/>
                <w:szCs w:val="24"/>
                <w:highlight w:val="none"/>
              </w:rPr>
              <w:t>供应商的响应</w:t>
            </w:r>
          </w:p>
        </w:tc>
        <w:tc>
          <w:tcPr>
            <w:tcW w:w="1564" w:type="dxa"/>
            <w:vAlign w:val="top"/>
          </w:tcPr>
          <w:p w14:paraId="67C78BEC">
            <w:pPr>
              <w:pStyle w:val="12"/>
              <w:spacing w:before="311" w:line="220" w:lineRule="auto"/>
              <w:ind w:left="308"/>
              <w:rPr>
                <w:color w:val="auto"/>
                <w:sz w:val="24"/>
                <w:szCs w:val="24"/>
                <w:highlight w:val="none"/>
              </w:rPr>
            </w:pPr>
            <w:r>
              <w:rPr>
                <w:color w:val="auto"/>
                <w:spacing w:val="-2"/>
                <w:sz w:val="24"/>
                <w:szCs w:val="24"/>
                <w:highlight w:val="none"/>
              </w:rPr>
              <w:t>偏离说明</w:t>
            </w:r>
          </w:p>
        </w:tc>
      </w:tr>
      <w:tr w14:paraId="68FC4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820" w:type="dxa"/>
            <w:vAlign w:val="top"/>
          </w:tcPr>
          <w:p w14:paraId="5251754E">
            <w:pPr>
              <w:pStyle w:val="12"/>
              <w:spacing w:before="88" w:line="241" w:lineRule="auto"/>
              <w:ind w:left="374"/>
              <w:rPr>
                <w:color w:val="auto"/>
                <w:sz w:val="24"/>
                <w:szCs w:val="24"/>
                <w:highlight w:val="none"/>
              </w:rPr>
            </w:pPr>
            <w:r>
              <w:rPr>
                <w:color w:val="auto"/>
                <w:sz w:val="24"/>
                <w:szCs w:val="24"/>
                <w:highlight w:val="none"/>
              </w:rPr>
              <w:t>1</w:t>
            </w:r>
          </w:p>
        </w:tc>
        <w:tc>
          <w:tcPr>
            <w:tcW w:w="1701" w:type="dxa"/>
            <w:vAlign w:val="top"/>
          </w:tcPr>
          <w:p w14:paraId="2E66A158">
            <w:pPr>
              <w:pStyle w:val="12"/>
              <w:spacing w:before="110" w:line="221" w:lineRule="auto"/>
              <w:ind w:left="111"/>
              <w:rPr>
                <w:color w:val="auto"/>
                <w:highlight w:val="none"/>
              </w:rPr>
            </w:pPr>
            <w:r>
              <w:rPr>
                <w:color w:val="auto"/>
                <w:spacing w:val="-1"/>
                <w:highlight w:val="none"/>
              </w:rPr>
              <w:t>服务期限和地点</w:t>
            </w:r>
          </w:p>
        </w:tc>
        <w:tc>
          <w:tcPr>
            <w:tcW w:w="2267" w:type="dxa"/>
            <w:vAlign w:val="top"/>
          </w:tcPr>
          <w:p w14:paraId="2A0831F0">
            <w:pPr>
              <w:rPr>
                <w:rFonts w:ascii="Arial"/>
                <w:color w:val="auto"/>
                <w:sz w:val="21"/>
                <w:highlight w:val="none"/>
              </w:rPr>
            </w:pPr>
          </w:p>
        </w:tc>
        <w:tc>
          <w:tcPr>
            <w:tcW w:w="2409" w:type="dxa"/>
            <w:vAlign w:val="top"/>
          </w:tcPr>
          <w:p w14:paraId="2C33DEBA">
            <w:pPr>
              <w:rPr>
                <w:rFonts w:ascii="Arial"/>
                <w:color w:val="auto"/>
                <w:sz w:val="21"/>
                <w:highlight w:val="none"/>
              </w:rPr>
            </w:pPr>
          </w:p>
        </w:tc>
        <w:tc>
          <w:tcPr>
            <w:tcW w:w="1564" w:type="dxa"/>
            <w:vAlign w:val="top"/>
          </w:tcPr>
          <w:p w14:paraId="11889E55">
            <w:pPr>
              <w:rPr>
                <w:rFonts w:ascii="Arial"/>
                <w:color w:val="auto"/>
                <w:sz w:val="21"/>
                <w:highlight w:val="none"/>
              </w:rPr>
            </w:pPr>
          </w:p>
        </w:tc>
      </w:tr>
      <w:tr w14:paraId="6DE30B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820" w:type="dxa"/>
            <w:vAlign w:val="top"/>
          </w:tcPr>
          <w:p w14:paraId="77992A4A">
            <w:pPr>
              <w:pStyle w:val="12"/>
              <w:spacing w:before="88" w:line="241" w:lineRule="auto"/>
              <w:ind w:left="359"/>
              <w:rPr>
                <w:color w:val="auto"/>
                <w:sz w:val="24"/>
                <w:szCs w:val="24"/>
                <w:highlight w:val="none"/>
              </w:rPr>
            </w:pPr>
            <w:r>
              <w:rPr>
                <w:color w:val="auto"/>
                <w:sz w:val="24"/>
                <w:szCs w:val="24"/>
                <w:highlight w:val="none"/>
              </w:rPr>
              <w:t>2</w:t>
            </w:r>
          </w:p>
        </w:tc>
        <w:tc>
          <w:tcPr>
            <w:tcW w:w="1701" w:type="dxa"/>
            <w:vAlign w:val="top"/>
          </w:tcPr>
          <w:p w14:paraId="7A4327CF">
            <w:pPr>
              <w:pStyle w:val="12"/>
              <w:spacing w:before="110" w:line="223" w:lineRule="auto"/>
              <w:ind w:left="112"/>
              <w:rPr>
                <w:color w:val="auto"/>
                <w:highlight w:val="none"/>
              </w:rPr>
            </w:pPr>
            <w:r>
              <w:rPr>
                <w:color w:val="auto"/>
                <w:spacing w:val="-1"/>
                <w:highlight w:val="none"/>
              </w:rPr>
              <w:t>合同签订时间</w:t>
            </w:r>
          </w:p>
        </w:tc>
        <w:tc>
          <w:tcPr>
            <w:tcW w:w="2267" w:type="dxa"/>
            <w:vAlign w:val="top"/>
          </w:tcPr>
          <w:p w14:paraId="15A7C0ED">
            <w:pPr>
              <w:rPr>
                <w:rFonts w:ascii="Arial"/>
                <w:color w:val="auto"/>
                <w:sz w:val="21"/>
                <w:highlight w:val="none"/>
              </w:rPr>
            </w:pPr>
          </w:p>
        </w:tc>
        <w:tc>
          <w:tcPr>
            <w:tcW w:w="2409" w:type="dxa"/>
            <w:vAlign w:val="top"/>
          </w:tcPr>
          <w:p w14:paraId="71FE3934">
            <w:pPr>
              <w:rPr>
                <w:rFonts w:ascii="Arial"/>
                <w:color w:val="auto"/>
                <w:sz w:val="21"/>
                <w:highlight w:val="none"/>
              </w:rPr>
            </w:pPr>
          </w:p>
        </w:tc>
        <w:tc>
          <w:tcPr>
            <w:tcW w:w="1564" w:type="dxa"/>
            <w:vAlign w:val="top"/>
          </w:tcPr>
          <w:p w14:paraId="2D81F626">
            <w:pPr>
              <w:rPr>
                <w:rFonts w:ascii="Arial"/>
                <w:color w:val="auto"/>
                <w:sz w:val="21"/>
                <w:highlight w:val="none"/>
              </w:rPr>
            </w:pPr>
          </w:p>
        </w:tc>
      </w:tr>
      <w:tr w14:paraId="50AF0E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820" w:type="dxa"/>
            <w:vAlign w:val="top"/>
          </w:tcPr>
          <w:p w14:paraId="314FCCE8">
            <w:pPr>
              <w:pStyle w:val="12"/>
              <w:spacing w:before="89"/>
              <w:ind w:left="361"/>
              <w:rPr>
                <w:color w:val="auto"/>
                <w:sz w:val="24"/>
                <w:szCs w:val="24"/>
                <w:highlight w:val="none"/>
              </w:rPr>
            </w:pPr>
            <w:r>
              <w:rPr>
                <w:color w:val="auto"/>
                <w:sz w:val="24"/>
                <w:szCs w:val="24"/>
                <w:highlight w:val="none"/>
              </w:rPr>
              <w:t>3</w:t>
            </w:r>
          </w:p>
        </w:tc>
        <w:tc>
          <w:tcPr>
            <w:tcW w:w="1701" w:type="dxa"/>
            <w:vAlign w:val="top"/>
          </w:tcPr>
          <w:p w14:paraId="051686D0">
            <w:pPr>
              <w:pStyle w:val="12"/>
              <w:spacing w:before="111" w:line="221" w:lineRule="auto"/>
              <w:ind w:left="111"/>
              <w:rPr>
                <w:color w:val="auto"/>
                <w:highlight w:val="none"/>
              </w:rPr>
            </w:pPr>
            <w:r>
              <w:rPr>
                <w:rFonts w:hint="eastAsia" w:ascii="宋体" w:hAnsi="宋体" w:cs="宋体"/>
                <w:i w:val="0"/>
                <w:iCs w:val="0"/>
                <w:color w:val="auto"/>
                <w:szCs w:val="21"/>
                <w:highlight w:val="none"/>
              </w:rPr>
              <w:t>付款条件（进度和方式）</w:t>
            </w:r>
          </w:p>
        </w:tc>
        <w:tc>
          <w:tcPr>
            <w:tcW w:w="2267" w:type="dxa"/>
            <w:vAlign w:val="top"/>
          </w:tcPr>
          <w:p w14:paraId="6DE53A9C">
            <w:pPr>
              <w:rPr>
                <w:rFonts w:ascii="Arial"/>
                <w:color w:val="auto"/>
                <w:sz w:val="21"/>
                <w:highlight w:val="none"/>
              </w:rPr>
            </w:pPr>
          </w:p>
        </w:tc>
        <w:tc>
          <w:tcPr>
            <w:tcW w:w="2409" w:type="dxa"/>
            <w:vAlign w:val="top"/>
          </w:tcPr>
          <w:p w14:paraId="0D505E16">
            <w:pPr>
              <w:rPr>
                <w:rFonts w:ascii="Arial"/>
                <w:color w:val="auto"/>
                <w:sz w:val="21"/>
                <w:highlight w:val="none"/>
              </w:rPr>
            </w:pPr>
          </w:p>
        </w:tc>
        <w:tc>
          <w:tcPr>
            <w:tcW w:w="1564" w:type="dxa"/>
            <w:vAlign w:val="top"/>
          </w:tcPr>
          <w:p w14:paraId="6A35F45E">
            <w:pPr>
              <w:rPr>
                <w:rFonts w:ascii="Arial"/>
                <w:color w:val="auto"/>
                <w:sz w:val="21"/>
                <w:highlight w:val="none"/>
              </w:rPr>
            </w:pPr>
          </w:p>
        </w:tc>
      </w:tr>
      <w:tr w14:paraId="45B05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20" w:type="dxa"/>
            <w:vAlign w:val="top"/>
          </w:tcPr>
          <w:p w14:paraId="2B64EB13">
            <w:pPr>
              <w:pStyle w:val="12"/>
              <w:spacing w:before="90" w:line="241" w:lineRule="auto"/>
              <w:ind w:left="356"/>
              <w:rPr>
                <w:color w:val="auto"/>
                <w:sz w:val="24"/>
                <w:szCs w:val="24"/>
                <w:highlight w:val="none"/>
              </w:rPr>
            </w:pPr>
            <w:r>
              <w:rPr>
                <w:color w:val="auto"/>
                <w:sz w:val="24"/>
                <w:szCs w:val="24"/>
                <w:highlight w:val="none"/>
              </w:rPr>
              <w:t>4</w:t>
            </w:r>
          </w:p>
        </w:tc>
        <w:tc>
          <w:tcPr>
            <w:tcW w:w="1701" w:type="dxa"/>
            <w:vAlign w:val="top"/>
          </w:tcPr>
          <w:p w14:paraId="148647BA">
            <w:pPr>
              <w:pStyle w:val="12"/>
              <w:spacing w:before="111" w:line="221" w:lineRule="auto"/>
              <w:ind w:left="111"/>
              <w:rPr>
                <w:color w:val="auto"/>
                <w:highlight w:val="none"/>
              </w:rPr>
            </w:pPr>
            <w:r>
              <w:rPr>
                <w:color w:val="auto"/>
                <w:spacing w:val="-1"/>
                <w:highlight w:val="none"/>
              </w:rPr>
              <w:t>售后服务要求</w:t>
            </w:r>
          </w:p>
        </w:tc>
        <w:tc>
          <w:tcPr>
            <w:tcW w:w="2267" w:type="dxa"/>
            <w:vAlign w:val="top"/>
          </w:tcPr>
          <w:p w14:paraId="6144EF51">
            <w:pPr>
              <w:rPr>
                <w:rFonts w:ascii="Arial"/>
                <w:color w:val="auto"/>
                <w:sz w:val="21"/>
                <w:highlight w:val="none"/>
              </w:rPr>
            </w:pPr>
          </w:p>
        </w:tc>
        <w:tc>
          <w:tcPr>
            <w:tcW w:w="2409" w:type="dxa"/>
            <w:vAlign w:val="top"/>
          </w:tcPr>
          <w:p w14:paraId="760AF59D">
            <w:pPr>
              <w:rPr>
                <w:rFonts w:ascii="Arial"/>
                <w:color w:val="auto"/>
                <w:sz w:val="21"/>
                <w:highlight w:val="none"/>
              </w:rPr>
            </w:pPr>
          </w:p>
        </w:tc>
        <w:tc>
          <w:tcPr>
            <w:tcW w:w="1564" w:type="dxa"/>
            <w:vAlign w:val="top"/>
          </w:tcPr>
          <w:p w14:paraId="47764B24">
            <w:pPr>
              <w:rPr>
                <w:rFonts w:ascii="Arial"/>
                <w:color w:val="auto"/>
                <w:sz w:val="21"/>
                <w:highlight w:val="none"/>
              </w:rPr>
            </w:pPr>
          </w:p>
        </w:tc>
      </w:tr>
      <w:tr w14:paraId="47CF7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820" w:type="dxa"/>
            <w:vAlign w:val="top"/>
          </w:tcPr>
          <w:p w14:paraId="06E8E2FB">
            <w:pPr>
              <w:pStyle w:val="12"/>
              <w:spacing w:before="90" w:line="378" w:lineRule="exact"/>
              <w:ind w:left="312"/>
              <w:rPr>
                <w:color w:val="auto"/>
                <w:sz w:val="24"/>
                <w:szCs w:val="24"/>
                <w:highlight w:val="none"/>
              </w:rPr>
            </w:pPr>
            <w:r>
              <w:rPr>
                <w:color w:val="auto"/>
                <w:position w:val="3"/>
                <w:sz w:val="24"/>
                <w:szCs w:val="24"/>
                <w:highlight w:val="none"/>
              </w:rPr>
              <w:t>…</w:t>
            </w:r>
          </w:p>
        </w:tc>
        <w:tc>
          <w:tcPr>
            <w:tcW w:w="1701" w:type="dxa"/>
            <w:vAlign w:val="top"/>
          </w:tcPr>
          <w:p w14:paraId="25EE82F6">
            <w:pPr>
              <w:pStyle w:val="12"/>
              <w:spacing w:before="90" w:line="378" w:lineRule="exact"/>
              <w:ind w:left="749"/>
              <w:rPr>
                <w:color w:val="auto"/>
                <w:sz w:val="24"/>
                <w:szCs w:val="24"/>
                <w:highlight w:val="none"/>
              </w:rPr>
            </w:pPr>
            <w:r>
              <w:rPr>
                <w:color w:val="auto"/>
                <w:position w:val="3"/>
                <w:sz w:val="24"/>
                <w:szCs w:val="24"/>
                <w:highlight w:val="none"/>
              </w:rPr>
              <w:t>…</w:t>
            </w:r>
          </w:p>
        </w:tc>
        <w:tc>
          <w:tcPr>
            <w:tcW w:w="2267" w:type="dxa"/>
            <w:vAlign w:val="top"/>
          </w:tcPr>
          <w:p w14:paraId="76D9A571">
            <w:pPr>
              <w:pStyle w:val="12"/>
              <w:spacing w:before="90" w:line="378" w:lineRule="exact"/>
              <w:ind w:left="1034"/>
              <w:rPr>
                <w:color w:val="auto"/>
                <w:sz w:val="24"/>
                <w:szCs w:val="24"/>
                <w:highlight w:val="none"/>
              </w:rPr>
            </w:pPr>
            <w:r>
              <w:rPr>
                <w:color w:val="auto"/>
                <w:position w:val="3"/>
                <w:sz w:val="24"/>
                <w:szCs w:val="24"/>
                <w:highlight w:val="none"/>
              </w:rPr>
              <w:t>…</w:t>
            </w:r>
          </w:p>
        </w:tc>
        <w:tc>
          <w:tcPr>
            <w:tcW w:w="2409" w:type="dxa"/>
            <w:vAlign w:val="top"/>
          </w:tcPr>
          <w:p w14:paraId="363D0099">
            <w:pPr>
              <w:pStyle w:val="12"/>
              <w:spacing w:before="90" w:line="378" w:lineRule="exact"/>
              <w:ind w:left="1107"/>
              <w:rPr>
                <w:color w:val="auto"/>
                <w:sz w:val="24"/>
                <w:szCs w:val="24"/>
                <w:highlight w:val="none"/>
              </w:rPr>
            </w:pPr>
            <w:r>
              <w:rPr>
                <w:color w:val="auto"/>
                <w:position w:val="3"/>
                <w:sz w:val="24"/>
                <w:szCs w:val="24"/>
                <w:highlight w:val="none"/>
              </w:rPr>
              <w:t>…</w:t>
            </w:r>
          </w:p>
        </w:tc>
        <w:tc>
          <w:tcPr>
            <w:tcW w:w="1564" w:type="dxa"/>
            <w:vAlign w:val="top"/>
          </w:tcPr>
          <w:p w14:paraId="1363FE20">
            <w:pPr>
              <w:pStyle w:val="12"/>
              <w:spacing w:before="90" w:line="378" w:lineRule="exact"/>
              <w:ind w:left="683"/>
              <w:rPr>
                <w:color w:val="auto"/>
                <w:sz w:val="24"/>
                <w:szCs w:val="24"/>
                <w:highlight w:val="none"/>
              </w:rPr>
            </w:pPr>
            <w:r>
              <w:rPr>
                <w:color w:val="auto"/>
                <w:position w:val="3"/>
                <w:sz w:val="24"/>
                <w:szCs w:val="24"/>
                <w:highlight w:val="none"/>
              </w:rPr>
              <w:t>…</w:t>
            </w:r>
          </w:p>
        </w:tc>
      </w:tr>
    </w:tbl>
    <w:p w14:paraId="40DE5562">
      <w:pPr>
        <w:pStyle w:val="4"/>
        <w:spacing w:line="421" w:lineRule="auto"/>
        <w:rPr>
          <w:color w:val="auto"/>
          <w:highlight w:val="none"/>
        </w:rPr>
      </w:pPr>
    </w:p>
    <w:p w14:paraId="02D4F9E8">
      <w:pPr>
        <w:spacing w:before="78" w:line="224" w:lineRule="auto"/>
        <w:ind w:left="122"/>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注：</w:t>
      </w:r>
    </w:p>
    <w:p w14:paraId="436797FC">
      <w:pPr>
        <w:spacing w:before="176" w:line="289" w:lineRule="auto"/>
        <w:ind w:left="123" w:right="6" w:firstLine="16"/>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1.说明：应对照磋商文件“第三章采购需求”中的</w:t>
      </w:r>
      <w:r>
        <w:rPr>
          <w:rFonts w:ascii="宋体" w:hAnsi="宋体" w:eastAsia="宋体" w:cs="宋体"/>
          <w:b/>
          <w:bCs/>
          <w:color w:val="auto"/>
          <w:spacing w:val="1"/>
          <w:sz w:val="24"/>
          <w:szCs w:val="24"/>
          <w:highlight w:val="none"/>
        </w:rPr>
        <w:t>商务要求逐条</w:t>
      </w:r>
      <w:r>
        <w:rPr>
          <w:rFonts w:ascii="宋体" w:hAnsi="宋体" w:eastAsia="宋体" w:cs="宋体"/>
          <w:b/>
          <w:bCs/>
          <w:color w:val="auto"/>
          <w:sz w:val="24"/>
          <w:szCs w:val="24"/>
          <w:highlight w:val="none"/>
        </w:rPr>
        <w:t>作出明确响应</w:t>
      </w:r>
      <w:r>
        <w:rPr>
          <w:rFonts w:ascii="宋体" w:hAnsi="宋体" w:eastAsia="宋体" w:cs="宋体"/>
          <w:color w:val="auto"/>
          <w:sz w:val="24"/>
          <w:szCs w:val="24"/>
          <w:highlight w:val="none"/>
        </w:rPr>
        <w:t>，并</w:t>
      </w:r>
      <w:r>
        <w:rPr>
          <w:rFonts w:ascii="宋体" w:hAnsi="宋体" w:eastAsia="宋体" w:cs="宋体"/>
          <w:color w:val="auto"/>
          <w:spacing w:val="-6"/>
          <w:sz w:val="24"/>
          <w:szCs w:val="24"/>
          <w:highlight w:val="none"/>
        </w:rPr>
        <w:t>作出偏离说明。</w:t>
      </w:r>
    </w:p>
    <w:p w14:paraId="1B79DE3D">
      <w:pPr>
        <w:spacing w:before="182" w:line="289" w:lineRule="auto"/>
        <w:ind w:left="122" w:firstLine="2"/>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2.供应商应根据自身的承诺，对照磋商文件要求在“偏离说明”中注明“正偏离”</w:t>
      </w:r>
      <w:r>
        <w:rPr>
          <w:rFonts w:ascii="宋体" w:hAnsi="宋体" w:eastAsia="宋体" w:cs="宋体"/>
          <w:color w:val="auto"/>
          <w:spacing w:val="-5"/>
          <w:sz w:val="24"/>
          <w:szCs w:val="24"/>
          <w:highlight w:val="none"/>
        </w:rPr>
        <w:t>“负</w:t>
      </w:r>
      <w:r>
        <w:rPr>
          <w:rFonts w:ascii="宋体" w:hAnsi="宋体" w:eastAsia="宋体" w:cs="宋体"/>
          <w:color w:val="auto"/>
          <w:spacing w:val="-1"/>
          <w:sz w:val="24"/>
          <w:szCs w:val="24"/>
          <w:highlight w:val="none"/>
        </w:rPr>
        <w:t>偏离”或者“无偏离”。既不属于“正偏离”也不属于“负偏离”即</w:t>
      </w:r>
      <w:r>
        <w:rPr>
          <w:rFonts w:ascii="宋体" w:hAnsi="宋体" w:eastAsia="宋体" w:cs="宋体"/>
          <w:color w:val="auto"/>
          <w:spacing w:val="-2"/>
          <w:sz w:val="24"/>
          <w:szCs w:val="24"/>
          <w:highlight w:val="none"/>
        </w:rPr>
        <w:t>为“无偏离”。</w:t>
      </w:r>
    </w:p>
    <w:p w14:paraId="0256A012">
      <w:pPr>
        <w:pStyle w:val="4"/>
        <w:spacing w:line="283" w:lineRule="auto"/>
        <w:rPr>
          <w:color w:val="auto"/>
          <w:highlight w:val="none"/>
        </w:rPr>
      </w:pPr>
    </w:p>
    <w:p w14:paraId="3AD88847">
      <w:pPr>
        <w:pStyle w:val="4"/>
        <w:spacing w:line="283" w:lineRule="auto"/>
        <w:rPr>
          <w:color w:val="auto"/>
          <w:highlight w:val="none"/>
        </w:rPr>
      </w:pPr>
    </w:p>
    <w:p w14:paraId="27BA932D">
      <w:pPr>
        <w:spacing w:before="78" w:line="220" w:lineRule="auto"/>
        <w:ind w:left="2259"/>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法定代表人或者委托代理人（签字或者电子签名</w:t>
      </w:r>
      <w:r>
        <w:rPr>
          <w:rFonts w:ascii="宋体" w:hAnsi="宋体" w:eastAsia="宋体" w:cs="宋体"/>
          <w:color w:val="auto"/>
          <w:spacing w:val="-1"/>
          <w:sz w:val="24"/>
          <w:szCs w:val="24"/>
          <w:highlight w:val="none"/>
        </w:rPr>
        <w:t>）：</w:t>
      </w:r>
    </w:p>
    <w:p w14:paraId="1607D6E9">
      <w:pPr>
        <w:spacing w:before="182" w:line="219" w:lineRule="auto"/>
        <w:ind w:left="2762"/>
        <w:rPr>
          <w:rFonts w:ascii="宋体" w:hAnsi="宋体" w:eastAsia="宋体" w:cs="宋体"/>
          <w:color w:val="auto"/>
          <w:sz w:val="24"/>
          <w:szCs w:val="24"/>
          <w:highlight w:val="none"/>
        </w:rPr>
      </w:pPr>
      <w:r>
        <w:rPr>
          <w:rFonts w:ascii="宋体" w:hAnsi="宋体" w:eastAsia="宋体" w:cs="宋体"/>
          <w:color w:val="auto"/>
          <w:spacing w:val="-6"/>
          <w:sz w:val="24"/>
          <w:szCs w:val="24"/>
          <w:highlight w:val="none"/>
        </w:rPr>
        <w:t>供应商名称（电子签章</w:t>
      </w:r>
      <w:r>
        <w:rPr>
          <w:rFonts w:ascii="宋体" w:hAnsi="宋体" w:eastAsia="宋体" w:cs="宋体"/>
          <w:color w:val="auto"/>
          <w:spacing w:val="-1"/>
          <w:sz w:val="24"/>
          <w:szCs w:val="24"/>
          <w:highlight w:val="none"/>
        </w:rPr>
        <w:t>）：</w:t>
      </w:r>
    </w:p>
    <w:p w14:paraId="6B5FEABC">
      <w:pPr>
        <w:spacing w:before="181" w:line="220" w:lineRule="auto"/>
        <w:ind w:left="4243"/>
        <w:rPr>
          <w:rFonts w:ascii="宋体" w:hAnsi="宋体" w:eastAsia="宋体" w:cs="宋体"/>
          <w:color w:val="auto"/>
          <w:sz w:val="24"/>
          <w:szCs w:val="24"/>
          <w:highlight w:val="none"/>
        </w:rPr>
      </w:pPr>
      <w:r>
        <w:rPr>
          <w:rFonts w:ascii="宋体" w:hAnsi="宋体" w:eastAsia="宋体" w:cs="宋体"/>
          <w:color w:val="auto"/>
          <w:spacing w:val="-13"/>
          <w:sz w:val="24"/>
          <w:szCs w:val="24"/>
          <w:highlight w:val="none"/>
        </w:rPr>
        <w:t>日期：年月日</w:t>
      </w:r>
    </w:p>
    <w:p w14:paraId="75A277E0">
      <w:pPr>
        <w:spacing w:line="220" w:lineRule="auto"/>
        <w:rPr>
          <w:rFonts w:ascii="宋体" w:hAnsi="宋体" w:eastAsia="宋体" w:cs="宋体"/>
          <w:color w:val="auto"/>
          <w:sz w:val="24"/>
          <w:szCs w:val="24"/>
          <w:highlight w:val="none"/>
        </w:rPr>
        <w:sectPr>
          <w:footerReference r:id="rId49" w:type="default"/>
          <w:pgSz w:w="11907" w:h="16839"/>
          <w:pgMar w:top="1377" w:right="1132" w:bottom="1154" w:left="1685" w:header="0" w:footer="954" w:gutter="0"/>
          <w:cols w:space="720" w:num="1"/>
        </w:sectPr>
      </w:pPr>
    </w:p>
    <w:p w14:paraId="1F173A01">
      <w:pPr>
        <w:spacing w:before="104" w:line="605" w:lineRule="exact"/>
        <w:ind w:left="3069"/>
        <w:rPr>
          <w:rFonts w:ascii="宋体" w:hAnsi="宋体" w:eastAsia="宋体" w:cs="宋体"/>
          <w:color w:val="auto"/>
          <w:sz w:val="43"/>
          <w:szCs w:val="43"/>
          <w:highlight w:val="none"/>
        </w:rPr>
      </w:pPr>
      <w:r>
        <w:rPr>
          <w:rFonts w:ascii="宋体" w:hAnsi="宋体" w:eastAsia="宋体" w:cs="宋体"/>
          <w:b/>
          <w:bCs/>
          <w:color w:val="auto"/>
          <w:spacing w:val="3"/>
          <w:position w:val="3"/>
          <w:sz w:val="43"/>
          <w:szCs w:val="43"/>
          <w:highlight w:val="none"/>
        </w:rPr>
        <w:t>技术要求偏离表</w:t>
      </w:r>
    </w:p>
    <w:p w14:paraId="3566840D">
      <w:pPr>
        <w:pStyle w:val="4"/>
        <w:spacing w:line="321" w:lineRule="auto"/>
        <w:rPr>
          <w:color w:val="auto"/>
          <w:highlight w:val="none"/>
        </w:rPr>
      </w:pPr>
    </w:p>
    <w:p w14:paraId="1BEE1364">
      <w:pPr>
        <w:pStyle w:val="4"/>
        <w:spacing w:line="322" w:lineRule="auto"/>
        <w:rPr>
          <w:color w:val="auto"/>
          <w:highlight w:val="none"/>
        </w:rPr>
      </w:pPr>
    </w:p>
    <w:p w14:paraId="54335682">
      <w:pPr>
        <w:spacing w:before="78" w:line="219" w:lineRule="auto"/>
        <w:ind w:left="121"/>
        <w:rPr>
          <w:rFonts w:hint="eastAsia"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rPr>
        <w:t>采购项目编号：</w:t>
      </w:r>
    </w:p>
    <w:p w14:paraId="291FC8F3">
      <w:pPr>
        <w:spacing w:before="183" w:line="219" w:lineRule="auto"/>
        <w:ind w:left="121"/>
        <w:rPr>
          <w:rFonts w:hint="eastAsia"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rPr>
        <w:t>采购项目名称：</w:t>
      </w:r>
    </w:p>
    <w:p w14:paraId="2109AF95">
      <w:pPr>
        <w:spacing w:before="65"/>
        <w:rPr>
          <w:color w:val="auto"/>
          <w:highlight w:val="none"/>
        </w:rPr>
      </w:pPr>
    </w:p>
    <w:p w14:paraId="4364F5AA">
      <w:pPr>
        <w:spacing w:before="64"/>
        <w:rPr>
          <w:color w:val="auto"/>
          <w:highlight w:val="none"/>
        </w:rPr>
      </w:pPr>
    </w:p>
    <w:tbl>
      <w:tblPr>
        <w:tblStyle w:val="11"/>
        <w:tblW w:w="9198"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1"/>
        <w:gridCol w:w="926"/>
        <w:gridCol w:w="3068"/>
        <w:gridCol w:w="2762"/>
        <w:gridCol w:w="1511"/>
      </w:tblGrid>
      <w:tr w14:paraId="05948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931" w:type="dxa"/>
            <w:tcBorders>
              <w:top w:val="single" w:color="000000" w:sz="2" w:space="0"/>
              <w:left w:val="single" w:color="000000" w:sz="2" w:space="0"/>
            </w:tcBorders>
            <w:vAlign w:val="top"/>
          </w:tcPr>
          <w:p w14:paraId="5BDAB22D">
            <w:pPr>
              <w:pStyle w:val="12"/>
              <w:spacing w:before="40" w:line="221" w:lineRule="auto"/>
              <w:ind w:left="231"/>
              <w:rPr>
                <w:color w:val="auto"/>
                <w:sz w:val="24"/>
                <w:szCs w:val="24"/>
                <w:highlight w:val="none"/>
              </w:rPr>
            </w:pPr>
            <w:r>
              <w:rPr>
                <w:color w:val="auto"/>
                <w:spacing w:val="-3"/>
                <w:sz w:val="24"/>
                <w:szCs w:val="24"/>
                <w:highlight w:val="none"/>
              </w:rPr>
              <w:t>序号</w:t>
            </w:r>
          </w:p>
        </w:tc>
        <w:tc>
          <w:tcPr>
            <w:tcW w:w="926" w:type="dxa"/>
            <w:tcBorders>
              <w:top w:val="single" w:color="000000" w:sz="2" w:space="0"/>
              <w:right w:val="single" w:color="000000" w:sz="2" w:space="0"/>
            </w:tcBorders>
            <w:vAlign w:val="top"/>
          </w:tcPr>
          <w:p w14:paraId="0E213512">
            <w:pPr>
              <w:pStyle w:val="12"/>
              <w:spacing w:before="40" w:line="222" w:lineRule="auto"/>
              <w:ind w:left="228"/>
              <w:rPr>
                <w:color w:val="auto"/>
                <w:sz w:val="24"/>
                <w:szCs w:val="24"/>
                <w:highlight w:val="none"/>
              </w:rPr>
            </w:pPr>
            <w:r>
              <w:rPr>
                <w:color w:val="auto"/>
                <w:spacing w:val="-4"/>
                <w:sz w:val="24"/>
                <w:szCs w:val="24"/>
                <w:highlight w:val="none"/>
              </w:rPr>
              <w:t>名称</w:t>
            </w:r>
          </w:p>
        </w:tc>
        <w:tc>
          <w:tcPr>
            <w:tcW w:w="3068" w:type="dxa"/>
            <w:tcBorders>
              <w:top w:val="single" w:color="000000" w:sz="2" w:space="0"/>
              <w:left w:val="single" w:color="000000" w:sz="2" w:space="0"/>
            </w:tcBorders>
            <w:vAlign w:val="top"/>
          </w:tcPr>
          <w:p w14:paraId="05CECDBC">
            <w:pPr>
              <w:pStyle w:val="12"/>
              <w:spacing w:before="40" w:line="220" w:lineRule="auto"/>
              <w:ind w:left="575"/>
              <w:rPr>
                <w:color w:val="auto"/>
                <w:sz w:val="24"/>
                <w:szCs w:val="24"/>
                <w:highlight w:val="none"/>
              </w:rPr>
            </w:pPr>
            <w:r>
              <w:rPr>
                <w:color w:val="auto"/>
                <w:spacing w:val="-1"/>
                <w:sz w:val="24"/>
                <w:szCs w:val="24"/>
                <w:highlight w:val="none"/>
              </w:rPr>
              <w:t>磋商文件技术要求</w:t>
            </w:r>
          </w:p>
        </w:tc>
        <w:tc>
          <w:tcPr>
            <w:tcW w:w="2762" w:type="dxa"/>
            <w:tcBorders>
              <w:top w:val="single" w:color="000000" w:sz="2" w:space="0"/>
            </w:tcBorders>
            <w:vAlign w:val="top"/>
          </w:tcPr>
          <w:p w14:paraId="5B1F98A8">
            <w:pPr>
              <w:pStyle w:val="12"/>
              <w:spacing w:before="41" w:line="220" w:lineRule="auto"/>
              <w:ind w:left="907"/>
              <w:rPr>
                <w:color w:val="auto"/>
                <w:sz w:val="24"/>
                <w:szCs w:val="24"/>
                <w:highlight w:val="none"/>
              </w:rPr>
            </w:pPr>
            <w:r>
              <w:rPr>
                <w:color w:val="auto"/>
                <w:spacing w:val="-3"/>
                <w:sz w:val="24"/>
                <w:szCs w:val="24"/>
                <w:highlight w:val="none"/>
              </w:rPr>
              <w:t>竞标响应</w:t>
            </w:r>
          </w:p>
        </w:tc>
        <w:tc>
          <w:tcPr>
            <w:tcW w:w="1511" w:type="dxa"/>
            <w:tcBorders>
              <w:top w:val="single" w:color="000000" w:sz="2" w:space="0"/>
              <w:right w:val="single" w:color="000000" w:sz="2" w:space="0"/>
            </w:tcBorders>
            <w:vAlign w:val="top"/>
          </w:tcPr>
          <w:p w14:paraId="7B198753">
            <w:pPr>
              <w:pStyle w:val="12"/>
              <w:spacing w:before="40" w:line="220" w:lineRule="auto"/>
              <w:ind w:left="279"/>
              <w:rPr>
                <w:color w:val="auto"/>
                <w:sz w:val="24"/>
                <w:szCs w:val="24"/>
                <w:highlight w:val="none"/>
              </w:rPr>
            </w:pPr>
            <w:r>
              <w:rPr>
                <w:color w:val="auto"/>
                <w:spacing w:val="-2"/>
                <w:sz w:val="24"/>
                <w:szCs w:val="24"/>
                <w:highlight w:val="none"/>
              </w:rPr>
              <w:t>偏离说明</w:t>
            </w:r>
          </w:p>
        </w:tc>
      </w:tr>
      <w:tr w14:paraId="63FC5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931" w:type="dxa"/>
            <w:tcBorders>
              <w:left w:val="single" w:color="000000" w:sz="2" w:space="0"/>
            </w:tcBorders>
            <w:vAlign w:val="top"/>
          </w:tcPr>
          <w:p w14:paraId="2970F1B0">
            <w:pPr>
              <w:pStyle w:val="12"/>
              <w:spacing w:before="37" w:line="241" w:lineRule="auto"/>
              <w:ind w:left="430"/>
              <w:rPr>
                <w:color w:val="auto"/>
                <w:sz w:val="24"/>
                <w:szCs w:val="24"/>
                <w:highlight w:val="none"/>
              </w:rPr>
            </w:pPr>
            <w:r>
              <w:rPr>
                <w:color w:val="auto"/>
                <w:sz w:val="24"/>
                <w:szCs w:val="24"/>
                <w:highlight w:val="none"/>
              </w:rPr>
              <w:t>1</w:t>
            </w:r>
          </w:p>
        </w:tc>
        <w:tc>
          <w:tcPr>
            <w:tcW w:w="926" w:type="dxa"/>
            <w:tcBorders>
              <w:right w:val="single" w:color="000000" w:sz="2" w:space="0"/>
            </w:tcBorders>
            <w:vAlign w:val="top"/>
          </w:tcPr>
          <w:p w14:paraId="1DF8FCEE">
            <w:pPr>
              <w:rPr>
                <w:rFonts w:ascii="Arial"/>
                <w:color w:val="auto"/>
                <w:sz w:val="21"/>
                <w:highlight w:val="none"/>
              </w:rPr>
            </w:pPr>
          </w:p>
        </w:tc>
        <w:tc>
          <w:tcPr>
            <w:tcW w:w="3068" w:type="dxa"/>
            <w:tcBorders>
              <w:left w:val="single" w:color="000000" w:sz="2" w:space="0"/>
            </w:tcBorders>
            <w:vAlign w:val="top"/>
          </w:tcPr>
          <w:p w14:paraId="686FCFE9">
            <w:pPr>
              <w:rPr>
                <w:rFonts w:ascii="Arial"/>
                <w:color w:val="auto"/>
                <w:sz w:val="21"/>
                <w:highlight w:val="none"/>
              </w:rPr>
            </w:pPr>
          </w:p>
        </w:tc>
        <w:tc>
          <w:tcPr>
            <w:tcW w:w="2762" w:type="dxa"/>
            <w:vAlign w:val="top"/>
          </w:tcPr>
          <w:p w14:paraId="6C8FAAB8">
            <w:pPr>
              <w:rPr>
                <w:rFonts w:ascii="Arial"/>
                <w:color w:val="auto"/>
                <w:sz w:val="21"/>
                <w:highlight w:val="none"/>
              </w:rPr>
            </w:pPr>
          </w:p>
        </w:tc>
        <w:tc>
          <w:tcPr>
            <w:tcW w:w="1511" w:type="dxa"/>
            <w:tcBorders>
              <w:right w:val="single" w:color="000000" w:sz="2" w:space="0"/>
            </w:tcBorders>
            <w:vAlign w:val="top"/>
          </w:tcPr>
          <w:p w14:paraId="14B6A61A">
            <w:pPr>
              <w:rPr>
                <w:rFonts w:ascii="Arial"/>
                <w:color w:val="auto"/>
                <w:sz w:val="21"/>
                <w:highlight w:val="none"/>
              </w:rPr>
            </w:pPr>
          </w:p>
        </w:tc>
      </w:tr>
      <w:tr w14:paraId="43D5E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931" w:type="dxa"/>
            <w:tcBorders>
              <w:left w:val="single" w:color="000000" w:sz="2" w:space="0"/>
            </w:tcBorders>
            <w:vAlign w:val="top"/>
          </w:tcPr>
          <w:p w14:paraId="093FDAF9">
            <w:pPr>
              <w:pStyle w:val="12"/>
              <w:spacing w:before="35" w:line="241" w:lineRule="auto"/>
              <w:ind w:left="415"/>
              <w:rPr>
                <w:color w:val="auto"/>
                <w:sz w:val="24"/>
                <w:szCs w:val="24"/>
                <w:highlight w:val="none"/>
              </w:rPr>
            </w:pPr>
            <w:r>
              <w:rPr>
                <w:color w:val="auto"/>
                <w:sz w:val="24"/>
                <w:szCs w:val="24"/>
                <w:highlight w:val="none"/>
              </w:rPr>
              <w:t>2</w:t>
            </w:r>
          </w:p>
        </w:tc>
        <w:tc>
          <w:tcPr>
            <w:tcW w:w="926" w:type="dxa"/>
            <w:tcBorders>
              <w:right w:val="single" w:color="000000" w:sz="2" w:space="0"/>
            </w:tcBorders>
            <w:vAlign w:val="top"/>
          </w:tcPr>
          <w:p w14:paraId="2BA20D59">
            <w:pPr>
              <w:rPr>
                <w:rFonts w:ascii="Arial"/>
                <w:color w:val="auto"/>
                <w:sz w:val="21"/>
                <w:highlight w:val="none"/>
              </w:rPr>
            </w:pPr>
          </w:p>
        </w:tc>
        <w:tc>
          <w:tcPr>
            <w:tcW w:w="3068" w:type="dxa"/>
            <w:tcBorders>
              <w:left w:val="single" w:color="000000" w:sz="2" w:space="0"/>
            </w:tcBorders>
            <w:vAlign w:val="top"/>
          </w:tcPr>
          <w:p w14:paraId="1C00DA33">
            <w:pPr>
              <w:rPr>
                <w:rFonts w:ascii="Arial"/>
                <w:color w:val="auto"/>
                <w:sz w:val="21"/>
                <w:highlight w:val="none"/>
              </w:rPr>
            </w:pPr>
          </w:p>
        </w:tc>
        <w:tc>
          <w:tcPr>
            <w:tcW w:w="2762" w:type="dxa"/>
            <w:vAlign w:val="top"/>
          </w:tcPr>
          <w:p w14:paraId="31D32922">
            <w:pPr>
              <w:rPr>
                <w:rFonts w:ascii="Arial"/>
                <w:color w:val="auto"/>
                <w:sz w:val="21"/>
                <w:highlight w:val="none"/>
              </w:rPr>
            </w:pPr>
          </w:p>
        </w:tc>
        <w:tc>
          <w:tcPr>
            <w:tcW w:w="1511" w:type="dxa"/>
            <w:tcBorders>
              <w:right w:val="single" w:color="000000" w:sz="2" w:space="0"/>
            </w:tcBorders>
            <w:vAlign w:val="top"/>
          </w:tcPr>
          <w:p w14:paraId="46DDE5AD">
            <w:pPr>
              <w:rPr>
                <w:rFonts w:ascii="Arial"/>
                <w:color w:val="auto"/>
                <w:sz w:val="21"/>
                <w:highlight w:val="none"/>
              </w:rPr>
            </w:pPr>
          </w:p>
        </w:tc>
      </w:tr>
      <w:tr w14:paraId="665A9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931" w:type="dxa"/>
            <w:tcBorders>
              <w:left w:val="single" w:color="000000" w:sz="2" w:space="0"/>
            </w:tcBorders>
            <w:vAlign w:val="top"/>
          </w:tcPr>
          <w:p w14:paraId="47764AC2">
            <w:pPr>
              <w:pStyle w:val="12"/>
              <w:spacing w:before="35"/>
              <w:ind w:left="417"/>
              <w:rPr>
                <w:color w:val="auto"/>
                <w:sz w:val="24"/>
                <w:szCs w:val="24"/>
                <w:highlight w:val="none"/>
              </w:rPr>
            </w:pPr>
            <w:r>
              <w:rPr>
                <w:color w:val="auto"/>
                <w:sz w:val="24"/>
                <w:szCs w:val="24"/>
                <w:highlight w:val="none"/>
              </w:rPr>
              <w:t>3</w:t>
            </w:r>
          </w:p>
        </w:tc>
        <w:tc>
          <w:tcPr>
            <w:tcW w:w="926" w:type="dxa"/>
            <w:tcBorders>
              <w:right w:val="single" w:color="000000" w:sz="2" w:space="0"/>
            </w:tcBorders>
            <w:vAlign w:val="top"/>
          </w:tcPr>
          <w:p w14:paraId="27FFA225">
            <w:pPr>
              <w:rPr>
                <w:rFonts w:ascii="Arial"/>
                <w:color w:val="auto"/>
                <w:sz w:val="21"/>
                <w:highlight w:val="none"/>
              </w:rPr>
            </w:pPr>
          </w:p>
        </w:tc>
        <w:tc>
          <w:tcPr>
            <w:tcW w:w="3068" w:type="dxa"/>
            <w:tcBorders>
              <w:left w:val="single" w:color="000000" w:sz="2" w:space="0"/>
            </w:tcBorders>
            <w:vAlign w:val="top"/>
          </w:tcPr>
          <w:p w14:paraId="27E4EE9F">
            <w:pPr>
              <w:rPr>
                <w:rFonts w:ascii="Arial"/>
                <w:color w:val="auto"/>
                <w:sz w:val="21"/>
                <w:highlight w:val="none"/>
              </w:rPr>
            </w:pPr>
          </w:p>
        </w:tc>
        <w:tc>
          <w:tcPr>
            <w:tcW w:w="2762" w:type="dxa"/>
            <w:vAlign w:val="top"/>
          </w:tcPr>
          <w:p w14:paraId="05B07012">
            <w:pPr>
              <w:rPr>
                <w:rFonts w:ascii="Arial"/>
                <w:color w:val="auto"/>
                <w:sz w:val="21"/>
                <w:highlight w:val="none"/>
              </w:rPr>
            </w:pPr>
          </w:p>
        </w:tc>
        <w:tc>
          <w:tcPr>
            <w:tcW w:w="1511" w:type="dxa"/>
            <w:tcBorders>
              <w:right w:val="single" w:color="000000" w:sz="2" w:space="0"/>
            </w:tcBorders>
            <w:vAlign w:val="top"/>
          </w:tcPr>
          <w:p w14:paraId="3346B55C">
            <w:pPr>
              <w:rPr>
                <w:rFonts w:ascii="Arial"/>
                <w:color w:val="auto"/>
                <w:sz w:val="21"/>
                <w:highlight w:val="none"/>
              </w:rPr>
            </w:pPr>
          </w:p>
        </w:tc>
      </w:tr>
      <w:tr w14:paraId="23364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931" w:type="dxa"/>
            <w:tcBorders>
              <w:left w:val="single" w:color="000000" w:sz="2" w:space="0"/>
            </w:tcBorders>
            <w:vAlign w:val="top"/>
          </w:tcPr>
          <w:p w14:paraId="6F392343">
            <w:pPr>
              <w:pStyle w:val="12"/>
              <w:spacing w:before="36" w:line="241" w:lineRule="auto"/>
              <w:ind w:left="411"/>
              <w:rPr>
                <w:color w:val="auto"/>
                <w:sz w:val="24"/>
                <w:szCs w:val="24"/>
                <w:highlight w:val="none"/>
              </w:rPr>
            </w:pPr>
            <w:r>
              <w:rPr>
                <w:color w:val="auto"/>
                <w:sz w:val="24"/>
                <w:szCs w:val="24"/>
                <w:highlight w:val="none"/>
              </w:rPr>
              <w:t>4</w:t>
            </w:r>
          </w:p>
        </w:tc>
        <w:tc>
          <w:tcPr>
            <w:tcW w:w="926" w:type="dxa"/>
            <w:tcBorders>
              <w:right w:val="single" w:color="000000" w:sz="2" w:space="0"/>
            </w:tcBorders>
            <w:vAlign w:val="top"/>
          </w:tcPr>
          <w:p w14:paraId="0957B8FB">
            <w:pPr>
              <w:rPr>
                <w:rFonts w:ascii="Arial"/>
                <w:color w:val="auto"/>
                <w:sz w:val="21"/>
                <w:highlight w:val="none"/>
              </w:rPr>
            </w:pPr>
          </w:p>
        </w:tc>
        <w:tc>
          <w:tcPr>
            <w:tcW w:w="3068" w:type="dxa"/>
            <w:tcBorders>
              <w:left w:val="single" w:color="000000" w:sz="2" w:space="0"/>
            </w:tcBorders>
            <w:vAlign w:val="top"/>
          </w:tcPr>
          <w:p w14:paraId="3F113A2F">
            <w:pPr>
              <w:rPr>
                <w:rFonts w:ascii="Arial"/>
                <w:color w:val="auto"/>
                <w:sz w:val="21"/>
                <w:highlight w:val="none"/>
              </w:rPr>
            </w:pPr>
          </w:p>
        </w:tc>
        <w:tc>
          <w:tcPr>
            <w:tcW w:w="2762" w:type="dxa"/>
            <w:vAlign w:val="top"/>
          </w:tcPr>
          <w:p w14:paraId="3729F5B6">
            <w:pPr>
              <w:rPr>
                <w:rFonts w:ascii="Arial"/>
                <w:color w:val="auto"/>
                <w:sz w:val="21"/>
                <w:highlight w:val="none"/>
              </w:rPr>
            </w:pPr>
          </w:p>
        </w:tc>
        <w:tc>
          <w:tcPr>
            <w:tcW w:w="1511" w:type="dxa"/>
            <w:tcBorders>
              <w:right w:val="single" w:color="000000" w:sz="2" w:space="0"/>
            </w:tcBorders>
            <w:vAlign w:val="top"/>
          </w:tcPr>
          <w:p w14:paraId="47BC0ECF">
            <w:pPr>
              <w:rPr>
                <w:rFonts w:ascii="Arial"/>
                <w:color w:val="auto"/>
                <w:sz w:val="21"/>
                <w:highlight w:val="none"/>
              </w:rPr>
            </w:pPr>
          </w:p>
        </w:tc>
      </w:tr>
      <w:tr w14:paraId="40B9A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931" w:type="dxa"/>
            <w:tcBorders>
              <w:left w:val="single" w:color="000000" w:sz="2" w:space="0"/>
            </w:tcBorders>
            <w:vAlign w:val="top"/>
          </w:tcPr>
          <w:p w14:paraId="01D4BB6C">
            <w:pPr>
              <w:pStyle w:val="12"/>
              <w:spacing w:before="39"/>
              <w:ind w:left="417"/>
              <w:rPr>
                <w:color w:val="auto"/>
                <w:sz w:val="24"/>
                <w:szCs w:val="24"/>
                <w:highlight w:val="none"/>
              </w:rPr>
            </w:pPr>
            <w:r>
              <w:rPr>
                <w:color w:val="auto"/>
                <w:sz w:val="24"/>
                <w:szCs w:val="24"/>
                <w:highlight w:val="none"/>
              </w:rPr>
              <w:t>5</w:t>
            </w:r>
          </w:p>
        </w:tc>
        <w:tc>
          <w:tcPr>
            <w:tcW w:w="926" w:type="dxa"/>
            <w:tcBorders>
              <w:right w:val="single" w:color="000000" w:sz="2" w:space="0"/>
            </w:tcBorders>
            <w:vAlign w:val="top"/>
          </w:tcPr>
          <w:p w14:paraId="3B4E9D02">
            <w:pPr>
              <w:rPr>
                <w:rFonts w:ascii="Arial"/>
                <w:color w:val="auto"/>
                <w:sz w:val="21"/>
                <w:highlight w:val="none"/>
              </w:rPr>
            </w:pPr>
          </w:p>
        </w:tc>
        <w:tc>
          <w:tcPr>
            <w:tcW w:w="3068" w:type="dxa"/>
            <w:tcBorders>
              <w:left w:val="single" w:color="000000" w:sz="2" w:space="0"/>
            </w:tcBorders>
            <w:vAlign w:val="top"/>
          </w:tcPr>
          <w:p w14:paraId="0EA434AB">
            <w:pPr>
              <w:rPr>
                <w:rFonts w:ascii="Arial"/>
                <w:color w:val="auto"/>
                <w:sz w:val="21"/>
                <w:highlight w:val="none"/>
              </w:rPr>
            </w:pPr>
          </w:p>
        </w:tc>
        <w:tc>
          <w:tcPr>
            <w:tcW w:w="2762" w:type="dxa"/>
            <w:vAlign w:val="top"/>
          </w:tcPr>
          <w:p w14:paraId="2C8A836A">
            <w:pPr>
              <w:rPr>
                <w:rFonts w:ascii="Arial"/>
                <w:color w:val="auto"/>
                <w:sz w:val="21"/>
                <w:highlight w:val="none"/>
              </w:rPr>
            </w:pPr>
          </w:p>
        </w:tc>
        <w:tc>
          <w:tcPr>
            <w:tcW w:w="1511" w:type="dxa"/>
            <w:tcBorders>
              <w:right w:val="single" w:color="000000" w:sz="2" w:space="0"/>
            </w:tcBorders>
            <w:vAlign w:val="top"/>
          </w:tcPr>
          <w:p w14:paraId="5937E302">
            <w:pPr>
              <w:rPr>
                <w:rFonts w:ascii="Arial"/>
                <w:color w:val="auto"/>
                <w:sz w:val="21"/>
                <w:highlight w:val="none"/>
              </w:rPr>
            </w:pPr>
          </w:p>
        </w:tc>
      </w:tr>
      <w:tr w14:paraId="68819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931" w:type="dxa"/>
            <w:tcBorders>
              <w:left w:val="single" w:color="000000" w:sz="2" w:space="0"/>
              <w:bottom w:val="single" w:color="000000" w:sz="2" w:space="0"/>
            </w:tcBorders>
            <w:vAlign w:val="top"/>
          </w:tcPr>
          <w:p w14:paraId="3F90716F">
            <w:pPr>
              <w:pStyle w:val="12"/>
              <w:spacing w:before="40" w:line="378" w:lineRule="exact"/>
              <w:ind w:left="367"/>
              <w:rPr>
                <w:color w:val="auto"/>
                <w:sz w:val="24"/>
                <w:szCs w:val="24"/>
                <w:highlight w:val="none"/>
              </w:rPr>
            </w:pPr>
            <w:r>
              <w:rPr>
                <w:color w:val="auto"/>
                <w:position w:val="3"/>
                <w:sz w:val="24"/>
                <w:szCs w:val="24"/>
                <w:highlight w:val="none"/>
              </w:rPr>
              <w:t>…</w:t>
            </w:r>
          </w:p>
        </w:tc>
        <w:tc>
          <w:tcPr>
            <w:tcW w:w="926" w:type="dxa"/>
            <w:tcBorders>
              <w:bottom w:val="single" w:color="000000" w:sz="2" w:space="0"/>
              <w:right w:val="single" w:color="000000" w:sz="2" w:space="0"/>
            </w:tcBorders>
            <w:vAlign w:val="top"/>
          </w:tcPr>
          <w:p w14:paraId="5FD7E250">
            <w:pPr>
              <w:rPr>
                <w:rFonts w:ascii="Arial"/>
                <w:color w:val="auto"/>
                <w:sz w:val="21"/>
                <w:highlight w:val="none"/>
              </w:rPr>
            </w:pPr>
          </w:p>
        </w:tc>
        <w:tc>
          <w:tcPr>
            <w:tcW w:w="3068" w:type="dxa"/>
            <w:tcBorders>
              <w:left w:val="single" w:color="000000" w:sz="2" w:space="0"/>
              <w:bottom w:val="single" w:color="000000" w:sz="2" w:space="0"/>
            </w:tcBorders>
            <w:vAlign w:val="top"/>
          </w:tcPr>
          <w:p w14:paraId="4D4FFC98">
            <w:pPr>
              <w:rPr>
                <w:rFonts w:ascii="Arial"/>
                <w:color w:val="auto"/>
                <w:sz w:val="21"/>
                <w:highlight w:val="none"/>
              </w:rPr>
            </w:pPr>
          </w:p>
        </w:tc>
        <w:tc>
          <w:tcPr>
            <w:tcW w:w="2762" w:type="dxa"/>
            <w:tcBorders>
              <w:bottom w:val="single" w:color="000000" w:sz="2" w:space="0"/>
            </w:tcBorders>
            <w:vAlign w:val="top"/>
          </w:tcPr>
          <w:p w14:paraId="4DDAD2D1">
            <w:pPr>
              <w:rPr>
                <w:rFonts w:ascii="Arial"/>
                <w:color w:val="auto"/>
                <w:sz w:val="21"/>
                <w:highlight w:val="none"/>
              </w:rPr>
            </w:pPr>
          </w:p>
        </w:tc>
        <w:tc>
          <w:tcPr>
            <w:tcW w:w="1511" w:type="dxa"/>
            <w:tcBorders>
              <w:bottom w:val="single" w:color="000000" w:sz="2" w:space="0"/>
              <w:right w:val="single" w:color="000000" w:sz="2" w:space="0"/>
            </w:tcBorders>
            <w:vAlign w:val="top"/>
          </w:tcPr>
          <w:p w14:paraId="1209F4AF">
            <w:pPr>
              <w:rPr>
                <w:rFonts w:ascii="Arial"/>
                <w:color w:val="auto"/>
                <w:sz w:val="21"/>
                <w:highlight w:val="none"/>
              </w:rPr>
            </w:pPr>
          </w:p>
        </w:tc>
      </w:tr>
    </w:tbl>
    <w:p w14:paraId="7EA596EB">
      <w:pPr>
        <w:pStyle w:val="4"/>
        <w:spacing w:line="423" w:lineRule="auto"/>
        <w:rPr>
          <w:color w:val="auto"/>
          <w:highlight w:val="none"/>
        </w:rPr>
      </w:pPr>
    </w:p>
    <w:p w14:paraId="49F16859">
      <w:pPr>
        <w:spacing w:before="78" w:line="224" w:lineRule="auto"/>
        <w:ind w:left="122"/>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注：</w:t>
      </w:r>
    </w:p>
    <w:p w14:paraId="358CDE8C">
      <w:pPr>
        <w:spacing w:before="174" w:line="290" w:lineRule="auto"/>
        <w:ind w:left="123" w:right="123" w:firstLine="16"/>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1.说明：应对照磋商文件“第三章采购需求”中的</w:t>
      </w:r>
      <w:r>
        <w:rPr>
          <w:rFonts w:ascii="宋体" w:hAnsi="宋体" w:eastAsia="宋体" w:cs="宋体"/>
          <w:b/>
          <w:bCs/>
          <w:color w:val="auto"/>
          <w:spacing w:val="1"/>
          <w:sz w:val="24"/>
          <w:szCs w:val="24"/>
          <w:highlight w:val="none"/>
        </w:rPr>
        <w:t>技术要求逐条</w:t>
      </w:r>
      <w:r>
        <w:rPr>
          <w:rFonts w:ascii="宋体" w:hAnsi="宋体" w:eastAsia="宋体" w:cs="宋体"/>
          <w:b/>
          <w:bCs/>
          <w:color w:val="auto"/>
          <w:sz w:val="24"/>
          <w:szCs w:val="24"/>
          <w:highlight w:val="none"/>
        </w:rPr>
        <w:t>作出明确响应</w:t>
      </w:r>
      <w:r>
        <w:rPr>
          <w:rFonts w:ascii="宋体" w:hAnsi="宋体" w:eastAsia="宋体" w:cs="宋体"/>
          <w:color w:val="auto"/>
          <w:sz w:val="24"/>
          <w:szCs w:val="24"/>
          <w:highlight w:val="none"/>
        </w:rPr>
        <w:t>，并</w:t>
      </w:r>
      <w:r>
        <w:rPr>
          <w:rFonts w:ascii="宋体" w:hAnsi="宋体" w:eastAsia="宋体" w:cs="宋体"/>
          <w:color w:val="auto"/>
          <w:spacing w:val="-6"/>
          <w:sz w:val="24"/>
          <w:szCs w:val="24"/>
          <w:highlight w:val="none"/>
        </w:rPr>
        <w:t>作出偏离说明。</w:t>
      </w:r>
    </w:p>
    <w:p w14:paraId="23463A70">
      <w:pPr>
        <w:spacing w:before="180" w:line="290" w:lineRule="auto"/>
        <w:ind w:left="105" w:firstLine="19"/>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2.供应商应根据自身的承诺，对照磋商文件要求，在“偏离说明”中注明“正偏离”</w:t>
      </w:r>
      <w:r>
        <w:rPr>
          <w:rFonts w:ascii="宋体" w:hAnsi="宋体" w:eastAsia="宋体" w:cs="宋体"/>
          <w:color w:val="auto"/>
          <w:spacing w:val="-7"/>
          <w:sz w:val="24"/>
          <w:szCs w:val="24"/>
          <w:highlight w:val="none"/>
        </w:rPr>
        <w:t>“负偏离”或者“无偏离”。既不属于“正</w:t>
      </w:r>
      <w:r>
        <w:rPr>
          <w:rFonts w:ascii="宋体" w:hAnsi="宋体" w:eastAsia="宋体" w:cs="宋体"/>
          <w:color w:val="auto"/>
          <w:spacing w:val="-8"/>
          <w:sz w:val="24"/>
          <w:szCs w:val="24"/>
          <w:highlight w:val="none"/>
        </w:rPr>
        <w:t>偏离”也不属于“负偏离”即为“无偏离”。</w:t>
      </w:r>
    </w:p>
    <w:p w14:paraId="69800333">
      <w:pPr>
        <w:pStyle w:val="4"/>
        <w:spacing w:line="283" w:lineRule="auto"/>
        <w:rPr>
          <w:color w:val="auto"/>
          <w:highlight w:val="none"/>
        </w:rPr>
      </w:pPr>
    </w:p>
    <w:p w14:paraId="6EBCDD65">
      <w:pPr>
        <w:pStyle w:val="4"/>
        <w:spacing w:line="283" w:lineRule="auto"/>
        <w:rPr>
          <w:color w:val="auto"/>
          <w:highlight w:val="none"/>
        </w:rPr>
      </w:pPr>
    </w:p>
    <w:p w14:paraId="062187BB">
      <w:pPr>
        <w:spacing w:before="78" w:line="220" w:lineRule="auto"/>
        <w:ind w:left="2259"/>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法定代表人或者委托代理人（签字或者电子签名</w:t>
      </w:r>
      <w:r>
        <w:rPr>
          <w:rFonts w:ascii="宋体" w:hAnsi="宋体" w:eastAsia="宋体" w:cs="宋体"/>
          <w:color w:val="auto"/>
          <w:spacing w:val="-1"/>
          <w:sz w:val="24"/>
          <w:szCs w:val="24"/>
          <w:highlight w:val="none"/>
        </w:rPr>
        <w:t>）：</w:t>
      </w:r>
    </w:p>
    <w:p w14:paraId="22CDBADF">
      <w:pPr>
        <w:spacing w:before="180" w:line="219" w:lineRule="auto"/>
        <w:ind w:left="2762"/>
        <w:rPr>
          <w:rFonts w:ascii="宋体" w:hAnsi="宋体" w:eastAsia="宋体" w:cs="宋体"/>
          <w:color w:val="auto"/>
          <w:sz w:val="24"/>
          <w:szCs w:val="24"/>
          <w:highlight w:val="none"/>
        </w:rPr>
      </w:pPr>
      <w:r>
        <w:rPr>
          <w:rFonts w:ascii="宋体" w:hAnsi="宋体" w:eastAsia="宋体" w:cs="宋体"/>
          <w:color w:val="auto"/>
          <w:spacing w:val="-6"/>
          <w:sz w:val="24"/>
          <w:szCs w:val="24"/>
          <w:highlight w:val="none"/>
        </w:rPr>
        <w:t>供应商名称（电子签章</w:t>
      </w:r>
      <w:r>
        <w:rPr>
          <w:rFonts w:ascii="宋体" w:hAnsi="宋体" w:eastAsia="宋体" w:cs="宋体"/>
          <w:color w:val="auto"/>
          <w:spacing w:val="-1"/>
          <w:sz w:val="24"/>
          <w:szCs w:val="24"/>
          <w:highlight w:val="none"/>
        </w:rPr>
        <w:t>）：</w:t>
      </w:r>
    </w:p>
    <w:p w14:paraId="40802D3B">
      <w:pPr>
        <w:spacing w:before="183" w:line="220" w:lineRule="auto"/>
        <w:ind w:left="4243"/>
        <w:rPr>
          <w:rFonts w:ascii="宋体" w:hAnsi="宋体" w:eastAsia="宋体" w:cs="宋体"/>
          <w:color w:val="auto"/>
          <w:sz w:val="24"/>
          <w:szCs w:val="24"/>
          <w:highlight w:val="none"/>
        </w:rPr>
      </w:pPr>
      <w:r>
        <w:rPr>
          <w:rFonts w:ascii="宋体" w:hAnsi="宋体" w:eastAsia="宋体" w:cs="宋体"/>
          <w:color w:val="auto"/>
          <w:spacing w:val="-13"/>
          <w:sz w:val="24"/>
          <w:szCs w:val="24"/>
          <w:highlight w:val="none"/>
        </w:rPr>
        <w:t>日期：年月日</w:t>
      </w:r>
    </w:p>
    <w:p w14:paraId="63037BE8">
      <w:pPr>
        <w:spacing w:line="220" w:lineRule="auto"/>
        <w:rPr>
          <w:rFonts w:ascii="宋体" w:hAnsi="宋体" w:eastAsia="宋体" w:cs="宋体"/>
          <w:color w:val="auto"/>
          <w:sz w:val="24"/>
          <w:szCs w:val="24"/>
          <w:highlight w:val="none"/>
        </w:rPr>
        <w:sectPr>
          <w:footerReference r:id="rId50" w:type="default"/>
          <w:pgSz w:w="11907" w:h="16839"/>
          <w:pgMar w:top="1414" w:right="1015" w:bottom="1154" w:left="1685" w:header="0" w:footer="954" w:gutter="0"/>
          <w:cols w:space="720" w:num="1"/>
        </w:sectPr>
      </w:pPr>
    </w:p>
    <w:p w14:paraId="6CFF884F">
      <w:pPr>
        <w:spacing w:before="164" w:line="220" w:lineRule="auto"/>
        <w:ind w:left="267"/>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项目实施人员一览表格式</w:t>
      </w:r>
    </w:p>
    <w:p w14:paraId="45FB002D">
      <w:pPr>
        <w:pStyle w:val="4"/>
        <w:spacing w:line="414" w:lineRule="auto"/>
        <w:rPr>
          <w:color w:val="auto"/>
          <w:highlight w:val="none"/>
        </w:rPr>
      </w:pPr>
    </w:p>
    <w:p w14:paraId="59D77394">
      <w:pPr>
        <w:spacing w:before="101" w:line="226" w:lineRule="auto"/>
        <w:ind w:left="3243"/>
        <w:rPr>
          <w:rFonts w:ascii="宋体" w:hAnsi="宋体" w:eastAsia="宋体" w:cs="宋体"/>
          <w:color w:val="auto"/>
          <w:sz w:val="31"/>
          <w:szCs w:val="31"/>
          <w:highlight w:val="none"/>
        </w:rPr>
      </w:pPr>
      <w:r>
        <w:rPr>
          <w:rFonts w:ascii="宋体" w:hAnsi="宋体" w:eastAsia="宋体" w:cs="宋体"/>
          <w:b/>
          <w:bCs/>
          <w:color w:val="auto"/>
          <w:spacing w:val="5"/>
          <w:sz w:val="31"/>
          <w:szCs w:val="31"/>
          <w:highlight w:val="none"/>
        </w:rPr>
        <w:t>项目实施人员一览表</w:t>
      </w:r>
    </w:p>
    <w:p w14:paraId="45ECFF6F">
      <w:pPr>
        <w:spacing w:before="90"/>
        <w:rPr>
          <w:color w:val="auto"/>
          <w:highlight w:val="none"/>
        </w:rPr>
      </w:pPr>
    </w:p>
    <w:p w14:paraId="33C5B45E">
      <w:pPr>
        <w:spacing w:before="90"/>
        <w:rPr>
          <w:color w:val="auto"/>
          <w:highlight w:val="none"/>
        </w:rPr>
      </w:pPr>
    </w:p>
    <w:tbl>
      <w:tblPr>
        <w:tblStyle w:val="11"/>
        <w:tblW w:w="936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8"/>
        <w:gridCol w:w="808"/>
        <w:gridCol w:w="1944"/>
        <w:gridCol w:w="1624"/>
        <w:gridCol w:w="1938"/>
        <w:gridCol w:w="2111"/>
      </w:tblGrid>
      <w:tr w14:paraId="73C576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6" w:hRule="atLeast"/>
        </w:trPr>
        <w:tc>
          <w:tcPr>
            <w:tcW w:w="938" w:type="dxa"/>
            <w:vAlign w:val="top"/>
          </w:tcPr>
          <w:p w14:paraId="55ECEA98">
            <w:pPr>
              <w:spacing w:line="302" w:lineRule="auto"/>
              <w:rPr>
                <w:rFonts w:ascii="Arial"/>
                <w:color w:val="auto"/>
                <w:sz w:val="21"/>
                <w:highlight w:val="none"/>
              </w:rPr>
            </w:pPr>
          </w:p>
          <w:p w14:paraId="5A2C1B60">
            <w:pPr>
              <w:spacing w:line="302" w:lineRule="auto"/>
              <w:rPr>
                <w:rFonts w:ascii="Arial"/>
                <w:color w:val="auto"/>
                <w:sz w:val="21"/>
                <w:highlight w:val="none"/>
              </w:rPr>
            </w:pPr>
          </w:p>
          <w:p w14:paraId="452813B1">
            <w:pPr>
              <w:spacing w:line="303" w:lineRule="auto"/>
              <w:rPr>
                <w:rFonts w:ascii="Arial"/>
                <w:color w:val="auto"/>
                <w:sz w:val="21"/>
                <w:highlight w:val="none"/>
              </w:rPr>
            </w:pPr>
          </w:p>
          <w:p w14:paraId="25FBDB4F">
            <w:pPr>
              <w:pStyle w:val="12"/>
              <w:spacing w:before="78" w:line="220" w:lineRule="auto"/>
              <w:ind w:left="234"/>
              <w:rPr>
                <w:color w:val="auto"/>
                <w:sz w:val="24"/>
                <w:szCs w:val="24"/>
                <w:highlight w:val="none"/>
              </w:rPr>
            </w:pPr>
            <w:r>
              <w:rPr>
                <w:color w:val="auto"/>
                <w:spacing w:val="-3"/>
                <w:sz w:val="24"/>
                <w:szCs w:val="24"/>
                <w:highlight w:val="none"/>
              </w:rPr>
              <w:t>姓名</w:t>
            </w:r>
          </w:p>
        </w:tc>
        <w:tc>
          <w:tcPr>
            <w:tcW w:w="808" w:type="dxa"/>
            <w:vAlign w:val="top"/>
          </w:tcPr>
          <w:p w14:paraId="1ACD5715">
            <w:pPr>
              <w:spacing w:line="302" w:lineRule="auto"/>
              <w:rPr>
                <w:rFonts w:ascii="Arial"/>
                <w:color w:val="auto"/>
                <w:sz w:val="21"/>
                <w:highlight w:val="none"/>
              </w:rPr>
            </w:pPr>
          </w:p>
          <w:p w14:paraId="135757B9">
            <w:pPr>
              <w:spacing w:line="302" w:lineRule="auto"/>
              <w:rPr>
                <w:rFonts w:ascii="Arial"/>
                <w:color w:val="auto"/>
                <w:sz w:val="21"/>
                <w:highlight w:val="none"/>
              </w:rPr>
            </w:pPr>
          </w:p>
          <w:p w14:paraId="741B8151">
            <w:pPr>
              <w:spacing w:line="303" w:lineRule="auto"/>
              <w:rPr>
                <w:rFonts w:ascii="Arial"/>
                <w:color w:val="auto"/>
                <w:sz w:val="21"/>
                <w:highlight w:val="none"/>
              </w:rPr>
            </w:pPr>
          </w:p>
          <w:p w14:paraId="4ACA214E">
            <w:pPr>
              <w:pStyle w:val="12"/>
              <w:spacing w:before="78" w:line="220" w:lineRule="auto"/>
              <w:ind w:left="168"/>
              <w:rPr>
                <w:color w:val="auto"/>
                <w:sz w:val="24"/>
                <w:szCs w:val="24"/>
                <w:highlight w:val="none"/>
              </w:rPr>
            </w:pPr>
            <w:r>
              <w:rPr>
                <w:color w:val="auto"/>
                <w:spacing w:val="-3"/>
                <w:sz w:val="24"/>
                <w:szCs w:val="24"/>
                <w:highlight w:val="none"/>
              </w:rPr>
              <w:t>职务</w:t>
            </w:r>
          </w:p>
        </w:tc>
        <w:tc>
          <w:tcPr>
            <w:tcW w:w="1944" w:type="dxa"/>
            <w:vAlign w:val="top"/>
          </w:tcPr>
          <w:p w14:paraId="4B01A3D1">
            <w:pPr>
              <w:pStyle w:val="12"/>
              <w:spacing w:before="57" w:line="220" w:lineRule="auto"/>
              <w:ind w:left="258"/>
              <w:rPr>
                <w:color w:val="auto"/>
                <w:sz w:val="24"/>
                <w:szCs w:val="24"/>
                <w:highlight w:val="none"/>
              </w:rPr>
            </w:pPr>
            <w:r>
              <w:rPr>
                <w:color w:val="auto"/>
                <w:spacing w:val="-2"/>
                <w:sz w:val="24"/>
                <w:szCs w:val="24"/>
                <w:highlight w:val="none"/>
              </w:rPr>
              <w:t>专业技术资格</w:t>
            </w:r>
          </w:p>
          <w:p w14:paraId="4C1FF693">
            <w:pPr>
              <w:pStyle w:val="12"/>
              <w:spacing w:before="182" w:line="221" w:lineRule="auto"/>
              <w:ind w:left="143"/>
              <w:rPr>
                <w:color w:val="auto"/>
                <w:sz w:val="24"/>
                <w:szCs w:val="24"/>
                <w:highlight w:val="none"/>
              </w:rPr>
            </w:pPr>
            <w:r>
              <w:rPr>
                <w:color w:val="auto"/>
                <w:spacing w:val="-4"/>
                <w:sz w:val="24"/>
                <w:szCs w:val="24"/>
                <w:highlight w:val="none"/>
              </w:rPr>
              <w:t>（职称）或者职</w:t>
            </w:r>
          </w:p>
          <w:p w14:paraId="497CF060">
            <w:pPr>
              <w:pStyle w:val="12"/>
              <w:spacing w:before="177" w:line="220" w:lineRule="auto"/>
              <w:ind w:left="136"/>
              <w:rPr>
                <w:color w:val="auto"/>
                <w:sz w:val="24"/>
                <w:szCs w:val="24"/>
                <w:highlight w:val="none"/>
              </w:rPr>
            </w:pPr>
            <w:r>
              <w:rPr>
                <w:color w:val="auto"/>
                <w:spacing w:val="-2"/>
                <w:sz w:val="24"/>
                <w:szCs w:val="24"/>
                <w:highlight w:val="none"/>
              </w:rPr>
              <w:t>业资格或者执业</w:t>
            </w:r>
          </w:p>
          <w:p w14:paraId="6AA46C64">
            <w:pPr>
              <w:pStyle w:val="12"/>
              <w:spacing w:before="182" w:line="220" w:lineRule="auto"/>
              <w:ind w:left="147"/>
              <w:rPr>
                <w:color w:val="auto"/>
                <w:sz w:val="24"/>
                <w:szCs w:val="24"/>
                <w:highlight w:val="none"/>
              </w:rPr>
            </w:pPr>
            <w:r>
              <w:rPr>
                <w:color w:val="auto"/>
                <w:spacing w:val="-3"/>
                <w:sz w:val="24"/>
                <w:szCs w:val="24"/>
                <w:highlight w:val="none"/>
              </w:rPr>
              <w:t>资格证或者其他</w:t>
            </w:r>
          </w:p>
          <w:p w14:paraId="58858765">
            <w:pPr>
              <w:pStyle w:val="12"/>
              <w:spacing w:before="179" w:line="219" w:lineRule="auto"/>
              <w:ind w:left="738"/>
              <w:rPr>
                <w:color w:val="auto"/>
                <w:sz w:val="24"/>
                <w:szCs w:val="24"/>
                <w:highlight w:val="none"/>
              </w:rPr>
            </w:pPr>
            <w:r>
              <w:rPr>
                <w:color w:val="auto"/>
                <w:spacing w:val="-3"/>
                <w:sz w:val="24"/>
                <w:szCs w:val="24"/>
                <w:highlight w:val="none"/>
              </w:rPr>
              <w:t>证书</w:t>
            </w:r>
          </w:p>
        </w:tc>
        <w:tc>
          <w:tcPr>
            <w:tcW w:w="1624" w:type="dxa"/>
            <w:vAlign w:val="top"/>
          </w:tcPr>
          <w:p w14:paraId="2CF3ACC5">
            <w:pPr>
              <w:spacing w:line="302" w:lineRule="auto"/>
              <w:rPr>
                <w:rFonts w:ascii="Arial"/>
                <w:color w:val="auto"/>
                <w:sz w:val="21"/>
                <w:highlight w:val="none"/>
              </w:rPr>
            </w:pPr>
          </w:p>
          <w:p w14:paraId="7F8068DA">
            <w:pPr>
              <w:spacing w:line="302" w:lineRule="auto"/>
              <w:rPr>
                <w:rFonts w:ascii="Arial"/>
                <w:color w:val="auto"/>
                <w:sz w:val="21"/>
                <w:highlight w:val="none"/>
              </w:rPr>
            </w:pPr>
          </w:p>
          <w:p w14:paraId="0643A177">
            <w:pPr>
              <w:spacing w:line="303" w:lineRule="auto"/>
              <w:rPr>
                <w:rFonts w:ascii="Arial"/>
                <w:color w:val="auto"/>
                <w:sz w:val="21"/>
                <w:highlight w:val="none"/>
              </w:rPr>
            </w:pPr>
          </w:p>
          <w:p w14:paraId="50B38E6C">
            <w:pPr>
              <w:pStyle w:val="12"/>
              <w:spacing w:before="78" w:line="219" w:lineRule="auto"/>
              <w:ind w:left="337"/>
              <w:rPr>
                <w:color w:val="auto"/>
                <w:sz w:val="24"/>
                <w:szCs w:val="24"/>
                <w:highlight w:val="none"/>
              </w:rPr>
            </w:pPr>
            <w:r>
              <w:rPr>
                <w:color w:val="auto"/>
                <w:spacing w:val="-2"/>
                <w:sz w:val="24"/>
                <w:szCs w:val="24"/>
                <w:highlight w:val="none"/>
              </w:rPr>
              <w:t>证书编号</w:t>
            </w:r>
          </w:p>
        </w:tc>
        <w:tc>
          <w:tcPr>
            <w:tcW w:w="1938" w:type="dxa"/>
            <w:vAlign w:val="top"/>
          </w:tcPr>
          <w:p w14:paraId="09E2474E">
            <w:pPr>
              <w:spacing w:line="338" w:lineRule="auto"/>
              <w:rPr>
                <w:rFonts w:ascii="Arial"/>
                <w:color w:val="auto"/>
                <w:sz w:val="21"/>
                <w:highlight w:val="none"/>
              </w:rPr>
            </w:pPr>
          </w:p>
          <w:p w14:paraId="1A9C8575">
            <w:pPr>
              <w:spacing w:line="339" w:lineRule="auto"/>
              <w:rPr>
                <w:rFonts w:ascii="Arial"/>
                <w:color w:val="auto"/>
                <w:sz w:val="21"/>
                <w:highlight w:val="none"/>
              </w:rPr>
            </w:pPr>
          </w:p>
          <w:p w14:paraId="2238CA5A">
            <w:pPr>
              <w:pStyle w:val="12"/>
              <w:spacing w:before="78" w:line="362" w:lineRule="auto"/>
              <w:ind w:left="496" w:right="367" w:hanging="120"/>
              <w:rPr>
                <w:color w:val="auto"/>
                <w:sz w:val="24"/>
                <w:szCs w:val="24"/>
                <w:highlight w:val="none"/>
              </w:rPr>
            </w:pPr>
            <w:r>
              <w:rPr>
                <w:color w:val="auto"/>
                <w:spacing w:val="-3"/>
                <w:sz w:val="24"/>
                <w:szCs w:val="24"/>
                <w:highlight w:val="none"/>
              </w:rPr>
              <w:t>参加本单位工作时间</w:t>
            </w:r>
          </w:p>
        </w:tc>
        <w:tc>
          <w:tcPr>
            <w:tcW w:w="2111" w:type="dxa"/>
            <w:vAlign w:val="top"/>
          </w:tcPr>
          <w:p w14:paraId="6139C464">
            <w:pPr>
              <w:spacing w:line="302" w:lineRule="auto"/>
              <w:rPr>
                <w:rFonts w:ascii="Arial"/>
                <w:color w:val="auto"/>
                <w:sz w:val="21"/>
                <w:highlight w:val="none"/>
              </w:rPr>
            </w:pPr>
          </w:p>
          <w:p w14:paraId="72915505">
            <w:pPr>
              <w:spacing w:line="302" w:lineRule="auto"/>
              <w:rPr>
                <w:rFonts w:ascii="Arial"/>
                <w:color w:val="auto"/>
                <w:sz w:val="21"/>
                <w:highlight w:val="none"/>
              </w:rPr>
            </w:pPr>
          </w:p>
          <w:p w14:paraId="10F1FD8B">
            <w:pPr>
              <w:spacing w:line="303" w:lineRule="auto"/>
              <w:rPr>
                <w:rFonts w:ascii="Arial"/>
                <w:color w:val="auto"/>
                <w:sz w:val="21"/>
                <w:highlight w:val="none"/>
              </w:rPr>
            </w:pPr>
          </w:p>
          <w:p w14:paraId="4C465A71">
            <w:pPr>
              <w:pStyle w:val="12"/>
              <w:spacing w:before="78" w:line="220" w:lineRule="auto"/>
              <w:ind w:left="347"/>
              <w:rPr>
                <w:color w:val="auto"/>
                <w:sz w:val="24"/>
                <w:szCs w:val="24"/>
                <w:highlight w:val="none"/>
              </w:rPr>
            </w:pPr>
            <w:r>
              <w:rPr>
                <w:color w:val="auto"/>
                <w:spacing w:val="-3"/>
                <w:sz w:val="24"/>
                <w:szCs w:val="24"/>
                <w:highlight w:val="none"/>
              </w:rPr>
              <w:t>劳动合同编号</w:t>
            </w:r>
          </w:p>
        </w:tc>
      </w:tr>
      <w:tr w14:paraId="6B784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38" w:type="dxa"/>
            <w:vAlign w:val="top"/>
          </w:tcPr>
          <w:p w14:paraId="346F4B93">
            <w:pPr>
              <w:rPr>
                <w:rFonts w:ascii="Arial"/>
                <w:color w:val="auto"/>
                <w:sz w:val="21"/>
                <w:highlight w:val="none"/>
              </w:rPr>
            </w:pPr>
          </w:p>
        </w:tc>
        <w:tc>
          <w:tcPr>
            <w:tcW w:w="808" w:type="dxa"/>
            <w:vAlign w:val="top"/>
          </w:tcPr>
          <w:p w14:paraId="5C3CB51A">
            <w:pPr>
              <w:rPr>
                <w:rFonts w:ascii="Arial"/>
                <w:color w:val="auto"/>
                <w:sz w:val="21"/>
                <w:highlight w:val="none"/>
              </w:rPr>
            </w:pPr>
          </w:p>
        </w:tc>
        <w:tc>
          <w:tcPr>
            <w:tcW w:w="1944" w:type="dxa"/>
            <w:vAlign w:val="top"/>
          </w:tcPr>
          <w:p w14:paraId="07F6A95A">
            <w:pPr>
              <w:rPr>
                <w:rFonts w:ascii="Arial"/>
                <w:color w:val="auto"/>
                <w:sz w:val="21"/>
                <w:highlight w:val="none"/>
              </w:rPr>
            </w:pPr>
          </w:p>
        </w:tc>
        <w:tc>
          <w:tcPr>
            <w:tcW w:w="1624" w:type="dxa"/>
            <w:vAlign w:val="top"/>
          </w:tcPr>
          <w:p w14:paraId="767BF33E">
            <w:pPr>
              <w:rPr>
                <w:rFonts w:ascii="Arial"/>
                <w:color w:val="auto"/>
                <w:sz w:val="21"/>
                <w:highlight w:val="none"/>
              </w:rPr>
            </w:pPr>
          </w:p>
        </w:tc>
        <w:tc>
          <w:tcPr>
            <w:tcW w:w="1938" w:type="dxa"/>
            <w:vAlign w:val="top"/>
          </w:tcPr>
          <w:p w14:paraId="5B6178C4">
            <w:pPr>
              <w:rPr>
                <w:rFonts w:ascii="Arial"/>
                <w:color w:val="auto"/>
                <w:sz w:val="21"/>
                <w:highlight w:val="none"/>
              </w:rPr>
            </w:pPr>
          </w:p>
        </w:tc>
        <w:tc>
          <w:tcPr>
            <w:tcW w:w="2111" w:type="dxa"/>
            <w:vAlign w:val="top"/>
          </w:tcPr>
          <w:p w14:paraId="05AF7341">
            <w:pPr>
              <w:rPr>
                <w:rFonts w:ascii="Arial"/>
                <w:color w:val="auto"/>
                <w:sz w:val="21"/>
                <w:highlight w:val="none"/>
              </w:rPr>
            </w:pPr>
          </w:p>
        </w:tc>
      </w:tr>
      <w:tr w14:paraId="217721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938" w:type="dxa"/>
            <w:vAlign w:val="top"/>
          </w:tcPr>
          <w:p w14:paraId="6727E470">
            <w:pPr>
              <w:rPr>
                <w:rFonts w:ascii="Arial"/>
                <w:color w:val="auto"/>
                <w:sz w:val="21"/>
                <w:highlight w:val="none"/>
              </w:rPr>
            </w:pPr>
          </w:p>
        </w:tc>
        <w:tc>
          <w:tcPr>
            <w:tcW w:w="808" w:type="dxa"/>
            <w:vAlign w:val="top"/>
          </w:tcPr>
          <w:p w14:paraId="7222B75D">
            <w:pPr>
              <w:rPr>
                <w:rFonts w:ascii="Arial"/>
                <w:color w:val="auto"/>
                <w:sz w:val="21"/>
                <w:highlight w:val="none"/>
              </w:rPr>
            </w:pPr>
          </w:p>
        </w:tc>
        <w:tc>
          <w:tcPr>
            <w:tcW w:w="1944" w:type="dxa"/>
            <w:vAlign w:val="top"/>
          </w:tcPr>
          <w:p w14:paraId="6349CC00">
            <w:pPr>
              <w:rPr>
                <w:rFonts w:ascii="Arial"/>
                <w:color w:val="auto"/>
                <w:sz w:val="21"/>
                <w:highlight w:val="none"/>
              </w:rPr>
            </w:pPr>
          </w:p>
        </w:tc>
        <w:tc>
          <w:tcPr>
            <w:tcW w:w="1624" w:type="dxa"/>
            <w:vAlign w:val="top"/>
          </w:tcPr>
          <w:p w14:paraId="4DF372E5">
            <w:pPr>
              <w:rPr>
                <w:rFonts w:ascii="Arial"/>
                <w:color w:val="auto"/>
                <w:sz w:val="21"/>
                <w:highlight w:val="none"/>
              </w:rPr>
            </w:pPr>
          </w:p>
        </w:tc>
        <w:tc>
          <w:tcPr>
            <w:tcW w:w="1938" w:type="dxa"/>
            <w:vAlign w:val="top"/>
          </w:tcPr>
          <w:p w14:paraId="0B2F3C46">
            <w:pPr>
              <w:rPr>
                <w:rFonts w:ascii="Arial"/>
                <w:color w:val="auto"/>
                <w:sz w:val="21"/>
                <w:highlight w:val="none"/>
              </w:rPr>
            </w:pPr>
          </w:p>
        </w:tc>
        <w:tc>
          <w:tcPr>
            <w:tcW w:w="2111" w:type="dxa"/>
            <w:vAlign w:val="top"/>
          </w:tcPr>
          <w:p w14:paraId="5C16C09E">
            <w:pPr>
              <w:rPr>
                <w:rFonts w:ascii="Arial"/>
                <w:color w:val="auto"/>
                <w:sz w:val="21"/>
                <w:highlight w:val="none"/>
              </w:rPr>
            </w:pPr>
          </w:p>
        </w:tc>
      </w:tr>
      <w:tr w14:paraId="185C0A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938" w:type="dxa"/>
            <w:vAlign w:val="top"/>
          </w:tcPr>
          <w:p w14:paraId="31737322">
            <w:pPr>
              <w:rPr>
                <w:rFonts w:ascii="Arial"/>
                <w:color w:val="auto"/>
                <w:sz w:val="21"/>
                <w:highlight w:val="none"/>
              </w:rPr>
            </w:pPr>
          </w:p>
        </w:tc>
        <w:tc>
          <w:tcPr>
            <w:tcW w:w="808" w:type="dxa"/>
            <w:vAlign w:val="top"/>
          </w:tcPr>
          <w:p w14:paraId="2BBF1C2C">
            <w:pPr>
              <w:rPr>
                <w:rFonts w:ascii="Arial"/>
                <w:color w:val="auto"/>
                <w:sz w:val="21"/>
                <w:highlight w:val="none"/>
              </w:rPr>
            </w:pPr>
          </w:p>
        </w:tc>
        <w:tc>
          <w:tcPr>
            <w:tcW w:w="1944" w:type="dxa"/>
            <w:vAlign w:val="top"/>
          </w:tcPr>
          <w:p w14:paraId="47DE6151">
            <w:pPr>
              <w:rPr>
                <w:rFonts w:ascii="Arial"/>
                <w:color w:val="auto"/>
                <w:sz w:val="21"/>
                <w:highlight w:val="none"/>
              </w:rPr>
            </w:pPr>
          </w:p>
        </w:tc>
        <w:tc>
          <w:tcPr>
            <w:tcW w:w="1624" w:type="dxa"/>
            <w:vAlign w:val="top"/>
          </w:tcPr>
          <w:p w14:paraId="0563DF56">
            <w:pPr>
              <w:rPr>
                <w:rFonts w:ascii="Arial"/>
                <w:color w:val="auto"/>
                <w:sz w:val="21"/>
                <w:highlight w:val="none"/>
              </w:rPr>
            </w:pPr>
          </w:p>
        </w:tc>
        <w:tc>
          <w:tcPr>
            <w:tcW w:w="1938" w:type="dxa"/>
            <w:vAlign w:val="top"/>
          </w:tcPr>
          <w:p w14:paraId="06A7D569">
            <w:pPr>
              <w:rPr>
                <w:rFonts w:ascii="Arial"/>
                <w:color w:val="auto"/>
                <w:sz w:val="21"/>
                <w:highlight w:val="none"/>
              </w:rPr>
            </w:pPr>
          </w:p>
        </w:tc>
        <w:tc>
          <w:tcPr>
            <w:tcW w:w="2111" w:type="dxa"/>
            <w:vAlign w:val="top"/>
          </w:tcPr>
          <w:p w14:paraId="20362B67">
            <w:pPr>
              <w:rPr>
                <w:rFonts w:ascii="Arial"/>
                <w:color w:val="auto"/>
                <w:sz w:val="21"/>
                <w:highlight w:val="none"/>
              </w:rPr>
            </w:pPr>
          </w:p>
        </w:tc>
      </w:tr>
    </w:tbl>
    <w:p w14:paraId="546CCE82">
      <w:pPr>
        <w:spacing w:before="36" w:line="224" w:lineRule="auto"/>
        <w:ind w:left="122"/>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注：</w:t>
      </w:r>
    </w:p>
    <w:p w14:paraId="5F90E69D">
      <w:pPr>
        <w:spacing w:before="176" w:line="219" w:lineRule="auto"/>
        <w:ind w:left="139"/>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1.在填写时，如本表格不适合供应商的实际情况，可根据本表格式自行制表填写。</w:t>
      </w:r>
    </w:p>
    <w:p w14:paraId="21F0A0C3">
      <w:pPr>
        <w:spacing w:before="180" w:line="219" w:lineRule="auto"/>
        <w:ind w:left="125"/>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2.供应商应当附本表所列证书的复印件并加盖供应商电子签章。</w:t>
      </w:r>
    </w:p>
    <w:p w14:paraId="6B81E907">
      <w:pPr>
        <w:pStyle w:val="4"/>
        <w:spacing w:line="284" w:lineRule="auto"/>
        <w:rPr>
          <w:color w:val="auto"/>
          <w:highlight w:val="none"/>
        </w:rPr>
      </w:pPr>
    </w:p>
    <w:p w14:paraId="74A2E25B">
      <w:pPr>
        <w:pStyle w:val="4"/>
        <w:spacing w:line="285" w:lineRule="auto"/>
        <w:rPr>
          <w:color w:val="auto"/>
          <w:highlight w:val="none"/>
        </w:rPr>
      </w:pPr>
    </w:p>
    <w:p w14:paraId="3FF956F7">
      <w:pPr>
        <w:spacing w:before="78" w:line="220" w:lineRule="auto"/>
        <w:ind w:left="3243"/>
        <w:rPr>
          <w:rFonts w:hint="eastAsia"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rPr>
        <w:t>法定代表人或者委托代理人签字：</w:t>
      </w:r>
    </w:p>
    <w:p w14:paraId="5716D8E5">
      <w:pPr>
        <w:spacing w:before="181" w:line="219" w:lineRule="auto"/>
        <w:ind w:left="3201"/>
        <w:rPr>
          <w:rFonts w:hint="eastAsia" w:ascii="宋体" w:hAnsi="宋体" w:eastAsia="宋体" w:cs="宋体"/>
          <w:color w:val="auto"/>
          <w:sz w:val="24"/>
          <w:szCs w:val="24"/>
          <w:highlight w:val="none"/>
          <w:lang w:eastAsia="zh-CN"/>
        </w:rPr>
      </w:pPr>
      <w:r>
        <w:rPr>
          <w:rFonts w:ascii="宋体" w:hAnsi="宋体" w:eastAsia="宋体" w:cs="宋体"/>
          <w:color w:val="auto"/>
          <w:spacing w:val="34"/>
          <w:sz w:val="24"/>
          <w:szCs w:val="24"/>
          <w:highlight w:val="none"/>
        </w:rPr>
        <w:t>供应商名称（电子签章</w:t>
      </w:r>
      <w:r>
        <w:rPr>
          <w:rFonts w:ascii="宋体" w:hAnsi="宋体" w:eastAsia="宋体" w:cs="宋体"/>
          <w:color w:val="auto"/>
          <w:spacing w:val="-30"/>
          <w:sz w:val="24"/>
          <w:szCs w:val="24"/>
          <w:highlight w:val="none"/>
        </w:rPr>
        <w:t>）：</w:t>
      </w:r>
    </w:p>
    <w:p w14:paraId="6BFE8A67">
      <w:pPr>
        <w:spacing w:before="183" w:line="220" w:lineRule="auto"/>
        <w:ind w:left="5485"/>
        <w:rPr>
          <w:rFonts w:ascii="宋体" w:hAnsi="宋体" w:eastAsia="宋体" w:cs="宋体"/>
          <w:color w:val="auto"/>
          <w:sz w:val="24"/>
          <w:szCs w:val="24"/>
          <w:highlight w:val="none"/>
        </w:rPr>
      </w:pPr>
      <w:r>
        <w:rPr>
          <w:rFonts w:ascii="宋体" w:hAnsi="宋体" w:eastAsia="宋体" w:cs="宋体"/>
          <w:color w:val="auto"/>
          <w:spacing w:val="-10"/>
          <w:sz w:val="24"/>
          <w:szCs w:val="24"/>
          <w:highlight w:val="none"/>
        </w:rPr>
        <w:t>日期：年月日</w:t>
      </w:r>
    </w:p>
    <w:p w14:paraId="700E4652">
      <w:pPr>
        <w:spacing w:line="220" w:lineRule="auto"/>
        <w:rPr>
          <w:rFonts w:ascii="宋体" w:hAnsi="宋体" w:eastAsia="宋体" w:cs="宋体"/>
          <w:color w:val="auto"/>
          <w:sz w:val="24"/>
          <w:szCs w:val="24"/>
          <w:highlight w:val="none"/>
        </w:rPr>
        <w:sectPr>
          <w:footerReference r:id="rId51" w:type="default"/>
          <w:pgSz w:w="11907" w:h="16839"/>
          <w:pgMar w:top="1431" w:right="852" w:bottom="1154" w:left="1685" w:header="0" w:footer="954" w:gutter="0"/>
          <w:cols w:space="720" w:num="1"/>
        </w:sectPr>
      </w:pPr>
    </w:p>
    <w:p w14:paraId="03647963">
      <w:pPr>
        <w:pStyle w:val="4"/>
        <w:spacing w:line="248" w:lineRule="auto"/>
        <w:rPr>
          <w:color w:val="auto"/>
          <w:highlight w:val="none"/>
        </w:rPr>
      </w:pPr>
    </w:p>
    <w:p w14:paraId="51123803">
      <w:pPr>
        <w:pStyle w:val="4"/>
        <w:spacing w:line="249" w:lineRule="auto"/>
        <w:rPr>
          <w:color w:val="auto"/>
          <w:highlight w:val="none"/>
        </w:rPr>
      </w:pPr>
    </w:p>
    <w:p w14:paraId="7641ECE2">
      <w:pPr>
        <w:pStyle w:val="4"/>
        <w:spacing w:line="249" w:lineRule="auto"/>
        <w:rPr>
          <w:color w:val="auto"/>
          <w:highlight w:val="none"/>
        </w:rPr>
      </w:pPr>
    </w:p>
    <w:p w14:paraId="557D214D">
      <w:pPr>
        <w:pStyle w:val="4"/>
        <w:spacing w:line="249" w:lineRule="auto"/>
        <w:rPr>
          <w:color w:val="auto"/>
          <w:highlight w:val="none"/>
        </w:rPr>
      </w:pPr>
    </w:p>
    <w:p w14:paraId="00D15261">
      <w:pPr>
        <w:spacing w:before="140" w:line="603" w:lineRule="exact"/>
        <w:ind w:left="2749"/>
        <w:rPr>
          <w:rFonts w:ascii="宋体" w:hAnsi="宋体" w:eastAsia="宋体" w:cs="宋体"/>
          <w:color w:val="auto"/>
          <w:sz w:val="43"/>
          <w:szCs w:val="43"/>
          <w:highlight w:val="none"/>
        </w:rPr>
      </w:pPr>
      <w:r>
        <w:rPr>
          <w:rFonts w:ascii="宋体" w:hAnsi="宋体" w:eastAsia="宋体" w:cs="宋体"/>
          <w:b/>
          <w:bCs/>
          <w:color w:val="auto"/>
          <w:spacing w:val="3"/>
          <w:position w:val="3"/>
          <w:sz w:val="43"/>
          <w:szCs w:val="43"/>
          <w:highlight w:val="none"/>
        </w:rPr>
        <w:t>代理服务费承诺书</w:t>
      </w:r>
    </w:p>
    <w:p w14:paraId="04409C11">
      <w:pPr>
        <w:pStyle w:val="4"/>
        <w:spacing w:line="437" w:lineRule="auto"/>
        <w:rPr>
          <w:color w:val="auto"/>
          <w:highlight w:val="none"/>
        </w:rPr>
      </w:pPr>
    </w:p>
    <w:p w14:paraId="53BBE5B4">
      <w:pPr>
        <w:spacing w:before="78" w:line="219" w:lineRule="auto"/>
        <w:ind w:left="2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致：</w:t>
      </w:r>
      <w:r>
        <w:rPr>
          <w:rFonts w:ascii="宋体" w:hAnsi="宋体" w:eastAsia="宋体" w:cs="宋体"/>
          <w:color w:val="auto"/>
          <w:spacing w:val="-1"/>
          <w:sz w:val="24"/>
          <w:szCs w:val="24"/>
          <w:highlight w:val="none"/>
          <w:u w:val="single" w:color="auto"/>
        </w:rPr>
        <w:t>采购代理机构名称</w:t>
      </w:r>
      <w:r>
        <w:rPr>
          <w:rFonts w:ascii="宋体" w:hAnsi="宋体" w:eastAsia="宋体" w:cs="宋体"/>
          <w:color w:val="auto"/>
          <w:spacing w:val="-1"/>
          <w:sz w:val="24"/>
          <w:szCs w:val="24"/>
          <w:highlight w:val="none"/>
        </w:rPr>
        <w:t>：</w:t>
      </w:r>
    </w:p>
    <w:p w14:paraId="46857102">
      <w:pPr>
        <w:spacing w:before="183" w:line="219" w:lineRule="auto"/>
        <w:ind w:left="50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本单位参加了贵方组织的</w:t>
      </w:r>
      <w:r>
        <w:rPr>
          <w:rFonts w:ascii="宋体" w:hAnsi="宋体" w:eastAsia="宋体" w:cs="宋体"/>
          <w:color w:val="auto"/>
          <w:spacing w:val="-2"/>
          <w:sz w:val="24"/>
          <w:szCs w:val="24"/>
          <w:highlight w:val="none"/>
          <w:u w:val="single" w:color="auto"/>
        </w:rPr>
        <w:t>项目名称（项目编号）</w:t>
      </w:r>
      <w:r>
        <w:rPr>
          <w:rFonts w:ascii="宋体" w:hAnsi="宋体" w:eastAsia="宋体" w:cs="宋体"/>
          <w:color w:val="auto"/>
          <w:spacing w:val="-2"/>
          <w:sz w:val="24"/>
          <w:szCs w:val="24"/>
          <w:highlight w:val="none"/>
        </w:rPr>
        <w:t>项目，在此说明如下：</w:t>
      </w:r>
    </w:p>
    <w:p w14:paraId="7B2D241F">
      <w:pPr>
        <w:spacing w:before="178" w:line="325" w:lineRule="auto"/>
        <w:ind w:left="20" w:firstLine="378"/>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1.我方承诺，若本单位成交，保证在发出成交通知书</w:t>
      </w:r>
      <w:r>
        <w:rPr>
          <w:rFonts w:ascii="宋体" w:hAnsi="宋体" w:eastAsia="宋体" w:cs="宋体"/>
          <w:color w:val="auto"/>
          <w:spacing w:val="-2"/>
          <w:sz w:val="24"/>
          <w:szCs w:val="24"/>
          <w:highlight w:val="none"/>
        </w:rPr>
        <w:t>之后，按本项目采购文件的规</w:t>
      </w:r>
      <w:r>
        <w:rPr>
          <w:rFonts w:ascii="宋体" w:hAnsi="宋体" w:eastAsia="宋体" w:cs="宋体"/>
          <w:color w:val="auto"/>
          <w:spacing w:val="-1"/>
          <w:sz w:val="24"/>
          <w:szCs w:val="24"/>
          <w:highlight w:val="none"/>
        </w:rPr>
        <w:t>定标准向贵单位一次性足额支付代理服务费，在领取成交通知书后，由于被质疑、投</w:t>
      </w:r>
      <w:r>
        <w:rPr>
          <w:rFonts w:ascii="宋体" w:hAnsi="宋体" w:eastAsia="宋体" w:cs="宋体"/>
          <w:color w:val="auto"/>
          <w:spacing w:val="2"/>
          <w:sz w:val="24"/>
          <w:szCs w:val="24"/>
          <w:highlight w:val="none"/>
        </w:rPr>
        <w:t>诉或者其他原因而导致成交结果改变，我方将放弃对已缴纳的成交服务费追还的一切</w:t>
      </w:r>
      <w:r>
        <w:rPr>
          <w:rFonts w:ascii="宋体" w:hAnsi="宋体" w:eastAsia="宋体" w:cs="宋体"/>
          <w:color w:val="auto"/>
          <w:spacing w:val="-10"/>
          <w:sz w:val="24"/>
          <w:szCs w:val="24"/>
          <w:highlight w:val="none"/>
        </w:rPr>
        <w:t>权利。</w:t>
      </w:r>
    </w:p>
    <w:p w14:paraId="29DC7853">
      <w:pPr>
        <w:spacing w:before="179" w:line="219" w:lineRule="auto"/>
        <w:ind w:left="384"/>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2.本单位选择第种方式作为代理服务费开票类型：</w:t>
      </w:r>
    </w:p>
    <w:p w14:paraId="584DF337">
      <w:pPr>
        <w:spacing w:before="183" w:line="220" w:lineRule="auto"/>
        <w:ind w:left="381"/>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第一种方式：开具增值税普通发票。开票信息如下：</w:t>
      </w:r>
    </w:p>
    <w:p w14:paraId="672A11CB">
      <w:pPr>
        <w:spacing w:before="181" w:line="213" w:lineRule="auto"/>
        <w:ind w:left="387"/>
        <w:rPr>
          <w:rFonts w:ascii="宋体" w:hAnsi="宋体" w:eastAsia="宋体" w:cs="宋体"/>
          <w:color w:val="auto"/>
          <w:sz w:val="24"/>
          <w:szCs w:val="24"/>
          <w:highlight w:val="none"/>
        </w:rPr>
      </w:pPr>
      <w:r>
        <w:rPr>
          <w:color w:val="auto"/>
          <w:highlight w:val="none"/>
        </w:rPr>
        <w:pict>
          <v:shape id="_x0000_s1026" o:spid="_x0000_s1026" style="position:absolute;left:0pt;margin-left:96.6pt;margin-top:21pt;height:0.65pt;width:144.05pt;z-index:-251654144;mso-width-relative:page;mso-height-relative:page;" fillcolor="#000000" filled="t" stroked="f" coordsize="2881,12" path="m0,12l2880,12,2880,0,0,0,0,12xe">
            <v:path/>
            <v:fill on="t" focussize="0,0"/>
            <v:stroke on="f"/>
            <v:imagedata o:title=""/>
            <o:lock v:ext="edit"/>
          </v:shape>
        </w:pict>
      </w:r>
      <w:r>
        <w:rPr>
          <w:rFonts w:ascii="宋体" w:hAnsi="宋体" w:eastAsia="宋体" w:cs="宋体"/>
          <w:color w:val="auto"/>
          <w:spacing w:val="-1"/>
          <w:sz w:val="24"/>
          <w:szCs w:val="24"/>
          <w:highlight w:val="none"/>
        </w:rPr>
        <w:t>（1）公司名称；</w:t>
      </w:r>
    </w:p>
    <w:p w14:paraId="160B93DD">
      <w:pPr>
        <w:spacing w:before="191" w:line="213" w:lineRule="auto"/>
        <w:ind w:left="387"/>
        <w:rPr>
          <w:rFonts w:ascii="宋体" w:hAnsi="宋体" w:eastAsia="宋体" w:cs="宋体"/>
          <w:color w:val="auto"/>
          <w:sz w:val="24"/>
          <w:szCs w:val="24"/>
          <w:highlight w:val="none"/>
        </w:rPr>
      </w:pPr>
      <w:r>
        <w:rPr>
          <w:color w:val="auto"/>
          <w:highlight w:val="none"/>
        </w:rPr>
        <w:pict>
          <v:shape id="_x0000_s1027" o:spid="_x0000_s1027" style="position:absolute;left:0pt;margin-left:120.6pt;margin-top:21.5pt;height:0.65pt;width:120pt;z-index:-251653120;mso-width-relative:page;mso-height-relative:page;" fillcolor="#000000" filled="t" stroked="f" coordsize="2400,12" path="m0,12l2400,12,2400,0,0,0,0,12xe">
            <v:path/>
            <v:fill on="t" focussize="0,0"/>
            <v:stroke on="f"/>
            <v:imagedata o:title=""/>
            <o:lock v:ext="edit"/>
          </v:shape>
        </w:pict>
      </w:r>
      <w:r>
        <w:rPr>
          <w:rFonts w:ascii="宋体" w:hAnsi="宋体" w:eastAsia="宋体" w:cs="宋体"/>
          <w:color w:val="auto"/>
          <w:spacing w:val="-1"/>
          <w:sz w:val="24"/>
          <w:szCs w:val="24"/>
          <w:highlight w:val="none"/>
        </w:rPr>
        <w:t>（2）纳税人识别号。</w:t>
      </w:r>
    </w:p>
    <w:p w14:paraId="6CEBA491">
      <w:pPr>
        <w:spacing w:before="188" w:line="220" w:lineRule="auto"/>
        <w:ind w:left="381"/>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第二种方式：开具增值税专用发票，开票信息如下：</w:t>
      </w:r>
    </w:p>
    <w:p w14:paraId="218C90A4">
      <w:pPr>
        <w:spacing w:before="182" w:line="213" w:lineRule="auto"/>
        <w:ind w:left="387"/>
        <w:rPr>
          <w:rFonts w:ascii="宋体" w:hAnsi="宋体" w:eastAsia="宋体" w:cs="宋体"/>
          <w:color w:val="auto"/>
          <w:sz w:val="24"/>
          <w:szCs w:val="24"/>
          <w:highlight w:val="none"/>
        </w:rPr>
      </w:pPr>
      <w:r>
        <w:rPr>
          <w:color w:val="auto"/>
          <w:highlight w:val="none"/>
        </w:rPr>
        <w:pict>
          <v:shape id="_x0000_s1028" o:spid="_x0000_s1028" style="position:absolute;left:0pt;margin-left:96.6pt;margin-top:21.1pt;height:0.6pt;width:168.1pt;z-index:-251656192;mso-width-relative:page;mso-height-relative:page;" fillcolor="#000000" filled="t" stroked="f" coordsize="3362,12" path="m0,11l3361,11,3361,0,0,0,0,11xe">
            <v:path/>
            <v:fill on="t" focussize="0,0"/>
            <v:stroke on="f"/>
            <v:imagedata o:title=""/>
            <o:lock v:ext="edit"/>
          </v:shape>
        </w:pict>
      </w:r>
      <w:r>
        <w:rPr>
          <w:rFonts w:ascii="宋体" w:hAnsi="宋体" w:eastAsia="宋体" w:cs="宋体"/>
          <w:color w:val="auto"/>
          <w:sz w:val="24"/>
          <w:szCs w:val="24"/>
          <w:highlight w:val="none"/>
        </w:rPr>
        <w:t>（1）公司名称</w:t>
      </w:r>
      <w:r>
        <w:rPr>
          <w:rFonts w:ascii="宋体" w:hAnsi="宋体" w:eastAsia="宋体" w:cs="宋体"/>
          <w:color w:val="auto"/>
          <w:spacing w:val="-1"/>
          <w:sz w:val="24"/>
          <w:szCs w:val="24"/>
          <w:highlight w:val="none"/>
        </w:rPr>
        <w:t>；</w:t>
      </w:r>
    </w:p>
    <w:p w14:paraId="531C9423">
      <w:pPr>
        <w:spacing w:line="141" w:lineRule="exact"/>
        <w:rPr>
          <w:color w:val="auto"/>
          <w:highlight w:val="none"/>
        </w:rPr>
      </w:pPr>
    </w:p>
    <w:p w14:paraId="53390D87">
      <w:pPr>
        <w:spacing w:line="141" w:lineRule="exact"/>
        <w:rPr>
          <w:color w:val="auto"/>
          <w:highlight w:val="none"/>
        </w:rPr>
        <w:sectPr>
          <w:footerReference r:id="rId52" w:type="default"/>
          <w:pgSz w:w="11907" w:h="16839"/>
          <w:pgMar w:top="1431" w:right="1129" w:bottom="1154" w:left="1785" w:header="0" w:footer="954" w:gutter="0"/>
          <w:cols w:equalWidth="0" w:num="1">
            <w:col w:w="8992"/>
          </w:cols>
        </w:sectPr>
      </w:pPr>
    </w:p>
    <w:p w14:paraId="5A4FF262">
      <w:pPr>
        <w:spacing w:before="48" w:line="213" w:lineRule="auto"/>
        <w:ind w:left="387"/>
        <w:rPr>
          <w:rFonts w:ascii="宋体" w:hAnsi="宋体" w:eastAsia="宋体" w:cs="宋体"/>
          <w:color w:val="auto"/>
          <w:sz w:val="24"/>
          <w:szCs w:val="24"/>
          <w:highlight w:val="none"/>
        </w:rPr>
      </w:pPr>
      <w:r>
        <w:rPr>
          <w:color w:val="auto"/>
          <w:highlight w:val="none"/>
        </w:rPr>
        <w:pict>
          <v:shape id="_x0000_s1029" o:spid="_x0000_s1029" style="position:absolute;left:0pt;margin-left:120.6pt;margin-top:14.35pt;height:0.65pt;width:144.05pt;z-index:251664384;mso-width-relative:page;mso-height-relative:page;" fillcolor="#000000" filled="t" stroked="f" coordsize="2881,12" path="m0,12l2880,12,2880,0,0,0,0,12xe">
            <v:path/>
            <v:fill on="t" focussize="0,0"/>
            <v:stroke on="f"/>
            <v:imagedata o:title=""/>
            <o:lock v:ext="edit"/>
          </v:shape>
        </w:pict>
      </w:r>
      <w:r>
        <w:rPr>
          <w:rFonts w:ascii="宋体" w:hAnsi="宋体" w:eastAsia="宋体" w:cs="宋体"/>
          <w:color w:val="auto"/>
          <w:spacing w:val="-2"/>
          <w:sz w:val="24"/>
          <w:szCs w:val="24"/>
          <w:highlight w:val="none"/>
        </w:rPr>
        <w:t>（2）纳税人识别号</w:t>
      </w:r>
    </w:p>
    <w:p w14:paraId="565CCDCA">
      <w:pPr>
        <w:pStyle w:val="4"/>
        <w:spacing w:line="14" w:lineRule="auto"/>
        <w:rPr>
          <w:color w:val="auto"/>
          <w:sz w:val="2"/>
          <w:highlight w:val="none"/>
        </w:rPr>
      </w:pPr>
      <w:r>
        <w:rPr>
          <w:color w:val="auto"/>
          <w:sz w:val="2"/>
          <w:szCs w:val="2"/>
          <w:highlight w:val="none"/>
        </w:rPr>
        <w:br w:type="column"/>
      </w:r>
    </w:p>
    <w:p w14:paraId="722ACD7F">
      <w:pPr>
        <w:spacing w:before="46" w:line="222"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w:t>
      </w:r>
    </w:p>
    <w:p w14:paraId="751D1BDD">
      <w:pPr>
        <w:spacing w:line="222" w:lineRule="auto"/>
        <w:rPr>
          <w:rFonts w:ascii="宋体" w:hAnsi="宋体" w:eastAsia="宋体" w:cs="宋体"/>
          <w:color w:val="auto"/>
          <w:sz w:val="24"/>
          <w:szCs w:val="24"/>
          <w:highlight w:val="none"/>
        </w:rPr>
        <w:sectPr>
          <w:type w:val="continuous"/>
          <w:pgSz w:w="11907" w:h="16839"/>
          <w:pgMar w:top="1431" w:right="1129" w:bottom="1154" w:left="1785" w:header="0" w:footer="954" w:gutter="0"/>
          <w:cols w:equalWidth="0" w:num="2">
            <w:col w:w="5224" w:space="100"/>
            <w:col w:w="3669"/>
          </w:cols>
        </w:sectPr>
      </w:pPr>
    </w:p>
    <w:p w14:paraId="027FB934">
      <w:pPr>
        <w:spacing w:line="132" w:lineRule="exact"/>
        <w:rPr>
          <w:color w:val="auto"/>
          <w:highlight w:val="none"/>
        </w:rPr>
      </w:pPr>
    </w:p>
    <w:p w14:paraId="3F96F349">
      <w:pPr>
        <w:spacing w:line="132" w:lineRule="exact"/>
        <w:rPr>
          <w:color w:val="auto"/>
          <w:highlight w:val="none"/>
        </w:rPr>
        <w:sectPr>
          <w:type w:val="continuous"/>
          <w:pgSz w:w="11907" w:h="16839"/>
          <w:pgMar w:top="1431" w:right="1129" w:bottom="1154" w:left="1785" w:header="0" w:footer="954" w:gutter="0"/>
          <w:cols w:equalWidth="0" w:num="1">
            <w:col w:w="8992"/>
          </w:cols>
        </w:sectPr>
      </w:pPr>
    </w:p>
    <w:p w14:paraId="02972D07">
      <w:pPr>
        <w:spacing w:before="49" w:line="213" w:lineRule="auto"/>
        <w:ind w:left="387"/>
        <w:rPr>
          <w:rFonts w:ascii="宋体" w:hAnsi="宋体" w:eastAsia="宋体" w:cs="宋体"/>
          <w:color w:val="auto"/>
          <w:sz w:val="24"/>
          <w:szCs w:val="24"/>
          <w:highlight w:val="none"/>
        </w:rPr>
      </w:pPr>
      <w:r>
        <w:rPr>
          <w:color w:val="auto"/>
          <w:highlight w:val="none"/>
        </w:rPr>
        <w:pict>
          <v:shape id="_x0000_s1030" o:spid="_x0000_s1030" style="position:absolute;left:0pt;margin-left:144.6pt;margin-top:14.35pt;height:0.65pt;width:120.05pt;z-index:251665408;mso-width-relative:page;mso-height-relative:page;" fillcolor="#000000" filled="t" stroked="f" coordsize="2401,12" path="m0,12l2400,12,2400,0,0,0,0,12xe">
            <v:path/>
            <v:fill on="t" focussize="0,0"/>
            <v:stroke on="f"/>
            <v:imagedata o:title=""/>
            <o:lock v:ext="edit"/>
          </v:shape>
        </w:pict>
      </w:r>
      <w:r>
        <w:rPr>
          <w:rFonts w:ascii="宋体" w:hAnsi="宋体" w:eastAsia="宋体" w:cs="宋体"/>
          <w:color w:val="auto"/>
          <w:spacing w:val="-2"/>
          <w:sz w:val="24"/>
          <w:szCs w:val="24"/>
          <w:highlight w:val="none"/>
        </w:rPr>
        <w:t>（3）在税局登记的地址</w:t>
      </w:r>
    </w:p>
    <w:p w14:paraId="542DFEB6">
      <w:pPr>
        <w:pStyle w:val="4"/>
        <w:spacing w:line="14" w:lineRule="auto"/>
        <w:rPr>
          <w:color w:val="auto"/>
          <w:sz w:val="2"/>
          <w:highlight w:val="none"/>
        </w:rPr>
      </w:pPr>
      <w:r>
        <w:rPr>
          <w:color w:val="auto"/>
          <w:sz w:val="2"/>
          <w:szCs w:val="2"/>
          <w:highlight w:val="none"/>
        </w:rPr>
        <w:br w:type="column"/>
      </w:r>
    </w:p>
    <w:p w14:paraId="1E737613">
      <w:pPr>
        <w:spacing w:before="46" w:line="222"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w:t>
      </w:r>
    </w:p>
    <w:p w14:paraId="1473E90F">
      <w:pPr>
        <w:spacing w:line="222" w:lineRule="auto"/>
        <w:rPr>
          <w:rFonts w:ascii="宋体" w:hAnsi="宋体" w:eastAsia="宋体" w:cs="宋体"/>
          <w:color w:val="auto"/>
          <w:sz w:val="24"/>
          <w:szCs w:val="24"/>
          <w:highlight w:val="none"/>
        </w:rPr>
        <w:sectPr>
          <w:type w:val="continuous"/>
          <w:pgSz w:w="11907" w:h="16839"/>
          <w:pgMar w:top="1431" w:right="1129" w:bottom="1154" w:left="1785" w:header="0" w:footer="954" w:gutter="0"/>
          <w:cols w:equalWidth="0" w:num="2">
            <w:col w:w="5224" w:space="100"/>
            <w:col w:w="3669"/>
          </w:cols>
        </w:sectPr>
      </w:pPr>
    </w:p>
    <w:p w14:paraId="19529F67">
      <w:pPr>
        <w:spacing w:line="132" w:lineRule="exact"/>
        <w:rPr>
          <w:color w:val="auto"/>
          <w:highlight w:val="none"/>
        </w:rPr>
      </w:pPr>
    </w:p>
    <w:p w14:paraId="313AF020">
      <w:pPr>
        <w:spacing w:line="132" w:lineRule="exact"/>
        <w:rPr>
          <w:color w:val="auto"/>
          <w:highlight w:val="none"/>
        </w:rPr>
        <w:sectPr>
          <w:type w:val="continuous"/>
          <w:pgSz w:w="11907" w:h="16839"/>
          <w:pgMar w:top="1431" w:right="1129" w:bottom="1154" w:left="1785" w:header="0" w:footer="954" w:gutter="0"/>
          <w:cols w:equalWidth="0" w:num="1">
            <w:col w:w="8992"/>
          </w:cols>
        </w:sectPr>
      </w:pPr>
    </w:p>
    <w:p w14:paraId="4D619DFD">
      <w:pPr>
        <w:spacing w:before="48" w:line="213" w:lineRule="auto"/>
        <w:ind w:left="387"/>
        <w:rPr>
          <w:rFonts w:hint="eastAsia" w:ascii="宋体" w:hAnsi="宋体" w:eastAsia="宋体" w:cs="宋体"/>
          <w:color w:val="auto"/>
          <w:sz w:val="24"/>
          <w:szCs w:val="24"/>
          <w:highlight w:val="none"/>
          <w:lang w:val="en-US" w:eastAsia="zh-CN"/>
        </w:rPr>
      </w:pPr>
      <w:r>
        <w:rPr>
          <w:color w:val="auto"/>
          <w:highlight w:val="none"/>
        </w:rPr>
        <w:pict>
          <v:shape id="_x0000_s1031" o:spid="_x0000_s1031" style="position:absolute;left:0pt;margin-left:144.6pt;margin-top:14.35pt;height:0.6pt;width:120.05pt;z-index:251666432;mso-width-relative:page;mso-height-relative:page;" fillcolor="#000000" filled="t" stroked="f" coordsize="2401,12" path="m0,11l2400,11,2400,0,0,0,0,11xe">
            <v:path/>
            <v:fill on="t" focussize="0,0"/>
            <v:stroke on="f"/>
            <v:imagedata o:title=""/>
            <o:lock v:ext="edit"/>
          </v:shape>
        </w:pict>
      </w:r>
      <w:r>
        <w:rPr>
          <w:color w:val="auto"/>
          <w:highlight w:val="none"/>
        </w:rPr>
        <w:pict>
          <v:shape id="_x0000_s1032" o:spid="_x0000_s1032" style="position:absolute;left:0pt;margin-left:96.6pt;margin-top:37.65pt;height:0.65pt;width:168.1pt;z-index:-251657216;mso-width-relative:page;mso-height-relative:page;" fillcolor="#000000" filled="t" stroked="f" coordsize="3362,12" path="m0,12l3361,12,3361,0,0,0,0,12xe">
            <v:path/>
            <v:fill on="t" focussize="0,0"/>
            <v:stroke on="f"/>
            <v:imagedata o:title=""/>
            <o:lock v:ext="edit"/>
          </v:shape>
        </w:pict>
      </w:r>
      <w:r>
        <w:rPr>
          <w:rFonts w:ascii="宋体" w:hAnsi="宋体" w:eastAsia="宋体" w:cs="宋体"/>
          <w:color w:val="auto"/>
          <w:spacing w:val="-2"/>
          <w:sz w:val="24"/>
          <w:szCs w:val="24"/>
          <w:highlight w:val="none"/>
        </w:rPr>
        <w:t>（4）在税局登记的电话</w:t>
      </w:r>
    </w:p>
    <w:p w14:paraId="229B993E">
      <w:pPr>
        <w:pStyle w:val="4"/>
        <w:spacing w:line="14" w:lineRule="auto"/>
        <w:rPr>
          <w:color w:val="auto"/>
          <w:sz w:val="2"/>
          <w:highlight w:val="none"/>
        </w:rPr>
      </w:pPr>
      <w:r>
        <w:rPr>
          <w:color w:val="auto"/>
          <w:sz w:val="2"/>
          <w:szCs w:val="2"/>
          <w:highlight w:val="none"/>
        </w:rPr>
        <w:br w:type="column"/>
      </w:r>
    </w:p>
    <w:p w14:paraId="7A005052">
      <w:pPr>
        <w:spacing w:before="46" w:line="222"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w:t>
      </w:r>
    </w:p>
    <w:p w14:paraId="540F9ED3">
      <w:pPr>
        <w:spacing w:line="222" w:lineRule="auto"/>
        <w:rPr>
          <w:rFonts w:ascii="宋体" w:hAnsi="宋体" w:eastAsia="宋体" w:cs="宋体"/>
          <w:color w:val="auto"/>
          <w:sz w:val="24"/>
          <w:szCs w:val="24"/>
          <w:highlight w:val="none"/>
        </w:rPr>
        <w:sectPr>
          <w:type w:val="continuous"/>
          <w:pgSz w:w="11907" w:h="16839"/>
          <w:pgMar w:top="1431" w:right="1129" w:bottom="1154" w:left="1785" w:header="0" w:footer="954" w:gutter="0"/>
          <w:cols w:equalWidth="0" w:num="2">
            <w:col w:w="5224" w:space="100"/>
            <w:col w:w="3669"/>
          </w:cols>
        </w:sectPr>
      </w:pPr>
    </w:p>
    <w:p w14:paraId="4BBAFA39">
      <w:pPr>
        <w:spacing w:before="177" w:line="213" w:lineRule="auto"/>
        <w:ind w:left="387"/>
        <w:rPr>
          <w:rFonts w:ascii="宋体" w:hAnsi="宋体" w:eastAsia="宋体" w:cs="宋体"/>
          <w:color w:val="auto"/>
          <w:sz w:val="24"/>
          <w:szCs w:val="24"/>
          <w:highlight w:val="none"/>
        </w:rPr>
      </w:pPr>
      <w:r>
        <w:rPr>
          <w:rFonts w:ascii="宋体" w:hAnsi="宋体" w:eastAsia="宋体" w:cs="宋体"/>
          <w:color w:val="auto"/>
          <w:sz w:val="24"/>
          <w:szCs w:val="24"/>
          <w:highlight w:val="none"/>
        </w:rPr>
        <w:t>（5）开户银行</w:t>
      </w:r>
      <w:r>
        <w:rPr>
          <w:rFonts w:ascii="宋体" w:hAnsi="宋体" w:eastAsia="宋体" w:cs="宋体"/>
          <w:color w:val="auto"/>
          <w:spacing w:val="-1"/>
          <w:sz w:val="24"/>
          <w:szCs w:val="24"/>
          <w:highlight w:val="none"/>
        </w:rPr>
        <w:t>；</w:t>
      </w:r>
    </w:p>
    <w:p w14:paraId="157E1210">
      <w:pPr>
        <w:spacing w:before="191" w:line="213" w:lineRule="auto"/>
        <w:ind w:left="387"/>
        <w:rPr>
          <w:rFonts w:ascii="宋体" w:hAnsi="宋体" w:eastAsia="宋体" w:cs="宋体"/>
          <w:color w:val="auto"/>
          <w:sz w:val="24"/>
          <w:szCs w:val="24"/>
          <w:highlight w:val="none"/>
        </w:rPr>
      </w:pPr>
      <w:r>
        <w:rPr>
          <w:color w:val="auto"/>
          <w:highlight w:val="none"/>
        </w:rPr>
        <w:pict>
          <v:shape id="_x0000_s1033" o:spid="_x0000_s1033" style="position:absolute;left:0pt;margin-left:96.6pt;margin-top:21.5pt;height:0.6pt;width:168.1pt;z-index:-251655168;mso-width-relative:page;mso-height-relative:page;" fillcolor="#000000" filled="t" stroked="f" coordsize="3362,12" path="m0,11l3361,11,3361,0,0,0,0,11xe">
            <v:path/>
            <v:fill on="t" focussize="0,0"/>
            <v:stroke on="f"/>
            <v:imagedata o:title=""/>
            <o:lock v:ext="edit"/>
          </v:shape>
        </w:pict>
      </w:r>
      <w:r>
        <w:rPr>
          <w:rFonts w:ascii="宋体" w:hAnsi="宋体" w:eastAsia="宋体" w:cs="宋体"/>
          <w:color w:val="auto"/>
          <w:sz w:val="24"/>
          <w:szCs w:val="24"/>
          <w:highlight w:val="none"/>
        </w:rPr>
        <w:t>（6）银行账户</w:t>
      </w:r>
      <w:r>
        <w:rPr>
          <w:rFonts w:ascii="宋体" w:hAnsi="宋体" w:eastAsia="宋体" w:cs="宋体"/>
          <w:color w:val="auto"/>
          <w:spacing w:val="-1"/>
          <w:sz w:val="24"/>
          <w:szCs w:val="24"/>
          <w:highlight w:val="none"/>
        </w:rPr>
        <w:t>。</w:t>
      </w:r>
    </w:p>
    <w:p w14:paraId="03B4C5FF">
      <w:pPr>
        <w:pStyle w:val="4"/>
        <w:spacing w:line="284" w:lineRule="auto"/>
        <w:rPr>
          <w:color w:val="auto"/>
          <w:highlight w:val="none"/>
        </w:rPr>
      </w:pPr>
    </w:p>
    <w:p w14:paraId="4F61D200">
      <w:pPr>
        <w:pStyle w:val="4"/>
        <w:spacing w:line="284" w:lineRule="auto"/>
        <w:rPr>
          <w:color w:val="auto"/>
          <w:highlight w:val="none"/>
        </w:rPr>
      </w:pPr>
    </w:p>
    <w:p w14:paraId="4254EBB5">
      <w:pPr>
        <w:pStyle w:val="4"/>
        <w:spacing w:line="284" w:lineRule="auto"/>
        <w:rPr>
          <w:color w:val="auto"/>
          <w:highlight w:val="none"/>
        </w:rPr>
      </w:pPr>
    </w:p>
    <w:p w14:paraId="2EF3E990">
      <w:pPr>
        <w:pStyle w:val="4"/>
        <w:spacing w:line="284" w:lineRule="auto"/>
        <w:rPr>
          <w:color w:val="auto"/>
          <w:highlight w:val="none"/>
        </w:rPr>
      </w:pPr>
    </w:p>
    <w:p w14:paraId="38AD7D6B">
      <w:pPr>
        <w:pStyle w:val="4"/>
        <w:spacing w:line="285" w:lineRule="auto"/>
        <w:rPr>
          <w:color w:val="auto"/>
          <w:highlight w:val="none"/>
        </w:rPr>
      </w:pPr>
    </w:p>
    <w:p w14:paraId="2617BBE3">
      <w:pPr>
        <w:spacing w:before="79" w:line="220" w:lineRule="auto"/>
        <w:ind w:left="1939"/>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法定代表人或者委托代理人（签字或者电子签名</w:t>
      </w:r>
      <w:r>
        <w:rPr>
          <w:rFonts w:ascii="宋体" w:hAnsi="宋体" w:eastAsia="宋体" w:cs="宋体"/>
          <w:color w:val="auto"/>
          <w:spacing w:val="-1"/>
          <w:sz w:val="24"/>
          <w:szCs w:val="24"/>
          <w:highlight w:val="none"/>
        </w:rPr>
        <w:t>）：</w:t>
      </w:r>
    </w:p>
    <w:p w14:paraId="0513A0E9">
      <w:pPr>
        <w:spacing w:before="183" w:line="219" w:lineRule="auto"/>
        <w:ind w:left="4550"/>
        <w:rPr>
          <w:rFonts w:ascii="宋体" w:hAnsi="宋体" w:eastAsia="宋体" w:cs="宋体"/>
          <w:color w:val="auto"/>
          <w:sz w:val="24"/>
          <w:szCs w:val="24"/>
          <w:highlight w:val="none"/>
        </w:rPr>
      </w:pPr>
      <w:r>
        <w:rPr>
          <w:rFonts w:ascii="宋体" w:hAnsi="宋体" w:eastAsia="宋体" w:cs="宋体"/>
          <w:color w:val="auto"/>
          <w:spacing w:val="-6"/>
          <w:sz w:val="24"/>
          <w:szCs w:val="24"/>
          <w:highlight w:val="none"/>
        </w:rPr>
        <w:t>供应商公章（电子签章</w:t>
      </w:r>
      <w:r>
        <w:rPr>
          <w:rFonts w:ascii="宋体" w:hAnsi="宋体" w:eastAsia="宋体" w:cs="宋体"/>
          <w:color w:val="auto"/>
          <w:spacing w:val="-1"/>
          <w:sz w:val="24"/>
          <w:szCs w:val="24"/>
          <w:highlight w:val="none"/>
        </w:rPr>
        <w:t>）：</w:t>
      </w:r>
    </w:p>
    <w:p w14:paraId="7C7928B4">
      <w:pPr>
        <w:spacing w:before="180" w:line="185" w:lineRule="auto"/>
        <w:ind w:left="4623"/>
        <w:rPr>
          <w:rFonts w:ascii="宋体" w:hAnsi="宋体" w:eastAsia="宋体" w:cs="宋体"/>
          <w:color w:val="auto"/>
          <w:sz w:val="24"/>
          <w:szCs w:val="24"/>
          <w:highlight w:val="none"/>
        </w:rPr>
      </w:pPr>
      <w:r>
        <w:rPr>
          <w:rFonts w:ascii="宋体" w:hAnsi="宋体" w:eastAsia="宋体" w:cs="宋体"/>
          <w:color w:val="auto"/>
          <w:spacing w:val="-13"/>
          <w:sz w:val="24"/>
          <w:szCs w:val="24"/>
          <w:highlight w:val="none"/>
        </w:rPr>
        <w:t>日期：年月日</w:t>
      </w:r>
    </w:p>
    <w:p w14:paraId="5AFCBE06">
      <w:pPr>
        <w:spacing w:line="185" w:lineRule="auto"/>
        <w:rPr>
          <w:rFonts w:ascii="宋体" w:hAnsi="宋体" w:eastAsia="宋体" w:cs="宋体"/>
          <w:color w:val="auto"/>
          <w:sz w:val="24"/>
          <w:szCs w:val="24"/>
          <w:highlight w:val="none"/>
        </w:rPr>
        <w:sectPr>
          <w:type w:val="continuous"/>
          <w:pgSz w:w="11907" w:h="16839"/>
          <w:pgMar w:top="1431" w:right="1129" w:bottom="1154" w:left="1785" w:header="0" w:footer="954" w:gutter="0"/>
          <w:cols w:equalWidth="0" w:num="1">
            <w:col w:w="8992"/>
          </w:cols>
        </w:sectPr>
      </w:pPr>
    </w:p>
    <w:p w14:paraId="2A589889">
      <w:pPr>
        <w:pStyle w:val="4"/>
        <w:spacing w:line="353" w:lineRule="auto"/>
        <w:rPr>
          <w:color w:val="auto"/>
          <w:highlight w:val="none"/>
        </w:rPr>
      </w:pPr>
    </w:p>
    <w:p w14:paraId="10E47269">
      <w:pPr>
        <w:spacing w:before="78" w:line="219" w:lineRule="auto"/>
        <w:ind w:left="22"/>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其他文书、文件格式</w:t>
      </w:r>
    </w:p>
    <w:p w14:paraId="512C4C5A">
      <w:pPr>
        <w:spacing w:before="147" w:line="604" w:lineRule="exact"/>
        <w:ind w:left="2029"/>
        <w:rPr>
          <w:rFonts w:ascii="宋体" w:hAnsi="宋体" w:eastAsia="宋体" w:cs="宋体"/>
          <w:color w:val="auto"/>
          <w:sz w:val="43"/>
          <w:szCs w:val="43"/>
          <w:highlight w:val="none"/>
        </w:rPr>
      </w:pPr>
      <w:r>
        <w:rPr>
          <w:rFonts w:ascii="宋体" w:hAnsi="宋体" w:eastAsia="宋体" w:cs="宋体"/>
          <w:b/>
          <w:bCs/>
          <w:color w:val="auto"/>
          <w:spacing w:val="5"/>
          <w:position w:val="3"/>
          <w:sz w:val="43"/>
          <w:szCs w:val="43"/>
          <w:highlight w:val="none"/>
        </w:rPr>
        <w:t>中小企业声明函（服务）</w:t>
      </w:r>
    </w:p>
    <w:p w14:paraId="73E683CD">
      <w:pPr>
        <w:pStyle w:val="4"/>
        <w:spacing w:line="307" w:lineRule="auto"/>
        <w:rPr>
          <w:color w:val="auto"/>
          <w:highlight w:val="none"/>
        </w:rPr>
      </w:pPr>
    </w:p>
    <w:p w14:paraId="48CEE1C0">
      <w:pPr>
        <w:pStyle w:val="4"/>
        <w:spacing w:line="307" w:lineRule="auto"/>
        <w:rPr>
          <w:color w:val="auto"/>
          <w:highlight w:val="none"/>
        </w:rPr>
      </w:pPr>
    </w:p>
    <w:p w14:paraId="4CD1F1FE">
      <w:pPr>
        <w:spacing w:before="78" w:line="386" w:lineRule="auto"/>
        <w:ind w:left="20" w:right="39" w:firstLine="70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本公司（联合体）郑重声明，根据《政府采购促进中小企业发展管理办法》</w:t>
      </w:r>
      <w:r>
        <w:rPr>
          <w:rFonts w:ascii="宋体" w:hAnsi="宋体" w:eastAsia="宋体" w:cs="宋体"/>
          <w:color w:val="auto"/>
          <w:spacing w:val="-4"/>
          <w:sz w:val="24"/>
          <w:szCs w:val="24"/>
          <w:highlight w:val="none"/>
        </w:rPr>
        <w:t>（财库﹝2020﹞46号）的规定，本公司（联合体）参加</w:t>
      </w:r>
      <w:r>
        <w:rPr>
          <w:rFonts w:ascii="宋体" w:hAnsi="宋体" w:eastAsia="宋体" w:cs="宋体"/>
          <w:color w:val="auto"/>
          <w:spacing w:val="-4"/>
          <w:sz w:val="24"/>
          <w:szCs w:val="24"/>
          <w:highlight w:val="none"/>
          <w:u w:val="single" w:color="auto"/>
        </w:rPr>
        <w:t>（单位名称）</w:t>
      </w:r>
      <w:r>
        <w:rPr>
          <w:rFonts w:ascii="宋体" w:hAnsi="宋体" w:eastAsia="宋体" w:cs="宋体"/>
          <w:color w:val="auto"/>
          <w:spacing w:val="-5"/>
          <w:sz w:val="24"/>
          <w:szCs w:val="24"/>
          <w:highlight w:val="none"/>
        </w:rPr>
        <w:t>的</w:t>
      </w:r>
      <w:r>
        <w:rPr>
          <w:rFonts w:ascii="宋体" w:hAnsi="宋体" w:eastAsia="宋体" w:cs="宋体"/>
          <w:color w:val="auto"/>
          <w:spacing w:val="-5"/>
          <w:sz w:val="24"/>
          <w:szCs w:val="24"/>
          <w:highlight w:val="none"/>
          <w:u w:val="single" w:color="auto"/>
        </w:rPr>
        <w:t>（项目名称）</w:t>
      </w:r>
      <w:r>
        <w:rPr>
          <w:rFonts w:ascii="宋体" w:hAnsi="宋体" w:eastAsia="宋体" w:cs="宋体"/>
          <w:color w:val="auto"/>
          <w:spacing w:val="1"/>
          <w:sz w:val="24"/>
          <w:szCs w:val="24"/>
          <w:highlight w:val="none"/>
        </w:rPr>
        <w:t>采购活动，服务全部由符合政策要求的中小企业承接。相关企业（含联合体中的中</w:t>
      </w:r>
      <w:r>
        <w:rPr>
          <w:rFonts w:ascii="宋体" w:hAnsi="宋体" w:eastAsia="宋体" w:cs="宋体"/>
          <w:color w:val="auto"/>
          <w:spacing w:val="-3"/>
          <w:sz w:val="24"/>
          <w:szCs w:val="24"/>
          <w:highlight w:val="none"/>
        </w:rPr>
        <w:t>小企业、签订分包意向协议的中小企业）的具体情况如下：</w:t>
      </w:r>
    </w:p>
    <w:p w14:paraId="42B1A732">
      <w:pPr>
        <w:spacing w:before="112" w:line="330" w:lineRule="auto"/>
        <w:ind w:left="24" w:right="151" w:firstLine="78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w:t>
      </w:r>
      <w:r>
        <w:rPr>
          <w:rFonts w:ascii="宋体" w:hAnsi="宋体" w:eastAsia="宋体" w:cs="宋体"/>
          <w:color w:val="auto"/>
          <w:spacing w:val="-1"/>
          <w:sz w:val="24"/>
          <w:szCs w:val="24"/>
          <w:highlight w:val="none"/>
          <w:u w:val="single" w:color="auto"/>
        </w:rPr>
        <w:t>（标的名称</w:t>
      </w:r>
      <w:r>
        <w:rPr>
          <w:rFonts w:ascii="宋体" w:hAnsi="宋体" w:eastAsia="宋体" w:cs="宋体"/>
          <w:color w:val="auto"/>
          <w:spacing w:val="1"/>
          <w:sz w:val="24"/>
          <w:szCs w:val="24"/>
          <w:highlight w:val="none"/>
          <w:u w:val="single" w:color="auto"/>
        </w:rPr>
        <w:t>）</w:t>
      </w:r>
      <w:r>
        <w:rPr>
          <w:rFonts w:ascii="宋体" w:hAnsi="宋体" w:eastAsia="宋体" w:cs="宋体"/>
          <w:color w:val="auto"/>
          <w:spacing w:val="1"/>
          <w:sz w:val="24"/>
          <w:szCs w:val="24"/>
          <w:highlight w:val="none"/>
        </w:rPr>
        <w:t>，</w:t>
      </w:r>
      <w:r>
        <w:rPr>
          <w:rFonts w:ascii="宋体" w:hAnsi="宋体" w:eastAsia="宋体" w:cs="宋体"/>
          <w:color w:val="auto"/>
          <w:spacing w:val="-1"/>
          <w:sz w:val="24"/>
          <w:szCs w:val="24"/>
          <w:highlight w:val="none"/>
        </w:rPr>
        <w:t>属于</w:t>
      </w:r>
      <w:r>
        <w:rPr>
          <w:rFonts w:ascii="宋体" w:hAnsi="宋体" w:eastAsia="宋体" w:cs="宋体"/>
          <w:color w:val="auto"/>
          <w:spacing w:val="-1"/>
          <w:sz w:val="24"/>
          <w:szCs w:val="24"/>
          <w:highlight w:val="none"/>
          <w:u w:val="single" w:color="auto"/>
        </w:rPr>
        <w:t>（采购文件中明确的所属</w:t>
      </w:r>
      <w:r>
        <w:rPr>
          <w:rFonts w:ascii="宋体" w:hAnsi="宋体" w:eastAsia="宋体" w:cs="宋体"/>
          <w:color w:val="auto"/>
          <w:spacing w:val="-2"/>
          <w:sz w:val="24"/>
          <w:szCs w:val="24"/>
          <w:highlight w:val="none"/>
          <w:u w:val="single" w:color="auto"/>
        </w:rPr>
        <w:t>行业</w:t>
      </w:r>
      <w:r>
        <w:rPr>
          <w:rFonts w:ascii="宋体" w:hAnsi="宋体" w:eastAsia="宋体" w:cs="宋体"/>
          <w:color w:val="auto"/>
          <w:spacing w:val="1"/>
          <w:sz w:val="24"/>
          <w:szCs w:val="24"/>
          <w:highlight w:val="none"/>
          <w:u w:val="single" w:color="auto"/>
        </w:rPr>
        <w:t>）</w:t>
      </w:r>
      <w:r>
        <w:rPr>
          <w:rFonts w:ascii="宋体" w:hAnsi="宋体" w:eastAsia="宋体" w:cs="宋体"/>
          <w:color w:val="auto"/>
          <w:spacing w:val="1"/>
          <w:sz w:val="24"/>
          <w:szCs w:val="24"/>
          <w:highlight w:val="none"/>
        </w:rPr>
        <w:t>；</w:t>
      </w:r>
      <w:r>
        <w:rPr>
          <w:rFonts w:ascii="宋体" w:hAnsi="宋体" w:eastAsia="宋体" w:cs="宋体"/>
          <w:color w:val="auto"/>
          <w:spacing w:val="-2"/>
          <w:sz w:val="24"/>
          <w:szCs w:val="24"/>
          <w:highlight w:val="none"/>
        </w:rPr>
        <w:t>承接企业为</w:t>
      </w:r>
      <w:r>
        <w:rPr>
          <w:rFonts w:ascii="宋体" w:hAnsi="宋体" w:eastAsia="宋体" w:cs="宋体"/>
          <w:color w:val="auto"/>
          <w:spacing w:val="-2"/>
          <w:sz w:val="24"/>
          <w:szCs w:val="24"/>
          <w:highlight w:val="none"/>
          <w:u w:val="single" w:color="auto"/>
        </w:rPr>
        <w:t>（企业</w:t>
      </w:r>
      <w:r>
        <w:rPr>
          <w:rFonts w:ascii="宋体" w:hAnsi="宋体" w:eastAsia="宋体" w:cs="宋体"/>
          <w:color w:val="auto"/>
          <w:spacing w:val="-3"/>
          <w:sz w:val="24"/>
          <w:szCs w:val="24"/>
          <w:highlight w:val="none"/>
          <w:u w:val="single" w:color="auto"/>
        </w:rPr>
        <w:t>名称</w:t>
      </w:r>
      <w:r>
        <w:rPr>
          <w:rFonts w:ascii="宋体" w:hAnsi="宋体" w:eastAsia="宋体" w:cs="宋体"/>
          <w:color w:val="auto"/>
          <w:spacing w:val="13"/>
          <w:sz w:val="24"/>
          <w:szCs w:val="24"/>
          <w:highlight w:val="none"/>
          <w:u w:val="single" w:color="auto"/>
        </w:rPr>
        <w:t>）</w:t>
      </w:r>
      <w:r>
        <w:rPr>
          <w:rFonts w:ascii="宋体" w:hAnsi="宋体" w:eastAsia="宋体" w:cs="宋体"/>
          <w:color w:val="auto"/>
          <w:spacing w:val="13"/>
          <w:sz w:val="24"/>
          <w:szCs w:val="24"/>
          <w:highlight w:val="none"/>
        </w:rPr>
        <w:t>，</w:t>
      </w:r>
      <w:r>
        <w:rPr>
          <w:rFonts w:ascii="宋体" w:hAnsi="宋体" w:eastAsia="宋体" w:cs="宋体"/>
          <w:color w:val="auto"/>
          <w:spacing w:val="-3"/>
          <w:sz w:val="24"/>
          <w:szCs w:val="24"/>
          <w:highlight w:val="none"/>
        </w:rPr>
        <w:t>从业人员人，营业收入为万元，资产总额为万元，属</w:t>
      </w:r>
      <w:r>
        <w:rPr>
          <w:rFonts w:ascii="宋体" w:hAnsi="宋体" w:eastAsia="宋体" w:cs="宋体"/>
          <w:color w:val="auto"/>
          <w:spacing w:val="-1"/>
          <w:sz w:val="24"/>
          <w:szCs w:val="24"/>
          <w:highlight w:val="none"/>
        </w:rPr>
        <w:t>于</w:t>
      </w:r>
      <w:r>
        <w:rPr>
          <w:rFonts w:ascii="宋体" w:hAnsi="宋体" w:eastAsia="宋体" w:cs="宋体"/>
          <w:color w:val="auto"/>
          <w:spacing w:val="-1"/>
          <w:sz w:val="24"/>
          <w:szCs w:val="24"/>
          <w:highlight w:val="none"/>
          <w:u w:val="single" w:color="auto"/>
        </w:rPr>
        <w:t>（中型企业、小型企业、微型企业</w:t>
      </w:r>
      <w:r>
        <w:rPr>
          <w:rFonts w:ascii="宋体" w:hAnsi="宋体" w:eastAsia="宋体" w:cs="宋体"/>
          <w:color w:val="auto"/>
          <w:spacing w:val="1"/>
          <w:sz w:val="24"/>
          <w:szCs w:val="24"/>
          <w:highlight w:val="none"/>
          <w:u w:val="single" w:color="auto"/>
        </w:rPr>
        <w:t>）</w:t>
      </w:r>
      <w:r>
        <w:rPr>
          <w:rFonts w:ascii="宋体" w:hAnsi="宋体" w:eastAsia="宋体" w:cs="宋体"/>
          <w:color w:val="auto"/>
          <w:spacing w:val="1"/>
          <w:sz w:val="24"/>
          <w:szCs w:val="24"/>
          <w:highlight w:val="none"/>
        </w:rPr>
        <w:t>；</w:t>
      </w:r>
    </w:p>
    <w:p w14:paraId="67A67D3D">
      <w:pPr>
        <w:spacing w:before="232" w:line="330" w:lineRule="auto"/>
        <w:ind w:left="24" w:right="92" w:firstLine="77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w:t>
      </w:r>
      <w:r>
        <w:rPr>
          <w:rFonts w:ascii="宋体" w:hAnsi="宋体" w:eastAsia="宋体" w:cs="宋体"/>
          <w:color w:val="auto"/>
          <w:spacing w:val="1"/>
          <w:sz w:val="24"/>
          <w:szCs w:val="24"/>
          <w:highlight w:val="none"/>
          <w:u w:val="single" w:color="auto"/>
        </w:rPr>
        <w:t>（标的名称</w:t>
      </w:r>
      <w:r>
        <w:rPr>
          <w:rFonts w:ascii="宋体" w:hAnsi="宋体" w:eastAsia="宋体" w:cs="宋体"/>
          <w:color w:val="auto"/>
          <w:spacing w:val="3"/>
          <w:sz w:val="24"/>
          <w:szCs w:val="24"/>
          <w:highlight w:val="none"/>
          <w:u w:val="single" w:color="auto"/>
        </w:rPr>
        <w:t>）</w:t>
      </w:r>
      <w:r>
        <w:rPr>
          <w:rFonts w:ascii="宋体" w:hAnsi="宋体" w:eastAsia="宋体" w:cs="宋体"/>
          <w:color w:val="auto"/>
          <w:spacing w:val="3"/>
          <w:sz w:val="24"/>
          <w:szCs w:val="24"/>
          <w:highlight w:val="none"/>
        </w:rPr>
        <w:t>，</w:t>
      </w:r>
      <w:r>
        <w:rPr>
          <w:rFonts w:ascii="宋体" w:hAnsi="宋体" w:eastAsia="宋体" w:cs="宋体"/>
          <w:color w:val="auto"/>
          <w:spacing w:val="1"/>
          <w:sz w:val="24"/>
          <w:szCs w:val="24"/>
          <w:highlight w:val="none"/>
        </w:rPr>
        <w:t>属于</w:t>
      </w:r>
      <w:r>
        <w:rPr>
          <w:rFonts w:ascii="宋体" w:hAnsi="宋体" w:eastAsia="宋体" w:cs="宋体"/>
          <w:color w:val="auto"/>
          <w:spacing w:val="1"/>
          <w:sz w:val="24"/>
          <w:szCs w:val="24"/>
          <w:highlight w:val="none"/>
          <w:u w:val="single" w:color="auto"/>
        </w:rPr>
        <w:t>（采购文件中明确的所属行业</w:t>
      </w:r>
      <w:r>
        <w:rPr>
          <w:rFonts w:ascii="宋体" w:hAnsi="宋体" w:eastAsia="宋体" w:cs="宋体"/>
          <w:color w:val="auto"/>
          <w:spacing w:val="3"/>
          <w:sz w:val="24"/>
          <w:szCs w:val="24"/>
          <w:highlight w:val="none"/>
          <w:u w:val="single" w:color="auto"/>
        </w:rPr>
        <w:t>）</w:t>
      </w:r>
      <w:r>
        <w:rPr>
          <w:rFonts w:ascii="宋体" w:hAnsi="宋体" w:eastAsia="宋体" w:cs="宋体"/>
          <w:color w:val="auto"/>
          <w:spacing w:val="3"/>
          <w:sz w:val="24"/>
          <w:szCs w:val="24"/>
          <w:highlight w:val="none"/>
        </w:rPr>
        <w:t>；</w:t>
      </w:r>
      <w:r>
        <w:rPr>
          <w:rFonts w:ascii="宋体" w:hAnsi="宋体" w:eastAsia="宋体" w:cs="宋体"/>
          <w:color w:val="auto"/>
          <w:spacing w:val="1"/>
          <w:sz w:val="24"/>
          <w:szCs w:val="24"/>
          <w:highlight w:val="none"/>
        </w:rPr>
        <w:t>承接</w:t>
      </w:r>
      <w:r>
        <w:rPr>
          <w:rFonts w:ascii="宋体" w:hAnsi="宋体" w:eastAsia="宋体" w:cs="宋体"/>
          <w:color w:val="auto"/>
          <w:sz w:val="24"/>
          <w:szCs w:val="24"/>
          <w:highlight w:val="none"/>
        </w:rPr>
        <w:t>企业为</w:t>
      </w:r>
      <w:r>
        <w:rPr>
          <w:rFonts w:ascii="宋体" w:hAnsi="宋体" w:eastAsia="宋体" w:cs="宋体"/>
          <w:color w:val="auto"/>
          <w:sz w:val="24"/>
          <w:szCs w:val="24"/>
          <w:highlight w:val="none"/>
          <w:u w:val="single" w:color="auto"/>
        </w:rPr>
        <w:t>（企业</w:t>
      </w:r>
      <w:r>
        <w:rPr>
          <w:rFonts w:ascii="宋体" w:hAnsi="宋体" w:eastAsia="宋体" w:cs="宋体"/>
          <w:color w:val="auto"/>
          <w:spacing w:val="-2"/>
          <w:sz w:val="24"/>
          <w:szCs w:val="24"/>
          <w:highlight w:val="none"/>
          <w:u w:val="single" w:color="auto"/>
        </w:rPr>
        <w:t>名称）</w:t>
      </w:r>
      <w:r>
        <w:rPr>
          <w:rFonts w:ascii="宋体" w:hAnsi="宋体" w:eastAsia="宋体" w:cs="宋体"/>
          <w:color w:val="auto"/>
          <w:spacing w:val="-2"/>
          <w:sz w:val="24"/>
          <w:szCs w:val="24"/>
          <w:highlight w:val="none"/>
        </w:rPr>
        <w:t>，从业人员人，营业收入为万元，资产总额为万元，属</w:t>
      </w:r>
      <w:r>
        <w:rPr>
          <w:rFonts w:ascii="宋体" w:hAnsi="宋体" w:eastAsia="宋体" w:cs="宋体"/>
          <w:color w:val="auto"/>
          <w:spacing w:val="-1"/>
          <w:sz w:val="24"/>
          <w:szCs w:val="24"/>
          <w:highlight w:val="none"/>
        </w:rPr>
        <w:t>于</w:t>
      </w:r>
      <w:r>
        <w:rPr>
          <w:rFonts w:ascii="宋体" w:hAnsi="宋体" w:eastAsia="宋体" w:cs="宋体"/>
          <w:color w:val="auto"/>
          <w:spacing w:val="-1"/>
          <w:sz w:val="24"/>
          <w:szCs w:val="24"/>
          <w:highlight w:val="none"/>
          <w:u w:val="single" w:color="auto"/>
        </w:rPr>
        <w:t>（中型企业、小型企业、微型企业</w:t>
      </w:r>
      <w:r>
        <w:rPr>
          <w:rFonts w:ascii="宋体" w:hAnsi="宋体" w:eastAsia="宋体" w:cs="宋体"/>
          <w:color w:val="auto"/>
          <w:spacing w:val="1"/>
          <w:sz w:val="24"/>
          <w:szCs w:val="24"/>
          <w:highlight w:val="none"/>
          <w:u w:val="single" w:color="auto"/>
        </w:rPr>
        <w:t>）</w:t>
      </w:r>
      <w:r>
        <w:rPr>
          <w:rFonts w:ascii="宋体" w:hAnsi="宋体" w:eastAsia="宋体" w:cs="宋体"/>
          <w:color w:val="auto"/>
          <w:spacing w:val="1"/>
          <w:sz w:val="24"/>
          <w:szCs w:val="24"/>
          <w:highlight w:val="none"/>
        </w:rPr>
        <w:t>；</w:t>
      </w:r>
    </w:p>
    <w:p w14:paraId="0DD933FB">
      <w:pPr>
        <w:spacing w:before="247" w:line="379" w:lineRule="exact"/>
        <w:ind w:left="742"/>
        <w:rPr>
          <w:rFonts w:ascii="宋体" w:hAnsi="宋体" w:eastAsia="宋体" w:cs="宋体"/>
          <w:color w:val="auto"/>
          <w:sz w:val="24"/>
          <w:szCs w:val="24"/>
          <w:highlight w:val="none"/>
        </w:rPr>
      </w:pPr>
      <w:r>
        <w:rPr>
          <w:rFonts w:ascii="宋体" w:hAnsi="宋体" w:eastAsia="宋体" w:cs="宋体"/>
          <w:color w:val="auto"/>
          <w:spacing w:val="-7"/>
          <w:position w:val="3"/>
          <w:sz w:val="24"/>
          <w:szCs w:val="24"/>
          <w:highlight w:val="none"/>
        </w:rPr>
        <w:t>……</w:t>
      </w:r>
    </w:p>
    <w:p w14:paraId="41D8124D">
      <w:pPr>
        <w:spacing w:before="243" w:line="386" w:lineRule="auto"/>
        <w:ind w:left="25" w:right="142" w:firstLine="728"/>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以上企业，不属于大企业的分支机构，不存在控股股东为大企业的情形，也</w:t>
      </w:r>
      <w:r>
        <w:rPr>
          <w:rFonts w:ascii="宋体" w:hAnsi="宋体" w:eastAsia="宋体" w:cs="宋体"/>
          <w:color w:val="auto"/>
          <w:spacing w:val="-3"/>
          <w:sz w:val="24"/>
          <w:szCs w:val="24"/>
          <w:highlight w:val="none"/>
        </w:rPr>
        <w:t>不存在与大企业的负责人为同一人的情形。</w:t>
      </w:r>
    </w:p>
    <w:p w14:paraId="0912F3E7">
      <w:pPr>
        <w:spacing w:before="117" w:line="219" w:lineRule="auto"/>
        <w:ind w:left="72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本企业对上述声明内容的真实性负责。如有</w:t>
      </w:r>
      <w:r>
        <w:rPr>
          <w:rFonts w:ascii="宋体" w:hAnsi="宋体" w:eastAsia="宋体" w:cs="宋体"/>
          <w:color w:val="auto"/>
          <w:spacing w:val="-2"/>
          <w:sz w:val="24"/>
          <w:szCs w:val="24"/>
          <w:highlight w:val="none"/>
        </w:rPr>
        <w:t>虚假，将依法承担相应责任。</w:t>
      </w:r>
    </w:p>
    <w:p w14:paraId="47A5D8EB">
      <w:pPr>
        <w:pStyle w:val="4"/>
        <w:spacing w:line="254" w:lineRule="auto"/>
        <w:rPr>
          <w:color w:val="auto"/>
          <w:highlight w:val="none"/>
        </w:rPr>
      </w:pPr>
    </w:p>
    <w:p w14:paraId="03ECA946">
      <w:pPr>
        <w:spacing w:before="79" w:line="219" w:lineRule="auto"/>
        <w:ind w:left="3337"/>
        <w:rPr>
          <w:rFonts w:ascii="宋体" w:hAnsi="宋体" w:eastAsia="宋体" w:cs="宋体"/>
          <w:color w:val="auto"/>
          <w:sz w:val="24"/>
          <w:szCs w:val="24"/>
          <w:highlight w:val="none"/>
        </w:rPr>
      </w:pPr>
      <w:r>
        <w:rPr>
          <w:rFonts w:ascii="宋体" w:hAnsi="宋体" w:eastAsia="宋体" w:cs="宋体"/>
          <w:color w:val="auto"/>
          <w:spacing w:val="-9"/>
          <w:sz w:val="24"/>
          <w:szCs w:val="24"/>
          <w:highlight w:val="none"/>
        </w:rPr>
        <w:t>企业名称（章</w:t>
      </w:r>
      <w:r>
        <w:rPr>
          <w:rFonts w:ascii="宋体" w:hAnsi="宋体" w:eastAsia="宋体" w:cs="宋体"/>
          <w:color w:val="auto"/>
          <w:spacing w:val="-4"/>
          <w:sz w:val="24"/>
          <w:szCs w:val="24"/>
          <w:highlight w:val="none"/>
        </w:rPr>
        <w:t>）：</w:t>
      </w:r>
    </w:p>
    <w:p w14:paraId="517C6611">
      <w:pPr>
        <w:pStyle w:val="4"/>
        <w:spacing w:line="254" w:lineRule="auto"/>
        <w:rPr>
          <w:color w:val="auto"/>
          <w:highlight w:val="none"/>
        </w:rPr>
      </w:pPr>
    </w:p>
    <w:p w14:paraId="56FCE5D9">
      <w:pPr>
        <w:spacing w:before="78" w:line="220" w:lineRule="auto"/>
        <w:ind w:left="3490"/>
        <w:rPr>
          <w:rFonts w:ascii="宋体" w:hAnsi="宋体" w:eastAsia="宋体" w:cs="宋体"/>
          <w:color w:val="auto"/>
          <w:sz w:val="24"/>
          <w:szCs w:val="24"/>
          <w:highlight w:val="none"/>
        </w:rPr>
      </w:pPr>
      <w:r>
        <w:rPr>
          <w:rFonts w:ascii="宋体" w:hAnsi="宋体" w:eastAsia="宋体" w:cs="宋体"/>
          <w:color w:val="auto"/>
          <w:spacing w:val="-10"/>
          <w:sz w:val="24"/>
          <w:szCs w:val="24"/>
          <w:highlight w:val="none"/>
        </w:rPr>
        <w:t>日期：年月日</w:t>
      </w:r>
    </w:p>
    <w:p w14:paraId="571BEB50">
      <w:pPr>
        <w:pStyle w:val="4"/>
        <w:spacing w:line="271" w:lineRule="auto"/>
        <w:rPr>
          <w:color w:val="auto"/>
          <w:highlight w:val="none"/>
        </w:rPr>
      </w:pPr>
    </w:p>
    <w:p w14:paraId="7EA29AEF">
      <w:pPr>
        <w:spacing w:before="79" w:line="401" w:lineRule="auto"/>
        <w:ind w:left="20"/>
        <w:jc w:val="both"/>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注：享受《政府采购促进中小企业发展管理办法》（财库〔2020〕46号</w:t>
      </w:r>
      <w:r>
        <w:rPr>
          <w:rFonts w:ascii="宋体" w:hAnsi="宋体" w:eastAsia="宋体" w:cs="宋体"/>
          <w:color w:val="auto"/>
          <w:spacing w:val="-4"/>
          <w:sz w:val="24"/>
          <w:szCs w:val="24"/>
          <w:highlight w:val="none"/>
        </w:rPr>
        <w:t>）规定的中小</w:t>
      </w:r>
      <w:r>
        <w:rPr>
          <w:rFonts w:ascii="宋体" w:hAnsi="宋体" w:eastAsia="宋体" w:cs="宋体"/>
          <w:color w:val="auto"/>
          <w:spacing w:val="-2"/>
          <w:sz w:val="24"/>
          <w:szCs w:val="24"/>
          <w:highlight w:val="none"/>
        </w:rPr>
        <w:t>企业扶持政策的，采购人、采购代理机构应当随成交结果公开成交供应商的《中小企</w:t>
      </w:r>
      <w:r>
        <w:rPr>
          <w:rFonts w:ascii="宋体" w:hAnsi="宋体" w:eastAsia="宋体" w:cs="宋体"/>
          <w:color w:val="auto"/>
          <w:spacing w:val="-1"/>
          <w:sz w:val="24"/>
          <w:szCs w:val="24"/>
          <w:highlight w:val="none"/>
        </w:rPr>
        <w:t>业声明函》。从业人员、营业收入、资产总额</w:t>
      </w:r>
      <w:r>
        <w:rPr>
          <w:rFonts w:ascii="宋体" w:hAnsi="宋体" w:eastAsia="宋体" w:cs="宋体"/>
          <w:color w:val="auto"/>
          <w:spacing w:val="-2"/>
          <w:sz w:val="24"/>
          <w:szCs w:val="24"/>
          <w:highlight w:val="none"/>
        </w:rPr>
        <w:t>填报上一年度数据，无上一年度数据的</w:t>
      </w:r>
      <w:r>
        <w:rPr>
          <w:rFonts w:ascii="宋体" w:hAnsi="宋体" w:eastAsia="宋体" w:cs="宋体"/>
          <w:color w:val="auto"/>
          <w:spacing w:val="-4"/>
          <w:sz w:val="24"/>
          <w:szCs w:val="24"/>
          <w:highlight w:val="none"/>
        </w:rPr>
        <w:t>新成立企业可不填报。</w:t>
      </w:r>
    </w:p>
    <w:p w14:paraId="5AE23E61">
      <w:pPr>
        <w:spacing w:line="401" w:lineRule="auto"/>
        <w:rPr>
          <w:rFonts w:ascii="宋体" w:hAnsi="宋体" w:eastAsia="宋体" w:cs="宋体"/>
          <w:color w:val="auto"/>
          <w:sz w:val="24"/>
          <w:szCs w:val="24"/>
          <w:highlight w:val="none"/>
        </w:rPr>
        <w:sectPr>
          <w:footerReference r:id="rId53" w:type="default"/>
          <w:pgSz w:w="11907" w:h="16841"/>
          <w:pgMar w:top="1431" w:right="1270" w:bottom="1219" w:left="1785" w:header="0" w:footer="1019" w:gutter="0"/>
          <w:cols w:space="720" w:num="1"/>
        </w:sectPr>
      </w:pPr>
    </w:p>
    <w:p w14:paraId="322DBA4A">
      <w:pPr>
        <w:spacing w:before="85" w:line="221" w:lineRule="auto"/>
        <w:ind w:left="2015"/>
        <w:rPr>
          <w:rFonts w:ascii="宋体" w:hAnsi="宋体" w:eastAsia="宋体" w:cs="宋体"/>
          <w:color w:val="auto"/>
          <w:sz w:val="43"/>
          <w:szCs w:val="43"/>
          <w:highlight w:val="none"/>
        </w:rPr>
      </w:pPr>
      <w:r>
        <w:rPr>
          <w:rFonts w:ascii="宋体" w:hAnsi="宋体" w:eastAsia="宋体" w:cs="宋体"/>
          <w:b/>
          <w:bCs/>
          <w:color w:val="auto"/>
          <w:spacing w:val="4"/>
          <w:sz w:val="43"/>
          <w:szCs w:val="43"/>
          <w:highlight w:val="none"/>
        </w:rPr>
        <w:t>残疾人福利性单位声明函</w:t>
      </w:r>
    </w:p>
    <w:p w14:paraId="382DD8D1">
      <w:pPr>
        <w:pStyle w:val="4"/>
        <w:spacing w:line="271" w:lineRule="auto"/>
        <w:rPr>
          <w:color w:val="auto"/>
          <w:highlight w:val="none"/>
        </w:rPr>
      </w:pPr>
    </w:p>
    <w:p w14:paraId="31170780">
      <w:pPr>
        <w:pStyle w:val="4"/>
        <w:spacing w:line="271" w:lineRule="auto"/>
        <w:rPr>
          <w:color w:val="auto"/>
          <w:highlight w:val="none"/>
        </w:rPr>
      </w:pPr>
    </w:p>
    <w:p w14:paraId="2D3EA991">
      <w:pPr>
        <w:spacing w:before="78" w:line="359" w:lineRule="auto"/>
        <w:ind w:left="20" w:firstLine="481"/>
        <w:jc w:val="both"/>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本单位郑重声明，根据《财政部民政部中国残疾人联合会关于促进残疾人就业</w:t>
      </w:r>
      <w:r>
        <w:rPr>
          <w:rFonts w:ascii="宋体" w:hAnsi="宋体" w:eastAsia="宋体" w:cs="宋体"/>
          <w:color w:val="auto"/>
          <w:spacing w:val="-1"/>
          <w:sz w:val="24"/>
          <w:szCs w:val="24"/>
          <w:highlight w:val="none"/>
        </w:rPr>
        <w:t>政府采购政策的通知》（财库〔2017〕141号）的规定，本单位为符合条件的残疾人</w:t>
      </w:r>
      <w:r>
        <w:rPr>
          <w:rFonts w:ascii="宋体" w:hAnsi="宋体" w:eastAsia="宋体" w:cs="宋体"/>
          <w:color w:val="auto"/>
          <w:sz w:val="24"/>
          <w:szCs w:val="24"/>
          <w:highlight w:val="none"/>
        </w:rPr>
        <w:t>福利性单位，且本单位参加单位的项目采购活动提供本单位制造的</w:t>
      </w:r>
      <w:r>
        <w:rPr>
          <w:rFonts w:ascii="宋体" w:hAnsi="宋体" w:eastAsia="宋体" w:cs="宋体"/>
          <w:color w:val="auto"/>
          <w:spacing w:val="2"/>
          <w:sz w:val="24"/>
          <w:szCs w:val="24"/>
          <w:highlight w:val="none"/>
        </w:rPr>
        <w:t>货物（由本单位承担工程/提供服务），或者提供其他残疾人福利性单位</w:t>
      </w:r>
      <w:r>
        <w:rPr>
          <w:rFonts w:ascii="宋体" w:hAnsi="宋体" w:eastAsia="宋体" w:cs="宋体"/>
          <w:color w:val="auto"/>
          <w:spacing w:val="1"/>
          <w:sz w:val="24"/>
          <w:szCs w:val="24"/>
          <w:highlight w:val="none"/>
        </w:rPr>
        <w:t>制造的货物</w:t>
      </w:r>
      <w:r>
        <w:rPr>
          <w:rFonts w:ascii="宋体" w:hAnsi="宋体" w:eastAsia="宋体" w:cs="宋体"/>
          <w:color w:val="auto"/>
          <w:spacing w:val="-2"/>
          <w:sz w:val="24"/>
          <w:szCs w:val="24"/>
          <w:highlight w:val="none"/>
        </w:rPr>
        <w:t>（不包括使用非残疾人福利性单位注册商标的货物）。</w:t>
      </w:r>
    </w:p>
    <w:p w14:paraId="3EDDCB66">
      <w:pPr>
        <w:spacing w:before="1" w:line="218" w:lineRule="auto"/>
        <w:ind w:left="50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本单位对上述声明的真实性负责。如有虚假，将依法承担相应责任。</w:t>
      </w:r>
    </w:p>
    <w:p w14:paraId="4622B27B">
      <w:pPr>
        <w:pStyle w:val="4"/>
        <w:spacing w:line="249" w:lineRule="auto"/>
        <w:rPr>
          <w:color w:val="auto"/>
          <w:highlight w:val="none"/>
        </w:rPr>
      </w:pPr>
    </w:p>
    <w:p w14:paraId="2A888B4F">
      <w:pPr>
        <w:pStyle w:val="4"/>
        <w:spacing w:line="249" w:lineRule="auto"/>
        <w:rPr>
          <w:color w:val="auto"/>
          <w:highlight w:val="none"/>
        </w:rPr>
      </w:pPr>
    </w:p>
    <w:p w14:paraId="768C5DDD">
      <w:pPr>
        <w:pStyle w:val="4"/>
        <w:spacing w:line="249" w:lineRule="auto"/>
        <w:rPr>
          <w:color w:val="auto"/>
          <w:highlight w:val="none"/>
        </w:rPr>
      </w:pPr>
    </w:p>
    <w:p w14:paraId="41CADA49">
      <w:pPr>
        <w:pStyle w:val="4"/>
        <w:spacing w:line="249" w:lineRule="auto"/>
        <w:rPr>
          <w:color w:val="auto"/>
          <w:highlight w:val="none"/>
        </w:rPr>
      </w:pPr>
    </w:p>
    <w:p w14:paraId="467E2775">
      <w:pPr>
        <w:pStyle w:val="4"/>
        <w:spacing w:line="249" w:lineRule="auto"/>
        <w:rPr>
          <w:color w:val="auto"/>
          <w:highlight w:val="none"/>
        </w:rPr>
      </w:pPr>
    </w:p>
    <w:p w14:paraId="412A2077">
      <w:pPr>
        <w:pStyle w:val="4"/>
        <w:spacing w:line="250" w:lineRule="auto"/>
        <w:rPr>
          <w:color w:val="auto"/>
          <w:highlight w:val="none"/>
        </w:rPr>
      </w:pPr>
    </w:p>
    <w:p w14:paraId="41A0FFCD">
      <w:pPr>
        <w:spacing w:before="78" w:line="219" w:lineRule="auto"/>
        <w:ind w:left="2423"/>
        <w:rPr>
          <w:rFonts w:ascii="宋体" w:hAnsi="宋体" w:eastAsia="宋体" w:cs="宋体"/>
          <w:color w:val="auto"/>
          <w:sz w:val="24"/>
          <w:szCs w:val="24"/>
          <w:highlight w:val="none"/>
        </w:rPr>
      </w:pPr>
      <w:r>
        <w:rPr>
          <w:rFonts w:ascii="宋体" w:hAnsi="宋体" w:eastAsia="宋体" w:cs="宋体"/>
          <w:color w:val="auto"/>
          <w:spacing w:val="-8"/>
          <w:sz w:val="24"/>
          <w:szCs w:val="24"/>
          <w:highlight w:val="none"/>
        </w:rPr>
        <w:t>单位名称（盖章</w:t>
      </w:r>
      <w:r>
        <w:rPr>
          <w:rFonts w:ascii="宋体" w:hAnsi="宋体" w:eastAsia="宋体" w:cs="宋体"/>
          <w:color w:val="auto"/>
          <w:spacing w:val="-3"/>
          <w:sz w:val="24"/>
          <w:szCs w:val="24"/>
          <w:highlight w:val="none"/>
        </w:rPr>
        <w:t>）：</w:t>
      </w:r>
    </w:p>
    <w:p w14:paraId="046ED3FE">
      <w:pPr>
        <w:spacing w:before="180" w:line="220" w:lineRule="auto"/>
        <w:ind w:left="4263"/>
        <w:rPr>
          <w:rFonts w:ascii="宋体" w:hAnsi="宋体" w:eastAsia="宋体" w:cs="宋体"/>
          <w:color w:val="auto"/>
          <w:sz w:val="24"/>
          <w:szCs w:val="24"/>
          <w:highlight w:val="none"/>
        </w:rPr>
      </w:pPr>
      <w:r>
        <w:rPr>
          <w:rFonts w:ascii="宋体" w:hAnsi="宋体" w:eastAsia="宋体" w:cs="宋体"/>
          <w:color w:val="auto"/>
          <w:spacing w:val="-10"/>
          <w:sz w:val="24"/>
          <w:szCs w:val="24"/>
          <w:highlight w:val="none"/>
        </w:rPr>
        <w:t>日期：年月日</w:t>
      </w:r>
    </w:p>
    <w:p w14:paraId="738C0814">
      <w:pPr>
        <w:pStyle w:val="4"/>
        <w:spacing w:line="249" w:lineRule="auto"/>
        <w:rPr>
          <w:color w:val="auto"/>
          <w:highlight w:val="none"/>
        </w:rPr>
      </w:pPr>
    </w:p>
    <w:p w14:paraId="3670275E">
      <w:pPr>
        <w:pStyle w:val="4"/>
        <w:spacing w:line="249" w:lineRule="auto"/>
        <w:rPr>
          <w:color w:val="auto"/>
          <w:highlight w:val="none"/>
        </w:rPr>
      </w:pPr>
    </w:p>
    <w:p w14:paraId="130E8471">
      <w:pPr>
        <w:pStyle w:val="4"/>
        <w:spacing w:line="249" w:lineRule="auto"/>
        <w:rPr>
          <w:color w:val="auto"/>
          <w:highlight w:val="none"/>
        </w:rPr>
      </w:pPr>
    </w:p>
    <w:p w14:paraId="3330BB17">
      <w:pPr>
        <w:pStyle w:val="4"/>
        <w:spacing w:line="249" w:lineRule="auto"/>
        <w:rPr>
          <w:color w:val="auto"/>
          <w:highlight w:val="none"/>
        </w:rPr>
      </w:pPr>
    </w:p>
    <w:p w14:paraId="06D8B2E3">
      <w:pPr>
        <w:pStyle w:val="4"/>
        <w:spacing w:line="249" w:lineRule="auto"/>
        <w:rPr>
          <w:color w:val="auto"/>
          <w:highlight w:val="none"/>
        </w:rPr>
      </w:pPr>
    </w:p>
    <w:p w14:paraId="44A36678">
      <w:pPr>
        <w:pStyle w:val="4"/>
        <w:spacing w:line="250" w:lineRule="auto"/>
        <w:rPr>
          <w:color w:val="auto"/>
          <w:highlight w:val="none"/>
        </w:rPr>
      </w:pPr>
    </w:p>
    <w:p w14:paraId="430717D9">
      <w:pPr>
        <w:spacing w:before="78" w:line="361" w:lineRule="auto"/>
        <w:ind w:left="22" w:right="5" w:hanging="1"/>
        <w:jc w:val="both"/>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注：请根据自己的真实情况出具《残疾人福利性单位声明函》。依法享受中小企业优惠政策的，采购人或者采购代理机构在公告成交结果时，同时公告其《残疾人福利性</w:t>
      </w:r>
      <w:r>
        <w:rPr>
          <w:rFonts w:ascii="宋体" w:hAnsi="宋体" w:eastAsia="宋体" w:cs="宋体"/>
          <w:color w:val="auto"/>
          <w:spacing w:val="-4"/>
          <w:sz w:val="24"/>
          <w:szCs w:val="24"/>
          <w:highlight w:val="none"/>
        </w:rPr>
        <w:t>单位声明函》，接受社会监督。</w:t>
      </w:r>
    </w:p>
    <w:p w14:paraId="600D0B62">
      <w:pPr>
        <w:spacing w:line="361" w:lineRule="auto"/>
        <w:rPr>
          <w:rFonts w:ascii="宋体" w:hAnsi="宋体" w:eastAsia="宋体" w:cs="宋体"/>
          <w:color w:val="auto"/>
          <w:sz w:val="24"/>
          <w:szCs w:val="24"/>
          <w:highlight w:val="none"/>
        </w:rPr>
        <w:sectPr>
          <w:footerReference r:id="rId54" w:type="default"/>
          <w:pgSz w:w="11907" w:h="16841"/>
          <w:pgMar w:top="1396" w:right="1268" w:bottom="1219" w:left="1785" w:header="0" w:footer="1019" w:gutter="0"/>
          <w:cols w:space="720" w:num="1"/>
        </w:sectPr>
      </w:pPr>
    </w:p>
    <w:p w14:paraId="769079F9">
      <w:pPr>
        <w:pStyle w:val="4"/>
        <w:spacing w:line="437" w:lineRule="auto"/>
        <w:rPr>
          <w:color w:val="auto"/>
          <w:highlight w:val="none"/>
        </w:rPr>
      </w:pPr>
    </w:p>
    <w:p w14:paraId="5BBE0DF2">
      <w:pPr>
        <w:spacing w:before="140" w:line="218" w:lineRule="auto"/>
        <w:ind w:left="2891"/>
        <w:rPr>
          <w:rFonts w:ascii="宋体" w:hAnsi="宋体" w:eastAsia="宋体" w:cs="宋体"/>
          <w:color w:val="auto"/>
          <w:sz w:val="43"/>
          <w:szCs w:val="43"/>
          <w:highlight w:val="none"/>
        </w:rPr>
      </w:pPr>
      <w:r>
        <w:rPr>
          <w:rFonts w:ascii="宋体" w:hAnsi="宋体" w:eastAsia="宋体" w:cs="宋体"/>
          <w:b/>
          <w:bCs/>
          <w:color w:val="auto"/>
          <w:spacing w:val="7"/>
          <w:sz w:val="43"/>
          <w:szCs w:val="43"/>
          <w:highlight w:val="none"/>
        </w:rPr>
        <w:t>质疑函（格式）</w:t>
      </w:r>
    </w:p>
    <w:p w14:paraId="4F10762A">
      <w:pPr>
        <w:pStyle w:val="4"/>
        <w:spacing w:line="367" w:lineRule="auto"/>
        <w:rPr>
          <w:color w:val="auto"/>
          <w:highlight w:val="none"/>
        </w:rPr>
      </w:pPr>
    </w:p>
    <w:p w14:paraId="5538D6E4">
      <w:pPr>
        <w:spacing w:before="78" w:line="219" w:lineRule="auto"/>
        <w:ind w:left="507"/>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一、质疑供应商基本信息：</w:t>
      </w:r>
    </w:p>
    <w:p w14:paraId="074EC614">
      <w:pPr>
        <w:spacing w:before="183" w:line="219" w:lineRule="auto"/>
        <w:ind w:left="502"/>
        <w:rPr>
          <w:rFonts w:hint="eastAsia"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rPr>
        <w:t>质疑供应商：</w:t>
      </w:r>
    </w:p>
    <w:p w14:paraId="14E04204">
      <w:pPr>
        <w:spacing w:before="180" w:line="220" w:lineRule="auto"/>
        <w:ind w:left="501"/>
        <w:rPr>
          <w:rFonts w:hint="eastAsia" w:ascii="宋体" w:hAnsi="宋体" w:eastAsia="宋体" w:cs="宋体"/>
          <w:color w:val="auto"/>
          <w:sz w:val="24"/>
          <w:szCs w:val="24"/>
          <w:highlight w:val="none"/>
          <w:lang w:eastAsia="zh-CN"/>
        </w:rPr>
      </w:pPr>
      <w:r>
        <w:rPr>
          <w:rFonts w:ascii="宋体" w:hAnsi="宋体" w:eastAsia="宋体" w:cs="宋体"/>
          <w:color w:val="auto"/>
          <w:spacing w:val="-3"/>
          <w:sz w:val="24"/>
          <w:szCs w:val="24"/>
          <w:highlight w:val="none"/>
        </w:rPr>
        <w:t>地址：</w:t>
      </w:r>
      <w:r>
        <w:rPr>
          <w:rFonts w:ascii="宋体" w:hAnsi="宋体" w:eastAsia="宋体" w:cs="宋体"/>
          <w:color w:val="auto"/>
          <w:spacing w:val="-4"/>
          <w:sz w:val="24"/>
          <w:szCs w:val="24"/>
          <w:highlight w:val="none"/>
        </w:rPr>
        <w:t>邮编：</w:t>
      </w:r>
    </w:p>
    <w:p w14:paraId="4EDBE7A5">
      <w:pPr>
        <w:spacing w:before="182" w:line="222" w:lineRule="auto"/>
        <w:ind w:left="502"/>
        <w:rPr>
          <w:rFonts w:hint="eastAsia"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rPr>
        <w:t>联系人：联系电话：</w:t>
      </w:r>
    </w:p>
    <w:p w14:paraId="5134799E">
      <w:pPr>
        <w:spacing w:before="176" w:line="220" w:lineRule="auto"/>
        <w:ind w:left="500"/>
        <w:rPr>
          <w:rFonts w:hint="eastAsia"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rPr>
        <w:t>授权代表：</w:t>
      </w:r>
    </w:p>
    <w:p w14:paraId="2154BF69">
      <w:pPr>
        <w:spacing w:before="183" w:line="222" w:lineRule="auto"/>
        <w:ind w:left="502"/>
        <w:rPr>
          <w:rFonts w:hint="eastAsia" w:ascii="宋体" w:hAnsi="宋体" w:eastAsia="宋体" w:cs="宋体"/>
          <w:color w:val="auto"/>
          <w:sz w:val="24"/>
          <w:szCs w:val="24"/>
          <w:highlight w:val="none"/>
          <w:lang w:eastAsia="zh-CN"/>
        </w:rPr>
      </w:pPr>
      <w:r>
        <w:rPr>
          <w:rFonts w:ascii="宋体" w:hAnsi="宋体" w:eastAsia="宋体" w:cs="宋体"/>
          <w:color w:val="auto"/>
          <w:spacing w:val="-3"/>
          <w:sz w:val="24"/>
          <w:szCs w:val="24"/>
          <w:highlight w:val="none"/>
        </w:rPr>
        <w:t>联系电话：</w:t>
      </w:r>
    </w:p>
    <w:p w14:paraId="3F375C16">
      <w:pPr>
        <w:spacing w:before="177" w:line="220" w:lineRule="auto"/>
        <w:ind w:left="501"/>
        <w:rPr>
          <w:rFonts w:hint="eastAsia"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rPr>
        <w:t>地址：邮编：</w:t>
      </w:r>
    </w:p>
    <w:p w14:paraId="42CDA975">
      <w:pPr>
        <w:spacing w:before="182" w:line="219" w:lineRule="auto"/>
        <w:ind w:left="507"/>
        <w:rPr>
          <w:rFonts w:ascii="宋体" w:hAnsi="宋体" w:eastAsia="宋体" w:cs="宋体"/>
          <w:color w:val="auto"/>
          <w:sz w:val="24"/>
          <w:szCs w:val="24"/>
          <w:highlight w:val="none"/>
        </w:rPr>
      </w:pPr>
      <w:r>
        <w:rPr>
          <w:rFonts w:ascii="宋体" w:hAnsi="宋体" w:eastAsia="宋体" w:cs="宋体"/>
          <w:b/>
          <w:bCs/>
          <w:color w:val="auto"/>
          <w:spacing w:val="-7"/>
          <w:sz w:val="24"/>
          <w:szCs w:val="24"/>
          <w:highlight w:val="none"/>
        </w:rPr>
        <w:t>二、质疑项目基本情况：</w:t>
      </w:r>
    </w:p>
    <w:p w14:paraId="10C2AFBD">
      <w:pPr>
        <w:spacing w:before="181" w:line="220" w:lineRule="auto"/>
        <w:ind w:left="519"/>
        <w:rPr>
          <w:rFonts w:hint="eastAsia"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rPr>
        <w:t>质疑项目的名称：</w:t>
      </w:r>
    </w:p>
    <w:p w14:paraId="2CBC7BA1">
      <w:pPr>
        <w:spacing w:before="181" w:line="220" w:lineRule="auto"/>
        <w:ind w:left="519"/>
        <w:rPr>
          <w:rFonts w:hint="eastAsia"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rPr>
        <w:t>质疑项目的编号：</w:t>
      </w:r>
    </w:p>
    <w:p w14:paraId="27CD1A25">
      <w:pPr>
        <w:spacing w:before="180" w:line="219" w:lineRule="auto"/>
        <w:ind w:left="517"/>
        <w:rPr>
          <w:rFonts w:hint="eastAsia"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rPr>
        <w:t>采购人名称：</w:t>
      </w:r>
    </w:p>
    <w:p w14:paraId="0F7BDBD2">
      <w:pPr>
        <w:spacing w:before="184" w:line="220" w:lineRule="auto"/>
        <w:ind w:left="519"/>
        <w:rPr>
          <w:rFonts w:ascii="宋体" w:hAnsi="宋体" w:eastAsia="宋体" w:cs="宋体"/>
          <w:color w:val="auto"/>
          <w:sz w:val="24"/>
          <w:szCs w:val="24"/>
          <w:highlight w:val="none"/>
        </w:rPr>
      </w:pPr>
      <w:r>
        <w:rPr>
          <w:rFonts w:ascii="宋体" w:hAnsi="宋体" w:eastAsia="宋体" w:cs="宋体"/>
          <w:color w:val="auto"/>
          <w:spacing w:val="-11"/>
          <w:sz w:val="24"/>
          <w:szCs w:val="24"/>
          <w:highlight w:val="none"/>
        </w:rPr>
        <w:t>质疑事项：</w:t>
      </w:r>
    </w:p>
    <w:p w14:paraId="508E85DC">
      <w:pPr>
        <w:spacing w:before="179" w:line="219" w:lineRule="auto"/>
        <w:ind w:left="422"/>
        <w:rPr>
          <w:rFonts w:hint="eastAsia" w:ascii="宋体" w:hAnsi="宋体" w:eastAsia="宋体" w:cs="宋体"/>
          <w:color w:val="auto"/>
          <w:sz w:val="24"/>
          <w:szCs w:val="24"/>
          <w:highlight w:val="none"/>
          <w:lang w:eastAsia="zh-CN"/>
        </w:rPr>
      </w:pPr>
      <w:r>
        <w:rPr>
          <w:rFonts w:ascii="宋体" w:hAnsi="宋体" w:eastAsia="宋体" w:cs="宋体"/>
          <w:color w:val="auto"/>
          <w:spacing w:val="-3"/>
          <w:sz w:val="24"/>
          <w:szCs w:val="24"/>
          <w:highlight w:val="none"/>
        </w:rPr>
        <w:t>□采购文件采购文件获取日期：</w:t>
      </w:r>
    </w:p>
    <w:p w14:paraId="07397AA6">
      <w:pPr>
        <w:spacing w:before="184" w:line="219" w:lineRule="auto"/>
        <w:ind w:left="422"/>
        <w:rPr>
          <w:rFonts w:ascii="宋体" w:hAnsi="宋体" w:eastAsia="宋体" w:cs="宋体"/>
          <w:color w:val="auto"/>
          <w:sz w:val="24"/>
          <w:szCs w:val="24"/>
          <w:highlight w:val="none"/>
        </w:rPr>
      </w:pPr>
      <w:r>
        <w:rPr>
          <w:rFonts w:ascii="宋体" w:hAnsi="宋体" w:eastAsia="宋体" w:cs="宋体"/>
          <w:color w:val="auto"/>
          <w:spacing w:val="-6"/>
          <w:sz w:val="24"/>
          <w:szCs w:val="24"/>
          <w:highlight w:val="none"/>
        </w:rPr>
        <w:t>□采购过程</w:t>
      </w:r>
    </w:p>
    <w:p w14:paraId="4BF01BC5">
      <w:pPr>
        <w:spacing w:before="181" w:line="220" w:lineRule="auto"/>
        <w:ind w:left="422"/>
        <w:rPr>
          <w:rFonts w:ascii="宋体" w:hAnsi="宋体" w:eastAsia="宋体" w:cs="宋体"/>
          <w:color w:val="auto"/>
          <w:sz w:val="24"/>
          <w:szCs w:val="24"/>
          <w:highlight w:val="none"/>
        </w:rPr>
      </w:pPr>
      <w:r>
        <w:rPr>
          <w:rFonts w:ascii="宋体" w:hAnsi="宋体" w:eastAsia="宋体" w:cs="宋体"/>
          <w:color w:val="auto"/>
          <w:spacing w:val="-6"/>
          <w:sz w:val="24"/>
          <w:szCs w:val="24"/>
          <w:highlight w:val="none"/>
        </w:rPr>
        <w:t>□成交结果</w:t>
      </w:r>
    </w:p>
    <w:p w14:paraId="30C5C27C">
      <w:pPr>
        <w:spacing w:before="182" w:line="220" w:lineRule="auto"/>
        <w:ind w:left="518"/>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三、质疑事项具体内容</w:t>
      </w:r>
    </w:p>
    <w:p w14:paraId="766BC433">
      <w:pPr>
        <w:spacing w:before="180" w:line="220" w:lineRule="auto"/>
        <w:ind w:left="519"/>
        <w:rPr>
          <w:rFonts w:hint="eastAsia"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rPr>
        <w:t>质疑事项1：</w:t>
      </w:r>
    </w:p>
    <w:p w14:paraId="3312FB77">
      <w:pPr>
        <w:spacing w:before="181" w:line="219" w:lineRule="auto"/>
        <w:ind w:left="518"/>
        <w:rPr>
          <w:rFonts w:hint="eastAsia"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rPr>
        <w:t>事实依据：</w:t>
      </w:r>
    </w:p>
    <w:p w14:paraId="629687E0">
      <w:pPr>
        <w:spacing w:before="185" w:line="359" w:lineRule="auto"/>
        <w:ind w:left="519"/>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法律依据：</w:t>
      </w:r>
      <w:r>
        <w:rPr>
          <w:rFonts w:ascii="宋体" w:hAnsi="宋体" w:eastAsia="宋体" w:cs="宋体"/>
          <w:color w:val="auto"/>
          <w:spacing w:val="-3"/>
          <w:sz w:val="24"/>
          <w:szCs w:val="24"/>
          <w:highlight w:val="none"/>
        </w:rPr>
        <w:t>质疑事项2</w:t>
      </w:r>
    </w:p>
    <w:p w14:paraId="35DD111C">
      <w:pPr>
        <w:spacing w:line="378" w:lineRule="exact"/>
        <w:ind w:left="533"/>
        <w:rPr>
          <w:rFonts w:ascii="宋体" w:hAnsi="宋体" w:eastAsia="宋体" w:cs="宋体"/>
          <w:color w:val="auto"/>
          <w:sz w:val="24"/>
          <w:szCs w:val="24"/>
          <w:highlight w:val="none"/>
        </w:rPr>
      </w:pPr>
      <w:r>
        <w:rPr>
          <w:rFonts w:ascii="宋体" w:hAnsi="宋体" w:eastAsia="宋体" w:cs="宋体"/>
          <w:color w:val="auto"/>
          <w:spacing w:val="-7"/>
          <w:position w:val="3"/>
          <w:sz w:val="24"/>
          <w:szCs w:val="24"/>
          <w:highlight w:val="none"/>
        </w:rPr>
        <w:t>……</w:t>
      </w:r>
    </w:p>
    <w:p w14:paraId="3E2DC131">
      <w:pPr>
        <w:spacing w:before="88" w:line="220" w:lineRule="auto"/>
        <w:ind w:left="540"/>
        <w:rPr>
          <w:rFonts w:ascii="宋体" w:hAnsi="宋体" w:eastAsia="宋体" w:cs="宋体"/>
          <w:color w:val="auto"/>
          <w:sz w:val="24"/>
          <w:szCs w:val="24"/>
          <w:highlight w:val="none"/>
        </w:rPr>
      </w:pPr>
      <w:r>
        <w:rPr>
          <w:rFonts w:ascii="宋体" w:hAnsi="宋体" w:eastAsia="宋体" w:cs="宋体"/>
          <w:color w:val="auto"/>
          <w:spacing w:val="-6"/>
          <w:sz w:val="24"/>
          <w:szCs w:val="24"/>
          <w:highlight w:val="none"/>
        </w:rPr>
        <w:t>四、与质疑事项相关的质疑请求：</w:t>
      </w:r>
    </w:p>
    <w:p w14:paraId="12A6FCC4">
      <w:pPr>
        <w:spacing w:before="182" w:line="220" w:lineRule="auto"/>
        <w:ind w:left="516"/>
        <w:rPr>
          <w:rFonts w:hint="eastAsia" w:ascii="宋体" w:hAnsi="宋体" w:eastAsia="宋体" w:cs="宋体"/>
          <w:color w:val="auto"/>
          <w:sz w:val="24"/>
          <w:szCs w:val="24"/>
          <w:highlight w:val="none"/>
          <w:lang w:eastAsia="zh-CN"/>
        </w:rPr>
      </w:pPr>
      <w:r>
        <w:rPr>
          <w:rFonts w:ascii="宋体" w:hAnsi="宋体" w:eastAsia="宋体" w:cs="宋体"/>
          <w:color w:val="auto"/>
          <w:spacing w:val="-3"/>
          <w:sz w:val="24"/>
          <w:szCs w:val="24"/>
          <w:highlight w:val="none"/>
        </w:rPr>
        <w:t>请求：</w:t>
      </w:r>
    </w:p>
    <w:p w14:paraId="1A042BF5">
      <w:pPr>
        <w:pStyle w:val="4"/>
        <w:spacing w:line="282" w:lineRule="auto"/>
        <w:rPr>
          <w:color w:val="auto"/>
          <w:highlight w:val="none"/>
        </w:rPr>
      </w:pPr>
    </w:p>
    <w:p w14:paraId="6ADA79F2">
      <w:pPr>
        <w:pStyle w:val="4"/>
        <w:spacing w:line="283" w:lineRule="auto"/>
        <w:rPr>
          <w:color w:val="auto"/>
          <w:highlight w:val="none"/>
        </w:rPr>
      </w:pPr>
    </w:p>
    <w:p w14:paraId="42C42C38">
      <w:pPr>
        <w:spacing w:before="78" w:line="219" w:lineRule="auto"/>
        <w:ind w:left="518"/>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签字（签章</w:t>
      </w:r>
      <w:r>
        <w:rPr>
          <w:rFonts w:ascii="宋体" w:hAnsi="宋体" w:eastAsia="宋体" w:cs="宋体"/>
          <w:color w:val="auto"/>
          <w:spacing w:val="-2"/>
          <w:sz w:val="24"/>
          <w:szCs w:val="24"/>
          <w:highlight w:val="none"/>
        </w:rPr>
        <w:t>）：</w:t>
      </w:r>
      <w:r>
        <w:rPr>
          <w:rFonts w:ascii="宋体" w:hAnsi="宋体" w:eastAsia="宋体" w:cs="宋体"/>
          <w:color w:val="auto"/>
          <w:spacing w:val="-7"/>
          <w:sz w:val="24"/>
          <w:szCs w:val="24"/>
          <w:highlight w:val="none"/>
        </w:rPr>
        <w:t>公章：</w:t>
      </w:r>
    </w:p>
    <w:p w14:paraId="7E87CAF2">
      <w:pPr>
        <w:spacing w:before="182" w:line="220" w:lineRule="auto"/>
        <w:ind w:left="542"/>
        <w:rPr>
          <w:rFonts w:ascii="宋体" w:hAnsi="宋体" w:eastAsia="宋体" w:cs="宋体"/>
          <w:color w:val="auto"/>
          <w:sz w:val="24"/>
          <w:szCs w:val="24"/>
          <w:highlight w:val="none"/>
        </w:rPr>
      </w:pPr>
      <w:r>
        <w:rPr>
          <w:rFonts w:ascii="宋体" w:hAnsi="宋体" w:eastAsia="宋体" w:cs="宋体"/>
          <w:color w:val="auto"/>
          <w:spacing w:val="-24"/>
          <w:sz w:val="24"/>
          <w:szCs w:val="24"/>
          <w:highlight w:val="none"/>
        </w:rPr>
        <w:t>日期：</w:t>
      </w:r>
    </w:p>
    <w:p w14:paraId="72BB4552">
      <w:pPr>
        <w:spacing w:before="181" w:line="220" w:lineRule="auto"/>
        <w:ind w:left="24"/>
        <w:rPr>
          <w:rFonts w:ascii="宋体" w:hAnsi="宋体" w:eastAsia="宋体" w:cs="宋体"/>
          <w:color w:val="auto"/>
          <w:sz w:val="24"/>
          <w:szCs w:val="24"/>
          <w:highlight w:val="none"/>
        </w:rPr>
      </w:pPr>
      <w:r>
        <w:rPr>
          <w:rFonts w:ascii="宋体" w:hAnsi="宋体" w:eastAsia="宋体" w:cs="宋体"/>
          <w:b/>
          <w:bCs/>
          <w:color w:val="auto"/>
          <w:spacing w:val="-16"/>
          <w:sz w:val="24"/>
          <w:szCs w:val="24"/>
          <w:highlight w:val="none"/>
        </w:rPr>
        <w:t>说明：</w:t>
      </w:r>
    </w:p>
    <w:p w14:paraId="33F8CD64">
      <w:pPr>
        <w:spacing w:line="220" w:lineRule="auto"/>
        <w:rPr>
          <w:rFonts w:ascii="宋体" w:hAnsi="宋体" w:eastAsia="宋体" w:cs="宋体"/>
          <w:color w:val="auto"/>
          <w:sz w:val="24"/>
          <w:szCs w:val="24"/>
          <w:highlight w:val="none"/>
        </w:rPr>
        <w:sectPr>
          <w:footerReference r:id="rId55" w:type="default"/>
          <w:pgSz w:w="11907" w:h="16841"/>
          <w:pgMar w:top="1431" w:right="1272" w:bottom="1219" w:left="1785" w:header="0" w:footer="1019" w:gutter="0"/>
          <w:cols w:space="720" w:num="1"/>
        </w:sectPr>
      </w:pPr>
    </w:p>
    <w:p w14:paraId="0A2F528E">
      <w:pPr>
        <w:spacing w:before="47" w:line="219" w:lineRule="auto"/>
        <w:ind w:left="418"/>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1.供应商提出质疑时，应提交质疑函和必要的证明材料。</w:t>
      </w:r>
    </w:p>
    <w:p w14:paraId="30BE2B5F">
      <w:pPr>
        <w:spacing w:before="182" w:line="313" w:lineRule="auto"/>
        <w:ind w:left="49" w:firstLine="354"/>
        <w:rPr>
          <w:rFonts w:ascii="宋体" w:hAnsi="宋体" w:eastAsia="宋体" w:cs="宋体"/>
          <w:color w:val="auto"/>
          <w:sz w:val="24"/>
          <w:szCs w:val="24"/>
          <w:highlight w:val="none"/>
        </w:rPr>
      </w:pPr>
      <w:r>
        <w:rPr>
          <w:rFonts w:ascii="宋体" w:hAnsi="宋体" w:eastAsia="宋体" w:cs="宋体"/>
          <w:b/>
          <w:bCs/>
          <w:color w:val="auto"/>
          <w:spacing w:val="-1"/>
          <w:sz w:val="24"/>
          <w:szCs w:val="24"/>
          <w:highlight w:val="none"/>
        </w:rPr>
        <w:t>2.质疑供应商若委托代理人进行质疑的，质</w:t>
      </w:r>
      <w:r>
        <w:rPr>
          <w:rFonts w:ascii="宋体" w:hAnsi="宋体" w:eastAsia="宋体" w:cs="宋体"/>
          <w:b/>
          <w:bCs/>
          <w:color w:val="auto"/>
          <w:spacing w:val="-2"/>
          <w:sz w:val="24"/>
          <w:szCs w:val="24"/>
          <w:highlight w:val="none"/>
        </w:rPr>
        <w:t>疑函应按要求列明“授权代表”的有</w:t>
      </w:r>
      <w:r>
        <w:rPr>
          <w:rFonts w:ascii="宋体" w:hAnsi="宋体" w:eastAsia="宋体" w:cs="宋体"/>
          <w:b/>
          <w:bCs/>
          <w:color w:val="auto"/>
          <w:spacing w:val="-5"/>
          <w:sz w:val="24"/>
          <w:szCs w:val="24"/>
          <w:highlight w:val="none"/>
        </w:rPr>
        <w:t>关内容，并在附件中提交由质疑供应商签署的授权委托书。授权委托书应载明代理人</w:t>
      </w:r>
      <w:r>
        <w:rPr>
          <w:rFonts w:ascii="宋体" w:hAnsi="宋体" w:eastAsia="宋体" w:cs="宋体"/>
          <w:b/>
          <w:bCs/>
          <w:color w:val="auto"/>
          <w:spacing w:val="-3"/>
          <w:sz w:val="24"/>
          <w:szCs w:val="24"/>
          <w:highlight w:val="none"/>
        </w:rPr>
        <w:t>的姓名或者名称、代理事项、具体权限、期限和</w:t>
      </w:r>
      <w:r>
        <w:rPr>
          <w:rFonts w:ascii="宋体" w:hAnsi="宋体" w:eastAsia="宋体" w:cs="宋体"/>
          <w:b/>
          <w:bCs/>
          <w:color w:val="auto"/>
          <w:spacing w:val="-4"/>
          <w:sz w:val="24"/>
          <w:szCs w:val="24"/>
          <w:highlight w:val="none"/>
        </w:rPr>
        <w:t>相关事项。</w:t>
      </w:r>
    </w:p>
    <w:p w14:paraId="309B8E8D">
      <w:pPr>
        <w:spacing w:before="179" w:line="219" w:lineRule="auto"/>
        <w:ind w:left="405"/>
        <w:rPr>
          <w:rFonts w:ascii="宋体" w:hAnsi="宋体" w:eastAsia="宋体" w:cs="宋体"/>
          <w:color w:val="auto"/>
          <w:sz w:val="24"/>
          <w:szCs w:val="24"/>
          <w:highlight w:val="none"/>
        </w:rPr>
      </w:pPr>
      <w:r>
        <w:rPr>
          <w:rFonts w:ascii="宋体" w:hAnsi="宋体" w:eastAsia="宋体" w:cs="宋体"/>
          <w:b/>
          <w:bCs/>
          <w:color w:val="auto"/>
          <w:spacing w:val="-9"/>
          <w:sz w:val="24"/>
          <w:szCs w:val="24"/>
          <w:highlight w:val="none"/>
        </w:rPr>
        <w:t>3.质疑函的质疑事项应具体、明确，并有必要的事实依据和法律依据。</w:t>
      </w:r>
    </w:p>
    <w:p w14:paraId="0FD99FF3">
      <w:pPr>
        <w:spacing w:before="183" w:line="220" w:lineRule="auto"/>
        <w:ind w:left="399"/>
        <w:rPr>
          <w:rFonts w:ascii="宋体" w:hAnsi="宋体" w:eastAsia="宋体" w:cs="宋体"/>
          <w:color w:val="auto"/>
          <w:sz w:val="24"/>
          <w:szCs w:val="24"/>
          <w:highlight w:val="none"/>
        </w:rPr>
      </w:pPr>
      <w:r>
        <w:rPr>
          <w:rFonts w:ascii="宋体" w:hAnsi="宋体" w:eastAsia="宋体" w:cs="宋体"/>
          <w:b/>
          <w:bCs/>
          <w:color w:val="auto"/>
          <w:spacing w:val="-4"/>
          <w:sz w:val="24"/>
          <w:szCs w:val="24"/>
          <w:highlight w:val="none"/>
        </w:rPr>
        <w:t>4.质疑函的质疑请求应与质疑事项相关。</w:t>
      </w:r>
    </w:p>
    <w:p w14:paraId="5159BE07">
      <w:pPr>
        <w:spacing w:before="181" w:line="289" w:lineRule="auto"/>
        <w:ind w:left="47" w:right="11" w:firstLine="358"/>
        <w:rPr>
          <w:rFonts w:ascii="宋体" w:hAnsi="宋体" w:eastAsia="宋体" w:cs="宋体"/>
          <w:color w:val="auto"/>
          <w:sz w:val="24"/>
          <w:szCs w:val="24"/>
          <w:highlight w:val="none"/>
        </w:rPr>
      </w:pPr>
      <w:r>
        <w:rPr>
          <w:rFonts w:ascii="宋体" w:hAnsi="宋体" w:eastAsia="宋体" w:cs="宋体"/>
          <w:b/>
          <w:bCs/>
          <w:color w:val="auto"/>
          <w:spacing w:val="-2"/>
          <w:sz w:val="24"/>
          <w:szCs w:val="24"/>
          <w:highlight w:val="none"/>
        </w:rPr>
        <w:t>5.质疑供应商为法人或者其他组织的，质疑函应由法定代表人、主要负责人，或</w:t>
      </w:r>
      <w:r>
        <w:rPr>
          <w:rFonts w:ascii="宋体" w:hAnsi="宋体" w:eastAsia="宋体" w:cs="宋体"/>
          <w:b/>
          <w:bCs/>
          <w:color w:val="auto"/>
          <w:spacing w:val="-3"/>
          <w:sz w:val="24"/>
          <w:szCs w:val="24"/>
          <w:highlight w:val="none"/>
        </w:rPr>
        <w:t>者其授权代表签字或者盖章，并加盖公章。</w:t>
      </w:r>
    </w:p>
    <w:p w14:paraId="59285220">
      <w:pPr>
        <w:spacing w:line="289" w:lineRule="auto"/>
        <w:rPr>
          <w:rFonts w:ascii="宋体" w:hAnsi="宋体" w:eastAsia="宋体" w:cs="宋体"/>
          <w:color w:val="auto"/>
          <w:sz w:val="24"/>
          <w:szCs w:val="24"/>
          <w:highlight w:val="none"/>
        </w:rPr>
        <w:sectPr>
          <w:footerReference r:id="rId56" w:type="default"/>
          <w:pgSz w:w="11907" w:h="16841"/>
          <w:pgMar w:top="1428" w:right="1276" w:bottom="1219" w:left="1785" w:header="0" w:footer="1019" w:gutter="0"/>
          <w:cols w:space="720" w:num="1"/>
        </w:sectPr>
      </w:pPr>
    </w:p>
    <w:p w14:paraId="651A7CDE">
      <w:pPr>
        <w:pStyle w:val="4"/>
        <w:spacing w:line="332" w:lineRule="auto"/>
        <w:rPr>
          <w:color w:val="auto"/>
          <w:highlight w:val="none"/>
        </w:rPr>
      </w:pPr>
    </w:p>
    <w:p w14:paraId="5B80C197">
      <w:pPr>
        <w:spacing w:before="140" w:line="220" w:lineRule="auto"/>
        <w:ind w:left="2897"/>
        <w:rPr>
          <w:rFonts w:ascii="宋体" w:hAnsi="宋体" w:eastAsia="宋体" w:cs="宋体"/>
          <w:color w:val="auto"/>
          <w:sz w:val="43"/>
          <w:szCs w:val="43"/>
          <w:highlight w:val="none"/>
        </w:rPr>
      </w:pPr>
      <w:r>
        <w:rPr>
          <w:rFonts w:ascii="宋体" w:hAnsi="宋体" w:eastAsia="宋体" w:cs="宋体"/>
          <w:b/>
          <w:bCs/>
          <w:color w:val="auto"/>
          <w:spacing w:val="6"/>
          <w:sz w:val="43"/>
          <w:szCs w:val="43"/>
          <w:highlight w:val="none"/>
        </w:rPr>
        <w:t>投诉书（格式）</w:t>
      </w:r>
    </w:p>
    <w:p w14:paraId="37AD093A">
      <w:pPr>
        <w:pStyle w:val="4"/>
        <w:spacing w:line="369" w:lineRule="auto"/>
        <w:rPr>
          <w:color w:val="auto"/>
          <w:highlight w:val="none"/>
        </w:rPr>
      </w:pPr>
    </w:p>
    <w:p w14:paraId="5A42A4A6">
      <w:pPr>
        <w:spacing w:before="78" w:line="219" w:lineRule="auto"/>
        <w:ind w:left="507"/>
        <w:rPr>
          <w:rFonts w:ascii="宋体" w:hAnsi="宋体" w:eastAsia="宋体" w:cs="宋体"/>
          <w:color w:val="auto"/>
          <w:sz w:val="24"/>
          <w:szCs w:val="24"/>
          <w:highlight w:val="none"/>
        </w:rPr>
      </w:pPr>
      <w:r>
        <w:rPr>
          <w:rFonts w:ascii="宋体" w:hAnsi="宋体" w:eastAsia="宋体" w:cs="宋体"/>
          <w:b/>
          <w:bCs/>
          <w:color w:val="auto"/>
          <w:spacing w:val="-5"/>
          <w:sz w:val="24"/>
          <w:szCs w:val="24"/>
          <w:highlight w:val="none"/>
        </w:rPr>
        <w:t>一、投诉相关主体基本情况：</w:t>
      </w:r>
    </w:p>
    <w:p w14:paraId="00CCE713">
      <w:pPr>
        <w:spacing w:before="180" w:line="219" w:lineRule="auto"/>
        <w:ind w:left="501"/>
        <w:rPr>
          <w:rFonts w:hint="eastAsia" w:ascii="宋体" w:hAnsi="宋体" w:eastAsia="宋体" w:cs="宋体"/>
          <w:color w:val="auto"/>
          <w:sz w:val="24"/>
          <w:szCs w:val="24"/>
          <w:highlight w:val="none"/>
          <w:lang w:eastAsia="zh-CN"/>
        </w:rPr>
      </w:pPr>
      <w:r>
        <w:rPr>
          <w:rFonts w:ascii="宋体" w:hAnsi="宋体" w:eastAsia="宋体" w:cs="宋体"/>
          <w:color w:val="auto"/>
          <w:spacing w:val="-3"/>
          <w:sz w:val="24"/>
          <w:szCs w:val="24"/>
          <w:highlight w:val="none"/>
        </w:rPr>
        <w:t>供应商：</w:t>
      </w:r>
    </w:p>
    <w:p w14:paraId="2B80701C">
      <w:pPr>
        <w:spacing w:before="183" w:line="220" w:lineRule="auto"/>
        <w:ind w:left="501"/>
        <w:rPr>
          <w:rFonts w:hint="eastAsia" w:ascii="宋体" w:hAnsi="宋体" w:eastAsia="宋体" w:cs="宋体"/>
          <w:color w:val="auto"/>
          <w:sz w:val="24"/>
          <w:szCs w:val="24"/>
          <w:highlight w:val="none"/>
          <w:lang w:eastAsia="zh-CN"/>
        </w:rPr>
      </w:pPr>
      <w:r>
        <w:rPr>
          <w:rFonts w:ascii="宋体" w:hAnsi="宋体" w:eastAsia="宋体" w:cs="宋体"/>
          <w:color w:val="auto"/>
          <w:spacing w:val="-3"/>
          <w:sz w:val="24"/>
          <w:szCs w:val="24"/>
          <w:highlight w:val="none"/>
        </w:rPr>
        <w:t>地址：</w:t>
      </w:r>
      <w:r>
        <w:rPr>
          <w:rFonts w:ascii="宋体" w:hAnsi="宋体" w:eastAsia="宋体" w:cs="宋体"/>
          <w:color w:val="auto"/>
          <w:spacing w:val="-4"/>
          <w:sz w:val="24"/>
          <w:szCs w:val="24"/>
          <w:highlight w:val="none"/>
        </w:rPr>
        <w:t>邮编：</w:t>
      </w:r>
    </w:p>
    <w:p w14:paraId="1158A7D5">
      <w:pPr>
        <w:spacing w:before="179" w:line="220" w:lineRule="auto"/>
        <w:ind w:left="502"/>
        <w:rPr>
          <w:rFonts w:hint="eastAsia"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rPr>
        <w:t>法定代表人/主要负责人：</w:t>
      </w:r>
    </w:p>
    <w:p w14:paraId="6182B1C7">
      <w:pPr>
        <w:spacing w:before="182" w:line="222" w:lineRule="auto"/>
        <w:ind w:left="502"/>
        <w:rPr>
          <w:rFonts w:hint="eastAsia" w:ascii="宋体" w:hAnsi="宋体" w:eastAsia="宋体" w:cs="宋体"/>
          <w:color w:val="auto"/>
          <w:sz w:val="24"/>
          <w:szCs w:val="24"/>
          <w:highlight w:val="none"/>
          <w:lang w:eastAsia="zh-CN"/>
        </w:rPr>
      </w:pPr>
      <w:r>
        <w:rPr>
          <w:rFonts w:ascii="宋体" w:hAnsi="宋体" w:eastAsia="宋体" w:cs="宋体"/>
          <w:color w:val="auto"/>
          <w:spacing w:val="-3"/>
          <w:sz w:val="24"/>
          <w:szCs w:val="24"/>
          <w:highlight w:val="none"/>
        </w:rPr>
        <w:t>联系电话：</w:t>
      </w:r>
    </w:p>
    <w:p w14:paraId="6BD1A182">
      <w:pPr>
        <w:spacing w:before="178" w:line="220" w:lineRule="auto"/>
        <w:ind w:left="500"/>
        <w:rPr>
          <w:rFonts w:hint="eastAsia"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rPr>
        <w:t>授权代表：联系电话：</w:t>
      </w:r>
    </w:p>
    <w:p w14:paraId="4949663F">
      <w:pPr>
        <w:spacing w:before="182" w:line="229" w:lineRule="auto"/>
        <w:ind w:left="501"/>
        <w:rPr>
          <w:rFonts w:hint="eastAsia"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rPr>
        <w:t>地址：</w:t>
      </w:r>
    </w:p>
    <w:p w14:paraId="75110506">
      <w:pPr>
        <w:spacing w:before="170" w:line="220" w:lineRule="auto"/>
        <w:ind w:left="519"/>
        <w:rPr>
          <w:rFonts w:hint="eastAsia" w:ascii="宋体" w:hAnsi="宋体" w:eastAsia="宋体" w:cs="宋体"/>
          <w:color w:val="auto"/>
          <w:sz w:val="24"/>
          <w:szCs w:val="24"/>
          <w:highlight w:val="none"/>
          <w:lang w:eastAsia="zh-CN"/>
        </w:rPr>
      </w:pPr>
      <w:r>
        <w:rPr>
          <w:rFonts w:ascii="宋体" w:hAnsi="宋体" w:eastAsia="宋体" w:cs="宋体"/>
          <w:color w:val="auto"/>
          <w:spacing w:val="-10"/>
          <w:sz w:val="24"/>
          <w:szCs w:val="24"/>
          <w:highlight w:val="none"/>
        </w:rPr>
        <w:t>邮编：</w:t>
      </w:r>
    </w:p>
    <w:p w14:paraId="58FC9B93">
      <w:pPr>
        <w:spacing w:before="180" w:line="220" w:lineRule="auto"/>
        <w:ind w:left="501"/>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被投诉人1：</w:t>
      </w:r>
    </w:p>
    <w:p w14:paraId="3700CD69">
      <w:pPr>
        <w:spacing w:before="182" w:line="229" w:lineRule="auto"/>
        <w:ind w:left="501"/>
        <w:rPr>
          <w:rFonts w:hint="eastAsia"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rPr>
        <w:t>地址：</w:t>
      </w:r>
    </w:p>
    <w:p w14:paraId="2A1B7AAA">
      <w:pPr>
        <w:spacing w:before="168" w:line="220" w:lineRule="auto"/>
        <w:ind w:left="519"/>
        <w:rPr>
          <w:rFonts w:hint="eastAsia" w:ascii="宋体" w:hAnsi="宋体" w:eastAsia="宋体" w:cs="宋体"/>
          <w:color w:val="auto"/>
          <w:sz w:val="24"/>
          <w:szCs w:val="24"/>
          <w:highlight w:val="none"/>
          <w:lang w:eastAsia="zh-CN"/>
        </w:rPr>
      </w:pPr>
      <w:r>
        <w:rPr>
          <w:rFonts w:ascii="宋体" w:hAnsi="宋体" w:eastAsia="宋体" w:cs="宋体"/>
          <w:color w:val="auto"/>
          <w:spacing w:val="-10"/>
          <w:sz w:val="24"/>
          <w:szCs w:val="24"/>
          <w:highlight w:val="none"/>
        </w:rPr>
        <w:t>邮编：</w:t>
      </w:r>
    </w:p>
    <w:p w14:paraId="255957D3">
      <w:pPr>
        <w:spacing w:before="182" w:line="222" w:lineRule="auto"/>
        <w:ind w:left="502"/>
        <w:rPr>
          <w:rFonts w:hint="eastAsia"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rPr>
        <w:t>联系人：联系电话</w:t>
      </w:r>
      <w:r>
        <w:rPr>
          <w:rFonts w:ascii="宋体" w:hAnsi="宋体" w:eastAsia="宋体" w:cs="宋体"/>
          <w:color w:val="auto"/>
          <w:spacing w:val="-2"/>
          <w:sz w:val="24"/>
          <w:szCs w:val="24"/>
          <w:highlight w:val="none"/>
        </w:rPr>
        <w:t>：</w:t>
      </w:r>
    </w:p>
    <w:p w14:paraId="1852083C">
      <w:pPr>
        <w:spacing w:before="177" w:line="220" w:lineRule="auto"/>
        <w:ind w:left="501"/>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被投诉人2：</w:t>
      </w:r>
    </w:p>
    <w:p w14:paraId="00659ED0">
      <w:pPr>
        <w:spacing w:before="183" w:line="378" w:lineRule="exact"/>
        <w:ind w:left="516"/>
        <w:rPr>
          <w:rFonts w:ascii="宋体" w:hAnsi="宋体" w:eastAsia="宋体" w:cs="宋体"/>
          <w:color w:val="auto"/>
          <w:sz w:val="24"/>
          <w:szCs w:val="24"/>
          <w:highlight w:val="none"/>
        </w:rPr>
      </w:pPr>
      <w:r>
        <w:rPr>
          <w:rFonts w:ascii="宋体" w:hAnsi="宋体" w:eastAsia="宋体" w:cs="宋体"/>
          <w:color w:val="auto"/>
          <w:spacing w:val="-7"/>
          <w:position w:val="3"/>
          <w:sz w:val="24"/>
          <w:szCs w:val="24"/>
          <w:highlight w:val="none"/>
        </w:rPr>
        <w:t>……</w:t>
      </w:r>
    </w:p>
    <w:p w14:paraId="4EA84721">
      <w:pPr>
        <w:spacing w:before="87" w:line="219" w:lineRule="auto"/>
        <w:ind w:left="501"/>
        <w:rPr>
          <w:rFonts w:hint="eastAsia"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rPr>
        <w:t>相关供应商：</w:t>
      </w:r>
    </w:p>
    <w:p w14:paraId="4EE4955D">
      <w:pPr>
        <w:spacing w:before="183" w:line="220" w:lineRule="auto"/>
        <w:ind w:left="501"/>
        <w:rPr>
          <w:rFonts w:hint="eastAsia" w:ascii="宋体" w:hAnsi="宋体" w:eastAsia="宋体" w:cs="宋体"/>
          <w:color w:val="auto"/>
          <w:sz w:val="24"/>
          <w:szCs w:val="24"/>
          <w:highlight w:val="none"/>
          <w:lang w:eastAsia="zh-CN"/>
        </w:rPr>
      </w:pPr>
      <w:r>
        <w:rPr>
          <w:rFonts w:ascii="宋体" w:hAnsi="宋体" w:eastAsia="宋体" w:cs="宋体"/>
          <w:color w:val="auto"/>
          <w:spacing w:val="-3"/>
          <w:sz w:val="24"/>
          <w:szCs w:val="24"/>
          <w:highlight w:val="none"/>
        </w:rPr>
        <w:t>地址：邮编：</w:t>
      </w:r>
    </w:p>
    <w:p w14:paraId="4579BDFD">
      <w:pPr>
        <w:spacing w:before="180" w:line="222" w:lineRule="auto"/>
        <w:ind w:left="502"/>
        <w:rPr>
          <w:rFonts w:hint="eastAsia"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rPr>
        <w:t>联系人：联系电话：</w:t>
      </w:r>
    </w:p>
    <w:p w14:paraId="6EC09DC6">
      <w:pPr>
        <w:spacing w:before="179" w:line="219" w:lineRule="auto"/>
        <w:ind w:left="507"/>
        <w:rPr>
          <w:rFonts w:ascii="宋体" w:hAnsi="宋体" w:eastAsia="宋体" w:cs="宋体"/>
          <w:color w:val="auto"/>
          <w:sz w:val="24"/>
          <w:szCs w:val="24"/>
          <w:highlight w:val="none"/>
        </w:rPr>
      </w:pPr>
      <w:r>
        <w:rPr>
          <w:rFonts w:ascii="宋体" w:hAnsi="宋体" w:eastAsia="宋体" w:cs="宋体"/>
          <w:b/>
          <w:bCs/>
          <w:color w:val="auto"/>
          <w:spacing w:val="-7"/>
          <w:sz w:val="24"/>
          <w:szCs w:val="24"/>
          <w:highlight w:val="none"/>
        </w:rPr>
        <w:t>二、投诉项目基本情况：</w:t>
      </w:r>
    </w:p>
    <w:p w14:paraId="4C623D50">
      <w:pPr>
        <w:spacing w:before="181" w:line="219" w:lineRule="auto"/>
        <w:ind w:left="517"/>
        <w:rPr>
          <w:rFonts w:hint="eastAsia"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rPr>
        <w:t>采购项目的名称：</w:t>
      </w:r>
    </w:p>
    <w:p w14:paraId="286DDF12">
      <w:pPr>
        <w:spacing w:before="183" w:line="219" w:lineRule="auto"/>
        <w:ind w:left="517"/>
        <w:rPr>
          <w:rFonts w:hint="eastAsia"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rPr>
        <w:t>采购项目的编号：</w:t>
      </w:r>
    </w:p>
    <w:p w14:paraId="635CC32D">
      <w:pPr>
        <w:spacing w:before="181" w:line="219" w:lineRule="auto"/>
        <w:ind w:left="517"/>
        <w:rPr>
          <w:rFonts w:hint="eastAsia"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rPr>
        <w:t>采购人名称：</w:t>
      </w:r>
    </w:p>
    <w:p w14:paraId="09AF4CC5">
      <w:pPr>
        <w:spacing w:before="184" w:line="219" w:lineRule="auto"/>
        <w:ind w:left="517"/>
        <w:rPr>
          <w:rFonts w:hint="eastAsia"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rPr>
        <w:t>代理机构名称：</w:t>
      </w:r>
    </w:p>
    <w:p w14:paraId="68098F0B">
      <w:pPr>
        <w:spacing w:before="181" w:line="218" w:lineRule="auto"/>
        <w:ind w:left="517"/>
        <w:rPr>
          <w:rFonts w:hint="eastAsia"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rPr>
        <w:t>采购文件公告：</w:t>
      </w:r>
      <w:r>
        <w:rPr>
          <w:rFonts w:ascii="宋体" w:hAnsi="宋体" w:eastAsia="宋体" w:cs="宋体"/>
          <w:color w:val="auto"/>
          <w:spacing w:val="-1"/>
          <w:sz w:val="24"/>
          <w:szCs w:val="24"/>
          <w:highlight w:val="none"/>
          <w:u w:val="single" w:color="auto"/>
        </w:rPr>
        <w:t>是/否</w:t>
      </w:r>
      <w:r>
        <w:rPr>
          <w:rFonts w:ascii="宋体" w:hAnsi="宋体" w:eastAsia="宋体" w:cs="宋体"/>
          <w:color w:val="auto"/>
          <w:spacing w:val="-1"/>
          <w:sz w:val="24"/>
          <w:szCs w:val="24"/>
          <w:highlight w:val="none"/>
        </w:rPr>
        <w:t>公告期限：</w:t>
      </w:r>
    </w:p>
    <w:p w14:paraId="6C6AC6A5">
      <w:pPr>
        <w:spacing w:before="185" w:line="218" w:lineRule="auto"/>
        <w:ind w:left="517"/>
        <w:rPr>
          <w:rFonts w:hint="eastAsia"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rPr>
        <w:t>采购结果公告：</w:t>
      </w:r>
      <w:r>
        <w:rPr>
          <w:rFonts w:ascii="宋体" w:hAnsi="宋体" w:eastAsia="宋体" w:cs="宋体"/>
          <w:color w:val="auto"/>
          <w:spacing w:val="-1"/>
          <w:sz w:val="24"/>
          <w:szCs w:val="24"/>
          <w:highlight w:val="none"/>
          <w:u w:val="single" w:color="auto"/>
        </w:rPr>
        <w:t>是/否</w:t>
      </w:r>
      <w:r>
        <w:rPr>
          <w:rFonts w:ascii="宋体" w:hAnsi="宋体" w:eastAsia="宋体" w:cs="宋体"/>
          <w:color w:val="auto"/>
          <w:spacing w:val="-1"/>
          <w:sz w:val="24"/>
          <w:szCs w:val="24"/>
          <w:highlight w:val="none"/>
        </w:rPr>
        <w:t>公告期限：</w:t>
      </w:r>
    </w:p>
    <w:p w14:paraId="39064A25">
      <w:pPr>
        <w:spacing w:before="184" w:line="219" w:lineRule="auto"/>
        <w:ind w:left="518"/>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三、质疑基本情况</w:t>
      </w:r>
    </w:p>
    <w:p w14:paraId="2347C466">
      <w:pPr>
        <w:spacing w:before="182" w:line="362" w:lineRule="auto"/>
        <w:ind w:left="24" w:right="2" w:firstLine="479"/>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投诉人于年月日，向提出质</w:t>
      </w:r>
      <w:r>
        <w:rPr>
          <w:rFonts w:ascii="宋体" w:hAnsi="宋体" w:eastAsia="宋体" w:cs="宋体"/>
          <w:color w:val="auto"/>
          <w:spacing w:val="-8"/>
          <w:sz w:val="24"/>
          <w:szCs w:val="24"/>
          <w:highlight w:val="none"/>
        </w:rPr>
        <w:t>疑，质疑事项为：</w:t>
      </w:r>
    </w:p>
    <w:p w14:paraId="0F356516">
      <w:pPr>
        <w:spacing w:line="362" w:lineRule="auto"/>
        <w:rPr>
          <w:rFonts w:ascii="宋体" w:hAnsi="宋体" w:eastAsia="宋体" w:cs="宋体"/>
          <w:color w:val="auto"/>
          <w:sz w:val="24"/>
          <w:szCs w:val="24"/>
          <w:highlight w:val="none"/>
        </w:rPr>
        <w:sectPr>
          <w:footerReference r:id="rId57" w:type="default"/>
          <w:pgSz w:w="11907" w:h="16841"/>
          <w:pgMar w:top="1431" w:right="1272" w:bottom="1219" w:left="1785" w:header="0" w:footer="1019" w:gutter="0"/>
          <w:cols w:space="720" w:num="1"/>
        </w:sectPr>
      </w:pPr>
    </w:p>
    <w:p w14:paraId="18981BF5">
      <w:pPr>
        <w:pStyle w:val="4"/>
        <w:spacing w:line="432" w:lineRule="auto"/>
        <w:rPr>
          <w:color w:val="auto"/>
          <w:highlight w:val="none"/>
        </w:rPr>
      </w:pPr>
      <w:r>
        <w:rPr>
          <w:color w:val="auto"/>
          <w:highlight w:val="none"/>
        </w:rPr>
        <w:pict>
          <v:shape id="_x0000_s1034" o:spid="_x0000_s1034" style="position:absolute;left:0pt;margin-left:36.6pt;margin-top:14.2pt;height:0.6pt;width:405.8pt;z-index:251667456;mso-width-relative:page;mso-height-relative:page;" fillcolor="#000000" filled="t" stroked="f" coordsize="8115,12" path="m0,11l8115,11,8115,0,0,0,0,11xe">
            <v:path/>
            <v:fill on="t" focussize="0,0"/>
            <v:stroke on="f"/>
            <v:imagedata o:title=""/>
            <o:lock v:ext="edit"/>
          </v:shape>
        </w:pict>
      </w:r>
    </w:p>
    <w:p w14:paraId="6FE1B40E">
      <w:pPr>
        <w:spacing w:before="78" w:line="359" w:lineRule="auto"/>
        <w:ind w:left="38" w:firstLine="462"/>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u w:val="single" w:color="auto"/>
        </w:rPr>
        <w:t>采购人/代理机构</w:t>
      </w:r>
      <w:r>
        <w:rPr>
          <w:rFonts w:ascii="宋体" w:hAnsi="宋体" w:eastAsia="宋体" w:cs="宋体"/>
          <w:color w:val="auto"/>
          <w:spacing w:val="-3"/>
          <w:sz w:val="24"/>
          <w:szCs w:val="24"/>
          <w:highlight w:val="none"/>
        </w:rPr>
        <w:t>于年月日，就质疑事项作出了答复/没</w:t>
      </w:r>
      <w:r>
        <w:rPr>
          <w:rFonts w:ascii="宋体" w:hAnsi="宋体" w:eastAsia="宋体" w:cs="宋体"/>
          <w:color w:val="auto"/>
          <w:spacing w:val="-4"/>
          <w:sz w:val="24"/>
          <w:szCs w:val="24"/>
          <w:highlight w:val="none"/>
        </w:rPr>
        <w:t>有在法定期</w:t>
      </w:r>
      <w:r>
        <w:rPr>
          <w:rFonts w:ascii="宋体" w:hAnsi="宋体" w:eastAsia="宋体" w:cs="宋体"/>
          <w:color w:val="auto"/>
          <w:spacing w:val="-8"/>
          <w:sz w:val="24"/>
          <w:szCs w:val="24"/>
          <w:highlight w:val="none"/>
        </w:rPr>
        <w:t>限内作出答复。</w:t>
      </w:r>
    </w:p>
    <w:p w14:paraId="1FC376DD">
      <w:pPr>
        <w:spacing w:line="219" w:lineRule="auto"/>
        <w:ind w:left="540"/>
        <w:rPr>
          <w:rFonts w:ascii="宋体" w:hAnsi="宋体" w:eastAsia="宋体" w:cs="宋体"/>
          <w:color w:val="auto"/>
          <w:sz w:val="24"/>
          <w:szCs w:val="24"/>
          <w:highlight w:val="none"/>
        </w:rPr>
      </w:pPr>
      <w:r>
        <w:rPr>
          <w:rFonts w:ascii="宋体" w:hAnsi="宋体" w:eastAsia="宋体" w:cs="宋体"/>
          <w:b/>
          <w:bCs/>
          <w:color w:val="auto"/>
          <w:spacing w:val="-5"/>
          <w:sz w:val="24"/>
          <w:szCs w:val="24"/>
          <w:highlight w:val="none"/>
        </w:rPr>
        <w:t>四、投诉事项具体内容</w:t>
      </w:r>
    </w:p>
    <w:p w14:paraId="75CE633F">
      <w:pPr>
        <w:spacing w:before="180" w:line="220" w:lineRule="auto"/>
        <w:ind w:left="521"/>
        <w:rPr>
          <w:rFonts w:hint="eastAsia"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rPr>
        <w:t>投诉事项1：</w:t>
      </w:r>
    </w:p>
    <w:p w14:paraId="204325F1">
      <w:pPr>
        <w:spacing w:before="181" w:line="219" w:lineRule="auto"/>
        <w:ind w:left="501"/>
        <w:rPr>
          <w:rFonts w:hint="eastAsia"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rPr>
        <w:t>事实依据：</w:t>
      </w:r>
    </w:p>
    <w:p w14:paraId="1476CCDA">
      <w:pPr>
        <w:pStyle w:val="4"/>
        <w:tabs>
          <w:tab w:val="left" w:pos="8847"/>
        </w:tabs>
        <w:spacing w:before="230"/>
        <w:ind w:left="508"/>
        <w:rPr>
          <w:color w:val="auto"/>
          <w:highlight w:val="none"/>
        </w:rPr>
      </w:pPr>
      <w:r>
        <w:rPr>
          <w:color w:val="auto"/>
          <w:highlight w:val="none"/>
          <w:u w:val="single" w:color="auto"/>
        </w:rPr>
        <w:tab/>
      </w:r>
    </w:p>
    <w:p w14:paraId="7597011F">
      <w:pPr>
        <w:spacing w:before="177" w:line="219" w:lineRule="auto"/>
        <w:ind w:left="502"/>
        <w:rPr>
          <w:rFonts w:hint="eastAsia"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rPr>
        <w:t>法律依据：</w:t>
      </w:r>
    </w:p>
    <w:p w14:paraId="6D0B0821">
      <w:pPr>
        <w:pStyle w:val="4"/>
        <w:tabs>
          <w:tab w:val="left" w:pos="8847"/>
        </w:tabs>
        <w:spacing w:before="231"/>
        <w:ind w:left="508"/>
        <w:rPr>
          <w:color w:val="auto"/>
          <w:highlight w:val="none"/>
        </w:rPr>
      </w:pPr>
      <w:r>
        <w:rPr>
          <w:color w:val="auto"/>
          <w:highlight w:val="none"/>
          <w:u w:val="single" w:color="auto"/>
        </w:rPr>
        <w:tab/>
      </w:r>
    </w:p>
    <w:p w14:paraId="68329D86">
      <w:pPr>
        <w:spacing w:before="178" w:line="220" w:lineRule="auto"/>
        <w:ind w:left="521"/>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投诉事项2</w:t>
      </w:r>
    </w:p>
    <w:p w14:paraId="55A69E70">
      <w:pPr>
        <w:spacing w:before="179" w:line="378" w:lineRule="exact"/>
        <w:ind w:left="533"/>
        <w:rPr>
          <w:rFonts w:ascii="宋体" w:hAnsi="宋体" w:eastAsia="宋体" w:cs="宋体"/>
          <w:color w:val="auto"/>
          <w:sz w:val="24"/>
          <w:szCs w:val="24"/>
          <w:highlight w:val="none"/>
        </w:rPr>
      </w:pPr>
      <w:r>
        <w:rPr>
          <w:rFonts w:ascii="宋体" w:hAnsi="宋体" w:eastAsia="宋体" w:cs="宋体"/>
          <w:color w:val="auto"/>
          <w:spacing w:val="-7"/>
          <w:position w:val="3"/>
          <w:sz w:val="24"/>
          <w:szCs w:val="24"/>
          <w:highlight w:val="none"/>
        </w:rPr>
        <w:t>……</w:t>
      </w:r>
    </w:p>
    <w:p w14:paraId="4E2A76DB">
      <w:pPr>
        <w:spacing w:before="90" w:line="220" w:lineRule="auto"/>
        <w:ind w:left="522"/>
        <w:rPr>
          <w:rFonts w:ascii="宋体" w:hAnsi="宋体" w:eastAsia="宋体" w:cs="宋体"/>
          <w:color w:val="auto"/>
          <w:sz w:val="24"/>
          <w:szCs w:val="24"/>
          <w:highlight w:val="none"/>
        </w:rPr>
      </w:pPr>
      <w:r>
        <w:rPr>
          <w:rFonts w:ascii="宋体" w:hAnsi="宋体" w:eastAsia="宋体" w:cs="宋体"/>
          <w:b/>
          <w:bCs/>
          <w:color w:val="auto"/>
          <w:spacing w:val="-5"/>
          <w:sz w:val="24"/>
          <w:szCs w:val="24"/>
          <w:highlight w:val="none"/>
        </w:rPr>
        <w:t>五、与投诉事项相关的投诉请求：</w:t>
      </w:r>
    </w:p>
    <w:p w14:paraId="436D8C6A">
      <w:pPr>
        <w:spacing w:before="180" w:line="220" w:lineRule="auto"/>
        <w:ind w:left="516"/>
        <w:rPr>
          <w:rFonts w:hint="eastAsia" w:ascii="宋体" w:hAnsi="宋体" w:eastAsia="宋体" w:cs="宋体"/>
          <w:color w:val="auto"/>
          <w:sz w:val="24"/>
          <w:szCs w:val="24"/>
          <w:highlight w:val="none"/>
          <w:lang w:eastAsia="zh-CN"/>
        </w:rPr>
      </w:pPr>
      <w:r>
        <w:rPr>
          <w:rFonts w:ascii="宋体" w:hAnsi="宋体" w:eastAsia="宋体" w:cs="宋体"/>
          <w:color w:val="auto"/>
          <w:spacing w:val="-3"/>
          <w:sz w:val="24"/>
          <w:szCs w:val="24"/>
          <w:highlight w:val="none"/>
        </w:rPr>
        <w:t>请求：</w:t>
      </w:r>
    </w:p>
    <w:p w14:paraId="5EAB99F5">
      <w:pPr>
        <w:pStyle w:val="4"/>
        <w:spacing w:line="282" w:lineRule="auto"/>
        <w:rPr>
          <w:color w:val="auto"/>
          <w:highlight w:val="none"/>
        </w:rPr>
      </w:pPr>
    </w:p>
    <w:p w14:paraId="5EFA60BD">
      <w:pPr>
        <w:pStyle w:val="4"/>
        <w:spacing w:line="283" w:lineRule="auto"/>
        <w:rPr>
          <w:color w:val="auto"/>
          <w:highlight w:val="none"/>
        </w:rPr>
      </w:pPr>
    </w:p>
    <w:p w14:paraId="24E02AF2">
      <w:pPr>
        <w:spacing w:before="79" w:line="219" w:lineRule="auto"/>
        <w:ind w:left="518"/>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签字（签章</w:t>
      </w:r>
      <w:r>
        <w:rPr>
          <w:rFonts w:ascii="宋体" w:hAnsi="宋体" w:eastAsia="宋体" w:cs="宋体"/>
          <w:color w:val="auto"/>
          <w:spacing w:val="-2"/>
          <w:sz w:val="24"/>
          <w:szCs w:val="24"/>
          <w:highlight w:val="none"/>
        </w:rPr>
        <w:t>）：</w:t>
      </w:r>
      <w:r>
        <w:rPr>
          <w:rFonts w:ascii="宋体" w:hAnsi="宋体" w:eastAsia="宋体" w:cs="宋体"/>
          <w:color w:val="auto"/>
          <w:spacing w:val="-7"/>
          <w:sz w:val="24"/>
          <w:szCs w:val="24"/>
          <w:highlight w:val="none"/>
        </w:rPr>
        <w:t>公章：</w:t>
      </w:r>
    </w:p>
    <w:p w14:paraId="74CE87DB">
      <w:pPr>
        <w:pStyle w:val="4"/>
        <w:spacing w:line="285" w:lineRule="auto"/>
        <w:rPr>
          <w:color w:val="auto"/>
          <w:highlight w:val="none"/>
        </w:rPr>
      </w:pPr>
    </w:p>
    <w:p w14:paraId="6C6A01A7">
      <w:pPr>
        <w:pStyle w:val="4"/>
        <w:spacing w:line="285" w:lineRule="auto"/>
        <w:rPr>
          <w:color w:val="auto"/>
          <w:highlight w:val="none"/>
        </w:rPr>
      </w:pPr>
    </w:p>
    <w:p w14:paraId="1343231F">
      <w:pPr>
        <w:spacing w:before="78" w:line="220" w:lineRule="auto"/>
        <w:ind w:left="559"/>
        <w:rPr>
          <w:rFonts w:ascii="宋体" w:hAnsi="宋体" w:eastAsia="宋体" w:cs="宋体"/>
          <w:color w:val="auto"/>
          <w:sz w:val="24"/>
          <w:szCs w:val="24"/>
          <w:highlight w:val="none"/>
        </w:rPr>
      </w:pPr>
      <w:r>
        <w:rPr>
          <w:rFonts w:ascii="宋体" w:hAnsi="宋体" w:eastAsia="宋体" w:cs="宋体"/>
          <w:color w:val="auto"/>
          <w:spacing w:val="-24"/>
          <w:sz w:val="24"/>
          <w:szCs w:val="24"/>
          <w:highlight w:val="none"/>
        </w:rPr>
        <w:t>日期：</w:t>
      </w:r>
    </w:p>
    <w:p w14:paraId="65E8E4E3">
      <w:pPr>
        <w:pStyle w:val="4"/>
        <w:spacing w:line="282" w:lineRule="auto"/>
        <w:rPr>
          <w:color w:val="auto"/>
          <w:highlight w:val="none"/>
        </w:rPr>
      </w:pPr>
    </w:p>
    <w:p w14:paraId="0750940D">
      <w:pPr>
        <w:pStyle w:val="4"/>
        <w:spacing w:line="283" w:lineRule="auto"/>
        <w:rPr>
          <w:color w:val="auto"/>
          <w:highlight w:val="none"/>
        </w:rPr>
      </w:pPr>
    </w:p>
    <w:p w14:paraId="48A04046">
      <w:pPr>
        <w:spacing w:before="79" w:line="220" w:lineRule="auto"/>
        <w:ind w:left="24"/>
        <w:rPr>
          <w:rFonts w:ascii="宋体" w:hAnsi="宋体" w:eastAsia="宋体" w:cs="宋体"/>
          <w:color w:val="auto"/>
          <w:sz w:val="24"/>
          <w:szCs w:val="24"/>
          <w:highlight w:val="none"/>
        </w:rPr>
      </w:pPr>
      <w:r>
        <w:rPr>
          <w:rFonts w:ascii="宋体" w:hAnsi="宋体" w:eastAsia="宋体" w:cs="宋体"/>
          <w:b/>
          <w:bCs/>
          <w:color w:val="auto"/>
          <w:spacing w:val="-16"/>
          <w:sz w:val="24"/>
          <w:szCs w:val="24"/>
          <w:highlight w:val="none"/>
        </w:rPr>
        <w:t>说明：</w:t>
      </w:r>
    </w:p>
    <w:p w14:paraId="4A31D632">
      <w:pPr>
        <w:spacing w:before="181" w:line="289" w:lineRule="auto"/>
        <w:ind w:left="48" w:right="4" w:firstLine="370"/>
        <w:rPr>
          <w:rFonts w:ascii="宋体" w:hAnsi="宋体" w:eastAsia="宋体" w:cs="宋体"/>
          <w:color w:val="auto"/>
          <w:sz w:val="24"/>
          <w:szCs w:val="24"/>
          <w:highlight w:val="none"/>
        </w:rPr>
      </w:pPr>
      <w:r>
        <w:rPr>
          <w:rFonts w:ascii="宋体" w:hAnsi="宋体" w:eastAsia="宋体" w:cs="宋体"/>
          <w:b/>
          <w:bCs/>
          <w:color w:val="auto"/>
          <w:spacing w:val="-2"/>
          <w:sz w:val="24"/>
          <w:szCs w:val="24"/>
          <w:highlight w:val="none"/>
        </w:rPr>
        <w:t>1.投诉人提起投诉时，应当提交投诉书和必要的证明材料，并按照被投诉人和与</w:t>
      </w:r>
      <w:r>
        <w:rPr>
          <w:rFonts w:ascii="宋体" w:hAnsi="宋体" w:eastAsia="宋体" w:cs="宋体"/>
          <w:b/>
          <w:bCs/>
          <w:color w:val="auto"/>
          <w:spacing w:val="-3"/>
          <w:sz w:val="24"/>
          <w:szCs w:val="24"/>
          <w:highlight w:val="none"/>
        </w:rPr>
        <w:t>投诉事项有关的供应商数量提供投诉书副本。</w:t>
      </w:r>
    </w:p>
    <w:p w14:paraId="6586B3B8">
      <w:pPr>
        <w:spacing w:before="179" w:line="313" w:lineRule="auto"/>
        <w:ind w:left="48" w:right="4" w:firstLine="355"/>
        <w:rPr>
          <w:rFonts w:ascii="宋体" w:hAnsi="宋体" w:eastAsia="宋体" w:cs="宋体"/>
          <w:color w:val="auto"/>
          <w:sz w:val="24"/>
          <w:szCs w:val="24"/>
          <w:highlight w:val="none"/>
        </w:rPr>
      </w:pPr>
      <w:r>
        <w:rPr>
          <w:rFonts w:ascii="宋体" w:hAnsi="宋体" w:eastAsia="宋体" w:cs="宋体"/>
          <w:b/>
          <w:bCs/>
          <w:color w:val="auto"/>
          <w:spacing w:val="-1"/>
          <w:sz w:val="24"/>
          <w:szCs w:val="24"/>
          <w:highlight w:val="none"/>
        </w:rPr>
        <w:t>2.投诉人若委托代理人进行投诉的，投诉书</w:t>
      </w:r>
      <w:r>
        <w:rPr>
          <w:rFonts w:ascii="宋体" w:hAnsi="宋体" w:eastAsia="宋体" w:cs="宋体"/>
          <w:b/>
          <w:bCs/>
          <w:color w:val="auto"/>
          <w:spacing w:val="-2"/>
          <w:sz w:val="24"/>
          <w:szCs w:val="24"/>
          <w:highlight w:val="none"/>
        </w:rPr>
        <w:t>应按要求列明“授权代表”的有关内</w:t>
      </w:r>
      <w:r>
        <w:rPr>
          <w:rFonts w:ascii="宋体" w:hAnsi="宋体" w:eastAsia="宋体" w:cs="宋体"/>
          <w:b/>
          <w:bCs/>
          <w:color w:val="auto"/>
          <w:spacing w:val="-5"/>
          <w:sz w:val="24"/>
          <w:szCs w:val="24"/>
          <w:highlight w:val="none"/>
        </w:rPr>
        <w:t>容，并在附件中提交由投诉人签署的授权委托书。授权委托书应当载明代理人的姓名</w:t>
      </w:r>
      <w:r>
        <w:rPr>
          <w:rFonts w:ascii="宋体" w:hAnsi="宋体" w:eastAsia="宋体" w:cs="宋体"/>
          <w:b/>
          <w:bCs/>
          <w:color w:val="auto"/>
          <w:spacing w:val="-3"/>
          <w:sz w:val="24"/>
          <w:szCs w:val="24"/>
          <w:highlight w:val="none"/>
        </w:rPr>
        <w:t>或者名称、代理事项、具体权限、期限和相关事</w:t>
      </w:r>
      <w:r>
        <w:rPr>
          <w:rFonts w:ascii="宋体" w:hAnsi="宋体" w:eastAsia="宋体" w:cs="宋体"/>
          <w:b/>
          <w:bCs/>
          <w:color w:val="auto"/>
          <w:spacing w:val="-4"/>
          <w:sz w:val="24"/>
          <w:szCs w:val="24"/>
          <w:highlight w:val="none"/>
        </w:rPr>
        <w:t>项。</w:t>
      </w:r>
    </w:p>
    <w:p w14:paraId="75C6D40E">
      <w:pPr>
        <w:spacing w:before="183" w:line="219" w:lineRule="auto"/>
        <w:ind w:left="405"/>
        <w:rPr>
          <w:rFonts w:ascii="宋体" w:hAnsi="宋体" w:eastAsia="宋体" w:cs="宋体"/>
          <w:color w:val="auto"/>
          <w:sz w:val="24"/>
          <w:szCs w:val="24"/>
          <w:highlight w:val="none"/>
        </w:rPr>
      </w:pPr>
      <w:r>
        <w:rPr>
          <w:rFonts w:ascii="宋体" w:hAnsi="宋体" w:eastAsia="宋体" w:cs="宋体"/>
          <w:b/>
          <w:bCs/>
          <w:color w:val="auto"/>
          <w:spacing w:val="-2"/>
          <w:sz w:val="24"/>
          <w:szCs w:val="24"/>
          <w:highlight w:val="none"/>
        </w:rPr>
        <w:t>3.投诉书应简要列明质疑事项，质疑函、质疑答复等作为</w:t>
      </w:r>
      <w:r>
        <w:rPr>
          <w:rFonts w:ascii="宋体" w:hAnsi="宋体" w:eastAsia="宋体" w:cs="宋体"/>
          <w:b/>
          <w:bCs/>
          <w:color w:val="auto"/>
          <w:spacing w:val="-3"/>
          <w:sz w:val="24"/>
          <w:szCs w:val="24"/>
          <w:highlight w:val="none"/>
        </w:rPr>
        <w:t>附件材料提供。</w:t>
      </w:r>
    </w:p>
    <w:p w14:paraId="03D798FB">
      <w:pPr>
        <w:spacing w:before="181" w:line="219" w:lineRule="auto"/>
        <w:ind w:left="399"/>
        <w:rPr>
          <w:rFonts w:ascii="宋体" w:hAnsi="宋体" w:eastAsia="宋体" w:cs="宋体"/>
          <w:color w:val="auto"/>
          <w:sz w:val="24"/>
          <w:szCs w:val="24"/>
          <w:highlight w:val="none"/>
        </w:rPr>
      </w:pPr>
      <w:r>
        <w:rPr>
          <w:rFonts w:ascii="宋体" w:hAnsi="宋体" w:eastAsia="宋体" w:cs="宋体"/>
          <w:b/>
          <w:bCs/>
          <w:color w:val="auto"/>
          <w:spacing w:val="-9"/>
          <w:sz w:val="24"/>
          <w:szCs w:val="24"/>
          <w:highlight w:val="none"/>
        </w:rPr>
        <w:t>4.投诉书的投诉事项应具体、明确，并有必要的事实依据和法律依据。</w:t>
      </w:r>
    </w:p>
    <w:p w14:paraId="0131FA2B">
      <w:pPr>
        <w:spacing w:before="183" w:line="219" w:lineRule="auto"/>
        <w:ind w:left="405"/>
        <w:rPr>
          <w:rFonts w:ascii="宋体" w:hAnsi="宋体" w:eastAsia="宋体" w:cs="宋体"/>
          <w:color w:val="auto"/>
          <w:sz w:val="24"/>
          <w:szCs w:val="24"/>
          <w:highlight w:val="none"/>
        </w:rPr>
      </w:pPr>
      <w:r>
        <w:rPr>
          <w:rFonts w:ascii="宋体" w:hAnsi="宋体" w:eastAsia="宋体" w:cs="宋体"/>
          <w:b/>
          <w:bCs/>
          <w:color w:val="auto"/>
          <w:spacing w:val="-4"/>
          <w:sz w:val="24"/>
          <w:szCs w:val="24"/>
          <w:highlight w:val="none"/>
        </w:rPr>
        <w:t>5.投诉书的投诉请求应与投诉事项相关。</w:t>
      </w:r>
    </w:p>
    <w:p w14:paraId="294EE82D">
      <w:pPr>
        <w:spacing w:before="183" w:line="289" w:lineRule="auto"/>
        <w:ind w:left="44" w:right="4" w:firstLine="358"/>
        <w:rPr>
          <w:rFonts w:ascii="宋体" w:hAnsi="宋体" w:eastAsia="宋体" w:cs="宋体"/>
          <w:color w:val="auto"/>
          <w:sz w:val="24"/>
          <w:szCs w:val="24"/>
          <w:highlight w:val="none"/>
        </w:rPr>
      </w:pPr>
      <w:r>
        <w:rPr>
          <w:rFonts w:ascii="宋体" w:hAnsi="宋体" w:eastAsia="宋体" w:cs="宋体"/>
          <w:b/>
          <w:bCs/>
          <w:color w:val="auto"/>
          <w:spacing w:val="-1"/>
          <w:sz w:val="24"/>
          <w:szCs w:val="24"/>
          <w:highlight w:val="none"/>
        </w:rPr>
        <w:t>6.投诉人为法人或者其他组织的，投诉书应由</w:t>
      </w:r>
      <w:r>
        <w:rPr>
          <w:rFonts w:ascii="宋体" w:hAnsi="宋体" w:eastAsia="宋体" w:cs="宋体"/>
          <w:b/>
          <w:bCs/>
          <w:color w:val="auto"/>
          <w:spacing w:val="-2"/>
          <w:sz w:val="24"/>
          <w:szCs w:val="24"/>
          <w:highlight w:val="none"/>
        </w:rPr>
        <w:t>法定代表人、主要负责人，或者其</w:t>
      </w:r>
      <w:r>
        <w:rPr>
          <w:rFonts w:ascii="宋体" w:hAnsi="宋体" w:eastAsia="宋体" w:cs="宋体"/>
          <w:b/>
          <w:bCs/>
          <w:color w:val="auto"/>
          <w:spacing w:val="-3"/>
          <w:sz w:val="24"/>
          <w:szCs w:val="24"/>
          <w:highlight w:val="none"/>
        </w:rPr>
        <w:t>授权代表签字或者盖章，并加盖公章。</w:t>
      </w:r>
    </w:p>
    <w:p w14:paraId="0E017BAE">
      <w:pPr>
        <w:spacing w:line="289" w:lineRule="auto"/>
        <w:rPr>
          <w:rFonts w:ascii="宋体" w:hAnsi="宋体" w:eastAsia="宋体" w:cs="宋体"/>
          <w:color w:val="auto"/>
          <w:sz w:val="24"/>
          <w:szCs w:val="24"/>
          <w:highlight w:val="none"/>
        </w:rPr>
        <w:sectPr>
          <w:footerReference r:id="rId58" w:type="default"/>
          <w:pgSz w:w="11907" w:h="16841"/>
          <w:pgMar w:top="1431" w:right="1272" w:bottom="1219" w:left="1785" w:header="0" w:footer="1019" w:gutter="0"/>
          <w:cols w:space="720" w:num="1"/>
        </w:sectPr>
      </w:pPr>
    </w:p>
    <w:p w14:paraId="2A10305C">
      <w:pPr>
        <w:pStyle w:val="4"/>
        <w:spacing w:line="330" w:lineRule="auto"/>
        <w:rPr>
          <w:color w:val="auto"/>
          <w:highlight w:val="none"/>
        </w:rPr>
      </w:pPr>
    </w:p>
    <w:p w14:paraId="5090F8BD">
      <w:pPr>
        <w:pStyle w:val="4"/>
        <w:spacing w:line="330" w:lineRule="auto"/>
        <w:rPr>
          <w:color w:val="auto"/>
          <w:highlight w:val="none"/>
        </w:rPr>
      </w:pPr>
    </w:p>
    <w:p w14:paraId="132AAA96">
      <w:pPr>
        <w:spacing w:before="140" w:line="223" w:lineRule="auto"/>
        <w:ind w:left="2789"/>
        <w:outlineLvl w:val="0"/>
        <w:rPr>
          <w:rFonts w:ascii="宋体" w:hAnsi="宋体" w:eastAsia="宋体" w:cs="宋体"/>
          <w:color w:val="auto"/>
          <w:sz w:val="43"/>
          <w:szCs w:val="43"/>
          <w:highlight w:val="none"/>
        </w:rPr>
      </w:pPr>
      <w:bookmarkStart w:id="10" w:name="bookmark12"/>
      <w:bookmarkEnd w:id="10"/>
      <w:r>
        <w:rPr>
          <w:rFonts w:ascii="宋体" w:hAnsi="宋体" w:eastAsia="宋体" w:cs="宋体"/>
          <w:b/>
          <w:bCs/>
          <w:color w:val="auto"/>
          <w:spacing w:val="4"/>
          <w:sz w:val="43"/>
          <w:szCs w:val="43"/>
          <w:highlight w:val="none"/>
        </w:rPr>
        <w:t>第六章合同文本</w:t>
      </w:r>
    </w:p>
    <w:p w14:paraId="61415DCD">
      <w:pPr>
        <w:pStyle w:val="4"/>
        <w:spacing w:line="249" w:lineRule="auto"/>
        <w:rPr>
          <w:color w:val="auto"/>
          <w:highlight w:val="none"/>
        </w:rPr>
      </w:pPr>
    </w:p>
    <w:p w14:paraId="1D6D1315">
      <w:pPr>
        <w:pStyle w:val="4"/>
        <w:spacing w:line="249" w:lineRule="auto"/>
        <w:rPr>
          <w:color w:val="auto"/>
          <w:highlight w:val="none"/>
        </w:rPr>
      </w:pPr>
    </w:p>
    <w:p w14:paraId="78288940">
      <w:pPr>
        <w:pStyle w:val="4"/>
        <w:spacing w:line="249" w:lineRule="auto"/>
        <w:rPr>
          <w:color w:val="auto"/>
          <w:highlight w:val="none"/>
        </w:rPr>
      </w:pPr>
    </w:p>
    <w:p w14:paraId="49F77ECD">
      <w:pPr>
        <w:pStyle w:val="4"/>
        <w:spacing w:line="249" w:lineRule="auto"/>
        <w:rPr>
          <w:color w:val="auto"/>
          <w:highlight w:val="none"/>
        </w:rPr>
      </w:pPr>
    </w:p>
    <w:p w14:paraId="71094BE6">
      <w:pPr>
        <w:pStyle w:val="4"/>
        <w:spacing w:line="250" w:lineRule="auto"/>
        <w:rPr>
          <w:color w:val="auto"/>
          <w:highlight w:val="none"/>
        </w:rPr>
      </w:pPr>
    </w:p>
    <w:p w14:paraId="0F3EAE3B">
      <w:pPr>
        <w:spacing w:before="140" w:line="603" w:lineRule="exact"/>
        <w:ind w:left="3099"/>
        <w:rPr>
          <w:rFonts w:ascii="宋体" w:hAnsi="宋体" w:eastAsia="宋体" w:cs="宋体"/>
          <w:color w:val="auto"/>
          <w:sz w:val="43"/>
          <w:szCs w:val="43"/>
          <w:highlight w:val="none"/>
        </w:rPr>
      </w:pPr>
      <w:r>
        <w:rPr>
          <w:rFonts w:ascii="宋体" w:hAnsi="宋体" w:eastAsia="宋体" w:cs="宋体"/>
          <w:b/>
          <w:bCs/>
          <w:color w:val="auto"/>
          <w:spacing w:val="5"/>
          <w:position w:val="3"/>
          <w:sz w:val="43"/>
          <w:szCs w:val="43"/>
          <w:highlight w:val="none"/>
        </w:rPr>
        <w:t>政府采购合同书</w:t>
      </w:r>
    </w:p>
    <w:p w14:paraId="0537A26A">
      <w:pPr>
        <w:pStyle w:val="4"/>
        <w:spacing w:line="260" w:lineRule="auto"/>
        <w:rPr>
          <w:color w:val="auto"/>
          <w:highlight w:val="none"/>
        </w:rPr>
      </w:pPr>
    </w:p>
    <w:p w14:paraId="72447EFF">
      <w:pPr>
        <w:pStyle w:val="4"/>
        <w:spacing w:line="260" w:lineRule="auto"/>
        <w:rPr>
          <w:color w:val="auto"/>
          <w:highlight w:val="none"/>
        </w:rPr>
      </w:pPr>
    </w:p>
    <w:p w14:paraId="60EFFB9E">
      <w:pPr>
        <w:pStyle w:val="4"/>
        <w:spacing w:line="260" w:lineRule="auto"/>
        <w:rPr>
          <w:color w:val="auto"/>
          <w:highlight w:val="none"/>
        </w:rPr>
      </w:pPr>
    </w:p>
    <w:p w14:paraId="453AA990">
      <w:pPr>
        <w:pStyle w:val="4"/>
        <w:spacing w:line="260" w:lineRule="auto"/>
        <w:rPr>
          <w:color w:val="auto"/>
          <w:highlight w:val="none"/>
        </w:rPr>
      </w:pPr>
    </w:p>
    <w:p w14:paraId="1528ED34">
      <w:pPr>
        <w:pStyle w:val="4"/>
        <w:spacing w:line="260" w:lineRule="auto"/>
        <w:rPr>
          <w:color w:val="auto"/>
          <w:highlight w:val="none"/>
        </w:rPr>
      </w:pPr>
    </w:p>
    <w:p w14:paraId="7E6BF351">
      <w:pPr>
        <w:spacing w:before="101" w:line="224" w:lineRule="auto"/>
        <w:ind w:left="220" w:leftChars="0" w:firstLine="0" w:firstLineChars="0"/>
        <w:jc w:val="center"/>
        <w:rPr>
          <w:rFonts w:ascii="黑体" w:hAnsi="黑体" w:eastAsia="黑体" w:cs="黑体"/>
          <w:color w:val="auto"/>
          <w:sz w:val="31"/>
          <w:szCs w:val="31"/>
          <w:highlight w:val="none"/>
        </w:rPr>
      </w:pPr>
      <w:r>
        <w:rPr>
          <w:rFonts w:hint="eastAsia" w:ascii="黑体" w:hAnsi="黑体" w:eastAsia="黑体" w:cs="黑体"/>
          <w:color w:val="auto"/>
          <w:spacing w:val="6"/>
          <w:sz w:val="31"/>
          <w:szCs w:val="31"/>
          <w:highlight w:val="none"/>
          <w:lang w:eastAsia="zh-CN"/>
        </w:rPr>
        <w:t>北流市2026年财政常态化帮扶资金项目复核验收服务</w:t>
      </w:r>
      <w:r>
        <w:rPr>
          <w:rFonts w:ascii="黑体" w:hAnsi="黑体" w:eastAsia="黑体" w:cs="黑体"/>
          <w:color w:val="auto"/>
          <w:spacing w:val="6"/>
          <w:sz w:val="31"/>
          <w:szCs w:val="31"/>
          <w:highlight w:val="none"/>
        </w:rPr>
        <w:t>采购合同</w:t>
      </w:r>
    </w:p>
    <w:p w14:paraId="28AAF8F1">
      <w:pPr>
        <w:pStyle w:val="4"/>
        <w:spacing w:line="243" w:lineRule="auto"/>
        <w:rPr>
          <w:color w:val="auto"/>
          <w:highlight w:val="none"/>
        </w:rPr>
      </w:pPr>
    </w:p>
    <w:p w14:paraId="4753D3B1">
      <w:pPr>
        <w:pStyle w:val="4"/>
        <w:spacing w:line="243" w:lineRule="auto"/>
        <w:rPr>
          <w:color w:val="auto"/>
          <w:highlight w:val="none"/>
        </w:rPr>
      </w:pPr>
    </w:p>
    <w:p w14:paraId="42BEE9AE">
      <w:pPr>
        <w:pStyle w:val="4"/>
        <w:spacing w:line="243" w:lineRule="auto"/>
        <w:rPr>
          <w:color w:val="auto"/>
          <w:highlight w:val="none"/>
        </w:rPr>
      </w:pPr>
    </w:p>
    <w:p w14:paraId="3182F74E">
      <w:pPr>
        <w:pStyle w:val="4"/>
        <w:spacing w:line="243" w:lineRule="auto"/>
        <w:rPr>
          <w:color w:val="auto"/>
          <w:highlight w:val="none"/>
        </w:rPr>
      </w:pPr>
    </w:p>
    <w:p w14:paraId="45AD497D">
      <w:pPr>
        <w:pStyle w:val="4"/>
        <w:spacing w:line="243" w:lineRule="auto"/>
        <w:rPr>
          <w:color w:val="auto"/>
          <w:highlight w:val="none"/>
        </w:rPr>
      </w:pPr>
    </w:p>
    <w:p w14:paraId="05D6F58F">
      <w:pPr>
        <w:pStyle w:val="4"/>
        <w:spacing w:line="243" w:lineRule="auto"/>
        <w:rPr>
          <w:color w:val="auto"/>
          <w:highlight w:val="none"/>
        </w:rPr>
      </w:pPr>
    </w:p>
    <w:p w14:paraId="24EBC894">
      <w:pPr>
        <w:pStyle w:val="4"/>
        <w:spacing w:line="243" w:lineRule="auto"/>
        <w:rPr>
          <w:color w:val="auto"/>
          <w:highlight w:val="none"/>
        </w:rPr>
      </w:pPr>
    </w:p>
    <w:p w14:paraId="7FA105F2">
      <w:pPr>
        <w:pStyle w:val="4"/>
        <w:spacing w:line="243" w:lineRule="auto"/>
        <w:rPr>
          <w:color w:val="auto"/>
          <w:highlight w:val="none"/>
        </w:rPr>
      </w:pPr>
    </w:p>
    <w:p w14:paraId="396A165D">
      <w:pPr>
        <w:pStyle w:val="4"/>
        <w:spacing w:line="243" w:lineRule="auto"/>
        <w:rPr>
          <w:color w:val="auto"/>
          <w:highlight w:val="none"/>
        </w:rPr>
      </w:pPr>
    </w:p>
    <w:p w14:paraId="3A4D3E81">
      <w:pPr>
        <w:pStyle w:val="4"/>
        <w:spacing w:line="244" w:lineRule="auto"/>
        <w:rPr>
          <w:color w:val="auto"/>
          <w:highlight w:val="none"/>
        </w:rPr>
      </w:pPr>
    </w:p>
    <w:p w14:paraId="130C1C59">
      <w:pPr>
        <w:pStyle w:val="4"/>
        <w:spacing w:line="244" w:lineRule="auto"/>
        <w:rPr>
          <w:color w:val="auto"/>
          <w:highlight w:val="none"/>
        </w:rPr>
      </w:pPr>
    </w:p>
    <w:p w14:paraId="5972FD1C">
      <w:pPr>
        <w:pStyle w:val="4"/>
        <w:spacing w:line="244" w:lineRule="auto"/>
        <w:rPr>
          <w:color w:val="auto"/>
          <w:highlight w:val="none"/>
        </w:rPr>
      </w:pPr>
    </w:p>
    <w:p w14:paraId="43228A79">
      <w:pPr>
        <w:pStyle w:val="4"/>
        <w:spacing w:line="244" w:lineRule="auto"/>
        <w:rPr>
          <w:color w:val="auto"/>
          <w:highlight w:val="none"/>
        </w:rPr>
      </w:pPr>
    </w:p>
    <w:p w14:paraId="61D649FE">
      <w:pPr>
        <w:pStyle w:val="4"/>
        <w:spacing w:line="244" w:lineRule="auto"/>
        <w:rPr>
          <w:color w:val="auto"/>
          <w:highlight w:val="none"/>
        </w:rPr>
      </w:pPr>
    </w:p>
    <w:p w14:paraId="3AE1EAFD">
      <w:pPr>
        <w:pStyle w:val="4"/>
        <w:spacing w:line="244" w:lineRule="auto"/>
        <w:rPr>
          <w:color w:val="auto"/>
          <w:highlight w:val="none"/>
        </w:rPr>
      </w:pPr>
    </w:p>
    <w:p w14:paraId="0F1CF28C">
      <w:pPr>
        <w:pStyle w:val="4"/>
        <w:spacing w:line="244" w:lineRule="auto"/>
        <w:rPr>
          <w:color w:val="auto"/>
          <w:highlight w:val="none"/>
        </w:rPr>
      </w:pPr>
    </w:p>
    <w:p w14:paraId="1822E062">
      <w:pPr>
        <w:pStyle w:val="4"/>
        <w:spacing w:line="244" w:lineRule="auto"/>
        <w:rPr>
          <w:color w:val="auto"/>
          <w:highlight w:val="none"/>
        </w:rPr>
      </w:pPr>
    </w:p>
    <w:p w14:paraId="57CBB9C8">
      <w:pPr>
        <w:pStyle w:val="4"/>
        <w:spacing w:line="244" w:lineRule="auto"/>
        <w:rPr>
          <w:color w:val="auto"/>
          <w:highlight w:val="none"/>
        </w:rPr>
      </w:pPr>
    </w:p>
    <w:p w14:paraId="25CE319E">
      <w:pPr>
        <w:pStyle w:val="4"/>
        <w:spacing w:line="244" w:lineRule="auto"/>
        <w:rPr>
          <w:color w:val="auto"/>
          <w:highlight w:val="none"/>
        </w:rPr>
      </w:pPr>
    </w:p>
    <w:p w14:paraId="53FD6086">
      <w:pPr>
        <w:pStyle w:val="4"/>
        <w:spacing w:line="244" w:lineRule="auto"/>
        <w:rPr>
          <w:color w:val="auto"/>
          <w:highlight w:val="none"/>
        </w:rPr>
      </w:pPr>
    </w:p>
    <w:p w14:paraId="14411317">
      <w:pPr>
        <w:pStyle w:val="4"/>
        <w:spacing w:line="244" w:lineRule="auto"/>
        <w:rPr>
          <w:color w:val="auto"/>
          <w:highlight w:val="none"/>
        </w:rPr>
      </w:pPr>
    </w:p>
    <w:p w14:paraId="3B9F59E8">
      <w:pPr>
        <w:pStyle w:val="4"/>
        <w:spacing w:line="244" w:lineRule="auto"/>
        <w:rPr>
          <w:color w:val="auto"/>
          <w:highlight w:val="none"/>
        </w:rPr>
      </w:pPr>
    </w:p>
    <w:p w14:paraId="4E68BD77">
      <w:pPr>
        <w:spacing w:before="91" w:line="219" w:lineRule="auto"/>
        <w:ind w:left="585"/>
        <w:rPr>
          <w:rFonts w:hint="eastAsia" w:ascii="黑体" w:hAnsi="黑体" w:eastAsia="黑体" w:cs="黑体"/>
          <w:color w:val="auto"/>
          <w:sz w:val="28"/>
          <w:szCs w:val="28"/>
          <w:highlight w:val="none"/>
          <w:lang w:eastAsia="zh-CN"/>
        </w:rPr>
      </w:pPr>
      <w:r>
        <w:rPr>
          <w:rFonts w:ascii="黑体" w:hAnsi="黑体" w:eastAsia="黑体" w:cs="黑体"/>
          <w:color w:val="auto"/>
          <w:spacing w:val="-5"/>
          <w:sz w:val="28"/>
          <w:szCs w:val="28"/>
          <w:highlight w:val="none"/>
        </w:rPr>
        <w:t>采购人（甲方</w:t>
      </w:r>
      <w:r>
        <w:rPr>
          <w:rFonts w:ascii="黑体" w:hAnsi="黑体" w:eastAsia="黑体" w:cs="黑体"/>
          <w:color w:val="auto"/>
          <w:spacing w:val="-14"/>
          <w:sz w:val="28"/>
          <w:szCs w:val="28"/>
          <w:highlight w:val="none"/>
        </w:rPr>
        <w:t>）：</w:t>
      </w:r>
      <w:r>
        <w:rPr>
          <w:rFonts w:hint="eastAsia" w:ascii="黑体" w:hAnsi="黑体" w:eastAsia="黑体" w:cs="黑体"/>
          <w:color w:val="auto"/>
          <w:spacing w:val="-5"/>
          <w:sz w:val="28"/>
          <w:szCs w:val="28"/>
          <w:highlight w:val="none"/>
          <w:u w:val="single" w:color="auto"/>
          <w:lang w:eastAsia="zh-CN"/>
        </w:rPr>
        <w:t>北流市农业农村局</w:t>
      </w:r>
    </w:p>
    <w:p w14:paraId="2BF17955">
      <w:pPr>
        <w:pStyle w:val="4"/>
        <w:spacing w:line="313" w:lineRule="auto"/>
        <w:rPr>
          <w:color w:val="auto"/>
          <w:highlight w:val="none"/>
        </w:rPr>
      </w:pPr>
    </w:p>
    <w:p w14:paraId="30293800">
      <w:pPr>
        <w:pStyle w:val="4"/>
        <w:spacing w:line="313" w:lineRule="auto"/>
        <w:rPr>
          <w:color w:val="auto"/>
          <w:highlight w:val="none"/>
        </w:rPr>
      </w:pPr>
    </w:p>
    <w:p w14:paraId="0BABDB3A">
      <w:pPr>
        <w:pStyle w:val="4"/>
        <w:spacing w:line="313" w:lineRule="auto"/>
        <w:rPr>
          <w:color w:val="auto"/>
          <w:highlight w:val="none"/>
        </w:rPr>
      </w:pPr>
    </w:p>
    <w:p w14:paraId="3392D7F1">
      <w:pPr>
        <w:spacing w:before="91" w:line="219" w:lineRule="auto"/>
        <w:ind w:left="586"/>
        <w:rPr>
          <w:rFonts w:hint="eastAsia" w:ascii="黑体" w:hAnsi="黑体" w:eastAsia="黑体" w:cs="黑体"/>
          <w:color w:val="auto"/>
          <w:sz w:val="28"/>
          <w:szCs w:val="28"/>
          <w:highlight w:val="none"/>
          <w:lang w:eastAsia="zh-CN"/>
        </w:rPr>
      </w:pPr>
      <w:r>
        <w:rPr>
          <w:rFonts w:ascii="黑体" w:hAnsi="黑体" w:eastAsia="黑体" w:cs="黑体"/>
          <w:color w:val="auto"/>
          <w:spacing w:val="-9"/>
          <w:sz w:val="28"/>
          <w:szCs w:val="28"/>
          <w:highlight w:val="none"/>
        </w:rPr>
        <w:t>供应商（乙方</w:t>
      </w:r>
      <w:r>
        <w:rPr>
          <w:rFonts w:ascii="黑体" w:hAnsi="黑体" w:eastAsia="黑体" w:cs="黑体"/>
          <w:color w:val="auto"/>
          <w:spacing w:val="-17"/>
          <w:sz w:val="28"/>
          <w:szCs w:val="28"/>
          <w:highlight w:val="none"/>
        </w:rPr>
        <w:t>）：</w:t>
      </w:r>
    </w:p>
    <w:p w14:paraId="440A9E65">
      <w:pPr>
        <w:spacing w:line="219" w:lineRule="auto"/>
        <w:rPr>
          <w:rFonts w:ascii="黑体" w:hAnsi="黑体" w:eastAsia="黑体" w:cs="黑体"/>
          <w:color w:val="auto"/>
          <w:sz w:val="28"/>
          <w:szCs w:val="28"/>
          <w:highlight w:val="none"/>
        </w:rPr>
        <w:sectPr>
          <w:footerReference r:id="rId59" w:type="default"/>
          <w:pgSz w:w="11907" w:h="16841"/>
          <w:pgMar w:top="1431" w:right="1785" w:bottom="1219" w:left="1785" w:header="0" w:footer="1019" w:gutter="0"/>
          <w:cols w:space="720" w:num="1"/>
        </w:sectPr>
      </w:pPr>
    </w:p>
    <w:p w14:paraId="2BED935F">
      <w:pPr>
        <w:pStyle w:val="4"/>
        <w:spacing w:line="325" w:lineRule="auto"/>
        <w:rPr>
          <w:color w:val="auto"/>
          <w:highlight w:val="none"/>
        </w:rPr>
      </w:pPr>
    </w:p>
    <w:p w14:paraId="69060393">
      <w:pPr>
        <w:spacing w:before="78" w:line="479" w:lineRule="auto"/>
        <w:ind w:left="193" w:right="166" w:rightChars="0"/>
        <w:rPr>
          <w:rFonts w:hint="eastAsia"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rPr>
        <w:t>采购人（甲方</w:t>
      </w:r>
      <w:r>
        <w:rPr>
          <w:rFonts w:ascii="宋体" w:hAnsi="宋体" w:eastAsia="宋体" w:cs="宋体"/>
          <w:color w:val="auto"/>
          <w:spacing w:val="8"/>
          <w:sz w:val="24"/>
          <w:szCs w:val="24"/>
          <w:highlight w:val="none"/>
        </w:rPr>
        <w:t>）：</w:t>
      </w:r>
      <w:r>
        <w:rPr>
          <w:rFonts w:hint="eastAsia" w:ascii="宋体" w:hAnsi="宋体" w:eastAsia="宋体" w:cs="宋体"/>
          <w:color w:val="auto"/>
          <w:spacing w:val="-1"/>
          <w:sz w:val="24"/>
          <w:szCs w:val="24"/>
          <w:highlight w:val="none"/>
          <w:u w:val="single" w:color="auto"/>
          <w:lang w:eastAsia="zh-CN"/>
        </w:rPr>
        <w:t>北流市农业农村局</w:t>
      </w:r>
      <w:r>
        <w:rPr>
          <w:rFonts w:ascii="宋体" w:hAnsi="宋体" w:eastAsia="宋体" w:cs="宋体"/>
          <w:color w:val="auto"/>
          <w:spacing w:val="-2"/>
          <w:sz w:val="24"/>
          <w:szCs w:val="24"/>
          <w:highlight w:val="none"/>
        </w:rPr>
        <w:t>供应商（乙方</w:t>
      </w:r>
      <w:r>
        <w:rPr>
          <w:rFonts w:ascii="宋体" w:hAnsi="宋体" w:eastAsia="宋体" w:cs="宋体"/>
          <w:color w:val="auto"/>
          <w:sz w:val="24"/>
          <w:szCs w:val="24"/>
          <w:highlight w:val="none"/>
        </w:rPr>
        <w:t>）：</w:t>
      </w:r>
    </w:p>
    <w:p w14:paraId="0A27F1DB">
      <w:pPr>
        <w:spacing w:line="219" w:lineRule="auto"/>
        <w:ind w:left="198"/>
        <w:rPr>
          <w:rFonts w:hint="eastAsia"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rPr>
        <w:t>项目编号：</w:t>
      </w:r>
      <w:r>
        <w:rPr>
          <w:rFonts w:hint="eastAsia" w:ascii="宋体" w:hAnsi="宋体" w:eastAsia="宋体" w:cs="宋体"/>
          <w:color w:val="auto"/>
          <w:spacing w:val="-1"/>
          <w:sz w:val="24"/>
          <w:szCs w:val="24"/>
          <w:highlight w:val="none"/>
          <w:u w:val="single" w:color="auto"/>
          <w:lang w:eastAsia="zh-CN"/>
        </w:rPr>
        <w:t>YLZC2026-C3-810155-GXYZ</w:t>
      </w:r>
    </w:p>
    <w:p w14:paraId="01493C71">
      <w:pPr>
        <w:pStyle w:val="4"/>
        <w:spacing w:line="256" w:lineRule="auto"/>
        <w:rPr>
          <w:color w:val="auto"/>
          <w:highlight w:val="none"/>
        </w:rPr>
      </w:pPr>
    </w:p>
    <w:p w14:paraId="45D30DFC">
      <w:pPr>
        <w:spacing w:before="78" w:line="219" w:lineRule="auto"/>
        <w:ind w:left="193"/>
        <w:rPr>
          <w:rFonts w:hint="eastAsia"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rPr>
        <w:t>采购计划文号：</w:t>
      </w:r>
    </w:p>
    <w:p w14:paraId="1C2C00FA">
      <w:pPr>
        <w:pStyle w:val="4"/>
        <w:spacing w:line="259" w:lineRule="auto"/>
        <w:rPr>
          <w:color w:val="auto"/>
          <w:highlight w:val="none"/>
        </w:rPr>
      </w:pPr>
    </w:p>
    <w:p w14:paraId="23D536B3">
      <w:pPr>
        <w:spacing w:before="78" w:line="220" w:lineRule="auto"/>
        <w:ind w:left="195"/>
        <w:rPr>
          <w:rFonts w:hint="eastAsia"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rPr>
        <w:t>合同类型：</w:t>
      </w:r>
      <w:r>
        <w:rPr>
          <w:rFonts w:ascii="宋体" w:hAnsi="宋体" w:eastAsia="宋体" w:cs="宋体"/>
          <w:color w:val="auto"/>
          <w:spacing w:val="-2"/>
          <w:sz w:val="24"/>
          <w:szCs w:val="24"/>
          <w:highlight w:val="none"/>
          <w:u w:val="single" w:color="auto"/>
        </w:rPr>
        <w:t>服务合同</w:t>
      </w:r>
    </w:p>
    <w:p w14:paraId="468CBCED">
      <w:pPr>
        <w:pStyle w:val="4"/>
        <w:spacing w:line="335" w:lineRule="auto"/>
        <w:rPr>
          <w:color w:val="auto"/>
          <w:highlight w:val="none"/>
        </w:rPr>
      </w:pPr>
    </w:p>
    <w:p w14:paraId="74CD73BF">
      <w:pPr>
        <w:spacing w:before="78" w:line="219" w:lineRule="auto"/>
        <w:ind w:left="195"/>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本合同为中小企业预留合同：是。</w:t>
      </w:r>
    </w:p>
    <w:p w14:paraId="2856F174">
      <w:pPr>
        <w:pStyle w:val="4"/>
        <w:spacing w:line="465" w:lineRule="auto"/>
        <w:rPr>
          <w:color w:val="auto"/>
          <w:highlight w:val="none"/>
        </w:rPr>
      </w:pPr>
    </w:p>
    <w:p w14:paraId="627B6EFA">
      <w:pPr>
        <w:spacing w:before="78" w:line="339" w:lineRule="auto"/>
        <w:ind w:left="199" w:right="385" w:firstLine="474"/>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根据《中华人民共和国政府采购法》《中华人民共和国民法典》等法律、法规规定，按照采购文件规定条款和乙方响应承诺，甲乙双方签订本合同。</w:t>
      </w:r>
    </w:p>
    <w:p w14:paraId="341D8B27">
      <w:pPr>
        <w:spacing w:line="219" w:lineRule="auto"/>
        <w:ind w:left="676"/>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第一条合同标的</w:t>
      </w:r>
    </w:p>
    <w:p w14:paraId="26F300E8">
      <w:pPr>
        <w:spacing w:line="81" w:lineRule="auto"/>
        <w:rPr>
          <w:rFonts w:ascii="Arial"/>
          <w:color w:val="auto"/>
          <w:sz w:val="2"/>
          <w:highlight w:val="none"/>
        </w:rPr>
      </w:pPr>
    </w:p>
    <w:tbl>
      <w:tblPr>
        <w:tblStyle w:val="11"/>
        <w:tblW w:w="93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5"/>
        <w:gridCol w:w="2029"/>
        <w:gridCol w:w="968"/>
        <w:gridCol w:w="3027"/>
        <w:gridCol w:w="1377"/>
        <w:gridCol w:w="1283"/>
      </w:tblGrid>
      <w:tr w14:paraId="0FB6D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8" w:hRule="atLeast"/>
        </w:trPr>
        <w:tc>
          <w:tcPr>
            <w:tcW w:w="715" w:type="dxa"/>
            <w:vAlign w:val="top"/>
          </w:tcPr>
          <w:p w14:paraId="04FA1ED5">
            <w:pPr>
              <w:spacing w:line="263" w:lineRule="auto"/>
              <w:rPr>
                <w:rFonts w:ascii="Arial"/>
                <w:color w:val="auto"/>
                <w:sz w:val="21"/>
                <w:highlight w:val="none"/>
              </w:rPr>
            </w:pPr>
          </w:p>
          <w:p w14:paraId="31A6F756">
            <w:pPr>
              <w:pStyle w:val="12"/>
              <w:spacing w:before="78" w:line="221" w:lineRule="auto"/>
              <w:ind w:left="123"/>
              <w:rPr>
                <w:color w:val="auto"/>
                <w:sz w:val="24"/>
                <w:szCs w:val="24"/>
                <w:highlight w:val="none"/>
              </w:rPr>
            </w:pPr>
            <w:r>
              <w:rPr>
                <w:color w:val="auto"/>
                <w:spacing w:val="-3"/>
                <w:sz w:val="24"/>
                <w:szCs w:val="24"/>
                <w:highlight w:val="none"/>
              </w:rPr>
              <w:t>序号</w:t>
            </w:r>
          </w:p>
        </w:tc>
        <w:tc>
          <w:tcPr>
            <w:tcW w:w="2029" w:type="dxa"/>
            <w:vAlign w:val="top"/>
          </w:tcPr>
          <w:p w14:paraId="6ED89EB8">
            <w:pPr>
              <w:spacing w:line="263" w:lineRule="auto"/>
              <w:rPr>
                <w:rFonts w:ascii="Arial"/>
                <w:color w:val="auto"/>
                <w:sz w:val="21"/>
                <w:highlight w:val="none"/>
              </w:rPr>
            </w:pPr>
          </w:p>
          <w:p w14:paraId="05314BC2">
            <w:pPr>
              <w:pStyle w:val="12"/>
              <w:spacing w:before="78" w:line="220" w:lineRule="auto"/>
              <w:ind w:left="677"/>
              <w:rPr>
                <w:color w:val="auto"/>
                <w:sz w:val="24"/>
                <w:szCs w:val="24"/>
                <w:highlight w:val="none"/>
              </w:rPr>
            </w:pPr>
            <w:r>
              <w:rPr>
                <w:color w:val="auto"/>
                <w:spacing w:val="-2"/>
                <w:sz w:val="24"/>
                <w:szCs w:val="24"/>
                <w:highlight w:val="none"/>
              </w:rPr>
              <w:t>标的名称</w:t>
            </w:r>
          </w:p>
        </w:tc>
        <w:tc>
          <w:tcPr>
            <w:tcW w:w="968" w:type="dxa"/>
            <w:vAlign w:val="top"/>
          </w:tcPr>
          <w:p w14:paraId="645CF4BA">
            <w:pPr>
              <w:spacing w:line="262" w:lineRule="auto"/>
              <w:rPr>
                <w:rFonts w:ascii="Arial"/>
                <w:color w:val="auto"/>
                <w:sz w:val="21"/>
                <w:highlight w:val="none"/>
              </w:rPr>
            </w:pPr>
          </w:p>
          <w:p w14:paraId="031B72B0">
            <w:pPr>
              <w:pStyle w:val="12"/>
              <w:spacing w:before="78" w:line="220" w:lineRule="auto"/>
              <w:ind w:left="264"/>
              <w:rPr>
                <w:color w:val="auto"/>
                <w:sz w:val="24"/>
                <w:szCs w:val="24"/>
                <w:highlight w:val="none"/>
              </w:rPr>
            </w:pPr>
            <w:r>
              <w:rPr>
                <w:color w:val="auto"/>
                <w:spacing w:val="-3"/>
                <w:sz w:val="24"/>
                <w:szCs w:val="24"/>
                <w:highlight w:val="none"/>
              </w:rPr>
              <w:t>数量</w:t>
            </w:r>
          </w:p>
        </w:tc>
        <w:tc>
          <w:tcPr>
            <w:tcW w:w="3027" w:type="dxa"/>
            <w:vAlign w:val="top"/>
          </w:tcPr>
          <w:p w14:paraId="5BA6D919">
            <w:pPr>
              <w:spacing w:line="262" w:lineRule="auto"/>
              <w:rPr>
                <w:rFonts w:ascii="Arial"/>
                <w:color w:val="auto"/>
                <w:sz w:val="21"/>
                <w:highlight w:val="none"/>
              </w:rPr>
            </w:pPr>
          </w:p>
          <w:p w14:paraId="4C618F42">
            <w:pPr>
              <w:pStyle w:val="12"/>
              <w:spacing w:before="78" w:line="220" w:lineRule="auto"/>
              <w:ind w:left="1084"/>
              <w:rPr>
                <w:color w:val="auto"/>
                <w:sz w:val="24"/>
                <w:szCs w:val="24"/>
                <w:highlight w:val="none"/>
              </w:rPr>
            </w:pPr>
            <w:r>
              <w:rPr>
                <w:color w:val="auto"/>
                <w:spacing w:val="-2"/>
                <w:sz w:val="24"/>
                <w:szCs w:val="24"/>
                <w:highlight w:val="none"/>
              </w:rPr>
              <w:t>服务内容</w:t>
            </w:r>
          </w:p>
        </w:tc>
        <w:tc>
          <w:tcPr>
            <w:tcW w:w="1377" w:type="dxa"/>
            <w:vAlign w:val="top"/>
          </w:tcPr>
          <w:p w14:paraId="52A5CB6A">
            <w:pPr>
              <w:spacing w:line="262" w:lineRule="auto"/>
              <w:rPr>
                <w:rFonts w:ascii="Arial"/>
                <w:color w:val="auto"/>
                <w:sz w:val="21"/>
                <w:highlight w:val="none"/>
              </w:rPr>
            </w:pPr>
          </w:p>
          <w:p w14:paraId="21020125">
            <w:pPr>
              <w:pStyle w:val="12"/>
              <w:spacing w:before="78" w:line="220" w:lineRule="auto"/>
              <w:ind w:right="17"/>
              <w:jc w:val="center"/>
              <w:rPr>
                <w:rFonts w:hint="default" w:eastAsia="宋体"/>
                <w:color w:val="auto"/>
                <w:sz w:val="24"/>
                <w:szCs w:val="24"/>
                <w:highlight w:val="none"/>
                <w:lang w:val="en-US" w:eastAsia="zh-CN"/>
              </w:rPr>
            </w:pPr>
            <w:r>
              <w:rPr>
                <w:rFonts w:hint="eastAsia"/>
                <w:color w:val="auto"/>
                <w:spacing w:val="-7"/>
                <w:sz w:val="24"/>
                <w:szCs w:val="24"/>
                <w:highlight w:val="none"/>
                <w:lang w:val="en-US" w:eastAsia="zh-CN"/>
              </w:rPr>
              <w:t>成交费率</w:t>
            </w:r>
          </w:p>
        </w:tc>
        <w:tc>
          <w:tcPr>
            <w:tcW w:w="1283" w:type="dxa"/>
            <w:vAlign w:val="top"/>
          </w:tcPr>
          <w:p w14:paraId="7D612D0E">
            <w:pPr>
              <w:spacing w:line="263" w:lineRule="auto"/>
              <w:rPr>
                <w:rFonts w:ascii="Arial"/>
                <w:color w:val="auto"/>
                <w:sz w:val="21"/>
                <w:highlight w:val="none"/>
              </w:rPr>
            </w:pPr>
          </w:p>
          <w:p w14:paraId="60F89AFC">
            <w:pPr>
              <w:pStyle w:val="12"/>
              <w:spacing w:before="78" w:line="221" w:lineRule="auto"/>
              <w:ind w:left="124"/>
              <w:rPr>
                <w:color w:val="auto"/>
                <w:sz w:val="24"/>
                <w:szCs w:val="24"/>
                <w:highlight w:val="none"/>
              </w:rPr>
            </w:pPr>
            <w:r>
              <w:rPr>
                <w:color w:val="auto"/>
                <w:spacing w:val="-4"/>
                <w:sz w:val="24"/>
                <w:szCs w:val="24"/>
                <w:highlight w:val="none"/>
              </w:rPr>
              <w:t>备注</w:t>
            </w:r>
          </w:p>
        </w:tc>
      </w:tr>
      <w:tr w14:paraId="18B6A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3" w:hRule="atLeast"/>
        </w:trPr>
        <w:tc>
          <w:tcPr>
            <w:tcW w:w="715" w:type="dxa"/>
            <w:vAlign w:val="top"/>
          </w:tcPr>
          <w:p w14:paraId="1DFBAAEC">
            <w:pPr>
              <w:spacing w:line="289" w:lineRule="auto"/>
              <w:rPr>
                <w:rFonts w:ascii="Arial"/>
                <w:color w:val="auto"/>
                <w:sz w:val="21"/>
                <w:highlight w:val="none"/>
              </w:rPr>
            </w:pPr>
          </w:p>
          <w:p w14:paraId="10DC23FA">
            <w:pPr>
              <w:pStyle w:val="12"/>
              <w:spacing w:before="78" w:line="241" w:lineRule="auto"/>
              <w:ind w:left="322"/>
              <w:rPr>
                <w:color w:val="auto"/>
                <w:sz w:val="24"/>
                <w:szCs w:val="24"/>
                <w:highlight w:val="none"/>
              </w:rPr>
            </w:pPr>
            <w:r>
              <w:rPr>
                <w:color w:val="auto"/>
                <w:sz w:val="24"/>
                <w:szCs w:val="24"/>
                <w:highlight w:val="none"/>
              </w:rPr>
              <w:t>1</w:t>
            </w:r>
          </w:p>
        </w:tc>
        <w:tc>
          <w:tcPr>
            <w:tcW w:w="2029" w:type="dxa"/>
            <w:vAlign w:val="top"/>
          </w:tcPr>
          <w:p w14:paraId="4325EA9D">
            <w:pPr>
              <w:pStyle w:val="12"/>
              <w:spacing w:before="147" w:line="279" w:lineRule="auto"/>
              <w:ind w:left="179" w:right="130" w:hanging="42"/>
              <w:rPr>
                <w:rFonts w:hint="eastAsia" w:eastAsia="宋体"/>
                <w:color w:val="auto"/>
                <w:sz w:val="24"/>
                <w:szCs w:val="24"/>
                <w:highlight w:val="none"/>
                <w:lang w:eastAsia="zh-CN"/>
              </w:rPr>
            </w:pPr>
            <w:r>
              <w:rPr>
                <w:rFonts w:hint="eastAsia"/>
                <w:color w:val="auto"/>
                <w:spacing w:val="-4"/>
                <w:sz w:val="24"/>
                <w:szCs w:val="24"/>
                <w:highlight w:val="none"/>
                <w:lang w:eastAsia="zh-CN"/>
              </w:rPr>
              <w:t>北流市2026年财政常态化帮扶资金项目复核验收服务</w:t>
            </w:r>
          </w:p>
        </w:tc>
        <w:tc>
          <w:tcPr>
            <w:tcW w:w="968" w:type="dxa"/>
            <w:vAlign w:val="top"/>
          </w:tcPr>
          <w:p w14:paraId="2221DEFA">
            <w:pPr>
              <w:spacing w:line="289" w:lineRule="auto"/>
              <w:rPr>
                <w:rFonts w:ascii="Arial"/>
                <w:color w:val="auto"/>
                <w:sz w:val="21"/>
                <w:highlight w:val="none"/>
              </w:rPr>
            </w:pPr>
          </w:p>
          <w:p w14:paraId="76CEB387">
            <w:pPr>
              <w:pStyle w:val="12"/>
              <w:spacing w:before="78" w:line="221" w:lineRule="auto"/>
              <w:ind w:left="309"/>
              <w:rPr>
                <w:rFonts w:hint="eastAsia" w:eastAsia="宋体"/>
                <w:color w:val="auto"/>
                <w:sz w:val="24"/>
                <w:szCs w:val="24"/>
                <w:highlight w:val="none"/>
                <w:lang w:eastAsia="zh-CN"/>
              </w:rPr>
            </w:pPr>
            <w:r>
              <w:rPr>
                <w:rFonts w:hint="eastAsia"/>
                <w:color w:val="auto"/>
                <w:spacing w:val="-14"/>
                <w:sz w:val="24"/>
                <w:szCs w:val="24"/>
                <w:highlight w:val="none"/>
                <w:lang w:eastAsia="zh-CN"/>
              </w:rPr>
              <w:t>1项</w:t>
            </w:r>
          </w:p>
        </w:tc>
        <w:tc>
          <w:tcPr>
            <w:tcW w:w="3027" w:type="dxa"/>
            <w:vAlign w:val="top"/>
          </w:tcPr>
          <w:p w14:paraId="3C649177">
            <w:pPr>
              <w:pStyle w:val="12"/>
              <w:spacing w:before="78" w:line="220" w:lineRule="auto"/>
              <w:ind w:left="100" w:leftChars="0" w:firstLine="0" w:firstLineChars="0"/>
              <w:rPr>
                <w:rFonts w:hint="default" w:ascii="Arial" w:eastAsia="宋体"/>
                <w:color w:val="auto"/>
                <w:sz w:val="21"/>
                <w:highlight w:val="none"/>
                <w:lang w:val="en-US" w:eastAsia="zh-CN"/>
              </w:rPr>
            </w:pPr>
            <w:r>
              <w:rPr>
                <w:rFonts w:hint="eastAsia" w:ascii="宋体" w:hAnsi="宋体" w:eastAsia="宋体" w:cs="宋体"/>
                <w:color w:val="auto"/>
                <w:spacing w:val="-2"/>
                <w:sz w:val="24"/>
                <w:szCs w:val="24"/>
                <w:highlight w:val="none"/>
                <w:lang w:val="en-US" w:eastAsia="zh-CN"/>
              </w:rPr>
              <w:t>对服务范围内的工程项目开展工程量复核、工程质量检测验收服务。服务范围见附件1内容。</w:t>
            </w:r>
          </w:p>
        </w:tc>
        <w:tc>
          <w:tcPr>
            <w:tcW w:w="1377" w:type="dxa"/>
            <w:vAlign w:val="top"/>
          </w:tcPr>
          <w:p w14:paraId="31DA7F40">
            <w:pPr>
              <w:rPr>
                <w:rFonts w:ascii="Arial"/>
                <w:color w:val="auto"/>
                <w:sz w:val="21"/>
                <w:highlight w:val="none"/>
              </w:rPr>
            </w:pPr>
          </w:p>
        </w:tc>
        <w:tc>
          <w:tcPr>
            <w:tcW w:w="1283" w:type="dxa"/>
            <w:vAlign w:val="top"/>
          </w:tcPr>
          <w:p w14:paraId="4B59D1F6">
            <w:pPr>
              <w:rPr>
                <w:rFonts w:ascii="Arial"/>
                <w:color w:val="auto"/>
                <w:sz w:val="21"/>
                <w:highlight w:val="none"/>
              </w:rPr>
            </w:pPr>
          </w:p>
        </w:tc>
      </w:tr>
    </w:tbl>
    <w:p w14:paraId="17076E24">
      <w:pPr>
        <w:spacing w:before="146" w:line="220" w:lineRule="auto"/>
        <w:ind w:left="676"/>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第二条服务时间</w:t>
      </w:r>
    </w:p>
    <w:p w14:paraId="7A388E92">
      <w:pPr>
        <w:spacing w:before="153" w:line="220" w:lineRule="auto"/>
        <w:ind w:left="691"/>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1.服务期限为：</w:t>
      </w:r>
      <w:r>
        <w:rPr>
          <w:rFonts w:hint="eastAsia" w:ascii="宋体" w:hAnsi="宋体" w:eastAsia="宋体" w:cs="宋体"/>
          <w:color w:val="auto"/>
          <w:spacing w:val="-3"/>
          <w:sz w:val="24"/>
          <w:szCs w:val="24"/>
          <w:highlight w:val="none"/>
          <w:u w:val="single"/>
          <w:lang w:val="en-US" w:eastAsia="zh-CN"/>
        </w:rPr>
        <w:t xml:space="preserve">       </w:t>
      </w:r>
      <w:r>
        <w:rPr>
          <w:rFonts w:ascii="宋体" w:hAnsi="宋体" w:eastAsia="宋体" w:cs="宋体"/>
          <w:color w:val="auto"/>
          <w:spacing w:val="-3"/>
          <w:sz w:val="24"/>
          <w:szCs w:val="24"/>
          <w:highlight w:val="none"/>
        </w:rPr>
        <w:t>。</w:t>
      </w:r>
    </w:p>
    <w:p w14:paraId="046AA1EC">
      <w:pPr>
        <w:spacing w:before="155" w:line="220" w:lineRule="auto"/>
        <w:ind w:left="676"/>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第三条服务费用</w:t>
      </w:r>
    </w:p>
    <w:p w14:paraId="2EA3C52B">
      <w:pPr>
        <w:spacing w:before="155" w:line="278" w:lineRule="auto"/>
        <w:ind w:left="676" w:right="296" w:firstLine="15"/>
        <w:rPr>
          <w:rFonts w:ascii="宋体" w:hAnsi="宋体" w:eastAsia="宋体" w:cs="宋体"/>
          <w:color w:val="auto"/>
          <w:spacing w:val="-18"/>
          <w:sz w:val="24"/>
          <w:szCs w:val="24"/>
          <w:highlight w:val="none"/>
        </w:rPr>
      </w:pPr>
      <w:r>
        <w:rPr>
          <w:rFonts w:ascii="宋体" w:hAnsi="宋体" w:eastAsia="宋体" w:cs="宋体"/>
          <w:color w:val="auto"/>
          <w:spacing w:val="-17"/>
          <w:sz w:val="24"/>
          <w:szCs w:val="24"/>
          <w:highlight w:val="none"/>
        </w:rPr>
        <w:t>1.合同</w:t>
      </w:r>
      <w:r>
        <w:rPr>
          <w:rFonts w:hint="eastAsia" w:ascii="宋体" w:hAnsi="宋体" w:eastAsia="宋体" w:cs="宋体"/>
          <w:color w:val="auto"/>
          <w:spacing w:val="-17"/>
          <w:sz w:val="24"/>
          <w:szCs w:val="24"/>
          <w:highlight w:val="none"/>
          <w:lang w:val="en-US" w:eastAsia="zh-CN"/>
        </w:rPr>
        <w:t>金额</w:t>
      </w:r>
      <w:r>
        <w:rPr>
          <w:rFonts w:hint="eastAsia"/>
          <w:color w:val="auto"/>
          <w:spacing w:val="2"/>
          <w:sz w:val="24"/>
          <w:szCs w:val="24"/>
          <w:highlight w:val="none"/>
          <w:lang w:val="en-US" w:eastAsia="zh-CN"/>
        </w:rPr>
        <w:t>（按69209611.50元×成交费率填写）</w:t>
      </w:r>
      <w:r>
        <w:rPr>
          <w:rFonts w:ascii="宋体" w:hAnsi="宋体" w:eastAsia="宋体" w:cs="宋体"/>
          <w:color w:val="auto"/>
          <w:spacing w:val="-17"/>
          <w:sz w:val="24"/>
          <w:szCs w:val="24"/>
          <w:highlight w:val="none"/>
        </w:rPr>
        <w:t>为：人民币（大写</w:t>
      </w:r>
      <w:r>
        <w:rPr>
          <w:rFonts w:ascii="宋体" w:hAnsi="宋体" w:eastAsia="宋体" w:cs="宋体"/>
          <w:color w:val="auto"/>
          <w:spacing w:val="-43"/>
          <w:sz w:val="24"/>
          <w:szCs w:val="24"/>
          <w:highlight w:val="none"/>
        </w:rPr>
        <w:t>）（</w:t>
      </w:r>
      <w:r>
        <w:rPr>
          <w:rFonts w:ascii="宋体" w:hAnsi="宋体" w:eastAsia="宋体" w:cs="宋体"/>
          <w:color w:val="auto"/>
          <w:spacing w:val="-17"/>
          <w:sz w:val="24"/>
          <w:szCs w:val="24"/>
          <w:highlight w:val="none"/>
        </w:rPr>
        <w:t>小写：</w:t>
      </w:r>
      <w:r>
        <w:rPr>
          <w:rFonts w:ascii="宋体" w:hAnsi="宋体" w:eastAsia="宋体" w:cs="宋体"/>
          <w:color w:val="auto"/>
          <w:spacing w:val="-18"/>
          <w:sz w:val="24"/>
          <w:szCs w:val="24"/>
          <w:highlight w:val="none"/>
        </w:rPr>
        <w:t>¥)。</w:t>
      </w:r>
    </w:p>
    <w:p w14:paraId="16B4FC82">
      <w:pPr>
        <w:spacing w:before="155" w:line="278" w:lineRule="auto"/>
        <w:ind w:left="676" w:right="296" w:firstLine="15"/>
        <w:rPr>
          <w:rFonts w:ascii="宋体" w:hAnsi="宋体" w:eastAsia="宋体" w:cs="宋体"/>
          <w:color w:val="auto"/>
          <w:sz w:val="24"/>
          <w:szCs w:val="24"/>
          <w:highlight w:val="none"/>
        </w:rPr>
      </w:pPr>
      <w:r>
        <w:rPr>
          <w:rFonts w:ascii="宋体" w:hAnsi="宋体" w:eastAsia="宋体" w:cs="宋体"/>
          <w:b/>
          <w:bCs/>
          <w:color w:val="auto"/>
          <w:spacing w:val="-4"/>
          <w:sz w:val="24"/>
          <w:szCs w:val="24"/>
          <w:highlight w:val="none"/>
        </w:rPr>
        <w:t>注：服务费满足全部采购需求所应提供的服务，包括但不</w:t>
      </w:r>
      <w:r>
        <w:rPr>
          <w:rFonts w:ascii="宋体" w:hAnsi="宋体" w:eastAsia="宋体" w:cs="宋体"/>
          <w:b/>
          <w:bCs/>
          <w:color w:val="auto"/>
          <w:spacing w:val="-5"/>
          <w:sz w:val="24"/>
          <w:szCs w:val="24"/>
          <w:highlight w:val="none"/>
        </w:rPr>
        <w:t>限于本项目所有服务费</w:t>
      </w:r>
      <w:r>
        <w:rPr>
          <w:rFonts w:ascii="宋体" w:hAnsi="宋体" w:eastAsia="宋体" w:cs="宋体"/>
          <w:b/>
          <w:bCs/>
          <w:color w:val="auto"/>
          <w:spacing w:val="-4"/>
          <w:sz w:val="24"/>
          <w:szCs w:val="24"/>
          <w:highlight w:val="none"/>
        </w:rPr>
        <w:t>用：</w:t>
      </w:r>
      <w:r>
        <w:rPr>
          <w:rFonts w:hint="eastAsia" w:ascii="宋体" w:hAnsi="宋体" w:eastAsia="宋体" w:cs="宋体"/>
          <w:b/>
          <w:bCs/>
          <w:color w:val="auto"/>
          <w:spacing w:val="-4"/>
          <w:sz w:val="24"/>
          <w:szCs w:val="24"/>
          <w:highlight w:val="none"/>
          <w:lang w:val="en-US" w:eastAsia="zh-CN"/>
        </w:rPr>
        <w:t>成本、管理、福利、服装费、加班、交通、食宿、保险、利润、税金、采购代理服务费、政策性文件规定及合同包含的所有风险、责任等各项应有费用</w:t>
      </w:r>
      <w:r>
        <w:rPr>
          <w:rFonts w:ascii="宋体" w:hAnsi="宋体" w:eastAsia="宋体" w:cs="宋体"/>
          <w:b/>
          <w:bCs/>
          <w:color w:val="auto"/>
          <w:spacing w:val="-4"/>
          <w:sz w:val="24"/>
          <w:szCs w:val="24"/>
          <w:highlight w:val="none"/>
        </w:rPr>
        <w:t>及其他所有可能发生的一切费用。</w:t>
      </w:r>
      <w:r>
        <w:rPr>
          <w:rFonts w:ascii="宋体" w:hAnsi="宋体" w:eastAsia="宋体" w:cs="宋体"/>
          <w:b/>
          <w:bCs/>
          <w:color w:val="auto"/>
          <w:spacing w:val="-3"/>
          <w:sz w:val="24"/>
          <w:szCs w:val="24"/>
          <w:highlight w:val="none"/>
        </w:rPr>
        <w:t>采购人不再支付任何费用。</w:t>
      </w:r>
    </w:p>
    <w:p w14:paraId="3C8721CF">
      <w:pPr>
        <w:spacing w:before="1" w:line="219" w:lineRule="auto"/>
        <w:ind w:left="679"/>
        <w:rPr>
          <w:rFonts w:ascii="宋体" w:hAnsi="宋体" w:eastAsia="宋体" w:cs="宋体"/>
          <w:b/>
          <w:bCs/>
          <w:color w:val="auto"/>
          <w:spacing w:val="-6"/>
          <w:sz w:val="24"/>
          <w:szCs w:val="24"/>
          <w:highlight w:val="none"/>
        </w:rPr>
      </w:pPr>
    </w:p>
    <w:p w14:paraId="4B3FE548">
      <w:pPr>
        <w:spacing w:before="1" w:line="219" w:lineRule="auto"/>
        <w:ind w:left="679"/>
        <w:rPr>
          <w:rFonts w:ascii="宋体" w:hAnsi="宋体" w:eastAsia="宋体" w:cs="宋体"/>
          <w:color w:val="auto"/>
          <w:sz w:val="24"/>
          <w:szCs w:val="24"/>
          <w:highlight w:val="none"/>
        </w:rPr>
      </w:pPr>
      <w:r>
        <w:rPr>
          <w:rFonts w:ascii="宋体" w:hAnsi="宋体" w:eastAsia="宋体" w:cs="宋体"/>
          <w:b/>
          <w:bCs/>
          <w:color w:val="auto"/>
          <w:spacing w:val="-6"/>
          <w:sz w:val="24"/>
          <w:szCs w:val="24"/>
          <w:highlight w:val="none"/>
        </w:rPr>
        <w:t>2.付款条件</w:t>
      </w:r>
    </w:p>
    <w:p w14:paraId="0B4D9091">
      <w:pPr>
        <w:spacing w:before="2" w:line="339" w:lineRule="auto"/>
        <w:ind w:left="194" w:right="384" w:firstLine="479"/>
        <w:rPr>
          <w:rFonts w:hint="eastAsia" w:ascii="宋体" w:hAnsi="宋体" w:eastAsia="宋体" w:cs="宋体"/>
          <w:color w:val="auto"/>
          <w:spacing w:val="-4"/>
          <w:sz w:val="24"/>
          <w:szCs w:val="24"/>
          <w:highlight w:val="none"/>
          <w:lang w:val="en-US" w:eastAsia="zh-CN"/>
        </w:rPr>
      </w:pPr>
    </w:p>
    <w:p w14:paraId="08970823">
      <w:pPr>
        <w:spacing w:before="2" w:line="339" w:lineRule="auto"/>
        <w:ind w:left="0" w:leftChars="0" w:right="117" w:rightChars="0" w:firstLine="660" w:firstLineChars="275"/>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1、预付款：合同签订后支付30%的预付款； </w:t>
      </w:r>
    </w:p>
    <w:p w14:paraId="6BF64DF0">
      <w:pPr>
        <w:spacing w:before="2" w:line="339" w:lineRule="auto"/>
        <w:ind w:left="0" w:leftChars="0" w:right="117" w:rightChars="0" w:firstLine="660" w:firstLineChars="275"/>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2、进度款：按项目完成进度支付，按完成子项目数量占项目总数量的70%时，甲方向乙方支付至项目服务费的60%;完成子项目数量占项目总数量的100%时，甲方向乙方支付至项目服务费的90%止暂停支付（含预付款）;</w:t>
      </w:r>
    </w:p>
    <w:p w14:paraId="01A92DC9">
      <w:pPr>
        <w:spacing w:before="2" w:line="339" w:lineRule="auto"/>
        <w:ind w:left="0" w:leftChars="0" w:right="117" w:rightChars="0" w:firstLine="660" w:firstLineChars="275"/>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3、所有子项目通过相关部门竣工验收后，以最终实际完成并通过相关部门验收的工程数量为依据计算最终结算价款。（计算公式：最终结算价款=实际完成并验收通过的工程数量的施工合同金额合计数</w:t>
      </w:r>
      <w:r>
        <w:rPr>
          <w:rFonts w:hint="eastAsia" w:ascii="宋体" w:hAnsi="宋体" w:eastAsia="宋体" w:cs="宋体"/>
          <w:color w:val="auto"/>
          <w:sz w:val="24"/>
          <w:szCs w:val="24"/>
          <w:highlight w:val="none"/>
          <w:lang w:val="en-US" w:eastAsia="zh-CN"/>
        </w:rPr>
        <w:t>×成交费率）</w:t>
      </w:r>
    </w:p>
    <w:p w14:paraId="64A47357">
      <w:pPr>
        <w:spacing w:before="2" w:line="339" w:lineRule="auto"/>
        <w:ind w:left="0" w:leftChars="0" w:right="117" w:rightChars="0" w:firstLine="660" w:firstLineChars="27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4、服务结算价款如超出合同价款则按合同价款支付，如低于合同价款则按结算价款支付。</w:t>
      </w:r>
    </w:p>
    <w:p w14:paraId="68565E9F">
      <w:pPr>
        <w:spacing w:before="154" w:line="220" w:lineRule="auto"/>
        <w:ind w:left="0" w:leftChars="0" w:firstLine="468" w:firstLineChars="199"/>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第四条双方权利与义务</w:t>
      </w:r>
    </w:p>
    <w:p w14:paraId="52E3983E">
      <w:pPr>
        <w:spacing w:before="153" w:line="220" w:lineRule="auto"/>
        <w:ind w:left="0" w:leftChars="0" w:firstLine="433" w:firstLineChars="199"/>
        <w:rPr>
          <w:rFonts w:ascii="宋体" w:hAnsi="宋体" w:eastAsia="宋体" w:cs="宋体"/>
          <w:color w:val="auto"/>
          <w:sz w:val="24"/>
          <w:szCs w:val="24"/>
          <w:highlight w:val="none"/>
        </w:rPr>
      </w:pPr>
      <w:r>
        <w:rPr>
          <w:rFonts w:ascii="宋体" w:hAnsi="宋体" w:eastAsia="宋体" w:cs="宋体"/>
          <w:color w:val="auto"/>
          <w:spacing w:val="-11"/>
          <w:sz w:val="24"/>
          <w:szCs w:val="24"/>
          <w:highlight w:val="none"/>
        </w:rPr>
        <w:t>甲方权利与义务：</w:t>
      </w:r>
    </w:p>
    <w:p w14:paraId="38131E7E">
      <w:pPr>
        <w:spacing w:before="156" w:line="220" w:lineRule="auto"/>
        <w:ind w:left="0" w:leftChars="0" w:firstLine="437" w:firstLineChars="199"/>
        <w:rPr>
          <w:rFonts w:ascii="宋体" w:hAnsi="宋体" w:eastAsia="宋体" w:cs="宋体"/>
          <w:color w:val="auto"/>
          <w:spacing w:val="-10"/>
          <w:sz w:val="24"/>
          <w:szCs w:val="24"/>
          <w:highlight w:val="none"/>
        </w:rPr>
      </w:pPr>
      <w:r>
        <w:rPr>
          <w:rFonts w:hint="eastAsia" w:ascii="宋体" w:hAnsi="宋体" w:eastAsia="宋体" w:cs="宋体"/>
          <w:color w:val="auto"/>
          <w:spacing w:val="-10"/>
          <w:sz w:val="24"/>
          <w:szCs w:val="24"/>
          <w:highlight w:val="none"/>
          <w:lang w:val="en-US" w:eastAsia="zh-CN"/>
        </w:rPr>
        <w:t>1.</w:t>
      </w:r>
      <w:r>
        <w:rPr>
          <w:rFonts w:ascii="宋体" w:hAnsi="宋体" w:eastAsia="宋体" w:cs="宋体"/>
          <w:color w:val="auto"/>
          <w:spacing w:val="-10"/>
          <w:sz w:val="24"/>
          <w:szCs w:val="24"/>
          <w:highlight w:val="none"/>
          <w:lang w:val="en-US" w:eastAsia="zh-CN"/>
        </w:rPr>
        <w:t>甲方权利</w:t>
      </w:r>
    </w:p>
    <w:p w14:paraId="199A9FAB">
      <w:pPr>
        <w:spacing w:before="156" w:line="220" w:lineRule="auto"/>
        <w:ind w:left="0" w:leftChars="0" w:firstLine="437" w:firstLineChars="199"/>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lang w:val="en-US" w:eastAsia="zh-CN"/>
        </w:rPr>
        <w:t>（1）有权对乙方服务全过程进行监督、检查、考核，对乙方服务不规范、内容缺失、质量不达标、进度滞后的行为提出整改要求。</w:t>
      </w:r>
    </w:p>
    <w:p w14:paraId="5C9D9E07">
      <w:pPr>
        <w:spacing w:before="156" w:line="220" w:lineRule="auto"/>
        <w:ind w:left="0" w:leftChars="0" w:firstLine="437" w:firstLineChars="199"/>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lang w:val="en-US" w:eastAsia="zh-CN"/>
        </w:rPr>
        <w:t>（2）有权审核乙方所有验收成果，对数据不实、结论失真、资料不全、不符合要求的成果不予签收、不予结算，责令乙方无偿整改、重新编制。</w:t>
      </w:r>
    </w:p>
    <w:p w14:paraId="13947595">
      <w:pPr>
        <w:spacing w:before="156" w:line="220" w:lineRule="auto"/>
        <w:ind w:left="0" w:leftChars="0" w:firstLine="437" w:firstLineChars="199"/>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lang w:val="en-US" w:eastAsia="zh-CN"/>
        </w:rPr>
        <w:t>（3）有权要求乙方更换不专业、不作为、履职不到位的服务人员，有权对乙方违规履约行为追究违约责任。</w:t>
      </w:r>
    </w:p>
    <w:p w14:paraId="58E7DFF1">
      <w:pPr>
        <w:spacing w:before="156" w:line="220" w:lineRule="auto"/>
        <w:ind w:left="0" w:leftChars="0" w:firstLine="437" w:firstLineChars="199"/>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lang w:val="en-US" w:eastAsia="zh-CN"/>
        </w:rPr>
        <w:t>（4）有权根据主管部门最新验收、审计要求，督促乙方补充核查内容、完善验收成果、闭环整改问题。</w:t>
      </w:r>
    </w:p>
    <w:p w14:paraId="3C600CF7">
      <w:pPr>
        <w:spacing w:before="156" w:line="220" w:lineRule="auto"/>
        <w:ind w:left="0" w:leftChars="0" w:firstLine="437" w:firstLineChars="199"/>
        <w:rPr>
          <w:rFonts w:ascii="宋体" w:hAnsi="宋体" w:eastAsia="宋体" w:cs="宋体"/>
          <w:color w:val="auto"/>
          <w:spacing w:val="-10"/>
          <w:sz w:val="24"/>
          <w:szCs w:val="24"/>
          <w:highlight w:val="none"/>
        </w:rPr>
      </w:pPr>
      <w:r>
        <w:rPr>
          <w:rFonts w:hint="eastAsia" w:ascii="宋体" w:hAnsi="宋体" w:eastAsia="宋体" w:cs="宋体"/>
          <w:color w:val="auto"/>
          <w:spacing w:val="-10"/>
          <w:sz w:val="24"/>
          <w:szCs w:val="24"/>
          <w:highlight w:val="none"/>
          <w:lang w:val="en-US" w:eastAsia="zh-CN"/>
        </w:rPr>
        <w:t>2.</w:t>
      </w:r>
      <w:r>
        <w:rPr>
          <w:rFonts w:ascii="宋体" w:hAnsi="宋体" w:eastAsia="宋体" w:cs="宋体"/>
          <w:color w:val="auto"/>
          <w:spacing w:val="-10"/>
          <w:sz w:val="24"/>
          <w:szCs w:val="24"/>
          <w:highlight w:val="none"/>
          <w:lang w:val="en-US" w:eastAsia="zh-CN"/>
        </w:rPr>
        <w:t>甲方义务</w:t>
      </w:r>
    </w:p>
    <w:p w14:paraId="7F94F41C">
      <w:pPr>
        <w:spacing w:before="156" w:line="220" w:lineRule="auto"/>
        <w:ind w:left="0" w:leftChars="0" w:firstLine="437" w:firstLineChars="199"/>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lang w:val="en-US" w:eastAsia="zh-CN"/>
        </w:rPr>
        <w:t>（1）及时向乙方提供项目批复文件、实施方案、图纸、合同、竣工资料、财务凭证等现有台账资料，配合乙方开展现场核查工作。</w:t>
      </w:r>
    </w:p>
    <w:p w14:paraId="75D3D1AE">
      <w:pPr>
        <w:spacing w:before="156" w:line="220" w:lineRule="auto"/>
        <w:ind w:left="0" w:leftChars="0" w:firstLine="437" w:firstLineChars="199"/>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lang w:val="en-US" w:eastAsia="zh-CN"/>
        </w:rPr>
        <w:t>（2）协调各村、项目施工单位、管护单位配合乙方现场踏勘、实测实量、资料核查、问题整改复核工作。</w:t>
      </w:r>
    </w:p>
    <w:p w14:paraId="7D635C70">
      <w:pPr>
        <w:spacing w:before="156" w:line="220" w:lineRule="auto"/>
        <w:ind w:left="0" w:leftChars="0" w:firstLine="437" w:firstLineChars="199"/>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lang w:val="en-US" w:eastAsia="zh-CN"/>
        </w:rPr>
        <w:t>（3）按照本合同约定，在乙方合格履约、成果验收通过后，按时足额支付服务费用。</w:t>
      </w:r>
    </w:p>
    <w:p w14:paraId="4E7F90F1">
      <w:pPr>
        <w:spacing w:before="156" w:line="220" w:lineRule="auto"/>
        <w:ind w:left="0" w:leftChars="0" w:firstLine="437" w:firstLineChars="199"/>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lang w:val="en-US" w:eastAsia="zh-CN"/>
        </w:rPr>
        <w:t>（4）及时向乙方传达主管部门验收政策、整改要求、考核标准，保障乙方正常开展服务工作。</w:t>
      </w:r>
    </w:p>
    <w:p w14:paraId="260033AF">
      <w:pPr>
        <w:spacing w:before="156" w:line="220" w:lineRule="auto"/>
        <w:ind w:left="0" w:leftChars="0" w:firstLine="437" w:firstLineChars="199"/>
        <w:rPr>
          <w:rFonts w:ascii="宋体" w:hAnsi="宋体" w:eastAsia="宋体" w:cs="宋体"/>
          <w:color w:val="auto"/>
          <w:sz w:val="24"/>
          <w:szCs w:val="24"/>
          <w:highlight w:val="none"/>
        </w:rPr>
      </w:pPr>
      <w:r>
        <w:rPr>
          <w:rFonts w:ascii="宋体" w:hAnsi="宋体" w:eastAsia="宋体" w:cs="宋体"/>
          <w:color w:val="auto"/>
          <w:spacing w:val="-10"/>
          <w:sz w:val="24"/>
          <w:szCs w:val="24"/>
          <w:highlight w:val="none"/>
        </w:rPr>
        <w:t>乙方权利与义务：</w:t>
      </w:r>
    </w:p>
    <w:p w14:paraId="3F3893A2">
      <w:pPr>
        <w:spacing w:before="156" w:line="220" w:lineRule="auto"/>
        <w:ind w:left="0" w:leftChars="0" w:firstLine="437" w:firstLineChars="199"/>
        <w:rPr>
          <w:rFonts w:hint="eastAsia" w:ascii="宋体" w:hAnsi="宋体" w:eastAsia="宋体" w:cs="宋体"/>
          <w:color w:val="auto"/>
          <w:spacing w:val="-10"/>
          <w:sz w:val="24"/>
          <w:szCs w:val="24"/>
          <w:highlight w:val="none"/>
          <w:lang w:val="en-US" w:eastAsia="zh-CN"/>
        </w:rPr>
      </w:pPr>
      <w:r>
        <w:rPr>
          <w:rFonts w:hint="eastAsia" w:ascii="宋体" w:hAnsi="宋体" w:eastAsia="宋体" w:cs="宋体"/>
          <w:color w:val="auto"/>
          <w:spacing w:val="-10"/>
          <w:sz w:val="24"/>
          <w:szCs w:val="24"/>
          <w:highlight w:val="none"/>
          <w:lang w:val="en-US" w:eastAsia="zh-CN"/>
        </w:rPr>
        <w:t>1.乙方权利</w:t>
      </w:r>
    </w:p>
    <w:p w14:paraId="15F4B1FB">
      <w:pPr>
        <w:spacing w:before="156" w:line="220" w:lineRule="auto"/>
        <w:ind w:left="0" w:leftChars="0" w:firstLine="437" w:firstLineChars="199"/>
        <w:rPr>
          <w:rFonts w:hint="eastAsia" w:ascii="宋体" w:hAnsi="宋体" w:eastAsia="宋体" w:cs="宋体"/>
          <w:color w:val="auto"/>
          <w:spacing w:val="-10"/>
          <w:sz w:val="24"/>
          <w:szCs w:val="24"/>
          <w:highlight w:val="none"/>
          <w:lang w:val="en-US" w:eastAsia="zh-CN"/>
        </w:rPr>
      </w:pPr>
      <w:r>
        <w:rPr>
          <w:rFonts w:hint="eastAsia" w:ascii="宋体" w:hAnsi="宋体" w:eastAsia="宋体" w:cs="宋体"/>
          <w:color w:val="auto"/>
          <w:spacing w:val="-10"/>
          <w:sz w:val="24"/>
          <w:szCs w:val="24"/>
          <w:highlight w:val="none"/>
          <w:lang w:val="en-US" w:eastAsia="zh-CN"/>
        </w:rPr>
        <w:t>（1）有权要求甲方按时提供项目相关资料、协调相关单位配合现场核查工作。</w:t>
      </w:r>
    </w:p>
    <w:p w14:paraId="1B8E4ACC">
      <w:pPr>
        <w:spacing w:before="156" w:line="220" w:lineRule="auto"/>
        <w:ind w:left="0" w:leftChars="0" w:firstLine="437" w:firstLineChars="199"/>
        <w:rPr>
          <w:rFonts w:hint="eastAsia" w:ascii="宋体" w:hAnsi="宋体" w:eastAsia="宋体" w:cs="宋体"/>
          <w:color w:val="auto"/>
          <w:spacing w:val="-10"/>
          <w:sz w:val="24"/>
          <w:szCs w:val="24"/>
          <w:highlight w:val="none"/>
          <w:lang w:val="en-US" w:eastAsia="zh-CN"/>
        </w:rPr>
      </w:pPr>
      <w:r>
        <w:rPr>
          <w:rFonts w:hint="eastAsia" w:ascii="宋体" w:hAnsi="宋体" w:eastAsia="宋体" w:cs="宋体"/>
          <w:color w:val="auto"/>
          <w:spacing w:val="-10"/>
          <w:sz w:val="24"/>
          <w:szCs w:val="24"/>
          <w:highlight w:val="none"/>
          <w:lang w:val="en-US" w:eastAsia="zh-CN"/>
        </w:rPr>
        <w:t>（2）有权依据国家规范、项目批复标准独立开展复核验收、出具客观验收结论，不受无关人员干预。</w:t>
      </w:r>
    </w:p>
    <w:p w14:paraId="24F545BB">
      <w:pPr>
        <w:spacing w:before="156" w:line="220" w:lineRule="auto"/>
        <w:ind w:left="0" w:leftChars="0" w:firstLine="437" w:firstLineChars="199"/>
        <w:rPr>
          <w:rFonts w:hint="eastAsia" w:ascii="宋体" w:hAnsi="宋体" w:eastAsia="宋体" w:cs="宋体"/>
          <w:color w:val="auto"/>
          <w:spacing w:val="-10"/>
          <w:sz w:val="24"/>
          <w:szCs w:val="24"/>
          <w:highlight w:val="none"/>
          <w:lang w:val="en-US" w:eastAsia="zh-CN"/>
        </w:rPr>
      </w:pPr>
      <w:r>
        <w:rPr>
          <w:rFonts w:hint="eastAsia" w:ascii="宋体" w:hAnsi="宋体" w:eastAsia="宋体" w:cs="宋体"/>
          <w:color w:val="auto"/>
          <w:spacing w:val="-10"/>
          <w:sz w:val="24"/>
          <w:szCs w:val="24"/>
          <w:highlight w:val="none"/>
          <w:lang w:val="en-US" w:eastAsia="zh-CN"/>
        </w:rPr>
        <w:t>（3）在全面合格履约、成果通过甲方及主管部门审核后，有权按合同约定收取服务费用。</w:t>
      </w:r>
    </w:p>
    <w:p w14:paraId="3C452E2C">
      <w:pPr>
        <w:spacing w:before="156" w:line="220" w:lineRule="auto"/>
        <w:ind w:left="0" w:leftChars="0" w:firstLine="437" w:firstLineChars="199"/>
        <w:rPr>
          <w:rFonts w:hint="eastAsia" w:ascii="宋体" w:hAnsi="宋体" w:eastAsia="宋体" w:cs="宋体"/>
          <w:color w:val="auto"/>
          <w:spacing w:val="-10"/>
          <w:sz w:val="24"/>
          <w:szCs w:val="24"/>
          <w:highlight w:val="none"/>
          <w:lang w:val="en-US" w:eastAsia="zh-CN"/>
        </w:rPr>
      </w:pPr>
      <w:r>
        <w:rPr>
          <w:rFonts w:hint="eastAsia" w:ascii="宋体" w:hAnsi="宋体" w:eastAsia="宋体" w:cs="宋体"/>
          <w:color w:val="auto"/>
          <w:spacing w:val="-10"/>
          <w:sz w:val="24"/>
          <w:szCs w:val="24"/>
          <w:highlight w:val="none"/>
          <w:lang w:val="en-US" w:eastAsia="zh-CN"/>
        </w:rPr>
        <w:t>2.乙方义务</w:t>
      </w:r>
    </w:p>
    <w:p w14:paraId="6B93357A">
      <w:pPr>
        <w:spacing w:before="156" w:line="220" w:lineRule="auto"/>
        <w:ind w:left="0" w:leftChars="0" w:firstLine="437" w:firstLineChars="199"/>
        <w:rPr>
          <w:rFonts w:hint="eastAsia" w:ascii="宋体" w:hAnsi="宋体" w:eastAsia="宋体" w:cs="宋体"/>
          <w:color w:val="auto"/>
          <w:spacing w:val="-10"/>
          <w:sz w:val="24"/>
          <w:szCs w:val="24"/>
          <w:highlight w:val="none"/>
          <w:lang w:val="en-US" w:eastAsia="zh-CN"/>
        </w:rPr>
      </w:pPr>
      <w:r>
        <w:rPr>
          <w:rFonts w:hint="eastAsia" w:ascii="宋体" w:hAnsi="宋体" w:eastAsia="宋体" w:cs="宋体"/>
          <w:color w:val="auto"/>
          <w:spacing w:val="-10"/>
          <w:sz w:val="24"/>
          <w:szCs w:val="24"/>
          <w:highlight w:val="none"/>
          <w:lang w:val="en-US" w:eastAsia="zh-CN"/>
        </w:rPr>
        <w:t>（1）严格按照合同及技术服务要求，保质、保量、按期完成全部项目复核验收工作，不得转包、分包、转借资质开展服务。</w:t>
      </w:r>
    </w:p>
    <w:p w14:paraId="65438FFA">
      <w:pPr>
        <w:spacing w:before="156" w:line="220" w:lineRule="auto"/>
        <w:ind w:left="0" w:leftChars="0" w:firstLine="437" w:firstLineChars="199"/>
        <w:rPr>
          <w:rFonts w:hint="eastAsia" w:ascii="宋体" w:hAnsi="宋体" w:eastAsia="宋体" w:cs="宋体"/>
          <w:color w:val="auto"/>
          <w:spacing w:val="-10"/>
          <w:sz w:val="24"/>
          <w:szCs w:val="24"/>
          <w:highlight w:val="none"/>
          <w:lang w:val="en-US" w:eastAsia="zh-CN"/>
        </w:rPr>
      </w:pPr>
      <w:r>
        <w:rPr>
          <w:rFonts w:hint="eastAsia" w:ascii="宋体" w:hAnsi="宋体" w:eastAsia="宋体" w:cs="宋体"/>
          <w:color w:val="auto"/>
          <w:spacing w:val="-10"/>
          <w:sz w:val="24"/>
          <w:szCs w:val="24"/>
          <w:highlight w:val="none"/>
          <w:lang w:val="en-US" w:eastAsia="zh-CN"/>
        </w:rPr>
        <w:t>（2）全面核查六大类项目建设真实性、质量合规性、资料完整性、资金合规性、绩效达标性、管护长效性，做到无漏验、无错验、无虚验。</w:t>
      </w:r>
    </w:p>
    <w:p w14:paraId="14E4AA6C">
      <w:pPr>
        <w:spacing w:before="156" w:line="220" w:lineRule="auto"/>
        <w:ind w:left="0" w:leftChars="0" w:firstLine="437" w:firstLineChars="199"/>
        <w:rPr>
          <w:rFonts w:hint="eastAsia" w:ascii="宋体" w:hAnsi="宋体" w:eastAsia="宋体" w:cs="宋体"/>
          <w:color w:val="auto"/>
          <w:spacing w:val="-10"/>
          <w:sz w:val="24"/>
          <w:szCs w:val="24"/>
          <w:highlight w:val="none"/>
          <w:lang w:val="en-US" w:eastAsia="zh-CN"/>
        </w:rPr>
      </w:pPr>
      <w:r>
        <w:rPr>
          <w:rFonts w:hint="eastAsia" w:ascii="宋体" w:hAnsi="宋体" w:eastAsia="宋体" w:cs="宋体"/>
          <w:color w:val="auto"/>
          <w:spacing w:val="-10"/>
          <w:sz w:val="24"/>
          <w:szCs w:val="24"/>
          <w:highlight w:val="none"/>
          <w:lang w:val="en-US" w:eastAsia="zh-CN"/>
        </w:rPr>
        <w:t>（3）对核查发现的质量缺陷、资料缺失、资金不规范、绩效不达标、项目闲置等问题，逐项建立问题清单、整改清单，全程跟踪督促整改、复核整改成效，实现闭环清零。</w:t>
      </w:r>
    </w:p>
    <w:p w14:paraId="05B450FD">
      <w:pPr>
        <w:spacing w:before="156" w:line="220" w:lineRule="auto"/>
        <w:ind w:left="0" w:leftChars="0" w:firstLine="437" w:firstLineChars="199"/>
        <w:rPr>
          <w:rFonts w:hint="eastAsia" w:ascii="宋体" w:hAnsi="宋体" w:eastAsia="宋体" w:cs="宋体"/>
          <w:color w:val="auto"/>
          <w:spacing w:val="-10"/>
          <w:sz w:val="24"/>
          <w:szCs w:val="24"/>
          <w:highlight w:val="none"/>
          <w:lang w:val="en-US" w:eastAsia="zh-CN"/>
        </w:rPr>
      </w:pPr>
      <w:r>
        <w:rPr>
          <w:rFonts w:hint="eastAsia" w:ascii="宋体" w:hAnsi="宋体" w:eastAsia="宋体" w:cs="宋体"/>
          <w:color w:val="auto"/>
          <w:spacing w:val="-10"/>
          <w:sz w:val="24"/>
          <w:szCs w:val="24"/>
          <w:highlight w:val="none"/>
          <w:lang w:val="en-US" w:eastAsia="zh-CN"/>
        </w:rPr>
        <w:t>（4）按时提交阶段性核查资料、最终验收报告及全套佐证材料，积极配合甲方、乡村振兴主管部门、审计部门的核查、答疑、复核工作。</w:t>
      </w:r>
    </w:p>
    <w:p w14:paraId="27A94F16">
      <w:pPr>
        <w:spacing w:before="156" w:line="220" w:lineRule="auto"/>
        <w:ind w:left="0" w:leftChars="0" w:firstLine="437" w:firstLineChars="199"/>
        <w:rPr>
          <w:rFonts w:hint="eastAsia" w:ascii="宋体" w:hAnsi="宋体" w:eastAsia="宋体" w:cs="宋体"/>
          <w:color w:val="auto"/>
          <w:spacing w:val="-10"/>
          <w:sz w:val="24"/>
          <w:szCs w:val="24"/>
          <w:highlight w:val="none"/>
          <w:lang w:val="en-US" w:eastAsia="zh-CN"/>
        </w:rPr>
      </w:pPr>
      <w:r>
        <w:rPr>
          <w:rFonts w:hint="eastAsia" w:ascii="宋体" w:hAnsi="宋体" w:eastAsia="宋体" w:cs="宋体"/>
          <w:color w:val="auto"/>
          <w:spacing w:val="-10"/>
          <w:sz w:val="24"/>
          <w:szCs w:val="24"/>
          <w:highlight w:val="none"/>
          <w:lang w:val="en-US" w:eastAsia="zh-CN"/>
        </w:rPr>
        <w:t>（5）严格遵守保密规定，妥善保管项目所有台账、数据、影像、财务资料，不得外泄、不得挪作他用。</w:t>
      </w:r>
    </w:p>
    <w:p w14:paraId="5825E2BF">
      <w:pPr>
        <w:spacing w:before="156" w:line="220" w:lineRule="auto"/>
        <w:ind w:left="0" w:leftChars="0" w:firstLine="437" w:firstLineChars="199"/>
        <w:rPr>
          <w:rFonts w:hint="eastAsia" w:ascii="宋体" w:hAnsi="宋体" w:eastAsia="宋体" w:cs="宋体"/>
          <w:color w:val="auto"/>
          <w:spacing w:val="-10"/>
          <w:sz w:val="24"/>
          <w:szCs w:val="24"/>
          <w:highlight w:val="none"/>
          <w:lang w:val="en-US" w:eastAsia="zh-CN"/>
        </w:rPr>
      </w:pPr>
      <w:r>
        <w:rPr>
          <w:rFonts w:hint="eastAsia" w:ascii="宋体" w:hAnsi="宋体" w:eastAsia="宋体" w:cs="宋体"/>
          <w:color w:val="auto"/>
          <w:spacing w:val="-10"/>
          <w:sz w:val="24"/>
          <w:szCs w:val="24"/>
          <w:highlight w:val="none"/>
          <w:lang w:val="en-US" w:eastAsia="zh-CN"/>
        </w:rPr>
        <w:t>（6）服务期内全程负责成果修正、补充、答疑，因乙方核查失误、数据错误、结论偏差造成的一切整改、追责损失，由乙方全权承担。</w:t>
      </w:r>
    </w:p>
    <w:p w14:paraId="78E52B6A">
      <w:pPr>
        <w:spacing w:before="154" w:line="220" w:lineRule="auto"/>
        <w:ind w:left="0" w:leftChars="0" w:firstLine="468" w:firstLineChars="199"/>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第</w:t>
      </w:r>
      <w:r>
        <w:rPr>
          <w:rFonts w:hint="eastAsia" w:ascii="宋体" w:hAnsi="宋体" w:eastAsia="宋体" w:cs="宋体"/>
          <w:b/>
          <w:bCs/>
          <w:color w:val="auto"/>
          <w:spacing w:val="-3"/>
          <w:sz w:val="24"/>
          <w:szCs w:val="24"/>
          <w:highlight w:val="none"/>
          <w:lang w:val="en-US" w:eastAsia="zh-CN"/>
        </w:rPr>
        <w:t>五</w:t>
      </w:r>
      <w:r>
        <w:rPr>
          <w:rFonts w:ascii="宋体" w:hAnsi="宋体" w:eastAsia="宋体" w:cs="宋体"/>
          <w:b/>
          <w:bCs/>
          <w:color w:val="auto"/>
          <w:spacing w:val="-3"/>
          <w:sz w:val="24"/>
          <w:szCs w:val="24"/>
          <w:highlight w:val="none"/>
        </w:rPr>
        <w:t>条合同变更与解除</w:t>
      </w:r>
    </w:p>
    <w:p w14:paraId="50CB0637">
      <w:pPr>
        <w:spacing w:before="156" w:line="219" w:lineRule="auto"/>
        <w:ind w:left="0" w:leftChars="0" w:firstLine="469" w:firstLineChars="199"/>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1.合同的任何变更须经双方协商一致，并以书面形</w:t>
      </w:r>
      <w:r>
        <w:rPr>
          <w:rFonts w:ascii="宋体" w:hAnsi="宋体" w:eastAsia="宋体" w:cs="宋体"/>
          <w:color w:val="auto"/>
          <w:spacing w:val="-3"/>
          <w:sz w:val="24"/>
          <w:szCs w:val="24"/>
          <w:highlight w:val="none"/>
        </w:rPr>
        <w:t>式确认。</w:t>
      </w:r>
    </w:p>
    <w:p w14:paraId="00ACD229">
      <w:pPr>
        <w:spacing w:before="154" w:line="220" w:lineRule="auto"/>
        <w:ind w:left="0" w:leftChars="0" w:firstLine="469" w:firstLineChars="199"/>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2.如一方严重违反合同条款，另一方有权解除合同并要求赔偿损失。</w:t>
      </w:r>
    </w:p>
    <w:p w14:paraId="09F95070">
      <w:pPr>
        <w:spacing w:before="153" w:line="220" w:lineRule="auto"/>
        <w:ind w:left="0" w:leftChars="0" w:firstLine="472" w:firstLineChars="199"/>
        <w:rPr>
          <w:rFonts w:ascii="宋体" w:hAnsi="宋体" w:eastAsia="宋体" w:cs="宋体"/>
          <w:color w:val="auto"/>
          <w:sz w:val="24"/>
          <w:szCs w:val="24"/>
          <w:highlight w:val="none"/>
        </w:rPr>
      </w:pPr>
      <w:r>
        <w:rPr>
          <w:rFonts w:ascii="宋体" w:hAnsi="宋体" w:eastAsia="宋体" w:cs="宋体"/>
          <w:b/>
          <w:bCs/>
          <w:color w:val="auto"/>
          <w:spacing w:val="-2"/>
          <w:sz w:val="24"/>
          <w:szCs w:val="24"/>
          <w:highlight w:val="none"/>
        </w:rPr>
        <w:t>第</w:t>
      </w:r>
      <w:r>
        <w:rPr>
          <w:rFonts w:hint="eastAsia" w:ascii="宋体" w:hAnsi="宋体" w:eastAsia="宋体" w:cs="宋体"/>
          <w:b/>
          <w:bCs/>
          <w:color w:val="auto"/>
          <w:spacing w:val="-2"/>
          <w:sz w:val="24"/>
          <w:szCs w:val="24"/>
          <w:highlight w:val="none"/>
          <w:lang w:val="en-US" w:eastAsia="zh-CN"/>
        </w:rPr>
        <w:t>六</w:t>
      </w:r>
      <w:r>
        <w:rPr>
          <w:rFonts w:ascii="宋体" w:hAnsi="宋体" w:eastAsia="宋体" w:cs="宋体"/>
          <w:b/>
          <w:bCs/>
          <w:color w:val="auto"/>
          <w:spacing w:val="-2"/>
          <w:sz w:val="24"/>
          <w:szCs w:val="24"/>
          <w:highlight w:val="none"/>
        </w:rPr>
        <w:t>条验收、交付标准和方法</w:t>
      </w:r>
    </w:p>
    <w:p w14:paraId="23AEC5BD">
      <w:pPr>
        <w:spacing w:before="156" w:line="220" w:lineRule="auto"/>
        <w:ind w:left="0" w:leftChars="0" w:firstLine="469" w:firstLineChars="199"/>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符合现行国家相关标准、行业标准、地方标准或者其</w:t>
      </w:r>
      <w:r>
        <w:rPr>
          <w:rFonts w:ascii="宋体" w:hAnsi="宋体" w:eastAsia="宋体" w:cs="宋体"/>
          <w:color w:val="auto"/>
          <w:spacing w:val="-3"/>
          <w:sz w:val="24"/>
          <w:szCs w:val="24"/>
          <w:highlight w:val="none"/>
        </w:rPr>
        <w:t>他标准、规范；</w:t>
      </w:r>
    </w:p>
    <w:p w14:paraId="6D52B5AB">
      <w:pPr>
        <w:spacing w:before="154" w:line="220" w:lineRule="auto"/>
        <w:ind w:left="0" w:leftChars="0" w:firstLine="468" w:firstLineChars="199"/>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第</w:t>
      </w:r>
      <w:r>
        <w:rPr>
          <w:rFonts w:hint="eastAsia" w:ascii="宋体" w:hAnsi="宋体" w:eastAsia="宋体" w:cs="宋体"/>
          <w:b/>
          <w:bCs/>
          <w:color w:val="auto"/>
          <w:spacing w:val="-3"/>
          <w:sz w:val="24"/>
          <w:szCs w:val="24"/>
          <w:highlight w:val="none"/>
          <w:lang w:val="en-US" w:eastAsia="zh-CN"/>
        </w:rPr>
        <w:t>七</w:t>
      </w:r>
      <w:r>
        <w:rPr>
          <w:rFonts w:ascii="宋体" w:hAnsi="宋体" w:eastAsia="宋体" w:cs="宋体"/>
          <w:b/>
          <w:bCs/>
          <w:color w:val="auto"/>
          <w:spacing w:val="-3"/>
          <w:sz w:val="24"/>
          <w:szCs w:val="24"/>
          <w:highlight w:val="none"/>
        </w:rPr>
        <w:t>条售后服务</w:t>
      </w:r>
    </w:p>
    <w:p w14:paraId="25CA9DBA">
      <w:pPr>
        <w:spacing w:before="153" w:line="219" w:lineRule="auto"/>
        <w:ind w:left="0" w:leftChars="0" w:firstLine="469" w:firstLineChars="199"/>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1.乙方应按照国家有关法律法规规定以及响应文件承诺，为甲方提供售后服务。</w:t>
      </w:r>
    </w:p>
    <w:p w14:paraId="615DF76A">
      <w:pPr>
        <w:spacing w:before="157" w:line="220" w:lineRule="auto"/>
        <w:ind w:left="0" w:leftChars="0" w:firstLine="468" w:firstLineChars="199"/>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第</w:t>
      </w:r>
      <w:r>
        <w:rPr>
          <w:rFonts w:hint="eastAsia" w:ascii="宋体" w:hAnsi="宋体" w:eastAsia="宋体" w:cs="宋体"/>
          <w:b/>
          <w:bCs/>
          <w:color w:val="auto"/>
          <w:spacing w:val="-3"/>
          <w:sz w:val="24"/>
          <w:szCs w:val="24"/>
          <w:highlight w:val="none"/>
          <w:lang w:val="en-US" w:eastAsia="zh-CN"/>
        </w:rPr>
        <w:t>八</w:t>
      </w:r>
      <w:r>
        <w:rPr>
          <w:rFonts w:ascii="宋体" w:hAnsi="宋体" w:eastAsia="宋体" w:cs="宋体"/>
          <w:b/>
          <w:bCs/>
          <w:color w:val="auto"/>
          <w:spacing w:val="-3"/>
          <w:sz w:val="24"/>
          <w:szCs w:val="24"/>
          <w:highlight w:val="none"/>
        </w:rPr>
        <w:t>条履约保证金：无</w:t>
      </w:r>
    </w:p>
    <w:p w14:paraId="161CC9F2">
      <w:pPr>
        <w:spacing w:before="153" w:line="220" w:lineRule="auto"/>
        <w:ind w:left="0" w:leftChars="0" w:firstLine="468" w:firstLineChars="199"/>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第</w:t>
      </w:r>
      <w:r>
        <w:rPr>
          <w:rFonts w:hint="eastAsia" w:ascii="宋体" w:hAnsi="宋体" w:eastAsia="宋体" w:cs="宋体"/>
          <w:b/>
          <w:bCs/>
          <w:color w:val="auto"/>
          <w:spacing w:val="-3"/>
          <w:sz w:val="24"/>
          <w:szCs w:val="24"/>
          <w:highlight w:val="none"/>
          <w:lang w:val="en-US" w:eastAsia="zh-CN"/>
        </w:rPr>
        <w:t>九</w:t>
      </w:r>
      <w:r>
        <w:rPr>
          <w:rFonts w:ascii="宋体" w:hAnsi="宋体" w:eastAsia="宋体" w:cs="宋体"/>
          <w:b/>
          <w:bCs/>
          <w:color w:val="auto"/>
          <w:spacing w:val="-3"/>
          <w:sz w:val="24"/>
          <w:szCs w:val="24"/>
          <w:highlight w:val="none"/>
        </w:rPr>
        <w:t>条违约责任</w:t>
      </w:r>
    </w:p>
    <w:p w14:paraId="2153DC5F">
      <w:pPr>
        <w:spacing w:before="153" w:line="220" w:lineRule="auto"/>
        <w:ind w:left="0" w:leftChars="0" w:firstLine="477" w:firstLineChars="199"/>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ascii="宋体" w:hAnsi="宋体" w:eastAsia="宋体" w:cs="宋体"/>
          <w:color w:val="auto"/>
          <w:sz w:val="24"/>
          <w:szCs w:val="24"/>
          <w:highlight w:val="none"/>
          <w:lang w:val="en-US" w:eastAsia="zh-CN"/>
        </w:rPr>
        <w:t>乙方逾期交付服务成果的，每逾期1日按合同总价款的1‰向甲方支付违约金，逾期超过15日，甲方有权单方解除合同、没收履约保证金、另行委托第三方服务，由此产生的差价损失由乙方承担。</w:t>
      </w:r>
    </w:p>
    <w:p w14:paraId="65BDF926">
      <w:pPr>
        <w:spacing w:before="153" w:line="220" w:lineRule="auto"/>
        <w:ind w:left="0" w:leftChars="0" w:firstLine="477" w:firstLineChars="199"/>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ascii="宋体" w:hAnsi="宋体" w:eastAsia="宋体" w:cs="宋体"/>
          <w:color w:val="auto"/>
          <w:sz w:val="24"/>
          <w:szCs w:val="24"/>
          <w:highlight w:val="none"/>
          <w:lang w:val="en-US" w:eastAsia="zh-CN"/>
        </w:rPr>
        <w:t>乙方服务内容缺项、漏验、数据不实、结论失真、成果多次整改仍不达标，甲方有权扣除部分或全部服务费用，情节严重的解除合同并上报行业主管部门记入不良信用记录。</w:t>
      </w:r>
    </w:p>
    <w:p w14:paraId="07C5FB1B">
      <w:pPr>
        <w:spacing w:before="153" w:line="220" w:lineRule="auto"/>
        <w:ind w:left="0" w:leftChars="0" w:firstLine="477" w:firstLineChars="199"/>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ascii="宋体" w:hAnsi="宋体" w:eastAsia="宋体" w:cs="宋体"/>
          <w:color w:val="auto"/>
          <w:sz w:val="24"/>
          <w:szCs w:val="24"/>
          <w:highlight w:val="none"/>
          <w:lang w:val="en-US" w:eastAsia="zh-CN"/>
        </w:rPr>
        <w:t>乙方存在转包、分包、弄虚作假、隐瞒项目重大问题、违规验收等行为的，甲方有权立即解除合同、全额拒付服务费，并追究乙方由此给甲方造成的一切审计追责、整改、经济损失。</w:t>
      </w:r>
    </w:p>
    <w:p w14:paraId="12817D3C">
      <w:pPr>
        <w:spacing w:before="153" w:line="220" w:lineRule="auto"/>
        <w:ind w:left="0" w:leftChars="0" w:firstLine="477" w:firstLineChars="199"/>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ascii="宋体" w:hAnsi="宋体" w:eastAsia="宋体" w:cs="宋体"/>
          <w:color w:val="auto"/>
          <w:sz w:val="24"/>
          <w:szCs w:val="24"/>
          <w:highlight w:val="none"/>
          <w:lang w:val="en-US" w:eastAsia="zh-CN"/>
        </w:rPr>
        <w:t>甲方无正当理由逾期支付服务费的，按财政资金管理相关规定协商处理。</w:t>
      </w:r>
    </w:p>
    <w:p w14:paraId="1684396B">
      <w:pPr>
        <w:spacing w:before="153" w:line="220" w:lineRule="auto"/>
        <w:ind w:left="503"/>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第十条不可抗力事件处理</w:t>
      </w:r>
    </w:p>
    <w:p w14:paraId="659C3941">
      <w:pPr>
        <w:spacing w:before="156" w:line="279" w:lineRule="auto"/>
        <w:ind w:left="23" w:right="104" w:firstLine="495"/>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1.在合同有效期内，任何一方因不可抗力事件导致不能履行合同，则合同履行期</w:t>
      </w:r>
      <w:r>
        <w:rPr>
          <w:rFonts w:ascii="宋体" w:hAnsi="宋体" w:eastAsia="宋体" w:cs="宋体"/>
          <w:color w:val="auto"/>
          <w:spacing w:val="-3"/>
          <w:sz w:val="24"/>
          <w:szCs w:val="24"/>
          <w:highlight w:val="none"/>
        </w:rPr>
        <w:t>可延长，其延长期与不可抗力影响期相同。</w:t>
      </w:r>
    </w:p>
    <w:p w14:paraId="31170583">
      <w:pPr>
        <w:spacing w:before="154" w:line="219" w:lineRule="auto"/>
        <w:ind w:left="504"/>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2.不可抗力事件发生后，应立即通知对方，并寄送</w:t>
      </w:r>
      <w:r>
        <w:rPr>
          <w:rFonts w:ascii="宋体" w:hAnsi="宋体" w:eastAsia="宋体" w:cs="宋体"/>
          <w:color w:val="auto"/>
          <w:spacing w:val="-2"/>
          <w:sz w:val="24"/>
          <w:szCs w:val="24"/>
          <w:highlight w:val="none"/>
        </w:rPr>
        <w:t>有关权威机构出具的证明。</w:t>
      </w:r>
    </w:p>
    <w:p w14:paraId="684FA2CB">
      <w:pPr>
        <w:spacing w:before="156" w:line="280" w:lineRule="auto"/>
        <w:ind w:left="22" w:right="104" w:firstLine="483"/>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3.不可抗力事件延续一百二十天以上，双方应通过友好协商，确定是否继续履行</w:t>
      </w:r>
      <w:r>
        <w:rPr>
          <w:rFonts w:ascii="宋体" w:hAnsi="宋体" w:eastAsia="宋体" w:cs="宋体"/>
          <w:color w:val="auto"/>
          <w:spacing w:val="-11"/>
          <w:sz w:val="24"/>
          <w:szCs w:val="24"/>
          <w:highlight w:val="none"/>
        </w:rPr>
        <w:t>合同。</w:t>
      </w:r>
    </w:p>
    <w:p w14:paraId="03C5286C">
      <w:pPr>
        <w:spacing w:before="151" w:line="220" w:lineRule="auto"/>
        <w:ind w:left="503"/>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第十</w:t>
      </w:r>
      <w:r>
        <w:rPr>
          <w:rFonts w:hint="eastAsia" w:ascii="宋体" w:hAnsi="宋体" w:eastAsia="宋体" w:cs="宋体"/>
          <w:b/>
          <w:bCs/>
          <w:color w:val="auto"/>
          <w:spacing w:val="-3"/>
          <w:sz w:val="24"/>
          <w:szCs w:val="24"/>
          <w:highlight w:val="none"/>
          <w:lang w:val="en-US" w:eastAsia="zh-CN"/>
        </w:rPr>
        <w:t>一</w:t>
      </w:r>
      <w:r>
        <w:rPr>
          <w:rFonts w:ascii="宋体" w:hAnsi="宋体" w:eastAsia="宋体" w:cs="宋体"/>
          <w:b/>
          <w:bCs/>
          <w:color w:val="auto"/>
          <w:spacing w:val="-3"/>
          <w:sz w:val="24"/>
          <w:szCs w:val="24"/>
          <w:highlight w:val="none"/>
        </w:rPr>
        <w:t>条合同争议解决</w:t>
      </w:r>
    </w:p>
    <w:p w14:paraId="311B7107">
      <w:pPr>
        <w:spacing w:before="154" w:line="280" w:lineRule="auto"/>
        <w:ind w:left="20" w:right="106" w:firstLine="483"/>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lang w:val="en-US" w:eastAsia="zh-CN"/>
        </w:rPr>
        <w:t>本合同履行过程中发生争议，双方优先友好协商解决；</w:t>
      </w:r>
      <w:r>
        <w:rPr>
          <w:rFonts w:ascii="宋体" w:hAnsi="宋体" w:eastAsia="宋体" w:cs="宋体"/>
          <w:color w:val="auto"/>
          <w:spacing w:val="-3"/>
          <w:sz w:val="24"/>
          <w:szCs w:val="24"/>
          <w:highlight w:val="none"/>
        </w:rPr>
        <w:t>如果协商不能解决，按下列</w:t>
      </w:r>
      <w:r>
        <w:rPr>
          <w:rFonts w:ascii="宋体" w:hAnsi="宋体" w:eastAsia="宋体" w:cs="宋体"/>
          <w:color w:val="auto"/>
          <w:spacing w:val="-3"/>
          <w:sz w:val="24"/>
          <w:szCs w:val="24"/>
          <w:highlight w:val="none"/>
          <w:u w:val="single" w:color="auto"/>
        </w:rPr>
        <w:t>（2）</w:t>
      </w:r>
      <w:r>
        <w:rPr>
          <w:rFonts w:ascii="宋体" w:hAnsi="宋体" w:eastAsia="宋体" w:cs="宋体"/>
          <w:color w:val="auto"/>
          <w:spacing w:val="-3"/>
          <w:sz w:val="24"/>
          <w:szCs w:val="24"/>
          <w:highlight w:val="none"/>
        </w:rPr>
        <w:t>方式解决：</w:t>
      </w:r>
    </w:p>
    <w:p w14:paraId="2A7DD642">
      <w:pPr>
        <w:spacing w:before="153" w:line="219" w:lineRule="auto"/>
        <w:ind w:left="507"/>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（1）向</w:t>
      </w:r>
      <w:r>
        <w:rPr>
          <w:rFonts w:ascii="宋体" w:hAnsi="宋体" w:eastAsia="宋体" w:cs="宋体"/>
          <w:color w:val="auto"/>
          <w:spacing w:val="-5"/>
          <w:sz w:val="24"/>
          <w:szCs w:val="24"/>
          <w:highlight w:val="none"/>
          <w:u w:val="single" w:color="auto"/>
        </w:rPr>
        <w:t>玉林</w:t>
      </w:r>
      <w:r>
        <w:rPr>
          <w:rFonts w:ascii="宋体" w:hAnsi="宋体" w:eastAsia="宋体" w:cs="宋体"/>
          <w:color w:val="auto"/>
          <w:spacing w:val="-5"/>
          <w:sz w:val="24"/>
          <w:szCs w:val="24"/>
          <w:highlight w:val="none"/>
        </w:rPr>
        <w:t>仲裁委员会申请仲裁；</w:t>
      </w:r>
    </w:p>
    <w:p w14:paraId="249E312A">
      <w:pPr>
        <w:spacing w:before="155" w:line="220" w:lineRule="auto"/>
        <w:ind w:left="507"/>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（2）向</w:t>
      </w:r>
      <w:r>
        <w:rPr>
          <w:rFonts w:ascii="宋体" w:hAnsi="宋体" w:eastAsia="宋体" w:cs="宋体"/>
          <w:color w:val="auto"/>
          <w:spacing w:val="-3"/>
          <w:sz w:val="24"/>
          <w:szCs w:val="24"/>
          <w:highlight w:val="none"/>
          <w:u w:val="single" w:color="auto"/>
        </w:rPr>
        <w:t>项目所在地法</w:t>
      </w:r>
      <w:r>
        <w:rPr>
          <w:rFonts w:ascii="宋体" w:hAnsi="宋体" w:eastAsia="宋体" w:cs="宋体"/>
          <w:color w:val="auto"/>
          <w:spacing w:val="-3"/>
          <w:sz w:val="24"/>
          <w:szCs w:val="24"/>
          <w:highlight w:val="none"/>
        </w:rPr>
        <w:t>院提起诉讼。</w:t>
      </w:r>
    </w:p>
    <w:p w14:paraId="0490C605">
      <w:pPr>
        <w:spacing w:before="155" w:line="220" w:lineRule="auto"/>
        <w:ind w:left="503"/>
        <w:rPr>
          <w:rFonts w:ascii="宋体" w:hAnsi="宋体" w:eastAsia="宋体" w:cs="宋体"/>
          <w:color w:val="auto"/>
          <w:sz w:val="24"/>
          <w:szCs w:val="24"/>
          <w:highlight w:val="none"/>
        </w:rPr>
      </w:pPr>
      <w:r>
        <w:rPr>
          <w:rFonts w:ascii="宋体" w:hAnsi="宋体" w:eastAsia="宋体" w:cs="宋体"/>
          <w:b/>
          <w:bCs/>
          <w:color w:val="auto"/>
          <w:spacing w:val="-2"/>
          <w:sz w:val="24"/>
          <w:szCs w:val="24"/>
          <w:highlight w:val="none"/>
        </w:rPr>
        <w:t>第十</w:t>
      </w:r>
      <w:r>
        <w:rPr>
          <w:rFonts w:hint="eastAsia" w:ascii="宋体" w:hAnsi="宋体" w:eastAsia="宋体" w:cs="宋体"/>
          <w:b/>
          <w:bCs/>
          <w:color w:val="auto"/>
          <w:spacing w:val="-2"/>
          <w:sz w:val="24"/>
          <w:szCs w:val="24"/>
          <w:highlight w:val="none"/>
          <w:lang w:val="en-US" w:eastAsia="zh-CN"/>
        </w:rPr>
        <w:t>二</w:t>
      </w:r>
      <w:r>
        <w:rPr>
          <w:rFonts w:ascii="宋体" w:hAnsi="宋体" w:eastAsia="宋体" w:cs="宋体"/>
          <w:b/>
          <w:bCs/>
          <w:color w:val="auto"/>
          <w:spacing w:val="-2"/>
          <w:sz w:val="24"/>
          <w:szCs w:val="24"/>
          <w:highlight w:val="none"/>
        </w:rPr>
        <w:t>条合同的变更、中止或者终止</w:t>
      </w:r>
    </w:p>
    <w:p w14:paraId="2023892C">
      <w:pPr>
        <w:spacing w:before="154" w:line="220" w:lineRule="auto"/>
        <w:ind w:left="52" w:firstLine="456" w:firstLineChars="200"/>
        <w:rPr>
          <w:rFonts w:ascii="宋体" w:hAnsi="宋体" w:eastAsia="宋体" w:cs="宋体"/>
          <w:color w:val="auto"/>
          <w:sz w:val="24"/>
          <w:szCs w:val="24"/>
          <w:highlight w:val="none"/>
        </w:rPr>
      </w:pPr>
      <w:r>
        <w:rPr>
          <w:rFonts w:ascii="宋体" w:hAnsi="宋体" w:eastAsia="宋体" w:cs="宋体"/>
          <w:color w:val="auto"/>
          <w:spacing w:val="-6"/>
          <w:sz w:val="24"/>
          <w:szCs w:val="24"/>
          <w:highlight w:val="none"/>
        </w:rPr>
        <w:t>1.除《中华人民共和国政府采购法》第五十条规定的情形外，本合同一</w:t>
      </w:r>
      <w:r>
        <w:rPr>
          <w:rFonts w:ascii="宋体" w:hAnsi="宋体" w:eastAsia="宋体" w:cs="宋体"/>
          <w:color w:val="auto"/>
          <w:spacing w:val="-7"/>
          <w:sz w:val="24"/>
          <w:szCs w:val="24"/>
          <w:highlight w:val="none"/>
        </w:rPr>
        <w:t>经签订，</w:t>
      </w:r>
      <w:r>
        <w:rPr>
          <w:rFonts w:ascii="宋体" w:hAnsi="宋体" w:eastAsia="宋体" w:cs="宋体"/>
          <w:color w:val="auto"/>
          <w:spacing w:val="-4"/>
          <w:sz w:val="24"/>
          <w:szCs w:val="24"/>
          <w:highlight w:val="none"/>
        </w:rPr>
        <w:t>甲乙双方不得擅自变更、中止或者终止合同。</w:t>
      </w:r>
    </w:p>
    <w:p w14:paraId="1138A0CA">
      <w:pPr>
        <w:spacing w:before="155" w:line="338" w:lineRule="auto"/>
        <w:ind w:left="21" w:firstLine="482"/>
        <w:jc w:val="both"/>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2.采购合同继续履行将损害国家利益和社会公共利</w:t>
      </w:r>
      <w:r>
        <w:rPr>
          <w:rFonts w:ascii="宋体" w:hAnsi="宋体" w:eastAsia="宋体" w:cs="宋体"/>
          <w:color w:val="auto"/>
          <w:spacing w:val="-2"/>
          <w:sz w:val="24"/>
          <w:szCs w:val="24"/>
          <w:highlight w:val="none"/>
        </w:rPr>
        <w:t>益的，双方当事人应当变更、</w:t>
      </w:r>
      <w:r>
        <w:rPr>
          <w:rFonts w:ascii="宋体" w:hAnsi="宋体" w:eastAsia="宋体" w:cs="宋体"/>
          <w:color w:val="auto"/>
          <w:spacing w:val="-1"/>
          <w:sz w:val="24"/>
          <w:szCs w:val="24"/>
          <w:highlight w:val="none"/>
        </w:rPr>
        <w:t>中止或者终止合同。有过错的一方应当承担赔</w:t>
      </w:r>
      <w:r>
        <w:rPr>
          <w:rFonts w:ascii="宋体" w:hAnsi="宋体" w:eastAsia="宋体" w:cs="宋体"/>
          <w:color w:val="auto"/>
          <w:spacing w:val="-2"/>
          <w:sz w:val="24"/>
          <w:szCs w:val="24"/>
          <w:highlight w:val="none"/>
        </w:rPr>
        <w:t>偿责任，双方都有过错的，各自承担相</w:t>
      </w:r>
      <w:r>
        <w:rPr>
          <w:rFonts w:ascii="宋体" w:hAnsi="宋体" w:eastAsia="宋体" w:cs="宋体"/>
          <w:color w:val="auto"/>
          <w:spacing w:val="-8"/>
          <w:sz w:val="24"/>
          <w:szCs w:val="24"/>
          <w:highlight w:val="none"/>
        </w:rPr>
        <w:t>应的责任。</w:t>
      </w:r>
    </w:p>
    <w:p w14:paraId="098A7089">
      <w:pPr>
        <w:spacing w:line="219" w:lineRule="auto"/>
        <w:ind w:left="503"/>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第十</w:t>
      </w:r>
      <w:r>
        <w:rPr>
          <w:rFonts w:hint="eastAsia" w:ascii="宋体" w:hAnsi="宋体" w:eastAsia="宋体" w:cs="宋体"/>
          <w:b/>
          <w:bCs/>
          <w:color w:val="auto"/>
          <w:spacing w:val="-3"/>
          <w:sz w:val="24"/>
          <w:szCs w:val="24"/>
          <w:highlight w:val="none"/>
          <w:lang w:val="en-US" w:eastAsia="zh-CN"/>
        </w:rPr>
        <w:t>三</w:t>
      </w:r>
      <w:r>
        <w:rPr>
          <w:rFonts w:ascii="宋体" w:hAnsi="宋体" w:eastAsia="宋体" w:cs="宋体"/>
          <w:b/>
          <w:bCs/>
          <w:color w:val="auto"/>
          <w:spacing w:val="-3"/>
          <w:sz w:val="24"/>
          <w:szCs w:val="24"/>
          <w:highlight w:val="none"/>
        </w:rPr>
        <w:t>条合同文件构成</w:t>
      </w:r>
    </w:p>
    <w:p w14:paraId="633BDC67">
      <w:pPr>
        <w:spacing w:before="156" w:line="219" w:lineRule="auto"/>
        <w:ind w:left="519"/>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1.政府采购合同</w:t>
      </w:r>
    </w:p>
    <w:p w14:paraId="3D21197F">
      <w:pPr>
        <w:spacing w:before="154" w:line="219" w:lineRule="auto"/>
        <w:ind w:left="504"/>
        <w:rPr>
          <w:rFonts w:ascii="宋体" w:hAnsi="宋体" w:eastAsia="宋体" w:cs="宋体"/>
          <w:color w:val="auto"/>
          <w:sz w:val="24"/>
          <w:szCs w:val="24"/>
          <w:highlight w:val="none"/>
        </w:rPr>
      </w:pPr>
      <w:r>
        <w:rPr>
          <w:rFonts w:ascii="宋体" w:hAnsi="宋体" w:eastAsia="宋体" w:cs="宋体"/>
          <w:color w:val="auto"/>
          <w:spacing w:val="-8"/>
          <w:sz w:val="24"/>
          <w:szCs w:val="24"/>
          <w:highlight w:val="none"/>
        </w:rPr>
        <w:t>2.成交通知书；</w:t>
      </w:r>
    </w:p>
    <w:p w14:paraId="7D48F39B">
      <w:pPr>
        <w:spacing w:before="155" w:line="218" w:lineRule="auto"/>
        <w:ind w:left="506"/>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3.采购文件及更正公告（澄清或补充通知</w:t>
      </w:r>
      <w:r>
        <w:rPr>
          <w:rFonts w:ascii="宋体" w:hAnsi="宋体" w:eastAsia="宋体" w:cs="宋体"/>
          <w:color w:val="auto"/>
          <w:spacing w:val="3"/>
          <w:sz w:val="24"/>
          <w:szCs w:val="24"/>
          <w:highlight w:val="none"/>
        </w:rPr>
        <w:t>）；</w:t>
      </w:r>
    </w:p>
    <w:p w14:paraId="3EB7892C">
      <w:pPr>
        <w:spacing w:before="158" w:line="220" w:lineRule="auto"/>
        <w:ind w:left="500"/>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4.标准、规范及有关技术文件；</w:t>
      </w:r>
    </w:p>
    <w:p w14:paraId="289B7F2D">
      <w:pPr>
        <w:spacing w:before="153" w:line="220" w:lineRule="auto"/>
        <w:ind w:left="506"/>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5.双方约定的其他合同文件。</w:t>
      </w:r>
    </w:p>
    <w:p w14:paraId="46E6C8CE">
      <w:pPr>
        <w:spacing w:before="154" w:line="339" w:lineRule="auto"/>
        <w:ind w:left="23" w:right="8" w:firstLine="479"/>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上述合同文件互相补充和解释。如果合同文件之间存在矛盾或者不一致之处，以</w:t>
      </w:r>
      <w:r>
        <w:rPr>
          <w:rFonts w:ascii="宋体" w:hAnsi="宋体" w:eastAsia="宋体" w:cs="宋体"/>
          <w:color w:val="auto"/>
          <w:spacing w:val="-3"/>
          <w:sz w:val="24"/>
          <w:szCs w:val="24"/>
          <w:highlight w:val="none"/>
        </w:rPr>
        <w:t>上述文件的排列顺序在先者为准。</w:t>
      </w:r>
    </w:p>
    <w:p w14:paraId="6D2A2488">
      <w:pPr>
        <w:spacing w:line="219" w:lineRule="auto"/>
        <w:ind w:left="503"/>
        <w:rPr>
          <w:rFonts w:ascii="宋体" w:hAnsi="宋体" w:eastAsia="宋体" w:cs="宋体"/>
          <w:color w:val="auto"/>
          <w:sz w:val="24"/>
          <w:szCs w:val="24"/>
          <w:highlight w:val="none"/>
        </w:rPr>
      </w:pPr>
      <w:r>
        <w:rPr>
          <w:rFonts w:ascii="宋体" w:hAnsi="宋体" w:eastAsia="宋体" w:cs="宋体"/>
          <w:b/>
          <w:bCs/>
          <w:color w:val="auto"/>
          <w:spacing w:val="-2"/>
          <w:sz w:val="24"/>
          <w:szCs w:val="24"/>
          <w:highlight w:val="none"/>
        </w:rPr>
        <w:t>第十</w:t>
      </w:r>
      <w:r>
        <w:rPr>
          <w:rFonts w:hint="eastAsia" w:ascii="宋体" w:hAnsi="宋体" w:eastAsia="宋体" w:cs="宋体"/>
          <w:b/>
          <w:bCs/>
          <w:color w:val="auto"/>
          <w:spacing w:val="-2"/>
          <w:sz w:val="24"/>
          <w:szCs w:val="24"/>
          <w:highlight w:val="none"/>
          <w:lang w:val="en-US" w:eastAsia="zh-CN"/>
        </w:rPr>
        <w:t>四</w:t>
      </w:r>
      <w:r>
        <w:rPr>
          <w:rFonts w:ascii="宋体" w:hAnsi="宋体" w:eastAsia="宋体" w:cs="宋体"/>
          <w:b/>
          <w:bCs/>
          <w:color w:val="auto"/>
          <w:spacing w:val="-2"/>
          <w:sz w:val="24"/>
          <w:szCs w:val="24"/>
          <w:highlight w:val="none"/>
        </w:rPr>
        <w:t>条知识产权和保密要求</w:t>
      </w:r>
    </w:p>
    <w:p w14:paraId="3BE807B5">
      <w:pPr>
        <w:spacing w:before="153" w:line="280" w:lineRule="auto"/>
        <w:ind w:left="31" w:right="10" w:firstLine="487"/>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1.甲方在履行合同过程中提供给乙方的全部图纸、文件和其他含有数据和信</w:t>
      </w:r>
      <w:r>
        <w:rPr>
          <w:rFonts w:ascii="宋体" w:hAnsi="宋体" w:eastAsia="宋体" w:cs="宋体"/>
          <w:color w:val="auto"/>
          <w:spacing w:val="-3"/>
          <w:sz w:val="24"/>
          <w:szCs w:val="24"/>
          <w:highlight w:val="none"/>
        </w:rPr>
        <w:t>息的</w:t>
      </w:r>
      <w:r>
        <w:rPr>
          <w:rFonts w:ascii="宋体" w:hAnsi="宋体" w:eastAsia="宋体" w:cs="宋体"/>
          <w:color w:val="auto"/>
          <w:spacing w:val="-4"/>
          <w:sz w:val="24"/>
          <w:szCs w:val="24"/>
          <w:highlight w:val="none"/>
        </w:rPr>
        <w:t>资料，其知识产权属于甲方。</w:t>
      </w:r>
    </w:p>
    <w:p w14:paraId="6B30EDF2">
      <w:pPr>
        <w:spacing w:before="154" w:line="299" w:lineRule="auto"/>
        <w:ind w:left="22" w:right="8" w:firstLine="48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2.除采购文件采购需求另有约定外，甲方不因签署和履行合同而享有乙方在履行</w:t>
      </w:r>
      <w:r>
        <w:rPr>
          <w:rFonts w:ascii="宋体" w:hAnsi="宋体" w:eastAsia="宋体" w:cs="宋体"/>
          <w:color w:val="auto"/>
          <w:spacing w:val="-1"/>
          <w:sz w:val="24"/>
          <w:szCs w:val="24"/>
          <w:highlight w:val="none"/>
        </w:rPr>
        <w:t>合同过程中提供给甲方的图纸、文件、配套</w:t>
      </w:r>
      <w:r>
        <w:rPr>
          <w:rFonts w:ascii="宋体" w:hAnsi="宋体" w:eastAsia="宋体" w:cs="宋体"/>
          <w:color w:val="auto"/>
          <w:spacing w:val="-2"/>
          <w:sz w:val="24"/>
          <w:szCs w:val="24"/>
          <w:highlight w:val="none"/>
        </w:rPr>
        <w:t>软件、电子辅助程序和其他含有数据和信</w:t>
      </w:r>
      <w:r>
        <w:rPr>
          <w:rFonts w:ascii="宋体" w:hAnsi="宋体" w:eastAsia="宋体" w:cs="宋体"/>
          <w:color w:val="auto"/>
          <w:spacing w:val="-5"/>
          <w:sz w:val="24"/>
          <w:szCs w:val="24"/>
          <w:highlight w:val="none"/>
        </w:rPr>
        <w:t>息的资料的知识产权。</w:t>
      </w:r>
    </w:p>
    <w:p w14:paraId="41635D04">
      <w:pPr>
        <w:spacing w:before="154" w:line="299" w:lineRule="auto"/>
        <w:ind w:left="20" w:right="8" w:firstLine="485"/>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3.乙方应保证所提供的服务在使用时不会侵犯任何第三方的知识</w:t>
      </w:r>
      <w:r>
        <w:rPr>
          <w:rFonts w:ascii="宋体" w:hAnsi="宋体" w:eastAsia="宋体" w:cs="宋体"/>
          <w:color w:val="auto"/>
          <w:spacing w:val="4"/>
          <w:sz w:val="24"/>
          <w:szCs w:val="24"/>
          <w:highlight w:val="none"/>
        </w:rPr>
        <w:t>产权或者其他</w:t>
      </w:r>
      <w:r>
        <w:rPr>
          <w:rFonts w:ascii="宋体" w:hAnsi="宋体" w:eastAsia="宋体" w:cs="宋体"/>
          <w:color w:val="auto"/>
          <w:spacing w:val="-5"/>
          <w:sz w:val="24"/>
          <w:szCs w:val="24"/>
          <w:highlight w:val="none"/>
        </w:rPr>
        <w:t>权利。如合同服务涉及知识产权，则乙方保证甲方在使用合同服务过程中免于受到第</w:t>
      </w:r>
      <w:r>
        <w:rPr>
          <w:rFonts w:ascii="宋体" w:hAnsi="宋体" w:eastAsia="宋体" w:cs="宋体"/>
          <w:color w:val="auto"/>
          <w:spacing w:val="-2"/>
          <w:sz w:val="24"/>
          <w:szCs w:val="24"/>
          <w:highlight w:val="none"/>
        </w:rPr>
        <w:t>三方提出的有关知识产权侵权的主张、索赔或诉讼的伤害。</w:t>
      </w:r>
    </w:p>
    <w:p w14:paraId="36AC71AC">
      <w:pPr>
        <w:spacing w:before="152" w:line="315" w:lineRule="auto"/>
        <w:ind w:left="21" w:right="10" w:firstLine="478"/>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4.如果甲方收到任何第三方有关知识产权的主张、索赔或诉讼，乙方在收到甲方</w:t>
      </w:r>
      <w:r>
        <w:rPr>
          <w:rFonts w:ascii="宋体" w:hAnsi="宋体" w:eastAsia="宋体" w:cs="宋体"/>
          <w:color w:val="auto"/>
          <w:spacing w:val="2"/>
          <w:sz w:val="24"/>
          <w:szCs w:val="24"/>
          <w:highlight w:val="none"/>
        </w:rPr>
        <w:t>通知后，应以甲方名义并在甲方的协助下，自负</w:t>
      </w:r>
      <w:r>
        <w:rPr>
          <w:rFonts w:ascii="宋体" w:hAnsi="宋体" w:eastAsia="宋体" w:cs="宋体"/>
          <w:color w:val="auto"/>
          <w:spacing w:val="1"/>
          <w:sz w:val="24"/>
          <w:szCs w:val="24"/>
          <w:highlight w:val="none"/>
        </w:rPr>
        <w:t>费用处理与第三方的索赔或诉讼，</w:t>
      </w:r>
      <w:r>
        <w:rPr>
          <w:rFonts w:ascii="宋体" w:hAnsi="宋体" w:eastAsia="宋体" w:cs="宋体"/>
          <w:color w:val="auto"/>
          <w:spacing w:val="-2"/>
          <w:sz w:val="24"/>
          <w:szCs w:val="24"/>
          <w:highlight w:val="none"/>
        </w:rPr>
        <w:t>并赔偿甲方因此发生的费用和遭受的损失。如果乙方拒绝处理前述索赔或诉讼或在收</w:t>
      </w:r>
      <w:r>
        <w:rPr>
          <w:rFonts w:ascii="宋体" w:hAnsi="宋体" w:eastAsia="宋体" w:cs="宋体"/>
          <w:color w:val="auto"/>
          <w:spacing w:val="-1"/>
          <w:sz w:val="24"/>
          <w:szCs w:val="24"/>
          <w:highlight w:val="none"/>
        </w:rPr>
        <w:t>到甲方通知后28日内未作表示，甲方可以</w:t>
      </w:r>
      <w:r>
        <w:rPr>
          <w:rFonts w:ascii="宋体" w:hAnsi="宋体" w:eastAsia="宋体" w:cs="宋体"/>
          <w:color w:val="auto"/>
          <w:spacing w:val="-2"/>
          <w:sz w:val="24"/>
          <w:szCs w:val="24"/>
          <w:highlight w:val="none"/>
        </w:rPr>
        <w:t>自己的名义进行这些索赔或诉讼，因此发</w:t>
      </w:r>
      <w:r>
        <w:rPr>
          <w:rFonts w:ascii="宋体" w:hAnsi="宋体" w:eastAsia="宋体" w:cs="宋体"/>
          <w:color w:val="auto"/>
          <w:spacing w:val="-3"/>
          <w:sz w:val="24"/>
          <w:szCs w:val="24"/>
          <w:highlight w:val="none"/>
        </w:rPr>
        <w:t>生的费用和遭受的损失均应由乙方承担。</w:t>
      </w:r>
    </w:p>
    <w:p w14:paraId="049C09AA">
      <w:pPr>
        <w:spacing w:before="157" w:line="298" w:lineRule="auto"/>
        <w:ind w:left="21" w:right="8" w:firstLine="484"/>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5.未经甲方书面同意，乙方不得将由甲方提供的有关合同或者任何合同条款、规格、计划、图纸、样品或者资料提供给与履行本合同无关的任何其他人。即使向履行</w:t>
      </w:r>
      <w:r>
        <w:rPr>
          <w:rFonts w:ascii="宋体" w:hAnsi="宋体" w:eastAsia="宋体" w:cs="宋体"/>
          <w:color w:val="auto"/>
          <w:spacing w:val="-1"/>
          <w:sz w:val="24"/>
          <w:szCs w:val="24"/>
          <w:highlight w:val="none"/>
        </w:rPr>
        <w:t>本合同有关的其他人员提供，也应注意保密并</w:t>
      </w:r>
      <w:r>
        <w:rPr>
          <w:rFonts w:ascii="宋体" w:hAnsi="宋体" w:eastAsia="宋体" w:cs="宋体"/>
          <w:color w:val="auto"/>
          <w:spacing w:val="-2"/>
          <w:sz w:val="24"/>
          <w:szCs w:val="24"/>
          <w:highlight w:val="none"/>
        </w:rPr>
        <w:t>限于履行合同的必需范围。</w:t>
      </w:r>
    </w:p>
    <w:p w14:paraId="1A7B5311">
      <w:pPr>
        <w:spacing w:before="156" w:line="279" w:lineRule="auto"/>
        <w:ind w:left="21" w:right="8" w:firstLine="48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6.乙方保证将要交付的服务的所有权完全属于乙方且无任何抵押、质押、查封等</w:t>
      </w:r>
      <w:r>
        <w:rPr>
          <w:rFonts w:ascii="宋体" w:hAnsi="宋体" w:eastAsia="宋体" w:cs="宋体"/>
          <w:color w:val="auto"/>
          <w:spacing w:val="-8"/>
          <w:sz w:val="24"/>
          <w:szCs w:val="24"/>
          <w:highlight w:val="none"/>
        </w:rPr>
        <w:t>产权瑕疵。</w:t>
      </w:r>
    </w:p>
    <w:p w14:paraId="088A6BDB">
      <w:pPr>
        <w:spacing w:before="154" w:line="220" w:lineRule="auto"/>
        <w:ind w:left="503"/>
        <w:rPr>
          <w:rFonts w:ascii="宋体" w:hAnsi="宋体" w:eastAsia="宋体" w:cs="宋体"/>
          <w:color w:val="auto"/>
          <w:sz w:val="24"/>
          <w:szCs w:val="24"/>
          <w:highlight w:val="none"/>
        </w:rPr>
      </w:pPr>
      <w:r>
        <w:rPr>
          <w:rFonts w:ascii="宋体" w:hAnsi="宋体" w:eastAsia="宋体" w:cs="宋体"/>
          <w:b/>
          <w:bCs/>
          <w:color w:val="auto"/>
          <w:spacing w:val="-2"/>
          <w:sz w:val="24"/>
          <w:szCs w:val="24"/>
          <w:highlight w:val="none"/>
        </w:rPr>
        <w:t>第十</w:t>
      </w:r>
      <w:r>
        <w:rPr>
          <w:rFonts w:hint="eastAsia" w:ascii="宋体" w:hAnsi="宋体" w:eastAsia="宋体" w:cs="宋体"/>
          <w:b/>
          <w:bCs/>
          <w:color w:val="auto"/>
          <w:spacing w:val="-2"/>
          <w:sz w:val="24"/>
          <w:szCs w:val="24"/>
          <w:highlight w:val="none"/>
          <w:lang w:val="en-US" w:eastAsia="zh-CN"/>
        </w:rPr>
        <w:t>五</w:t>
      </w:r>
      <w:r>
        <w:rPr>
          <w:rFonts w:ascii="宋体" w:hAnsi="宋体" w:eastAsia="宋体" w:cs="宋体"/>
          <w:b/>
          <w:bCs/>
          <w:color w:val="auto"/>
          <w:spacing w:val="-2"/>
          <w:sz w:val="24"/>
          <w:szCs w:val="24"/>
          <w:highlight w:val="none"/>
        </w:rPr>
        <w:t>条合同生效及其他</w:t>
      </w:r>
    </w:p>
    <w:p w14:paraId="206F72AB">
      <w:pPr>
        <w:spacing w:before="154" w:line="279" w:lineRule="auto"/>
        <w:ind w:left="23" w:right="96" w:firstLine="495"/>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1.合同经双方法定代表人或者委托代理人签字并加盖单</w:t>
      </w:r>
      <w:r>
        <w:rPr>
          <w:rFonts w:ascii="宋体" w:hAnsi="宋体" w:eastAsia="宋体" w:cs="宋体"/>
          <w:color w:val="auto"/>
          <w:spacing w:val="-3"/>
          <w:sz w:val="24"/>
          <w:szCs w:val="24"/>
          <w:highlight w:val="none"/>
        </w:rPr>
        <w:t>位公章后生效（委托代理人签字的需后附授权委托书，格式自拟）。</w:t>
      </w:r>
    </w:p>
    <w:p w14:paraId="682304FB">
      <w:pPr>
        <w:spacing w:before="153" w:line="279" w:lineRule="auto"/>
        <w:ind w:left="20" w:right="88" w:firstLine="483"/>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2.合同执行中涉及采购资金和采购内容修改或者补充的，并签书面补充协议报财政部门备案，方可作为主合同不可分割的一部分。</w:t>
      </w:r>
    </w:p>
    <w:p w14:paraId="36D62C4D">
      <w:pPr>
        <w:spacing w:before="155" w:line="279" w:lineRule="auto"/>
        <w:ind w:left="26" w:right="91" w:firstLine="479"/>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3.合同生效后，甲乙双方不得因姓名、名称的变更或者法定代表人、负责人、承</w:t>
      </w:r>
      <w:r>
        <w:rPr>
          <w:rFonts w:ascii="宋体" w:hAnsi="宋体" w:eastAsia="宋体" w:cs="宋体"/>
          <w:color w:val="auto"/>
          <w:spacing w:val="-4"/>
          <w:sz w:val="24"/>
          <w:szCs w:val="24"/>
          <w:highlight w:val="none"/>
        </w:rPr>
        <w:t>办人的变动而不履行合同义务。</w:t>
      </w:r>
    </w:p>
    <w:p w14:paraId="5D934838">
      <w:pPr>
        <w:spacing w:before="154" w:line="219" w:lineRule="auto"/>
        <w:ind w:left="500"/>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4.本合同未尽事宜，遵照《中华人民共和</w:t>
      </w:r>
      <w:r>
        <w:rPr>
          <w:rFonts w:ascii="宋体" w:hAnsi="宋体" w:eastAsia="宋体" w:cs="宋体"/>
          <w:color w:val="auto"/>
          <w:spacing w:val="-2"/>
          <w:sz w:val="24"/>
          <w:szCs w:val="24"/>
          <w:highlight w:val="none"/>
        </w:rPr>
        <w:t>国民法典》有关条文执行。</w:t>
      </w:r>
    </w:p>
    <w:p w14:paraId="2A024DD3">
      <w:pPr>
        <w:spacing w:before="157" w:line="212" w:lineRule="auto"/>
        <w:jc w:val="right"/>
        <w:rPr>
          <w:rFonts w:ascii="宋体" w:hAnsi="宋体" w:eastAsia="宋体" w:cs="宋体"/>
          <w:i w:val="0"/>
          <w:iCs w:val="0"/>
          <w:color w:val="auto"/>
          <w:sz w:val="24"/>
          <w:szCs w:val="24"/>
          <w:highlight w:val="none"/>
        </w:rPr>
      </w:pPr>
      <w:r>
        <w:rPr>
          <w:rFonts w:ascii="宋体" w:hAnsi="宋体" w:eastAsia="宋体" w:cs="宋体"/>
          <w:color w:val="auto"/>
          <w:spacing w:val="-6"/>
          <w:sz w:val="24"/>
          <w:szCs w:val="24"/>
          <w:highlight w:val="none"/>
        </w:rPr>
        <w:t>5.本合同一</w:t>
      </w:r>
      <w:r>
        <w:rPr>
          <w:rFonts w:ascii="宋体" w:hAnsi="宋体" w:eastAsia="宋体" w:cs="宋体"/>
          <w:i w:val="0"/>
          <w:iCs w:val="0"/>
          <w:color w:val="auto"/>
          <w:spacing w:val="-6"/>
          <w:sz w:val="24"/>
          <w:szCs w:val="24"/>
          <w:highlight w:val="none"/>
        </w:rPr>
        <w:t>式</w:t>
      </w:r>
      <w:r>
        <w:rPr>
          <w:rFonts w:ascii="宋体" w:hAnsi="宋体" w:eastAsia="宋体" w:cs="宋体"/>
          <w:i w:val="0"/>
          <w:iCs w:val="0"/>
          <w:color w:val="auto"/>
          <w:spacing w:val="-6"/>
          <w:sz w:val="25"/>
          <w:szCs w:val="25"/>
          <w:highlight w:val="none"/>
          <w:u w:val="single" w:color="auto"/>
        </w:rPr>
        <w:t>四</w:t>
      </w:r>
      <w:r>
        <w:rPr>
          <w:rFonts w:ascii="宋体" w:hAnsi="宋体" w:eastAsia="宋体" w:cs="宋体"/>
          <w:i w:val="0"/>
          <w:iCs w:val="0"/>
          <w:color w:val="auto"/>
          <w:spacing w:val="-6"/>
          <w:sz w:val="24"/>
          <w:szCs w:val="24"/>
          <w:highlight w:val="none"/>
        </w:rPr>
        <w:t>份，具有同等法律效力，甲乙双方各贰份（可根据需要另增加）。</w:t>
      </w:r>
    </w:p>
    <w:p w14:paraId="1B2C3BA1">
      <w:pPr>
        <w:spacing w:before="63"/>
        <w:rPr>
          <w:i w:val="0"/>
          <w:iCs w:val="0"/>
          <w:color w:val="auto"/>
          <w:highlight w:val="none"/>
        </w:rPr>
      </w:pPr>
    </w:p>
    <w:p w14:paraId="1E874D98">
      <w:pPr>
        <w:spacing w:before="62"/>
        <w:rPr>
          <w:color w:val="auto"/>
          <w:highlight w:val="none"/>
        </w:rPr>
      </w:pPr>
    </w:p>
    <w:p w14:paraId="622BDE71">
      <w:pPr>
        <w:spacing w:before="62"/>
        <w:rPr>
          <w:color w:val="auto"/>
          <w:highlight w:val="none"/>
        </w:rPr>
      </w:pPr>
    </w:p>
    <w:tbl>
      <w:tblPr>
        <w:tblStyle w:val="11"/>
        <w:tblW w:w="8163" w:type="dxa"/>
        <w:tblInd w:w="21"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4757"/>
        <w:gridCol w:w="3406"/>
      </w:tblGrid>
      <w:tr w14:paraId="4686074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45" w:hRule="atLeast"/>
        </w:trPr>
        <w:tc>
          <w:tcPr>
            <w:tcW w:w="4757" w:type="dxa"/>
            <w:vAlign w:val="top"/>
          </w:tcPr>
          <w:p w14:paraId="09C4FEF0">
            <w:pPr>
              <w:pStyle w:val="12"/>
              <w:spacing w:before="1" w:line="218" w:lineRule="auto"/>
              <w:ind w:left="138"/>
              <w:rPr>
                <w:rFonts w:hint="eastAsia" w:eastAsia="宋体"/>
                <w:color w:val="auto"/>
                <w:sz w:val="24"/>
                <w:szCs w:val="24"/>
                <w:highlight w:val="none"/>
                <w:lang w:eastAsia="zh-CN"/>
              </w:rPr>
            </w:pPr>
            <w:r>
              <w:rPr>
                <w:color w:val="auto"/>
                <w:spacing w:val="-4"/>
                <w:sz w:val="24"/>
                <w:szCs w:val="24"/>
                <w:highlight w:val="none"/>
              </w:rPr>
              <w:t>甲方（章</w:t>
            </w:r>
            <w:r>
              <w:rPr>
                <w:color w:val="auto"/>
                <w:spacing w:val="-2"/>
                <w:sz w:val="24"/>
                <w:szCs w:val="24"/>
                <w:highlight w:val="none"/>
              </w:rPr>
              <w:t>）：</w:t>
            </w:r>
            <w:r>
              <w:rPr>
                <w:rFonts w:hint="eastAsia"/>
                <w:color w:val="auto"/>
                <w:spacing w:val="-4"/>
                <w:sz w:val="24"/>
                <w:szCs w:val="24"/>
                <w:highlight w:val="none"/>
                <w:lang w:eastAsia="zh-CN"/>
              </w:rPr>
              <w:t>北流市农业农村局</w:t>
            </w:r>
          </w:p>
        </w:tc>
        <w:tc>
          <w:tcPr>
            <w:tcW w:w="3406" w:type="dxa"/>
            <w:vAlign w:val="top"/>
          </w:tcPr>
          <w:p w14:paraId="74F6FDC1">
            <w:pPr>
              <w:pStyle w:val="12"/>
              <w:spacing w:before="1" w:line="218" w:lineRule="auto"/>
              <w:ind w:left="254"/>
              <w:rPr>
                <w:color w:val="auto"/>
                <w:sz w:val="24"/>
                <w:szCs w:val="24"/>
                <w:highlight w:val="none"/>
              </w:rPr>
            </w:pPr>
            <w:r>
              <w:rPr>
                <w:color w:val="auto"/>
                <w:spacing w:val="-7"/>
                <w:sz w:val="24"/>
                <w:szCs w:val="24"/>
                <w:highlight w:val="none"/>
              </w:rPr>
              <w:t>乙方（章</w:t>
            </w:r>
            <w:r>
              <w:rPr>
                <w:color w:val="auto"/>
                <w:spacing w:val="-3"/>
                <w:sz w:val="24"/>
                <w:szCs w:val="24"/>
                <w:highlight w:val="none"/>
              </w:rPr>
              <w:t>）：</w:t>
            </w:r>
          </w:p>
        </w:tc>
      </w:tr>
      <w:tr w14:paraId="53CCE5A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836" w:hRule="atLeast"/>
        </w:trPr>
        <w:tc>
          <w:tcPr>
            <w:tcW w:w="4757" w:type="dxa"/>
            <w:vAlign w:val="top"/>
          </w:tcPr>
          <w:p w14:paraId="2E744796">
            <w:pPr>
              <w:spacing w:line="325" w:lineRule="auto"/>
              <w:rPr>
                <w:rFonts w:ascii="Arial"/>
                <w:color w:val="auto"/>
                <w:sz w:val="21"/>
                <w:highlight w:val="none"/>
              </w:rPr>
            </w:pPr>
          </w:p>
          <w:p w14:paraId="10ED04FD">
            <w:pPr>
              <w:pStyle w:val="12"/>
              <w:spacing w:before="78" w:line="220" w:lineRule="auto"/>
              <w:ind w:left="109"/>
              <w:rPr>
                <w:rFonts w:hint="eastAsia" w:eastAsia="宋体"/>
                <w:color w:val="auto"/>
                <w:sz w:val="24"/>
                <w:szCs w:val="24"/>
                <w:highlight w:val="none"/>
                <w:lang w:eastAsia="zh-CN"/>
              </w:rPr>
            </w:pPr>
            <w:r>
              <w:rPr>
                <w:color w:val="auto"/>
                <w:spacing w:val="-15"/>
                <w:sz w:val="24"/>
                <w:szCs w:val="24"/>
                <w:highlight w:val="none"/>
              </w:rPr>
              <w:t>单位地址：</w:t>
            </w:r>
            <w:r>
              <w:rPr>
                <w:rFonts w:hint="eastAsia"/>
                <w:color w:val="auto"/>
                <w:spacing w:val="-15"/>
                <w:sz w:val="24"/>
                <w:szCs w:val="24"/>
                <w:highlight w:val="none"/>
                <w:lang w:eastAsia="zh-CN"/>
              </w:rPr>
              <w:t>北流市沿江北路5号</w:t>
            </w:r>
          </w:p>
        </w:tc>
        <w:tc>
          <w:tcPr>
            <w:tcW w:w="3406" w:type="dxa"/>
            <w:vAlign w:val="top"/>
          </w:tcPr>
          <w:p w14:paraId="5E8B5989">
            <w:pPr>
              <w:spacing w:line="326" w:lineRule="auto"/>
              <w:rPr>
                <w:rFonts w:ascii="Arial"/>
                <w:color w:val="auto"/>
                <w:sz w:val="21"/>
                <w:highlight w:val="none"/>
              </w:rPr>
            </w:pPr>
          </w:p>
          <w:p w14:paraId="51ABE7EC">
            <w:pPr>
              <w:pStyle w:val="12"/>
              <w:spacing w:before="78" w:line="220" w:lineRule="auto"/>
              <w:ind w:left="233"/>
              <w:rPr>
                <w:color w:val="auto"/>
                <w:sz w:val="24"/>
                <w:szCs w:val="24"/>
                <w:highlight w:val="none"/>
              </w:rPr>
            </w:pPr>
            <w:r>
              <w:rPr>
                <w:color w:val="auto"/>
                <w:spacing w:val="-11"/>
                <w:sz w:val="24"/>
                <w:szCs w:val="24"/>
                <w:highlight w:val="none"/>
              </w:rPr>
              <w:t>单位地址：</w:t>
            </w:r>
          </w:p>
        </w:tc>
      </w:tr>
      <w:tr w14:paraId="5EB170C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23" w:hRule="atLeast"/>
        </w:trPr>
        <w:tc>
          <w:tcPr>
            <w:tcW w:w="4757" w:type="dxa"/>
            <w:vAlign w:val="top"/>
          </w:tcPr>
          <w:p w14:paraId="11D20BBC">
            <w:pPr>
              <w:pStyle w:val="12"/>
              <w:spacing w:before="191" w:line="220" w:lineRule="auto"/>
              <w:ind w:left="108"/>
              <w:rPr>
                <w:color w:val="auto"/>
                <w:sz w:val="24"/>
                <w:szCs w:val="24"/>
                <w:highlight w:val="none"/>
              </w:rPr>
            </w:pPr>
            <w:r>
              <w:rPr>
                <w:color w:val="auto"/>
                <w:spacing w:val="-5"/>
                <w:sz w:val="24"/>
                <w:szCs w:val="24"/>
                <w:highlight w:val="none"/>
              </w:rPr>
              <w:t>法定代表人（或委托代理人</w:t>
            </w:r>
            <w:r>
              <w:rPr>
                <w:color w:val="auto"/>
                <w:spacing w:val="-1"/>
                <w:sz w:val="24"/>
                <w:szCs w:val="24"/>
                <w:highlight w:val="none"/>
              </w:rPr>
              <w:t>）：</w:t>
            </w:r>
          </w:p>
        </w:tc>
        <w:tc>
          <w:tcPr>
            <w:tcW w:w="3406" w:type="dxa"/>
            <w:vAlign w:val="top"/>
          </w:tcPr>
          <w:p w14:paraId="6F15B64E">
            <w:pPr>
              <w:pStyle w:val="12"/>
              <w:spacing w:before="191" w:line="220" w:lineRule="auto"/>
              <w:jc w:val="right"/>
              <w:rPr>
                <w:color w:val="auto"/>
                <w:sz w:val="24"/>
                <w:szCs w:val="24"/>
                <w:highlight w:val="none"/>
              </w:rPr>
            </w:pPr>
            <w:r>
              <w:rPr>
                <w:color w:val="auto"/>
                <w:spacing w:val="-14"/>
                <w:sz w:val="24"/>
                <w:szCs w:val="24"/>
                <w:highlight w:val="none"/>
              </w:rPr>
              <w:t>法定代表人（或委托代理人</w:t>
            </w:r>
            <w:r>
              <w:rPr>
                <w:color w:val="auto"/>
                <w:spacing w:val="-10"/>
                <w:sz w:val="24"/>
                <w:szCs w:val="24"/>
                <w:highlight w:val="none"/>
              </w:rPr>
              <w:t>）：</w:t>
            </w:r>
          </w:p>
        </w:tc>
      </w:tr>
      <w:tr w14:paraId="5109636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23" w:hRule="atLeast"/>
        </w:trPr>
        <w:tc>
          <w:tcPr>
            <w:tcW w:w="4757" w:type="dxa"/>
            <w:vAlign w:val="top"/>
          </w:tcPr>
          <w:p w14:paraId="19B2CAB5">
            <w:pPr>
              <w:pStyle w:val="12"/>
              <w:spacing w:before="192" w:line="222" w:lineRule="auto"/>
              <w:ind w:left="136"/>
              <w:rPr>
                <w:rFonts w:hint="eastAsia" w:eastAsia="宋体"/>
                <w:color w:val="auto"/>
                <w:sz w:val="24"/>
                <w:szCs w:val="24"/>
                <w:highlight w:val="none"/>
                <w:lang w:eastAsia="zh-CN"/>
              </w:rPr>
            </w:pPr>
            <w:r>
              <w:rPr>
                <w:color w:val="auto"/>
                <w:spacing w:val="-3"/>
                <w:sz w:val="24"/>
                <w:szCs w:val="24"/>
                <w:highlight w:val="none"/>
              </w:rPr>
              <w:t>电话：</w:t>
            </w:r>
            <w:r>
              <w:rPr>
                <w:rFonts w:hint="eastAsia"/>
                <w:color w:val="auto"/>
                <w:spacing w:val="-3"/>
                <w:sz w:val="24"/>
                <w:szCs w:val="24"/>
                <w:highlight w:val="none"/>
                <w:lang w:eastAsia="zh-CN"/>
              </w:rPr>
              <w:t>0775-6223310</w:t>
            </w:r>
          </w:p>
        </w:tc>
        <w:tc>
          <w:tcPr>
            <w:tcW w:w="3406" w:type="dxa"/>
            <w:vAlign w:val="top"/>
          </w:tcPr>
          <w:p w14:paraId="52DFA2A5">
            <w:pPr>
              <w:pStyle w:val="12"/>
              <w:spacing w:before="192" w:line="222" w:lineRule="auto"/>
              <w:ind w:left="259"/>
              <w:rPr>
                <w:color w:val="auto"/>
                <w:sz w:val="24"/>
                <w:szCs w:val="24"/>
                <w:highlight w:val="none"/>
              </w:rPr>
            </w:pPr>
            <w:r>
              <w:rPr>
                <w:color w:val="auto"/>
                <w:spacing w:val="-21"/>
                <w:sz w:val="24"/>
                <w:szCs w:val="24"/>
                <w:highlight w:val="none"/>
              </w:rPr>
              <w:t>电话：</w:t>
            </w:r>
          </w:p>
        </w:tc>
      </w:tr>
      <w:tr w14:paraId="326FE9D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627" w:hRule="atLeast"/>
        </w:trPr>
        <w:tc>
          <w:tcPr>
            <w:tcW w:w="4757" w:type="dxa"/>
            <w:vAlign w:val="top"/>
          </w:tcPr>
          <w:p w14:paraId="003291B7">
            <w:pPr>
              <w:pStyle w:val="12"/>
              <w:spacing w:before="192" w:line="220" w:lineRule="auto"/>
              <w:ind w:left="136"/>
              <w:rPr>
                <w:color w:val="auto"/>
                <w:sz w:val="24"/>
                <w:szCs w:val="24"/>
                <w:highlight w:val="none"/>
              </w:rPr>
            </w:pPr>
            <w:r>
              <w:rPr>
                <w:color w:val="auto"/>
                <w:spacing w:val="-5"/>
                <w:sz w:val="24"/>
                <w:szCs w:val="24"/>
                <w:highlight w:val="none"/>
              </w:rPr>
              <w:t>电子邮箱：/</w:t>
            </w:r>
          </w:p>
        </w:tc>
        <w:tc>
          <w:tcPr>
            <w:tcW w:w="3406" w:type="dxa"/>
            <w:vAlign w:val="top"/>
          </w:tcPr>
          <w:p w14:paraId="34546150">
            <w:pPr>
              <w:pStyle w:val="12"/>
              <w:spacing w:before="192" w:line="220" w:lineRule="auto"/>
              <w:ind w:left="259"/>
              <w:rPr>
                <w:color w:val="auto"/>
                <w:sz w:val="24"/>
                <w:szCs w:val="24"/>
                <w:highlight w:val="none"/>
              </w:rPr>
            </w:pPr>
            <w:r>
              <w:rPr>
                <w:color w:val="auto"/>
                <w:spacing w:val="-15"/>
                <w:sz w:val="24"/>
                <w:szCs w:val="24"/>
                <w:highlight w:val="none"/>
              </w:rPr>
              <w:t>电子邮箱：</w:t>
            </w:r>
          </w:p>
          <w:p w14:paraId="70EC3690">
            <w:pPr>
              <w:spacing w:line="258" w:lineRule="auto"/>
              <w:rPr>
                <w:rFonts w:ascii="Arial"/>
                <w:color w:val="auto"/>
                <w:sz w:val="21"/>
                <w:highlight w:val="none"/>
              </w:rPr>
            </w:pPr>
          </w:p>
          <w:p w14:paraId="71F5D84C">
            <w:pPr>
              <w:pStyle w:val="12"/>
              <w:spacing w:before="78" w:line="220" w:lineRule="auto"/>
              <w:ind w:left="232"/>
              <w:rPr>
                <w:color w:val="auto"/>
                <w:sz w:val="24"/>
                <w:szCs w:val="24"/>
                <w:highlight w:val="none"/>
              </w:rPr>
            </w:pPr>
            <w:r>
              <w:rPr>
                <w:color w:val="auto"/>
                <w:spacing w:val="-11"/>
                <w:sz w:val="24"/>
                <w:szCs w:val="24"/>
                <w:highlight w:val="none"/>
              </w:rPr>
              <w:t>开户银行：</w:t>
            </w:r>
          </w:p>
          <w:p w14:paraId="31BBF942">
            <w:pPr>
              <w:spacing w:line="255" w:lineRule="auto"/>
              <w:rPr>
                <w:rFonts w:ascii="Arial"/>
                <w:color w:val="auto"/>
                <w:sz w:val="21"/>
                <w:highlight w:val="none"/>
              </w:rPr>
            </w:pPr>
          </w:p>
          <w:p w14:paraId="635AF2C5">
            <w:pPr>
              <w:pStyle w:val="12"/>
              <w:spacing w:before="78" w:line="221" w:lineRule="auto"/>
              <w:ind w:left="234"/>
              <w:rPr>
                <w:color w:val="auto"/>
                <w:sz w:val="24"/>
                <w:szCs w:val="24"/>
                <w:highlight w:val="none"/>
              </w:rPr>
            </w:pPr>
            <w:r>
              <w:rPr>
                <w:color w:val="auto"/>
                <w:spacing w:val="-16"/>
                <w:sz w:val="24"/>
                <w:szCs w:val="24"/>
                <w:highlight w:val="none"/>
              </w:rPr>
              <w:t>账号：</w:t>
            </w:r>
          </w:p>
          <w:p w14:paraId="6185D41D">
            <w:pPr>
              <w:spacing w:line="254" w:lineRule="auto"/>
              <w:rPr>
                <w:rFonts w:ascii="Arial"/>
                <w:color w:val="auto"/>
                <w:sz w:val="21"/>
                <w:highlight w:val="none"/>
              </w:rPr>
            </w:pPr>
          </w:p>
          <w:p w14:paraId="00222889">
            <w:pPr>
              <w:pStyle w:val="12"/>
              <w:spacing w:before="78" w:line="220" w:lineRule="auto"/>
              <w:ind w:left="248"/>
              <w:rPr>
                <w:color w:val="auto"/>
                <w:sz w:val="24"/>
                <w:szCs w:val="24"/>
                <w:highlight w:val="none"/>
              </w:rPr>
            </w:pPr>
            <w:r>
              <w:rPr>
                <w:color w:val="auto"/>
                <w:spacing w:val="-14"/>
                <w:sz w:val="24"/>
                <w:szCs w:val="24"/>
                <w:highlight w:val="none"/>
              </w:rPr>
              <w:t>邮政编码：</w:t>
            </w:r>
          </w:p>
        </w:tc>
      </w:tr>
      <w:tr w14:paraId="56354C9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9" w:hRule="atLeast"/>
        </w:trPr>
        <w:tc>
          <w:tcPr>
            <w:tcW w:w="8163" w:type="dxa"/>
            <w:gridSpan w:val="2"/>
            <w:vAlign w:val="top"/>
          </w:tcPr>
          <w:p w14:paraId="30F91125">
            <w:pPr>
              <w:spacing w:line="250" w:lineRule="auto"/>
              <w:rPr>
                <w:rFonts w:ascii="Arial"/>
                <w:color w:val="auto"/>
                <w:sz w:val="21"/>
                <w:highlight w:val="none"/>
              </w:rPr>
            </w:pPr>
          </w:p>
          <w:p w14:paraId="06D2679A">
            <w:pPr>
              <w:rPr>
                <w:rFonts w:ascii="Arial"/>
                <w:color w:val="auto"/>
                <w:sz w:val="21"/>
                <w:highlight w:val="none"/>
              </w:rPr>
            </w:pPr>
            <w:r>
              <w:rPr>
                <w:color w:val="auto"/>
                <w:spacing w:val="-3"/>
                <w:sz w:val="24"/>
                <w:szCs w:val="24"/>
                <w:highlight w:val="none"/>
              </w:rPr>
              <w:t>签订日期：年月日</w:t>
            </w:r>
          </w:p>
        </w:tc>
      </w:tr>
    </w:tbl>
    <w:p w14:paraId="7CBE8D91">
      <w:pPr>
        <w:rPr>
          <w:color w:val="auto"/>
          <w:highlight w:val="none"/>
        </w:rPr>
      </w:pPr>
      <w:r>
        <w:rPr>
          <w:color w:val="auto"/>
          <w:highlight w:val="none"/>
        </w:rPr>
        <w:br w:type="page"/>
      </w:r>
    </w:p>
    <w:p w14:paraId="144D5884">
      <w:pPr>
        <w:pStyle w:val="4"/>
        <w:rPr>
          <w:rFonts w:hint="eastAsia" w:eastAsia="宋体"/>
          <w:color w:val="auto"/>
          <w:sz w:val="32"/>
          <w:szCs w:val="32"/>
          <w:highlight w:val="none"/>
          <w:lang w:val="en-US" w:eastAsia="zh-CN"/>
        </w:rPr>
      </w:pPr>
      <w:r>
        <w:rPr>
          <w:rFonts w:hint="eastAsia" w:eastAsia="宋体"/>
          <w:color w:val="auto"/>
          <w:sz w:val="32"/>
          <w:szCs w:val="32"/>
          <w:highlight w:val="none"/>
          <w:lang w:val="en-US" w:eastAsia="zh-CN"/>
        </w:rPr>
        <w:t>附件1</w:t>
      </w:r>
    </w:p>
    <w:tbl>
      <w:tblPr>
        <w:tblStyle w:val="7"/>
        <w:tblW w:w="905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7"/>
        <w:gridCol w:w="3789"/>
        <w:gridCol w:w="927"/>
        <w:gridCol w:w="2073"/>
        <w:gridCol w:w="1595"/>
      </w:tblGrid>
      <w:tr w14:paraId="6D5D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7"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B012F">
            <w:pPr>
              <w:keepNext w:val="0"/>
              <w:keepLines w:val="0"/>
              <w:widowControl/>
              <w:suppressLineNumbers w:val="0"/>
              <w:jc w:val="left"/>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snapToGrid w:val="0"/>
                <w:color w:val="000000"/>
                <w:kern w:val="0"/>
                <w:sz w:val="22"/>
                <w:szCs w:val="22"/>
                <w:highlight w:val="none"/>
                <w:u w:val="none"/>
                <w:lang w:val="en-US" w:eastAsia="zh-CN" w:bidi="ar"/>
              </w:rPr>
              <w:t>序号</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56BAA">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snapToGrid w:val="0"/>
                <w:color w:val="000000"/>
                <w:kern w:val="0"/>
                <w:sz w:val="22"/>
                <w:szCs w:val="22"/>
                <w:highlight w:val="none"/>
                <w:u w:val="none"/>
                <w:lang w:val="en-US" w:eastAsia="zh-CN" w:bidi="ar"/>
              </w:rPr>
              <w:t>项目名称</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9DC0F">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snapToGrid w:val="0"/>
                <w:color w:val="000000"/>
                <w:kern w:val="0"/>
                <w:sz w:val="22"/>
                <w:szCs w:val="22"/>
                <w:highlight w:val="none"/>
                <w:u w:val="none"/>
                <w:lang w:val="en-US" w:eastAsia="zh-CN" w:bidi="ar"/>
              </w:rPr>
              <w:t>单位</w:t>
            </w:r>
          </w:p>
        </w:tc>
        <w:tc>
          <w:tcPr>
            <w:tcW w:w="2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6C345">
            <w:pPr>
              <w:keepNext w:val="0"/>
              <w:keepLines w:val="0"/>
              <w:widowControl/>
              <w:suppressLineNumbers w:val="0"/>
              <w:jc w:val="center"/>
              <w:textAlignment w:val="center"/>
              <w:rPr>
                <w:rFonts w:hint="eastAsia" w:ascii="宋体" w:hAnsi="宋体" w:eastAsia="宋体" w:cs="宋体"/>
                <w:b/>
                <w:bCs/>
                <w:i w:val="0"/>
                <w:iCs w:val="0"/>
                <w:snapToGrid w:val="0"/>
                <w:color w:val="000000"/>
                <w:kern w:val="0"/>
                <w:sz w:val="22"/>
                <w:szCs w:val="22"/>
                <w:highlight w:val="none"/>
                <w:u w:val="none"/>
                <w:lang w:val="en-US" w:eastAsia="zh-CN" w:bidi="ar"/>
              </w:rPr>
            </w:pPr>
            <w:r>
              <w:rPr>
                <w:rFonts w:hint="eastAsia" w:ascii="宋体" w:hAnsi="宋体" w:eastAsia="宋体" w:cs="宋体"/>
                <w:b/>
                <w:bCs/>
                <w:i w:val="0"/>
                <w:iCs w:val="0"/>
                <w:snapToGrid w:val="0"/>
                <w:color w:val="000000"/>
                <w:kern w:val="0"/>
                <w:sz w:val="22"/>
                <w:szCs w:val="22"/>
                <w:highlight w:val="none"/>
                <w:u w:val="none"/>
                <w:lang w:val="en-US" w:eastAsia="zh-CN" w:bidi="ar"/>
              </w:rPr>
              <w:t>项目投资金额（元）</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B3CBE">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snapToGrid w:val="0"/>
                <w:color w:val="000000"/>
                <w:kern w:val="0"/>
                <w:sz w:val="22"/>
                <w:szCs w:val="22"/>
                <w:highlight w:val="none"/>
                <w:u w:val="none"/>
                <w:lang w:val="en-US" w:eastAsia="zh-CN" w:bidi="ar"/>
              </w:rPr>
              <w:t>主要建设内容</w:t>
            </w:r>
          </w:p>
        </w:tc>
      </w:tr>
      <w:tr w14:paraId="71B6E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9051"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919A4">
            <w:pPr>
              <w:keepNext w:val="0"/>
              <w:keepLines w:val="0"/>
              <w:widowControl/>
              <w:suppressLineNumbers w:val="0"/>
              <w:jc w:val="center"/>
              <w:textAlignment w:val="center"/>
              <w:rPr>
                <w:highlight w:val="none"/>
              </w:rPr>
            </w:pPr>
            <w:r>
              <w:rPr>
                <w:rFonts w:hint="eastAsia" w:ascii="黑体" w:hAnsi="宋体" w:eastAsia="黑体" w:cs="黑体"/>
                <w:b/>
                <w:bCs/>
                <w:i w:val="0"/>
                <w:iCs w:val="0"/>
                <w:snapToGrid w:val="0"/>
                <w:color w:val="000000"/>
                <w:kern w:val="0"/>
                <w:sz w:val="22"/>
                <w:szCs w:val="22"/>
                <w:highlight w:val="none"/>
                <w:u w:val="none"/>
                <w:lang w:val="en-US" w:eastAsia="zh-CN" w:bidi="ar"/>
              </w:rPr>
              <w:t>第一批</w:t>
            </w:r>
          </w:p>
        </w:tc>
      </w:tr>
      <w:tr w14:paraId="63E01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DA26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top"/>
          </w:tcPr>
          <w:p w14:paraId="6DF8D047">
            <w:pPr>
              <w:keepNext w:val="0"/>
              <w:keepLines w:val="0"/>
              <w:widowControl/>
              <w:suppressLineNumbers w:val="0"/>
              <w:jc w:val="center"/>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北流市2026年第一批财政衔接推进乡村振兴补助资金产业提升项目西埌镇木棉村集体经济厂房三期</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5AFF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18D75">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4684548.94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EC53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厂房建设</w:t>
            </w:r>
          </w:p>
        </w:tc>
      </w:tr>
      <w:tr w14:paraId="39CC6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7875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2</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top"/>
          </w:tcPr>
          <w:p w14:paraId="1F820DE7">
            <w:pPr>
              <w:keepNext w:val="0"/>
              <w:keepLines w:val="0"/>
              <w:widowControl/>
              <w:suppressLineNumbers w:val="0"/>
              <w:jc w:val="center"/>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北流市2026年第一批财政衔接推进乡村振兴补助资金产业提升项目民乐镇萝村指月组厂房二期</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731D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C1F01">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1423178.81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5547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厂房建设</w:t>
            </w:r>
          </w:p>
        </w:tc>
      </w:tr>
      <w:tr w14:paraId="37D77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0534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3</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top"/>
          </w:tcPr>
          <w:p w14:paraId="08AB3E5D">
            <w:pPr>
              <w:keepNext w:val="0"/>
              <w:keepLines w:val="0"/>
              <w:widowControl/>
              <w:suppressLineNumbers w:val="0"/>
              <w:jc w:val="center"/>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北流市2026年第一批财政衔接推进乡村振兴补助资金产业提升项目塘岸镇利民村集体经济标准化厂房</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55E4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50BC0">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2782750.05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4EEB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厂房建设</w:t>
            </w:r>
          </w:p>
        </w:tc>
      </w:tr>
      <w:tr w14:paraId="5C21C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456F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4</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top"/>
          </w:tcPr>
          <w:p w14:paraId="5DBBBF9A">
            <w:pPr>
              <w:keepNext w:val="0"/>
              <w:keepLines w:val="0"/>
              <w:widowControl/>
              <w:suppressLineNumbers w:val="0"/>
              <w:jc w:val="center"/>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北流市2026年第一批财政衔接推进乡村振兴补助资金产业提升项目六靖镇镇南村集体经济标准化厂房</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5625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13E24">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2222627.75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82AF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厂房建设</w:t>
            </w:r>
          </w:p>
        </w:tc>
      </w:tr>
      <w:tr w14:paraId="41D8C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3D21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5</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top"/>
          </w:tcPr>
          <w:p w14:paraId="5D4D6B26">
            <w:pPr>
              <w:keepNext w:val="0"/>
              <w:keepLines w:val="0"/>
              <w:widowControl/>
              <w:suppressLineNumbers w:val="0"/>
              <w:jc w:val="center"/>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北流市2026年第一批财政衔接推进乡村振兴补助资金产业提升项目新荣镇新荣村新岭组榄根至风门丫荔枝品改产业道路二期</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4B0F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82B65">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356915.00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B8F9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29D23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E7A9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6</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top"/>
          </w:tcPr>
          <w:p w14:paraId="412833B6">
            <w:pPr>
              <w:keepNext w:val="0"/>
              <w:keepLines w:val="0"/>
              <w:widowControl/>
              <w:suppressLineNumbers w:val="0"/>
              <w:jc w:val="center"/>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北流市2026年第一批财政衔接推进乡村振兴补助资金产业提升项目山围镇丰垌村佛尾岭组油茶基地配套设施</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02DA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CCF22">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248546.69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74A7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75F40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60C5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7</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top"/>
          </w:tcPr>
          <w:p w14:paraId="7CDE3214">
            <w:pPr>
              <w:keepNext w:val="0"/>
              <w:keepLines w:val="0"/>
              <w:widowControl/>
              <w:suppressLineNumbers w:val="0"/>
              <w:jc w:val="center"/>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北流市2026年第一批财政衔接推进乡村振兴补助资金产业提升项目山围镇丰垌村飞鼠顶组至陆角冲产业道路</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FA7C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9578F">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448260.00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96BE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439C0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75D7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8</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top"/>
          </w:tcPr>
          <w:p w14:paraId="50145521">
            <w:pPr>
              <w:keepNext w:val="0"/>
              <w:keepLines w:val="0"/>
              <w:widowControl/>
              <w:suppressLineNumbers w:val="0"/>
              <w:jc w:val="center"/>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北流市2026年第一批财政衔接推进乡村振兴补助资金产业提升项目山围镇李村三黄鸡养殖场产业道路硬化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984C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C21C9">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149498.41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196E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7F0CA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6093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9</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top"/>
          </w:tcPr>
          <w:p w14:paraId="0AC67AF9">
            <w:pPr>
              <w:keepNext w:val="0"/>
              <w:keepLines w:val="0"/>
              <w:widowControl/>
              <w:suppressLineNumbers w:val="0"/>
              <w:jc w:val="center"/>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北流市2026年第一批财政衔接推进乡村振兴补助资金产业提升项目白须村五组荔枝产业道路硬化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C799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C9BFF">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197665.00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1A57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573B4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B4CA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10</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top"/>
          </w:tcPr>
          <w:p w14:paraId="36DD8F21">
            <w:pPr>
              <w:keepNext w:val="0"/>
              <w:keepLines w:val="0"/>
              <w:widowControl/>
              <w:suppressLineNumbers w:val="0"/>
              <w:jc w:val="center"/>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北流市2026年第一批财政衔接推进乡村振兴补助资金产业提升项目清水口镇大罗村中草药产业道路硬化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3630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9F7AF">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219386.93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C982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0EBDC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9DEE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11</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top"/>
          </w:tcPr>
          <w:p w14:paraId="7A2EA131">
            <w:pPr>
              <w:keepNext w:val="0"/>
              <w:keepLines w:val="0"/>
              <w:widowControl/>
              <w:suppressLineNumbers w:val="0"/>
              <w:jc w:val="center"/>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北流市2026年第一批财政衔接推进乡村振兴补助资金产业提升项目隆盛镇中和村凤阳组荔枝产业配套设施</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1CFC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7CB5E">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278223.51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22E8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3B8BB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671E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12</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top"/>
          </w:tcPr>
          <w:p w14:paraId="464CD3D6">
            <w:pPr>
              <w:keepNext w:val="0"/>
              <w:keepLines w:val="0"/>
              <w:widowControl/>
              <w:suppressLineNumbers w:val="0"/>
              <w:jc w:val="center"/>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北流市2026年第一批财政衔接推进乡村振兴补助资金产业提升项目隆盛镇中和村荔塘境口至荔塘化顶产业路硬化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8B74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D8BDB">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197954.88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1E1B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68033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8515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13</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top"/>
          </w:tcPr>
          <w:p w14:paraId="10346BA1">
            <w:pPr>
              <w:keepNext w:val="0"/>
              <w:keepLines w:val="0"/>
              <w:widowControl/>
              <w:suppressLineNumbers w:val="0"/>
              <w:jc w:val="center"/>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北流市2026年第一批财政衔接推进乡村振兴补助资金产业提升项目六麻镇新平村双坡组生猪养殖产业道路硬化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BCE5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46C0F">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277998.00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0A3B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7B485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B53C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14</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top"/>
          </w:tcPr>
          <w:p w14:paraId="70BE21FE">
            <w:pPr>
              <w:keepNext w:val="0"/>
              <w:keepLines w:val="0"/>
              <w:widowControl/>
              <w:suppressLineNumbers w:val="0"/>
              <w:jc w:val="center"/>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北流市2026年第一批财政衔接推进乡村振兴补助资金产业提升项目六靖镇镇南村横石组产业道路硬化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057B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90A09">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148568.30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DAEA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4EAA1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4059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15</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top"/>
          </w:tcPr>
          <w:p w14:paraId="3C9D27A6">
            <w:pPr>
              <w:keepNext w:val="0"/>
              <w:keepLines w:val="0"/>
              <w:widowControl/>
              <w:suppressLineNumbers w:val="0"/>
              <w:jc w:val="center"/>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北流市2026年第一批财政衔接推进乡村振兴补助资金产业提升项目六靖镇镇南村独山组产业道路硬化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26D8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00854">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274755.00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92F8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32281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E459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16</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top"/>
          </w:tcPr>
          <w:p w14:paraId="177405C5">
            <w:pPr>
              <w:keepNext w:val="0"/>
              <w:keepLines w:val="0"/>
              <w:widowControl/>
              <w:suppressLineNumbers w:val="0"/>
              <w:jc w:val="center"/>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北流市2026年第一批财政衔接推进乡村振兴补助资金产业提升项目六靖镇长江村东方红组产业道路硬化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3674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BF064">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199562.88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36BA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5BC33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91D7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17</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top"/>
          </w:tcPr>
          <w:p w14:paraId="7D10626E">
            <w:pPr>
              <w:keepNext w:val="0"/>
              <w:keepLines w:val="0"/>
              <w:widowControl/>
              <w:suppressLineNumbers w:val="0"/>
              <w:jc w:val="center"/>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北流市2026年第一批财政衔接推进乡村振兴补助资金产业提升项目清湾镇双龙村大头垌组产业道路</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789A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C93F2">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113388.46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6E05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51746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218D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18</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top"/>
          </w:tcPr>
          <w:p w14:paraId="611F01B6">
            <w:pPr>
              <w:keepNext w:val="0"/>
              <w:keepLines w:val="0"/>
              <w:widowControl/>
              <w:suppressLineNumbers w:val="0"/>
              <w:jc w:val="center"/>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北流市2026年第一批财政衔接推进乡村振兴补助资金新型农村集体经济项目新圩镇宋村集体经济标准化厂房加高项目</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4FF2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88C5E">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3205927.32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3989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厂房建设</w:t>
            </w:r>
          </w:p>
        </w:tc>
      </w:tr>
      <w:tr w14:paraId="7CE14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BE64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19</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top"/>
          </w:tcPr>
          <w:p w14:paraId="73DC8D23">
            <w:pPr>
              <w:keepNext w:val="0"/>
              <w:keepLines w:val="0"/>
              <w:widowControl/>
              <w:suppressLineNumbers w:val="0"/>
              <w:jc w:val="center"/>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北流市2026年第一批财政衔接推进乡村振兴补助资金新型农村集体经济项目六麻镇集体经济标准化厂房</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6317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442CF">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2738334.41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F5FD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厂房建设</w:t>
            </w:r>
          </w:p>
        </w:tc>
      </w:tr>
      <w:tr w14:paraId="4BDC7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4868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20</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top"/>
          </w:tcPr>
          <w:p w14:paraId="55A934C1">
            <w:pPr>
              <w:keepNext w:val="0"/>
              <w:keepLines w:val="0"/>
              <w:widowControl/>
              <w:suppressLineNumbers w:val="0"/>
              <w:jc w:val="center"/>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北流市2026年第一批财政衔接推进乡村振兴补助资金新型农村集体经济项目六靖镇集体经济标准化厂房</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76B8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FFBC8">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5314902.93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F90B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厂房建设</w:t>
            </w:r>
          </w:p>
        </w:tc>
      </w:tr>
      <w:tr w14:paraId="2E79A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AB5D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21</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top"/>
          </w:tcPr>
          <w:p w14:paraId="3D83AE9C">
            <w:pPr>
              <w:keepNext w:val="0"/>
              <w:keepLines w:val="0"/>
              <w:widowControl/>
              <w:suppressLineNumbers w:val="0"/>
              <w:jc w:val="center"/>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北流市2026年第一批财政衔接推进乡村振兴补助资金新型农村集体经济项目石窝镇集体标准化厂房加高项目</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BE6C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F55E3">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3273066.15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FB98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厂房建设</w:t>
            </w:r>
          </w:p>
        </w:tc>
      </w:tr>
      <w:tr w14:paraId="00CB6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A788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22</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top"/>
          </w:tcPr>
          <w:p w14:paraId="03F2CA5D">
            <w:pPr>
              <w:keepNext w:val="0"/>
              <w:keepLines w:val="0"/>
              <w:widowControl/>
              <w:suppressLineNumbers w:val="0"/>
              <w:jc w:val="center"/>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北流市2026年第一批财政衔接推进乡村振兴补助资金新型农村集体经济项目清湾镇集体经济标准化厂房(一期）</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E000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00279">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2752993.27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ED7E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厂房建设</w:t>
            </w:r>
          </w:p>
        </w:tc>
      </w:tr>
      <w:tr w14:paraId="58208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7E85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23</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FA2C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北流市2026年第一批财政衔接推进乡村振兴补助资金基础设施建设项目大伦镇旺贺村六好分校后水泥路口至大田垌李屋门口道路硬化工程</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4B42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FB74D">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54324.00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A755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3A554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43D6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24</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E4A9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北流市2026年第一批财政衔接推进乡村振兴补助资金基础设施建设项目民乐镇元常村勒竹岐组组内道路硬化工程</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7A6A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416D6">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38755.75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4959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61F95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2C77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25</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022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北流市2026年第一批财政衔接推进乡村振兴补助资金基础设施建设项目平政镇石榴村六堤组道路拓宽项目</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1AEE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3CDB5">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380395.00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3F51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27272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71A1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26</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F895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北流市2026年第一批财政衔接推进乡村振兴补助资金基础设施建设项目石窝镇上垌村洋伦口至洋伦尾道路硬化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F68D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FA739">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227573.00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B715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534BE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5"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82C1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27</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405E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北流市2026年第一批财政衔接推进乡村振兴补助资金基础设施建设项目新圩镇旺山村旺山界至新圩环圩路道路两边拓宽</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2001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0E72A">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98166.00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88E5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5DF83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F369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28</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00D0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北流市2026年第一批财政衔接推进乡村振兴补助资金基础设施建设项目隆盛镇南禄村大沙组路口至振山口组道路拓宽项目</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3C13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D5B4B">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99293.00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50F7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66033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D873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29</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6D0E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北流市2026年第一批财政衔接推进乡村振兴补助资金基础设施建设项目石窝镇华东村圩组道路硬化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BE89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8C066">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97053.00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4176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48838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34B3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30</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5E25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北流市2026年第一批财政衔接推进乡村振兴补助资金基础设施建设项目白马镇东塘村荔枝组陂肚桥危桥改造</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25C4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1B40D">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222489.00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0F10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桥梁重建</w:t>
            </w:r>
          </w:p>
        </w:tc>
      </w:tr>
      <w:tr w14:paraId="5C6CB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CAC4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31</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203E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北流市2026年第一批财政衔接推进乡村振兴补助资金基础设施建设项目六靖镇镇南村四山坡桥</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49CD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E1EA1">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358995.00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331C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桥梁重建</w:t>
            </w:r>
          </w:p>
        </w:tc>
      </w:tr>
      <w:tr w14:paraId="38E96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ED25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32</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5F25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北流市2026年第一批财政衔接推进乡村振兴补助资金基础设施建设项目六靖镇旺坡村邦根组危桥改造</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CEAB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EEEA6">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305666.00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D2FB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桥梁重建</w:t>
            </w:r>
          </w:p>
        </w:tc>
      </w:tr>
      <w:tr w14:paraId="77D2A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7A01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33</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5922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北流市2026年第一批财政衔接推进乡村振兴补助资金基础设施建设项目石窝镇龙田村福村组危桥改造</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DFF9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9EF73">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964013.00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2EB6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桥梁重建</w:t>
            </w:r>
          </w:p>
        </w:tc>
      </w:tr>
      <w:tr w14:paraId="48140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4AF8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34</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63A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北流市2026年第一批财政衔接推进乡村振兴补助资金基础设施建设项目六麻镇三和村公路至狐狸脚田危桥改造</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0FE1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93E01">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497250.00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E152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桥梁重建</w:t>
            </w:r>
          </w:p>
        </w:tc>
      </w:tr>
      <w:tr w14:paraId="1225A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5B2C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35</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0969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北流市2026年第一批财政衔接推进乡村振兴补助资金基础设施建设项目西埌镇石埌塘村重建罗石解桥</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1A2B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477E6">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398928.00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8F5B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桥梁重建</w:t>
            </w:r>
          </w:p>
        </w:tc>
      </w:tr>
      <w:tr w14:paraId="2659D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69B4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36</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1CA1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北流市2026年第一批财政衔接推进乡村振兴补助资金基础设施建设项目民乐镇南庆村一组至七组机耕路石拱桥危桥改造</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0F6B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E3222">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292432.98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0CF4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桥梁重建</w:t>
            </w:r>
          </w:p>
        </w:tc>
      </w:tr>
      <w:tr w14:paraId="02C97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5488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37</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BEA9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北流市2026年第一批财政衔接推进乡村振兴补助资金基础设施建设项目民安镇兴上村上兴组水利灌溉工程</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D0A4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C69A1">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198000.53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4139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小型水利</w:t>
            </w:r>
          </w:p>
        </w:tc>
      </w:tr>
      <w:tr w14:paraId="7D664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6D71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38</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1D3F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北流市2026年第一批财政衔接推进乡村振兴补助资金基础设施建设项目大里镇六堆村围村坡公路边至苏传忠店三面光水渠</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46EC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90BAF">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348968.31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7368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小型水利</w:t>
            </w:r>
          </w:p>
        </w:tc>
      </w:tr>
      <w:tr w14:paraId="784D2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E56C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39</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14DC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北流市2026年第一批财政衔接推进乡村振兴补助资金基础设施建设项目六靖镇云罗村南冲口组至陂脚组三面光</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74EC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32B9C">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246324.54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987A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小型水利</w:t>
            </w:r>
          </w:p>
        </w:tc>
      </w:tr>
      <w:tr w14:paraId="2C141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A189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40</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96D6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北流市2026年第一批财政衔接推进乡村振兴补助资金基础设施建设项目六麻镇六楼村旧寨二坝水利工程</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01D4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E6609">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398078.31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0389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小型水利</w:t>
            </w:r>
          </w:p>
        </w:tc>
      </w:tr>
      <w:tr w14:paraId="4761F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6C19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41</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569C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北流市2026年第一批财政衔接推进乡村振兴补助资金基础设施建设项目六麻镇三和村柏木组萝卜陂水渠</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E7DF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ED487">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458184.39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A501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小型水利</w:t>
            </w:r>
          </w:p>
        </w:tc>
      </w:tr>
      <w:tr w14:paraId="32B43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6C01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42</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2DEC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北流市2026年第一批财政衔接推进乡村振兴补助资金基础设施建设项目六麻镇里凤村枕头坝（二期）</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AEB4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BE6DD">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459065.07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68C8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小型水利</w:t>
            </w:r>
          </w:p>
        </w:tc>
      </w:tr>
      <w:tr w14:paraId="15BAD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D51F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43</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3FCA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北流市2026年第一批财政衔接推进乡村振兴补助资金基础设施建设项目民乐镇会众村湖洋垌水渠三面光工程项目</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85FB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DEA2D">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496874.41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8B7A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小型水利</w:t>
            </w:r>
          </w:p>
        </w:tc>
      </w:tr>
      <w:tr w14:paraId="7EB41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5"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EAF6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44</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4914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北流市2026年第一批财政衔接推进乡村振兴补助资金基础设施建设项目民乐镇斗口村大田组深龙垌至西埌镇横埌村至新村交界处三面光水渠</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039C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97359">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398909.70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38AD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小型水利</w:t>
            </w:r>
          </w:p>
        </w:tc>
      </w:tr>
      <w:tr w14:paraId="13964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1A72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45</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E7CA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北流市2026年第一批财政衔接推进乡村振兴补助资金基础设施建设项目隆盛南禄村大碰山塘及水渠维修</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3DA2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3DD08">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298145.76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9020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小型水利</w:t>
            </w:r>
          </w:p>
        </w:tc>
      </w:tr>
      <w:tr w14:paraId="7C75C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A9B2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46</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C3D7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北流市2026年第一批财政衔接推进乡村振兴补助资金基础设施建设项目清湾镇龙南村卫龙、双车组三面光水渠项目</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2D11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3EF5A">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214920.52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29ED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小型水利</w:t>
            </w:r>
          </w:p>
        </w:tc>
      </w:tr>
      <w:tr w14:paraId="49E78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2ECE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47</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2F5A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北流市2026年第一批财政衔接推进乡村振兴补助资金基础设施建设项目石窝镇石窝村村头组、石窝塘组、村尾组水渠工程</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40FA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2366E">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298476.67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0E48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小型水利</w:t>
            </w:r>
          </w:p>
        </w:tc>
      </w:tr>
      <w:tr w14:paraId="50FE6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298C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48</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FA09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北流市2026年第一批财政衔接推进乡村振兴补助资金基础设施建设项目石窝镇石窝村村尾组三面光水渠修复</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7329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2EEA">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83977.58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9722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小型水利</w:t>
            </w:r>
          </w:p>
        </w:tc>
      </w:tr>
      <w:tr w14:paraId="00FD0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40A7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49</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2B32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北流市2026年第一批财政衔接推进乡村振兴补助资金基础设施建设项目大坡外镇南盛村木格陂水坝修复项目</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D034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378BC">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99399.59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29F0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小型水利</w:t>
            </w:r>
          </w:p>
        </w:tc>
      </w:tr>
      <w:tr w14:paraId="5AABD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5"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37B4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50</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DC35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北流市2026年第一批财政衔接推进乡村振兴补助资金基础设施建设项目大坡外镇南盛村大塘组大蛤田到罗锋田水圳三面光项目</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F614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BB565">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128200.00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BC07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小型水利</w:t>
            </w:r>
          </w:p>
        </w:tc>
      </w:tr>
      <w:tr w14:paraId="1BF25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663D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51</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288B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北流市2026年第一批财政衔接推进乡村振兴补助资金基础设施建设项目沙垌镇丹花村地域丫灌溉水渠</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AC2E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F0C61">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182900.89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ECDA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小型水利</w:t>
            </w:r>
          </w:p>
        </w:tc>
      </w:tr>
      <w:tr w14:paraId="0CD65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1145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52</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077C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北流市2026年第一批财政衔接推进乡村振兴补助资金基础设施建设项目石窝镇河浪村谷子组顾屋人饮工程维修</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63FB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CBD1E">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196837.45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6085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人饮工程</w:t>
            </w:r>
          </w:p>
        </w:tc>
      </w:tr>
      <w:tr w14:paraId="0C840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237A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53</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6168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北流市2026年第一批财政衔接推进乡村振兴补助资金基础设施建设项目大坡外镇大坡内村路灯项目</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84EB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D9823">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96816.11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8421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公共照明</w:t>
            </w:r>
          </w:p>
        </w:tc>
      </w:tr>
      <w:tr w14:paraId="40E82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1FA0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54</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D024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北流市2026年第一批财政衔接推进乡村振兴补助资金基础设施建设项目石窝镇上垌村丹竹组公共照明项目</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086E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C0EAF">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96769.19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B0D5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公共照明</w:t>
            </w:r>
          </w:p>
        </w:tc>
      </w:tr>
      <w:tr w14:paraId="4CAC7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408E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55</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F4BA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北流市2026年第一批财政衔接推进乡村振兴补助资金基础设施建设项目石窝镇龙田村015县道公共照明项目</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6967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82226">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397242.41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1880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公共照明</w:t>
            </w:r>
          </w:p>
        </w:tc>
      </w:tr>
      <w:tr w14:paraId="08382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5"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915D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56</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BDCE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北流市2026年第一批财政衔接推进乡村振兴补助资金基础设施建设项目新圩镇河村1组至河村小学至河村17组公共照明</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8FF1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B65E3">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166426.57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D9C6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公共照明</w:t>
            </w:r>
          </w:p>
        </w:tc>
      </w:tr>
      <w:tr w14:paraId="68563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5C41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57</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23F7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北流市2026年第一批财政衔接推进乡村振兴补助资金基础设施建设项目清湾镇中龙村牛角湾、坡心组公共基础照明</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14E1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72475">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96777.68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6786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公共照明</w:t>
            </w:r>
          </w:p>
        </w:tc>
      </w:tr>
      <w:tr w14:paraId="1FBEB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E752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58</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B568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北流市2026年第一批财政衔接推进乡村振兴补助资金基础设施建设项目平政镇六沙组公共基础照明</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717B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5205C">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297151.82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788E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公共照明</w:t>
            </w:r>
          </w:p>
        </w:tc>
      </w:tr>
      <w:tr w14:paraId="449B1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5"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DDE8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59</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71BE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北流市2026年第一批财政衔接推进乡村振兴补助资金基础设施建设项目民乐镇会众村老屋组龙门水渠至马头岭组六斗种田垌三面光灌溉水渠维修</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A645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6AD27">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79088.76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AF3C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水渠维修</w:t>
            </w:r>
          </w:p>
        </w:tc>
      </w:tr>
      <w:tr w14:paraId="4B6F4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582A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60</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9814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北流市2026年第一批财政衔接推进乡村振兴补助资金基础设施建设项目扶新镇安河村修复里冲组至林科塘组三面光水渠</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8FBC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4D872">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128721.38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793B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水渠维修</w:t>
            </w:r>
          </w:p>
        </w:tc>
      </w:tr>
      <w:tr w14:paraId="4BE8D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2482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61</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F482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北流市2026年第一批财政衔接推进乡村振兴补助资金基础设施建设项目清水口镇大荣村大斗组磨刀组塌方修复</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65A9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DB8B3">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197465.85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1352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道路修复</w:t>
            </w:r>
          </w:p>
        </w:tc>
      </w:tr>
      <w:tr w14:paraId="76082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314C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62</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E26C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北流市2026年第一批财政衔接推进乡村振兴补助资金基础设施建设项目新丰镇新丰村大坪组公路口至祠堂边组道路维修项目</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B0E3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7EBA3">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247719.78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76F3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道路修复</w:t>
            </w:r>
          </w:p>
        </w:tc>
      </w:tr>
      <w:tr w14:paraId="55BD2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5"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EEB6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63</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3AF9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北流市2026年第一批财政衔接推进乡村振兴补助资金基础设施建设项目六麻镇上合村大容垌组石片圹路口塌方修复项目</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3C32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42122">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133771.00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0DCA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道路修复</w:t>
            </w:r>
          </w:p>
        </w:tc>
      </w:tr>
      <w:tr w14:paraId="55F37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546C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64</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DD02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北流市2026年第一批财政衔接推进乡村振兴补助资金基础设施建设项目清水口镇旺冲村大湴桥护坡</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80B5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AE723">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98055.47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7415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桥梁护坡</w:t>
            </w:r>
          </w:p>
        </w:tc>
      </w:tr>
      <w:tr w14:paraId="20E03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E5EA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65</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9C36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北流市2026年第一批财政衔接推进乡村振兴补助资金基础设施建设项目平政镇六沙村双圹组合水口桥桥头两边护翼</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F79C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5D850">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96986.00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9F17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桥梁护坡</w:t>
            </w:r>
          </w:p>
        </w:tc>
      </w:tr>
      <w:tr w14:paraId="5DAA2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E46A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66</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3224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北流市2026年第一批财政衔接推进乡村振兴补助资金基础设施建设项目六靖镇旺坡村大棒组陈屋路口至大棒组路段塌方修复加固工程</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3291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1334E">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147878.00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AF72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道路修复</w:t>
            </w:r>
          </w:p>
        </w:tc>
      </w:tr>
      <w:tr w14:paraId="73217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5"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327F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67</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6207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北流市2026年第一批财政衔接推进乡村振兴补助资金基础设施建设项目六靖镇北宝二级公路镇南村路口至镇南村委道路改造项目</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7AAA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21347">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478562.00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4201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道路护坡、硬化</w:t>
            </w:r>
          </w:p>
        </w:tc>
      </w:tr>
      <w:tr w14:paraId="26AC7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8ACC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68</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1303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北流市2026年第一批财政衔接推进乡村振兴补助资金基础设施建设项目大伦镇旺贺村碰垌组道路维修项目</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54F6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D4F07">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249065.00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1E8C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道路维修</w:t>
            </w:r>
          </w:p>
        </w:tc>
      </w:tr>
      <w:tr w14:paraId="6C1B5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B0B2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69</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2F6D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北流市2026年第一批财政衔接推进乡村振兴补助资金基础设施建设项目六麻镇六楼村平山垌路口至黎屋道路水利修复工程</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D442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2FB36">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99464.34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0EA6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水利修复</w:t>
            </w:r>
          </w:p>
        </w:tc>
      </w:tr>
      <w:tr w14:paraId="35F5B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381B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70</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489E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北流市2026年第一批财政衔接推进乡村振兴补助资金基础设施建设项目隆盛镇香圩村和隆公共基础照明</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AF60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8A528">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110000.00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3EA9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公共照明</w:t>
            </w:r>
          </w:p>
        </w:tc>
      </w:tr>
      <w:tr w14:paraId="1C756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DBB5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71</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3DD4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北流市2026年第一批财政衔接推进乡村振兴补助资金基础设施建设项目六靖镇镇南村六南片公共照明</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A8EF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FE077">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100000.00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CF4B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公共照明</w:t>
            </w:r>
          </w:p>
        </w:tc>
      </w:tr>
      <w:tr w14:paraId="60651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1EA0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72</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7065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北流市2026年第一批财政衔接推进乡村振兴补助资金产业提升项目隆盛镇香圩村移山组产业道路硬化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082B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88D5A">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190000.00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0CC8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429AE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5"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1E78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73</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6879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北流市2026年第一批财政衔接推进乡村振兴补助资金基础设施建设项目隆盛镇香圩村移山组沙冲塘修缮及水渠三面光修复</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5BC2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DE7ED">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270000.00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0415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小型水利</w:t>
            </w:r>
          </w:p>
        </w:tc>
      </w:tr>
      <w:tr w14:paraId="474ED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5"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400F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74</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68DC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北流市2026年第一批财政衔接推进乡村振兴补助资金产业提升项目隆盛镇乡平村荔枝品改和种植食用油茶项目产业路硬化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96FC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40F7C">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260000.00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E2C0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6E409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5"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B606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75</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9570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北流市2026年第一批财政衔接推进乡村振兴补助资金产业提升项目隆盛镇乡平村集体山场山坪岭路口至境口组林水屋背产业路硬化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3955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42A90">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80000.00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7E19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4BA76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044A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76</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2D8E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北流市2026年第一批财政衔接推进乡村振兴补助资金产业提升项目隆盛镇乡平村谷架组至新丰镇大罗垌十二队产业发展道路硬化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02B0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51C24">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450000.00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B65A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4AE12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E51F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77</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6B32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北流市2026年第一批财政衔接推进乡村振兴补助资金产业提升项目六靖镇镇南村沙田组生猪养殖产业道路硬化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AC41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C2C20">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1010000.00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3954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5EA0C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E0EB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78</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B68B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北流市2026年第一批财政衔接推进乡村振兴补助资金产业提升项目六靖镇镇南村大虫平产业道路硬化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805D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528B5">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230000.00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B18A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20BE6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7BC4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79</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38F9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北流市2026年第一批财政衔接推进乡村振兴补助资金基础设施建设项目沙垌镇秀塘村茂园坪路口桥</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1037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FC34F">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400000.00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3713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桥梁重建</w:t>
            </w:r>
          </w:p>
        </w:tc>
      </w:tr>
      <w:tr w14:paraId="0384E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F0BE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80</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1000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北流市2026年第一批财政衔接推进乡村振兴补助资金基础设施建设项目六麻镇新平村上东村人饮工程</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B716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53F0C">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400000.00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E1BE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人饮工程</w:t>
            </w:r>
          </w:p>
        </w:tc>
      </w:tr>
      <w:tr w14:paraId="3B2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7564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81</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065F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北流市2026年第一批财政衔接推进乡村振兴补助资金基础设施建设项目隆盛镇陈智村六治组安装太阳能路灯</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6800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E7A8A">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70000.00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632C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公共照明</w:t>
            </w:r>
          </w:p>
        </w:tc>
      </w:tr>
      <w:tr w14:paraId="3DD51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619A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82</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79E5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北流市2026年第一批财政衔接推进乡村振兴补助资金基础设施建设项目石窝镇煌炉村公垌组、长田垌组公共基础照明</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2E9F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9B288">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150000.00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B8F4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公共照明</w:t>
            </w:r>
          </w:p>
        </w:tc>
      </w:tr>
      <w:tr w14:paraId="1D261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4456" w:type="dxa"/>
            <w:gridSpan w:val="2"/>
            <w:tcBorders>
              <w:top w:val="single" w:color="000000" w:sz="4" w:space="0"/>
              <w:left w:val="single" w:color="000000" w:sz="4" w:space="0"/>
              <w:bottom w:val="single" w:color="auto" w:sz="4" w:space="0"/>
              <w:right w:val="single" w:color="000000" w:sz="4" w:space="0"/>
            </w:tcBorders>
            <w:shd w:val="clear" w:color="auto" w:fill="auto"/>
            <w:noWrap/>
            <w:vAlign w:val="center"/>
          </w:tcPr>
          <w:p w14:paraId="7E8ABF6F">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snapToGrid w:val="0"/>
                <w:color w:val="000000"/>
                <w:kern w:val="0"/>
                <w:sz w:val="22"/>
                <w:szCs w:val="22"/>
                <w:highlight w:val="none"/>
                <w:u w:val="none"/>
                <w:lang w:val="en-US" w:eastAsia="zh-CN" w:bidi="ar"/>
              </w:rPr>
              <w:t>小计</w:t>
            </w:r>
          </w:p>
        </w:tc>
        <w:tc>
          <w:tcPr>
            <w:tcW w:w="92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1D4A3B6">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snapToGrid w:val="0"/>
                <w:color w:val="000000"/>
                <w:kern w:val="0"/>
                <w:sz w:val="22"/>
                <w:szCs w:val="22"/>
                <w:highlight w:val="none"/>
                <w:u w:val="none"/>
                <w:lang w:val="en-US" w:eastAsia="zh-CN" w:bidi="ar"/>
              </w:rPr>
              <w:t>82项</w:t>
            </w:r>
          </w:p>
        </w:tc>
        <w:tc>
          <w:tcPr>
            <w:tcW w:w="207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AA92D4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b/>
                <w:bCs/>
                <w:i w:val="0"/>
                <w:iCs w:val="0"/>
                <w:snapToGrid w:val="0"/>
                <w:color w:val="000000"/>
                <w:kern w:val="0"/>
                <w:sz w:val="22"/>
                <w:szCs w:val="22"/>
                <w:highlight w:val="none"/>
                <w:u w:val="none"/>
                <w:lang w:val="en-US" w:eastAsia="zh-CN" w:bidi="ar"/>
              </w:rPr>
              <w:t xml:space="preserve">46879611.50 </w:t>
            </w:r>
          </w:p>
        </w:tc>
        <w:tc>
          <w:tcPr>
            <w:tcW w:w="159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2031D58">
            <w:pPr>
              <w:jc w:val="center"/>
              <w:rPr>
                <w:rFonts w:hint="eastAsia" w:ascii="宋体" w:hAnsi="宋体" w:eastAsia="宋体" w:cs="宋体"/>
                <w:i w:val="0"/>
                <w:iCs w:val="0"/>
                <w:color w:val="000000"/>
                <w:sz w:val="22"/>
                <w:szCs w:val="22"/>
                <w:highlight w:val="none"/>
                <w:u w:val="none"/>
              </w:rPr>
            </w:pPr>
          </w:p>
        </w:tc>
      </w:tr>
      <w:tr w14:paraId="086BC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9051"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B838833">
            <w:pPr>
              <w:keepNext w:val="0"/>
              <w:keepLines w:val="0"/>
              <w:widowControl/>
              <w:suppressLineNumbers w:val="0"/>
              <w:jc w:val="center"/>
              <w:textAlignment w:val="center"/>
              <w:rPr>
                <w:highlight w:val="none"/>
              </w:rPr>
            </w:pPr>
            <w:r>
              <w:rPr>
                <w:rFonts w:hint="eastAsia" w:ascii="黑体" w:hAnsi="宋体" w:eastAsia="黑体" w:cs="黑体"/>
                <w:b/>
                <w:bCs/>
                <w:i w:val="0"/>
                <w:iCs w:val="0"/>
                <w:snapToGrid w:val="0"/>
                <w:color w:val="000000"/>
                <w:kern w:val="0"/>
                <w:sz w:val="22"/>
                <w:szCs w:val="22"/>
                <w:highlight w:val="none"/>
                <w:u w:val="none"/>
                <w:lang w:val="en-US" w:eastAsia="zh-CN" w:bidi="ar"/>
              </w:rPr>
              <w:t>第二批</w:t>
            </w:r>
          </w:p>
        </w:tc>
      </w:tr>
      <w:tr w14:paraId="47580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5F684E8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w:t>
            </w:r>
          </w:p>
        </w:tc>
        <w:tc>
          <w:tcPr>
            <w:tcW w:w="3789" w:type="dxa"/>
            <w:tcBorders>
              <w:top w:val="single" w:color="auto" w:sz="4" w:space="0"/>
              <w:left w:val="single" w:color="000000" w:sz="4" w:space="0"/>
              <w:bottom w:val="single" w:color="000000" w:sz="4" w:space="0"/>
              <w:right w:val="single" w:color="000000" w:sz="4" w:space="0"/>
            </w:tcBorders>
            <w:shd w:val="clear" w:color="auto" w:fill="auto"/>
            <w:vAlign w:val="center"/>
          </w:tcPr>
          <w:p w14:paraId="7DBC8C2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北流市2026年第二批财政常态化帮扶资金产业提升项目新荣村集体经济标准化厂房（二期）</w:t>
            </w:r>
          </w:p>
        </w:tc>
        <w:tc>
          <w:tcPr>
            <w:tcW w:w="927"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2CC318B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41CD92A9">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1500000.00</w:t>
            </w:r>
          </w:p>
        </w:tc>
        <w:tc>
          <w:tcPr>
            <w:tcW w:w="1595"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225C631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厂房建设</w:t>
            </w:r>
          </w:p>
        </w:tc>
      </w:tr>
      <w:tr w14:paraId="6B41E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4B32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2</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CD31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北流市2026年第二批财政常态化帮扶资金产业提升项目产业提升项目官府组标准化厂房</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33B9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B4338">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2100000.00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9AD5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厂房建设</w:t>
            </w:r>
          </w:p>
        </w:tc>
      </w:tr>
      <w:tr w14:paraId="052B5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E6DE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3</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0F85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北流市2026年第二批财政常态化帮扶资金产业提升项目白马村集体经济标准化厂房</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3328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53222">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2800000.00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B093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厂房建设</w:t>
            </w:r>
          </w:p>
        </w:tc>
      </w:tr>
      <w:tr w14:paraId="66633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6014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4</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4B14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北流市2026年第二批财政常态化帮扶资金产业提升项目清湾镇集体经济标准化厂房（二期）</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41E7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A22A5">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2500000.00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E7BE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厂房建设</w:t>
            </w:r>
          </w:p>
        </w:tc>
      </w:tr>
      <w:tr w14:paraId="74958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8346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5</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63D4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北流市2026年第二批财政常态化帮扶资金产业提升项目三、四组荔枝产业道路硬化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3BBF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F00F4">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200000.00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858A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66ABE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B687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6</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E8F9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北流市2026年第二批财政常态化帮扶资金产业提升项目塘头村高峰组产业道路硬化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80B8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BAF28">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180000.00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0727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14459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6A48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7</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AD64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北流市2026年第二批财政常态化帮扶资金产业提升项目飞鼠顶组至陆角冲产业道路硬化（二期）</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BC31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91230">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480000.00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F014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0CBB5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1421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8</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8E68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北流市2026年第二批财政常态化帮扶资金产业提升项目香塘村贡昔组产业道路硬化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50A7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4A6A1">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250000.00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6CE0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4649A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F1F5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9</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519C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北流市2026年第二批财政常态化帮扶资金产业提升项目平坡村润丰果场产业道路硬化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79E5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5D1CD">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300000.00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8393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682CC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88A4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10</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BE31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北流市2026年第二批财政常态化帮扶资金产业提升项目达和村产业道路硬化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E9BA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EB841">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450000.00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8761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2BC13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A9FB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11</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4733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北流市2026年第二批财政常态化帮扶资金产业提升项目垭冲组油茶基地道路硬化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55E4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EF338">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300000.00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09CB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0926C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3008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12</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6367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北流市2026年第二批财政常态化帮扶资金产业提升项目陈冲组产业道路硬化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D2A7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A605F">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260000.00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D81F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4D133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7895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13</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C4E8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北流市2026年第二批财政常态化帮扶资金产业提升项目龙荔果场产业道路硬化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CF9F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20C30">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700000.00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44EE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78270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0950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14</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D07D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北流市2026年第二批财政常态化帮扶资金基础设施建设项目西埌镇田心村大车组至陶山村路口道路硬化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096C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73656">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200000.00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EC88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19F00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0936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15</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90CF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北流市2026年第二批财政常态化帮扶资金基础设施建设项目新丰镇水垌村风稍根组路至龙角道路硬化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F467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81D34">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100000.00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E2AC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4D9C9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4A24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16</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5CD4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北流市2026年第二批财政常态化帮扶资金基础设施建设项目平政镇北河村上垌组塘边至灯照道路硬化工程</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BABA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432EB">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80000.00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E5A5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30C90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5E4E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17</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D97F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北流市2026年第二批财政常态化帮扶资金基础设施建设项目平政镇六巷上村屋大门口至上村屋桥头道路硬化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AC5A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6D3FC">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60000.00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0D0F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78043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BA09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18</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AF97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北流市2026年第二批财政常态化帮扶资金基础设施建设项目平政镇六合村大桥组道路硬化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2EFC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CAEC3">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30000.00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E667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6CB69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9DC1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19</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630B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北流市2026年第二批财政常态化帮扶资金基础设施建设项目六靖镇协保村七组社根塘至伍广平门口道路硬化</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D871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84999">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30000.00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3A6B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道路硬化</w:t>
            </w:r>
          </w:p>
        </w:tc>
      </w:tr>
      <w:tr w14:paraId="1A538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94A9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20</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28FE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北流市2026年第二批财政常态化帮扶资金基础设施建设项目民乐镇民乐村㢠西危桥改造</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665D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B454C">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350000.00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42E1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桥梁重建</w:t>
            </w:r>
          </w:p>
        </w:tc>
      </w:tr>
      <w:tr w14:paraId="0D882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4FA8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21</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A840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北流市2026年第二批财政常态化帮扶资金基础设施建设项目清水口镇香塘村六井组桥重建</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4EF5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736CA">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750000.00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F364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桥梁重建</w:t>
            </w:r>
          </w:p>
        </w:tc>
      </w:tr>
      <w:tr w14:paraId="1B0F7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5E66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22</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4A1F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北流市2026年第二批财政常态化帮扶资金基础设施建设项目隆盛镇三和里村堆山组桥</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538D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7AB56">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350000.00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73DE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桥梁重建</w:t>
            </w:r>
          </w:p>
        </w:tc>
      </w:tr>
      <w:tr w14:paraId="09DF3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2369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23</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33F5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北流市2026年第二批财政常态化帮扶资金基础设施建设项目沙垌镇沙垌村木克垌组桥</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00D5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0083D">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800000.00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1433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桥梁重建</w:t>
            </w:r>
          </w:p>
        </w:tc>
      </w:tr>
      <w:tr w14:paraId="24D5F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F0A9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24</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4168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北流市2026年第二批财政常态化帮扶资金基础设施建设项目平政镇绿旺村跃进组上塘垌桥</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6C4B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F2E2D">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200000.00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AE80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桥梁重建</w:t>
            </w:r>
          </w:p>
        </w:tc>
      </w:tr>
      <w:tr w14:paraId="5ADFE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16A3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25</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3600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北流市2026年第二批财政常态化帮扶资金基础设施建设项目六麻镇三和村旺泥塘组合水桥</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82CD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8124B">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200000.00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9D71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桥梁重建</w:t>
            </w:r>
          </w:p>
        </w:tc>
      </w:tr>
      <w:tr w14:paraId="1FA37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C187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26</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4BEF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北流市2026年第二批财政常态化帮扶资金基础设施建设项目石窝镇石窝村白石组桥</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3FFE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5C723">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400000.00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99EE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桥梁重建</w:t>
            </w:r>
          </w:p>
        </w:tc>
      </w:tr>
      <w:tr w14:paraId="3FFB3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A315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27</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EB8B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北流市2026年第二批财政常态化帮扶资金基础设施建设项目清湾镇中龙村五一组过路陂危桥重建</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1D02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D4507">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400000.00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02AF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桥梁重建</w:t>
            </w:r>
          </w:p>
        </w:tc>
      </w:tr>
      <w:tr w14:paraId="6ADE2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C376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28</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CC44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北流市2026年第二批财政常态化帮扶资金基础设施建设项目北流镇潮塘村13组三面光水渠</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50AB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91FC4">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400000.00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3AB4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小型水利</w:t>
            </w:r>
          </w:p>
        </w:tc>
      </w:tr>
      <w:tr w14:paraId="028C1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25B6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29</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C499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北流市2026年第二批财政常态化帮扶资金基础设施建设项目山围镇铁炉村罗村屯金鸡陂至秧地三面光水渠</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9D81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623DC">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150000.00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DDE8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小型水利</w:t>
            </w:r>
          </w:p>
        </w:tc>
      </w:tr>
      <w:tr w14:paraId="0A06A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B01B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30</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8B13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北流市2026年第二批财政常态化帮扶资金基础设施建设项目清水口镇大罗村松木根组农田灌溉水渠三面光建设</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CC20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1E573">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150000.00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7577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小型水利</w:t>
            </w:r>
          </w:p>
        </w:tc>
      </w:tr>
      <w:tr w14:paraId="7B60B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A864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31</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6447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北流市2026年第二批财政常态化帮扶资金基础设施建设项目大坡外琴冲村三面光水渠</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55CD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907A1">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200000.00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2556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小型水利</w:t>
            </w:r>
          </w:p>
        </w:tc>
      </w:tr>
      <w:tr w14:paraId="44750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9493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32</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7D46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北流市2026年第二批财政常态化帮扶资金基础设施建设项目六麻镇石玉村信田组农田复耕水沟三面光工程</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A2F6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C4CB9">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300000.00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6E44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小型水利</w:t>
            </w:r>
          </w:p>
        </w:tc>
      </w:tr>
      <w:tr w14:paraId="06C47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F875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33</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15BB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北流市2026年第二批财政常态化帮扶资金基础设施建设项目平政镇双垌村冲口组三面光水渠</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B1AA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4AAE6">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200000.00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2E75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小型水利</w:t>
            </w:r>
          </w:p>
        </w:tc>
      </w:tr>
      <w:tr w14:paraId="0A1DC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CDD9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34</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1917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北流市2026年第二批财政常态化帮扶资金基础设施建设项目石窝镇雀山村塘吉垌三面光水渠</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09EB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EFCCA">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170000.00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D248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小型水利</w:t>
            </w:r>
          </w:p>
        </w:tc>
      </w:tr>
      <w:tr w14:paraId="11AAC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F16F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35</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89FA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北流市2026年第二批财政常态化帮扶资金基础设施建设项目石窝镇雀山村高垌组办田垌三面光水渠</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50B7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56FD7">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300000.00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5DB2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小型水利</w:t>
            </w:r>
          </w:p>
        </w:tc>
      </w:tr>
      <w:tr w14:paraId="39498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8B51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36</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D598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北流市2026年第二批财政常态化帮扶资金基础设施建设项目清湾镇凤塘村荔枝园三面光水渠</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7DDF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17C14">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300000.00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DF99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小型水利</w:t>
            </w:r>
          </w:p>
        </w:tc>
      </w:tr>
      <w:tr w14:paraId="22780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C4D3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37</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93D2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北流市2026年第二批财政常态化帮扶资金基础设施建设项目石窝镇那鞋村村尾组人饮工程</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219F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2C7A0">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80000.00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07DD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人饮工程</w:t>
            </w:r>
          </w:p>
        </w:tc>
      </w:tr>
      <w:tr w14:paraId="6CD01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126D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38</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AC26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北流市2026年第二批财政常态化帮扶资金基础设施建设项目石窝镇煌炉村六粟组人饮工程（二期）</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4542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02298">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120000.00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6A6B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人饮工程</w:t>
            </w:r>
          </w:p>
        </w:tc>
      </w:tr>
      <w:tr w14:paraId="0B0E6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8498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39</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E5DB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北流市2026年第二批财政常态化帮扶资金基础设施建设项目六靖镇镇南村长塘片、平山片人饮工程</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40B9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B3B6A">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 xml:space="preserve">100000.00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790F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人饮工程</w:t>
            </w:r>
          </w:p>
        </w:tc>
      </w:tr>
      <w:tr w14:paraId="48F96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E821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40</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AFB6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北流市2026年第二批财政常态化帮扶资金基础设施建设项目西埌镇新村公共基础照明</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A9B2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59528">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150000.00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544B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公共照明</w:t>
            </w:r>
          </w:p>
        </w:tc>
      </w:tr>
      <w:tr w14:paraId="1885E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200D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41</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F73B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北流市2026年第二批财政常态化帮扶资金基础设施建设项目新丰镇永安村6组湴冲路段路灯项目</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4231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446A7">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40000.00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0475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公共照明</w:t>
            </w:r>
          </w:p>
        </w:tc>
      </w:tr>
      <w:tr w14:paraId="32E03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0E83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42</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B37B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北流市2026年第二批财政常态化帮扶资金基础设施建设项目六麻镇六学村谭梅组公共照明</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7752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42263">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100000.00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9583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公共照明</w:t>
            </w:r>
          </w:p>
        </w:tc>
      </w:tr>
      <w:tr w14:paraId="62173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417F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43</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0AF9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北流市2026年第二批财政常态化帮扶资金基础设施建设项目平政镇双垌村主干道公共基础照明</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823F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0EF26">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100000.00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1FA5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公共照明</w:t>
            </w:r>
          </w:p>
        </w:tc>
      </w:tr>
      <w:tr w14:paraId="1F6FF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29AF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44</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2551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北流市2026年第二批财政常态化帮扶资金基础设施建设项目六靖镇旺坡村莲塘组公共照明</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4D3E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14DDF">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80000.00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5953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公共照明</w:t>
            </w:r>
          </w:p>
        </w:tc>
      </w:tr>
      <w:tr w14:paraId="3B581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C2CE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45</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CCEA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北流市2026年第二批财政常态化帮扶资金基础设施建设项目大伦镇大伦村山二组公共基础照明</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C45D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94DFD">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150000.00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D83C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公共照明</w:t>
            </w:r>
          </w:p>
        </w:tc>
      </w:tr>
      <w:tr w14:paraId="09562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8837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46</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113B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北流市2026年第二批财政常态化帮扶资金基础设施建设项目北流镇凉水井村18.19组鸭塘灌溉加固项目</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E7BA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42C41">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900000.00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8AC9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水利修复</w:t>
            </w:r>
          </w:p>
        </w:tc>
      </w:tr>
      <w:tr w14:paraId="5EC62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0DC1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47</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573D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北流市2026年第二批财政常态化帮扶资金基础设施建设项目民乐镇石垌村祝平组道路塌方修复、硬化工程</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E803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681E1">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600000.00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1874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道路修复、硬化</w:t>
            </w:r>
          </w:p>
        </w:tc>
      </w:tr>
      <w:tr w14:paraId="68CFE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0A0B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48</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4EAF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北流市2026年第二批财政常态化帮扶资金基础设施建设项目西埌镇石埌塘村罗石解桥头护翼</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D1DF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3A99C">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120000.00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707D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桥梁护坡</w:t>
            </w:r>
          </w:p>
        </w:tc>
      </w:tr>
      <w:tr w14:paraId="4A7F1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B849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49</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9DE3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北流市2026年第二批财政常态化帮扶资金基础设施建设项目清水口镇旺冲村大湴桥护坡及安防</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D6F5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816FC">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100000.00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DEFF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桥梁护坡</w:t>
            </w:r>
          </w:p>
        </w:tc>
      </w:tr>
      <w:tr w14:paraId="3EE02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9E6E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50</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A8A5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北流市2026年第二批财政常态化帮扶资金基础设施建设项目清水口镇大塘边村深水垌组水利修复工程</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CBDA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C875D">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100000.00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DDFC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水利修复</w:t>
            </w:r>
          </w:p>
        </w:tc>
      </w:tr>
      <w:tr w14:paraId="4BAD3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054D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51</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362D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北流市2026年第二批财政常态化帮扶资金基础设施建设项目大坡外镇古哿村浊水组水毁道路修复</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D9FE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CCA78">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350000.00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B7F9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道路修复</w:t>
            </w:r>
          </w:p>
        </w:tc>
      </w:tr>
      <w:tr w14:paraId="7026A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EA72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52</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1B64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北流市2026年第二批财政常态化帮扶资金基础设施建设项目六麻镇上合村大容垌组石片圹路口塌方修复项目（二期）</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75CA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30D0D">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100000.00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FF2D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道路修复</w:t>
            </w:r>
          </w:p>
        </w:tc>
      </w:tr>
      <w:tr w14:paraId="0C507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B0A5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53</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80A1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北流市2026年第二批财政常态化帮扶资金基础设施建设项目沙垌镇雷冲村野里山组道路塌方加固维修工程</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3A52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367BE">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300000.00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2C95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道路修复</w:t>
            </w:r>
          </w:p>
        </w:tc>
      </w:tr>
      <w:tr w14:paraId="6F619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D83E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54</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D29B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北流市2026年第二批财政常态化帮扶资金基础设施建设项目六靖镇旺坡村大棒组陈屋路口至大棒组路段塌方修复工程（二期）</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E9B4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87AE2">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100000.00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F4ED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道路修复</w:t>
            </w:r>
          </w:p>
        </w:tc>
      </w:tr>
      <w:tr w14:paraId="1A4D1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BECD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55</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E58A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北流市2026年第二批财政常态化帮扶资金基础设施建设项目石窝镇龙田村新屋组三面光水渠修复</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193B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21EAB">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600000.00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CC63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水利修复</w:t>
            </w:r>
          </w:p>
        </w:tc>
      </w:tr>
      <w:tr w14:paraId="60D36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44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30764">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snapToGrid w:val="0"/>
                <w:color w:val="000000"/>
                <w:kern w:val="0"/>
                <w:sz w:val="22"/>
                <w:szCs w:val="22"/>
                <w:highlight w:val="none"/>
                <w:u w:val="none"/>
                <w:lang w:val="en-US" w:eastAsia="zh-CN" w:bidi="ar"/>
              </w:rPr>
              <w:t>小计</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D55A0">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snapToGrid w:val="0"/>
                <w:color w:val="000000"/>
                <w:kern w:val="0"/>
                <w:sz w:val="22"/>
                <w:szCs w:val="22"/>
                <w:highlight w:val="none"/>
                <w:u w:val="none"/>
                <w:lang w:val="en-US" w:eastAsia="zh-CN" w:bidi="ar"/>
              </w:rPr>
              <w:t>55项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874A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b/>
                <w:bCs/>
                <w:i w:val="0"/>
                <w:iCs w:val="0"/>
                <w:snapToGrid w:val="0"/>
                <w:color w:val="000000"/>
                <w:kern w:val="0"/>
                <w:sz w:val="22"/>
                <w:szCs w:val="22"/>
                <w:highlight w:val="none"/>
                <w:u w:val="none"/>
                <w:lang w:val="en-US" w:eastAsia="zh-CN" w:bidi="ar"/>
              </w:rPr>
              <w:t xml:space="preserve">22330000.00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C2092">
            <w:pPr>
              <w:jc w:val="center"/>
              <w:rPr>
                <w:rFonts w:hint="eastAsia" w:ascii="宋体" w:hAnsi="宋体" w:eastAsia="宋体" w:cs="宋体"/>
                <w:i w:val="0"/>
                <w:iCs w:val="0"/>
                <w:color w:val="000000"/>
                <w:sz w:val="22"/>
                <w:szCs w:val="22"/>
                <w:highlight w:val="none"/>
                <w:u w:val="none"/>
              </w:rPr>
            </w:pPr>
          </w:p>
        </w:tc>
      </w:tr>
      <w:tr w14:paraId="3C698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8" w:hRule="atLeast"/>
        </w:trPr>
        <w:tc>
          <w:tcPr>
            <w:tcW w:w="44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9FCCF">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snapToGrid w:val="0"/>
                <w:color w:val="000000"/>
                <w:kern w:val="0"/>
                <w:sz w:val="22"/>
                <w:szCs w:val="22"/>
                <w:highlight w:val="none"/>
                <w:u w:val="none"/>
                <w:lang w:val="en-US" w:eastAsia="zh-CN" w:bidi="ar"/>
              </w:rPr>
              <w:t>合计</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53180">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snapToGrid w:val="0"/>
                <w:color w:val="000000"/>
                <w:kern w:val="0"/>
                <w:sz w:val="22"/>
                <w:szCs w:val="22"/>
                <w:highlight w:val="none"/>
                <w:u w:val="none"/>
                <w:lang w:val="en-US" w:eastAsia="zh-CN" w:bidi="ar"/>
              </w:rPr>
              <w:t>137项</w:t>
            </w:r>
          </w:p>
        </w:tc>
        <w:tc>
          <w:tcPr>
            <w:tcW w:w="2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A963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b/>
                <w:bCs/>
                <w:i w:val="0"/>
                <w:iCs w:val="0"/>
                <w:snapToGrid w:val="0"/>
                <w:color w:val="000000"/>
                <w:kern w:val="0"/>
                <w:sz w:val="22"/>
                <w:szCs w:val="22"/>
                <w:highlight w:val="none"/>
                <w:u w:val="none"/>
                <w:lang w:val="en-US" w:eastAsia="zh-CN" w:bidi="ar"/>
              </w:rPr>
              <w:t xml:space="preserve">69209611.50 </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60559">
            <w:pPr>
              <w:jc w:val="center"/>
              <w:rPr>
                <w:rFonts w:hint="eastAsia" w:ascii="宋体" w:hAnsi="宋体" w:eastAsia="宋体" w:cs="宋体"/>
                <w:i w:val="0"/>
                <w:iCs w:val="0"/>
                <w:color w:val="000000"/>
                <w:sz w:val="22"/>
                <w:szCs w:val="22"/>
                <w:highlight w:val="none"/>
                <w:u w:val="none"/>
              </w:rPr>
            </w:pPr>
          </w:p>
        </w:tc>
      </w:tr>
      <w:tr w14:paraId="0A803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7" w:hRule="atLeast"/>
        </w:trPr>
        <w:tc>
          <w:tcPr>
            <w:tcW w:w="9051"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68B63">
            <w:pPr>
              <w:jc w:val="left"/>
              <w:rPr>
                <w:rFonts w:hint="default" w:ascii="宋体" w:hAnsi="宋体" w:eastAsia="宋体" w:cs="宋体"/>
                <w:i w:val="0"/>
                <w:iCs w:val="0"/>
                <w:color w:val="000000"/>
                <w:sz w:val="22"/>
                <w:szCs w:val="22"/>
                <w:highlight w:val="none"/>
                <w:u w:val="none"/>
                <w:lang w:val="en-US" w:eastAsia="zh-CN"/>
              </w:rPr>
            </w:pPr>
            <w:r>
              <w:rPr>
                <w:rFonts w:hint="eastAsia" w:ascii="宋体" w:hAnsi="宋体" w:eastAsia="宋体" w:cs="宋体"/>
                <w:i w:val="0"/>
                <w:iCs w:val="0"/>
                <w:color w:val="000000"/>
                <w:sz w:val="22"/>
                <w:szCs w:val="22"/>
                <w:highlight w:val="none"/>
                <w:u w:val="none"/>
                <w:lang w:val="en-US" w:eastAsia="zh-CN"/>
              </w:rPr>
              <w:t>注：本表项目数量为初步服务范围，最终以为实际完成项目数量为准。</w:t>
            </w:r>
          </w:p>
        </w:tc>
      </w:tr>
    </w:tbl>
    <w:p w14:paraId="5AE00874">
      <w:pPr>
        <w:pStyle w:val="4"/>
        <w:rPr>
          <w:rFonts w:hint="default" w:eastAsia="宋体"/>
          <w:color w:val="auto"/>
          <w:highlight w:val="none"/>
          <w:lang w:val="en-US" w:eastAsia="zh-CN"/>
        </w:rPr>
      </w:pPr>
    </w:p>
    <w:sectPr>
      <w:footerReference r:id="rId60" w:type="default"/>
      <w:pgSz w:w="11907" w:h="16841"/>
      <w:pgMar w:top="1431" w:right="1185" w:bottom="1219" w:left="1785" w:header="0" w:footer="101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4D"/>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48C822D-AA8E-43FF-9A25-57F3D7A227A4}"/>
  </w:font>
  <w:font w:name="黑体">
    <w:panose1 w:val="02010609060101010101"/>
    <w:charset w:val="86"/>
    <w:family w:val="auto"/>
    <w:pitch w:val="default"/>
    <w:sig w:usb0="800002BF" w:usb1="38CF7CFA" w:usb2="00000016" w:usb3="00000000" w:csb0="00040001" w:csb1="00000000"/>
    <w:embedRegular r:id="rId2" w:fontKey="{8D415088-F1F4-4A17-B805-BDD0AC684832}"/>
  </w:font>
  <w:font w:name="Courier New">
    <w:panose1 w:val="02070309020205020404"/>
    <w:charset w:val="01"/>
    <w:family w:val="modern"/>
    <w:pitch w:val="default"/>
    <w:sig w:usb0="E0002EFF" w:usb1="C0007843" w:usb2="00000009" w:usb3="00000000" w:csb0="400001FF" w:csb1="FFFF0000"/>
    <w:embedRegular r:id="rId3" w:fontKey="{650C7E06-F294-4CE9-9D63-1BE60EC3AEB2}"/>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script"/>
    <w:pitch w:val="default"/>
    <w:sig w:usb0="00000001" w:usb1="08000000" w:usb2="00000000" w:usb3="00000000" w:csb0="00040000" w:csb1="00000000"/>
    <w:embedRegular r:id="rId4" w:fontKey="{D5EAB998-2B49-46E9-9C0B-D0129C514BCF}"/>
  </w:font>
  <w:font w:name="华文新魏">
    <w:altName w:val="宋体"/>
    <w:panose1 w:val="02010800040101010101"/>
    <w:charset w:val="86"/>
    <w:family w:val="auto"/>
    <w:pitch w:val="default"/>
    <w:sig w:usb0="00000000" w:usb1="00000000" w:usb2="00000000" w:usb3="00000000" w:csb0="00040000" w:csb1="00000000"/>
    <w:embedRegular r:id="rId5" w:fontKey="{E34FCD3C-78F0-4E02-8FF0-B3DF0A0D6D31}"/>
  </w:font>
  <w:font w:name="微软雅黑">
    <w:panose1 w:val="020B0503020204020204"/>
    <w:charset w:val="86"/>
    <w:family w:val="auto"/>
    <w:pitch w:val="default"/>
    <w:sig w:usb0="80000287" w:usb1="2ACF3C50" w:usb2="00000016" w:usb3="00000000" w:csb0="0004001F" w:csb1="00000000"/>
    <w:embedRegular r:id="rId6" w:fontKey="{9282FC6E-1ABE-46CB-9E47-519516750243}"/>
  </w:font>
  <w:font w:name="仿宋">
    <w:panose1 w:val="02010609060101010101"/>
    <w:charset w:val="86"/>
    <w:family w:val="auto"/>
    <w:pitch w:val="default"/>
    <w:sig w:usb0="800002BF" w:usb1="38CF7CFA" w:usb2="00000016" w:usb3="00000000" w:csb0="00040001" w:csb1="00000000"/>
    <w:embedRegular r:id="rId7" w:fontKey="{EEDBFC4B-E1B3-4FD6-BC22-9ACD2175254B}"/>
  </w:font>
  <w:font w:name="仿宋_GB2312">
    <w:altName w:val="仿宋"/>
    <w:panose1 w:val="02010609030101010101"/>
    <w:charset w:val="86"/>
    <w:family w:val="modern"/>
    <w:pitch w:val="default"/>
    <w:sig w:usb0="00000000" w:usb1="00000000" w:usb2="00000000" w:usb3="00000000" w:csb0="00040000" w:csb1="00000000"/>
    <w:embedRegular r:id="rId8" w:fontKey="{A95FC5A2-E404-4314-B5FF-FE240ABE8DEE}"/>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PingFangSC-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00B82">
    <w:pPr>
      <w:spacing w:line="223" w:lineRule="auto"/>
      <w:ind w:left="4255"/>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3A957">
    <w:pPr>
      <w:spacing w:line="223" w:lineRule="auto"/>
      <w:ind w:left="4306"/>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2ABCE">
    <w:pPr>
      <w:spacing w:line="220" w:lineRule="auto"/>
      <w:ind w:left="4367"/>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BFA57">
    <w:pPr>
      <w:spacing w:line="220" w:lineRule="auto"/>
      <w:ind w:left="4366"/>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AECCB">
    <w:pPr>
      <w:spacing w:line="220" w:lineRule="auto"/>
      <w:ind w:left="4365"/>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DC404">
    <w:pPr>
      <w:spacing w:line="220" w:lineRule="auto"/>
      <w:ind w:left="4369"/>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C4E76">
    <w:pPr>
      <w:spacing w:line="223" w:lineRule="auto"/>
      <w:ind w:left="4324"/>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47810">
    <w:pPr>
      <w:spacing w:line="223" w:lineRule="auto"/>
      <w:ind w:left="4324"/>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E2E2A">
    <w:pPr>
      <w:spacing w:line="220" w:lineRule="auto"/>
      <w:ind w:left="4324"/>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13</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50550">
    <w:pPr>
      <w:spacing w:line="223" w:lineRule="auto"/>
      <w:ind w:left="4324"/>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14</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AD4FC">
    <w:pPr>
      <w:spacing w:line="220" w:lineRule="auto"/>
      <w:ind w:left="4324"/>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F9051">
    <w:pPr>
      <w:spacing w:line="220" w:lineRule="auto"/>
      <w:ind w:left="4324"/>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3E642">
    <w:pPr>
      <w:spacing w:line="220" w:lineRule="auto"/>
      <w:ind w:left="4324"/>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17</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04F41">
    <w:pPr>
      <w:spacing w:line="220" w:lineRule="auto"/>
      <w:ind w:left="4324"/>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18</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02A1D">
    <w:pPr>
      <w:spacing w:line="220" w:lineRule="auto"/>
      <w:ind w:left="4324"/>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19</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F6C66">
    <w:pPr>
      <w:spacing w:line="220" w:lineRule="auto"/>
      <w:ind w:left="430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20</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C0EE5">
    <w:pPr>
      <w:spacing w:line="223" w:lineRule="auto"/>
      <w:ind w:left="430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21</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FAD07">
    <w:pPr>
      <w:spacing w:line="223" w:lineRule="auto"/>
      <w:ind w:left="460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22</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573AC">
    <w:pPr>
      <w:spacing w:line="220" w:lineRule="auto"/>
      <w:ind w:left="430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25</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A341D">
    <w:pPr>
      <w:spacing w:line="220" w:lineRule="auto"/>
      <w:ind w:left="430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26</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3F02D">
    <w:pPr>
      <w:spacing w:line="220" w:lineRule="auto"/>
      <w:ind w:left="430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27</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E2E23">
    <w:pPr>
      <w:spacing w:line="220" w:lineRule="auto"/>
      <w:ind w:left="430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28</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B119D">
    <w:pPr>
      <w:spacing w:line="220" w:lineRule="auto"/>
      <w:ind w:left="430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29</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5D3C5">
    <w:pPr>
      <w:spacing w:line="220" w:lineRule="auto"/>
      <w:ind w:left="431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53FE8">
    <w:pPr>
      <w:spacing w:line="220" w:lineRule="auto"/>
      <w:ind w:left="431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B62BE">
    <w:pPr>
      <w:spacing w:line="220" w:lineRule="auto"/>
      <w:ind w:left="472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32</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F46DD">
    <w:pPr>
      <w:spacing w:line="220" w:lineRule="auto"/>
      <w:ind w:left="472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33</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18317">
    <w:pPr>
      <w:spacing w:line="220" w:lineRule="auto"/>
      <w:ind w:left="431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34</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4304B">
    <w:pPr>
      <w:spacing w:line="220" w:lineRule="auto"/>
      <w:ind w:left="431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35</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B9FC6">
    <w:pPr>
      <w:spacing w:line="220" w:lineRule="auto"/>
      <w:ind w:left="431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0213F">
    <w:pPr>
      <w:spacing w:line="220" w:lineRule="auto"/>
      <w:ind w:left="442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37</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AB332">
    <w:pPr>
      <w:spacing w:line="220" w:lineRule="auto"/>
      <w:ind w:left="442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38</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6E1C9">
    <w:pPr>
      <w:spacing w:line="220" w:lineRule="auto"/>
      <w:ind w:left="431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39</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E1795">
    <w:pPr>
      <w:spacing w:line="220" w:lineRule="auto"/>
      <w:ind w:left="430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21C9D">
    <w:pPr>
      <w:spacing w:line="223" w:lineRule="auto"/>
      <w:ind w:left="430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563F6">
    <w:pPr>
      <w:spacing w:line="223" w:lineRule="auto"/>
      <w:ind w:left="430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FB5FE">
    <w:pPr>
      <w:spacing w:line="220" w:lineRule="auto"/>
      <w:ind w:left="430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CA56B">
    <w:pPr>
      <w:spacing w:line="223" w:lineRule="auto"/>
      <w:ind w:left="4311"/>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2B777">
    <w:pPr>
      <w:spacing w:line="220" w:lineRule="auto"/>
      <w:ind w:left="430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F12E8">
    <w:pPr>
      <w:spacing w:line="220" w:lineRule="auto"/>
      <w:ind w:left="430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D9BCA">
    <w:pPr>
      <w:spacing w:line="220" w:lineRule="auto"/>
      <w:ind w:left="430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2F537">
    <w:pPr>
      <w:spacing w:line="220" w:lineRule="auto"/>
      <w:ind w:left="430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4FB91">
    <w:pPr>
      <w:spacing w:line="220" w:lineRule="auto"/>
      <w:ind w:left="430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E6E46">
    <w:pPr>
      <w:spacing w:line="220" w:lineRule="auto"/>
      <w:ind w:left="431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50</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65EBE">
    <w:pPr>
      <w:spacing w:line="220" w:lineRule="auto"/>
      <w:ind w:left="441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51</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B58F0">
    <w:pPr>
      <w:spacing w:line="220" w:lineRule="auto"/>
      <w:ind w:left="441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52</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4D97C">
    <w:pPr>
      <w:spacing w:line="220" w:lineRule="auto"/>
      <w:ind w:left="441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53</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230A8">
    <w:pPr>
      <w:spacing w:line="220" w:lineRule="auto"/>
      <w:ind w:left="431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54</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2C9C">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55</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EB062">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56</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0FB5E">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57</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B9A07">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58</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1AF33">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59</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6EED3">
    <w:pPr>
      <w:spacing w:line="220" w:lineRule="auto"/>
      <w:ind w:left="434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60</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4FED2">
    <w:pPr>
      <w:spacing w:line="220" w:lineRule="auto"/>
      <w:ind w:left="434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61</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439EA">
    <w:pPr>
      <w:spacing w:line="220" w:lineRule="auto"/>
      <w:ind w:left="434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D14601"/>
    <w:multiLevelType w:val="singleLevel"/>
    <w:tmpl w:val="F0D1460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dit="forms" w:enforcement="1" w:cryptProviderType="rsaFull" w:cryptAlgorithmClass="hash" w:cryptAlgorithmType="typeAny" w:cryptAlgorithmSid="4" w:cryptSpinCount="0" w:hash="xD/AAopg7hHX1ncUGmntwMz+UPQ=" w:salt="HLqyhVZtET/Rm8A8IHuSEQ=="/>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YjY1ZDg0MTM5OTQ4MmFmMzdiZDA2NTFkMDgwMTg3ODUifQ=="/>
  </w:docVars>
  <w:rsids>
    <w:rsidRoot w:val="00000000"/>
    <w:rsid w:val="00586FEC"/>
    <w:rsid w:val="01C021E8"/>
    <w:rsid w:val="01DB1C83"/>
    <w:rsid w:val="023B48CB"/>
    <w:rsid w:val="025008C3"/>
    <w:rsid w:val="02533F0F"/>
    <w:rsid w:val="028E4A10"/>
    <w:rsid w:val="02954442"/>
    <w:rsid w:val="02B726F0"/>
    <w:rsid w:val="034B2E38"/>
    <w:rsid w:val="03697F69"/>
    <w:rsid w:val="08AB63E8"/>
    <w:rsid w:val="08D623BF"/>
    <w:rsid w:val="095063E2"/>
    <w:rsid w:val="097430E9"/>
    <w:rsid w:val="09E865FE"/>
    <w:rsid w:val="0A03446D"/>
    <w:rsid w:val="0A5371A2"/>
    <w:rsid w:val="0A5942BE"/>
    <w:rsid w:val="0AC92FC0"/>
    <w:rsid w:val="0AEE2254"/>
    <w:rsid w:val="0B865355"/>
    <w:rsid w:val="0BDE6F3F"/>
    <w:rsid w:val="0C175FAD"/>
    <w:rsid w:val="0DD001F9"/>
    <w:rsid w:val="0E796AAB"/>
    <w:rsid w:val="0EFE6070"/>
    <w:rsid w:val="10725EA8"/>
    <w:rsid w:val="10BE3BE3"/>
    <w:rsid w:val="10F863AD"/>
    <w:rsid w:val="111F4ADD"/>
    <w:rsid w:val="117054A2"/>
    <w:rsid w:val="12DE5A77"/>
    <w:rsid w:val="14493173"/>
    <w:rsid w:val="1499542D"/>
    <w:rsid w:val="151D15A1"/>
    <w:rsid w:val="15871CE6"/>
    <w:rsid w:val="17C01F71"/>
    <w:rsid w:val="17F57673"/>
    <w:rsid w:val="18694035"/>
    <w:rsid w:val="18A5169D"/>
    <w:rsid w:val="198916DF"/>
    <w:rsid w:val="19B17A41"/>
    <w:rsid w:val="1B010554"/>
    <w:rsid w:val="1B5C1C2F"/>
    <w:rsid w:val="1B605CA9"/>
    <w:rsid w:val="1C3A2558"/>
    <w:rsid w:val="1E855A79"/>
    <w:rsid w:val="1EF81C6E"/>
    <w:rsid w:val="1F3E383D"/>
    <w:rsid w:val="2064138A"/>
    <w:rsid w:val="20FB6A6F"/>
    <w:rsid w:val="212C612F"/>
    <w:rsid w:val="213435D0"/>
    <w:rsid w:val="21366A7E"/>
    <w:rsid w:val="215C4736"/>
    <w:rsid w:val="21EF5127"/>
    <w:rsid w:val="21FC1A76"/>
    <w:rsid w:val="228D5F39"/>
    <w:rsid w:val="23671171"/>
    <w:rsid w:val="24E20CE0"/>
    <w:rsid w:val="25713071"/>
    <w:rsid w:val="259A582D"/>
    <w:rsid w:val="2687575B"/>
    <w:rsid w:val="27122B0F"/>
    <w:rsid w:val="274A5D77"/>
    <w:rsid w:val="27A02191"/>
    <w:rsid w:val="27ED433A"/>
    <w:rsid w:val="27F86521"/>
    <w:rsid w:val="29692184"/>
    <w:rsid w:val="2A241B69"/>
    <w:rsid w:val="2BF92503"/>
    <w:rsid w:val="2DC86CB0"/>
    <w:rsid w:val="2EA80FBB"/>
    <w:rsid w:val="2FCB2F03"/>
    <w:rsid w:val="31B32165"/>
    <w:rsid w:val="322A2F32"/>
    <w:rsid w:val="32607DFF"/>
    <w:rsid w:val="326E450F"/>
    <w:rsid w:val="33A75931"/>
    <w:rsid w:val="3439028E"/>
    <w:rsid w:val="36D16BD5"/>
    <w:rsid w:val="383956AF"/>
    <w:rsid w:val="38697901"/>
    <w:rsid w:val="3885271C"/>
    <w:rsid w:val="38B56F92"/>
    <w:rsid w:val="39A6259B"/>
    <w:rsid w:val="3ABC5CA0"/>
    <w:rsid w:val="3B2E2848"/>
    <w:rsid w:val="3B8763FC"/>
    <w:rsid w:val="3C9F6796"/>
    <w:rsid w:val="3CCC371C"/>
    <w:rsid w:val="3E327052"/>
    <w:rsid w:val="3F2B797C"/>
    <w:rsid w:val="3F5E1222"/>
    <w:rsid w:val="3F830C89"/>
    <w:rsid w:val="3F970C32"/>
    <w:rsid w:val="401D7248"/>
    <w:rsid w:val="407C22A8"/>
    <w:rsid w:val="40F57964"/>
    <w:rsid w:val="4194475D"/>
    <w:rsid w:val="46525CF5"/>
    <w:rsid w:val="468E063F"/>
    <w:rsid w:val="4760233E"/>
    <w:rsid w:val="48056FFA"/>
    <w:rsid w:val="4B2C6678"/>
    <w:rsid w:val="4C1C3A26"/>
    <w:rsid w:val="4C3069B8"/>
    <w:rsid w:val="4C6B40A1"/>
    <w:rsid w:val="4C8229F4"/>
    <w:rsid w:val="4D5C1B36"/>
    <w:rsid w:val="4F1F4A63"/>
    <w:rsid w:val="4FE53359"/>
    <w:rsid w:val="505450DD"/>
    <w:rsid w:val="50BE7148"/>
    <w:rsid w:val="521560B8"/>
    <w:rsid w:val="5260546B"/>
    <w:rsid w:val="52821D00"/>
    <w:rsid w:val="52BB1017"/>
    <w:rsid w:val="52DF2928"/>
    <w:rsid w:val="52EF4B5B"/>
    <w:rsid w:val="54533EC6"/>
    <w:rsid w:val="55BC2858"/>
    <w:rsid w:val="56242D6E"/>
    <w:rsid w:val="569F5B9C"/>
    <w:rsid w:val="58B20E3C"/>
    <w:rsid w:val="594E5A71"/>
    <w:rsid w:val="59EA607C"/>
    <w:rsid w:val="59EC76FE"/>
    <w:rsid w:val="5A063E3B"/>
    <w:rsid w:val="5A390D6E"/>
    <w:rsid w:val="5AC243FF"/>
    <w:rsid w:val="5B955B74"/>
    <w:rsid w:val="5BBB1A7E"/>
    <w:rsid w:val="5CCB6B2B"/>
    <w:rsid w:val="5CDB3A5A"/>
    <w:rsid w:val="5DCF11BC"/>
    <w:rsid w:val="5E3302C0"/>
    <w:rsid w:val="5EC62C14"/>
    <w:rsid w:val="5ED12060"/>
    <w:rsid w:val="604B7859"/>
    <w:rsid w:val="60F021CA"/>
    <w:rsid w:val="61D22316"/>
    <w:rsid w:val="61F82A63"/>
    <w:rsid w:val="621837ED"/>
    <w:rsid w:val="625B18C5"/>
    <w:rsid w:val="62632F8F"/>
    <w:rsid w:val="62760595"/>
    <w:rsid w:val="62D33837"/>
    <w:rsid w:val="62FF5151"/>
    <w:rsid w:val="63C77782"/>
    <w:rsid w:val="63EE0517"/>
    <w:rsid w:val="64D03483"/>
    <w:rsid w:val="657F7977"/>
    <w:rsid w:val="669C32C0"/>
    <w:rsid w:val="671B37F7"/>
    <w:rsid w:val="678338E9"/>
    <w:rsid w:val="68543FBA"/>
    <w:rsid w:val="688B0A2A"/>
    <w:rsid w:val="68B7181F"/>
    <w:rsid w:val="6B5E0598"/>
    <w:rsid w:val="6C123288"/>
    <w:rsid w:val="6C924339"/>
    <w:rsid w:val="6D667370"/>
    <w:rsid w:val="70D63C0B"/>
    <w:rsid w:val="711A0B9D"/>
    <w:rsid w:val="72E505AA"/>
    <w:rsid w:val="750E7AE5"/>
    <w:rsid w:val="75624DE6"/>
    <w:rsid w:val="75BE29F1"/>
    <w:rsid w:val="76563DDF"/>
    <w:rsid w:val="78411865"/>
    <w:rsid w:val="786077DD"/>
    <w:rsid w:val="78C0202A"/>
    <w:rsid w:val="78F16688"/>
    <w:rsid w:val="7924080B"/>
    <w:rsid w:val="798C015E"/>
    <w:rsid w:val="7A784F7E"/>
    <w:rsid w:val="7BAB6FC2"/>
    <w:rsid w:val="7C9B2148"/>
    <w:rsid w:val="7D530C0B"/>
    <w:rsid w:val="7F710522"/>
    <w:rsid w:val="7F7D126B"/>
    <w:rsid w:val="7FCC5E52"/>
    <w:rsid w:val="7FD233F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mbria" w:hAnsi="Cambria" w:eastAsia="Times New Roman"/>
      <w:b/>
      <w:bCs/>
      <w:sz w:val="32"/>
      <w:szCs w:val="32"/>
    </w:r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Plain Text"/>
    <w:basedOn w:val="1"/>
    <w:qFormat/>
    <w:uiPriority w:val="0"/>
    <w:rPr>
      <w:rFonts w:ascii="宋体" w:hAnsi="Courier New"/>
      <w:kern w:val="0"/>
      <w:sz w:val="20"/>
      <w:szCs w:val="21"/>
    </w:rPr>
  </w:style>
  <w:style w:type="paragraph" w:styleId="6">
    <w:name w:val="footer"/>
    <w:basedOn w:val="1"/>
    <w:unhideWhenUsed/>
    <w:qFormat/>
    <w:uiPriority w:val="99"/>
    <w:pPr>
      <w:tabs>
        <w:tab w:val="center" w:pos="4153"/>
        <w:tab w:val="right" w:pos="8306"/>
      </w:tabs>
      <w:snapToGrid w:val="0"/>
      <w:jc w:val="left"/>
    </w:pPr>
    <w:rPr>
      <w:kern w:val="0"/>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宋体" w:hAnsi="宋体" w:eastAsia="宋体" w:cs="宋体"/>
      <w:sz w:val="21"/>
      <w:szCs w:val="21"/>
      <w:lang w:val="en-US" w:eastAsia="en-US" w:bidi="ar-SA"/>
    </w:rPr>
  </w:style>
  <w:style w:type="paragraph" w:customStyle="1" w:styleId="13">
    <w:name w:val="BodyText"/>
    <w:basedOn w:val="1"/>
    <w:next w:val="6"/>
    <w:autoRedefine/>
    <w:qFormat/>
    <w:uiPriority w:val="0"/>
    <w:pPr>
      <w:textAlignment w:val="baseline"/>
    </w:pPr>
    <w:rPr>
      <w:rFonts w:ascii="宋体" w:hAnsi="宋体"/>
      <w:szCs w:val="21"/>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8" Type="http://schemas.openxmlformats.org/officeDocument/2006/relationships/fontTable" Target="fontTable.xml"/><Relationship Id="rId67" Type="http://schemas.openxmlformats.org/officeDocument/2006/relationships/numbering" Target="numbering.xml"/><Relationship Id="rId66" Type="http://schemas.openxmlformats.org/officeDocument/2006/relationships/customXml" Target="../customXml/item1.xml"/><Relationship Id="rId65" Type="http://schemas.openxmlformats.org/officeDocument/2006/relationships/image" Target="media/image4.png"/><Relationship Id="rId64" Type="http://schemas.openxmlformats.org/officeDocument/2006/relationships/image" Target="media/image3.png"/><Relationship Id="rId63" Type="http://schemas.openxmlformats.org/officeDocument/2006/relationships/image" Target="media/image2.jpeg"/><Relationship Id="rId62" Type="http://schemas.openxmlformats.org/officeDocument/2006/relationships/image" Target="media/image1.png"/><Relationship Id="rId61" Type="http://schemas.openxmlformats.org/officeDocument/2006/relationships/theme" Target="theme/theme1.xml"/><Relationship Id="rId60" Type="http://schemas.openxmlformats.org/officeDocument/2006/relationships/footer" Target="footer56.xml"/><Relationship Id="rId6" Type="http://schemas.openxmlformats.org/officeDocument/2006/relationships/footer" Target="footer2.xml"/><Relationship Id="rId59" Type="http://schemas.openxmlformats.org/officeDocument/2006/relationships/footer" Target="footer55.xml"/><Relationship Id="rId58" Type="http://schemas.openxmlformats.org/officeDocument/2006/relationships/footer" Target="footer54.xml"/><Relationship Id="rId57" Type="http://schemas.openxmlformats.org/officeDocument/2006/relationships/footer" Target="footer53.xml"/><Relationship Id="rId56" Type="http://schemas.openxmlformats.org/officeDocument/2006/relationships/footer" Target="footer52.xml"/><Relationship Id="rId55" Type="http://schemas.openxmlformats.org/officeDocument/2006/relationships/footer" Target="footer51.xml"/><Relationship Id="rId54" Type="http://schemas.openxmlformats.org/officeDocument/2006/relationships/footer" Target="footer50.xml"/><Relationship Id="rId53" Type="http://schemas.openxmlformats.org/officeDocument/2006/relationships/footer" Target="footer49.xml"/><Relationship Id="rId52" Type="http://schemas.openxmlformats.org/officeDocument/2006/relationships/footer" Target="footer48.xml"/><Relationship Id="rId51" Type="http://schemas.openxmlformats.org/officeDocument/2006/relationships/footer" Target="footer47.xml"/><Relationship Id="rId50" Type="http://schemas.openxmlformats.org/officeDocument/2006/relationships/footer" Target="footer46.xml"/><Relationship Id="rId5" Type="http://schemas.openxmlformats.org/officeDocument/2006/relationships/footer" Target="footer1.xml"/><Relationship Id="rId49" Type="http://schemas.openxmlformats.org/officeDocument/2006/relationships/footer" Target="footer45.xml"/><Relationship Id="rId48" Type="http://schemas.openxmlformats.org/officeDocument/2006/relationships/footer" Target="footer44.xml"/><Relationship Id="rId47" Type="http://schemas.openxmlformats.org/officeDocument/2006/relationships/footer" Target="footer43.xml"/><Relationship Id="rId46" Type="http://schemas.openxmlformats.org/officeDocument/2006/relationships/footer" Target="footer42.xml"/><Relationship Id="rId45" Type="http://schemas.openxmlformats.org/officeDocument/2006/relationships/footer" Target="footer41.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endnotes" Target="endnotes.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92</Pages>
  <Words>25258</Words>
  <Characters>28835</Characters>
  <TotalTime>25</TotalTime>
  <ScaleCrop>false</ScaleCrop>
  <LinksUpToDate>false</LinksUpToDate>
  <CharactersWithSpaces>29018</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2026-04-21T09:33:00Z</dcterms:created>
  <dc:creator>Administrator</dc:creator>
  <cp:lastModifiedBy>杉</cp:lastModifiedBy>
  <dcterms:modified xsi:type="dcterms:W3CDTF">2026-08-31T07:54:37Z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2026-04-21T09:33:47Z</vt:filetime>
  </property>
  <property fmtid="{D5CDD505-2E9C-101B-9397-08002B2CF9AE}" pid="4" name="UsrData">
    <vt:lpwstr>69e6d3f3d3e451001f545a9awl</vt:lpwstr>
  </property>
  <property fmtid="{D5CDD505-2E9C-101B-9397-08002B2CF9AE}" pid="5" name="KSOProductBuildVer">
    <vt:lpwstr>2052-12.1.0.28043</vt:lpwstr>
  </property>
  <property fmtid="{D5CDD505-2E9C-101B-9397-08002B2CF9AE}" pid="6" name="ICV">
    <vt:lpwstr>665CE4D4A720499D900812771755B8F4_12</vt:lpwstr>
  </property>
  <property fmtid="{D5CDD505-2E9C-101B-9397-08002B2CF9AE}" pid="7" name="KSOTemplateDocerSaveRecord">
    <vt:lpwstr>eyJoZGlkIjoiZTE3OGMxZGM0MGI4ZjAyYjhiODQ1MTk1YTQzY2JlZjMiLCJ1c2VySWQiOiI4ODcyODM4OTIifQ==</vt:lpwstr>
  </property>
</Properties>
</file>