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948F5D">
      <w:pPr>
        <w:keepNext w:val="0"/>
        <w:keepLines w:val="0"/>
        <w:pageBreakBefore w:val="0"/>
        <w:kinsoku/>
        <w:wordWrap/>
        <w:overflowPunct/>
        <w:topLinePunct w:val="0"/>
        <w:autoSpaceDE/>
        <w:autoSpaceDN/>
        <w:bidi w:val="0"/>
        <w:adjustRightInd/>
        <w:snapToGrid/>
        <w:spacing w:line="360" w:lineRule="auto"/>
        <w:jc w:val="center"/>
        <w:textAlignment w:val="auto"/>
        <w:rPr>
          <w:rStyle w:val="15"/>
          <w:rFonts w:hint="eastAsia" w:ascii="宋体" w:hAnsi="宋体" w:cs="宋体"/>
          <w:b/>
          <w:bCs/>
          <w:color w:val="auto"/>
          <w:kern w:val="0"/>
          <w:sz w:val="36"/>
          <w:szCs w:val="36"/>
          <w:highlight w:val="none"/>
          <w:lang w:eastAsia="zh-CN"/>
        </w:rPr>
      </w:pPr>
      <w:r>
        <w:rPr>
          <w:rStyle w:val="15"/>
          <w:rFonts w:hint="eastAsia" w:ascii="宋体" w:hAnsi="宋体" w:cs="宋体"/>
          <w:b/>
          <w:bCs/>
          <w:color w:val="auto"/>
          <w:kern w:val="0"/>
          <w:sz w:val="36"/>
          <w:szCs w:val="36"/>
          <w:highlight w:val="none"/>
          <w:lang w:eastAsia="zh-CN"/>
        </w:rPr>
        <w:t>靖西市农业农村局-靖西市2026年救灾物资采购项目</w:t>
      </w:r>
    </w:p>
    <w:p w14:paraId="4CFE8BF9">
      <w:pPr>
        <w:keepNext w:val="0"/>
        <w:keepLines w:val="0"/>
        <w:pageBreakBefore w:val="0"/>
        <w:kinsoku/>
        <w:wordWrap/>
        <w:overflowPunct/>
        <w:topLinePunct w:val="0"/>
        <w:autoSpaceDE/>
        <w:autoSpaceDN/>
        <w:bidi w:val="0"/>
        <w:adjustRightInd/>
        <w:snapToGrid/>
        <w:spacing w:line="360" w:lineRule="auto"/>
        <w:jc w:val="center"/>
        <w:textAlignment w:val="auto"/>
        <w:rPr>
          <w:rStyle w:val="15"/>
          <w:rFonts w:hint="default" w:ascii="宋体" w:hAnsi="宋体" w:cs="宋体"/>
          <w:b/>
          <w:bCs/>
          <w:color w:val="auto"/>
          <w:kern w:val="0"/>
          <w:sz w:val="24"/>
          <w:szCs w:val="24"/>
          <w:highlight w:val="none"/>
          <w:lang w:val="en-US" w:eastAsia="zh-CN"/>
        </w:rPr>
      </w:pPr>
      <w:r>
        <w:rPr>
          <w:rStyle w:val="15"/>
          <w:rFonts w:hint="eastAsia" w:ascii="宋体" w:hAnsi="宋体" w:cs="宋体"/>
          <w:b/>
          <w:bCs/>
          <w:color w:val="auto"/>
          <w:kern w:val="0"/>
          <w:sz w:val="36"/>
          <w:szCs w:val="36"/>
          <w:highlight w:val="none"/>
          <w:lang w:val="en-US" w:eastAsia="zh-CN"/>
        </w:rPr>
        <w:t>更正公告</w:t>
      </w:r>
    </w:p>
    <w:p w14:paraId="388BF097">
      <w:pPr>
        <w:keepNext w:val="0"/>
        <w:keepLines w:val="0"/>
        <w:pageBreakBefore w:val="0"/>
        <w:kinsoku/>
        <w:wordWrap/>
        <w:overflowPunct/>
        <w:topLinePunct w:val="0"/>
        <w:autoSpaceDE/>
        <w:autoSpaceDN/>
        <w:bidi w:val="0"/>
        <w:adjustRightInd/>
        <w:snapToGrid/>
        <w:spacing w:line="240" w:lineRule="auto"/>
        <w:textAlignment w:val="auto"/>
        <w:rPr>
          <w:rStyle w:val="15"/>
          <w:rFonts w:hint="eastAsia" w:ascii="宋体" w:hAnsi="宋体" w:eastAsia="宋体" w:cs="宋体"/>
          <w:b/>
          <w:bCs/>
          <w:color w:val="auto"/>
          <w:kern w:val="0"/>
          <w:sz w:val="22"/>
          <w:szCs w:val="22"/>
          <w:highlight w:val="none"/>
          <w:lang w:val="en-US" w:eastAsia="zh-CN"/>
        </w:rPr>
      </w:pPr>
      <w:r>
        <w:rPr>
          <w:rStyle w:val="15"/>
          <w:rFonts w:hint="eastAsia" w:ascii="宋体" w:hAnsi="宋体" w:eastAsia="宋体" w:cs="宋体"/>
          <w:b/>
          <w:bCs/>
          <w:color w:val="auto"/>
          <w:kern w:val="0"/>
          <w:sz w:val="22"/>
          <w:szCs w:val="22"/>
          <w:highlight w:val="none"/>
          <w:lang w:val="en-US" w:eastAsia="zh-CN"/>
        </w:rPr>
        <w:t>一、项目基本情况</w:t>
      </w:r>
    </w:p>
    <w:p w14:paraId="726CE468">
      <w:pPr>
        <w:keepNext w:val="0"/>
        <w:keepLines w:val="0"/>
        <w:pageBreakBefore w:val="0"/>
        <w:widowControl w:val="0"/>
        <w:kinsoku/>
        <w:wordWrap/>
        <w:overflowPunct/>
        <w:topLinePunct w:val="0"/>
        <w:autoSpaceDE/>
        <w:autoSpaceDN/>
        <w:bidi w:val="0"/>
        <w:adjustRightInd/>
        <w:snapToGrid/>
        <w:spacing w:line="240" w:lineRule="auto"/>
        <w:ind w:firstLine="442" w:firstLineChars="200"/>
        <w:textAlignment w:val="auto"/>
        <w:rPr>
          <w:rFonts w:hint="eastAsia" w:ascii="宋体" w:hAnsi="宋体" w:eastAsia="宋体" w:cs="宋体"/>
          <w:color w:val="auto"/>
          <w:sz w:val="22"/>
          <w:szCs w:val="22"/>
          <w:highlight w:val="none"/>
        </w:rPr>
      </w:pPr>
      <w:r>
        <w:rPr>
          <w:rFonts w:hint="eastAsia" w:ascii="宋体" w:hAnsi="宋体" w:eastAsia="宋体" w:cs="宋体"/>
          <w:b/>
          <w:bCs/>
          <w:color w:val="auto"/>
          <w:sz w:val="22"/>
          <w:szCs w:val="22"/>
          <w:highlight w:val="none"/>
          <w:lang w:val="en-US" w:eastAsia="zh-CN"/>
        </w:rPr>
        <w:t>项目名称：</w:t>
      </w:r>
      <w:r>
        <w:rPr>
          <w:rFonts w:hint="eastAsia" w:ascii="宋体" w:hAnsi="宋体" w:eastAsia="宋体" w:cs="宋体"/>
          <w:color w:val="auto"/>
          <w:sz w:val="22"/>
          <w:szCs w:val="22"/>
          <w:highlight w:val="none"/>
          <w:lang w:val="en-US" w:eastAsia="zh-CN"/>
        </w:rPr>
        <w:t>靖西市农业农村局-靖西市2026年救灾物资采购项目</w:t>
      </w:r>
    </w:p>
    <w:p w14:paraId="32F850A8">
      <w:pPr>
        <w:keepNext w:val="0"/>
        <w:keepLines w:val="0"/>
        <w:pageBreakBefore w:val="0"/>
        <w:widowControl w:val="0"/>
        <w:kinsoku/>
        <w:wordWrap/>
        <w:overflowPunct/>
        <w:topLinePunct w:val="0"/>
        <w:autoSpaceDE/>
        <w:autoSpaceDN/>
        <w:bidi w:val="0"/>
        <w:adjustRightInd/>
        <w:snapToGrid/>
        <w:spacing w:line="240" w:lineRule="auto"/>
        <w:ind w:firstLine="442" w:firstLineChars="200"/>
        <w:textAlignment w:val="auto"/>
        <w:rPr>
          <w:rFonts w:hint="eastAsia" w:ascii="宋体" w:hAnsi="宋体" w:eastAsia="宋体" w:cs="宋体"/>
          <w:color w:val="auto"/>
          <w:sz w:val="22"/>
          <w:szCs w:val="22"/>
          <w:highlight w:val="none"/>
        </w:rPr>
      </w:pPr>
      <w:r>
        <w:rPr>
          <w:rFonts w:hint="eastAsia" w:ascii="宋体" w:hAnsi="宋体" w:eastAsia="宋体" w:cs="宋体"/>
          <w:b/>
          <w:bCs/>
          <w:color w:val="auto"/>
          <w:sz w:val="22"/>
          <w:szCs w:val="22"/>
          <w:highlight w:val="none"/>
          <w:lang w:val="en-US" w:eastAsia="zh-CN"/>
        </w:rPr>
        <w:t>项目编号：</w:t>
      </w:r>
      <w:r>
        <w:rPr>
          <w:rFonts w:hint="eastAsia" w:ascii="宋体" w:hAnsi="宋体" w:eastAsia="宋体" w:cs="宋体"/>
          <w:b w:val="0"/>
          <w:bCs w:val="0"/>
          <w:color w:val="auto"/>
          <w:sz w:val="22"/>
          <w:szCs w:val="22"/>
          <w:highlight w:val="none"/>
          <w:lang w:val="en-US" w:eastAsia="zh-CN"/>
        </w:rPr>
        <w:t xml:space="preserve">BSZC2026-G1-250206-GXBZ </w:t>
      </w:r>
    </w:p>
    <w:p w14:paraId="47369065">
      <w:pPr>
        <w:keepNext w:val="0"/>
        <w:keepLines w:val="0"/>
        <w:pageBreakBefore w:val="0"/>
        <w:widowControl w:val="0"/>
        <w:kinsoku/>
        <w:wordWrap/>
        <w:overflowPunct/>
        <w:topLinePunct w:val="0"/>
        <w:autoSpaceDE/>
        <w:autoSpaceDN/>
        <w:bidi w:val="0"/>
        <w:adjustRightInd/>
        <w:snapToGrid/>
        <w:spacing w:line="240" w:lineRule="auto"/>
        <w:ind w:firstLine="442" w:firstLineChars="200"/>
        <w:textAlignment w:val="auto"/>
        <w:rPr>
          <w:rFonts w:hint="eastAsia" w:ascii="宋体" w:hAnsi="宋体" w:eastAsia="宋体" w:cs="宋体"/>
          <w:color w:val="auto"/>
          <w:sz w:val="22"/>
          <w:szCs w:val="22"/>
          <w:highlight w:val="none"/>
        </w:rPr>
      </w:pPr>
      <w:r>
        <w:rPr>
          <w:rFonts w:hint="eastAsia" w:ascii="宋体" w:hAnsi="宋体" w:eastAsia="宋体" w:cs="宋体"/>
          <w:b/>
          <w:bCs/>
          <w:color w:val="auto"/>
          <w:sz w:val="22"/>
          <w:szCs w:val="22"/>
          <w:highlight w:val="none"/>
          <w:lang w:val="en-US" w:eastAsia="zh-CN"/>
        </w:rPr>
        <w:t>首次公告日期</w:t>
      </w:r>
      <w:r>
        <w:rPr>
          <w:rFonts w:hint="eastAsia" w:ascii="宋体" w:hAnsi="宋体" w:eastAsia="宋体" w:cs="宋体"/>
          <w:color w:val="auto"/>
          <w:sz w:val="22"/>
          <w:szCs w:val="22"/>
          <w:highlight w:val="none"/>
          <w:lang w:val="en-US" w:eastAsia="zh-CN"/>
        </w:rPr>
        <w:t>：2026年08月07日</w:t>
      </w:r>
    </w:p>
    <w:p w14:paraId="06FB264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2"/>
          <w:szCs w:val="22"/>
          <w:highlight w:val="none"/>
        </w:rPr>
      </w:pPr>
      <w:r>
        <w:rPr>
          <w:rFonts w:hint="eastAsia" w:ascii="宋体" w:hAnsi="宋体" w:eastAsia="宋体" w:cs="宋体"/>
          <w:b/>
          <w:bCs/>
          <w:color w:val="auto"/>
          <w:sz w:val="22"/>
          <w:szCs w:val="22"/>
          <w:highlight w:val="none"/>
          <w:lang w:val="en-US" w:eastAsia="zh-CN"/>
        </w:rPr>
        <w:t>二、更正内容如下</w:t>
      </w:r>
      <w:r>
        <w:rPr>
          <w:rFonts w:hint="eastAsia" w:ascii="宋体" w:hAnsi="宋体" w:eastAsia="宋体" w:cs="宋体"/>
          <w:color w:val="auto"/>
          <w:sz w:val="22"/>
          <w:szCs w:val="22"/>
          <w:highlight w:val="none"/>
          <w:lang w:val="en-US" w:eastAsia="zh-CN"/>
        </w:rPr>
        <w:t>：</w:t>
      </w:r>
    </w:p>
    <w:tbl>
      <w:tblPr>
        <w:tblStyle w:val="14"/>
        <w:tblW w:w="97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7"/>
        <w:gridCol w:w="1766"/>
        <w:gridCol w:w="2625"/>
        <w:gridCol w:w="4512"/>
      </w:tblGrid>
      <w:tr w14:paraId="2FCA5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797" w:type="dxa"/>
            <w:vAlign w:val="center"/>
          </w:tcPr>
          <w:p w14:paraId="7E9BCE8A">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auto"/>
                <w:sz w:val="22"/>
                <w:szCs w:val="22"/>
                <w:highlight w:val="none"/>
                <w:vertAlign w:val="baseline"/>
                <w:lang w:val="en-US" w:eastAsia="zh-CN"/>
              </w:rPr>
            </w:pPr>
            <w:r>
              <w:rPr>
                <w:rFonts w:hint="eastAsia" w:ascii="宋体" w:hAnsi="宋体" w:eastAsia="宋体" w:cs="宋体"/>
                <w:b/>
                <w:bCs/>
                <w:color w:val="auto"/>
                <w:sz w:val="22"/>
                <w:szCs w:val="22"/>
                <w:highlight w:val="none"/>
                <w:vertAlign w:val="baseline"/>
                <w:lang w:val="en-US" w:eastAsia="zh-CN"/>
              </w:rPr>
              <w:t>序号</w:t>
            </w:r>
          </w:p>
        </w:tc>
        <w:tc>
          <w:tcPr>
            <w:tcW w:w="1766" w:type="dxa"/>
            <w:vAlign w:val="center"/>
          </w:tcPr>
          <w:p w14:paraId="0CADF346">
            <w:pPr>
              <w:keepNext w:val="0"/>
              <w:keepLines w:val="0"/>
              <w:pageBreakBefore w:val="0"/>
              <w:widowControl w:val="0"/>
              <w:kinsoku/>
              <w:wordWrap/>
              <w:overflowPunct/>
              <w:topLinePunct w:val="0"/>
              <w:autoSpaceDE/>
              <w:autoSpaceDN/>
              <w:bidi w:val="0"/>
              <w:adjustRightInd/>
              <w:snapToGrid/>
              <w:spacing w:line="240" w:lineRule="auto"/>
              <w:ind w:firstLine="440" w:firstLineChars="200"/>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更正项</w:t>
            </w:r>
          </w:p>
        </w:tc>
        <w:tc>
          <w:tcPr>
            <w:tcW w:w="2625" w:type="dxa"/>
            <w:vAlign w:val="center"/>
          </w:tcPr>
          <w:p w14:paraId="1840A0E8">
            <w:pPr>
              <w:keepNext w:val="0"/>
              <w:keepLines w:val="0"/>
              <w:pageBreakBefore w:val="0"/>
              <w:widowControl w:val="0"/>
              <w:kinsoku/>
              <w:wordWrap/>
              <w:overflowPunct/>
              <w:topLinePunct w:val="0"/>
              <w:autoSpaceDE/>
              <w:autoSpaceDN/>
              <w:bidi w:val="0"/>
              <w:adjustRightInd/>
              <w:snapToGrid/>
              <w:spacing w:line="240" w:lineRule="auto"/>
              <w:ind w:firstLine="660" w:firstLineChars="300"/>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更正前内容</w:t>
            </w:r>
          </w:p>
        </w:tc>
        <w:tc>
          <w:tcPr>
            <w:tcW w:w="4512" w:type="dxa"/>
            <w:vAlign w:val="center"/>
          </w:tcPr>
          <w:p w14:paraId="79636A25">
            <w:pPr>
              <w:keepNext w:val="0"/>
              <w:keepLines w:val="0"/>
              <w:pageBreakBefore w:val="0"/>
              <w:widowControl w:val="0"/>
              <w:kinsoku/>
              <w:wordWrap/>
              <w:overflowPunct/>
              <w:topLinePunct w:val="0"/>
              <w:autoSpaceDE/>
              <w:autoSpaceDN/>
              <w:bidi w:val="0"/>
              <w:adjustRightInd/>
              <w:snapToGrid/>
              <w:spacing w:line="240" w:lineRule="auto"/>
              <w:ind w:firstLine="1320" w:firstLineChars="600"/>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更正后内容</w:t>
            </w:r>
          </w:p>
        </w:tc>
      </w:tr>
      <w:tr w14:paraId="54AEB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0" w:hRule="atLeast"/>
        </w:trPr>
        <w:tc>
          <w:tcPr>
            <w:tcW w:w="797" w:type="dxa"/>
            <w:vAlign w:val="center"/>
          </w:tcPr>
          <w:p w14:paraId="5999D8E1">
            <w:pPr>
              <w:keepNext w:val="0"/>
              <w:keepLines w:val="0"/>
              <w:pageBreakBefore w:val="0"/>
              <w:widowControl w:val="0"/>
              <w:kinsoku/>
              <w:wordWrap/>
              <w:overflowPunct/>
              <w:topLinePunct w:val="0"/>
              <w:autoSpaceDE/>
              <w:autoSpaceDN/>
              <w:bidi w:val="0"/>
              <w:adjustRightInd/>
              <w:snapToGrid/>
              <w:spacing w:line="240" w:lineRule="auto"/>
              <w:ind w:firstLine="220" w:firstLineChars="100"/>
              <w:jc w:val="both"/>
              <w:textAlignment w:val="auto"/>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1</w:t>
            </w:r>
          </w:p>
        </w:tc>
        <w:tc>
          <w:tcPr>
            <w:tcW w:w="1766" w:type="dxa"/>
          </w:tcPr>
          <w:p w14:paraId="066A1D6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 xml:space="preserve">第一章 招标公告 六、其他补充事宜 </w:t>
            </w:r>
          </w:p>
        </w:tc>
        <w:tc>
          <w:tcPr>
            <w:tcW w:w="2625" w:type="dxa"/>
          </w:tcPr>
          <w:p w14:paraId="07560C1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2.本项目需要落实的政府采购政策（1）政府采购促进中小企业发展；（2）政府采购支持采用本国产品的政策；（3）强制采购节能产品；优先采购节能产品、环境标志产品；（4）政府采购促进残疾人就业政策；（5）政府采购支持监狱企业发展。</w:t>
            </w:r>
          </w:p>
        </w:tc>
        <w:tc>
          <w:tcPr>
            <w:tcW w:w="4512" w:type="dxa"/>
          </w:tcPr>
          <w:p w14:paraId="32866DD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2.本项目需要落实的政府采购政策（1）政府采购促进中小企业发展；（2）政府采购支持采用本国产品的政策（仅适用于本项目分标1、分标2、分标3）；（3）强制采购节能产品；优先采购节能产品、环境标志产品；（4）政府采购促进残疾人就业政策；（5）政府采购支持监狱企业发展。</w:t>
            </w:r>
          </w:p>
        </w:tc>
      </w:tr>
      <w:tr w14:paraId="3CC50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0" w:hRule="atLeast"/>
        </w:trPr>
        <w:tc>
          <w:tcPr>
            <w:tcW w:w="797" w:type="dxa"/>
            <w:vAlign w:val="center"/>
          </w:tcPr>
          <w:p w14:paraId="45DC79BD">
            <w:pPr>
              <w:keepNext w:val="0"/>
              <w:keepLines w:val="0"/>
              <w:pageBreakBefore w:val="0"/>
              <w:widowControl w:val="0"/>
              <w:kinsoku/>
              <w:wordWrap/>
              <w:overflowPunct/>
              <w:topLinePunct w:val="0"/>
              <w:autoSpaceDE/>
              <w:autoSpaceDN/>
              <w:bidi w:val="0"/>
              <w:adjustRightInd/>
              <w:snapToGrid/>
              <w:spacing w:line="240" w:lineRule="auto"/>
              <w:ind w:firstLine="220" w:firstLineChars="100"/>
              <w:jc w:val="both"/>
              <w:textAlignment w:val="auto"/>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2</w:t>
            </w:r>
          </w:p>
        </w:tc>
        <w:tc>
          <w:tcPr>
            <w:tcW w:w="1766" w:type="dxa"/>
          </w:tcPr>
          <w:p w14:paraId="36BBA8F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 xml:space="preserve">第三章 投标人须知 投标人须知前附表  条款号13报价文件 </w:t>
            </w:r>
          </w:p>
        </w:tc>
        <w:tc>
          <w:tcPr>
            <w:tcW w:w="2625" w:type="dxa"/>
          </w:tcPr>
          <w:p w14:paraId="52B9B1D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1.投标函（格式后附）；（必须提供，否则按无效投标处理）</w:t>
            </w:r>
          </w:p>
          <w:p w14:paraId="5E533ED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2.开标一览表（格式后附）； （必须提供，否则按无效投标处理）</w:t>
            </w:r>
          </w:p>
          <w:p w14:paraId="438CBD1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3.投标人针对报价需要说明的其他文件和说明（格式自拟）。</w:t>
            </w:r>
          </w:p>
        </w:tc>
        <w:tc>
          <w:tcPr>
            <w:tcW w:w="4512" w:type="dxa"/>
          </w:tcPr>
          <w:p w14:paraId="42F3758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1.投标函（格式后附）；（必须提供，否则按无效投标处理）</w:t>
            </w:r>
          </w:p>
          <w:p w14:paraId="5512ED1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2.开标一览表（格式后附）； （必须提供，否则按无效投标处理）</w:t>
            </w:r>
          </w:p>
          <w:p w14:paraId="7F60DDB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3.《关于符合本国产品标准的声明函》或者财政部会同有关部门规定的有关证明文件；（供应商根据自身响应情况出具）（如有，请提供。仅适用于本项目分标1、分标2、分标3） ；</w:t>
            </w:r>
          </w:p>
          <w:p w14:paraId="26BFB22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4.投标人针对报价需要说明的其他文件和说明（格式自拟）。</w:t>
            </w:r>
          </w:p>
        </w:tc>
      </w:tr>
      <w:tr w14:paraId="7306A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7" w:hRule="atLeast"/>
        </w:trPr>
        <w:tc>
          <w:tcPr>
            <w:tcW w:w="797" w:type="dxa"/>
            <w:vAlign w:val="center"/>
          </w:tcPr>
          <w:p w14:paraId="22B80CEE">
            <w:pPr>
              <w:keepNext w:val="0"/>
              <w:keepLines w:val="0"/>
              <w:pageBreakBefore w:val="0"/>
              <w:widowControl w:val="0"/>
              <w:kinsoku/>
              <w:wordWrap/>
              <w:overflowPunct/>
              <w:topLinePunct w:val="0"/>
              <w:autoSpaceDE/>
              <w:autoSpaceDN/>
              <w:bidi w:val="0"/>
              <w:adjustRightInd/>
              <w:snapToGrid/>
              <w:spacing w:line="240" w:lineRule="auto"/>
              <w:ind w:firstLine="220" w:firstLineChars="100"/>
              <w:jc w:val="both"/>
              <w:textAlignment w:val="auto"/>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3</w:t>
            </w:r>
          </w:p>
        </w:tc>
        <w:tc>
          <w:tcPr>
            <w:tcW w:w="1766" w:type="dxa"/>
          </w:tcPr>
          <w:p w14:paraId="7BCEF41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第三章 投标人须知 投标人须知正文 一、总则8.特别说明</w:t>
            </w:r>
          </w:p>
        </w:tc>
        <w:tc>
          <w:tcPr>
            <w:tcW w:w="2625" w:type="dxa"/>
          </w:tcPr>
          <w:p w14:paraId="54597BE0">
            <w:pPr>
              <w:pStyle w:val="6"/>
              <w:keepNext w:val="0"/>
              <w:keepLines w:val="0"/>
              <w:spacing w:before="0" w:after="0" w:line="240" w:lineRule="auto"/>
              <w:ind w:firstLine="440" w:firstLineChars="200"/>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fldChar w:fldCharType="begin"/>
            </w:r>
            <w:r>
              <w:rPr>
                <w:rFonts w:hint="eastAsia" w:ascii="宋体" w:hAnsi="宋体" w:eastAsia="宋体" w:cs="宋体"/>
                <w:b w:val="0"/>
                <w:bCs w:val="0"/>
                <w:color w:val="auto"/>
                <w:sz w:val="22"/>
                <w:szCs w:val="22"/>
                <w:highlight w:val="none"/>
              </w:rPr>
              <w:instrText xml:space="preserve"> HYPERLINK  \l "_8.1" </w:instrText>
            </w:r>
            <w:r>
              <w:rPr>
                <w:rFonts w:hint="eastAsia" w:ascii="宋体" w:hAnsi="宋体" w:eastAsia="宋体" w:cs="宋体"/>
                <w:b w:val="0"/>
                <w:bCs w:val="0"/>
                <w:color w:val="auto"/>
                <w:sz w:val="22"/>
                <w:szCs w:val="22"/>
                <w:highlight w:val="none"/>
              </w:rPr>
              <w:fldChar w:fldCharType="separate"/>
            </w:r>
            <w:r>
              <w:rPr>
                <w:rFonts w:hint="eastAsia" w:ascii="宋体" w:hAnsi="宋体" w:eastAsia="宋体" w:cs="宋体"/>
                <w:b w:val="0"/>
                <w:bCs w:val="0"/>
                <w:color w:val="auto"/>
                <w:sz w:val="22"/>
                <w:szCs w:val="22"/>
                <w:highlight w:val="none"/>
              </w:rPr>
              <w:t>8.1</w:t>
            </w:r>
            <w:r>
              <w:rPr>
                <w:rFonts w:hint="eastAsia" w:ascii="宋体" w:hAnsi="宋体" w:eastAsia="宋体" w:cs="宋体"/>
                <w:b w:val="0"/>
                <w:bCs w:val="0"/>
                <w:color w:val="auto"/>
                <w:sz w:val="22"/>
                <w:szCs w:val="22"/>
                <w:highlight w:val="none"/>
              </w:rPr>
              <w:fldChar w:fldCharType="end"/>
            </w:r>
            <w:r>
              <w:rPr>
                <w:rFonts w:hint="eastAsia" w:ascii="宋体" w:hAnsi="宋体" w:eastAsia="宋体" w:cs="宋体"/>
                <w:b w:val="0"/>
                <w:bCs w:val="0"/>
                <w:color w:val="auto"/>
                <w:sz w:val="22"/>
                <w:szCs w:val="22"/>
                <w:highlight w:val="none"/>
              </w:rPr>
              <w:t>采用最低评标价法的采购项目，提供相同品牌产品的不同投标人参加同一合同项下投标的，以其中通过资格审查、符合性审查且报价最低的参加评标；报价相同的，由采购人或者采购人委托评标委员会按照“投标人须知前附表”规定的方式确定一个参加评标的投标人，其他投标无效。</w:t>
            </w:r>
          </w:p>
          <w:p w14:paraId="198BB3FD">
            <w:pPr>
              <w:pStyle w:val="6"/>
              <w:keepNext w:val="0"/>
              <w:keepLines w:val="0"/>
              <w:spacing w:before="0" w:after="0" w:line="240" w:lineRule="auto"/>
              <w:ind w:firstLine="440" w:firstLineChars="200"/>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投标人须知前附表”规定的方式确定一个投标人获得中标人推荐资格，其他同品牌投标人不作为中标候选人。</w:t>
            </w:r>
          </w:p>
          <w:p w14:paraId="76526649">
            <w:pPr>
              <w:pStyle w:val="10"/>
              <w:snapToGrid w:val="0"/>
              <w:spacing w:line="240" w:lineRule="auto"/>
              <w:ind w:left="2" w:leftChars="1" w:firstLine="440" w:firstLineChars="200"/>
              <w:rPr>
                <w:rFonts w:hint="eastAsia" w:ascii="宋体" w:hAnsi="宋体" w:eastAsia="宋体" w:cs="宋体"/>
                <w:b w:val="0"/>
                <w:bCs w:val="0"/>
                <w:color w:val="auto"/>
                <w:kern w:val="2"/>
                <w:sz w:val="22"/>
                <w:szCs w:val="22"/>
                <w:highlight w:val="none"/>
              </w:rPr>
            </w:pPr>
            <w:r>
              <w:rPr>
                <w:rFonts w:hint="eastAsia" w:ascii="宋体" w:hAnsi="宋体" w:eastAsia="宋体" w:cs="宋体"/>
                <w:b w:val="0"/>
                <w:bCs w:val="0"/>
                <w:color w:val="auto"/>
                <w:kern w:val="2"/>
                <w:sz w:val="22"/>
                <w:szCs w:val="22"/>
                <w:highlight w:val="none"/>
              </w:rPr>
              <w:t>非单一产品采购项目，多家投标人提供的核心产品品牌相同的，</w:t>
            </w:r>
            <w:r>
              <w:rPr>
                <w:rFonts w:hint="eastAsia" w:ascii="宋体" w:hAnsi="宋体" w:eastAsia="宋体" w:cs="宋体"/>
                <w:b w:val="0"/>
                <w:bCs w:val="0"/>
                <w:color w:val="auto"/>
                <w:sz w:val="22"/>
                <w:szCs w:val="22"/>
                <w:highlight w:val="none"/>
              </w:rPr>
              <w:t>按前两款规定处理</w:t>
            </w:r>
            <w:r>
              <w:rPr>
                <w:rFonts w:hint="eastAsia" w:ascii="宋体" w:hAnsi="宋体" w:eastAsia="宋体" w:cs="宋体"/>
                <w:b w:val="0"/>
                <w:bCs w:val="0"/>
                <w:color w:val="auto"/>
                <w:kern w:val="2"/>
                <w:sz w:val="22"/>
                <w:szCs w:val="22"/>
                <w:highlight w:val="none"/>
              </w:rPr>
              <w:t>。</w:t>
            </w:r>
          </w:p>
          <w:p w14:paraId="11EFEC21">
            <w:pPr>
              <w:pStyle w:val="6"/>
              <w:keepNext w:val="0"/>
              <w:keepLines w:val="0"/>
              <w:spacing w:before="0" w:after="0" w:line="240" w:lineRule="auto"/>
              <w:ind w:firstLine="385" w:firstLineChars="175"/>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 xml:space="preserve"> 8.2如果本招标文件要求提供投标人或制造商的资格、信誉、荣誉、业绩与企业认证等材料的，资格、信誉、荣誉、业绩与企业认证等必须为投标人或者制造商所拥有或自身获得 。</w:t>
            </w:r>
          </w:p>
          <w:p w14:paraId="33ACF525">
            <w:pPr>
              <w:pStyle w:val="6"/>
              <w:keepNext w:val="0"/>
              <w:keepLines w:val="0"/>
              <w:spacing w:before="0" w:after="0" w:line="240" w:lineRule="auto"/>
              <w:ind w:firstLine="385" w:firstLineChars="175"/>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 xml:space="preserve"> 8.3投标人应仔细阅读招标文件的所有内容，按照招标文件的要求提交投标文件，并对所提供的全部资料的真实性承担法律责任。</w:t>
            </w:r>
          </w:p>
          <w:p w14:paraId="311044B6">
            <w:pPr>
              <w:pStyle w:val="6"/>
              <w:keepNext w:val="0"/>
              <w:keepLines w:val="0"/>
              <w:spacing w:before="0" w:after="0" w:line="240" w:lineRule="auto"/>
              <w:ind w:firstLine="385" w:firstLineChars="175"/>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 xml:space="preserve"> 8.4投标人在投标活动中提供任何虚假材料，将报监管部门查处；中标后发现的，中标人须依照《中华人民共和国消费者权益保护法》规定赔偿采购人，且民事赔偿并不免除违法投标人的行政与刑事责任。</w:t>
            </w:r>
          </w:p>
          <w:p w14:paraId="180D3AB5">
            <w:pPr>
              <w:keepNext w:val="0"/>
              <w:keepLines w:val="0"/>
              <w:pageBreakBefore w:val="0"/>
              <w:widowControl w:val="0"/>
              <w:kinsoku/>
              <w:wordWrap/>
              <w:overflowPunct/>
              <w:topLinePunct w:val="0"/>
              <w:autoSpaceDE/>
              <w:autoSpaceDN/>
              <w:bidi w:val="0"/>
              <w:adjustRightInd/>
              <w:snapToGrid/>
              <w:spacing w:line="240" w:lineRule="auto"/>
              <w:ind w:firstLine="220" w:firstLineChars="100"/>
              <w:jc w:val="both"/>
              <w:textAlignment w:val="auto"/>
              <w:rPr>
                <w:rFonts w:hint="eastAsia" w:ascii="宋体" w:hAnsi="宋体" w:eastAsia="宋体" w:cs="宋体"/>
                <w:b w:val="0"/>
                <w:bCs w:val="0"/>
                <w:color w:val="auto"/>
                <w:sz w:val="22"/>
                <w:szCs w:val="22"/>
                <w:highlight w:val="none"/>
                <w:lang w:val="en-US" w:eastAsia="zh-CN"/>
              </w:rPr>
            </w:pPr>
          </w:p>
        </w:tc>
        <w:tc>
          <w:tcPr>
            <w:tcW w:w="4512" w:type="dxa"/>
          </w:tcPr>
          <w:p w14:paraId="484D6B45">
            <w:pPr>
              <w:pStyle w:val="6"/>
              <w:keepNext w:val="0"/>
              <w:keepLines w:val="0"/>
              <w:spacing w:before="0" w:after="0" w:line="240" w:lineRule="auto"/>
              <w:ind w:firstLine="440" w:firstLineChars="200"/>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fldChar w:fldCharType="begin"/>
            </w:r>
            <w:r>
              <w:rPr>
                <w:rFonts w:hint="eastAsia" w:ascii="宋体" w:hAnsi="宋体" w:eastAsia="宋体" w:cs="宋体"/>
                <w:b w:val="0"/>
                <w:bCs w:val="0"/>
                <w:color w:val="auto"/>
                <w:sz w:val="22"/>
                <w:szCs w:val="22"/>
                <w:highlight w:val="none"/>
              </w:rPr>
              <w:instrText xml:space="preserve"> HYPERLINK  \l "_8.1" </w:instrText>
            </w:r>
            <w:r>
              <w:rPr>
                <w:rFonts w:hint="eastAsia" w:ascii="宋体" w:hAnsi="宋体" w:eastAsia="宋体" w:cs="宋体"/>
                <w:b w:val="0"/>
                <w:bCs w:val="0"/>
                <w:color w:val="auto"/>
                <w:sz w:val="22"/>
                <w:szCs w:val="22"/>
                <w:highlight w:val="none"/>
              </w:rPr>
              <w:fldChar w:fldCharType="separate"/>
            </w:r>
            <w:r>
              <w:rPr>
                <w:rFonts w:hint="eastAsia" w:ascii="宋体" w:hAnsi="宋体" w:eastAsia="宋体" w:cs="宋体"/>
                <w:b w:val="0"/>
                <w:bCs w:val="0"/>
                <w:color w:val="auto"/>
                <w:sz w:val="22"/>
                <w:szCs w:val="22"/>
                <w:highlight w:val="none"/>
              </w:rPr>
              <w:t>8.1</w:t>
            </w:r>
            <w:r>
              <w:rPr>
                <w:rFonts w:hint="eastAsia" w:ascii="宋体" w:hAnsi="宋体" w:eastAsia="宋体" w:cs="宋体"/>
                <w:b w:val="0"/>
                <w:bCs w:val="0"/>
                <w:color w:val="auto"/>
                <w:sz w:val="22"/>
                <w:szCs w:val="22"/>
                <w:highlight w:val="none"/>
              </w:rPr>
              <w:fldChar w:fldCharType="end"/>
            </w:r>
            <w:r>
              <w:rPr>
                <w:rFonts w:hint="eastAsia" w:ascii="宋体" w:hAnsi="宋体" w:eastAsia="宋体" w:cs="宋体"/>
                <w:b w:val="0"/>
                <w:bCs w:val="0"/>
                <w:color w:val="auto"/>
                <w:sz w:val="22"/>
                <w:szCs w:val="22"/>
                <w:highlight w:val="none"/>
              </w:rPr>
              <w:t>采用最低评标价法的采购项目，提供相同品牌产品的不同投标人参加同一合同项下投标的，以其中通过资格审查、符合性审查且报价最低的参加评标；报价相同的，由采购人或者采购人委托评标委员会按照“投标人须知前附表”规定的方式确定一个参加评标的投标人，其他投标无效。</w:t>
            </w:r>
          </w:p>
          <w:p w14:paraId="7DCBF9E5">
            <w:pPr>
              <w:pStyle w:val="6"/>
              <w:keepNext w:val="0"/>
              <w:keepLines w:val="0"/>
              <w:spacing w:before="0" w:after="0" w:line="240" w:lineRule="auto"/>
              <w:ind w:firstLine="440" w:firstLineChars="200"/>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投标人须知前附表”规定的方式确定一个投标人获得中标人推荐资格，其他同品牌投标人不作为中标候选人。</w:t>
            </w:r>
          </w:p>
          <w:p w14:paraId="0C940CC4">
            <w:pPr>
              <w:pStyle w:val="10"/>
              <w:snapToGrid w:val="0"/>
              <w:spacing w:line="240" w:lineRule="auto"/>
              <w:ind w:left="2" w:leftChars="1" w:firstLine="440" w:firstLineChars="200"/>
              <w:rPr>
                <w:rFonts w:hint="eastAsia" w:ascii="宋体" w:hAnsi="宋体" w:eastAsia="宋体" w:cs="宋体"/>
                <w:b w:val="0"/>
                <w:bCs w:val="0"/>
                <w:color w:val="auto"/>
                <w:kern w:val="2"/>
                <w:sz w:val="22"/>
                <w:szCs w:val="22"/>
                <w:highlight w:val="none"/>
              </w:rPr>
            </w:pPr>
            <w:r>
              <w:rPr>
                <w:rFonts w:hint="eastAsia" w:ascii="宋体" w:hAnsi="宋体" w:eastAsia="宋体" w:cs="宋体"/>
                <w:b w:val="0"/>
                <w:bCs w:val="0"/>
                <w:color w:val="auto"/>
                <w:kern w:val="2"/>
                <w:sz w:val="22"/>
                <w:szCs w:val="22"/>
                <w:highlight w:val="none"/>
              </w:rPr>
              <w:t>非单一产品采购项目，多家投标人提供的核心产品品牌相同的，</w:t>
            </w:r>
            <w:r>
              <w:rPr>
                <w:rFonts w:hint="eastAsia" w:ascii="宋体" w:hAnsi="宋体" w:eastAsia="宋体" w:cs="宋体"/>
                <w:b w:val="0"/>
                <w:bCs w:val="0"/>
                <w:color w:val="auto"/>
                <w:sz w:val="22"/>
                <w:szCs w:val="22"/>
                <w:highlight w:val="none"/>
              </w:rPr>
              <w:t>按前两款规定处理</w:t>
            </w:r>
            <w:r>
              <w:rPr>
                <w:rFonts w:hint="eastAsia" w:ascii="宋体" w:hAnsi="宋体" w:eastAsia="宋体" w:cs="宋体"/>
                <w:b w:val="0"/>
                <w:bCs w:val="0"/>
                <w:color w:val="auto"/>
                <w:kern w:val="2"/>
                <w:sz w:val="22"/>
                <w:szCs w:val="22"/>
                <w:highlight w:val="none"/>
              </w:rPr>
              <w:t>。</w:t>
            </w:r>
          </w:p>
          <w:p w14:paraId="3BAAF345">
            <w:pPr>
              <w:pStyle w:val="6"/>
              <w:keepNext w:val="0"/>
              <w:keepLines w:val="0"/>
              <w:spacing w:before="0" w:after="0" w:line="240" w:lineRule="auto"/>
              <w:ind w:firstLine="385" w:firstLineChars="175"/>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 xml:space="preserve"> 8.2如果本招标文件要求提供投标人或制造商的资格、信誉、荣誉、业绩与企业认证等材料的，资格、信誉、荣誉、业绩与企业认证等必须为投标人或者制造商所拥有或自身获得 。</w:t>
            </w:r>
          </w:p>
          <w:p w14:paraId="16A355BE">
            <w:pPr>
              <w:pStyle w:val="6"/>
              <w:keepNext w:val="0"/>
              <w:keepLines w:val="0"/>
              <w:spacing w:before="0" w:after="0" w:line="240" w:lineRule="auto"/>
              <w:ind w:firstLine="385" w:firstLineChars="175"/>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 xml:space="preserve"> 8.3投标人应仔细阅读招标文件的所有内容，按照招标文件的要求提交投标文件，并对所提供的全部资料的真实性承担法律责任。</w:t>
            </w:r>
          </w:p>
          <w:p w14:paraId="31B0D9E5">
            <w:pPr>
              <w:pStyle w:val="6"/>
              <w:keepNext w:val="0"/>
              <w:keepLines w:val="0"/>
              <w:spacing w:before="0" w:after="0" w:line="240" w:lineRule="auto"/>
              <w:ind w:firstLine="385" w:firstLineChars="175"/>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 xml:space="preserve"> 8.4投标人在投标活动中提供任何虚假材料，将报监管部门查处；中标后发现的，中标人须依照《中华人民共和国消费者权益保护法》规定赔偿采购人，且民事赔偿并不免除违法投标人的行政与刑事责任。</w:t>
            </w:r>
          </w:p>
          <w:p w14:paraId="629C462B">
            <w:pPr>
              <w:pStyle w:val="6"/>
              <w:keepNext w:val="0"/>
              <w:keepLines w:val="0"/>
              <w:spacing w:before="0" w:after="0" w:line="240" w:lineRule="auto"/>
              <w:ind w:firstLine="385" w:firstLineChars="175"/>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 xml:space="preserve">8.5根据《国务院办公厅关于在政府采购中实施本国产品标准及相关政策的通知》（国办发〔2025〕34 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 </w:t>
            </w:r>
          </w:p>
          <w:p w14:paraId="1E8E454E">
            <w:pPr>
              <w:pStyle w:val="6"/>
              <w:keepNext w:val="0"/>
              <w:keepLines w:val="0"/>
              <w:spacing w:before="0" w:after="0" w:line="240" w:lineRule="auto"/>
              <w:ind w:firstLine="385" w:firstLineChars="175"/>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产品在中国境内生产的组件成本占比应当达到规定比例，计算公式为：</w:t>
            </w:r>
          </w:p>
          <w:p w14:paraId="645E6F85">
            <w:pPr>
              <w:pStyle w:val="7"/>
              <w:spacing w:line="240" w:lineRule="auto"/>
              <w:ind w:left="0" w:leftChars="0" w:firstLine="0" w:firstLineChars="0"/>
              <w:rPr>
                <w:rFonts w:hint="eastAsia" w:ascii="宋体" w:hAnsi="宋体" w:eastAsia="宋体" w:cs="宋体"/>
                <w:b w:val="0"/>
                <w:bCs w:val="0"/>
                <w:color w:val="auto"/>
                <w:sz w:val="22"/>
                <w:szCs w:val="22"/>
                <w:highlight w:val="none"/>
                <w:lang w:val="en-US" w:eastAsia="zh-CN"/>
              </w:rPr>
            </w:pPr>
            <m:oMath>
              <m:f>
                <m:fPr>
                  <m:ctrlPr>
                    <w:rPr>
                      <w:rFonts w:hint="eastAsia" w:ascii="Cambria Math" w:hAnsi="Cambria Math" w:eastAsia="宋体" w:cs="宋体"/>
                      <w:b w:val="0"/>
                      <w:bCs w:val="0"/>
                      <w:i w:val="0"/>
                      <w:iCs/>
                      <w:color w:val="auto"/>
                      <w:sz w:val="22"/>
                      <w:szCs w:val="22"/>
                      <w:highlight w:val="none"/>
                      <w:lang w:val="en-US"/>
                    </w:rPr>
                  </m:ctrlPr>
                </m:fPr>
                <m:num>
                  <m:r>
                    <m:rPr>
                      <m:sty m:val="p"/>
                    </m:rPr>
                    <w:rPr>
                      <w:rFonts w:hint="eastAsia" w:ascii="Cambria Math" w:hAnsi="Cambria Math" w:eastAsia="宋体" w:cs="宋体"/>
                      <w:color w:val="auto"/>
                      <w:sz w:val="22"/>
                      <w:szCs w:val="22"/>
                      <w:highlight w:val="none"/>
                      <w:lang w:val="en-US" w:eastAsia="zh-CN"/>
                    </w:rPr>
                    <m:t xml:space="preserve">产品在中国境内生产的组件成本 </m:t>
                  </m:r>
                  <m:ctrlPr>
                    <w:rPr>
                      <w:rFonts w:hint="eastAsia" w:ascii="Cambria Math" w:hAnsi="Cambria Math" w:eastAsia="宋体" w:cs="宋体"/>
                      <w:b w:val="0"/>
                      <w:bCs w:val="0"/>
                      <w:i w:val="0"/>
                      <w:iCs/>
                      <w:color w:val="auto"/>
                      <w:sz w:val="22"/>
                      <w:szCs w:val="22"/>
                      <w:highlight w:val="none"/>
                      <w:lang w:val="en-US"/>
                    </w:rPr>
                  </m:ctrlPr>
                </m:num>
                <m:den>
                  <m:r>
                    <m:rPr>
                      <m:sty m:val="p"/>
                    </m:rPr>
                    <w:rPr>
                      <w:rFonts w:hint="eastAsia" w:ascii="Cambria Math" w:hAnsi="Cambria Math" w:eastAsia="宋体" w:cs="宋体"/>
                      <w:color w:val="auto"/>
                      <w:sz w:val="22"/>
                      <w:szCs w:val="22"/>
                      <w:highlight w:val="none"/>
                      <w:lang w:val="en-US" w:eastAsia="zh-CN"/>
                    </w:rPr>
                    <m:t>产品总成本</m:t>
                  </m:r>
                  <m:ctrlPr>
                    <w:rPr>
                      <w:rFonts w:hint="eastAsia" w:ascii="Cambria Math" w:hAnsi="Cambria Math" w:eastAsia="宋体" w:cs="宋体"/>
                      <w:b w:val="0"/>
                      <w:bCs w:val="0"/>
                      <w:i w:val="0"/>
                      <w:iCs/>
                      <w:color w:val="auto"/>
                      <w:sz w:val="22"/>
                      <w:szCs w:val="22"/>
                      <w:highlight w:val="none"/>
                      <w:lang w:val="en-US"/>
                    </w:rPr>
                  </m:ctrlPr>
                </m:den>
              </m:f>
            </m:oMath>
            <w:r>
              <w:rPr>
                <w:rFonts w:hint="eastAsia" w:ascii="宋体" w:hAnsi="宋体" w:eastAsia="宋体" w:cs="宋体"/>
                <w:b w:val="0"/>
                <w:bCs w:val="0"/>
                <w:i w:val="0"/>
                <w:iCs/>
                <w:color w:val="auto"/>
                <w:sz w:val="22"/>
                <w:szCs w:val="22"/>
                <w:highlight w:val="none"/>
                <w:lang w:val="en-US"/>
              </w:rPr>
              <w:t>≥</w:t>
            </w:r>
            <w:r>
              <w:rPr>
                <w:rFonts w:hint="eastAsia" w:ascii="宋体" w:hAnsi="宋体" w:eastAsia="宋体" w:cs="宋体"/>
                <w:b w:val="0"/>
                <w:bCs w:val="0"/>
                <w:i w:val="0"/>
                <w:iCs/>
                <w:color w:val="auto"/>
                <w:sz w:val="22"/>
                <w:szCs w:val="22"/>
                <w:highlight w:val="none"/>
                <w:lang w:val="en-US" w:eastAsia="zh-CN"/>
              </w:rPr>
              <w:t>规定比例</w:t>
            </w:r>
          </w:p>
          <w:p w14:paraId="6EE0FB20">
            <w:pPr>
              <w:pStyle w:val="6"/>
              <w:keepNext w:val="0"/>
              <w:keepLines w:val="0"/>
              <w:spacing w:before="0" w:after="0" w:line="240" w:lineRule="auto"/>
              <w:ind w:firstLine="385" w:firstLineChars="175"/>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 xml:space="preserve">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 </w:t>
            </w:r>
          </w:p>
          <w:p w14:paraId="1AD2B5D8">
            <w:pPr>
              <w:pStyle w:val="6"/>
              <w:keepNext w:val="0"/>
              <w:keepLines w:val="0"/>
              <w:spacing w:before="0" w:after="0" w:line="240" w:lineRule="auto"/>
              <w:ind w:firstLine="385" w:firstLineChars="175"/>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 xml:space="preserve">政府采购活动中既有本国产品又有非本国产品参与竞争的，依法对本国产品给予价格评审优惠，对本国产品的报价给予 20%的价格扣除，用扣除后的价格参与评审。 </w:t>
            </w:r>
          </w:p>
          <w:p w14:paraId="030A4C3E">
            <w:pPr>
              <w:pStyle w:val="6"/>
              <w:keepNext w:val="0"/>
              <w:keepLines w:val="0"/>
              <w:spacing w:before="0" w:after="0" w:line="240" w:lineRule="auto"/>
              <w:ind w:firstLine="385" w:firstLineChars="175"/>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当采购项目或者采购包中含有多种产品，供应商为该采购项目或者采购包提供的符合本国产品标准的产品成本之和占该供应商提供的全部产品成本之和的比例达到 80%以上时，依法对该供应商提供的全部产品给予价格评审优惠，即对该供应商提供的全部产品的总报价给予20%的价格扣除，用扣除后的价格参与评审。</w:t>
            </w:r>
          </w:p>
        </w:tc>
      </w:tr>
      <w:tr w14:paraId="5512E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trPr>
        <w:tc>
          <w:tcPr>
            <w:tcW w:w="797" w:type="dxa"/>
            <w:vAlign w:val="center"/>
          </w:tcPr>
          <w:p w14:paraId="7A6D40AA">
            <w:pPr>
              <w:keepNext w:val="0"/>
              <w:keepLines w:val="0"/>
              <w:pageBreakBefore w:val="0"/>
              <w:widowControl w:val="0"/>
              <w:kinsoku/>
              <w:wordWrap/>
              <w:overflowPunct/>
              <w:topLinePunct w:val="0"/>
              <w:autoSpaceDE/>
              <w:autoSpaceDN/>
              <w:bidi w:val="0"/>
              <w:adjustRightInd/>
              <w:snapToGrid/>
              <w:spacing w:line="240" w:lineRule="auto"/>
              <w:ind w:firstLine="220" w:firstLineChars="100"/>
              <w:jc w:val="both"/>
              <w:textAlignment w:val="auto"/>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4</w:t>
            </w:r>
          </w:p>
        </w:tc>
        <w:tc>
          <w:tcPr>
            <w:tcW w:w="1766" w:type="dxa"/>
          </w:tcPr>
          <w:p w14:paraId="0B9E9050">
            <w:pPr>
              <w:keepNext w:val="0"/>
              <w:keepLines w:val="0"/>
              <w:pageBreakBefore w:val="0"/>
              <w:widowControl w:val="0"/>
              <w:numPr>
                <w:ilvl w:val="0"/>
                <w:numId w:val="2"/>
              </w:numPr>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 xml:space="preserve">评标方法及评标标准 三、评标标准 </w:t>
            </w:r>
          </w:p>
          <w:p w14:paraId="3D017421">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综合评分法 本评标标准适用于本项目分标1、分标2、分标3 序号1 价格分（30分） 投标报价 评标标准</w:t>
            </w:r>
          </w:p>
        </w:tc>
        <w:tc>
          <w:tcPr>
            <w:tcW w:w="2625" w:type="dxa"/>
          </w:tcPr>
          <w:p w14:paraId="6BCCF704">
            <w:pPr>
              <w:spacing w:line="240" w:lineRule="auto"/>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（1）满足招标文件要求且评标报价最低的评标报价为评标基准价，其价格分为满分。</w:t>
            </w:r>
          </w:p>
          <w:p w14:paraId="53168AB0">
            <w:pPr>
              <w:spacing w:line="240" w:lineRule="auto"/>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（2）政策性扣除计算方法。</w:t>
            </w:r>
          </w:p>
          <w:p w14:paraId="407D0469">
            <w:pPr>
              <w:spacing w:line="240" w:lineRule="auto"/>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备注：本项目属于专门面向小微企业采购的项目，不再执行价格评审优惠的扶持政策。即评标报价=投标报价</w:t>
            </w:r>
          </w:p>
          <w:p w14:paraId="2DFD10B9">
            <w:pPr>
              <w:spacing w:line="240" w:lineRule="auto"/>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 xml:space="preserve">（3）价格分计算公式：        </w:t>
            </w:r>
          </w:p>
          <w:p w14:paraId="23737741">
            <w:pPr>
              <w:keepNext w:val="0"/>
              <w:keepLines w:val="0"/>
              <w:pageBreakBefore w:val="0"/>
              <w:widowControl w:val="0"/>
              <w:kinsoku/>
              <w:wordWrap/>
              <w:overflowPunct/>
              <w:topLinePunct w:val="0"/>
              <w:autoSpaceDE/>
              <w:autoSpaceDN/>
              <w:bidi w:val="0"/>
              <w:adjustRightInd/>
              <w:snapToGrid/>
              <w:spacing w:line="240" w:lineRule="auto"/>
              <w:ind w:firstLine="220" w:firstLineChars="100"/>
              <w:jc w:val="both"/>
              <w:textAlignment w:val="auto"/>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价格分=(评标基准价／评标报价)×30分</w:t>
            </w:r>
          </w:p>
        </w:tc>
        <w:tc>
          <w:tcPr>
            <w:tcW w:w="4512" w:type="dxa"/>
          </w:tcPr>
          <w:p w14:paraId="1C0D967E">
            <w:pPr>
              <w:spacing w:line="240" w:lineRule="auto"/>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（1）满足招标文件要求且评标报价最低的评标报价为评标基准价，其价格分为满分。</w:t>
            </w:r>
          </w:p>
          <w:p w14:paraId="4E4D162C">
            <w:pPr>
              <w:spacing w:line="240" w:lineRule="auto"/>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（2）政策性扣除计算方法。</w:t>
            </w:r>
          </w:p>
          <w:p w14:paraId="40155AED">
            <w:pPr>
              <w:spacing w:line="240" w:lineRule="auto"/>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备注：本项目属于专门面向小微企业采购的项目，不再执行价格评审优惠的扶持政策。即评标报价=投标报价</w:t>
            </w:r>
          </w:p>
          <w:p w14:paraId="35AFD3CB">
            <w:pPr>
              <w:numPr>
                <w:ilvl w:val="0"/>
                <w:numId w:val="3"/>
              </w:numPr>
              <w:spacing w:line="240" w:lineRule="auto"/>
              <w:ind w:firstLine="220" w:firstLineChars="100"/>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本国产品政策性扣除计算方法</w:t>
            </w:r>
          </w:p>
          <w:p w14:paraId="555B7BAA">
            <w:pPr>
              <w:spacing w:line="240" w:lineRule="auto"/>
              <w:ind w:firstLine="440" w:firstLineChars="200"/>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 xml:space="preserve">根据《国务院办公厅关于在政府采购中实施本国产品标准及相关政策的通知》（国办发〔2025〕34 号）的规定，政府采购活动中既有本国产品又有非本国产品参与竞争的，依法对本国产品给予价格评审优惠，对本国产品的报价给予 20%的价格扣除，用扣除后的价格参与评审。 </w:t>
            </w:r>
          </w:p>
          <w:p w14:paraId="20C46A23">
            <w:pPr>
              <w:spacing w:line="240" w:lineRule="auto"/>
              <w:ind w:firstLine="440" w:firstLineChars="200"/>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 xml:space="preserve">当采购项目或者采购包中含有多种产品，供应商为该采购项目或者采购包提供的符合本国产品标准的产品成本之和占该供应商提供的全部产品成本之和的比例达到 80%以上时，依法对该供应商提供的全部产品给予价格评审优惠，即对该供应商提供的全部产品的总报价给予20%的价格扣除，用扣除后的价格参与评审。未达到 80%，不享受价格评审优惠。 </w:t>
            </w:r>
          </w:p>
          <w:p w14:paraId="6AF3C918">
            <w:pPr>
              <w:spacing w:line="240" w:lineRule="auto"/>
              <w:ind w:firstLine="440" w:firstLineChars="200"/>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 xml:space="preserve">供应商在其投标文件中提供《关于符合本国产品标准的声明函》或财政部会同有关部门规定的有关证明文件，出具符合要求的《声明函》或有关证明文件的，该产品视为本国产品。 </w:t>
            </w:r>
          </w:p>
          <w:p w14:paraId="72750592">
            <w:pPr>
              <w:spacing w:line="240" w:lineRule="auto"/>
              <w:ind w:firstLine="440" w:firstLineChars="200"/>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 xml:space="preserve">如果所有参与竞争的供应商均可享受本国产品价格评审优惠，则统一不进行价格扣除。 </w:t>
            </w:r>
          </w:p>
          <w:p w14:paraId="566EE502">
            <w:pPr>
              <w:spacing w:line="240" w:lineRule="auto"/>
              <w:ind w:firstLine="440" w:firstLineChars="200"/>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（4）小微企业折扣与本国产品折扣进行叠加计算， 用扣除后的价格参加评审。即评标价=投标报价-小微企业折扣-本国产品折扣，除上述情况外，评标价=投标报价。</w:t>
            </w:r>
          </w:p>
          <w:p w14:paraId="3CDE5BED">
            <w:pPr>
              <w:spacing w:line="240" w:lineRule="auto"/>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 xml:space="preserve">（5）价格分计算公式：        </w:t>
            </w:r>
          </w:p>
          <w:p w14:paraId="25135BC4">
            <w:pPr>
              <w:keepNext w:val="0"/>
              <w:keepLines w:val="0"/>
              <w:pageBreakBefore w:val="0"/>
              <w:widowControl w:val="0"/>
              <w:kinsoku/>
              <w:wordWrap/>
              <w:overflowPunct/>
              <w:topLinePunct w:val="0"/>
              <w:autoSpaceDE/>
              <w:autoSpaceDN/>
              <w:bidi w:val="0"/>
              <w:adjustRightInd/>
              <w:snapToGrid/>
              <w:spacing w:line="240" w:lineRule="auto"/>
              <w:ind w:firstLine="220" w:firstLineChars="100"/>
              <w:jc w:val="both"/>
              <w:textAlignment w:val="auto"/>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价</w:t>
            </w:r>
            <w:bookmarkStart w:id="2" w:name="_GoBack"/>
            <w:bookmarkEnd w:id="2"/>
            <w:r>
              <w:rPr>
                <w:rFonts w:hint="eastAsia" w:ascii="宋体" w:hAnsi="宋体" w:eastAsia="宋体" w:cs="宋体"/>
                <w:b w:val="0"/>
                <w:bCs w:val="0"/>
                <w:color w:val="auto"/>
                <w:sz w:val="22"/>
                <w:szCs w:val="22"/>
                <w:highlight w:val="none"/>
                <w:lang w:val="en-US" w:eastAsia="zh-CN"/>
              </w:rPr>
              <w:t>格分=(评标基准价／评标报价)×30分</w:t>
            </w:r>
          </w:p>
        </w:tc>
      </w:tr>
      <w:tr w14:paraId="449B4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797" w:type="dxa"/>
            <w:vAlign w:val="center"/>
          </w:tcPr>
          <w:p w14:paraId="3F94E995">
            <w:pPr>
              <w:keepNext w:val="0"/>
              <w:keepLines w:val="0"/>
              <w:pageBreakBefore w:val="0"/>
              <w:widowControl w:val="0"/>
              <w:kinsoku/>
              <w:wordWrap/>
              <w:overflowPunct/>
              <w:topLinePunct w:val="0"/>
              <w:autoSpaceDE/>
              <w:autoSpaceDN/>
              <w:bidi w:val="0"/>
              <w:adjustRightInd/>
              <w:snapToGrid/>
              <w:spacing w:line="240" w:lineRule="auto"/>
              <w:ind w:firstLine="220" w:firstLineChars="100"/>
              <w:jc w:val="both"/>
              <w:textAlignment w:val="auto"/>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5</w:t>
            </w:r>
          </w:p>
        </w:tc>
        <w:tc>
          <w:tcPr>
            <w:tcW w:w="1766" w:type="dxa"/>
          </w:tcPr>
          <w:p w14:paraId="5A6ECD0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第六章　投标文件格式 一、报价文件格式 增加“关于符合本国产品标准的声明函格式 ”</w:t>
            </w:r>
          </w:p>
        </w:tc>
        <w:tc>
          <w:tcPr>
            <w:tcW w:w="2625" w:type="dxa"/>
          </w:tcPr>
          <w:p w14:paraId="30271737">
            <w:pPr>
              <w:keepNext w:val="0"/>
              <w:keepLines w:val="0"/>
              <w:pageBreakBefore w:val="0"/>
              <w:widowControl w:val="0"/>
              <w:kinsoku/>
              <w:wordWrap/>
              <w:overflowPunct/>
              <w:topLinePunct w:val="0"/>
              <w:autoSpaceDE/>
              <w:autoSpaceDN/>
              <w:bidi w:val="0"/>
              <w:adjustRightInd/>
              <w:snapToGrid/>
              <w:spacing w:line="240" w:lineRule="auto"/>
              <w:ind w:firstLine="880" w:firstLineChars="400"/>
              <w:jc w:val="both"/>
              <w:textAlignment w:val="auto"/>
              <w:rPr>
                <w:rFonts w:hint="eastAsia" w:ascii="宋体" w:hAnsi="宋体" w:eastAsia="宋体" w:cs="宋体"/>
                <w:b w:val="0"/>
                <w:bCs w:val="0"/>
                <w:color w:val="auto"/>
                <w:sz w:val="22"/>
                <w:szCs w:val="22"/>
                <w:highlight w:val="none"/>
                <w:lang w:val="en-US" w:eastAsia="zh-CN"/>
              </w:rPr>
            </w:pPr>
          </w:p>
          <w:p w14:paraId="1EFAD05B">
            <w:pPr>
              <w:keepNext w:val="0"/>
              <w:keepLines w:val="0"/>
              <w:pageBreakBefore w:val="0"/>
              <w:widowControl w:val="0"/>
              <w:kinsoku/>
              <w:wordWrap/>
              <w:overflowPunct/>
              <w:topLinePunct w:val="0"/>
              <w:autoSpaceDE/>
              <w:autoSpaceDN/>
              <w:bidi w:val="0"/>
              <w:adjustRightInd/>
              <w:snapToGrid/>
              <w:spacing w:line="240" w:lineRule="auto"/>
              <w:ind w:firstLine="880" w:firstLineChars="400"/>
              <w:jc w:val="both"/>
              <w:textAlignment w:val="auto"/>
              <w:rPr>
                <w:rFonts w:hint="eastAsia" w:ascii="宋体" w:hAnsi="宋体" w:eastAsia="宋体" w:cs="宋体"/>
                <w:b w:val="0"/>
                <w:bCs w:val="0"/>
                <w:color w:val="auto"/>
                <w:sz w:val="22"/>
                <w:szCs w:val="22"/>
                <w:highlight w:val="none"/>
                <w:lang w:val="en-US" w:eastAsia="zh-CN"/>
              </w:rPr>
            </w:pPr>
          </w:p>
          <w:p w14:paraId="3B1A75AC">
            <w:pPr>
              <w:keepNext w:val="0"/>
              <w:keepLines w:val="0"/>
              <w:pageBreakBefore w:val="0"/>
              <w:widowControl w:val="0"/>
              <w:kinsoku/>
              <w:wordWrap/>
              <w:overflowPunct/>
              <w:topLinePunct w:val="0"/>
              <w:autoSpaceDE/>
              <w:autoSpaceDN/>
              <w:bidi w:val="0"/>
              <w:adjustRightInd/>
              <w:snapToGrid/>
              <w:spacing w:line="240" w:lineRule="auto"/>
              <w:ind w:firstLine="880" w:firstLineChars="400"/>
              <w:jc w:val="both"/>
              <w:textAlignment w:val="auto"/>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无</w:t>
            </w:r>
          </w:p>
        </w:tc>
        <w:tc>
          <w:tcPr>
            <w:tcW w:w="4512" w:type="dxa"/>
          </w:tcPr>
          <w:p w14:paraId="20DC660A">
            <w:pPr>
              <w:keepNext w:val="0"/>
              <w:keepLines w:val="0"/>
              <w:widowControl/>
              <w:suppressLineNumbers w:val="0"/>
              <w:spacing w:line="240" w:lineRule="auto"/>
              <w:jc w:val="left"/>
              <w:rPr>
                <w:rStyle w:val="16"/>
                <w:rFonts w:hint="eastAsia" w:ascii="宋体" w:hAnsi="宋体" w:eastAsia="宋体" w:cs="宋体"/>
                <w:b w:val="0"/>
                <w:bCs w:val="0"/>
                <w:i w:val="0"/>
                <w:iCs w:val="0"/>
                <w:caps w:val="0"/>
                <w:color w:val="auto"/>
                <w:spacing w:val="0"/>
                <w:sz w:val="22"/>
                <w:szCs w:val="22"/>
                <w:highlight w:val="none"/>
                <w:shd w:val="clear" w:color="auto" w:fill="FFFFFF"/>
                <w:vertAlign w:val="baseline"/>
              </w:rPr>
            </w:pPr>
            <w:r>
              <w:rPr>
                <w:rFonts w:hint="eastAsia" w:ascii="宋体" w:hAnsi="宋体" w:eastAsia="宋体" w:cs="宋体"/>
                <w:b w:val="0"/>
                <w:bCs w:val="0"/>
                <w:color w:val="auto"/>
                <w:kern w:val="0"/>
                <w:sz w:val="22"/>
                <w:szCs w:val="22"/>
                <w:highlight w:val="none"/>
                <w:lang w:val="en-US" w:eastAsia="zh-CN" w:bidi="ar"/>
              </w:rPr>
              <w:t xml:space="preserve">关于符合本国产品标准的声明函格式 </w:t>
            </w:r>
          </w:p>
          <w:p w14:paraId="416831DD">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240" w:lineRule="auto"/>
              <w:ind w:left="0" w:right="0" w:firstLine="0"/>
              <w:jc w:val="center"/>
              <w:textAlignment w:val="baseline"/>
              <w:rPr>
                <w:rStyle w:val="16"/>
                <w:rFonts w:hint="eastAsia" w:ascii="宋体" w:hAnsi="宋体" w:eastAsia="宋体" w:cs="宋体"/>
                <w:b w:val="0"/>
                <w:bCs w:val="0"/>
                <w:i w:val="0"/>
                <w:iCs w:val="0"/>
                <w:caps w:val="0"/>
                <w:color w:val="auto"/>
                <w:spacing w:val="0"/>
                <w:sz w:val="22"/>
                <w:szCs w:val="22"/>
                <w:highlight w:val="none"/>
                <w:shd w:val="clear" w:color="auto" w:fill="FFFFFF"/>
                <w:vertAlign w:val="baseline"/>
              </w:rPr>
            </w:pPr>
          </w:p>
          <w:p w14:paraId="6B309ABD">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240" w:lineRule="auto"/>
              <w:ind w:left="0" w:right="0" w:firstLine="0"/>
              <w:jc w:val="center"/>
              <w:textAlignment w:val="baseline"/>
              <w:rPr>
                <w:rFonts w:hint="eastAsia" w:ascii="宋体" w:hAnsi="宋体" w:eastAsia="宋体" w:cs="宋体"/>
                <w:b w:val="0"/>
                <w:bCs w:val="0"/>
                <w:i w:val="0"/>
                <w:iCs w:val="0"/>
                <w:caps w:val="0"/>
                <w:color w:val="auto"/>
                <w:spacing w:val="0"/>
                <w:sz w:val="22"/>
                <w:szCs w:val="22"/>
                <w:highlight w:val="none"/>
              </w:rPr>
            </w:pPr>
            <w:r>
              <w:rPr>
                <w:rStyle w:val="16"/>
                <w:rFonts w:hint="eastAsia" w:ascii="宋体" w:hAnsi="宋体" w:eastAsia="宋体" w:cs="宋体"/>
                <w:b w:val="0"/>
                <w:bCs w:val="0"/>
                <w:i w:val="0"/>
                <w:iCs w:val="0"/>
                <w:caps w:val="0"/>
                <w:color w:val="auto"/>
                <w:spacing w:val="0"/>
                <w:sz w:val="22"/>
                <w:szCs w:val="22"/>
                <w:highlight w:val="none"/>
                <w:shd w:val="clear" w:color="auto" w:fill="FFFFFF"/>
                <w:vertAlign w:val="baseline"/>
              </w:rPr>
              <w:t>关于符合本国产品标准的声明函</w:t>
            </w:r>
          </w:p>
          <w:p w14:paraId="36E9F7FC">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240" w:lineRule="auto"/>
              <w:ind w:left="0" w:right="0" w:firstLine="420"/>
              <w:textAlignment w:val="baseline"/>
              <w:rPr>
                <w:rFonts w:hint="eastAsia" w:ascii="宋体" w:hAnsi="宋体" w:eastAsia="宋体" w:cs="宋体"/>
                <w:b w:val="0"/>
                <w:bCs w:val="0"/>
                <w:i w:val="0"/>
                <w:iCs w:val="0"/>
                <w:caps w:val="0"/>
                <w:color w:val="auto"/>
                <w:spacing w:val="0"/>
                <w:sz w:val="22"/>
                <w:szCs w:val="22"/>
                <w:highlight w:val="none"/>
              </w:rPr>
            </w:pPr>
          </w:p>
          <w:p w14:paraId="67A04EE1">
            <w:pPr>
              <w:keepNext w:val="0"/>
              <w:keepLines w:val="0"/>
              <w:pageBreakBefore w:val="0"/>
              <w:widowControl w:val="0"/>
              <w:kinsoku/>
              <w:wordWrap/>
              <w:overflowPunct/>
              <w:topLinePunct w:val="0"/>
              <w:autoSpaceDE/>
              <w:autoSpaceDN/>
              <w:bidi w:val="0"/>
              <w:adjustRightInd/>
              <w:snapToGrid/>
              <w:spacing w:before="78" w:line="300" w:lineRule="exact"/>
              <w:ind w:left="10" w:right="78" w:firstLine="420"/>
              <w:jc w:val="both"/>
              <w:textAlignment w:val="auto"/>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本公司（单位）郑重声明，根据《国务院办公厅关于在政府采购中实施本国产品</w:t>
            </w:r>
            <w:r>
              <w:rPr>
                <w:rFonts w:ascii="宋体" w:hAnsi="宋体" w:eastAsia="宋体" w:cs="宋体"/>
                <w:color w:val="auto"/>
                <w:sz w:val="22"/>
                <w:szCs w:val="22"/>
                <w:highlight w:val="none"/>
              </w:rPr>
              <w:t>标准及相关政策的通知》（国办发〔</w:t>
            </w:r>
            <w:r>
              <w:rPr>
                <w:rFonts w:ascii="Calibri" w:hAnsi="Calibri" w:eastAsia="Calibri" w:cs="Calibri"/>
                <w:color w:val="auto"/>
                <w:sz w:val="22"/>
                <w:szCs w:val="22"/>
                <w:highlight w:val="none"/>
              </w:rPr>
              <w:t>2025</w:t>
            </w:r>
            <w:r>
              <w:rPr>
                <w:rFonts w:ascii="宋体" w:hAnsi="宋体" w:eastAsia="宋体" w:cs="宋体"/>
                <w:color w:val="auto"/>
                <w:sz w:val="22"/>
                <w:szCs w:val="22"/>
                <w:highlight w:val="none"/>
              </w:rPr>
              <w:t>〕</w:t>
            </w:r>
            <w:r>
              <w:rPr>
                <w:rFonts w:ascii="Calibri" w:hAnsi="Calibri" w:eastAsia="Calibri" w:cs="Calibri"/>
                <w:color w:val="auto"/>
                <w:sz w:val="22"/>
                <w:szCs w:val="22"/>
                <w:highlight w:val="none"/>
              </w:rPr>
              <w:t>34</w:t>
            </w:r>
            <w:r>
              <w:rPr>
                <w:rFonts w:ascii="Calibri" w:hAnsi="Calibri" w:eastAsia="Calibri" w:cs="Calibri"/>
                <w:color w:val="auto"/>
                <w:spacing w:val="22"/>
                <w:w w:val="101"/>
                <w:sz w:val="22"/>
                <w:szCs w:val="22"/>
                <w:highlight w:val="none"/>
              </w:rPr>
              <w:t xml:space="preserve"> </w:t>
            </w:r>
            <w:r>
              <w:rPr>
                <w:rFonts w:ascii="宋体" w:hAnsi="宋体" w:eastAsia="宋体" w:cs="宋体"/>
                <w:color w:val="auto"/>
                <w:sz w:val="22"/>
                <w:szCs w:val="22"/>
                <w:highlight w:val="none"/>
              </w:rPr>
              <w:t>号）的规定，本公司</w:t>
            </w:r>
            <w:r>
              <w:rPr>
                <w:rFonts w:ascii="宋体" w:hAnsi="宋体" w:eastAsia="宋体" w:cs="宋体"/>
                <w:color w:val="auto"/>
                <w:spacing w:val="-1"/>
                <w:sz w:val="22"/>
                <w:szCs w:val="22"/>
                <w:highlight w:val="none"/>
              </w:rPr>
              <w:t>（单位）提供的以下产品属于本国产品。具体情况如下：</w:t>
            </w:r>
          </w:p>
          <w:p w14:paraId="6152F0ED">
            <w:pPr>
              <w:keepNext w:val="0"/>
              <w:keepLines w:val="0"/>
              <w:pageBreakBefore w:val="0"/>
              <w:widowControl w:val="0"/>
              <w:kinsoku/>
              <w:wordWrap/>
              <w:overflowPunct/>
              <w:topLinePunct w:val="0"/>
              <w:autoSpaceDE/>
              <w:autoSpaceDN/>
              <w:bidi w:val="0"/>
              <w:adjustRightInd/>
              <w:snapToGrid/>
              <w:spacing w:before="51" w:line="300" w:lineRule="exact"/>
              <w:ind w:left="8" w:right="30" w:firstLine="431"/>
              <w:textAlignment w:val="auto"/>
              <w:rPr>
                <w:rFonts w:ascii="宋体" w:hAnsi="宋体" w:eastAsia="宋体" w:cs="宋体"/>
                <w:color w:val="auto"/>
                <w:sz w:val="22"/>
                <w:szCs w:val="22"/>
                <w:highlight w:val="none"/>
              </w:rPr>
            </w:pPr>
            <w:r>
              <w:rPr>
                <w:rFonts w:ascii="Calibri" w:hAnsi="Calibri" w:eastAsia="Calibri" w:cs="Calibri"/>
                <w:color w:val="auto"/>
                <w:spacing w:val="-3"/>
                <w:sz w:val="22"/>
                <w:szCs w:val="22"/>
                <w:highlight w:val="none"/>
              </w:rPr>
              <w:t>1.</w:t>
            </w:r>
            <w:r>
              <w:rPr>
                <w:rFonts w:ascii="宋体" w:hAnsi="宋体" w:eastAsia="宋体" w:cs="宋体"/>
                <w:color w:val="auto"/>
                <w:spacing w:val="-3"/>
                <w:sz w:val="22"/>
                <w:szCs w:val="22"/>
                <w:highlight w:val="none"/>
                <w:u w:val="single" w:color="auto"/>
              </w:rPr>
              <w:t>（产品名称</w:t>
            </w:r>
            <w:r>
              <w:rPr>
                <w:rFonts w:ascii="宋体" w:hAnsi="宋体" w:eastAsia="宋体" w:cs="宋体"/>
                <w:color w:val="auto"/>
                <w:spacing w:val="-40"/>
                <w:sz w:val="22"/>
                <w:szCs w:val="22"/>
                <w:highlight w:val="none"/>
                <w:u w:val="single" w:color="auto"/>
              </w:rPr>
              <w:t xml:space="preserve"> </w:t>
            </w:r>
            <w:r>
              <w:rPr>
                <w:rFonts w:ascii="Calibri" w:hAnsi="Calibri" w:eastAsia="Calibri" w:cs="Calibri"/>
                <w:color w:val="auto"/>
                <w:spacing w:val="-3"/>
                <w:sz w:val="22"/>
                <w:szCs w:val="22"/>
                <w:highlight w:val="none"/>
                <w:u w:val="single" w:color="auto"/>
              </w:rPr>
              <w:t>1</w:t>
            </w:r>
            <w:r>
              <w:rPr>
                <w:rFonts w:ascii="宋体" w:hAnsi="宋体" w:eastAsia="宋体" w:cs="宋体"/>
                <w:color w:val="auto"/>
                <w:spacing w:val="-3"/>
                <w:sz w:val="22"/>
                <w:szCs w:val="22"/>
                <w:highlight w:val="none"/>
                <w:u w:val="single" w:color="auto"/>
              </w:rPr>
              <w:t>）</w:t>
            </w:r>
            <w:r>
              <w:rPr>
                <w:rFonts w:ascii="Calibri" w:hAnsi="Calibri" w:eastAsia="Calibri" w:cs="Calibri"/>
                <w:color w:val="auto"/>
                <w:spacing w:val="-3"/>
                <w:position w:val="7"/>
                <w:sz w:val="22"/>
                <w:szCs w:val="22"/>
                <w:highlight w:val="none"/>
              </w:rPr>
              <w:t>1</w:t>
            </w:r>
            <w:r>
              <w:rPr>
                <w:rFonts w:ascii="Calibri" w:hAnsi="Calibri" w:eastAsia="Calibri" w:cs="Calibri"/>
                <w:color w:val="auto"/>
                <w:spacing w:val="-7"/>
                <w:position w:val="7"/>
                <w:sz w:val="22"/>
                <w:szCs w:val="22"/>
                <w:highlight w:val="none"/>
              </w:rPr>
              <w:t xml:space="preserve"> </w:t>
            </w:r>
            <w:r>
              <w:rPr>
                <w:rFonts w:ascii="宋体" w:hAnsi="宋体" w:eastAsia="宋体" w:cs="宋体"/>
                <w:color w:val="auto"/>
                <w:spacing w:val="-3"/>
                <w:sz w:val="22"/>
                <w:szCs w:val="22"/>
                <w:highlight w:val="none"/>
              </w:rPr>
              <w:t>，生产厂为</w:t>
            </w:r>
            <w:r>
              <w:rPr>
                <w:rFonts w:ascii="宋体" w:hAnsi="宋体" w:eastAsia="宋体" w:cs="宋体"/>
                <w:color w:val="auto"/>
                <w:spacing w:val="-3"/>
                <w:sz w:val="22"/>
                <w:szCs w:val="22"/>
                <w:highlight w:val="none"/>
                <w:u w:val="single" w:color="auto"/>
              </w:rPr>
              <w:t>（厂名）</w:t>
            </w:r>
            <w:r>
              <w:rPr>
                <w:rFonts w:ascii="Calibri" w:hAnsi="Calibri" w:eastAsia="Calibri" w:cs="Calibri"/>
                <w:color w:val="auto"/>
                <w:spacing w:val="-4"/>
                <w:position w:val="7"/>
                <w:sz w:val="22"/>
                <w:szCs w:val="22"/>
                <w:highlight w:val="none"/>
              </w:rPr>
              <w:t>2</w:t>
            </w:r>
            <w:r>
              <w:rPr>
                <w:rFonts w:ascii="Calibri" w:hAnsi="Calibri" w:eastAsia="Calibri" w:cs="Calibri"/>
                <w:color w:val="auto"/>
                <w:spacing w:val="-8"/>
                <w:position w:val="7"/>
                <w:sz w:val="22"/>
                <w:szCs w:val="22"/>
                <w:highlight w:val="none"/>
              </w:rPr>
              <w:t xml:space="preserve"> </w:t>
            </w:r>
            <w:r>
              <w:rPr>
                <w:rFonts w:ascii="宋体" w:hAnsi="宋体" w:eastAsia="宋体" w:cs="宋体"/>
                <w:color w:val="auto"/>
                <w:spacing w:val="-4"/>
                <w:sz w:val="22"/>
                <w:szCs w:val="22"/>
                <w:highlight w:val="none"/>
              </w:rPr>
              <w:t>，厂址为</w:t>
            </w:r>
            <w:r>
              <w:rPr>
                <w:rFonts w:ascii="宋体" w:hAnsi="宋体" w:eastAsia="宋体" w:cs="宋体"/>
                <w:color w:val="auto"/>
                <w:spacing w:val="-4"/>
                <w:sz w:val="22"/>
                <w:szCs w:val="22"/>
                <w:highlight w:val="none"/>
                <w:u w:val="single" w:color="auto"/>
              </w:rPr>
              <w:t>（生产厂址）</w:t>
            </w:r>
            <w:r>
              <w:rPr>
                <w:rFonts w:ascii="宋体" w:hAnsi="宋体" w:eastAsia="宋体" w:cs="宋体"/>
                <w:color w:val="auto"/>
                <w:spacing w:val="-4"/>
                <w:sz w:val="22"/>
                <w:szCs w:val="22"/>
                <w:highlight w:val="none"/>
              </w:rPr>
              <w:t>。</w:t>
            </w:r>
            <w:r>
              <w:rPr>
                <w:rFonts w:ascii="宋体" w:hAnsi="宋体" w:eastAsia="宋体" w:cs="宋体"/>
                <w:color w:val="auto"/>
                <w:spacing w:val="-4"/>
                <w:sz w:val="22"/>
                <w:szCs w:val="22"/>
                <w:highlight w:val="none"/>
                <w:u w:val="single" w:color="auto"/>
              </w:rPr>
              <w:t>（产品名称</w:t>
            </w:r>
            <w:r>
              <w:rPr>
                <w:rFonts w:ascii="宋体" w:hAnsi="宋体" w:eastAsia="宋体" w:cs="宋体"/>
                <w:color w:val="auto"/>
                <w:spacing w:val="-39"/>
                <w:sz w:val="22"/>
                <w:szCs w:val="22"/>
                <w:highlight w:val="none"/>
                <w:u w:val="single" w:color="auto"/>
              </w:rPr>
              <w:t xml:space="preserve"> </w:t>
            </w:r>
            <w:r>
              <w:rPr>
                <w:rFonts w:ascii="Calibri" w:hAnsi="Calibri" w:eastAsia="Calibri" w:cs="Calibri"/>
                <w:color w:val="auto"/>
                <w:spacing w:val="-4"/>
                <w:sz w:val="22"/>
                <w:szCs w:val="22"/>
                <w:highlight w:val="none"/>
                <w:u w:val="single" w:color="auto"/>
              </w:rPr>
              <w:t>1</w:t>
            </w:r>
            <w:r>
              <w:rPr>
                <w:rFonts w:ascii="宋体" w:hAnsi="宋体" w:eastAsia="宋体" w:cs="宋体"/>
                <w:color w:val="auto"/>
                <w:spacing w:val="-4"/>
                <w:sz w:val="22"/>
                <w:szCs w:val="22"/>
                <w:highlight w:val="none"/>
                <w:u w:val="single" w:color="auto"/>
              </w:rPr>
              <w:t>）</w:t>
            </w:r>
            <w:r>
              <w:rPr>
                <w:rFonts w:ascii="宋体" w:hAnsi="宋体" w:eastAsia="宋体" w:cs="宋体"/>
                <w:color w:val="auto"/>
                <w:spacing w:val="-2"/>
                <w:sz w:val="22"/>
                <w:szCs w:val="22"/>
                <w:highlight w:val="none"/>
              </w:rPr>
              <w:t>的中国境内生产的组件成本占比≥</w:t>
            </w:r>
            <w:r>
              <w:rPr>
                <w:rFonts w:ascii="宋体" w:hAnsi="宋体" w:eastAsia="宋体" w:cs="宋体"/>
                <w:color w:val="auto"/>
                <w:spacing w:val="-2"/>
                <w:sz w:val="22"/>
                <w:szCs w:val="22"/>
                <w:highlight w:val="none"/>
                <w:u w:val="single" w:color="auto"/>
              </w:rPr>
              <w:t>（规定比例）</w:t>
            </w:r>
            <w:r>
              <w:rPr>
                <w:rFonts w:ascii="Calibri" w:hAnsi="Calibri" w:eastAsia="Calibri" w:cs="Calibri"/>
                <w:color w:val="auto"/>
                <w:spacing w:val="-2"/>
                <w:position w:val="7"/>
                <w:sz w:val="22"/>
                <w:szCs w:val="22"/>
                <w:highlight w:val="none"/>
              </w:rPr>
              <w:t xml:space="preserve">3 </w:t>
            </w:r>
            <w:r>
              <w:rPr>
                <w:rFonts w:ascii="宋体" w:hAnsi="宋体" w:eastAsia="宋体" w:cs="宋体"/>
                <w:color w:val="auto"/>
                <w:spacing w:val="-2"/>
                <w:sz w:val="22"/>
                <w:szCs w:val="22"/>
                <w:highlight w:val="none"/>
              </w:rPr>
              <w:t>。</w:t>
            </w:r>
            <w:r>
              <w:rPr>
                <w:rFonts w:ascii="宋体" w:hAnsi="宋体" w:eastAsia="宋体" w:cs="宋体"/>
                <w:color w:val="auto"/>
                <w:spacing w:val="-2"/>
                <w:sz w:val="22"/>
                <w:szCs w:val="22"/>
                <w:highlight w:val="none"/>
                <w:u w:val="single" w:color="auto"/>
              </w:rPr>
              <w:t>（产品名称</w:t>
            </w:r>
            <w:r>
              <w:rPr>
                <w:rFonts w:ascii="宋体" w:hAnsi="宋体" w:eastAsia="宋体" w:cs="宋体"/>
                <w:color w:val="auto"/>
                <w:spacing w:val="-29"/>
                <w:sz w:val="22"/>
                <w:szCs w:val="22"/>
                <w:highlight w:val="none"/>
                <w:u w:val="single" w:color="auto"/>
              </w:rPr>
              <w:t xml:space="preserve"> </w:t>
            </w:r>
            <w:r>
              <w:rPr>
                <w:rFonts w:ascii="Calibri" w:hAnsi="Calibri" w:eastAsia="Calibri" w:cs="Calibri"/>
                <w:color w:val="auto"/>
                <w:spacing w:val="-2"/>
                <w:sz w:val="22"/>
                <w:szCs w:val="22"/>
                <w:highlight w:val="none"/>
                <w:u w:val="single" w:color="auto"/>
              </w:rPr>
              <w:t>1</w:t>
            </w:r>
            <w:r>
              <w:rPr>
                <w:rFonts w:ascii="宋体" w:hAnsi="宋体" w:eastAsia="宋体" w:cs="宋体"/>
                <w:color w:val="auto"/>
                <w:spacing w:val="-2"/>
                <w:sz w:val="22"/>
                <w:szCs w:val="22"/>
                <w:highlight w:val="none"/>
                <w:u w:val="single" w:color="auto"/>
              </w:rPr>
              <w:t>）</w:t>
            </w:r>
            <w:r>
              <w:rPr>
                <w:rFonts w:ascii="宋体" w:hAnsi="宋体" w:eastAsia="宋体" w:cs="宋体"/>
                <w:color w:val="auto"/>
                <w:spacing w:val="-2"/>
                <w:sz w:val="22"/>
                <w:szCs w:val="22"/>
                <w:highlight w:val="none"/>
              </w:rPr>
              <w:t>的</w:t>
            </w:r>
            <w:r>
              <w:rPr>
                <w:rFonts w:ascii="宋体" w:hAnsi="宋体" w:eastAsia="宋体" w:cs="宋体"/>
                <w:color w:val="auto"/>
                <w:spacing w:val="-2"/>
                <w:sz w:val="22"/>
                <w:szCs w:val="22"/>
                <w:highlight w:val="none"/>
                <w:u w:val="single" w:color="auto"/>
              </w:rPr>
              <w:t>（关键组件）</w:t>
            </w:r>
            <w:r>
              <w:rPr>
                <w:rFonts w:ascii="Calibri" w:hAnsi="Calibri" w:eastAsia="Calibri" w:cs="Calibri"/>
                <w:color w:val="auto"/>
                <w:spacing w:val="-2"/>
                <w:position w:val="7"/>
                <w:sz w:val="22"/>
                <w:szCs w:val="22"/>
                <w:highlight w:val="none"/>
              </w:rPr>
              <w:t>4</w:t>
            </w:r>
            <w:r>
              <w:rPr>
                <w:rFonts w:ascii="宋体" w:hAnsi="宋体" w:eastAsia="宋体" w:cs="宋体"/>
                <w:color w:val="auto"/>
                <w:spacing w:val="-1"/>
                <w:sz w:val="22"/>
                <w:szCs w:val="22"/>
                <w:highlight w:val="none"/>
              </w:rPr>
              <w:t>在中国境内生产。</w:t>
            </w:r>
            <w:r>
              <w:rPr>
                <w:rFonts w:ascii="宋体" w:hAnsi="宋体" w:eastAsia="宋体" w:cs="宋体"/>
                <w:color w:val="auto"/>
                <w:spacing w:val="-1"/>
                <w:sz w:val="22"/>
                <w:szCs w:val="22"/>
                <w:highlight w:val="none"/>
                <w:u w:val="single" w:color="auto"/>
              </w:rPr>
              <w:t>（产品名称</w:t>
            </w:r>
            <w:r>
              <w:rPr>
                <w:rFonts w:ascii="宋体" w:hAnsi="宋体" w:eastAsia="宋体" w:cs="宋体"/>
                <w:color w:val="auto"/>
                <w:spacing w:val="-40"/>
                <w:sz w:val="22"/>
                <w:szCs w:val="22"/>
                <w:highlight w:val="none"/>
                <w:u w:val="single" w:color="auto"/>
              </w:rPr>
              <w:t xml:space="preserve"> </w:t>
            </w:r>
            <w:r>
              <w:rPr>
                <w:rFonts w:ascii="Calibri" w:hAnsi="Calibri" w:eastAsia="Calibri" w:cs="Calibri"/>
                <w:color w:val="auto"/>
                <w:spacing w:val="-1"/>
                <w:sz w:val="22"/>
                <w:szCs w:val="22"/>
                <w:highlight w:val="none"/>
                <w:u w:val="single" w:color="auto"/>
              </w:rPr>
              <w:t>1</w:t>
            </w:r>
            <w:r>
              <w:rPr>
                <w:rFonts w:ascii="宋体" w:hAnsi="宋体" w:eastAsia="宋体" w:cs="宋体"/>
                <w:color w:val="auto"/>
                <w:spacing w:val="-1"/>
                <w:sz w:val="22"/>
                <w:szCs w:val="22"/>
                <w:highlight w:val="none"/>
                <w:u w:val="single" w:color="auto"/>
              </w:rPr>
              <w:t>）</w:t>
            </w:r>
            <w:r>
              <w:rPr>
                <w:rFonts w:ascii="宋体" w:hAnsi="宋体" w:eastAsia="宋体" w:cs="宋体"/>
                <w:color w:val="auto"/>
                <w:spacing w:val="-1"/>
                <w:sz w:val="22"/>
                <w:szCs w:val="22"/>
                <w:highlight w:val="none"/>
              </w:rPr>
              <w:t>的</w:t>
            </w:r>
            <w:r>
              <w:rPr>
                <w:rFonts w:ascii="宋体" w:hAnsi="宋体" w:eastAsia="宋体" w:cs="宋体"/>
                <w:color w:val="auto"/>
                <w:spacing w:val="-1"/>
                <w:sz w:val="22"/>
                <w:szCs w:val="22"/>
                <w:highlight w:val="none"/>
                <w:u w:val="single" w:color="auto"/>
              </w:rPr>
              <w:t>（关键工序）</w:t>
            </w:r>
            <w:r>
              <w:rPr>
                <w:rFonts w:ascii="Calibri" w:hAnsi="Calibri" w:eastAsia="Calibri" w:cs="Calibri"/>
                <w:color w:val="auto"/>
                <w:spacing w:val="-1"/>
                <w:position w:val="7"/>
                <w:sz w:val="22"/>
                <w:szCs w:val="22"/>
                <w:highlight w:val="none"/>
              </w:rPr>
              <w:t>5</w:t>
            </w:r>
            <w:r>
              <w:rPr>
                <w:rFonts w:ascii="Calibri" w:hAnsi="Calibri" w:eastAsia="Calibri" w:cs="Calibri"/>
                <w:color w:val="auto"/>
                <w:spacing w:val="13"/>
                <w:w w:val="101"/>
                <w:position w:val="7"/>
                <w:sz w:val="22"/>
                <w:szCs w:val="22"/>
                <w:highlight w:val="none"/>
              </w:rPr>
              <w:t xml:space="preserve"> </w:t>
            </w:r>
            <w:r>
              <w:rPr>
                <w:rFonts w:ascii="宋体" w:hAnsi="宋体" w:eastAsia="宋体" w:cs="宋体"/>
                <w:color w:val="auto"/>
                <w:spacing w:val="-1"/>
                <w:sz w:val="22"/>
                <w:szCs w:val="22"/>
                <w:highlight w:val="none"/>
              </w:rPr>
              <w:t>在中</w:t>
            </w:r>
            <w:r>
              <w:rPr>
                <w:rFonts w:ascii="宋体" w:hAnsi="宋体" w:eastAsia="宋体" w:cs="宋体"/>
                <w:color w:val="auto"/>
                <w:spacing w:val="-2"/>
                <w:sz w:val="22"/>
                <w:szCs w:val="22"/>
                <w:highlight w:val="none"/>
              </w:rPr>
              <w:t>国境内完成。</w:t>
            </w:r>
          </w:p>
          <w:p w14:paraId="3FD700E1">
            <w:pPr>
              <w:keepNext w:val="0"/>
              <w:keepLines w:val="0"/>
              <w:pageBreakBefore w:val="0"/>
              <w:widowControl w:val="0"/>
              <w:kinsoku/>
              <w:wordWrap/>
              <w:overflowPunct/>
              <w:topLinePunct w:val="0"/>
              <w:autoSpaceDE/>
              <w:autoSpaceDN/>
              <w:bidi w:val="0"/>
              <w:adjustRightInd/>
              <w:snapToGrid/>
              <w:spacing w:before="35" w:line="300" w:lineRule="exact"/>
              <w:ind w:left="29" w:right="81" w:firstLine="404"/>
              <w:textAlignment w:val="auto"/>
              <w:rPr>
                <w:rFonts w:ascii="宋体" w:hAnsi="宋体" w:eastAsia="宋体" w:cs="宋体"/>
                <w:color w:val="auto"/>
                <w:sz w:val="22"/>
                <w:szCs w:val="22"/>
                <w:highlight w:val="none"/>
              </w:rPr>
            </w:pPr>
            <w:r>
              <w:rPr>
                <w:rFonts w:ascii="Calibri" w:hAnsi="Calibri" w:eastAsia="Calibri" w:cs="Calibri"/>
                <w:color w:val="auto"/>
                <w:sz w:val="22"/>
                <w:szCs w:val="22"/>
                <w:highlight w:val="none"/>
              </w:rPr>
              <w:t>2.</w:t>
            </w:r>
            <w:r>
              <w:rPr>
                <w:rFonts w:ascii="宋体" w:hAnsi="宋体" w:eastAsia="宋体" w:cs="宋体"/>
                <w:color w:val="auto"/>
                <w:sz w:val="22"/>
                <w:szCs w:val="22"/>
                <w:highlight w:val="none"/>
                <w:u w:val="single" w:color="auto"/>
              </w:rPr>
              <w:t>（产品名称</w:t>
            </w:r>
            <w:r>
              <w:rPr>
                <w:rFonts w:ascii="宋体" w:hAnsi="宋体" w:eastAsia="宋体" w:cs="宋体"/>
                <w:color w:val="auto"/>
                <w:spacing w:val="-41"/>
                <w:sz w:val="22"/>
                <w:szCs w:val="22"/>
                <w:highlight w:val="none"/>
                <w:u w:val="single" w:color="auto"/>
              </w:rPr>
              <w:t xml:space="preserve"> </w:t>
            </w:r>
            <w:r>
              <w:rPr>
                <w:rFonts w:ascii="Calibri" w:hAnsi="Calibri" w:eastAsia="Calibri" w:cs="Calibri"/>
                <w:color w:val="auto"/>
                <w:sz w:val="22"/>
                <w:szCs w:val="22"/>
                <w:highlight w:val="none"/>
                <w:u w:val="single" w:color="auto"/>
              </w:rPr>
              <w:t>2</w:t>
            </w:r>
            <w:r>
              <w:rPr>
                <w:rFonts w:ascii="宋体" w:hAnsi="宋体" w:eastAsia="宋体" w:cs="宋体"/>
                <w:color w:val="auto"/>
                <w:spacing w:val="9"/>
                <w:sz w:val="22"/>
                <w:szCs w:val="22"/>
                <w:highlight w:val="none"/>
                <w:u w:val="single" w:color="auto"/>
              </w:rPr>
              <w:t>）</w:t>
            </w:r>
            <w:r>
              <w:rPr>
                <w:rFonts w:ascii="宋体" w:hAnsi="宋体" w:eastAsia="宋体" w:cs="宋体"/>
                <w:color w:val="auto"/>
                <w:spacing w:val="9"/>
                <w:sz w:val="22"/>
                <w:szCs w:val="22"/>
                <w:highlight w:val="none"/>
              </w:rPr>
              <w:t>，</w:t>
            </w:r>
            <w:r>
              <w:rPr>
                <w:rFonts w:ascii="宋体" w:hAnsi="宋体" w:eastAsia="宋体" w:cs="宋体"/>
                <w:color w:val="auto"/>
                <w:sz w:val="22"/>
                <w:szCs w:val="22"/>
                <w:highlight w:val="none"/>
              </w:rPr>
              <w:t>生产厂为</w:t>
            </w:r>
            <w:r>
              <w:rPr>
                <w:rFonts w:ascii="宋体" w:hAnsi="宋体" w:eastAsia="宋体" w:cs="宋体"/>
                <w:color w:val="auto"/>
                <w:sz w:val="22"/>
                <w:szCs w:val="22"/>
                <w:highlight w:val="none"/>
                <w:u w:val="single" w:color="auto"/>
              </w:rPr>
              <w:t>（厂名</w:t>
            </w:r>
            <w:r>
              <w:rPr>
                <w:rFonts w:ascii="宋体" w:hAnsi="宋体" w:eastAsia="宋体" w:cs="宋体"/>
                <w:color w:val="auto"/>
                <w:spacing w:val="9"/>
                <w:sz w:val="22"/>
                <w:szCs w:val="22"/>
                <w:highlight w:val="none"/>
                <w:u w:val="single" w:color="auto"/>
              </w:rPr>
              <w:t>）</w:t>
            </w:r>
            <w:r>
              <w:rPr>
                <w:rFonts w:ascii="宋体" w:hAnsi="宋体" w:eastAsia="宋体" w:cs="宋体"/>
                <w:color w:val="auto"/>
                <w:spacing w:val="9"/>
                <w:sz w:val="22"/>
                <w:szCs w:val="22"/>
                <w:highlight w:val="none"/>
              </w:rPr>
              <w:t>，</w:t>
            </w:r>
            <w:r>
              <w:rPr>
                <w:rFonts w:ascii="宋体" w:hAnsi="宋体" w:eastAsia="宋体" w:cs="宋体"/>
                <w:color w:val="auto"/>
                <w:sz w:val="22"/>
                <w:szCs w:val="22"/>
                <w:highlight w:val="none"/>
              </w:rPr>
              <w:t>厂址为</w:t>
            </w:r>
            <w:r>
              <w:rPr>
                <w:rFonts w:ascii="宋体" w:hAnsi="宋体" w:eastAsia="宋体" w:cs="宋体"/>
                <w:color w:val="auto"/>
                <w:sz w:val="22"/>
                <w:szCs w:val="22"/>
                <w:highlight w:val="none"/>
                <w:u w:val="single" w:color="auto"/>
              </w:rPr>
              <w:t>（生产厂址）</w:t>
            </w:r>
            <w:r>
              <w:rPr>
                <w:rFonts w:ascii="宋体" w:hAnsi="宋体" w:eastAsia="宋体" w:cs="宋体"/>
                <w:color w:val="auto"/>
                <w:sz w:val="22"/>
                <w:szCs w:val="22"/>
                <w:highlight w:val="none"/>
              </w:rPr>
              <w:t>。</w:t>
            </w:r>
            <w:r>
              <w:rPr>
                <w:rFonts w:ascii="宋体" w:hAnsi="宋体" w:eastAsia="宋体" w:cs="宋体"/>
                <w:color w:val="auto"/>
                <w:sz w:val="22"/>
                <w:szCs w:val="22"/>
                <w:highlight w:val="none"/>
                <w:u w:val="single" w:color="auto"/>
              </w:rPr>
              <w:t>（产品名</w:t>
            </w:r>
            <w:r>
              <w:rPr>
                <w:rFonts w:ascii="宋体" w:hAnsi="宋体" w:eastAsia="宋体" w:cs="宋体"/>
                <w:color w:val="auto"/>
                <w:spacing w:val="-1"/>
                <w:sz w:val="22"/>
                <w:szCs w:val="22"/>
                <w:highlight w:val="none"/>
                <w:u w:val="single" w:color="auto"/>
              </w:rPr>
              <w:t>称</w:t>
            </w:r>
            <w:r>
              <w:rPr>
                <w:rFonts w:ascii="宋体" w:hAnsi="宋体" w:eastAsia="宋体" w:cs="宋体"/>
                <w:color w:val="auto"/>
                <w:spacing w:val="-44"/>
                <w:sz w:val="22"/>
                <w:szCs w:val="22"/>
                <w:highlight w:val="none"/>
                <w:u w:val="single" w:color="auto"/>
              </w:rPr>
              <w:t xml:space="preserve"> </w:t>
            </w:r>
            <w:r>
              <w:rPr>
                <w:rFonts w:ascii="Calibri" w:hAnsi="Calibri" w:eastAsia="Calibri" w:cs="Calibri"/>
                <w:color w:val="auto"/>
                <w:spacing w:val="-1"/>
                <w:sz w:val="22"/>
                <w:szCs w:val="22"/>
                <w:highlight w:val="none"/>
                <w:u w:val="single" w:color="auto"/>
              </w:rPr>
              <w:t>2</w:t>
            </w:r>
            <w:r>
              <w:rPr>
                <w:rFonts w:ascii="宋体" w:hAnsi="宋体" w:eastAsia="宋体" w:cs="宋体"/>
                <w:color w:val="auto"/>
                <w:spacing w:val="-1"/>
                <w:sz w:val="22"/>
                <w:szCs w:val="22"/>
                <w:highlight w:val="none"/>
                <w:u w:val="single" w:color="auto"/>
              </w:rPr>
              <w:t>）</w:t>
            </w:r>
            <w:r>
              <w:rPr>
                <w:rFonts w:ascii="宋体" w:hAnsi="宋体" w:eastAsia="宋体" w:cs="宋体"/>
                <w:color w:val="auto"/>
                <w:spacing w:val="-4"/>
                <w:sz w:val="22"/>
                <w:szCs w:val="22"/>
                <w:highlight w:val="none"/>
              </w:rPr>
              <w:t>的中国境内生产的组件成本占比≥</w:t>
            </w:r>
            <w:r>
              <w:rPr>
                <w:rFonts w:ascii="宋体" w:hAnsi="宋体" w:eastAsia="宋体" w:cs="宋体"/>
                <w:color w:val="auto"/>
                <w:spacing w:val="-4"/>
                <w:sz w:val="22"/>
                <w:szCs w:val="22"/>
                <w:highlight w:val="none"/>
                <w:u w:val="single" w:color="auto"/>
              </w:rPr>
              <w:t>（规定比例）</w:t>
            </w:r>
            <w:r>
              <w:rPr>
                <w:rFonts w:ascii="宋体" w:hAnsi="宋体" w:eastAsia="宋体" w:cs="宋体"/>
                <w:color w:val="auto"/>
                <w:spacing w:val="-4"/>
                <w:sz w:val="22"/>
                <w:szCs w:val="22"/>
                <w:highlight w:val="none"/>
              </w:rPr>
              <w:t>。</w:t>
            </w:r>
            <w:r>
              <w:rPr>
                <w:rFonts w:ascii="宋体" w:hAnsi="宋体" w:eastAsia="宋体" w:cs="宋体"/>
                <w:color w:val="auto"/>
                <w:spacing w:val="-4"/>
                <w:sz w:val="22"/>
                <w:szCs w:val="22"/>
                <w:highlight w:val="none"/>
                <w:u w:val="single" w:color="auto"/>
              </w:rPr>
              <w:t>（产品名称</w:t>
            </w:r>
            <w:r>
              <w:rPr>
                <w:rFonts w:ascii="宋体" w:hAnsi="宋体" w:eastAsia="宋体" w:cs="宋体"/>
                <w:color w:val="auto"/>
                <w:spacing w:val="-35"/>
                <w:sz w:val="22"/>
                <w:szCs w:val="22"/>
                <w:highlight w:val="none"/>
                <w:u w:val="single" w:color="auto"/>
              </w:rPr>
              <w:t xml:space="preserve"> </w:t>
            </w:r>
            <w:r>
              <w:rPr>
                <w:rFonts w:ascii="Calibri" w:hAnsi="Calibri" w:eastAsia="Calibri" w:cs="Calibri"/>
                <w:color w:val="auto"/>
                <w:spacing w:val="-4"/>
                <w:sz w:val="22"/>
                <w:szCs w:val="22"/>
                <w:highlight w:val="none"/>
                <w:u w:val="single" w:color="auto"/>
              </w:rPr>
              <w:t>2</w:t>
            </w:r>
            <w:r>
              <w:rPr>
                <w:rFonts w:ascii="宋体" w:hAnsi="宋体" w:eastAsia="宋体" w:cs="宋体"/>
                <w:color w:val="auto"/>
                <w:spacing w:val="-4"/>
                <w:sz w:val="22"/>
                <w:szCs w:val="22"/>
                <w:highlight w:val="none"/>
                <w:u w:val="single" w:color="auto"/>
              </w:rPr>
              <w:t>）</w:t>
            </w:r>
            <w:r>
              <w:rPr>
                <w:rFonts w:ascii="宋体" w:hAnsi="宋体" w:eastAsia="宋体" w:cs="宋体"/>
                <w:color w:val="auto"/>
                <w:spacing w:val="-4"/>
                <w:sz w:val="22"/>
                <w:szCs w:val="22"/>
                <w:highlight w:val="none"/>
              </w:rPr>
              <w:t>的</w:t>
            </w:r>
            <w:r>
              <w:rPr>
                <w:rFonts w:ascii="宋体" w:hAnsi="宋体" w:eastAsia="宋体" w:cs="宋体"/>
                <w:color w:val="auto"/>
                <w:spacing w:val="-4"/>
                <w:sz w:val="22"/>
                <w:szCs w:val="22"/>
                <w:highlight w:val="none"/>
                <w:u w:val="single" w:color="auto"/>
              </w:rPr>
              <w:t>（关键组件）</w:t>
            </w:r>
            <w:r>
              <w:rPr>
                <w:rFonts w:ascii="宋体" w:hAnsi="宋体" w:eastAsia="宋体" w:cs="宋体"/>
                <w:color w:val="auto"/>
                <w:spacing w:val="-4"/>
                <w:sz w:val="22"/>
                <w:szCs w:val="22"/>
                <w:highlight w:val="none"/>
              </w:rPr>
              <w:t>在</w:t>
            </w:r>
            <w:r>
              <w:rPr>
                <w:rFonts w:ascii="宋体" w:hAnsi="宋体" w:eastAsia="宋体" w:cs="宋体"/>
                <w:color w:val="auto"/>
                <w:spacing w:val="-2"/>
                <w:sz w:val="22"/>
                <w:szCs w:val="22"/>
                <w:highlight w:val="none"/>
              </w:rPr>
              <w:t>中国境内生产。</w:t>
            </w:r>
            <w:r>
              <w:rPr>
                <w:rFonts w:ascii="宋体" w:hAnsi="宋体" w:eastAsia="宋体" w:cs="宋体"/>
                <w:color w:val="auto"/>
                <w:spacing w:val="-2"/>
                <w:sz w:val="22"/>
                <w:szCs w:val="22"/>
                <w:highlight w:val="none"/>
                <w:u w:val="single" w:color="auto"/>
              </w:rPr>
              <w:t>（产品名称</w:t>
            </w:r>
            <w:r>
              <w:rPr>
                <w:rFonts w:ascii="宋体" w:hAnsi="宋体" w:eastAsia="宋体" w:cs="宋体"/>
                <w:color w:val="auto"/>
                <w:spacing w:val="-34"/>
                <w:sz w:val="22"/>
                <w:szCs w:val="22"/>
                <w:highlight w:val="none"/>
                <w:u w:val="single" w:color="auto"/>
              </w:rPr>
              <w:t xml:space="preserve"> </w:t>
            </w:r>
            <w:r>
              <w:rPr>
                <w:rFonts w:ascii="Calibri" w:hAnsi="Calibri" w:eastAsia="Calibri" w:cs="Calibri"/>
                <w:color w:val="auto"/>
                <w:spacing w:val="-2"/>
                <w:sz w:val="22"/>
                <w:szCs w:val="22"/>
                <w:highlight w:val="none"/>
                <w:u w:val="single" w:color="auto"/>
              </w:rPr>
              <w:t>2</w:t>
            </w:r>
            <w:r>
              <w:rPr>
                <w:rFonts w:ascii="宋体" w:hAnsi="宋体" w:eastAsia="宋体" w:cs="宋体"/>
                <w:color w:val="auto"/>
                <w:spacing w:val="-2"/>
                <w:sz w:val="22"/>
                <w:szCs w:val="22"/>
                <w:highlight w:val="none"/>
                <w:u w:val="single" w:color="auto"/>
              </w:rPr>
              <w:t>）</w:t>
            </w:r>
            <w:r>
              <w:rPr>
                <w:rFonts w:ascii="宋体" w:hAnsi="宋体" w:eastAsia="宋体" w:cs="宋体"/>
                <w:color w:val="auto"/>
                <w:spacing w:val="-2"/>
                <w:sz w:val="22"/>
                <w:szCs w:val="22"/>
                <w:highlight w:val="none"/>
              </w:rPr>
              <w:t>的</w:t>
            </w:r>
            <w:r>
              <w:rPr>
                <w:rFonts w:ascii="宋体" w:hAnsi="宋体" w:eastAsia="宋体" w:cs="宋体"/>
                <w:color w:val="auto"/>
                <w:spacing w:val="-2"/>
                <w:sz w:val="22"/>
                <w:szCs w:val="22"/>
                <w:highlight w:val="none"/>
                <w:u w:val="single" w:color="auto"/>
              </w:rPr>
              <w:t>（关键工序）</w:t>
            </w:r>
            <w:r>
              <w:rPr>
                <w:rFonts w:ascii="宋体" w:hAnsi="宋体" w:eastAsia="宋体" w:cs="宋体"/>
                <w:color w:val="auto"/>
                <w:spacing w:val="-2"/>
                <w:sz w:val="22"/>
                <w:szCs w:val="22"/>
                <w:highlight w:val="none"/>
              </w:rPr>
              <w:t>在中国境内完成。</w:t>
            </w:r>
          </w:p>
          <w:p w14:paraId="4452197A">
            <w:pPr>
              <w:keepNext w:val="0"/>
              <w:keepLines w:val="0"/>
              <w:pageBreakBefore w:val="0"/>
              <w:widowControl w:val="0"/>
              <w:kinsoku/>
              <w:wordWrap/>
              <w:overflowPunct/>
              <w:topLinePunct w:val="0"/>
              <w:autoSpaceDE/>
              <w:autoSpaceDN/>
              <w:bidi w:val="0"/>
              <w:adjustRightInd/>
              <w:snapToGrid/>
              <w:spacing w:before="60" w:line="300" w:lineRule="exact"/>
              <w:ind w:left="444"/>
              <w:textAlignment w:val="auto"/>
              <w:rPr>
                <w:rFonts w:ascii="宋体" w:hAnsi="宋体" w:eastAsia="宋体" w:cs="宋体"/>
                <w:color w:val="auto"/>
                <w:sz w:val="22"/>
                <w:szCs w:val="22"/>
                <w:highlight w:val="none"/>
              </w:rPr>
            </w:pPr>
            <w:r>
              <w:rPr>
                <w:rFonts w:ascii="宋体" w:hAnsi="宋体" w:eastAsia="宋体" w:cs="宋体"/>
                <w:color w:val="auto"/>
                <w:spacing w:val="-13"/>
                <w:position w:val="3"/>
                <w:sz w:val="22"/>
                <w:szCs w:val="22"/>
                <w:highlight w:val="none"/>
              </w:rPr>
              <w:t>……</w:t>
            </w:r>
          </w:p>
          <w:p w14:paraId="0648D39E">
            <w:pPr>
              <w:keepNext w:val="0"/>
              <w:keepLines w:val="0"/>
              <w:pageBreakBefore w:val="0"/>
              <w:widowControl w:val="0"/>
              <w:kinsoku/>
              <w:wordWrap/>
              <w:overflowPunct/>
              <w:topLinePunct w:val="0"/>
              <w:autoSpaceDE/>
              <w:autoSpaceDN/>
              <w:bidi w:val="0"/>
              <w:adjustRightInd/>
              <w:snapToGrid/>
              <w:spacing w:before="118" w:line="300" w:lineRule="exact"/>
              <w:jc w:val="right"/>
              <w:textAlignment w:val="auto"/>
              <w:rPr>
                <w:rFonts w:ascii="宋体" w:hAnsi="宋体" w:eastAsia="宋体" w:cs="宋体"/>
                <w:color w:val="auto"/>
                <w:sz w:val="22"/>
                <w:szCs w:val="22"/>
                <w:highlight w:val="none"/>
              </w:rPr>
            </w:pPr>
            <w:r>
              <w:rPr>
                <w:rFonts w:ascii="宋体" w:hAnsi="宋体" w:eastAsia="宋体" w:cs="宋体"/>
                <w:color w:val="auto"/>
                <w:spacing w:val="-7"/>
                <w:sz w:val="22"/>
                <w:szCs w:val="22"/>
                <w:highlight w:val="none"/>
              </w:rPr>
              <w:t>本公司（单位）对上述声明内容的真实性负责。如有虚假，</w:t>
            </w:r>
            <w:r>
              <w:rPr>
                <w:rFonts w:ascii="宋体" w:hAnsi="宋体" w:eastAsia="宋体" w:cs="宋体"/>
                <w:color w:val="auto"/>
                <w:spacing w:val="-8"/>
                <w:sz w:val="22"/>
                <w:szCs w:val="22"/>
                <w:highlight w:val="none"/>
              </w:rPr>
              <w:t>愿承担相应法律责任。</w:t>
            </w:r>
          </w:p>
          <w:p w14:paraId="5CED7D7D">
            <w:pPr>
              <w:keepNext w:val="0"/>
              <w:keepLines w:val="0"/>
              <w:pageBreakBefore w:val="0"/>
              <w:widowControl w:val="0"/>
              <w:kinsoku/>
              <w:wordWrap/>
              <w:overflowPunct/>
              <w:topLinePunct w:val="0"/>
              <w:autoSpaceDE/>
              <w:autoSpaceDN/>
              <w:bidi w:val="0"/>
              <w:adjustRightInd/>
              <w:snapToGrid/>
              <w:spacing w:line="300" w:lineRule="exact"/>
              <w:textAlignment w:val="auto"/>
              <w:rPr>
                <w:rFonts w:ascii="Arial"/>
                <w:color w:val="auto"/>
                <w:sz w:val="22"/>
                <w:szCs w:val="22"/>
                <w:highlight w:val="none"/>
              </w:rPr>
            </w:pPr>
          </w:p>
          <w:p w14:paraId="4B3B2401">
            <w:pPr>
              <w:keepNext w:val="0"/>
              <w:keepLines w:val="0"/>
              <w:pageBreakBefore w:val="0"/>
              <w:widowControl w:val="0"/>
              <w:kinsoku/>
              <w:wordWrap/>
              <w:overflowPunct/>
              <w:topLinePunct w:val="0"/>
              <w:autoSpaceDE/>
              <w:autoSpaceDN/>
              <w:bidi w:val="0"/>
              <w:adjustRightInd/>
              <w:snapToGrid/>
              <w:spacing w:line="300" w:lineRule="exact"/>
              <w:textAlignment w:val="auto"/>
              <w:rPr>
                <w:rFonts w:ascii="Arial"/>
                <w:color w:val="auto"/>
                <w:sz w:val="22"/>
                <w:szCs w:val="22"/>
                <w:highlight w:val="none"/>
              </w:rPr>
            </w:pPr>
          </w:p>
          <w:p w14:paraId="5D5B4E80">
            <w:pPr>
              <w:keepNext w:val="0"/>
              <w:keepLines w:val="0"/>
              <w:pageBreakBefore w:val="0"/>
              <w:widowControl w:val="0"/>
              <w:kinsoku/>
              <w:wordWrap/>
              <w:overflowPunct/>
              <w:topLinePunct w:val="0"/>
              <w:autoSpaceDE/>
              <w:autoSpaceDN/>
              <w:bidi w:val="0"/>
              <w:adjustRightInd/>
              <w:snapToGrid/>
              <w:spacing w:before="79" w:line="300" w:lineRule="exact"/>
              <w:ind w:firstLine="1728" w:firstLineChars="800"/>
              <w:textAlignment w:val="auto"/>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公司（单位）名称（盖章</w:t>
            </w:r>
            <w:r>
              <w:rPr>
                <w:rFonts w:ascii="宋体" w:hAnsi="宋体" w:eastAsia="宋体" w:cs="宋体"/>
                <w:color w:val="auto"/>
                <w:spacing w:val="2"/>
                <w:sz w:val="22"/>
                <w:szCs w:val="22"/>
                <w:highlight w:val="none"/>
              </w:rPr>
              <w:t>）：</w:t>
            </w:r>
          </w:p>
          <w:p w14:paraId="0A689D89">
            <w:pPr>
              <w:keepNext w:val="0"/>
              <w:keepLines w:val="0"/>
              <w:pageBreakBefore w:val="0"/>
              <w:widowControl w:val="0"/>
              <w:kinsoku/>
              <w:wordWrap/>
              <w:overflowPunct/>
              <w:topLinePunct w:val="0"/>
              <w:autoSpaceDE/>
              <w:autoSpaceDN/>
              <w:bidi w:val="0"/>
              <w:adjustRightInd/>
              <w:snapToGrid/>
              <w:spacing w:before="212" w:line="300" w:lineRule="exact"/>
              <w:ind w:firstLine="1746" w:firstLineChars="900"/>
              <w:textAlignment w:val="auto"/>
              <w:rPr>
                <w:rFonts w:ascii="宋体" w:hAnsi="宋体" w:eastAsia="宋体" w:cs="宋体"/>
                <w:color w:val="auto"/>
                <w:sz w:val="22"/>
                <w:szCs w:val="22"/>
                <w:highlight w:val="none"/>
              </w:rPr>
            </w:pPr>
            <w:r>
              <w:rPr>
                <w:rFonts w:ascii="宋体" w:hAnsi="宋体" w:eastAsia="宋体" w:cs="宋体"/>
                <w:color w:val="auto"/>
                <w:spacing w:val="-13"/>
                <w:sz w:val="22"/>
                <w:szCs w:val="22"/>
                <w:highlight w:val="none"/>
              </w:rPr>
              <w:t>日期：</w:t>
            </w:r>
            <w:r>
              <w:rPr>
                <w:rFonts w:ascii="宋体" w:hAnsi="宋体" w:eastAsia="宋体" w:cs="宋体"/>
                <w:color w:val="auto"/>
                <w:spacing w:val="1"/>
                <w:sz w:val="22"/>
                <w:szCs w:val="22"/>
                <w:highlight w:val="none"/>
              </w:rPr>
              <w:t xml:space="preserve">   </w:t>
            </w:r>
            <w:r>
              <w:rPr>
                <w:rFonts w:ascii="宋体" w:hAnsi="宋体" w:eastAsia="宋体" w:cs="宋体"/>
                <w:color w:val="auto"/>
                <w:spacing w:val="-13"/>
                <w:sz w:val="22"/>
                <w:szCs w:val="22"/>
                <w:highlight w:val="none"/>
              </w:rPr>
              <w:t>年</w:t>
            </w:r>
            <w:r>
              <w:rPr>
                <w:rFonts w:ascii="宋体" w:hAnsi="宋体" w:eastAsia="宋体" w:cs="宋体"/>
                <w:color w:val="auto"/>
                <w:spacing w:val="4"/>
                <w:sz w:val="22"/>
                <w:szCs w:val="22"/>
                <w:highlight w:val="none"/>
              </w:rPr>
              <w:t xml:space="preserve">   </w:t>
            </w:r>
            <w:r>
              <w:rPr>
                <w:rFonts w:ascii="宋体" w:hAnsi="宋体" w:eastAsia="宋体" w:cs="宋体"/>
                <w:color w:val="auto"/>
                <w:spacing w:val="-13"/>
                <w:sz w:val="22"/>
                <w:szCs w:val="22"/>
                <w:highlight w:val="none"/>
              </w:rPr>
              <w:t>月</w:t>
            </w:r>
            <w:r>
              <w:rPr>
                <w:rFonts w:ascii="宋体" w:hAnsi="宋体" w:eastAsia="宋体" w:cs="宋体"/>
                <w:color w:val="auto"/>
                <w:spacing w:val="13"/>
                <w:sz w:val="22"/>
                <w:szCs w:val="22"/>
                <w:highlight w:val="none"/>
              </w:rPr>
              <w:t xml:space="preserve">   </w:t>
            </w:r>
            <w:r>
              <w:rPr>
                <w:rFonts w:ascii="宋体" w:hAnsi="宋体" w:eastAsia="宋体" w:cs="宋体"/>
                <w:color w:val="auto"/>
                <w:spacing w:val="-13"/>
                <w:sz w:val="22"/>
                <w:szCs w:val="22"/>
                <w:highlight w:val="none"/>
              </w:rPr>
              <w:t>日</w:t>
            </w:r>
          </w:p>
          <w:p w14:paraId="0F06B293">
            <w:pPr>
              <w:keepNext w:val="0"/>
              <w:keepLines w:val="0"/>
              <w:pageBreakBefore w:val="0"/>
              <w:widowControl w:val="0"/>
              <w:kinsoku/>
              <w:wordWrap/>
              <w:overflowPunct/>
              <w:topLinePunct w:val="0"/>
              <w:autoSpaceDE/>
              <w:autoSpaceDN/>
              <w:bidi w:val="0"/>
              <w:adjustRightInd/>
              <w:snapToGrid/>
              <w:spacing w:line="300" w:lineRule="exact"/>
              <w:textAlignment w:val="auto"/>
              <w:rPr>
                <w:rFonts w:ascii="Arial"/>
                <w:color w:val="auto"/>
                <w:sz w:val="22"/>
                <w:szCs w:val="22"/>
                <w:highlight w:val="none"/>
              </w:rPr>
            </w:pPr>
          </w:p>
          <w:p w14:paraId="6844CA89">
            <w:pPr>
              <w:keepNext w:val="0"/>
              <w:keepLines w:val="0"/>
              <w:pageBreakBefore w:val="0"/>
              <w:widowControl w:val="0"/>
              <w:kinsoku/>
              <w:wordWrap/>
              <w:overflowPunct/>
              <w:topLinePunct w:val="0"/>
              <w:autoSpaceDE/>
              <w:autoSpaceDN/>
              <w:bidi w:val="0"/>
              <w:adjustRightInd/>
              <w:snapToGrid/>
              <w:spacing w:line="300" w:lineRule="exact"/>
              <w:textAlignment w:val="auto"/>
              <w:rPr>
                <w:rFonts w:ascii="Arial"/>
                <w:color w:val="auto"/>
                <w:sz w:val="22"/>
                <w:szCs w:val="22"/>
                <w:highlight w:val="none"/>
              </w:rPr>
            </w:pPr>
            <w:r>
              <w:rPr>
                <w:color w:val="auto"/>
                <w:sz w:val="22"/>
                <w:szCs w:val="22"/>
                <w:highlight w:val="none"/>
              </w:rPr>
              <w:drawing>
                <wp:anchor distT="0" distB="0" distL="114300" distR="114300" simplePos="0" relativeHeight="251659264" behindDoc="0" locked="0" layoutInCell="1" allowOverlap="1">
                  <wp:simplePos x="0" y="0"/>
                  <wp:positionH relativeFrom="column">
                    <wp:posOffset>0</wp:posOffset>
                  </wp:positionH>
                  <wp:positionV relativeFrom="paragraph">
                    <wp:posOffset>85090</wp:posOffset>
                  </wp:positionV>
                  <wp:extent cx="1367155" cy="9525"/>
                  <wp:effectExtent l="0" t="0" r="0" b="0"/>
                  <wp:wrapNone/>
                  <wp:docPr id="1" name="IM 6"/>
                  <wp:cNvGraphicFramePr/>
                  <a:graphic xmlns:a="http://schemas.openxmlformats.org/drawingml/2006/main">
                    <a:graphicData uri="http://schemas.openxmlformats.org/drawingml/2006/picture">
                      <pic:pic xmlns:pic="http://schemas.openxmlformats.org/drawingml/2006/picture">
                        <pic:nvPicPr>
                          <pic:cNvPr id="1" name="IM 6"/>
                          <pic:cNvPicPr/>
                        </pic:nvPicPr>
                        <pic:blipFill>
                          <a:blip r:embed="rId4"/>
                          <a:stretch>
                            <a:fillRect/>
                          </a:stretch>
                        </pic:blipFill>
                        <pic:spPr>
                          <a:xfrm>
                            <a:off x="0" y="0"/>
                            <a:ext cx="1367155" cy="9525"/>
                          </a:xfrm>
                          <a:prstGeom prst="rect">
                            <a:avLst/>
                          </a:prstGeom>
                          <a:noFill/>
                          <a:ln>
                            <a:noFill/>
                          </a:ln>
                        </pic:spPr>
                      </pic:pic>
                    </a:graphicData>
                  </a:graphic>
                </wp:anchor>
              </w:drawing>
            </w:r>
          </w:p>
          <w:p w14:paraId="737ED6FD">
            <w:pPr>
              <w:spacing w:line="240" w:lineRule="auto"/>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1.产品如有型号，请在“产品名称 ”栏一并填写。</w:t>
            </w:r>
          </w:p>
          <w:p w14:paraId="405FDF19">
            <w:pPr>
              <w:spacing w:line="240" w:lineRule="auto"/>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2.生产厂名与厂址应与生产厂营业执照载明的相关信息保持一致。</w:t>
            </w:r>
          </w:p>
          <w:p w14:paraId="4C4E88FF">
            <w:pPr>
              <w:spacing w:line="240" w:lineRule="auto"/>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3.该产品的中国境内生产的组件成本占比相关要求实施前，“规定比例 ”栏可不填，下同。</w:t>
            </w:r>
          </w:p>
          <w:p w14:paraId="74CBD88C">
            <w:pPr>
              <w:spacing w:line="240" w:lineRule="auto"/>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4.该产品的关键组件要求实施前，“关键组件 ”栏可不填，下同。</w:t>
            </w:r>
          </w:p>
          <w:p w14:paraId="266F439B">
            <w:pPr>
              <w:spacing w:line="240" w:lineRule="auto"/>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5.该产品的关键工序要求实施前，“关键工序 ”栏可不填，下同。</w:t>
            </w:r>
          </w:p>
        </w:tc>
      </w:tr>
    </w:tbl>
    <w:p w14:paraId="3C32CB99">
      <w:pPr>
        <w:keepNext w:val="0"/>
        <w:keepLines w:val="0"/>
        <w:pageBreakBefore w:val="0"/>
        <w:widowControl w:val="0"/>
        <w:numPr>
          <w:ilvl w:val="0"/>
          <w:numId w:val="4"/>
        </w:numPr>
        <w:kinsoku/>
        <w:wordWrap/>
        <w:overflowPunct/>
        <w:topLinePunct w:val="0"/>
        <w:autoSpaceDE/>
        <w:autoSpaceDN/>
        <w:bidi w:val="0"/>
        <w:adjustRightInd/>
        <w:snapToGrid/>
        <w:spacing w:line="240" w:lineRule="auto"/>
        <w:textAlignment w:val="auto"/>
        <w:rPr>
          <w:rFonts w:hint="eastAsia"/>
          <w:sz w:val="22"/>
          <w:szCs w:val="22"/>
          <w:highlight w:val="none"/>
          <w:lang w:eastAsia="zh-CN"/>
        </w:rPr>
      </w:pPr>
      <w:bookmarkStart w:id="0" w:name="_Toc35393816"/>
      <w:bookmarkStart w:id="1" w:name="_Toc35393647"/>
      <w:r>
        <w:rPr>
          <w:rFonts w:hint="eastAsia" w:ascii="宋体" w:hAnsi="宋体" w:eastAsia="宋体" w:cs="宋体"/>
          <w:b/>
          <w:bCs/>
          <w:sz w:val="22"/>
          <w:szCs w:val="22"/>
          <w:highlight w:val="none"/>
        </w:rPr>
        <w:t>其他补充事宜</w:t>
      </w:r>
      <w:bookmarkEnd w:id="0"/>
      <w:bookmarkEnd w:id="1"/>
      <w:r>
        <w:rPr>
          <w:rFonts w:hint="eastAsia" w:ascii="宋体" w:hAnsi="宋体" w:eastAsia="宋体" w:cs="宋体"/>
          <w:b/>
          <w:bCs/>
          <w:sz w:val="22"/>
          <w:szCs w:val="22"/>
          <w:highlight w:val="none"/>
          <w:lang w:eastAsia="zh-CN"/>
        </w:rPr>
        <w:t>：</w:t>
      </w:r>
    </w:p>
    <w:p w14:paraId="45D9C549">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1.更正日期：2026年08月13日</w:t>
      </w:r>
    </w:p>
    <w:p w14:paraId="171F36A6">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2.招标文件涉及到以上更正内容的做相应调整，请按以上更正公告执行，其余内容不变。</w:t>
      </w:r>
    </w:p>
    <w:p w14:paraId="5E593A01">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宋体" w:hAnsi="宋体" w:eastAsia="宋体" w:cs="宋体"/>
          <w:b/>
          <w:bCs/>
          <w:color w:val="auto"/>
          <w:sz w:val="22"/>
          <w:szCs w:val="22"/>
          <w:highlight w:val="none"/>
          <w:lang w:val="en-US"/>
        </w:rPr>
      </w:pPr>
      <w:r>
        <w:rPr>
          <w:rFonts w:hint="eastAsia" w:ascii="宋体" w:hAnsi="宋体" w:eastAsia="宋体" w:cs="宋体"/>
          <w:color w:val="auto"/>
          <w:sz w:val="22"/>
          <w:szCs w:val="22"/>
          <w:highlight w:val="none"/>
          <w:lang w:val="en-US" w:eastAsia="zh-CN"/>
        </w:rPr>
        <w:t>3.本公告同时在中国政府采购网（http：//www.ccgp.gov.cn）、广西壮族自治区政府采购网（http：//zfcg.gxzf.gov.cn）、全国公共资源交易平台（广西百色）（http：//ggzy.jgswj.gxzf.gov.cn/bsggzy）发布</w:t>
      </w:r>
      <w:r>
        <w:rPr>
          <w:rFonts w:hint="eastAsia" w:ascii="宋体" w:hAnsi="宋体" w:eastAsia="宋体" w:cs="宋体"/>
          <w:color w:val="auto"/>
          <w:sz w:val="22"/>
          <w:szCs w:val="22"/>
          <w:highlight w:val="none"/>
          <w:lang w:eastAsia="zh-CN"/>
        </w:rPr>
        <w:t>。</w:t>
      </w:r>
    </w:p>
    <w:p w14:paraId="755AF014">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2"/>
          <w:szCs w:val="22"/>
          <w:highlight w:val="none"/>
        </w:rPr>
      </w:pPr>
      <w:r>
        <w:rPr>
          <w:rFonts w:hint="eastAsia" w:ascii="宋体" w:hAnsi="宋体" w:eastAsia="宋体" w:cs="宋体"/>
          <w:b/>
          <w:bCs/>
          <w:color w:val="auto"/>
          <w:sz w:val="22"/>
          <w:szCs w:val="22"/>
          <w:highlight w:val="none"/>
          <w:lang w:val="en-US" w:eastAsia="zh-CN"/>
        </w:rPr>
        <w:t>四、联系方式</w:t>
      </w:r>
    </w:p>
    <w:p w14:paraId="5F5C6196">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1.采购人信息</w:t>
      </w:r>
    </w:p>
    <w:p w14:paraId="22798E3C">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名 称：</w:t>
      </w:r>
      <w:r>
        <w:rPr>
          <w:rFonts w:hint="eastAsia" w:ascii="宋体" w:hAnsi="宋体" w:eastAsia="宋体" w:cs="宋体"/>
          <w:color w:val="auto"/>
          <w:kern w:val="0"/>
          <w:sz w:val="22"/>
          <w:szCs w:val="22"/>
          <w:highlight w:val="none"/>
          <w:lang w:val="en-US" w:eastAsia="zh-CN" w:bidi="ar-SA"/>
        </w:rPr>
        <w:t>靖西市农业农村局</w:t>
      </w:r>
    </w:p>
    <w:p w14:paraId="5404B3D1">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地址：靖西市新靖镇绣球大道751号</w:t>
      </w:r>
    </w:p>
    <w:p w14:paraId="0887768A">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 xml:space="preserve">联系方式：马美秋、0776-6212195  </w:t>
      </w:r>
    </w:p>
    <w:p w14:paraId="620FC6C4">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2.</w:t>
      </w:r>
      <w:r>
        <w:rPr>
          <w:rFonts w:hint="eastAsia" w:ascii="宋体" w:hAnsi="宋体" w:eastAsia="宋体" w:cs="宋体"/>
          <w:color w:val="auto"/>
          <w:sz w:val="22"/>
          <w:szCs w:val="22"/>
          <w:highlight w:val="none"/>
        </w:rPr>
        <w:t>采购代理机构信息</w:t>
      </w:r>
    </w:p>
    <w:p w14:paraId="00300B0E">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名</w:t>
      </w:r>
      <w:r>
        <w:rPr>
          <w:rFonts w:hint="eastAsia" w:ascii="宋体" w:hAnsi="宋体" w:eastAsia="宋体" w:cs="宋体"/>
          <w:color w:val="auto"/>
          <w:sz w:val="22"/>
          <w:szCs w:val="22"/>
          <w:highlight w:val="none"/>
          <w:lang w:val="en-US" w:eastAsia="zh-CN"/>
        </w:rPr>
        <w:t xml:space="preserve">   </w:t>
      </w:r>
      <w:r>
        <w:rPr>
          <w:rFonts w:hint="eastAsia" w:ascii="宋体" w:hAnsi="宋体" w:eastAsia="宋体" w:cs="宋体"/>
          <w:color w:val="auto"/>
          <w:sz w:val="22"/>
          <w:szCs w:val="22"/>
          <w:highlight w:val="none"/>
        </w:rPr>
        <w:t>称：</w:t>
      </w:r>
      <w:r>
        <w:rPr>
          <w:rFonts w:hint="eastAsia" w:ascii="宋体" w:hAnsi="宋体" w:eastAsia="宋体" w:cs="宋体"/>
          <w:color w:val="auto"/>
          <w:sz w:val="22"/>
          <w:szCs w:val="22"/>
          <w:highlight w:val="none"/>
          <w:lang w:eastAsia="zh-CN"/>
        </w:rPr>
        <w:t>广西百众项目管理有限公司</w:t>
      </w:r>
    </w:p>
    <w:p w14:paraId="67BDBD29">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地   址：广西壮族自治区百色市右江区百城街道江滨二路幸福港湾第11-1幢第二层 </w:t>
      </w:r>
    </w:p>
    <w:p w14:paraId="74FCFB55">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联系人：黄小铭、电话：0776-2866976</w:t>
      </w:r>
    </w:p>
    <w:p w14:paraId="61FE5130">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 xml:space="preserve">3.项目联系方式 </w:t>
      </w:r>
    </w:p>
    <w:p w14:paraId="5AB4535E">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项目联系人：黄小铭</w:t>
      </w:r>
    </w:p>
    <w:p w14:paraId="74026A5C">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电　　 话：0776-2866976</w:t>
      </w:r>
    </w:p>
    <w:p w14:paraId="16D69662">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2"/>
          <w:szCs w:val="22"/>
          <w:highlight w:val="none"/>
        </w:rPr>
      </w:pPr>
    </w:p>
    <w:p w14:paraId="1ED9007B">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 xml:space="preserve"> </w:t>
      </w:r>
    </w:p>
    <w:p w14:paraId="35956355">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 xml:space="preserve">                                           广西百众项目管理有限公司</w:t>
      </w:r>
    </w:p>
    <w:p w14:paraId="40FEC6D3">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 xml:space="preserve">                                                     2026年08月13 日</w:t>
      </w:r>
    </w:p>
    <w:p w14:paraId="73BB9147">
      <w:pPr>
        <w:pStyle w:val="5"/>
        <w:rPr>
          <w:rFonts w:hint="eastAsia" w:ascii="宋体" w:hAnsi="宋体" w:eastAsia="宋体" w:cs="宋体"/>
          <w:color w:val="auto"/>
          <w:sz w:val="21"/>
          <w:szCs w:val="21"/>
          <w:highlight w:val="none"/>
          <w:lang w:val="en-US" w:eastAsia="zh-CN"/>
        </w:rPr>
      </w:pPr>
    </w:p>
    <w:p w14:paraId="101340EB">
      <w:pPr>
        <w:rPr>
          <w:rFonts w:hint="eastAsia" w:ascii="宋体" w:hAnsi="宋体" w:eastAsia="宋体" w:cs="宋体"/>
          <w:color w:val="auto"/>
          <w:sz w:val="21"/>
          <w:szCs w:val="21"/>
          <w:highlight w:val="none"/>
          <w:lang w:val="en-US" w:eastAsia="zh-CN"/>
        </w:rPr>
      </w:pPr>
    </w:p>
    <w:p w14:paraId="6D20A855">
      <w:pPr>
        <w:pStyle w:val="5"/>
        <w:rPr>
          <w:rFonts w:hint="default"/>
          <w:color w:val="auto"/>
          <w:highlight w:val="none"/>
          <w:lang w:val="en-US"/>
        </w:rPr>
      </w:pPr>
    </w:p>
    <w:sectPr>
      <w:pgSz w:w="11906" w:h="16838"/>
      <w:pgMar w:top="1610" w:right="1080" w:bottom="161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Math">
    <w:panose1 w:val="02040503050406030204"/>
    <w:charset w:val="00"/>
    <w:family w:val="auto"/>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3024E2"/>
    <w:multiLevelType w:val="singleLevel"/>
    <w:tmpl w:val="B73024E2"/>
    <w:lvl w:ilvl="0" w:tentative="0">
      <w:start w:val="3"/>
      <w:numFmt w:val="chineseCounting"/>
      <w:suff w:val="nothing"/>
      <w:lvlText w:val="%1、"/>
      <w:lvlJc w:val="left"/>
      <w:rPr>
        <w:rFonts w:hint="eastAsia"/>
      </w:rPr>
    </w:lvl>
  </w:abstractNum>
  <w:abstractNum w:abstractNumId="1">
    <w:nsid w:val="ECAF6129"/>
    <w:multiLevelType w:val="singleLevel"/>
    <w:tmpl w:val="ECAF6129"/>
    <w:lvl w:ilvl="0" w:tentative="0">
      <w:start w:val="4"/>
      <w:numFmt w:val="chineseCounting"/>
      <w:suff w:val="space"/>
      <w:lvlText w:val="第%1章"/>
      <w:lvlJc w:val="left"/>
      <w:rPr>
        <w:rFonts w:hint="eastAsia"/>
      </w:rPr>
    </w:lvl>
  </w:abstractNum>
  <w:abstractNum w:abstractNumId="2">
    <w:nsid w:val="00000002"/>
    <w:multiLevelType w:val="multilevel"/>
    <w:tmpl w:val="00000002"/>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pStyle w:val="6"/>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48331C44"/>
    <w:multiLevelType w:val="singleLevel"/>
    <w:tmpl w:val="48331C44"/>
    <w:lvl w:ilvl="0" w:tentative="0">
      <w:start w:val="3"/>
      <w:numFmt w:val="decimal"/>
      <w:suff w:val="nothing"/>
      <w:lvlText w:val="（%1）"/>
      <w:lvlJc w:val="left"/>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2A2087"/>
    <w:rsid w:val="013C06BC"/>
    <w:rsid w:val="016B629F"/>
    <w:rsid w:val="01AE3368"/>
    <w:rsid w:val="02F20D19"/>
    <w:rsid w:val="0323443A"/>
    <w:rsid w:val="033C0E47"/>
    <w:rsid w:val="04757CCA"/>
    <w:rsid w:val="058E0FB9"/>
    <w:rsid w:val="06982838"/>
    <w:rsid w:val="071F703C"/>
    <w:rsid w:val="085D4452"/>
    <w:rsid w:val="09246605"/>
    <w:rsid w:val="094F78EB"/>
    <w:rsid w:val="0AAB0D8C"/>
    <w:rsid w:val="0CA43CE5"/>
    <w:rsid w:val="0D3A3BAA"/>
    <w:rsid w:val="0D7511DD"/>
    <w:rsid w:val="0F0F7C72"/>
    <w:rsid w:val="0F783207"/>
    <w:rsid w:val="0F7B797C"/>
    <w:rsid w:val="0FF84386"/>
    <w:rsid w:val="117E3FE8"/>
    <w:rsid w:val="12BC340B"/>
    <w:rsid w:val="12E102FB"/>
    <w:rsid w:val="131D659F"/>
    <w:rsid w:val="14201051"/>
    <w:rsid w:val="15CA5E3E"/>
    <w:rsid w:val="1649227B"/>
    <w:rsid w:val="179C5C74"/>
    <w:rsid w:val="19C80992"/>
    <w:rsid w:val="1B1069E9"/>
    <w:rsid w:val="1D267137"/>
    <w:rsid w:val="1F470500"/>
    <w:rsid w:val="1FE30078"/>
    <w:rsid w:val="206B6068"/>
    <w:rsid w:val="24247062"/>
    <w:rsid w:val="242B053D"/>
    <w:rsid w:val="25FC57E1"/>
    <w:rsid w:val="27842490"/>
    <w:rsid w:val="283E209B"/>
    <w:rsid w:val="2A222472"/>
    <w:rsid w:val="2DA5694F"/>
    <w:rsid w:val="2EE97AC2"/>
    <w:rsid w:val="301466BF"/>
    <w:rsid w:val="34F52A80"/>
    <w:rsid w:val="368C4D1E"/>
    <w:rsid w:val="389D2504"/>
    <w:rsid w:val="3B3360B0"/>
    <w:rsid w:val="3E797813"/>
    <w:rsid w:val="3E88036A"/>
    <w:rsid w:val="42884F7A"/>
    <w:rsid w:val="439B6A5B"/>
    <w:rsid w:val="472C440A"/>
    <w:rsid w:val="487311BC"/>
    <w:rsid w:val="48904B42"/>
    <w:rsid w:val="49E62540"/>
    <w:rsid w:val="4C2335FF"/>
    <w:rsid w:val="4C4741E9"/>
    <w:rsid w:val="4DD12A2A"/>
    <w:rsid w:val="4E4560BB"/>
    <w:rsid w:val="4F2B1B4F"/>
    <w:rsid w:val="4FCA17AD"/>
    <w:rsid w:val="504D156B"/>
    <w:rsid w:val="50830AE8"/>
    <w:rsid w:val="512200B2"/>
    <w:rsid w:val="52C434DC"/>
    <w:rsid w:val="547068E6"/>
    <w:rsid w:val="54B43966"/>
    <w:rsid w:val="55200DE3"/>
    <w:rsid w:val="583B6264"/>
    <w:rsid w:val="585A44C8"/>
    <w:rsid w:val="586A45B1"/>
    <w:rsid w:val="5C1E3DBB"/>
    <w:rsid w:val="5C2F3076"/>
    <w:rsid w:val="5C471564"/>
    <w:rsid w:val="5CCA2697"/>
    <w:rsid w:val="5F204053"/>
    <w:rsid w:val="615A7899"/>
    <w:rsid w:val="61A82AA5"/>
    <w:rsid w:val="647E6AFD"/>
    <w:rsid w:val="699D62EB"/>
    <w:rsid w:val="6A4B0568"/>
    <w:rsid w:val="6AA7078D"/>
    <w:rsid w:val="6AFA59F3"/>
    <w:rsid w:val="6C8F6FE5"/>
    <w:rsid w:val="6CB502D9"/>
    <w:rsid w:val="6D085F07"/>
    <w:rsid w:val="6E7A7577"/>
    <w:rsid w:val="6FA35D34"/>
    <w:rsid w:val="70AD1E5F"/>
    <w:rsid w:val="719F434A"/>
    <w:rsid w:val="72892D0C"/>
    <w:rsid w:val="75667477"/>
    <w:rsid w:val="771E05C9"/>
    <w:rsid w:val="77A47413"/>
    <w:rsid w:val="78484242"/>
    <w:rsid w:val="7A3862D3"/>
    <w:rsid w:val="7ACF29F8"/>
    <w:rsid w:val="7B544DE1"/>
    <w:rsid w:val="7B8E13F6"/>
    <w:rsid w:val="7F1923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1"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1"/>
    <w:pPr>
      <w:spacing w:before="150" w:beforeLines="150" w:after="100" w:afterLines="100" w:line="240" w:lineRule="auto"/>
      <w:ind w:firstLine="0" w:firstLineChars="0"/>
      <w:outlineLvl w:val="1"/>
    </w:pPr>
    <w:rPr>
      <w:rFonts w:cs="Times New Roman"/>
      <w:b/>
      <w:bCs/>
      <w:sz w:val="32"/>
      <w:szCs w:val="24"/>
    </w:rPr>
  </w:style>
  <w:style w:type="paragraph" w:styleId="4">
    <w:name w:val="heading 3"/>
    <w:basedOn w:val="1"/>
    <w:next w:val="1"/>
    <w:qFormat/>
    <w:uiPriority w:val="0"/>
    <w:pPr>
      <w:keepNext/>
      <w:keepLines/>
      <w:spacing w:before="260" w:after="260" w:line="416" w:lineRule="auto"/>
      <w:outlineLvl w:val="2"/>
    </w:pPr>
    <w:rPr>
      <w:rFonts w:ascii="Times New Roman" w:hAnsi="Times New Roman" w:eastAsia="宋体" w:cs="Times New Roman"/>
      <w:b/>
      <w:bCs/>
      <w:kern w:val="0"/>
      <w:sz w:val="32"/>
      <w:szCs w:val="32"/>
    </w:rPr>
  </w:style>
  <w:style w:type="paragraph" w:styleId="5">
    <w:name w:val="heading 4"/>
    <w:basedOn w:val="1"/>
    <w:next w:val="1"/>
    <w:qFormat/>
    <w:uiPriority w:val="0"/>
    <w:pPr>
      <w:keepNext/>
      <w:keepLines/>
      <w:spacing w:before="280" w:after="290" w:line="376" w:lineRule="auto"/>
      <w:outlineLvl w:val="3"/>
    </w:pPr>
    <w:rPr>
      <w:rFonts w:ascii="Cambria" w:hAnsi="Cambria"/>
      <w:b/>
      <w:bCs/>
      <w:sz w:val="28"/>
      <w:szCs w:val="28"/>
    </w:rPr>
  </w:style>
  <w:style w:type="paragraph" w:styleId="6">
    <w:name w:val="heading 5"/>
    <w:basedOn w:val="1"/>
    <w:next w:val="7"/>
    <w:qFormat/>
    <w:uiPriority w:val="0"/>
    <w:pPr>
      <w:keepNext/>
      <w:keepLines/>
      <w:numPr>
        <w:ilvl w:val="4"/>
        <w:numId w:val="1"/>
      </w:numPr>
      <w:spacing w:before="280" w:after="290" w:line="376" w:lineRule="auto"/>
      <w:outlineLvl w:val="4"/>
    </w:pPr>
    <w:rPr>
      <w:rFonts w:ascii="Times New Roman" w:hAnsi="Times New Roman" w:eastAsia="宋体" w:cs="Times New Roman"/>
      <w:b/>
      <w:sz w:val="28"/>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8">
    <w:name w:val="Body Text"/>
    <w:basedOn w:val="1"/>
    <w:next w:val="9"/>
    <w:unhideWhenUsed/>
    <w:qFormat/>
    <w:uiPriority w:val="0"/>
    <w:pPr>
      <w:spacing w:after="120"/>
    </w:pPr>
  </w:style>
  <w:style w:type="paragraph" w:customStyle="1" w:styleId="9">
    <w:name w:val="目录 82"/>
    <w:next w:val="1"/>
    <w:qFormat/>
    <w:uiPriority w:val="0"/>
    <w:pPr>
      <w:wordWrap w:val="0"/>
      <w:ind w:left="2550"/>
      <w:jc w:val="both"/>
    </w:pPr>
    <w:rPr>
      <w:rFonts w:ascii="Times New Roman" w:hAnsi="Times New Roman" w:eastAsia="宋体" w:cs="Times New Roman"/>
      <w:sz w:val="21"/>
      <w:lang w:val="en-US" w:eastAsia="zh-CN" w:bidi="ar-SA"/>
    </w:rPr>
  </w:style>
  <w:style w:type="paragraph" w:styleId="10">
    <w:name w:val="Plain Text"/>
    <w:basedOn w:val="1"/>
    <w:next w:val="1"/>
    <w:qFormat/>
    <w:uiPriority w:val="0"/>
    <w:rPr>
      <w:rFonts w:ascii="宋体" w:hAnsi="Courier New"/>
      <w:kern w:val="0"/>
      <w:sz w:val="20"/>
      <w:szCs w:val="21"/>
    </w:rPr>
  </w:style>
  <w:style w:type="paragraph" w:styleId="11">
    <w:name w:val="Date"/>
    <w:basedOn w:val="1"/>
    <w:next w:val="1"/>
    <w:unhideWhenUsed/>
    <w:qFormat/>
    <w:uiPriority w:val="99"/>
    <w:pPr>
      <w:ind w:left="100" w:leftChars="2500"/>
    </w:p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rFonts w:ascii="Times New Roman" w:hAnsi="Times New Roman" w:eastAsia="宋体" w:cs="Times New Roman"/>
      <w:b/>
    </w:rPr>
  </w:style>
  <w:style w:type="character" w:styleId="17">
    <w:name w:val="Emphasis"/>
    <w:basedOn w:val="15"/>
    <w:qFormat/>
    <w:uiPriority w:val="20"/>
    <w:rPr>
      <w:b/>
      <w:bCs/>
    </w:rPr>
  </w:style>
  <w:style w:type="character" w:styleId="18">
    <w:name w:val="HTML Sample"/>
    <w:basedOn w:val="15"/>
    <w:uiPriority w:val="0"/>
    <w:rPr>
      <w:rFonts w:ascii="Courier New" w:hAnsi="Courier New"/>
    </w:rPr>
  </w:style>
  <w:style w:type="paragraph" w:styleId="19">
    <w:name w:val="List Paragraph"/>
    <w:basedOn w:val="1"/>
    <w:qFormat/>
    <w:uiPriority w:val="0"/>
    <w:pPr>
      <w:ind w:firstLine="420" w:firstLineChars="200"/>
    </w:pPr>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3988</Words>
  <Characters>4213</Characters>
  <Lines>0</Lines>
  <Paragraphs>0</Paragraphs>
  <TotalTime>11</TotalTime>
  <ScaleCrop>false</ScaleCrop>
  <LinksUpToDate>false</LinksUpToDate>
  <CharactersWithSpaces>4400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2026-01-30T03:05:00Z</dcterms:created>
  <dc:creator>HL</dc:creator>
  <cp:lastModifiedBy>Administrator</cp:lastModifiedBy>
  <cp:lastPrinted>2026-08-12T09:13:00Z</cp:lastPrinted>
  <dcterms:modified xsi:type="dcterms:W3CDTF">2026-08-13T07:47:26Z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eyJoZGlkIjoiODNlNDYzODc1ZDRlYWJlZDM3YjFkY2RjYTM1ZmM4ZjYiLCJ1c2VySWQiOiIzNTE3Mzc1NzAifQ==</vt:lpwstr>
  </property>
  <property fmtid="{D5CDD505-2E9C-101B-9397-08002B2CF9AE}" pid="4" name="ICV">
    <vt:lpwstr>3CD08D2CE0214F7B97248928B6503DA7_12</vt:lpwstr>
  </property>
</Properties>
</file>