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46A5BD">
      <w:pPr>
        <w:spacing w:before="156" w:beforeLines="50" w:line="360" w:lineRule="auto"/>
        <w:jc w:val="center"/>
        <w:rPr>
          <w:rFonts w:ascii="宋体" w:hAnsi="宋体"/>
          <w:color w:val="000000" w:themeColor="text1"/>
          <w:sz w:val="52"/>
          <w:szCs w:val="52"/>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drawing>
          <wp:anchor distT="0" distB="0" distL="114300" distR="114300" simplePos="0" relativeHeight="251660288" behindDoc="0" locked="0" layoutInCell="1" allowOverlap="1">
            <wp:simplePos x="0" y="0"/>
            <wp:positionH relativeFrom="column">
              <wp:posOffset>-979805</wp:posOffset>
            </wp:positionH>
            <wp:positionV relativeFrom="paragraph">
              <wp:posOffset>-909320</wp:posOffset>
            </wp:positionV>
            <wp:extent cx="7515860" cy="10714990"/>
            <wp:effectExtent l="0" t="0" r="8890" b="10160"/>
            <wp:wrapNone/>
            <wp:docPr id="6" name="图片 6" descr="Scan2026-08-24_101035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can2026-08-24_101035_02"/>
                    <pic:cNvPicPr>
                      <a:picLocks noChangeAspect="1"/>
                    </pic:cNvPicPr>
                  </pic:nvPicPr>
                  <pic:blipFill>
                    <a:blip r:embed="rId9"/>
                    <a:stretch>
                      <a:fillRect/>
                    </a:stretch>
                  </pic:blipFill>
                  <pic:spPr>
                    <a:xfrm>
                      <a:off x="0" y="0"/>
                      <a:ext cx="7515860" cy="10714990"/>
                    </a:xfrm>
                    <a:prstGeom prst="rect">
                      <a:avLst/>
                    </a:prstGeom>
                  </pic:spPr>
                </pic:pic>
              </a:graphicData>
            </a:graphic>
          </wp:anchor>
        </w:drawing>
      </w:r>
      <w:r>
        <w:rPr>
          <w:rFonts w:hint="eastAsia" w:ascii="宋体" w:hAnsi="宋体"/>
          <w:color w:val="000000" w:themeColor="text1"/>
          <w:sz w:val="52"/>
          <w:szCs w:val="52"/>
          <w:highlight w:val="none"/>
          <w14:textFill>
            <w14:solidFill>
              <w14:schemeClr w14:val="tx1"/>
            </w14:solidFill>
          </w14:textFill>
        </w:rPr>
        <w:t>南宁市政府采购</w:t>
      </w:r>
    </w:p>
    <w:p w14:paraId="183E12DD">
      <w:pPr>
        <w:spacing w:before="156" w:beforeLines="50" w:line="360" w:lineRule="auto"/>
        <w:jc w:val="center"/>
        <w:rPr>
          <w:rFonts w:hint="eastAsia" w:ascii="宋体" w:hAnsi="宋体"/>
          <w:color w:val="000000" w:themeColor="text1"/>
          <w:sz w:val="52"/>
          <w:szCs w:val="52"/>
          <w:highlight w:val="none"/>
          <w14:textFill>
            <w14:solidFill>
              <w14:schemeClr w14:val="tx1"/>
            </w14:solidFill>
          </w14:textFill>
        </w:rPr>
      </w:pPr>
      <w:r>
        <w:rPr>
          <w:rFonts w:hint="eastAsia" w:ascii="宋体" w:hAnsi="宋体"/>
          <w:color w:val="000000" w:themeColor="text1"/>
          <w:sz w:val="52"/>
          <w:szCs w:val="52"/>
          <w:highlight w:val="none"/>
          <w14:textFill>
            <w14:solidFill>
              <w14:schemeClr w14:val="tx1"/>
            </w14:solidFill>
          </w14:textFill>
        </w:rPr>
        <w:t>竞争性谈判文件(货物类)</w:t>
      </w:r>
    </w:p>
    <w:p w14:paraId="1B94BE2A">
      <w:pPr>
        <w:snapToGrid w:val="0"/>
        <w:spacing w:before="156" w:beforeLines="50" w:line="360" w:lineRule="auto"/>
        <w:jc w:val="center"/>
        <w:rPr>
          <w:rFonts w:hint="eastAsia" w:ascii="宋体" w:hAnsi="宋体"/>
          <w:color w:val="000000" w:themeColor="text1"/>
          <w:sz w:val="36"/>
          <w:szCs w:val="36"/>
          <w:highlight w:val="none"/>
          <w14:textFill>
            <w14:solidFill>
              <w14:schemeClr w14:val="tx1"/>
            </w14:solidFill>
          </w14:textFill>
        </w:rPr>
      </w:pPr>
    </w:p>
    <w:p w14:paraId="54E8119B">
      <w:pPr>
        <w:snapToGrid w:val="0"/>
        <w:spacing w:before="156" w:beforeLines="50" w:line="360" w:lineRule="auto"/>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华文新魏" w:hAnsi="宋体" w:eastAsia="华文新魏"/>
          <w:color w:val="000000" w:themeColor="text1"/>
          <w:sz w:val="72"/>
          <w:szCs w:val="72"/>
          <w:highlight w:val="none"/>
          <w14:textFill>
            <w14:solidFill>
              <w14:schemeClr w14:val="tx1"/>
            </w14:solidFill>
          </w14:textFill>
        </w:rPr>
        <w:t>竞争性谈判文件</w:t>
      </w:r>
    </w:p>
    <w:p w14:paraId="37AA5FAB">
      <w:pPr>
        <w:spacing w:before="312" w:beforeLines="100" w:after="156" w:afterLines="50"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（全流程电子化评标）</w:t>
      </w:r>
    </w:p>
    <w:p w14:paraId="1E7861DC">
      <w:pPr>
        <w:spacing w:line="360" w:lineRule="auto"/>
        <w:rPr>
          <w:rFonts w:hint="eastAsia" w:ascii="宋体" w:hAnsi="宋体" w:eastAsia="宋体"/>
          <w:b/>
          <w:color w:val="000000" w:themeColor="text1"/>
          <w:sz w:val="32"/>
          <w:szCs w:val="32"/>
          <w:highlight w:val="none"/>
          <w:lang w:eastAsia="zh-CN"/>
          <w14:textFill>
            <w14:solidFill>
              <w14:schemeClr w14:val="tx1"/>
            </w14:solidFill>
          </w14:textFill>
        </w:rPr>
      </w:pPr>
    </w:p>
    <w:p w14:paraId="270CAF56">
      <w:pPr>
        <w:spacing w:line="360" w:lineRule="auto"/>
        <w:jc w:val="center"/>
        <w:rPr>
          <w:rFonts w:hint="eastAsia" w:ascii="宋体" w:hAnsi="宋体"/>
          <w:b/>
          <w:color w:val="000000" w:themeColor="text1"/>
          <w:sz w:val="32"/>
          <w:szCs w:val="32"/>
          <w:highlight w:val="none"/>
          <w14:textFill>
            <w14:solidFill>
              <w14:schemeClr w14:val="tx1"/>
            </w14:solidFill>
          </w14:textFill>
        </w:rPr>
      </w:pPr>
    </w:p>
    <w:p w14:paraId="5A5F408D">
      <w:pPr>
        <w:pStyle w:val="17"/>
        <w:snapToGrid w:val="0"/>
        <w:spacing w:before="50" w:after="120" w:line="360" w:lineRule="auto"/>
        <w:ind w:left="0" w:leftChars="0" w:firstLine="1262" w:firstLineChars="419"/>
        <w:rPr>
          <w:rFonts w:hint="eastAsia" w:ascii="仿宋_GB2312" w:hAnsi="宋体" w:eastAsia="仿宋_GB2312"/>
          <w:b/>
          <w:bCs/>
          <w:color w:val="000000" w:themeColor="text1"/>
          <w:sz w:val="30"/>
          <w:szCs w:val="30"/>
          <w:highlight w:val="none"/>
          <w:lang w:eastAsia="zh-CN"/>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项目</w:t>
      </w:r>
      <w:r>
        <w:rPr>
          <w:rFonts w:hint="eastAsia" w:ascii="仿宋_GB2312" w:hAnsi="宋体" w:eastAsia="仿宋_GB2312" w:cs="Courier New"/>
          <w:b/>
          <w:bCs/>
          <w:color w:val="000000" w:themeColor="text1"/>
          <w:w w:val="95"/>
          <w:sz w:val="30"/>
          <w:szCs w:val="30"/>
          <w:highlight w:val="none"/>
          <w14:textFill>
            <w14:solidFill>
              <w14:schemeClr w14:val="tx1"/>
            </w14:solidFill>
          </w14:textFill>
        </w:rPr>
        <w:t>名称</w:t>
      </w:r>
      <w:r>
        <w:rPr>
          <w:rFonts w:hint="eastAsia" w:ascii="仿宋_GB2312" w:hAnsi="宋体" w:eastAsia="仿宋_GB2312"/>
          <w:b/>
          <w:bCs/>
          <w:color w:val="000000" w:themeColor="text1"/>
          <w:sz w:val="30"/>
          <w:szCs w:val="30"/>
          <w:highlight w:val="none"/>
          <w14:textFill>
            <w14:solidFill>
              <w14:schemeClr w14:val="tx1"/>
            </w14:solidFill>
          </w14:textFill>
        </w:rPr>
        <w:t>：</w:t>
      </w:r>
      <w:r>
        <w:rPr>
          <w:rFonts w:hint="eastAsia" w:ascii="仿宋_GB2312" w:hAnsi="宋体" w:eastAsia="仿宋_GB2312"/>
          <w:b/>
          <w:bCs/>
          <w:color w:val="000000" w:themeColor="text1"/>
          <w:sz w:val="30"/>
          <w:szCs w:val="30"/>
          <w:highlight w:val="none"/>
          <w:lang w:eastAsia="zh-CN"/>
          <w14:textFill>
            <w14:solidFill>
              <w14:schemeClr w14:val="tx1"/>
            </w14:solidFill>
          </w14:textFill>
        </w:rPr>
        <w:t>档案室库房设备采购项目</w:t>
      </w:r>
    </w:p>
    <w:p w14:paraId="44F24E74">
      <w:pPr>
        <w:snapToGrid w:val="0"/>
        <w:spacing w:before="156" w:beforeLines="50" w:line="360" w:lineRule="auto"/>
        <w:ind w:left="0" w:leftChars="0" w:firstLine="1265" w:firstLineChars="442"/>
        <w:rPr>
          <w:rFonts w:hint="eastAsia" w:ascii="仿宋_GB2312" w:hAnsi="宋体" w:eastAsia="仿宋_GB2312" w:cs="Times New Roman"/>
          <w:b/>
          <w:bCs/>
          <w:color w:val="000000" w:themeColor="text1"/>
          <w:kern w:val="0"/>
          <w:sz w:val="30"/>
          <w:szCs w:val="30"/>
          <w:highlight w:val="none"/>
          <w:lang w:val="en-US" w:eastAsia="zh-CN" w:bidi="ar-SA"/>
          <w14:textFill>
            <w14:solidFill>
              <w14:schemeClr w14:val="tx1"/>
            </w14:solidFill>
          </w14:textFill>
        </w:rPr>
      </w:pPr>
      <w:r>
        <w:rPr>
          <w:rFonts w:hint="eastAsia" w:ascii="仿宋_GB2312" w:hAnsi="宋体" w:eastAsia="仿宋_GB2312" w:cs="Courier New"/>
          <w:b/>
          <w:bCs/>
          <w:color w:val="000000" w:themeColor="text1"/>
          <w:w w:val="95"/>
          <w:sz w:val="30"/>
          <w:szCs w:val="30"/>
          <w:highlight w:val="none"/>
          <w14:textFill>
            <w14:solidFill>
              <w14:schemeClr w14:val="tx1"/>
            </w14:solidFill>
          </w14:textFill>
        </w:rPr>
        <w:t>项目</w:t>
      </w:r>
      <w:r>
        <w:rPr>
          <w:rFonts w:hint="eastAsia" w:ascii="仿宋_GB2312" w:hAnsi="宋体" w:eastAsia="仿宋_GB2312"/>
          <w:b/>
          <w:bCs/>
          <w:color w:val="000000" w:themeColor="text1"/>
          <w:sz w:val="30"/>
          <w:szCs w:val="30"/>
          <w:highlight w:val="none"/>
          <w14:textFill>
            <w14:solidFill>
              <w14:schemeClr w14:val="tx1"/>
            </w14:solidFill>
          </w14:textFill>
        </w:rPr>
        <w:t>编号</w:t>
      </w:r>
      <w:r>
        <w:rPr>
          <w:rFonts w:hint="eastAsia" w:ascii="仿宋_GB2312" w:hAnsi="宋体" w:eastAsia="仿宋_GB2312" w:cs="Courier New"/>
          <w:b/>
          <w:bCs/>
          <w:color w:val="000000" w:themeColor="text1"/>
          <w:w w:val="95"/>
          <w:sz w:val="30"/>
          <w:szCs w:val="30"/>
          <w:highlight w:val="none"/>
          <w14:textFill>
            <w14:solidFill>
              <w14:schemeClr w14:val="tx1"/>
            </w14:solidFill>
          </w14:textFill>
        </w:rPr>
        <w:t>：</w:t>
      </w:r>
      <w:r>
        <w:rPr>
          <w:rFonts w:hint="eastAsia" w:ascii="仿宋_GB2312" w:hAnsi="宋体" w:eastAsia="仿宋_GB2312" w:cs="Times New Roman"/>
          <w:b/>
          <w:bCs/>
          <w:color w:val="000000" w:themeColor="text1"/>
          <w:kern w:val="0"/>
          <w:sz w:val="30"/>
          <w:szCs w:val="30"/>
          <w:highlight w:val="none"/>
          <w:lang w:val="en-US" w:eastAsia="zh-CN" w:bidi="ar-SA"/>
          <w14:textFill>
            <w14:solidFill>
              <w14:schemeClr w14:val="tx1"/>
            </w14:solidFill>
          </w14:textFill>
        </w:rPr>
        <w:t>NNZC2026-J1-990724-GXJT</w:t>
      </w:r>
    </w:p>
    <w:p w14:paraId="08547E65">
      <w:pPr>
        <w:snapToGrid w:val="0"/>
        <w:spacing w:before="156" w:beforeLines="50" w:line="360" w:lineRule="auto"/>
        <w:ind w:left="0" w:leftChars="0" w:firstLine="1262" w:firstLineChars="419"/>
        <w:rPr>
          <w:rFonts w:hint="eastAsia" w:ascii="仿宋_GB2312" w:hAnsi="宋体" w:eastAsia="仿宋_GB2312"/>
          <w:b/>
          <w:color w:val="000000" w:themeColor="text1"/>
          <w:sz w:val="30"/>
          <w:szCs w:val="48"/>
          <w:highlight w:val="none"/>
          <w14:textFill>
            <w14:solidFill>
              <w14:schemeClr w14:val="tx1"/>
            </w14:solidFill>
          </w14:textFill>
        </w:rPr>
      </w:pPr>
      <w:r>
        <w:rPr>
          <w:rFonts w:hint="eastAsia" w:ascii="仿宋" w:hAnsi="仿宋" w:eastAsia="仿宋" w:cs="仿宋"/>
          <w:b/>
          <w:color w:val="000000" w:themeColor="text1"/>
          <w:sz w:val="30"/>
          <w:szCs w:val="30"/>
          <w:highlight w:val="none"/>
          <w:lang w:eastAsia="zh-CN"/>
          <w14:textFill>
            <w14:solidFill>
              <w14:schemeClr w14:val="tx1"/>
            </w14:solidFill>
          </w14:textFill>
        </w:rPr>
        <w:t>采购计划文号：NNZC[2026]4299号</w:t>
      </w:r>
    </w:p>
    <w:p w14:paraId="692CB5D2">
      <w:pPr>
        <w:snapToGrid w:val="0"/>
        <w:spacing w:before="156" w:beforeLines="50" w:line="360" w:lineRule="auto"/>
        <w:ind w:left="0" w:leftChars="0" w:firstLine="1262" w:firstLineChars="419"/>
        <w:rPr>
          <w:rFonts w:hint="eastAsia" w:ascii="仿宋_GB2312" w:hAnsi="宋体" w:eastAsia="仿宋_GB2312"/>
          <w:b/>
          <w:color w:val="000000" w:themeColor="text1"/>
          <w:sz w:val="30"/>
          <w:szCs w:val="48"/>
          <w:highlight w:val="none"/>
          <w14:textFill>
            <w14:solidFill>
              <w14:schemeClr w14:val="tx1"/>
            </w14:solidFill>
          </w14:textFill>
        </w:rPr>
      </w:pPr>
    </w:p>
    <w:p w14:paraId="23BFCA1C">
      <w:pPr>
        <w:snapToGrid w:val="0"/>
        <w:spacing w:before="156" w:beforeLines="50" w:line="360" w:lineRule="auto"/>
        <w:ind w:left="0" w:leftChars="0" w:firstLine="1262" w:firstLineChars="419"/>
        <w:rPr>
          <w:rFonts w:hint="eastAsia" w:ascii="仿宋" w:hAnsi="仿宋" w:eastAsia="仿宋" w:cs="仿宋"/>
          <w:b/>
          <w:color w:val="000000" w:themeColor="text1"/>
          <w:sz w:val="30"/>
          <w:szCs w:val="48"/>
          <w:highlight w:val="none"/>
          <w:u w:val="single"/>
          <w14:textFill>
            <w14:solidFill>
              <w14:schemeClr w14:val="tx1"/>
            </w14:solidFill>
          </w14:textFill>
        </w:rPr>
      </w:pPr>
      <w:r>
        <w:rPr>
          <w:rFonts w:hint="eastAsia" w:ascii="仿宋_GB2312" w:hAnsi="宋体" w:eastAsia="仿宋_GB2312"/>
          <w:b/>
          <w:color w:val="000000" w:themeColor="text1"/>
          <w:sz w:val="30"/>
          <w:szCs w:val="48"/>
          <w:highlight w:val="none"/>
          <w14:textFill>
            <w14:solidFill>
              <w14:schemeClr w14:val="tx1"/>
            </w14:solidFill>
          </w14:textFill>
        </w:rPr>
        <w:t>项目所属区划：</w:t>
      </w:r>
      <w:r>
        <w:rPr>
          <w:rFonts w:hint="eastAsia" w:ascii="仿宋" w:hAnsi="仿宋" w:eastAsia="仿宋" w:cs="仿宋"/>
          <w:b/>
          <w:color w:val="000000" w:themeColor="text1"/>
          <w:sz w:val="30"/>
          <w:szCs w:val="48"/>
          <w:highlight w:val="none"/>
          <w:u w:val="single"/>
          <w14:textFill>
            <w14:solidFill>
              <w14:schemeClr w14:val="tx1"/>
            </w14:solidFill>
          </w14:textFill>
        </w:rPr>
        <w:t>市辖区</w:t>
      </w:r>
    </w:p>
    <w:p w14:paraId="54883E26">
      <w:pPr>
        <w:snapToGrid w:val="0"/>
        <w:spacing w:before="156" w:beforeLines="50" w:line="360" w:lineRule="auto"/>
        <w:ind w:left="0" w:leftChars="0" w:firstLine="1199" w:firstLineChars="419"/>
        <w:rPr>
          <w:rFonts w:hint="eastAsia" w:ascii="仿宋_GB2312" w:hAnsi="宋体" w:eastAsia="仿宋_GB2312"/>
          <w:b/>
          <w:bCs/>
          <w:color w:val="000000" w:themeColor="text1"/>
          <w:w w:val="95"/>
          <w:sz w:val="30"/>
          <w:szCs w:val="30"/>
          <w:highlight w:val="none"/>
          <w:lang w:eastAsia="zh-CN"/>
          <w14:textFill>
            <w14:solidFill>
              <w14:schemeClr w14:val="tx1"/>
            </w14:solidFill>
          </w14:textFill>
        </w:rPr>
      </w:pPr>
      <w:r>
        <w:rPr>
          <w:rFonts w:hint="eastAsia" w:ascii="仿宋_GB2312" w:hAnsi="宋体" w:eastAsia="仿宋_GB2312"/>
          <w:b/>
          <w:bCs/>
          <w:color w:val="000000" w:themeColor="text1"/>
          <w:w w:val="95"/>
          <w:sz w:val="30"/>
          <w:szCs w:val="30"/>
          <w:highlight w:val="none"/>
          <w14:textFill>
            <w14:solidFill>
              <w14:schemeClr w14:val="tx1"/>
            </w14:solidFill>
          </w14:textFill>
        </w:rPr>
        <w:t>采购人：</w:t>
      </w:r>
      <w:r>
        <w:rPr>
          <w:rFonts w:hint="eastAsia" w:ascii="仿宋_GB2312" w:hAnsi="宋体" w:eastAsia="仿宋_GB2312"/>
          <w:b/>
          <w:bCs/>
          <w:color w:val="000000" w:themeColor="text1"/>
          <w:w w:val="95"/>
          <w:sz w:val="30"/>
          <w:szCs w:val="30"/>
          <w:highlight w:val="none"/>
          <w:lang w:eastAsia="zh-CN"/>
          <w14:textFill>
            <w14:solidFill>
              <w14:schemeClr w14:val="tx1"/>
            </w14:solidFill>
          </w14:textFill>
        </w:rPr>
        <w:t>南宁市青秀区人民检察院</w:t>
      </w:r>
    </w:p>
    <w:p w14:paraId="6CE50A41">
      <w:pPr>
        <w:snapToGrid w:val="0"/>
        <w:spacing w:before="156" w:beforeLines="50" w:line="360" w:lineRule="auto"/>
        <w:ind w:left="0" w:leftChars="0" w:firstLine="1199" w:firstLineChars="419"/>
        <w:rPr>
          <w:rFonts w:hint="eastAsia" w:ascii="仿宋_GB2312" w:hAnsi="宋体" w:eastAsia="仿宋_GB2312"/>
          <w:b/>
          <w:bCs/>
          <w:color w:val="000000" w:themeColor="text1"/>
          <w:w w:val="95"/>
          <w:sz w:val="30"/>
          <w:szCs w:val="30"/>
          <w:highlight w:val="none"/>
          <w14:textFill>
            <w14:solidFill>
              <w14:schemeClr w14:val="tx1"/>
            </w14:solidFill>
          </w14:textFill>
        </w:rPr>
      </w:pPr>
      <w:r>
        <w:rPr>
          <w:rFonts w:hint="eastAsia" w:ascii="仿宋_GB2312" w:hAnsi="宋体" w:eastAsia="仿宋_GB2312"/>
          <w:b/>
          <w:bCs/>
          <w:color w:val="000000" w:themeColor="text1"/>
          <w:w w:val="95"/>
          <w:sz w:val="30"/>
          <w:szCs w:val="30"/>
          <w:highlight w:val="none"/>
          <w14:textFill>
            <w14:solidFill>
              <w14:schemeClr w14:val="tx1"/>
            </w14:solidFill>
          </w14:textFill>
        </w:rPr>
        <w:t>采购代理机构：</w:t>
      </w:r>
      <w:bookmarkStart w:id="0" w:name="PO_3000001866_PM031"/>
      <w:r>
        <w:rPr>
          <w:rFonts w:hint="eastAsia" w:ascii="仿宋_GB2312" w:hAnsi="宋体" w:eastAsia="仿宋_GB2312"/>
          <w:b/>
          <w:bCs/>
          <w:color w:val="000000" w:themeColor="text1"/>
          <w:w w:val="95"/>
          <w:sz w:val="30"/>
          <w:szCs w:val="30"/>
          <w:highlight w:val="none"/>
          <w:lang w:eastAsia="zh-CN"/>
          <w14:textFill>
            <w14:solidFill>
              <w14:schemeClr w14:val="tx1"/>
            </w14:solidFill>
          </w14:textFill>
        </w:rPr>
        <w:t>广西建通工程咨询有限责任公司</w:t>
      </w:r>
      <w:bookmarkEnd w:id="0"/>
    </w:p>
    <w:p w14:paraId="704EC375">
      <w:pPr>
        <w:spacing w:line="360" w:lineRule="auto"/>
        <w:jc w:val="center"/>
        <w:rPr>
          <w:rFonts w:hint="eastAsia" w:ascii="仿宋_GB2312" w:hAnsi="宋体" w:eastAsia="仿宋_GB2312"/>
          <w:b/>
          <w:color w:val="000000" w:themeColor="text1"/>
          <w:sz w:val="32"/>
          <w:szCs w:val="32"/>
          <w:highlight w:val="none"/>
          <w14:textFill>
            <w14:solidFill>
              <w14:schemeClr w14:val="tx1"/>
            </w14:solidFill>
          </w14:textFill>
        </w:rPr>
      </w:pPr>
    </w:p>
    <w:p w14:paraId="04EAD3D6">
      <w:pPr>
        <w:spacing w:line="360" w:lineRule="auto"/>
        <w:jc w:val="center"/>
        <w:rPr>
          <w:rFonts w:hint="eastAsia" w:ascii="仿宋_GB2312" w:hAnsi="宋体" w:eastAsia="仿宋_GB2312" w:cs="Times New Roman"/>
          <w:b/>
          <w:bCs/>
          <w:color w:val="000000" w:themeColor="text1"/>
          <w:w w:val="95"/>
          <w:kern w:val="0"/>
          <w:sz w:val="30"/>
          <w:szCs w:val="30"/>
          <w:highlight w:val="none"/>
          <w:lang w:val="en-US" w:eastAsia="zh-CN" w:bidi="ar-SA"/>
          <w14:textFill>
            <w14:solidFill>
              <w14:schemeClr w14:val="tx1"/>
            </w14:solidFill>
          </w14:textFill>
        </w:rPr>
      </w:pPr>
      <w:r>
        <w:rPr>
          <w:rFonts w:hint="eastAsia" w:ascii="仿宋_GB2312" w:hAnsi="宋体" w:eastAsia="仿宋_GB2312" w:cs="Times New Roman"/>
          <w:b/>
          <w:bCs/>
          <w:color w:val="000000" w:themeColor="text1"/>
          <w:w w:val="95"/>
          <w:kern w:val="0"/>
          <w:sz w:val="30"/>
          <w:szCs w:val="30"/>
          <w:highlight w:val="none"/>
          <w:lang w:val="en-US" w:eastAsia="zh-CN" w:bidi="ar-SA"/>
          <w14:textFill>
            <w14:solidFill>
              <w14:schemeClr w14:val="tx1"/>
            </w14:solidFill>
          </w14:textFill>
        </w:rPr>
        <w:t>2026年8月24日</w:t>
      </w:r>
    </w:p>
    <w:p w14:paraId="1970C0C5">
      <w:pPr>
        <w:spacing w:line="360" w:lineRule="auto"/>
        <w:jc w:val="center"/>
        <w:rPr>
          <w:rFonts w:hint="eastAsia" w:ascii="宋体" w:hAnsi="宋体"/>
          <w:b/>
          <w:color w:val="000000" w:themeColor="text1"/>
          <w:sz w:val="44"/>
          <w:szCs w:val="44"/>
          <w:highlight w:val="none"/>
          <w14:textFill>
            <w14:solidFill>
              <w14:schemeClr w14:val="tx1"/>
            </w14:solidFill>
          </w14:textFill>
        </w:rPr>
        <w:sectPr>
          <w:headerReference r:id="rId3" w:type="default"/>
          <w:pgSz w:w="11906" w:h="16838"/>
          <w:pgMar w:top="1440" w:right="1440" w:bottom="1440" w:left="1587" w:header="851" w:footer="992" w:gutter="0"/>
          <w:pgNumType w:start="0"/>
          <w:cols w:space="720" w:num="1"/>
          <w:docGrid w:type="lines" w:linePitch="312" w:charSpace="0"/>
        </w:sectPr>
      </w:pPr>
    </w:p>
    <w:p w14:paraId="0C810B63">
      <w:pPr>
        <w:spacing w:line="360" w:lineRule="auto"/>
        <w:jc w:val="center"/>
        <w:rPr>
          <w:rFonts w:hint="eastAsia" w:ascii="宋体" w:hAnsi="宋体"/>
          <w:b/>
          <w:color w:val="000000" w:themeColor="text1"/>
          <w:sz w:val="44"/>
          <w:szCs w:val="4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目录</w:t>
      </w:r>
    </w:p>
    <w:p w14:paraId="47D1FB04">
      <w:pPr>
        <w:spacing w:line="400" w:lineRule="exact"/>
        <w:jc w:val="center"/>
        <w:rPr>
          <w:rFonts w:hint="eastAsia" w:ascii="宋体" w:hAnsi="宋体"/>
          <w:b/>
          <w:color w:val="000000" w:themeColor="text1"/>
          <w:sz w:val="44"/>
          <w:szCs w:val="44"/>
          <w:highlight w:val="none"/>
          <w14:textFill>
            <w14:solidFill>
              <w14:schemeClr w14:val="tx1"/>
            </w14:solidFill>
          </w14:textFill>
        </w:rPr>
      </w:pPr>
    </w:p>
    <w:p w14:paraId="0F4A7E45">
      <w:pPr>
        <w:pStyle w:val="22"/>
        <w:tabs>
          <w:tab w:val="right" w:leader="dot" w:pos="8879"/>
        </w:tabs>
        <w:rPr>
          <w:color w:val="000000" w:themeColor="text1"/>
          <w:highlight w:val="none"/>
          <w14:textFill>
            <w14:solidFill>
              <w14:schemeClr w14:val="tx1"/>
            </w14:solidFill>
          </w14:textFill>
        </w:rPr>
      </w:pPr>
      <w:r>
        <w:rPr>
          <w:rStyle w:val="36"/>
          <w:rFonts w:hint="eastAsia"/>
          <w:color w:val="000000" w:themeColor="text1"/>
          <w:highlight w:val="none"/>
          <w14:textFill>
            <w14:solidFill>
              <w14:schemeClr w14:val="tx1"/>
            </w14:solidFill>
          </w14:textFill>
        </w:rPr>
        <w:fldChar w:fldCharType="begin"/>
      </w:r>
      <w:r>
        <w:rPr>
          <w:rStyle w:val="36"/>
          <w:rFonts w:hint="eastAsia"/>
          <w:color w:val="000000" w:themeColor="text1"/>
          <w:highlight w:val="none"/>
          <w14:textFill>
            <w14:solidFill>
              <w14:schemeClr w14:val="tx1"/>
            </w14:solidFill>
          </w14:textFill>
        </w:rPr>
        <w:instrText xml:space="preserve"> TOC \o "1-3" \h \z \u </w:instrText>
      </w:r>
      <w:r>
        <w:rPr>
          <w:rStyle w:val="36"/>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_Toc19259 </w:instrText>
      </w:r>
      <w:r>
        <w:rPr>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第一章竞争性谈判公告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_Toc19259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8F9C54E">
      <w:pPr>
        <w:pStyle w:val="22"/>
        <w:tabs>
          <w:tab w:val="right" w:leader="dot" w:pos="8879"/>
        </w:tabs>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fldChar w:fldCharType="begin"/>
      </w:r>
      <w:r>
        <w:rPr>
          <w:rFonts w:hint="eastAsia" w:ascii="Times New Roman" w:hAnsi="Times New Roman"/>
          <w:color w:val="000000" w:themeColor="text1"/>
          <w:highlight w:val="none"/>
          <w14:textFill>
            <w14:solidFill>
              <w14:schemeClr w14:val="tx1"/>
            </w14:solidFill>
          </w14:textFill>
        </w:rPr>
        <w:instrText xml:space="preserve"> HYPERLINK \l _Toc26989 </w:instrText>
      </w:r>
      <w:r>
        <w:rPr>
          <w:rFonts w:hint="eastAsia" w:ascii="Times New Roman" w:hAnsi="Times New Roman"/>
          <w:color w:val="000000" w:themeColor="text1"/>
          <w:highlight w:val="none"/>
          <w14:textFill>
            <w14:solidFill>
              <w14:schemeClr w14:val="tx1"/>
            </w14:solidFill>
          </w14:textFill>
        </w:rPr>
        <w:fldChar w:fldCharType="separate"/>
      </w:r>
      <w:r>
        <w:rPr>
          <w:rFonts w:hint="eastAsia" w:ascii="Cambria" w:hAnsi="Cambria"/>
          <w:bCs w:val="0"/>
          <w:color w:val="000000" w:themeColor="text1"/>
          <w:szCs w:val="32"/>
          <w:highlight w:val="none"/>
          <w14:textFill>
            <w14:solidFill>
              <w14:schemeClr w14:val="tx1"/>
            </w14:solidFill>
          </w14:textFill>
        </w:rPr>
        <w:t>第二章采购需求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_Toc26989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w:t>
      </w:r>
      <w:r>
        <w:rPr>
          <w:color w:val="000000" w:themeColor="text1"/>
          <w:highlight w:val="none"/>
          <w14:textFill>
            <w14:solidFill>
              <w14:schemeClr w14:val="tx1"/>
            </w14:solidFill>
          </w14:textFill>
        </w:rPr>
        <w:fldChar w:fldCharType="end"/>
      </w:r>
      <w:r>
        <w:rPr>
          <w:rFonts w:hint="eastAsia" w:ascii="Times New Roman" w:hAnsi="Times New Roman"/>
          <w:color w:val="000000" w:themeColor="text1"/>
          <w:highlight w:val="none"/>
          <w14:textFill>
            <w14:solidFill>
              <w14:schemeClr w14:val="tx1"/>
            </w14:solidFill>
          </w14:textFill>
        </w:rPr>
        <w:fldChar w:fldCharType="end"/>
      </w:r>
    </w:p>
    <w:p w14:paraId="7B8C8F36">
      <w:pPr>
        <w:pStyle w:val="22"/>
        <w:tabs>
          <w:tab w:val="right" w:leader="dot" w:pos="8879"/>
        </w:tabs>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fldChar w:fldCharType="begin"/>
      </w:r>
      <w:r>
        <w:rPr>
          <w:rFonts w:hint="eastAsia" w:ascii="Times New Roman" w:hAnsi="Times New Roman"/>
          <w:color w:val="000000" w:themeColor="text1"/>
          <w:highlight w:val="none"/>
          <w14:textFill>
            <w14:solidFill>
              <w14:schemeClr w14:val="tx1"/>
            </w14:solidFill>
          </w14:textFill>
        </w:rPr>
        <w:instrText xml:space="preserve"> HYPERLINK \l _Toc12288 </w:instrText>
      </w:r>
      <w:r>
        <w:rPr>
          <w:rFonts w:hint="eastAsia" w:ascii="Times New Roman" w:hAnsi="Times New Roman"/>
          <w:color w:val="000000" w:themeColor="text1"/>
          <w:highlight w:val="none"/>
          <w14:textFill>
            <w14:solidFill>
              <w14:schemeClr w14:val="tx1"/>
            </w14:solidFill>
          </w14:textFill>
        </w:rPr>
        <w:fldChar w:fldCharType="separate"/>
      </w:r>
      <w:r>
        <w:rPr>
          <w:rFonts w:hint="eastAsia" w:ascii="Cambria" w:hAnsi="Cambria"/>
          <w:bCs w:val="0"/>
          <w:color w:val="000000" w:themeColor="text1"/>
          <w:szCs w:val="32"/>
          <w:highlight w:val="none"/>
          <w14:textFill>
            <w14:solidFill>
              <w14:schemeClr w14:val="tx1"/>
            </w14:solidFill>
          </w14:textFill>
        </w:rPr>
        <w:t>第三章供应商须知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_Toc12288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67</w:t>
      </w:r>
      <w:r>
        <w:rPr>
          <w:color w:val="000000" w:themeColor="text1"/>
          <w:highlight w:val="none"/>
          <w14:textFill>
            <w14:solidFill>
              <w14:schemeClr w14:val="tx1"/>
            </w14:solidFill>
          </w14:textFill>
        </w:rPr>
        <w:fldChar w:fldCharType="end"/>
      </w:r>
      <w:r>
        <w:rPr>
          <w:rFonts w:hint="eastAsia" w:ascii="Times New Roman" w:hAnsi="Times New Roman"/>
          <w:color w:val="000000" w:themeColor="text1"/>
          <w:highlight w:val="none"/>
          <w14:textFill>
            <w14:solidFill>
              <w14:schemeClr w14:val="tx1"/>
            </w14:solidFill>
          </w14:textFill>
        </w:rPr>
        <w:fldChar w:fldCharType="end"/>
      </w:r>
    </w:p>
    <w:p w14:paraId="2085E9A2">
      <w:pPr>
        <w:pStyle w:val="24"/>
        <w:tabs>
          <w:tab w:val="right" w:leader="dot" w:pos="8879"/>
          <w:tab w:val="clear" w:pos="8296"/>
        </w:tabs>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fldChar w:fldCharType="begin"/>
      </w:r>
      <w:r>
        <w:rPr>
          <w:rFonts w:hint="eastAsia" w:ascii="Times New Roman" w:hAnsi="Times New Roman"/>
          <w:color w:val="000000" w:themeColor="text1"/>
          <w:highlight w:val="none"/>
          <w14:textFill>
            <w14:solidFill>
              <w14:schemeClr w14:val="tx1"/>
            </w14:solidFill>
          </w14:textFill>
        </w:rPr>
        <w:instrText xml:space="preserve"> HYPERLINK \l _Toc10368 </w:instrText>
      </w:r>
      <w:r>
        <w:rPr>
          <w:rFonts w:hint="eastAsia" w:ascii="Times New Roman" w:hAnsi="Times New Roman"/>
          <w:color w:val="000000" w:themeColor="text1"/>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第一节供应商须知前附表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_Toc10368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67</w:t>
      </w:r>
      <w:r>
        <w:rPr>
          <w:color w:val="000000" w:themeColor="text1"/>
          <w:highlight w:val="none"/>
          <w14:textFill>
            <w14:solidFill>
              <w14:schemeClr w14:val="tx1"/>
            </w14:solidFill>
          </w14:textFill>
        </w:rPr>
        <w:fldChar w:fldCharType="end"/>
      </w:r>
      <w:r>
        <w:rPr>
          <w:rFonts w:hint="eastAsia" w:ascii="Times New Roman" w:hAnsi="Times New Roman"/>
          <w:color w:val="000000" w:themeColor="text1"/>
          <w:highlight w:val="none"/>
          <w14:textFill>
            <w14:solidFill>
              <w14:schemeClr w14:val="tx1"/>
            </w14:solidFill>
          </w14:textFill>
        </w:rPr>
        <w:fldChar w:fldCharType="end"/>
      </w:r>
    </w:p>
    <w:p w14:paraId="2A64FC51">
      <w:pPr>
        <w:pStyle w:val="24"/>
        <w:tabs>
          <w:tab w:val="right" w:leader="dot" w:pos="8879"/>
          <w:tab w:val="clear" w:pos="8296"/>
        </w:tabs>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fldChar w:fldCharType="begin"/>
      </w:r>
      <w:r>
        <w:rPr>
          <w:rFonts w:hint="eastAsia" w:ascii="Times New Roman" w:hAnsi="Times New Roman"/>
          <w:color w:val="000000" w:themeColor="text1"/>
          <w:highlight w:val="none"/>
          <w14:textFill>
            <w14:solidFill>
              <w14:schemeClr w14:val="tx1"/>
            </w14:solidFill>
          </w14:textFill>
        </w:rPr>
        <w:instrText xml:space="preserve"> HYPERLINK \l _Toc2888 </w:instrText>
      </w:r>
      <w:r>
        <w:rPr>
          <w:rFonts w:hint="eastAsia" w:ascii="Times New Roman" w:hAnsi="Times New Roman"/>
          <w:color w:val="000000" w:themeColor="text1"/>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第二节供应商须知正文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_Toc2888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73</w:t>
      </w:r>
      <w:r>
        <w:rPr>
          <w:color w:val="000000" w:themeColor="text1"/>
          <w:highlight w:val="none"/>
          <w14:textFill>
            <w14:solidFill>
              <w14:schemeClr w14:val="tx1"/>
            </w14:solidFill>
          </w14:textFill>
        </w:rPr>
        <w:fldChar w:fldCharType="end"/>
      </w:r>
      <w:r>
        <w:rPr>
          <w:rFonts w:hint="eastAsia" w:ascii="Times New Roman" w:hAnsi="Times New Roman"/>
          <w:color w:val="000000" w:themeColor="text1"/>
          <w:highlight w:val="none"/>
          <w14:textFill>
            <w14:solidFill>
              <w14:schemeClr w14:val="tx1"/>
            </w14:solidFill>
          </w14:textFill>
        </w:rPr>
        <w:fldChar w:fldCharType="end"/>
      </w:r>
    </w:p>
    <w:p w14:paraId="61D64C1E">
      <w:pPr>
        <w:pStyle w:val="16"/>
        <w:tabs>
          <w:tab w:val="right" w:leader="dot" w:pos="8879"/>
        </w:tabs>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fldChar w:fldCharType="begin"/>
      </w:r>
      <w:r>
        <w:rPr>
          <w:rFonts w:hint="eastAsia" w:ascii="Times New Roman" w:hAnsi="Times New Roman"/>
          <w:color w:val="000000" w:themeColor="text1"/>
          <w:highlight w:val="none"/>
          <w14:textFill>
            <w14:solidFill>
              <w14:schemeClr w14:val="tx1"/>
            </w14:solidFill>
          </w14:textFill>
        </w:rPr>
        <w:instrText xml:space="preserve"> HYPERLINK \l _Toc11076 </w:instrText>
      </w:r>
      <w:r>
        <w:rPr>
          <w:rFonts w:hint="eastAsia" w:ascii="Times New Roman" w:hAnsi="Times New Roman"/>
          <w:color w:val="000000" w:themeColor="text1"/>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一、总则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_Toc11076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73</w:t>
      </w:r>
      <w:r>
        <w:rPr>
          <w:color w:val="000000" w:themeColor="text1"/>
          <w:highlight w:val="none"/>
          <w14:textFill>
            <w14:solidFill>
              <w14:schemeClr w14:val="tx1"/>
            </w14:solidFill>
          </w14:textFill>
        </w:rPr>
        <w:fldChar w:fldCharType="end"/>
      </w:r>
      <w:r>
        <w:rPr>
          <w:rFonts w:hint="eastAsia" w:ascii="Times New Roman" w:hAnsi="Times New Roman"/>
          <w:color w:val="000000" w:themeColor="text1"/>
          <w:highlight w:val="none"/>
          <w14:textFill>
            <w14:solidFill>
              <w14:schemeClr w14:val="tx1"/>
            </w14:solidFill>
          </w14:textFill>
        </w:rPr>
        <w:fldChar w:fldCharType="end"/>
      </w:r>
    </w:p>
    <w:p w14:paraId="09A050D5">
      <w:pPr>
        <w:pStyle w:val="16"/>
        <w:tabs>
          <w:tab w:val="right" w:leader="dot" w:pos="8879"/>
        </w:tabs>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fldChar w:fldCharType="begin"/>
      </w:r>
      <w:r>
        <w:rPr>
          <w:rFonts w:hint="eastAsia" w:ascii="Times New Roman" w:hAnsi="Times New Roman"/>
          <w:color w:val="000000" w:themeColor="text1"/>
          <w:highlight w:val="none"/>
          <w14:textFill>
            <w14:solidFill>
              <w14:schemeClr w14:val="tx1"/>
            </w14:solidFill>
          </w14:textFill>
        </w:rPr>
        <w:instrText xml:space="preserve"> HYPERLINK \l _Toc10951 </w:instrText>
      </w:r>
      <w:r>
        <w:rPr>
          <w:rFonts w:hint="eastAsia" w:ascii="Times New Roman" w:hAnsi="Times New Roman"/>
          <w:color w:val="000000" w:themeColor="text1"/>
          <w:highlight w:val="none"/>
          <w14:textFill>
            <w14:solidFill>
              <w14:schemeClr w14:val="tx1"/>
            </w14:solidFill>
          </w14:textFill>
        </w:rPr>
        <w:fldChar w:fldCharType="separate"/>
      </w:r>
      <w:r>
        <w:rPr>
          <w:rFonts w:hint="eastAsia" w:ascii="宋体" w:hAnsi="宋体"/>
          <w:bCs w:val="0"/>
          <w:color w:val="000000" w:themeColor="text1"/>
          <w:highlight w:val="none"/>
          <w14:textFill>
            <w14:solidFill>
              <w14:schemeClr w14:val="tx1"/>
            </w14:solidFill>
          </w14:textFill>
        </w:rPr>
        <w:t>二、谈判文件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_Toc10951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76</w:t>
      </w:r>
      <w:r>
        <w:rPr>
          <w:color w:val="000000" w:themeColor="text1"/>
          <w:highlight w:val="none"/>
          <w14:textFill>
            <w14:solidFill>
              <w14:schemeClr w14:val="tx1"/>
            </w14:solidFill>
          </w14:textFill>
        </w:rPr>
        <w:fldChar w:fldCharType="end"/>
      </w:r>
      <w:r>
        <w:rPr>
          <w:rFonts w:hint="eastAsia" w:ascii="Times New Roman" w:hAnsi="Times New Roman"/>
          <w:color w:val="000000" w:themeColor="text1"/>
          <w:highlight w:val="none"/>
          <w14:textFill>
            <w14:solidFill>
              <w14:schemeClr w14:val="tx1"/>
            </w14:solidFill>
          </w14:textFill>
        </w:rPr>
        <w:fldChar w:fldCharType="end"/>
      </w:r>
    </w:p>
    <w:p w14:paraId="12C216BB">
      <w:pPr>
        <w:pStyle w:val="16"/>
        <w:tabs>
          <w:tab w:val="right" w:leader="dot" w:pos="8879"/>
        </w:tabs>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fldChar w:fldCharType="begin"/>
      </w:r>
      <w:r>
        <w:rPr>
          <w:rFonts w:hint="eastAsia" w:ascii="Times New Roman" w:hAnsi="Times New Roman"/>
          <w:color w:val="000000" w:themeColor="text1"/>
          <w:highlight w:val="none"/>
          <w14:textFill>
            <w14:solidFill>
              <w14:schemeClr w14:val="tx1"/>
            </w14:solidFill>
          </w14:textFill>
        </w:rPr>
        <w:instrText xml:space="preserve"> HYPERLINK \l _Toc9356 </w:instrText>
      </w:r>
      <w:r>
        <w:rPr>
          <w:rFonts w:hint="eastAsia" w:ascii="Times New Roman" w:hAnsi="Times New Roman"/>
          <w:color w:val="000000" w:themeColor="text1"/>
          <w:highlight w:val="none"/>
          <w14:textFill>
            <w14:solidFill>
              <w14:schemeClr w14:val="tx1"/>
            </w14:solidFill>
          </w14:textFill>
        </w:rPr>
        <w:fldChar w:fldCharType="separate"/>
      </w:r>
      <w:r>
        <w:rPr>
          <w:rFonts w:hint="eastAsia" w:ascii="宋体" w:hAnsi="宋体"/>
          <w:bCs w:val="0"/>
          <w:color w:val="000000" w:themeColor="text1"/>
          <w:highlight w:val="none"/>
          <w14:textFill>
            <w14:solidFill>
              <w14:schemeClr w14:val="tx1"/>
            </w14:solidFill>
          </w14:textFill>
        </w:rPr>
        <w:t>三、响应文件的编制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_Toc9356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77</w:t>
      </w:r>
      <w:r>
        <w:rPr>
          <w:color w:val="000000" w:themeColor="text1"/>
          <w:highlight w:val="none"/>
          <w14:textFill>
            <w14:solidFill>
              <w14:schemeClr w14:val="tx1"/>
            </w14:solidFill>
          </w14:textFill>
        </w:rPr>
        <w:fldChar w:fldCharType="end"/>
      </w:r>
      <w:r>
        <w:rPr>
          <w:rFonts w:hint="eastAsia" w:ascii="Times New Roman" w:hAnsi="Times New Roman"/>
          <w:color w:val="000000" w:themeColor="text1"/>
          <w:highlight w:val="none"/>
          <w14:textFill>
            <w14:solidFill>
              <w14:schemeClr w14:val="tx1"/>
            </w14:solidFill>
          </w14:textFill>
        </w:rPr>
        <w:fldChar w:fldCharType="end"/>
      </w:r>
    </w:p>
    <w:p w14:paraId="3B598C33">
      <w:pPr>
        <w:pStyle w:val="16"/>
        <w:tabs>
          <w:tab w:val="right" w:leader="dot" w:pos="8879"/>
        </w:tabs>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fldChar w:fldCharType="begin"/>
      </w:r>
      <w:r>
        <w:rPr>
          <w:rFonts w:hint="eastAsia" w:ascii="Times New Roman" w:hAnsi="Times New Roman"/>
          <w:color w:val="000000" w:themeColor="text1"/>
          <w:highlight w:val="none"/>
          <w14:textFill>
            <w14:solidFill>
              <w14:schemeClr w14:val="tx1"/>
            </w14:solidFill>
          </w14:textFill>
        </w:rPr>
        <w:instrText xml:space="preserve"> HYPERLINK \l _Toc19009 </w:instrText>
      </w:r>
      <w:r>
        <w:rPr>
          <w:rFonts w:hint="eastAsia" w:ascii="Times New Roman" w:hAnsi="Times New Roman"/>
          <w:color w:val="000000" w:themeColor="text1"/>
          <w:highlight w:val="none"/>
          <w14:textFill>
            <w14:solidFill>
              <w14:schemeClr w14:val="tx1"/>
            </w14:solidFill>
          </w14:textFill>
        </w:rPr>
        <w:fldChar w:fldCharType="separate"/>
      </w:r>
      <w:r>
        <w:rPr>
          <w:rFonts w:hint="eastAsia" w:ascii="宋体" w:hAnsi="宋体"/>
          <w:bCs w:val="0"/>
          <w:color w:val="000000" w:themeColor="text1"/>
          <w:highlight w:val="none"/>
          <w14:textFill>
            <w14:solidFill>
              <w14:schemeClr w14:val="tx1"/>
            </w14:solidFill>
          </w14:textFill>
        </w:rPr>
        <w:t>四、评审及谈判</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_Toc19009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79</w:t>
      </w:r>
      <w:r>
        <w:rPr>
          <w:color w:val="000000" w:themeColor="text1"/>
          <w:highlight w:val="none"/>
          <w14:textFill>
            <w14:solidFill>
              <w14:schemeClr w14:val="tx1"/>
            </w14:solidFill>
          </w14:textFill>
        </w:rPr>
        <w:fldChar w:fldCharType="end"/>
      </w:r>
      <w:r>
        <w:rPr>
          <w:rFonts w:hint="eastAsia" w:ascii="Times New Roman" w:hAnsi="Times New Roman"/>
          <w:color w:val="000000" w:themeColor="text1"/>
          <w:highlight w:val="none"/>
          <w14:textFill>
            <w14:solidFill>
              <w14:schemeClr w14:val="tx1"/>
            </w14:solidFill>
          </w14:textFill>
        </w:rPr>
        <w:fldChar w:fldCharType="end"/>
      </w:r>
    </w:p>
    <w:p w14:paraId="5A6E81A8">
      <w:pPr>
        <w:pStyle w:val="16"/>
        <w:tabs>
          <w:tab w:val="right" w:leader="dot" w:pos="8879"/>
        </w:tabs>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fldChar w:fldCharType="begin"/>
      </w:r>
      <w:r>
        <w:rPr>
          <w:rFonts w:hint="eastAsia" w:ascii="Times New Roman" w:hAnsi="Times New Roman"/>
          <w:color w:val="000000" w:themeColor="text1"/>
          <w:highlight w:val="none"/>
          <w14:textFill>
            <w14:solidFill>
              <w14:schemeClr w14:val="tx1"/>
            </w14:solidFill>
          </w14:textFill>
        </w:rPr>
        <w:instrText xml:space="preserve"> HYPERLINK \l _Toc27715 </w:instrText>
      </w:r>
      <w:r>
        <w:rPr>
          <w:rFonts w:hint="eastAsia" w:ascii="Times New Roman" w:hAnsi="Times New Roman"/>
          <w:color w:val="000000" w:themeColor="text1"/>
          <w:highlight w:val="none"/>
          <w14:textFill>
            <w14:solidFill>
              <w14:schemeClr w14:val="tx1"/>
            </w14:solidFill>
          </w14:textFill>
        </w:rPr>
        <w:fldChar w:fldCharType="separate"/>
      </w:r>
      <w:r>
        <w:rPr>
          <w:rFonts w:hint="eastAsia" w:ascii="宋体" w:hAnsi="宋体"/>
          <w:bCs w:val="0"/>
          <w:color w:val="000000" w:themeColor="text1"/>
          <w:highlight w:val="none"/>
          <w14:textFill>
            <w14:solidFill>
              <w14:schemeClr w14:val="tx1"/>
            </w14:solidFill>
          </w14:textFill>
        </w:rPr>
        <w:t>五、成交及合同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_Toc27715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80</w:t>
      </w:r>
      <w:r>
        <w:rPr>
          <w:color w:val="000000" w:themeColor="text1"/>
          <w:highlight w:val="none"/>
          <w14:textFill>
            <w14:solidFill>
              <w14:schemeClr w14:val="tx1"/>
            </w14:solidFill>
          </w14:textFill>
        </w:rPr>
        <w:fldChar w:fldCharType="end"/>
      </w:r>
      <w:r>
        <w:rPr>
          <w:rFonts w:hint="eastAsia" w:ascii="Times New Roman" w:hAnsi="Times New Roman"/>
          <w:color w:val="000000" w:themeColor="text1"/>
          <w:highlight w:val="none"/>
          <w14:textFill>
            <w14:solidFill>
              <w14:schemeClr w14:val="tx1"/>
            </w14:solidFill>
          </w14:textFill>
        </w:rPr>
        <w:fldChar w:fldCharType="end"/>
      </w:r>
    </w:p>
    <w:p w14:paraId="40B3C367">
      <w:pPr>
        <w:pStyle w:val="16"/>
        <w:tabs>
          <w:tab w:val="right" w:leader="dot" w:pos="8879"/>
        </w:tabs>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fldChar w:fldCharType="begin"/>
      </w:r>
      <w:r>
        <w:rPr>
          <w:rFonts w:hint="eastAsia" w:ascii="Times New Roman" w:hAnsi="Times New Roman"/>
          <w:color w:val="000000" w:themeColor="text1"/>
          <w:highlight w:val="none"/>
          <w14:textFill>
            <w14:solidFill>
              <w14:schemeClr w14:val="tx1"/>
            </w14:solidFill>
          </w14:textFill>
        </w:rPr>
        <w:instrText xml:space="preserve"> HYPERLINK \l _Toc10317 </w:instrText>
      </w:r>
      <w:r>
        <w:rPr>
          <w:rFonts w:hint="eastAsia" w:ascii="Times New Roman" w:hAnsi="Times New Roman"/>
          <w:color w:val="000000" w:themeColor="text1"/>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六、验收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_Toc10317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82</w:t>
      </w:r>
      <w:r>
        <w:rPr>
          <w:color w:val="000000" w:themeColor="text1"/>
          <w:highlight w:val="none"/>
          <w14:textFill>
            <w14:solidFill>
              <w14:schemeClr w14:val="tx1"/>
            </w14:solidFill>
          </w14:textFill>
        </w:rPr>
        <w:fldChar w:fldCharType="end"/>
      </w:r>
      <w:r>
        <w:rPr>
          <w:rFonts w:hint="eastAsia" w:ascii="Times New Roman" w:hAnsi="Times New Roman"/>
          <w:color w:val="000000" w:themeColor="text1"/>
          <w:highlight w:val="none"/>
          <w14:textFill>
            <w14:solidFill>
              <w14:schemeClr w14:val="tx1"/>
            </w14:solidFill>
          </w14:textFill>
        </w:rPr>
        <w:fldChar w:fldCharType="end"/>
      </w:r>
    </w:p>
    <w:p w14:paraId="24FC1A92">
      <w:pPr>
        <w:pStyle w:val="16"/>
        <w:tabs>
          <w:tab w:val="right" w:leader="dot" w:pos="8879"/>
        </w:tabs>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fldChar w:fldCharType="begin"/>
      </w:r>
      <w:r>
        <w:rPr>
          <w:rFonts w:hint="eastAsia" w:ascii="Times New Roman" w:hAnsi="Times New Roman"/>
          <w:color w:val="000000" w:themeColor="text1"/>
          <w:highlight w:val="none"/>
          <w14:textFill>
            <w14:solidFill>
              <w14:schemeClr w14:val="tx1"/>
            </w14:solidFill>
          </w14:textFill>
        </w:rPr>
        <w:instrText xml:space="preserve"> HYPERLINK \l _Toc15281 </w:instrText>
      </w:r>
      <w:r>
        <w:rPr>
          <w:rFonts w:hint="eastAsia" w:ascii="Times New Roman" w:hAnsi="Times New Roman"/>
          <w:color w:val="000000" w:themeColor="text1"/>
          <w:highlight w:val="none"/>
          <w14:textFill>
            <w14:solidFill>
              <w14:schemeClr w14:val="tx1"/>
            </w14:solidFill>
          </w14:textFill>
        </w:rPr>
        <w:fldChar w:fldCharType="separate"/>
      </w:r>
      <w:r>
        <w:rPr>
          <w:rFonts w:hint="eastAsia" w:ascii="宋体" w:hAnsi="宋体"/>
          <w:bCs w:val="0"/>
          <w:color w:val="000000" w:themeColor="text1"/>
          <w:highlight w:val="none"/>
          <w14:textFill>
            <w14:solidFill>
              <w14:schemeClr w14:val="tx1"/>
            </w14:solidFill>
          </w14:textFill>
        </w:rPr>
        <w:t>七、其他事项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_Toc15281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83</w:t>
      </w:r>
      <w:r>
        <w:rPr>
          <w:color w:val="000000" w:themeColor="text1"/>
          <w:highlight w:val="none"/>
          <w14:textFill>
            <w14:solidFill>
              <w14:schemeClr w14:val="tx1"/>
            </w14:solidFill>
          </w14:textFill>
        </w:rPr>
        <w:fldChar w:fldCharType="end"/>
      </w:r>
      <w:r>
        <w:rPr>
          <w:rFonts w:hint="eastAsia" w:ascii="Times New Roman" w:hAnsi="Times New Roman"/>
          <w:color w:val="000000" w:themeColor="text1"/>
          <w:highlight w:val="none"/>
          <w14:textFill>
            <w14:solidFill>
              <w14:schemeClr w14:val="tx1"/>
            </w14:solidFill>
          </w14:textFill>
        </w:rPr>
        <w:fldChar w:fldCharType="end"/>
      </w:r>
    </w:p>
    <w:p w14:paraId="0BA79A16">
      <w:pPr>
        <w:pStyle w:val="22"/>
        <w:tabs>
          <w:tab w:val="right" w:leader="dot" w:pos="8879"/>
        </w:tabs>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fldChar w:fldCharType="begin"/>
      </w:r>
      <w:r>
        <w:rPr>
          <w:rFonts w:hint="eastAsia" w:ascii="Times New Roman" w:hAnsi="Times New Roman"/>
          <w:color w:val="000000" w:themeColor="text1"/>
          <w:highlight w:val="none"/>
          <w14:textFill>
            <w14:solidFill>
              <w14:schemeClr w14:val="tx1"/>
            </w14:solidFill>
          </w14:textFill>
        </w:rPr>
        <w:instrText xml:space="preserve"> HYPERLINK \l _Toc25073 </w:instrText>
      </w:r>
      <w:r>
        <w:rPr>
          <w:rFonts w:hint="eastAsia" w:ascii="Times New Roman" w:hAnsi="Times New Roman"/>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第四章评审程序、评审方法和成交标准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_Toc25073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85</w:t>
      </w:r>
      <w:r>
        <w:rPr>
          <w:color w:val="000000" w:themeColor="text1"/>
          <w:highlight w:val="none"/>
          <w14:textFill>
            <w14:solidFill>
              <w14:schemeClr w14:val="tx1"/>
            </w14:solidFill>
          </w14:textFill>
        </w:rPr>
        <w:fldChar w:fldCharType="end"/>
      </w:r>
      <w:r>
        <w:rPr>
          <w:rFonts w:hint="eastAsia" w:ascii="Times New Roman" w:hAnsi="Times New Roman"/>
          <w:color w:val="000000" w:themeColor="text1"/>
          <w:highlight w:val="none"/>
          <w14:textFill>
            <w14:solidFill>
              <w14:schemeClr w14:val="tx1"/>
            </w14:solidFill>
          </w14:textFill>
        </w:rPr>
        <w:fldChar w:fldCharType="end"/>
      </w:r>
    </w:p>
    <w:p w14:paraId="291CDB50">
      <w:pPr>
        <w:pStyle w:val="24"/>
        <w:tabs>
          <w:tab w:val="right" w:leader="dot" w:pos="8879"/>
          <w:tab w:val="clear" w:pos="8296"/>
        </w:tabs>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fldChar w:fldCharType="begin"/>
      </w:r>
      <w:r>
        <w:rPr>
          <w:rFonts w:hint="eastAsia" w:ascii="Times New Roman" w:hAnsi="Times New Roman"/>
          <w:color w:val="000000" w:themeColor="text1"/>
          <w:highlight w:val="none"/>
          <w14:textFill>
            <w14:solidFill>
              <w14:schemeClr w14:val="tx1"/>
            </w14:solidFill>
          </w14:textFill>
        </w:rPr>
        <w:instrText xml:space="preserve"> HYPERLINK \l _Toc26905 </w:instrText>
      </w:r>
      <w:r>
        <w:rPr>
          <w:rFonts w:hint="eastAsia" w:ascii="Times New Roman" w:hAnsi="Times New Roman"/>
          <w:color w:val="000000" w:themeColor="text1"/>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第一节评审程序和评审方法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_Toc26905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85</w:t>
      </w:r>
      <w:r>
        <w:rPr>
          <w:color w:val="000000" w:themeColor="text1"/>
          <w:highlight w:val="none"/>
          <w14:textFill>
            <w14:solidFill>
              <w14:schemeClr w14:val="tx1"/>
            </w14:solidFill>
          </w14:textFill>
        </w:rPr>
        <w:fldChar w:fldCharType="end"/>
      </w:r>
      <w:r>
        <w:rPr>
          <w:rFonts w:hint="eastAsia" w:ascii="Times New Roman" w:hAnsi="Times New Roman"/>
          <w:color w:val="000000" w:themeColor="text1"/>
          <w:highlight w:val="none"/>
          <w14:textFill>
            <w14:solidFill>
              <w14:schemeClr w14:val="tx1"/>
            </w14:solidFill>
          </w14:textFill>
        </w:rPr>
        <w:fldChar w:fldCharType="end"/>
      </w:r>
    </w:p>
    <w:p w14:paraId="624A8DC0">
      <w:pPr>
        <w:pStyle w:val="24"/>
        <w:tabs>
          <w:tab w:val="right" w:leader="dot" w:pos="8879"/>
          <w:tab w:val="clear" w:pos="8296"/>
        </w:tabs>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fldChar w:fldCharType="begin"/>
      </w:r>
      <w:r>
        <w:rPr>
          <w:rFonts w:hint="eastAsia" w:ascii="Times New Roman" w:hAnsi="Times New Roman"/>
          <w:color w:val="000000" w:themeColor="text1"/>
          <w:highlight w:val="none"/>
          <w14:textFill>
            <w14:solidFill>
              <w14:schemeClr w14:val="tx1"/>
            </w14:solidFill>
          </w14:textFill>
        </w:rPr>
        <w:instrText xml:space="preserve"> HYPERLINK \l _Toc21591 </w:instrText>
      </w:r>
      <w:r>
        <w:rPr>
          <w:rFonts w:hint="eastAsia" w:ascii="Times New Roman" w:hAnsi="Times New Roman"/>
          <w:color w:val="000000" w:themeColor="text1"/>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第二节评审原则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_Toc21591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90</w:t>
      </w:r>
      <w:r>
        <w:rPr>
          <w:color w:val="000000" w:themeColor="text1"/>
          <w:highlight w:val="none"/>
          <w14:textFill>
            <w14:solidFill>
              <w14:schemeClr w14:val="tx1"/>
            </w14:solidFill>
          </w14:textFill>
        </w:rPr>
        <w:fldChar w:fldCharType="end"/>
      </w:r>
      <w:r>
        <w:rPr>
          <w:rFonts w:hint="eastAsia" w:ascii="Times New Roman" w:hAnsi="Times New Roman"/>
          <w:color w:val="000000" w:themeColor="text1"/>
          <w:highlight w:val="none"/>
          <w14:textFill>
            <w14:solidFill>
              <w14:schemeClr w14:val="tx1"/>
            </w14:solidFill>
          </w14:textFill>
        </w:rPr>
        <w:fldChar w:fldCharType="end"/>
      </w:r>
    </w:p>
    <w:p w14:paraId="4A6CC909">
      <w:pPr>
        <w:pStyle w:val="24"/>
        <w:tabs>
          <w:tab w:val="right" w:leader="dot" w:pos="8879"/>
          <w:tab w:val="clear" w:pos="8296"/>
        </w:tabs>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fldChar w:fldCharType="begin"/>
      </w:r>
      <w:r>
        <w:rPr>
          <w:rFonts w:hint="eastAsia" w:ascii="Times New Roman" w:hAnsi="Times New Roman"/>
          <w:color w:val="000000" w:themeColor="text1"/>
          <w:highlight w:val="none"/>
          <w14:textFill>
            <w14:solidFill>
              <w14:schemeClr w14:val="tx1"/>
            </w14:solidFill>
          </w14:textFill>
        </w:rPr>
        <w:instrText xml:space="preserve"> HYPERLINK \l _Toc1326 </w:instrText>
      </w:r>
      <w:r>
        <w:rPr>
          <w:rFonts w:hint="eastAsia" w:ascii="Times New Roman" w:hAnsi="Times New Roman"/>
          <w:color w:val="000000" w:themeColor="text1"/>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第三节评标报告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_Toc1326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90</w:t>
      </w:r>
      <w:r>
        <w:rPr>
          <w:color w:val="000000" w:themeColor="text1"/>
          <w:highlight w:val="none"/>
          <w14:textFill>
            <w14:solidFill>
              <w14:schemeClr w14:val="tx1"/>
            </w14:solidFill>
          </w14:textFill>
        </w:rPr>
        <w:fldChar w:fldCharType="end"/>
      </w:r>
      <w:r>
        <w:rPr>
          <w:rFonts w:hint="eastAsia" w:ascii="Times New Roman" w:hAnsi="Times New Roman"/>
          <w:color w:val="000000" w:themeColor="text1"/>
          <w:highlight w:val="none"/>
          <w14:textFill>
            <w14:solidFill>
              <w14:schemeClr w14:val="tx1"/>
            </w14:solidFill>
          </w14:textFill>
        </w:rPr>
        <w:fldChar w:fldCharType="end"/>
      </w:r>
    </w:p>
    <w:p w14:paraId="67F5DFF0">
      <w:pPr>
        <w:pStyle w:val="24"/>
        <w:tabs>
          <w:tab w:val="right" w:leader="dot" w:pos="8879"/>
          <w:tab w:val="clear" w:pos="8296"/>
        </w:tabs>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fldChar w:fldCharType="begin"/>
      </w:r>
      <w:r>
        <w:rPr>
          <w:rFonts w:hint="eastAsia" w:ascii="Times New Roman" w:hAnsi="Times New Roman"/>
          <w:color w:val="000000" w:themeColor="text1"/>
          <w:highlight w:val="none"/>
          <w14:textFill>
            <w14:solidFill>
              <w14:schemeClr w14:val="tx1"/>
            </w14:solidFill>
          </w14:textFill>
        </w:rPr>
        <w:instrText xml:space="preserve"> HYPERLINK \l _Toc31977 </w:instrText>
      </w:r>
      <w:r>
        <w:rPr>
          <w:rFonts w:hint="eastAsia" w:ascii="Times New Roman" w:hAnsi="Times New Roman"/>
          <w:color w:val="000000" w:themeColor="text1"/>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第四节评审过程的保密与录像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_Toc31977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91</w:t>
      </w:r>
      <w:r>
        <w:rPr>
          <w:color w:val="000000" w:themeColor="text1"/>
          <w:highlight w:val="none"/>
          <w14:textFill>
            <w14:solidFill>
              <w14:schemeClr w14:val="tx1"/>
            </w14:solidFill>
          </w14:textFill>
        </w:rPr>
        <w:fldChar w:fldCharType="end"/>
      </w:r>
      <w:r>
        <w:rPr>
          <w:rFonts w:hint="eastAsia" w:ascii="Times New Roman" w:hAnsi="Times New Roman"/>
          <w:color w:val="000000" w:themeColor="text1"/>
          <w:highlight w:val="none"/>
          <w14:textFill>
            <w14:solidFill>
              <w14:schemeClr w14:val="tx1"/>
            </w14:solidFill>
          </w14:textFill>
        </w:rPr>
        <w:fldChar w:fldCharType="end"/>
      </w:r>
    </w:p>
    <w:p w14:paraId="42D7A12D">
      <w:pPr>
        <w:pStyle w:val="22"/>
        <w:tabs>
          <w:tab w:val="right" w:leader="dot" w:pos="8879"/>
        </w:tabs>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fldChar w:fldCharType="begin"/>
      </w:r>
      <w:r>
        <w:rPr>
          <w:rFonts w:hint="eastAsia" w:ascii="Times New Roman" w:hAnsi="Times New Roman"/>
          <w:color w:val="000000" w:themeColor="text1"/>
          <w:highlight w:val="none"/>
          <w14:textFill>
            <w14:solidFill>
              <w14:schemeClr w14:val="tx1"/>
            </w14:solidFill>
          </w14:textFill>
        </w:rPr>
        <w:instrText xml:space="preserve"> HYPERLINK \l _Toc4389 </w:instrText>
      </w:r>
      <w:r>
        <w:rPr>
          <w:rFonts w:hint="eastAsia" w:ascii="Times New Roman" w:hAnsi="Times New Roman"/>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第五章响应文件格式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_Toc4389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92</w:t>
      </w:r>
      <w:r>
        <w:rPr>
          <w:color w:val="000000" w:themeColor="text1"/>
          <w:highlight w:val="none"/>
          <w14:textFill>
            <w14:solidFill>
              <w14:schemeClr w14:val="tx1"/>
            </w14:solidFill>
          </w14:textFill>
        </w:rPr>
        <w:fldChar w:fldCharType="end"/>
      </w:r>
      <w:r>
        <w:rPr>
          <w:rFonts w:hint="eastAsia" w:ascii="Times New Roman" w:hAnsi="Times New Roman"/>
          <w:color w:val="000000" w:themeColor="text1"/>
          <w:highlight w:val="none"/>
          <w14:textFill>
            <w14:solidFill>
              <w14:schemeClr w14:val="tx1"/>
            </w14:solidFill>
          </w14:textFill>
        </w:rPr>
        <w:fldChar w:fldCharType="end"/>
      </w:r>
    </w:p>
    <w:p w14:paraId="17C41816">
      <w:pPr>
        <w:pStyle w:val="24"/>
        <w:tabs>
          <w:tab w:val="right" w:leader="dot" w:pos="8879"/>
          <w:tab w:val="clear" w:pos="8296"/>
        </w:tabs>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fldChar w:fldCharType="begin"/>
      </w:r>
      <w:r>
        <w:rPr>
          <w:rFonts w:hint="eastAsia" w:ascii="Times New Roman" w:hAnsi="Times New Roman"/>
          <w:color w:val="000000" w:themeColor="text1"/>
          <w:highlight w:val="none"/>
          <w14:textFill>
            <w14:solidFill>
              <w14:schemeClr w14:val="tx1"/>
            </w14:solidFill>
          </w14:textFill>
        </w:rPr>
        <w:instrText xml:space="preserve"> HYPERLINK \l _Toc21402 </w:instrText>
      </w:r>
      <w:r>
        <w:rPr>
          <w:rFonts w:hint="eastAsia" w:ascii="Times New Roman" w:hAnsi="Times New Roman"/>
          <w:color w:val="000000" w:themeColor="text1"/>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第一节封面格式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_Toc21402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93</w:t>
      </w:r>
      <w:r>
        <w:rPr>
          <w:color w:val="000000" w:themeColor="text1"/>
          <w:highlight w:val="none"/>
          <w14:textFill>
            <w14:solidFill>
              <w14:schemeClr w14:val="tx1"/>
            </w14:solidFill>
          </w14:textFill>
        </w:rPr>
        <w:fldChar w:fldCharType="end"/>
      </w:r>
      <w:r>
        <w:rPr>
          <w:rFonts w:hint="eastAsia" w:ascii="Times New Roman" w:hAnsi="Times New Roman"/>
          <w:color w:val="000000" w:themeColor="text1"/>
          <w:highlight w:val="none"/>
          <w14:textFill>
            <w14:solidFill>
              <w14:schemeClr w14:val="tx1"/>
            </w14:solidFill>
          </w14:textFill>
        </w:rPr>
        <w:fldChar w:fldCharType="end"/>
      </w:r>
    </w:p>
    <w:p w14:paraId="1BEC84E4">
      <w:pPr>
        <w:pStyle w:val="24"/>
        <w:tabs>
          <w:tab w:val="right" w:leader="dot" w:pos="8879"/>
          <w:tab w:val="clear" w:pos="8296"/>
        </w:tabs>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fldChar w:fldCharType="begin"/>
      </w:r>
      <w:r>
        <w:rPr>
          <w:rFonts w:hint="eastAsia" w:ascii="Times New Roman" w:hAnsi="Times New Roman"/>
          <w:color w:val="000000" w:themeColor="text1"/>
          <w:highlight w:val="none"/>
          <w14:textFill>
            <w14:solidFill>
              <w14:schemeClr w14:val="tx1"/>
            </w14:solidFill>
          </w14:textFill>
        </w:rPr>
        <w:instrText xml:space="preserve"> HYPERLINK \l _Toc31349 </w:instrText>
      </w:r>
      <w:r>
        <w:rPr>
          <w:rFonts w:hint="eastAsia" w:ascii="Times New Roman" w:hAnsi="Times New Roman"/>
          <w:color w:val="000000" w:themeColor="text1"/>
          <w:highlight w:val="none"/>
          <w14:textFill>
            <w14:solidFill>
              <w14:schemeClr w14:val="tx1"/>
            </w14:solidFill>
          </w14:textFill>
        </w:rPr>
        <w:fldChar w:fldCharType="separate"/>
      </w:r>
      <w:r>
        <w:rPr>
          <w:rFonts w:hint="eastAsia" w:ascii="宋体" w:hAnsi="宋体"/>
          <w:bCs/>
          <w:color w:val="000000" w:themeColor="text1"/>
          <w:szCs w:val="32"/>
          <w:highlight w:val="none"/>
          <w14:textFill>
            <w14:solidFill>
              <w14:schemeClr w14:val="tx1"/>
            </w14:solidFill>
          </w14:textFill>
        </w:rPr>
        <w:t>第二节资格证明文件格式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_Toc31349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94</w:t>
      </w:r>
      <w:r>
        <w:rPr>
          <w:color w:val="000000" w:themeColor="text1"/>
          <w:highlight w:val="none"/>
          <w14:textFill>
            <w14:solidFill>
              <w14:schemeClr w14:val="tx1"/>
            </w14:solidFill>
          </w14:textFill>
        </w:rPr>
        <w:fldChar w:fldCharType="end"/>
      </w:r>
      <w:r>
        <w:rPr>
          <w:rFonts w:hint="eastAsia" w:ascii="Times New Roman" w:hAnsi="Times New Roman"/>
          <w:color w:val="000000" w:themeColor="text1"/>
          <w:highlight w:val="none"/>
          <w14:textFill>
            <w14:solidFill>
              <w14:schemeClr w14:val="tx1"/>
            </w14:solidFill>
          </w14:textFill>
        </w:rPr>
        <w:fldChar w:fldCharType="end"/>
      </w:r>
    </w:p>
    <w:p w14:paraId="74C73D72">
      <w:pPr>
        <w:pStyle w:val="24"/>
        <w:tabs>
          <w:tab w:val="right" w:leader="dot" w:pos="8879"/>
          <w:tab w:val="clear" w:pos="8296"/>
        </w:tabs>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fldChar w:fldCharType="begin"/>
      </w:r>
      <w:r>
        <w:rPr>
          <w:rFonts w:hint="eastAsia" w:ascii="Times New Roman" w:hAnsi="Times New Roman"/>
          <w:color w:val="000000" w:themeColor="text1"/>
          <w:highlight w:val="none"/>
          <w14:textFill>
            <w14:solidFill>
              <w14:schemeClr w14:val="tx1"/>
            </w14:solidFill>
          </w14:textFill>
        </w:rPr>
        <w:instrText xml:space="preserve"> HYPERLINK \l _Toc14371 </w:instrText>
      </w:r>
      <w:r>
        <w:rPr>
          <w:rFonts w:hint="eastAsia" w:ascii="Times New Roman" w:hAnsi="Times New Roman"/>
          <w:color w:val="000000" w:themeColor="text1"/>
          <w:highlight w:val="none"/>
          <w14:textFill>
            <w14:solidFill>
              <w14:schemeClr w14:val="tx1"/>
            </w14:solidFill>
          </w14:textFill>
        </w:rPr>
        <w:fldChar w:fldCharType="separate"/>
      </w:r>
      <w:r>
        <w:rPr>
          <w:rFonts w:hint="eastAsia" w:ascii="宋体" w:hAnsi="宋体"/>
          <w:bCs w:val="0"/>
          <w:color w:val="000000" w:themeColor="text1"/>
          <w:highlight w:val="none"/>
          <w14:textFill>
            <w14:solidFill>
              <w14:schemeClr w14:val="tx1"/>
            </w14:solidFill>
          </w14:textFill>
        </w:rPr>
        <w:t>第三节</w:t>
      </w:r>
      <w:r>
        <w:rPr>
          <w:rFonts w:hint="eastAsia" w:ascii="宋体" w:hAnsi="宋体"/>
          <w:color w:val="000000" w:themeColor="text1"/>
          <w:highlight w:val="none"/>
          <w14:textFill>
            <w14:solidFill>
              <w14:schemeClr w14:val="tx1"/>
            </w14:solidFill>
          </w14:textFill>
        </w:rPr>
        <w:t>商务技术文件格式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_Toc14371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105</w:t>
      </w:r>
      <w:r>
        <w:rPr>
          <w:color w:val="000000" w:themeColor="text1"/>
          <w:highlight w:val="none"/>
          <w14:textFill>
            <w14:solidFill>
              <w14:schemeClr w14:val="tx1"/>
            </w14:solidFill>
          </w14:textFill>
        </w:rPr>
        <w:fldChar w:fldCharType="end"/>
      </w:r>
      <w:r>
        <w:rPr>
          <w:rFonts w:hint="eastAsia" w:ascii="Times New Roman" w:hAnsi="Times New Roman"/>
          <w:color w:val="000000" w:themeColor="text1"/>
          <w:highlight w:val="none"/>
          <w14:textFill>
            <w14:solidFill>
              <w14:schemeClr w14:val="tx1"/>
            </w14:solidFill>
          </w14:textFill>
        </w:rPr>
        <w:fldChar w:fldCharType="end"/>
      </w:r>
    </w:p>
    <w:p w14:paraId="6D113B55">
      <w:pPr>
        <w:pStyle w:val="24"/>
        <w:tabs>
          <w:tab w:val="right" w:leader="dot" w:pos="8879"/>
          <w:tab w:val="clear" w:pos="8296"/>
        </w:tabs>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fldChar w:fldCharType="begin"/>
      </w:r>
      <w:r>
        <w:rPr>
          <w:rFonts w:hint="eastAsia" w:ascii="Times New Roman" w:hAnsi="Times New Roman"/>
          <w:color w:val="000000" w:themeColor="text1"/>
          <w:highlight w:val="none"/>
          <w14:textFill>
            <w14:solidFill>
              <w14:schemeClr w14:val="tx1"/>
            </w14:solidFill>
          </w14:textFill>
        </w:rPr>
        <w:instrText xml:space="preserve"> HYPERLINK \l _Toc12680 </w:instrText>
      </w:r>
      <w:r>
        <w:rPr>
          <w:rFonts w:hint="eastAsia" w:ascii="Times New Roman" w:hAnsi="Times New Roman"/>
          <w:color w:val="000000" w:themeColor="text1"/>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第四节报价文件格式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_Toc12680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120</w:t>
      </w:r>
      <w:r>
        <w:rPr>
          <w:color w:val="000000" w:themeColor="text1"/>
          <w:highlight w:val="none"/>
          <w14:textFill>
            <w14:solidFill>
              <w14:schemeClr w14:val="tx1"/>
            </w14:solidFill>
          </w14:textFill>
        </w:rPr>
        <w:fldChar w:fldCharType="end"/>
      </w:r>
      <w:r>
        <w:rPr>
          <w:rFonts w:hint="eastAsia" w:ascii="Times New Roman" w:hAnsi="Times New Roman"/>
          <w:color w:val="000000" w:themeColor="text1"/>
          <w:highlight w:val="none"/>
          <w14:textFill>
            <w14:solidFill>
              <w14:schemeClr w14:val="tx1"/>
            </w14:solidFill>
          </w14:textFill>
        </w:rPr>
        <w:fldChar w:fldCharType="end"/>
      </w:r>
    </w:p>
    <w:p w14:paraId="61E6B47E">
      <w:pPr>
        <w:pStyle w:val="24"/>
        <w:tabs>
          <w:tab w:val="right" w:leader="dot" w:pos="8879"/>
          <w:tab w:val="clear" w:pos="8296"/>
        </w:tabs>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fldChar w:fldCharType="begin"/>
      </w:r>
      <w:r>
        <w:rPr>
          <w:rFonts w:hint="eastAsia" w:ascii="Times New Roman" w:hAnsi="Times New Roman"/>
          <w:color w:val="000000" w:themeColor="text1"/>
          <w:highlight w:val="none"/>
          <w14:textFill>
            <w14:solidFill>
              <w14:schemeClr w14:val="tx1"/>
            </w14:solidFill>
          </w14:textFill>
        </w:rPr>
        <w:instrText xml:space="preserve"> HYPERLINK \l _Toc4733 </w:instrText>
      </w:r>
      <w:r>
        <w:rPr>
          <w:rFonts w:hint="eastAsia" w:ascii="Times New Roman" w:hAnsi="Times New Roman"/>
          <w:color w:val="000000" w:themeColor="text1"/>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第五节其他文书、文件格式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_Toc4733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125</w:t>
      </w:r>
      <w:r>
        <w:rPr>
          <w:color w:val="000000" w:themeColor="text1"/>
          <w:highlight w:val="none"/>
          <w14:textFill>
            <w14:solidFill>
              <w14:schemeClr w14:val="tx1"/>
            </w14:solidFill>
          </w14:textFill>
        </w:rPr>
        <w:fldChar w:fldCharType="end"/>
      </w:r>
      <w:r>
        <w:rPr>
          <w:rFonts w:hint="eastAsia" w:ascii="Times New Roman" w:hAnsi="Times New Roman"/>
          <w:color w:val="000000" w:themeColor="text1"/>
          <w:highlight w:val="none"/>
          <w14:textFill>
            <w14:solidFill>
              <w14:schemeClr w14:val="tx1"/>
            </w14:solidFill>
          </w14:textFill>
        </w:rPr>
        <w:fldChar w:fldCharType="end"/>
      </w:r>
    </w:p>
    <w:p w14:paraId="15447298">
      <w:pPr>
        <w:pStyle w:val="22"/>
        <w:tabs>
          <w:tab w:val="right" w:leader="dot" w:pos="8879"/>
        </w:tabs>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fldChar w:fldCharType="begin"/>
      </w:r>
      <w:r>
        <w:rPr>
          <w:rFonts w:hint="eastAsia" w:ascii="Times New Roman" w:hAnsi="Times New Roman"/>
          <w:color w:val="000000" w:themeColor="text1"/>
          <w:highlight w:val="none"/>
          <w14:textFill>
            <w14:solidFill>
              <w14:schemeClr w14:val="tx1"/>
            </w14:solidFill>
          </w14:textFill>
        </w:rPr>
        <w:instrText xml:space="preserve"> HYPERLINK \l _Toc6879 </w:instrText>
      </w:r>
      <w:r>
        <w:rPr>
          <w:rFonts w:hint="eastAsia" w:ascii="Times New Roman" w:hAnsi="Times New Roman"/>
          <w:color w:val="000000" w:themeColor="text1"/>
          <w:highlight w:val="none"/>
          <w14:textFill>
            <w14:solidFill>
              <w14:schemeClr w14:val="tx1"/>
            </w14:solidFill>
          </w14:textFill>
        </w:rPr>
        <w:fldChar w:fldCharType="separate"/>
      </w:r>
      <w:r>
        <w:rPr>
          <w:rFonts w:hint="eastAsia" w:ascii="宋体" w:hAnsi="宋体"/>
          <w:bCs w:val="0"/>
          <w:color w:val="000000" w:themeColor="text1"/>
          <w:highlight w:val="none"/>
          <w14:textFill>
            <w14:solidFill>
              <w14:schemeClr w14:val="tx1"/>
            </w14:solidFill>
          </w14:textFill>
        </w:rPr>
        <w:t>第六章合同文本</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_Toc6879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127</w:t>
      </w:r>
      <w:r>
        <w:rPr>
          <w:color w:val="000000" w:themeColor="text1"/>
          <w:highlight w:val="none"/>
          <w14:textFill>
            <w14:solidFill>
              <w14:schemeClr w14:val="tx1"/>
            </w14:solidFill>
          </w14:textFill>
        </w:rPr>
        <w:fldChar w:fldCharType="end"/>
      </w:r>
      <w:r>
        <w:rPr>
          <w:rFonts w:hint="eastAsia" w:ascii="Times New Roman" w:hAnsi="Times New Roman"/>
          <w:color w:val="000000" w:themeColor="text1"/>
          <w:highlight w:val="none"/>
          <w14:textFill>
            <w14:solidFill>
              <w14:schemeClr w14:val="tx1"/>
            </w14:solidFill>
          </w14:textFill>
        </w:rPr>
        <w:fldChar w:fldCharType="end"/>
      </w:r>
    </w:p>
    <w:p w14:paraId="55E3BA0F">
      <w:pPr>
        <w:pStyle w:val="24"/>
        <w:tabs>
          <w:tab w:val="right" w:leader="dot" w:pos="8879"/>
          <w:tab w:val="clear" w:pos="8296"/>
        </w:tabs>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fldChar w:fldCharType="begin"/>
      </w:r>
      <w:r>
        <w:rPr>
          <w:rFonts w:hint="eastAsia" w:ascii="Times New Roman" w:hAnsi="Times New Roman"/>
          <w:color w:val="000000" w:themeColor="text1"/>
          <w:highlight w:val="none"/>
          <w14:textFill>
            <w14:solidFill>
              <w14:schemeClr w14:val="tx1"/>
            </w14:solidFill>
          </w14:textFill>
        </w:rPr>
        <w:instrText xml:space="preserve"> HYPERLINK \l _Toc2021 </w:instrText>
      </w:r>
      <w:r>
        <w:rPr>
          <w:rFonts w:hint="eastAsia" w:ascii="Times New Roman" w:hAnsi="Times New Roman"/>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Cs w:val="28"/>
          <w:highlight w:val="none"/>
          <w14:textFill>
            <w14:solidFill>
              <w14:schemeClr w14:val="tx1"/>
            </w14:solidFill>
          </w14:textFill>
        </w:rPr>
        <w:t>第一部分合同书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_Toc2021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130</w:t>
      </w:r>
      <w:r>
        <w:rPr>
          <w:color w:val="000000" w:themeColor="text1"/>
          <w:highlight w:val="none"/>
          <w14:textFill>
            <w14:solidFill>
              <w14:schemeClr w14:val="tx1"/>
            </w14:solidFill>
          </w14:textFill>
        </w:rPr>
        <w:fldChar w:fldCharType="end"/>
      </w:r>
      <w:r>
        <w:rPr>
          <w:rFonts w:hint="eastAsia" w:ascii="Times New Roman" w:hAnsi="Times New Roman"/>
          <w:color w:val="000000" w:themeColor="text1"/>
          <w:highlight w:val="none"/>
          <w14:textFill>
            <w14:solidFill>
              <w14:schemeClr w14:val="tx1"/>
            </w14:solidFill>
          </w14:textFill>
        </w:rPr>
        <w:fldChar w:fldCharType="end"/>
      </w:r>
    </w:p>
    <w:p w14:paraId="0C4DD316">
      <w:pPr>
        <w:pStyle w:val="24"/>
        <w:tabs>
          <w:tab w:val="right" w:leader="dot" w:pos="8879"/>
          <w:tab w:val="clear" w:pos="8296"/>
        </w:tabs>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fldChar w:fldCharType="begin"/>
      </w:r>
      <w:r>
        <w:rPr>
          <w:rFonts w:hint="eastAsia" w:ascii="Times New Roman" w:hAnsi="Times New Roman"/>
          <w:color w:val="000000" w:themeColor="text1"/>
          <w:highlight w:val="none"/>
          <w14:textFill>
            <w14:solidFill>
              <w14:schemeClr w14:val="tx1"/>
            </w14:solidFill>
          </w14:textFill>
        </w:rPr>
        <w:instrText xml:space="preserve"> HYPERLINK \l _Toc22143 </w:instrText>
      </w:r>
      <w:r>
        <w:rPr>
          <w:rFonts w:hint="eastAsia" w:ascii="Times New Roman" w:hAnsi="Times New Roman"/>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Cs w:val="28"/>
          <w:highlight w:val="none"/>
          <w14:textFill>
            <w14:solidFill>
              <w14:schemeClr w14:val="tx1"/>
            </w14:solidFill>
          </w14:textFill>
        </w:rPr>
        <w:t>第二部分合同一般条款</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_Toc22143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134</w:t>
      </w:r>
      <w:r>
        <w:rPr>
          <w:color w:val="000000" w:themeColor="text1"/>
          <w:highlight w:val="none"/>
          <w14:textFill>
            <w14:solidFill>
              <w14:schemeClr w14:val="tx1"/>
            </w14:solidFill>
          </w14:textFill>
        </w:rPr>
        <w:fldChar w:fldCharType="end"/>
      </w:r>
      <w:r>
        <w:rPr>
          <w:rFonts w:hint="eastAsia" w:ascii="Times New Roman" w:hAnsi="Times New Roman"/>
          <w:color w:val="000000" w:themeColor="text1"/>
          <w:highlight w:val="none"/>
          <w14:textFill>
            <w14:solidFill>
              <w14:schemeClr w14:val="tx1"/>
            </w14:solidFill>
          </w14:textFill>
        </w:rPr>
        <w:fldChar w:fldCharType="end"/>
      </w:r>
    </w:p>
    <w:p w14:paraId="2013D57C">
      <w:pPr>
        <w:pStyle w:val="24"/>
        <w:tabs>
          <w:tab w:val="right" w:leader="dot" w:pos="8879"/>
          <w:tab w:val="clear" w:pos="8296"/>
        </w:tabs>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fldChar w:fldCharType="begin"/>
      </w:r>
      <w:r>
        <w:rPr>
          <w:rFonts w:hint="eastAsia" w:ascii="Times New Roman" w:hAnsi="Times New Roman"/>
          <w:color w:val="000000" w:themeColor="text1"/>
          <w:highlight w:val="none"/>
          <w14:textFill>
            <w14:solidFill>
              <w14:schemeClr w14:val="tx1"/>
            </w14:solidFill>
          </w14:textFill>
        </w:rPr>
        <w:instrText xml:space="preserve"> HYPERLINK \l _Toc28961 </w:instrText>
      </w:r>
      <w:r>
        <w:rPr>
          <w:rFonts w:hint="eastAsia" w:ascii="Times New Roman" w:hAnsi="Times New Roman"/>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Cs w:val="28"/>
          <w:highlight w:val="none"/>
          <w14:textFill>
            <w14:solidFill>
              <w14:schemeClr w14:val="tx1"/>
            </w14:solidFill>
          </w14:textFill>
        </w:rPr>
        <w:t>第三部分合同专用条款</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_Toc28961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139</w:t>
      </w:r>
      <w:r>
        <w:rPr>
          <w:color w:val="000000" w:themeColor="text1"/>
          <w:highlight w:val="none"/>
          <w14:textFill>
            <w14:solidFill>
              <w14:schemeClr w14:val="tx1"/>
            </w14:solidFill>
          </w14:textFill>
        </w:rPr>
        <w:fldChar w:fldCharType="end"/>
      </w:r>
      <w:r>
        <w:rPr>
          <w:rFonts w:hint="eastAsia" w:ascii="Times New Roman" w:hAnsi="Times New Roman"/>
          <w:color w:val="000000" w:themeColor="text1"/>
          <w:highlight w:val="none"/>
          <w14:textFill>
            <w14:solidFill>
              <w14:schemeClr w14:val="tx1"/>
            </w14:solidFill>
          </w14:textFill>
        </w:rPr>
        <w:fldChar w:fldCharType="end"/>
      </w:r>
    </w:p>
    <w:p w14:paraId="39C405C9">
      <w:pPr>
        <w:pStyle w:val="22"/>
        <w:tabs>
          <w:tab w:val="right" w:leader="dot" w:pos="8879"/>
        </w:tabs>
        <w:rPr>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fldChar w:fldCharType="begin"/>
      </w:r>
      <w:r>
        <w:rPr>
          <w:rFonts w:hint="eastAsia" w:ascii="Times New Roman" w:hAnsi="Times New Roman"/>
          <w:color w:val="000000" w:themeColor="text1"/>
          <w:highlight w:val="none"/>
          <w14:textFill>
            <w14:solidFill>
              <w14:schemeClr w14:val="tx1"/>
            </w14:solidFill>
          </w14:textFill>
        </w:rPr>
        <w:instrText xml:space="preserve"> HYPERLINK \l _Toc30623 </w:instrText>
      </w:r>
      <w:r>
        <w:rPr>
          <w:rFonts w:hint="eastAsia" w:ascii="Times New Roman" w:hAnsi="Times New Roman"/>
          <w:color w:val="000000" w:themeColor="text1"/>
          <w:highlight w:val="none"/>
          <w14:textFill>
            <w14:solidFill>
              <w14:schemeClr w14:val="tx1"/>
            </w14:solidFill>
          </w14:textFill>
        </w:rPr>
        <w:fldChar w:fldCharType="separate"/>
      </w:r>
      <w:r>
        <w:rPr>
          <w:rFonts w:hint="eastAsia" w:ascii="宋体" w:hAnsi="宋体" w:cs="仿宋_GB2312"/>
          <w:color w:val="000000" w:themeColor="text1"/>
          <w:highlight w:val="none"/>
          <w14:textFill>
            <w14:solidFill>
              <w14:schemeClr w14:val="tx1"/>
            </w14:solidFill>
          </w14:textFill>
        </w:rPr>
        <w:t>第七章质疑、投诉材料格式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_Toc30623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142</w:t>
      </w:r>
      <w:r>
        <w:rPr>
          <w:color w:val="000000" w:themeColor="text1"/>
          <w:highlight w:val="none"/>
          <w14:textFill>
            <w14:solidFill>
              <w14:schemeClr w14:val="tx1"/>
            </w14:solidFill>
          </w14:textFill>
        </w:rPr>
        <w:fldChar w:fldCharType="end"/>
      </w:r>
      <w:r>
        <w:rPr>
          <w:rFonts w:hint="eastAsia" w:ascii="Times New Roman" w:hAnsi="Times New Roman"/>
          <w:color w:val="000000" w:themeColor="text1"/>
          <w:highlight w:val="none"/>
          <w14:textFill>
            <w14:solidFill>
              <w14:schemeClr w14:val="tx1"/>
            </w14:solidFill>
          </w14:textFill>
        </w:rPr>
        <w:fldChar w:fldCharType="end"/>
      </w:r>
    </w:p>
    <w:p w14:paraId="370C4597">
      <w:pPr>
        <w:pStyle w:val="25"/>
        <w:tabs>
          <w:tab w:val="right" w:leader="dot" w:pos="8869"/>
        </w:tabs>
        <w:rPr>
          <w:rStyle w:val="36"/>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fldChar w:fldCharType="end"/>
      </w:r>
    </w:p>
    <w:p w14:paraId="62E62E5D">
      <w:pPr>
        <w:spacing w:line="400" w:lineRule="exact"/>
        <w:jc w:val="left"/>
        <w:rPr>
          <w:rFonts w:ascii="宋体" w:hAnsi="宋体"/>
          <w:b/>
          <w:color w:val="000000" w:themeColor="text1"/>
          <w:sz w:val="32"/>
          <w:szCs w:val="32"/>
          <w:highlight w:val="none"/>
          <w14:textFill>
            <w14:solidFill>
              <w14:schemeClr w14:val="tx1"/>
            </w14:solidFill>
          </w14:textFill>
        </w:rPr>
      </w:pPr>
    </w:p>
    <w:p w14:paraId="16946641">
      <w:pPr>
        <w:spacing w:line="400" w:lineRule="exact"/>
        <w:jc w:val="center"/>
        <w:rPr>
          <w:rFonts w:hint="eastAsia" w:ascii="宋体" w:hAnsi="宋体"/>
          <w:b/>
          <w:color w:val="000000" w:themeColor="text1"/>
          <w:sz w:val="32"/>
          <w:szCs w:val="32"/>
          <w:highlight w:val="none"/>
          <w14:textFill>
            <w14:solidFill>
              <w14:schemeClr w14:val="tx1"/>
            </w14:solidFill>
          </w14:textFill>
        </w:rPr>
      </w:pPr>
    </w:p>
    <w:p w14:paraId="395F9E55">
      <w:pPr>
        <w:spacing w:line="400" w:lineRule="exact"/>
        <w:jc w:val="center"/>
        <w:rPr>
          <w:rFonts w:hint="eastAsia" w:ascii="宋体" w:hAnsi="宋体"/>
          <w:b/>
          <w:color w:val="000000" w:themeColor="text1"/>
          <w:sz w:val="32"/>
          <w:szCs w:val="32"/>
          <w:highlight w:val="none"/>
          <w14:textFill>
            <w14:solidFill>
              <w14:schemeClr w14:val="tx1"/>
            </w14:solidFill>
          </w14:textFill>
        </w:rPr>
      </w:pPr>
    </w:p>
    <w:p w14:paraId="0A8619E7">
      <w:pPr>
        <w:spacing w:line="400" w:lineRule="exact"/>
        <w:jc w:val="center"/>
        <w:rPr>
          <w:rFonts w:hint="eastAsia" w:ascii="宋体" w:hAnsi="宋体"/>
          <w:b/>
          <w:color w:val="000000" w:themeColor="text1"/>
          <w:sz w:val="32"/>
          <w:szCs w:val="32"/>
          <w:highlight w:val="none"/>
          <w14:textFill>
            <w14:solidFill>
              <w14:schemeClr w14:val="tx1"/>
            </w14:solidFill>
          </w14:textFill>
        </w:rPr>
      </w:pPr>
    </w:p>
    <w:p w14:paraId="212D5EB0">
      <w:pPr>
        <w:spacing w:line="400" w:lineRule="exact"/>
        <w:jc w:val="center"/>
        <w:rPr>
          <w:rFonts w:hint="eastAsia" w:ascii="宋体" w:hAnsi="宋体"/>
          <w:b/>
          <w:color w:val="000000" w:themeColor="text1"/>
          <w:sz w:val="32"/>
          <w:szCs w:val="32"/>
          <w:highlight w:val="none"/>
          <w14:textFill>
            <w14:solidFill>
              <w14:schemeClr w14:val="tx1"/>
            </w14:solidFill>
          </w14:textFill>
        </w:rPr>
      </w:pPr>
    </w:p>
    <w:p w14:paraId="0231FCB0">
      <w:pPr>
        <w:widowControl/>
        <w:jc w:val="left"/>
        <w:rPr>
          <w:rFonts w:ascii="宋体" w:hAnsi="宋体"/>
          <w:b/>
          <w:color w:val="000000" w:themeColor="text1"/>
          <w:sz w:val="32"/>
          <w:szCs w:val="32"/>
          <w:highlight w:val="none"/>
          <w14:textFill>
            <w14:solidFill>
              <w14:schemeClr w14:val="tx1"/>
            </w14:solidFill>
          </w14:textFill>
        </w:rPr>
        <w:sectPr>
          <w:footerReference r:id="rId4" w:type="default"/>
          <w:pgSz w:w="11906" w:h="16838"/>
          <w:pgMar w:top="1440" w:right="1440" w:bottom="1440" w:left="1587" w:header="851" w:footer="992" w:gutter="0"/>
          <w:pgNumType w:fmt="decimal" w:start="1"/>
          <w:cols w:space="720" w:num="1"/>
          <w:docGrid w:type="lines" w:linePitch="312" w:charSpace="0"/>
        </w:sectPr>
      </w:pPr>
    </w:p>
    <w:p w14:paraId="4398F571">
      <w:pPr>
        <w:pStyle w:val="2"/>
        <w:keepNext/>
        <w:keepLines/>
        <w:pageBreakBefore w:val="0"/>
        <w:widowControl w:val="0"/>
        <w:kinsoku/>
        <w:wordWrap/>
        <w:overflowPunct/>
        <w:topLinePunct w:val="0"/>
        <w:autoSpaceDE/>
        <w:autoSpaceDN/>
        <w:bidi w:val="0"/>
        <w:adjustRightInd/>
        <w:snapToGrid/>
        <w:spacing w:before="0" w:line="500" w:lineRule="exact"/>
        <w:jc w:val="center"/>
        <w:textAlignment w:val="auto"/>
        <w:rPr>
          <w:color w:val="000000" w:themeColor="text1"/>
          <w:highlight w:val="none"/>
          <w14:textFill>
            <w14:solidFill>
              <w14:schemeClr w14:val="tx1"/>
            </w14:solidFill>
          </w14:textFill>
        </w:rPr>
      </w:pPr>
      <w:bookmarkStart w:id="1" w:name="_Toc19259"/>
      <w:r>
        <w:rPr>
          <w:rFonts w:hint="eastAsia"/>
          <w:color w:val="000000" w:themeColor="text1"/>
          <w:highlight w:val="none"/>
          <w14:textFill>
            <w14:solidFill>
              <w14:schemeClr w14:val="tx1"/>
            </w14:solidFill>
          </w14:textFill>
        </w:rPr>
        <mc:AlternateContent>
          <mc:Choice Requires="wps">
            <w:drawing>
              <wp:anchor distT="0" distB="0" distL="114300" distR="114300" simplePos="0" relativeHeight="251659264" behindDoc="1" locked="0" layoutInCell="1" allowOverlap="1">
                <wp:simplePos x="0" y="0"/>
                <wp:positionH relativeFrom="column">
                  <wp:posOffset>-264795</wp:posOffset>
                </wp:positionH>
                <wp:positionV relativeFrom="paragraph">
                  <wp:posOffset>535940</wp:posOffset>
                </wp:positionV>
                <wp:extent cx="5909310" cy="1335405"/>
                <wp:effectExtent l="0" t="0" r="15240" b="0"/>
                <wp:wrapTight wrapText="bothSides">
                  <wp:wrapPolygon>
                    <wp:start x="0" y="0"/>
                    <wp:lineTo x="0" y="21261"/>
                    <wp:lineTo x="21516" y="21261"/>
                    <wp:lineTo x="21516" y="0"/>
                    <wp:lineTo x="0" y="0"/>
                  </wp:wrapPolygon>
                </wp:wrapTight>
                <wp:docPr id="1" name="文本框 101"/>
                <wp:cNvGraphicFramePr/>
                <a:graphic xmlns:a="http://schemas.openxmlformats.org/drawingml/2006/main">
                  <a:graphicData uri="http://schemas.microsoft.com/office/word/2010/wordprocessingShape">
                    <wps:wsp>
                      <wps:cNvSpPr txBox="1"/>
                      <wps:spPr>
                        <a:xfrm>
                          <a:off x="0" y="0"/>
                          <a:ext cx="5909310" cy="1335405"/>
                        </a:xfrm>
                        <a:prstGeom prst="rect">
                          <a:avLst/>
                        </a:prstGeom>
                        <a:solidFill>
                          <a:srgbClr val="FFFFFF"/>
                        </a:solidFill>
                        <a:ln>
                          <a:noFill/>
                        </a:ln>
                      </wps:spPr>
                      <wps:txbx>
                        <w:txbxContent>
                          <w:p w14:paraId="2D6A3C96">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rPr>
                              <w:t>项目概况</w:t>
                            </w:r>
                          </w:p>
                          <w:p w14:paraId="5B22FE30">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bidi w:val="0"/>
                              <w:adjustRightInd/>
                              <w:snapToGrid/>
                              <w:spacing w:line="360" w:lineRule="auto"/>
                              <w:ind w:firstLine="420" w:firstLineChars="200"/>
                              <w:textAlignment w:val="auto"/>
                              <w:rPr>
                                <w:rFonts w:hint="eastAsia"/>
                              </w:rPr>
                            </w:pPr>
                            <w:r>
                              <w:rPr>
                                <w:rFonts w:hint="eastAsia" w:ascii="宋体" w:hAnsi="宋体"/>
                                <w:color w:val="000000"/>
                                <w:szCs w:val="21"/>
                                <w:u w:val="single"/>
                                <w:lang w:eastAsia="zh-CN"/>
                              </w:rPr>
                              <w:t>档案室库房设备采购项目</w:t>
                            </w:r>
                            <w:r>
                              <w:rPr>
                                <w:rFonts w:hint="eastAsia" w:ascii="宋体" w:hAnsi="宋体"/>
                                <w:color w:val="000000"/>
                                <w:szCs w:val="21"/>
                              </w:rPr>
                              <w:t>采购项目的潜在供应商</w:t>
                            </w:r>
                            <w:r>
                              <w:rPr>
                                <w:rFonts w:hint="eastAsia" w:ascii="宋体" w:hAnsi="宋体"/>
                                <w:color w:val="000000" w:themeColor="text1"/>
                                <w:szCs w:val="21"/>
                                <w14:textFill>
                                  <w14:solidFill>
                                    <w14:schemeClr w14:val="tx1"/>
                                  </w14:solidFill>
                                </w14:textFill>
                              </w:rPr>
                              <w:t>应在广西政府采购云平台</w:t>
                            </w:r>
                            <w:r>
                              <w:rPr>
                                <w:rFonts w:hint="eastAsia" w:ascii="宋体" w:hAnsi="宋体" w:eastAsia="宋体" w:cs="Times New Roman"/>
                                <w:color w:val="000000" w:themeColor="text1"/>
                                <w:szCs w:val="21"/>
                                <w14:textFill>
                                  <w14:solidFill>
                                    <w14:schemeClr w14:val="tx1"/>
                                  </w14:solidFill>
                                </w14:textFill>
                              </w:rPr>
                              <w:t>（https://www.gcy.zfcg.gxzf.gov.cn/）获取（下载）</w:t>
                            </w:r>
                            <w:r>
                              <w:rPr>
                                <w:rFonts w:hint="eastAsia" w:ascii="宋体" w:hAnsi="宋体"/>
                                <w:color w:val="000000" w:themeColor="text1"/>
                                <w:szCs w:val="21"/>
                                <w14:textFill>
                                  <w14:solidFill>
                                    <w14:schemeClr w14:val="tx1"/>
                                  </w14:solidFill>
                                </w14:textFill>
                              </w:rPr>
                              <w:t>竞争性谈判文件，并于</w:t>
                            </w:r>
                            <w:bookmarkStart w:id="248" w:name="PO_3000001871_PM015"/>
                            <w:r>
                              <w:rPr>
                                <w:rFonts w:hint="eastAsia" w:ascii="宋体" w:hAnsi="宋体"/>
                                <w:color w:val="000000" w:themeColor="text1"/>
                                <w:szCs w:val="21"/>
                                <w:u w:val="single"/>
                                <w:lang w:val="en-US" w:eastAsia="zh-CN"/>
                                <w14:textFill>
                                  <w14:solidFill>
                                    <w14:schemeClr w14:val="tx1"/>
                                  </w14:solidFill>
                                </w14:textFill>
                              </w:rPr>
                              <w:t>2026-09-15 13:00:00</w:t>
                            </w:r>
                            <w:bookmarkEnd w:id="248"/>
                            <w:r>
                              <w:rPr>
                                <w:rFonts w:hint="eastAsia" w:ascii="宋体" w:hAnsi="宋体"/>
                                <w:bCs/>
                                <w:color w:val="000000" w:themeColor="text1"/>
                                <w:szCs w:val="21"/>
                                <w14:textFill>
                                  <w14:solidFill>
                                    <w14:schemeClr w14:val="tx1"/>
                                  </w14:solidFill>
                                </w14:textFill>
                              </w:rPr>
                              <w:t>（北京</w:t>
                            </w:r>
                            <w:r>
                              <w:rPr>
                                <w:rFonts w:hint="eastAsia" w:ascii="宋体" w:hAnsi="宋体"/>
                                <w:bCs/>
                                <w:color w:val="000000"/>
                                <w:szCs w:val="21"/>
                              </w:rPr>
                              <w:t>时间）前提交响应文件</w:t>
                            </w:r>
                            <w:r>
                              <w:rPr>
                                <w:rFonts w:hint="eastAsia" w:ascii="宋体" w:hAnsi="宋体"/>
                                <w:color w:val="000000"/>
                                <w:szCs w:val="21"/>
                              </w:rPr>
                              <w:t>。</w:t>
                            </w:r>
                          </w:p>
                        </w:txbxContent>
                      </wps:txbx>
                      <wps:bodyPr wrap="square" upright="1"/>
                    </wps:wsp>
                  </a:graphicData>
                </a:graphic>
              </wp:anchor>
            </w:drawing>
          </mc:Choice>
          <mc:Fallback>
            <w:pict>
              <v:shape id="文本框 101" o:spid="_x0000_s1026" o:spt="202" type="#_x0000_t202" style="position:absolute;left:0pt;margin-left:-20.85pt;margin-top:42.2pt;height:105.15pt;width:465.3pt;mso-wrap-distance-left:9pt;mso-wrap-distance-right:9pt;z-index:-251657216;mso-width-relative:page;mso-height-relative:page;" fillcolor="#FFFFFF" filled="t" stroked="f" coordsize="21600,21600" wrapcoords="0 0 0 21261 21516 21261 21516 0 0 0" o:gfxdata="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&#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Og1s3YAAAACgEAAA8AAAAAAAAAAQAgAAAAIgAAAGRy&#10;cy9kb3ducmV2LnhtbFBLAQIUABQAAAAIAIdO4kB7NeHgzAEAAIgDAAAOAAAAAAAAAAEAIAAAACcB&#10;AABkcnMvZTJvRG9jLnhtbFBLBQYAAAAABgAGAFkBAABlBQAAAAA=&#10;">
                <v:fill on="t" focussize="0,0"/>
                <v:stroke on="f"/>
                <v:imagedata o:title=""/>
                <o:lock v:ext="edit" aspectratio="f"/>
                <v:textbox>
                  <w:txbxContent>
                    <w:p w14:paraId="2D6A3C96">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rPr>
                        <w:t>项目概况</w:t>
                      </w:r>
                    </w:p>
                    <w:p w14:paraId="5B22FE30">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bidi w:val="0"/>
                        <w:adjustRightInd/>
                        <w:snapToGrid/>
                        <w:spacing w:line="360" w:lineRule="auto"/>
                        <w:ind w:firstLine="420" w:firstLineChars="200"/>
                        <w:textAlignment w:val="auto"/>
                        <w:rPr>
                          <w:rFonts w:hint="eastAsia"/>
                        </w:rPr>
                      </w:pPr>
                      <w:r>
                        <w:rPr>
                          <w:rFonts w:hint="eastAsia" w:ascii="宋体" w:hAnsi="宋体"/>
                          <w:color w:val="000000"/>
                          <w:szCs w:val="21"/>
                          <w:u w:val="single"/>
                          <w:lang w:eastAsia="zh-CN"/>
                        </w:rPr>
                        <w:t>档案室库房设备采购项目</w:t>
                      </w:r>
                      <w:r>
                        <w:rPr>
                          <w:rFonts w:hint="eastAsia" w:ascii="宋体" w:hAnsi="宋体"/>
                          <w:color w:val="000000"/>
                          <w:szCs w:val="21"/>
                        </w:rPr>
                        <w:t>采购项目的潜在供应商</w:t>
                      </w:r>
                      <w:r>
                        <w:rPr>
                          <w:rFonts w:hint="eastAsia" w:ascii="宋体" w:hAnsi="宋体"/>
                          <w:color w:val="000000" w:themeColor="text1"/>
                          <w:szCs w:val="21"/>
                          <w14:textFill>
                            <w14:solidFill>
                              <w14:schemeClr w14:val="tx1"/>
                            </w14:solidFill>
                          </w14:textFill>
                        </w:rPr>
                        <w:t>应在广西政府采购云平台</w:t>
                      </w:r>
                      <w:r>
                        <w:rPr>
                          <w:rFonts w:hint="eastAsia" w:ascii="宋体" w:hAnsi="宋体" w:eastAsia="宋体" w:cs="Times New Roman"/>
                          <w:color w:val="000000" w:themeColor="text1"/>
                          <w:szCs w:val="21"/>
                          <w14:textFill>
                            <w14:solidFill>
                              <w14:schemeClr w14:val="tx1"/>
                            </w14:solidFill>
                          </w14:textFill>
                        </w:rPr>
                        <w:t>（https://www.gcy.zfcg.gxzf.gov.cn/）获取（下载）</w:t>
                      </w:r>
                      <w:r>
                        <w:rPr>
                          <w:rFonts w:hint="eastAsia" w:ascii="宋体" w:hAnsi="宋体"/>
                          <w:color w:val="000000" w:themeColor="text1"/>
                          <w:szCs w:val="21"/>
                          <w14:textFill>
                            <w14:solidFill>
                              <w14:schemeClr w14:val="tx1"/>
                            </w14:solidFill>
                          </w14:textFill>
                        </w:rPr>
                        <w:t>竞争性谈判文件，并于</w:t>
                      </w:r>
                      <w:bookmarkStart w:id="248" w:name="PO_3000001871_PM015"/>
                      <w:r>
                        <w:rPr>
                          <w:rFonts w:hint="eastAsia" w:ascii="宋体" w:hAnsi="宋体"/>
                          <w:color w:val="000000" w:themeColor="text1"/>
                          <w:szCs w:val="21"/>
                          <w:u w:val="single"/>
                          <w:lang w:val="en-US" w:eastAsia="zh-CN"/>
                          <w14:textFill>
                            <w14:solidFill>
                              <w14:schemeClr w14:val="tx1"/>
                            </w14:solidFill>
                          </w14:textFill>
                        </w:rPr>
                        <w:t>2026-09-15 13:00:00</w:t>
                      </w:r>
                      <w:bookmarkEnd w:id="248"/>
                      <w:r>
                        <w:rPr>
                          <w:rFonts w:hint="eastAsia" w:ascii="宋体" w:hAnsi="宋体"/>
                          <w:bCs/>
                          <w:color w:val="000000" w:themeColor="text1"/>
                          <w:szCs w:val="21"/>
                          <w14:textFill>
                            <w14:solidFill>
                              <w14:schemeClr w14:val="tx1"/>
                            </w14:solidFill>
                          </w14:textFill>
                        </w:rPr>
                        <w:t>（北京</w:t>
                      </w:r>
                      <w:r>
                        <w:rPr>
                          <w:rFonts w:hint="eastAsia" w:ascii="宋体" w:hAnsi="宋体"/>
                          <w:bCs/>
                          <w:color w:val="000000"/>
                          <w:szCs w:val="21"/>
                        </w:rPr>
                        <w:t>时间）前提交响应文件</w:t>
                      </w:r>
                      <w:r>
                        <w:rPr>
                          <w:rFonts w:hint="eastAsia" w:ascii="宋体" w:hAnsi="宋体"/>
                          <w:color w:val="000000"/>
                          <w:szCs w:val="21"/>
                        </w:rPr>
                        <w:t>。</w:t>
                      </w:r>
                    </w:p>
                  </w:txbxContent>
                </v:textbox>
                <w10:wrap type="tight"/>
              </v:shape>
            </w:pict>
          </mc:Fallback>
        </mc:AlternateContent>
      </w:r>
      <w:r>
        <w:rPr>
          <w:rFonts w:hint="eastAsia"/>
          <w:color w:val="000000" w:themeColor="text1"/>
          <w:highlight w:val="none"/>
          <w14:textFill>
            <w14:solidFill>
              <w14:schemeClr w14:val="tx1"/>
            </w14:solidFill>
          </w14:textFill>
        </w:rPr>
        <w:t>第一章竞争性谈判公告</w:t>
      </w:r>
      <w:bookmarkEnd w:id="1"/>
      <w:bookmarkStart w:id="2" w:name="_Toc35393629"/>
      <w:bookmarkStart w:id="3" w:name="_Toc28359089"/>
      <w:bookmarkStart w:id="4" w:name="_Toc35393798"/>
      <w:bookmarkStart w:id="5" w:name="_Toc28359012"/>
      <w:bookmarkStart w:id="6" w:name="_Toc44229878"/>
      <w:bookmarkStart w:id="7" w:name="_Toc28359081"/>
      <w:bookmarkStart w:id="8" w:name="_Toc35393792"/>
      <w:bookmarkStart w:id="9" w:name="_Toc35393623"/>
      <w:bookmarkStart w:id="10" w:name="_Toc28359004"/>
    </w:p>
    <w:p w14:paraId="0722A820">
      <w:pPr>
        <w:keepNext w:val="0"/>
        <w:keepLines w:val="0"/>
        <w:pageBreakBefore w:val="0"/>
        <w:widowControl w:val="0"/>
        <w:kinsoku/>
        <w:wordWrap/>
        <w:overflowPunct/>
        <w:topLinePunct w:val="0"/>
        <w:autoSpaceDE/>
        <w:autoSpaceDN/>
        <w:bidi w:val="0"/>
        <w:adjustRightInd/>
        <w:snapToGrid/>
        <w:spacing w:after="0" w:afterLines="50"/>
        <w:textAlignment w:val="auto"/>
        <w:rPr>
          <w:rFonts w:hint="eastAsia"/>
          <w:color w:val="000000" w:themeColor="text1"/>
          <w:highlight w:val="none"/>
          <w14:textFill>
            <w14:solidFill>
              <w14:schemeClr w14:val="tx1"/>
            </w14:solidFill>
          </w14:textFill>
        </w:rPr>
      </w:pPr>
      <w:r>
        <w:rPr>
          <w:rFonts w:hint="eastAsia" w:ascii="黑体" w:hAnsi="黑体" w:eastAsia="黑体" w:cs="宋体"/>
          <w:bCs/>
          <w:color w:val="000000" w:themeColor="text1"/>
          <w:sz w:val="24"/>
          <w:highlight w:val="none"/>
          <w14:textFill>
            <w14:solidFill>
              <w14:schemeClr w14:val="tx1"/>
            </w14:solidFill>
          </w14:textFill>
        </w:rPr>
        <w:t>一、项目基本情况</w:t>
      </w:r>
      <w:bookmarkEnd w:id="2"/>
      <w:bookmarkEnd w:id="3"/>
      <w:bookmarkEnd w:id="4"/>
      <w:bookmarkEnd w:id="5"/>
      <w:bookmarkEnd w:id="6"/>
    </w:p>
    <w:p w14:paraId="675161BD">
      <w:pPr>
        <w:spacing w:line="360" w:lineRule="auto"/>
        <w:ind w:firstLine="420" w:firstLineChars="200"/>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项目编号：</w:t>
      </w:r>
      <w:r>
        <w:rPr>
          <w:rFonts w:hint="eastAsia" w:ascii="宋体" w:hAnsi="宋体"/>
          <w:color w:val="000000" w:themeColor="text1"/>
          <w:szCs w:val="21"/>
          <w:highlight w:val="none"/>
          <w:lang w:eastAsia="zh-CN"/>
          <w14:textFill>
            <w14:solidFill>
              <w14:schemeClr w14:val="tx1"/>
            </w14:solidFill>
          </w14:textFill>
        </w:rPr>
        <w:t>NNZC2026-J1-990724-GXJT</w:t>
      </w:r>
    </w:p>
    <w:p w14:paraId="05379D3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采购计划文号：NNZC[2026]4299号</w:t>
      </w:r>
    </w:p>
    <w:p w14:paraId="24E9C6A0">
      <w:pPr>
        <w:spacing w:line="360" w:lineRule="auto"/>
        <w:ind w:firstLine="420" w:firstLineChars="200"/>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r>
        <w:rPr>
          <w:rFonts w:hint="eastAsia" w:ascii="宋体" w:hAnsi="宋体"/>
          <w:color w:val="000000" w:themeColor="text1"/>
          <w:szCs w:val="21"/>
          <w:highlight w:val="none"/>
          <w:lang w:eastAsia="zh-CN"/>
          <w14:textFill>
            <w14:solidFill>
              <w14:schemeClr w14:val="tx1"/>
            </w14:solidFill>
          </w14:textFill>
        </w:rPr>
        <w:t>档案室库房设备采购项目</w:t>
      </w:r>
    </w:p>
    <w:p w14:paraId="155E658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预算金额：71</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910628万元</w:t>
      </w:r>
    </w:p>
    <w:p w14:paraId="567EF7C5">
      <w:pPr>
        <w:spacing w:line="360" w:lineRule="auto"/>
        <w:ind w:firstLine="420" w:firstLineChars="200"/>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最高限价：71</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910628万元</w:t>
      </w:r>
    </w:p>
    <w:p w14:paraId="4D8D8575">
      <w:pPr>
        <w:spacing w:line="360" w:lineRule="auto"/>
        <w:ind w:firstLine="420" w:firstLineChars="200"/>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采购需求：档案室库房设备采购</w:t>
      </w:r>
      <w:r>
        <w:rPr>
          <w:rFonts w:hint="eastAsia" w:ascii="宋体" w:hAnsi="宋体"/>
          <w:color w:val="000000" w:themeColor="text1"/>
          <w:szCs w:val="21"/>
          <w:highlight w:val="none"/>
          <w:lang w:val="en-US" w:eastAsia="zh-CN"/>
          <w14:textFill>
            <w14:solidFill>
              <w14:schemeClr w14:val="tx1"/>
            </w14:solidFill>
          </w14:textFill>
        </w:rPr>
        <w:t>1批，具体内容详见采购文件第二章采购需求。</w:t>
      </w:r>
    </w:p>
    <w:p w14:paraId="1DD5F193">
      <w:pPr>
        <w:spacing w:line="360" w:lineRule="auto"/>
        <w:ind w:firstLine="420" w:firstLineChars="200"/>
        <w:rPr>
          <w:rFonts w:hint="eastAsia" w:ascii="宋体" w:hAnsi="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合同履行期限：</w:t>
      </w:r>
      <w:r>
        <w:rPr>
          <w:rFonts w:hint="eastAsia" w:ascii="宋体" w:hAnsi="宋体"/>
          <w:color w:val="000000" w:themeColor="text1"/>
          <w:szCs w:val="21"/>
          <w:highlight w:val="none"/>
          <w:lang w:eastAsia="zh-CN"/>
          <w14:textFill>
            <w14:solidFill>
              <w14:schemeClr w14:val="tx1"/>
            </w14:solidFill>
          </w14:textFill>
        </w:rPr>
        <w:t>自合同签订之日起至货物验收合格之日止。</w:t>
      </w:r>
    </w:p>
    <w:p w14:paraId="2EF51612">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本项目是否接受联合体响应：□是/</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否。</w:t>
      </w:r>
    </w:p>
    <w:p w14:paraId="424CE6FC">
      <w:pPr>
        <w:spacing w:line="360" w:lineRule="auto"/>
        <w:rPr>
          <w:rFonts w:hint="eastAsia" w:ascii="黑体" w:hAnsi="黑体" w:eastAsia="黑体" w:cs="宋体"/>
          <w:bCs/>
          <w:color w:val="000000" w:themeColor="text1"/>
          <w:sz w:val="24"/>
          <w:highlight w:val="none"/>
          <w14:textFill>
            <w14:solidFill>
              <w14:schemeClr w14:val="tx1"/>
            </w14:solidFill>
          </w14:textFill>
        </w:rPr>
      </w:pPr>
      <w:bookmarkStart w:id="11" w:name="_Toc35393799"/>
      <w:bookmarkStart w:id="12" w:name="_Toc35393630"/>
      <w:bookmarkStart w:id="13" w:name="_Toc28359090"/>
      <w:bookmarkStart w:id="14" w:name="_Toc28359013"/>
      <w:bookmarkStart w:id="15" w:name="_Toc44229879"/>
      <w:r>
        <w:rPr>
          <w:rFonts w:hint="eastAsia" w:ascii="黑体" w:hAnsi="黑体" w:eastAsia="黑体" w:cs="宋体"/>
          <w:b/>
          <w:color w:val="000000" w:themeColor="text1"/>
          <w:kern w:val="44"/>
          <w:sz w:val="24"/>
          <w:highlight w:val="none"/>
          <w14:textFill>
            <w14:solidFill>
              <w14:schemeClr w14:val="tx1"/>
            </w14:solidFill>
          </w14:textFill>
        </w:rPr>
        <w:t>二、供应商的资格条件</w:t>
      </w:r>
      <w:bookmarkEnd w:id="11"/>
      <w:bookmarkEnd w:id="12"/>
      <w:bookmarkEnd w:id="13"/>
      <w:bookmarkEnd w:id="14"/>
      <w:bookmarkEnd w:id="15"/>
    </w:p>
    <w:p w14:paraId="35EB256C">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1.满足《中华人民共和国政府采购法》第二十二条规定；</w:t>
      </w:r>
    </w:p>
    <w:p w14:paraId="2485B73F">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2.落实政府采购政策需满足的资格要求：</w:t>
      </w:r>
    </w:p>
    <w:p w14:paraId="233FFA71">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专门面向小微企业采购的项目（供应商竞标产品应均为小微企业或监狱企业或残疾人福利性单位制造)</w:t>
      </w:r>
    </w:p>
    <w:p w14:paraId="1E0C0C0E">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非专门面向中小企业采购的项目</w:t>
      </w:r>
    </w:p>
    <w:p w14:paraId="0F03F907">
      <w:pPr>
        <w:snapToGrid w:val="0"/>
        <w:spacing w:line="360" w:lineRule="auto"/>
        <w:ind w:firstLine="420" w:firstLineChars="20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3.本项目的特定资格要求：</w:t>
      </w:r>
      <w:r>
        <w:rPr>
          <w:rFonts w:hint="eastAsia" w:ascii="宋体" w:hAnsi="宋体"/>
          <w:color w:val="000000" w:themeColor="text1"/>
          <w:szCs w:val="21"/>
          <w:highlight w:val="none"/>
          <w:lang w:eastAsia="zh-CN"/>
          <w14:textFill>
            <w14:solidFill>
              <w14:schemeClr w14:val="tx1"/>
            </w14:solidFill>
          </w14:textFill>
        </w:rPr>
        <w:t>无</w:t>
      </w:r>
    </w:p>
    <w:p w14:paraId="106C7B21">
      <w:pPr>
        <w:snapToGrid w:val="0"/>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4.本项目的特定条件：无</w:t>
      </w:r>
    </w:p>
    <w:p w14:paraId="777D69DF">
      <w:pPr>
        <w:snapToGrid w:val="0"/>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F03F75E">
      <w:pPr>
        <w:snapToGrid w:val="0"/>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7D113ECA">
      <w:pPr>
        <w:spacing w:line="360" w:lineRule="auto"/>
        <w:rPr>
          <w:rFonts w:hint="eastAsia"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三、获取竞争性谈判文件</w:t>
      </w:r>
      <w:bookmarkEnd w:id="7"/>
      <w:bookmarkEnd w:id="8"/>
      <w:bookmarkEnd w:id="9"/>
      <w:bookmarkEnd w:id="10"/>
    </w:p>
    <w:p w14:paraId="270595F6">
      <w:pPr>
        <w:snapToGrid w:val="0"/>
        <w:spacing w:line="360" w:lineRule="auto"/>
        <w:ind w:firstLine="420" w:firstLineChars="200"/>
        <w:rPr>
          <w:rFonts w:hint="eastAsia" w:ascii="宋体" w:hAnsi="宋体"/>
          <w:color w:val="000000" w:themeColor="text1"/>
          <w:szCs w:val="21"/>
          <w:highlight w:val="none"/>
          <w14:textFill>
            <w14:solidFill>
              <w14:schemeClr w14:val="tx1"/>
            </w14:solidFill>
          </w14:textFill>
        </w:rPr>
      </w:pPr>
      <w:bookmarkStart w:id="16" w:name="_Toc35393793"/>
      <w:bookmarkStart w:id="17" w:name="_Toc28359005"/>
      <w:bookmarkStart w:id="18" w:name="_Toc28359082"/>
      <w:bookmarkStart w:id="19" w:name="_Toc35393624"/>
      <w:r>
        <w:rPr>
          <w:rFonts w:hint="eastAsia" w:ascii="宋体" w:hAnsi="宋体"/>
          <w:color w:val="000000" w:themeColor="text1"/>
          <w:szCs w:val="21"/>
          <w:highlight w:val="none"/>
          <w14:textFill>
            <w14:solidFill>
              <w14:schemeClr w14:val="tx1"/>
            </w14:solidFill>
          </w14:textFill>
        </w:rPr>
        <w:t>时间：自公告发布之日起至响应文件递交截止时间止。</w:t>
      </w:r>
    </w:p>
    <w:p w14:paraId="44AD9400">
      <w:pPr>
        <w:spacing w:line="360" w:lineRule="auto"/>
        <w:ind w:firstLine="420" w:firstLineChars="200"/>
        <w:rPr>
          <w:rFonts w:hint="eastAsia" w:ascii="黑体" w:hAnsi="黑体" w:eastAsia="黑体"/>
          <w:b/>
          <w:bCs/>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获取方式：网上下载。本项目不发放纸质采购文件，供应商可自行在广西政府采购云平台（http：//www.gcy.zfcg.gxzf.gov.cn）下载采购文件（操作路径：登录广西政府采购云平台-项目采购-获取采购文件-找到本项目-点击“申请获取采购文件”），电子响应文件制作需要基于广西政府采购云平台（http：//www.gcy.zfcg.gxzf.gov.cn）获取的采购文件编制。</w:t>
      </w:r>
    </w:p>
    <w:p w14:paraId="30F5196A">
      <w:pPr>
        <w:snapToGrid w:val="0"/>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售价：0元。</w:t>
      </w:r>
    </w:p>
    <w:p w14:paraId="4E339277">
      <w:pPr>
        <w:spacing w:line="360" w:lineRule="auto"/>
        <w:rPr>
          <w:rFonts w:hint="eastAsia"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四、</w:t>
      </w:r>
      <w:bookmarkEnd w:id="16"/>
      <w:bookmarkEnd w:id="17"/>
      <w:bookmarkEnd w:id="18"/>
      <w:bookmarkEnd w:id="19"/>
      <w:r>
        <w:rPr>
          <w:rFonts w:hint="eastAsia" w:ascii="黑体" w:hAnsi="黑体" w:eastAsia="黑体"/>
          <w:b/>
          <w:bCs/>
          <w:color w:val="000000" w:themeColor="text1"/>
          <w:sz w:val="24"/>
          <w:highlight w:val="none"/>
          <w14:textFill>
            <w14:solidFill>
              <w14:schemeClr w14:val="tx1"/>
            </w14:solidFill>
          </w14:textFill>
        </w:rPr>
        <w:t>响应文件提交</w:t>
      </w:r>
    </w:p>
    <w:p w14:paraId="43E39DA1">
      <w:pPr>
        <w:spacing w:line="360" w:lineRule="auto"/>
        <w:ind w:firstLine="420" w:firstLineChars="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首次响应文件提交截止时间</w:t>
      </w:r>
      <w:r>
        <w:rPr>
          <w:rFonts w:hint="eastAsia" w:ascii="宋体" w:hAnsi="宋体"/>
          <w:bCs/>
          <w:color w:val="000000" w:themeColor="text1"/>
          <w:szCs w:val="21"/>
          <w:highlight w:val="none"/>
          <w14:textFill>
            <w14:solidFill>
              <w14:schemeClr w14:val="tx1"/>
            </w14:solidFill>
          </w14:textFill>
        </w:rPr>
        <w:t>（北京时间）：</w:t>
      </w:r>
      <w:r>
        <w:rPr>
          <w:rFonts w:hint="eastAsia" w:ascii="宋体" w:hAnsi="宋体"/>
          <w:color w:val="000000" w:themeColor="text1"/>
          <w:szCs w:val="21"/>
          <w:u w:val="single"/>
          <w:lang w:val="en-US" w:eastAsia="zh-CN"/>
          <w14:textFill>
            <w14:solidFill>
              <w14:schemeClr w14:val="tx1"/>
            </w14:solidFill>
          </w14:textFill>
        </w:rPr>
        <w:t>2026-09-15 13:00:00</w:t>
      </w:r>
      <w:r>
        <w:rPr>
          <w:rFonts w:hint="eastAsia" w:ascii="宋体" w:hAnsi="宋体" w:cs="宋体"/>
          <w:color w:val="000000" w:themeColor="text1"/>
          <w:szCs w:val="21"/>
          <w:highlight w:val="none"/>
          <w:u w:val="single"/>
          <w14:textFill>
            <w14:solidFill>
              <w14:schemeClr w14:val="tx1"/>
            </w14:solidFill>
          </w14:textFill>
        </w:rPr>
        <w:t>（从谈判文件开始发出之日起至供应商提交首次响应文件截止之日止不得少于3个工作日）</w:t>
      </w:r>
    </w:p>
    <w:p w14:paraId="56060068">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首次响应文件提交地点：</w:t>
      </w:r>
    </w:p>
    <w:p w14:paraId="66992024">
      <w:pPr>
        <w:widowControl/>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响应文件提交方式：本项目为南宁市全流程电子化项目，通过广西政府采购云平台（http：//www.gcy.zfcg.gxzf.gov.cn）实行在线电子响应，供应商应先安装“广西政府采购云平台电子交易客户端”（请自行前往广西政府采购云平台进行下载），并按照本项目采购文件和广西政府采购云平台的要求编制、加密后在</w:t>
      </w:r>
      <w:r>
        <w:rPr>
          <w:rFonts w:hint="eastAsia" w:ascii="宋体" w:hAnsi="宋体"/>
          <w:color w:val="000000" w:themeColor="text1"/>
          <w:szCs w:val="21"/>
          <w:highlight w:val="none"/>
          <w:lang w:val="en-US" w:eastAsia="zh-CN"/>
          <w14:textFill>
            <w14:solidFill>
              <w14:schemeClr w14:val="tx1"/>
            </w14:solidFill>
          </w14:textFill>
        </w:rPr>
        <w:t>响应</w:t>
      </w:r>
      <w:r>
        <w:rPr>
          <w:rFonts w:hint="eastAsia" w:ascii="宋体" w:hAnsi="宋体"/>
          <w:color w:val="000000" w:themeColor="text1"/>
          <w:szCs w:val="21"/>
          <w:highlight w:val="none"/>
          <w14:textFill>
            <w14:solidFill>
              <w14:schemeClr w14:val="tx1"/>
            </w14:solidFill>
          </w14:textFill>
        </w:rPr>
        <w:t>截止时间前通过网络上传至广西政府采购云平台，</w:t>
      </w:r>
      <w:r>
        <w:rPr>
          <w:rFonts w:hint="eastAsia" w:ascii="宋体" w:hAnsi="宋体"/>
          <w:b/>
          <w:color w:val="000000" w:themeColor="text1"/>
          <w:szCs w:val="21"/>
          <w:highlight w:val="none"/>
          <w14:textFill>
            <w14:solidFill>
              <w14:schemeClr w14:val="tx1"/>
            </w14:solidFill>
          </w14:textFill>
        </w:rPr>
        <w:t>供应商在广西政府采购云平台提交电子版响应文件时，请填写参加远程采购活动经办人联系方式，</w:t>
      </w:r>
      <w:r>
        <w:rPr>
          <w:rFonts w:hint="eastAsia" w:ascii="宋体" w:hAnsi="宋体"/>
          <w:color w:val="000000" w:themeColor="text1"/>
          <w:szCs w:val="21"/>
          <w:highlight w:val="none"/>
          <w14:textFill>
            <w14:solidFill>
              <w14:schemeClr w14:val="tx1"/>
            </w14:solidFill>
          </w14:textFill>
        </w:rPr>
        <w:t>电子响应文件具体操作流程详见本公告</w:t>
      </w:r>
      <w:r>
        <w:rPr>
          <w:rFonts w:hint="eastAsia" w:ascii="宋体" w:hAnsi="宋体"/>
          <w:b/>
          <w:color w:val="000000" w:themeColor="text1"/>
          <w:szCs w:val="21"/>
          <w:highlight w:val="none"/>
          <w14:textFill>
            <w14:solidFill>
              <w14:schemeClr w14:val="tx1"/>
            </w14:solidFill>
          </w14:textFill>
        </w:rPr>
        <w:t>附件3</w:t>
      </w:r>
      <w:r>
        <w:rPr>
          <w:rFonts w:hint="eastAsia" w:ascii="宋体" w:hAnsi="宋体"/>
          <w:color w:val="000000" w:themeColor="text1"/>
          <w:szCs w:val="21"/>
          <w:highlight w:val="none"/>
          <w14:textFill>
            <w14:solidFill>
              <w14:schemeClr w14:val="tx1"/>
            </w14:solidFill>
          </w14:textFill>
        </w:rPr>
        <w:t>。</w:t>
      </w:r>
    </w:p>
    <w:p w14:paraId="5095DDD5">
      <w:pPr>
        <w:widowControl/>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（2）未进行网上注册并办理数字证书（CA认证）的供应商将无法参与本项目政府采购活动，潜在供应商应要尽早完成电子交易平台上的CA数字证书办理（申领流程见本公告</w:t>
      </w:r>
      <w:r>
        <w:rPr>
          <w:rFonts w:hint="eastAsia" w:ascii="宋体" w:hAnsi="宋体"/>
          <w:b/>
          <w:color w:val="000000" w:themeColor="text1"/>
          <w:szCs w:val="21"/>
          <w:highlight w:val="none"/>
          <w14:textFill>
            <w14:solidFill>
              <w14:schemeClr w14:val="tx1"/>
            </w14:solidFill>
          </w14:textFill>
        </w:rPr>
        <w:t>附件2</w:t>
      </w:r>
      <w:r>
        <w:rPr>
          <w:rFonts w:hint="eastAsia" w:ascii="宋体" w:hAnsi="宋体"/>
          <w:color w:val="000000" w:themeColor="text1"/>
          <w:szCs w:val="21"/>
          <w:highlight w:val="none"/>
          <w14:textFill>
            <w14:solidFill>
              <w14:schemeClr w14:val="tx1"/>
            </w14:solidFill>
          </w14:textFill>
        </w:rPr>
        <w:t>），并在首次响应文件提交截止时间前提交响应文件。</w:t>
      </w:r>
    </w:p>
    <w:p w14:paraId="69AB8DBB">
      <w:pPr>
        <w:widowControl/>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（3）为确保网上操作合法、有效和安全，请供应商确保在电子响应过程中能够对相关数据电文进行加密和使用电子签章，妥善保管CA数字证书并使用有效的CA数字证书参与整个采购活动。</w:t>
      </w:r>
    </w:p>
    <w:p w14:paraId="072F3344">
      <w:pPr>
        <w:spacing w:line="360" w:lineRule="auto"/>
        <w:ind w:firstLine="420" w:firstLineChars="200"/>
        <w:rPr>
          <w:rFonts w:hint="eastAsia"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u w:val="single"/>
          <w14:textFill>
            <w14:solidFill>
              <w14:schemeClr w14:val="tx1"/>
            </w14:solidFill>
          </w14:textFill>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520B65CC">
      <w:pPr>
        <w:numPr>
          <w:ilvl w:val="0"/>
          <w:numId w:val="0"/>
        </w:numPr>
        <w:snapToGrid w:val="0"/>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 w:val="21"/>
          <w:szCs w:val="21"/>
          <w:highlight w:val="none"/>
          <w:lang w:val="en-US" w:eastAsia="zh-CN" w:bidi="ar-SA"/>
          <w14:textFill>
            <w14:solidFill>
              <w14:schemeClr w14:val="tx1"/>
            </w14:solidFill>
          </w14:textFill>
        </w:rPr>
        <w:t>3.</w:t>
      </w:r>
      <w:r>
        <w:rPr>
          <w:rFonts w:hint="eastAsia" w:ascii="宋体" w:hAnsi="宋体" w:cs="宋体"/>
          <w:color w:val="000000" w:themeColor="text1"/>
          <w:kern w:val="0"/>
          <w:szCs w:val="21"/>
          <w:highlight w:val="none"/>
          <w14:textFill>
            <w14:solidFill>
              <w14:schemeClr w14:val="tx1"/>
            </w14:solidFill>
          </w14:textFill>
        </w:rPr>
        <w:t>CA证书在线解密：首次响应文件开启时，</w:t>
      </w:r>
      <w:r>
        <w:rPr>
          <w:rFonts w:hint="eastAsia" w:ascii="宋体" w:hAnsi="宋体" w:cs="宋体"/>
          <w:b/>
          <w:color w:val="000000" w:themeColor="text1"/>
          <w:kern w:val="0"/>
          <w:szCs w:val="21"/>
          <w:highlight w:val="none"/>
          <w14:textFill>
            <w14:solidFill>
              <w14:schemeClr w14:val="tx1"/>
            </w14:solidFill>
          </w14:textFill>
        </w:rPr>
        <w:t>须要供应商携带制作响应文件时用来加密的有效数字证书（CA认证）</w:t>
      </w:r>
      <w:r>
        <w:rPr>
          <w:rFonts w:hint="eastAsia" w:ascii="宋体" w:hAnsi="宋体" w:cs="宋体"/>
          <w:color w:val="000000" w:themeColor="text1"/>
          <w:kern w:val="0"/>
          <w:szCs w:val="21"/>
          <w:highlight w:val="none"/>
          <w14:textFill>
            <w14:solidFill>
              <w14:schemeClr w14:val="tx1"/>
            </w14:solidFill>
          </w14:textFill>
        </w:rPr>
        <w:t>登录广西政府采购云平台电子</w:t>
      </w:r>
      <w:r>
        <w:rPr>
          <w:rFonts w:hint="eastAsia" w:ascii="宋体" w:hAnsi="宋体" w:eastAsia="宋体" w:cs="宋体"/>
          <w:color w:val="000000" w:themeColor="text1"/>
          <w:kern w:val="0"/>
          <w:szCs w:val="21"/>
          <w:highlight w:val="none"/>
          <w14:textFill>
            <w14:solidFill>
              <w14:schemeClr w14:val="tx1"/>
            </w14:solidFill>
          </w14:textFill>
        </w:rPr>
        <w:t>开标大厅现场按规定时间对加密的响应文件进行解密，详见采购文件“第三章供应商须知正文25.2条</w:t>
      </w:r>
      <w:r>
        <w:rPr>
          <w:rFonts w:hint="eastAsia"/>
          <w:color w:val="000000" w:themeColor="text1"/>
          <w:highlight w:val="none"/>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，未能按要求进行解密的，由此产生的后果由</w:t>
      </w:r>
      <w:r>
        <w:rPr>
          <w:rFonts w:hint="eastAsia" w:ascii="宋体" w:hAnsi="宋体" w:cs="宋体"/>
          <w:color w:val="000000" w:themeColor="text1"/>
          <w:kern w:val="0"/>
          <w:szCs w:val="21"/>
          <w:highlight w:val="none"/>
          <w:lang w:val="en-US" w:eastAsia="zh-CN"/>
          <w14:textFill>
            <w14:solidFill>
              <w14:schemeClr w14:val="tx1"/>
            </w14:solidFill>
          </w14:textFill>
        </w:rPr>
        <w:t>竞标</w:t>
      </w:r>
      <w:r>
        <w:rPr>
          <w:rFonts w:hint="eastAsia" w:ascii="宋体" w:hAnsi="宋体" w:cs="宋体"/>
          <w:color w:val="000000" w:themeColor="text1"/>
          <w:kern w:val="0"/>
          <w:szCs w:val="21"/>
          <w:highlight w:val="none"/>
          <w14:textFill>
            <w14:solidFill>
              <w14:schemeClr w14:val="tx1"/>
            </w14:solidFill>
          </w14:textFill>
        </w:rPr>
        <w:t>人自行承担。</w:t>
      </w:r>
    </w:p>
    <w:p w14:paraId="7065DB68">
      <w:pPr>
        <w:numPr>
          <w:ilvl w:val="0"/>
          <w:numId w:val="0"/>
        </w:numPr>
        <w:snapToGrid w:val="0"/>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 w:val="21"/>
          <w:szCs w:val="21"/>
          <w:highlight w:val="none"/>
          <w:lang w:val="en-US" w:eastAsia="zh-CN" w:bidi="ar-SA"/>
          <w14:textFill>
            <w14:solidFill>
              <w14:schemeClr w14:val="tx1"/>
            </w14:solidFill>
          </w14:textFill>
        </w:rPr>
        <w:t>4.</w:t>
      </w:r>
      <w:r>
        <w:rPr>
          <w:rFonts w:hint="eastAsia" w:ascii="宋体" w:hAnsi="宋体" w:cs="宋体"/>
          <w:color w:val="000000" w:themeColor="text1"/>
          <w:kern w:val="0"/>
          <w:szCs w:val="21"/>
          <w:highlight w:val="none"/>
          <w14:textFill>
            <w14:solidFill>
              <w14:schemeClr w14:val="tx1"/>
            </w14:solidFill>
          </w14:textFill>
        </w:rPr>
        <w:t>供应商需要在具备有摄像头及语音功能且互联网网络状况良好的电脑登录广西政府采购云平台远程开标大厅参与本次谈判，否则后果自负。</w:t>
      </w:r>
    </w:p>
    <w:p w14:paraId="77CCD1AD">
      <w:pPr>
        <w:spacing w:line="360" w:lineRule="auto"/>
        <w:rPr>
          <w:rFonts w:hint="eastAsia"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五、开启（首次响应文件开启时间）</w:t>
      </w:r>
    </w:p>
    <w:p w14:paraId="2ED98F77">
      <w:pPr>
        <w:spacing w:line="360" w:lineRule="auto"/>
        <w:ind w:firstLine="420" w:firstLineChars="200"/>
        <w:rPr>
          <w:rFonts w:hint="eastAsia" w:ascii="宋体" w:hAnsi="宋体"/>
          <w:bC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1.时间</w:t>
      </w:r>
      <w:r>
        <w:rPr>
          <w:rFonts w:hint="eastAsia" w:ascii="宋体" w:hAnsi="宋体"/>
          <w:bCs/>
          <w:color w:val="000000" w:themeColor="text1"/>
          <w:szCs w:val="21"/>
          <w:highlight w:val="none"/>
          <w14:textFill>
            <w14:solidFill>
              <w14:schemeClr w14:val="tx1"/>
            </w14:solidFill>
          </w14:textFill>
        </w:rPr>
        <w:t>（北京时间）</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u w:val="single"/>
          <w:lang w:val="en-US" w:eastAsia="zh-CN"/>
          <w14:textFill>
            <w14:solidFill>
              <w14:schemeClr w14:val="tx1"/>
            </w14:solidFill>
          </w14:textFill>
        </w:rPr>
        <w:t>2026-09-15 13:00:00</w:t>
      </w:r>
      <w:bookmarkStart w:id="249" w:name="_GoBack"/>
      <w:bookmarkEnd w:id="249"/>
      <w:r>
        <w:rPr>
          <w:rFonts w:hint="eastAsia" w:ascii="宋体" w:hAnsi="宋体"/>
          <w:color w:val="000000" w:themeColor="text1"/>
          <w:szCs w:val="21"/>
          <w:highlight w:val="none"/>
          <w14:textFill>
            <w14:solidFill>
              <w14:schemeClr w14:val="tx1"/>
            </w14:solidFill>
          </w14:textFill>
        </w:rPr>
        <w:t>后</w:t>
      </w:r>
    </w:p>
    <w:p w14:paraId="62906537">
      <w:pPr>
        <w:spacing w:line="360" w:lineRule="auto"/>
        <w:ind w:firstLine="420" w:firstLineChars="200"/>
        <w:rPr>
          <w:rFonts w:hint="eastAsia" w:ascii="宋体" w:hAnsi="宋体" w:eastAsia="宋体"/>
          <w:bCs/>
          <w:color w:val="000000" w:themeColor="text1"/>
          <w:szCs w:val="21"/>
          <w:highlight w:val="none"/>
          <w:u w:val="singl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2.地点：</w:t>
      </w:r>
      <w:r>
        <w:rPr>
          <w:rFonts w:hint="eastAsia" w:ascii="宋体" w:hAnsi="宋体"/>
          <w:color w:val="000000" w:themeColor="text1"/>
          <w:szCs w:val="21"/>
          <w:highlight w:val="none"/>
          <w:u w:val="single"/>
          <w14:textFill>
            <w14:solidFill>
              <w14:schemeClr w14:val="tx1"/>
            </w14:solidFill>
          </w14:textFill>
        </w:rPr>
        <w:t>广西政府采购云平台电子开标大厅</w:t>
      </w:r>
    </w:p>
    <w:p w14:paraId="2461F7C5">
      <w:pPr>
        <w:spacing w:line="360" w:lineRule="auto"/>
        <w:rPr>
          <w:rFonts w:hint="eastAsia" w:ascii="黑体" w:hAnsi="黑体" w:eastAsia="黑体"/>
          <w:b/>
          <w:bCs/>
          <w:color w:val="000000" w:themeColor="text1"/>
          <w:sz w:val="24"/>
          <w:highlight w:val="none"/>
          <w14:textFill>
            <w14:solidFill>
              <w14:schemeClr w14:val="tx1"/>
            </w14:solidFill>
          </w14:textFill>
        </w:rPr>
      </w:pPr>
      <w:bookmarkStart w:id="20" w:name="_Toc35393625"/>
      <w:bookmarkStart w:id="21" w:name="_Toc28359084"/>
      <w:bookmarkStart w:id="22" w:name="_Toc35393794"/>
      <w:bookmarkStart w:id="23" w:name="_Toc28359007"/>
      <w:r>
        <w:rPr>
          <w:rFonts w:hint="eastAsia" w:ascii="黑体" w:hAnsi="黑体" w:eastAsia="黑体"/>
          <w:b/>
          <w:bCs/>
          <w:color w:val="000000" w:themeColor="text1"/>
          <w:sz w:val="24"/>
          <w:highlight w:val="none"/>
          <w14:textFill>
            <w14:solidFill>
              <w14:schemeClr w14:val="tx1"/>
            </w14:solidFill>
          </w14:textFill>
        </w:rPr>
        <w:t>六、公告期限</w:t>
      </w:r>
      <w:bookmarkEnd w:id="20"/>
      <w:bookmarkEnd w:id="21"/>
      <w:bookmarkEnd w:id="22"/>
      <w:bookmarkEnd w:id="23"/>
    </w:p>
    <w:p w14:paraId="40E844E4">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自本公告发布之日起3个工作日。</w:t>
      </w:r>
    </w:p>
    <w:p w14:paraId="4A3A8E27">
      <w:pPr>
        <w:spacing w:line="360" w:lineRule="auto"/>
        <w:rPr>
          <w:rFonts w:hint="eastAsia" w:ascii="黑体" w:hAnsi="黑体" w:eastAsia="黑体"/>
          <w:b/>
          <w:bCs/>
          <w:color w:val="000000" w:themeColor="text1"/>
          <w:sz w:val="24"/>
          <w:highlight w:val="none"/>
          <w14:textFill>
            <w14:solidFill>
              <w14:schemeClr w14:val="tx1"/>
            </w14:solidFill>
          </w14:textFill>
        </w:rPr>
      </w:pPr>
      <w:bookmarkStart w:id="24" w:name="_Toc35393795"/>
      <w:bookmarkStart w:id="25" w:name="_Toc35393626"/>
      <w:r>
        <w:rPr>
          <w:rFonts w:hint="eastAsia" w:ascii="黑体" w:hAnsi="黑体" w:eastAsia="黑体"/>
          <w:b/>
          <w:bCs/>
          <w:color w:val="000000" w:themeColor="text1"/>
          <w:sz w:val="24"/>
          <w:highlight w:val="none"/>
          <w14:textFill>
            <w14:solidFill>
              <w14:schemeClr w14:val="tx1"/>
            </w14:solidFill>
          </w14:textFill>
        </w:rPr>
        <w:t>七、其他补充事宜</w:t>
      </w:r>
      <w:bookmarkEnd w:id="24"/>
      <w:bookmarkEnd w:id="25"/>
    </w:p>
    <w:p w14:paraId="35774032">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1.谈判保证金：本项目不收取谈判保证金</w:t>
      </w:r>
    </w:p>
    <w:p w14:paraId="45B8C67F">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kern w:val="0"/>
          <w:szCs w:val="21"/>
          <w:highlight w:val="none"/>
          <w:u w:val="singl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2.采购意向公开链接：</w:t>
      </w:r>
      <w:bookmarkStart w:id="26" w:name="_Hlk37429585"/>
      <w:r>
        <w:rPr>
          <w:rFonts w:hint="eastAsia" w:ascii="宋体" w:hAnsi="宋体" w:cs="宋体"/>
          <w:color w:val="000000" w:themeColor="text1"/>
          <w:kern w:val="0"/>
          <w:szCs w:val="21"/>
          <w:highlight w:val="none"/>
          <w14:textFill>
            <w14:solidFill>
              <w14:schemeClr w14:val="tx1"/>
            </w14:solidFill>
          </w14:textFill>
        </w:rPr>
        <w:t>http://www.ccgp-guangxi.gov.cn/site/detail?parentId=66485&amp;articleId=RQz3VpEAie9No4NlfEmx0g==</w:t>
      </w:r>
    </w:p>
    <w:p w14:paraId="4C37BCB5">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w:t>
      </w:r>
      <w:bookmarkStart w:id="27" w:name="_Hlk37429595"/>
      <w:r>
        <w:rPr>
          <w:rFonts w:hint="eastAsia" w:ascii="宋体" w:hAnsi="宋体" w:cs="宋体"/>
          <w:color w:val="000000" w:themeColor="text1"/>
          <w:kern w:val="0"/>
          <w:szCs w:val="21"/>
          <w:highlight w:val="none"/>
          <w14:textFill>
            <w14:solidFill>
              <w14:schemeClr w14:val="tx1"/>
            </w14:solidFill>
          </w14:textFill>
        </w:rPr>
        <w:t>网上查询地址</w:t>
      </w:r>
    </w:p>
    <w:bookmarkEnd w:id="26"/>
    <w:bookmarkEnd w:id="27"/>
    <w:p w14:paraId="4A4612BD">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宋体" w:hAnsi="宋体" w:cs="宋体"/>
          <w:color w:val="000000" w:themeColor="text1"/>
          <w:kern w:val="0"/>
          <w:szCs w:val="21"/>
          <w:highlight w:val="none"/>
          <w14:textFill>
            <w14:solidFill>
              <w14:schemeClr w14:val="tx1"/>
            </w14:solidFill>
          </w14:textFill>
        </w:rPr>
      </w:pPr>
      <w:bookmarkStart w:id="28" w:name="_Hlk37429674"/>
      <w:r>
        <w:rPr>
          <w:rFonts w:hint="eastAsia" w:ascii="宋体" w:hAnsi="宋体" w:cs="宋体"/>
          <w:color w:val="000000" w:themeColor="text1"/>
          <w:kern w:val="0"/>
          <w:szCs w:val="21"/>
          <w:highlight w:val="none"/>
          <w14:textFill>
            <w14:solidFill>
              <w14:schemeClr w14:val="tx1"/>
            </w14:solidFill>
          </w14:textFill>
        </w:rPr>
        <w:t>中国政府采购网广西分网（广西政府采购网）（https://zfcg.gxzf.gov.cn/），全国公共资源交易平台（广西·南宁）(http://ggzy.jgswj.gxzf.gov.cn/nnggzy/)。</w:t>
      </w:r>
    </w:p>
    <w:p w14:paraId="6A218748">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本项目需要落实的政府采购政策</w:t>
      </w:r>
    </w:p>
    <w:bookmarkEnd w:id="28"/>
    <w:p w14:paraId="055FE809">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政府采购促进中小企业发展。（2）政府采购支持采用本国产品的政策。（3）强制采购节能产品；优先采购节能产品、环境标志产品。（4）政府采购促进残疾人就业政策。（5）政府采购支持监狱企业发展。（6）扶持不发达地区和少数民族地区政策。</w:t>
      </w:r>
    </w:p>
    <w:p w14:paraId="2295A2D5">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599288B4">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6.若对项目采购电子交易系统操作有疑问，可登录广西政府采购云平台（https://www.gcy.zfcg.gxzf.gov.cn/），点击右侧咨询小采，获取采小蜜智能服务管家帮助，或拨打政采云服务热线95763获取热线服务帮助。</w:t>
      </w:r>
    </w:p>
    <w:p w14:paraId="42789D2A">
      <w:pPr>
        <w:spacing w:line="360" w:lineRule="auto"/>
        <w:rPr>
          <w:rFonts w:hint="eastAsia" w:ascii="黑体" w:hAnsi="黑体" w:eastAsia="黑体" w:cs="宋体"/>
          <w:bCs/>
          <w:color w:val="000000" w:themeColor="text1"/>
          <w:sz w:val="24"/>
          <w:highlight w:val="none"/>
          <w14:textFill>
            <w14:solidFill>
              <w14:schemeClr w14:val="tx1"/>
            </w14:solidFill>
          </w14:textFill>
        </w:rPr>
      </w:pPr>
      <w:r>
        <w:rPr>
          <w:rFonts w:hint="eastAsia" w:ascii="黑体" w:hAnsi="黑体" w:eastAsia="黑体" w:cs="宋体"/>
          <w:b/>
          <w:color w:val="000000" w:themeColor="text1"/>
          <w:kern w:val="44"/>
          <w:sz w:val="24"/>
          <w:highlight w:val="none"/>
          <w14:textFill>
            <w14:solidFill>
              <w14:schemeClr w14:val="tx1"/>
            </w14:solidFill>
          </w14:textFill>
        </w:rPr>
        <w:t>八、凡对本次采购提出询问，请按以下方式联系</w:t>
      </w:r>
    </w:p>
    <w:p w14:paraId="083FE2D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1.采购人信息</w:t>
      </w:r>
    </w:p>
    <w:p w14:paraId="5EE3570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名称：</w:t>
      </w:r>
      <w:r>
        <w:rPr>
          <w:rFonts w:hint="eastAsia" w:ascii="宋体" w:hAnsi="宋体"/>
          <w:color w:val="000000" w:themeColor="text1"/>
          <w:szCs w:val="21"/>
          <w:highlight w:val="none"/>
          <w:u w:val="single"/>
          <w:lang w:eastAsia="zh-CN"/>
          <w14:textFill>
            <w14:solidFill>
              <w14:schemeClr w14:val="tx1"/>
            </w14:solidFill>
          </w14:textFill>
        </w:rPr>
        <w:t>南宁市青秀区人民检察院</w:t>
      </w:r>
    </w:p>
    <w:p w14:paraId="1C489BE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hint="default" w:ascii="宋体" w:hAnsi="宋体"/>
          <w:color w:val="000000" w:themeColor="text1"/>
          <w:szCs w:val="21"/>
          <w:highlight w:val="none"/>
          <w:lang w:val="en-US"/>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w:t>
      </w:r>
      <w:r>
        <w:rPr>
          <w:rFonts w:hint="eastAsia" w:ascii="宋体" w:hAnsi="宋体"/>
          <w:color w:val="000000" w:themeColor="text1"/>
          <w:szCs w:val="21"/>
          <w:highlight w:val="none"/>
          <w:u w:val="single"/>
          <w:lang w:val="en-US" w:eastAsia="zh-CN"/>
          <w14:textFill>
            <w14:solidFill>
              <w14:schemeClr w14:val="tx1"/>
            </w14:solidFill>
          </w14:textFill>
        </w:rPr>
        <w:t>南宁市茶花园路19号</w:t>
      </w:r>
    </w:p>
    <w:p w14:paraId="014C1C23">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hAnsi="宋体"/>
          <w:color w:val="000000" w:themeColor="text1"/>
          <w:highlight w:val="none"/>
          <w:lang w:val="en-US"/>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项目联系人</w:t>
      </w:r>
      <w:r>
        <w:rPr>
          <w:rFonts w:hint="eastAsia" w:hAnsi="宋体"/>
          <w:color w:val="000000" w:themeColor="text1"/>
          <w:highlight w:val="none"/>
          <w14:textFill>
            <w14:solidFill>
              <w14:schemeClr w14:val="tx1"/>
            </w14:solidFill>
          </w14:textFill>
        </w:rPr>
        <w:t>：</w:t>
      </w:r>
      <w:r>
        <w:rPr>
          <w:rFonts w:hint="eastAsia" w:hAnsi="宋体" w:cs="Times New Roman"/>
          <w:color w:val="000000" w:themeColor="text1"/>
          <w:kern w:val="2"/>
          <w:sz w:val="21"/>
          <w:szCs w:val="21"/>
          <w:highlight w:val="none"/>
          <w:u w:val="single"/>
          <w:lang w:val="en-US" w:eastAsia="zh-CN" w:bidi="ar-SA"/>
          <w14:textFill>
            <w14:solidFill>
              <w14:schemeClr w14:val="tx1"/>
            </w14:solidFill>
          </w14:textFill>
        </w:rPr>
        <w:t>梁莹映</w:t>
      </w:r>
    </w:p>
    <w:p w14:paraId="4C4A7A1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hint="default" w:ascii="宋体" w:hAnsi="宋体"/>
          <w:color w:val="000000" w:themeColor="text1"/>
          <w:szCs w:val="21"/>
          <w:highlight w:val="none"/>
          <w:u w:val="single"/>
          <w:lang w:val="en-US"/>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bookmarkStart w:id="29" w:name="PO_3000001871_PM028"/>
      <w:r>
        <w:rPr>
          <w:rFonts w:hint="eastAsia" w:ascii="宋体" w:hAnsi="宋体"/>
          <w:color w:val="000000" w:themeColor="text1"/>
          <w:szCs w:val="21"/>
          <w:highlight w:val="none"/>
          <w:u w:val="single"/>
          <w:lang w:eastAsia="zh-CN"/>
          <w14:textFill>
            <w14:solidFill>
              <w14:schemeClr w14:val="tx1"/>
            </w14:solidFill>
          </w14:textFill>
        </w:rPr>
        <w:t>0771-</w:t>
      </w:r>
      <w:bookmarkEnd w:id="29"/>
      <w:r>
        <w:rPr>
          <w:rFonts w:hint="eastAsia" w:ascii="宋体" w:hAnsi="宋体"/>
          <w:color w:val="000000" w:themeColor="text1"/>
          <w:szCs w:val="21"/>
          <w:highlight w:val="none"/>
          <w:u w:val="single"/>
          <w:lang w:val="en-US" w:eastAsia="zh-CN"/>
          <w14:textFill>
            <w14:solidFill>
              <w14:schemeClr w14:val="tx1"/>
            </w14:solidFill>
          </w14:textFill>
        </w:rPr>
        <w:t>5531182</w:t>
      </w:r>
    </w:p>
    <w:p w14:paraId="0B7F652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2.采购代理机构信息</w:t>
      </w:r>
    </w:p>
    <w:p w14:paraId="194018D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名称：</w:t>
      </w:r>
      <w:bookmarkStart w:id="30" w:name="PO_3000001871_PM031_1"/>
      <w:r>
        <w:rPr>
          <w:rFonts w:hint="eastAsia" w:ascii="宋体" w:hAnsi="宋体"/>
          <w:color w:val="000000" w:themeColor="text1"/>
          <w:szCs w:val="21"/>
          <w:highlight w:val="none"/>
          <w:u w:val="single"/>
          <w:lang w:eastAsia="zh-CN"/>
          <w14:textFill>
            <w14:solidFill>
              <w14:schemeClr w14:val="tx1"/>
            </w14:solidFill>
          </w14:textFill>
        </w:rPr>
        <w:t>广西建通工程咨询有限责任公司</w:t>
      </w:r>
      <w:bookmarkEnd w:id="30"/>
    </w:p>
    <w:p w14:paraId="4E11654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w:t>
      </w:r>
      <w:r>
        <w:rPr>
          <w:rFonts w:hint="eastAsia" w:ascii="宋体" w:hAnsi="宋体" w:cs="宋体"/>
          <w:color w:val="000000" w:themeColor="text1"/>
          <w:szCs w:val="21"/>
          <w:highlight w:val="none"/>
          <w:u w:val="single"/>
          <w14:textFill>
            <w14:solidFill>
              <w14:schemeClr w14:val="tx1"/>
            </w14:solidFill>
          </w14:textFill>
        </w:rPr>
        <w:t>南宁市江南区金凯路26号广西建通中心12楼</w:t>
      </w:r>
    </w:p>
    <w:p w14:paraId="3FE62C7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r>
        <w:rPr>
          <w:rFonts w:hint="eastAsia" w:ascii="宋体" w:hAnsi="宋体" w:cs="宋体"/>
          <w:color w:val="000000" w:themeColor="text1"/>
          <w:szCs w:val="21"/>
          <w:highlight w:val="none"/>
          <w:u w:val="single"/>
          <w14:textFill>
            <w14:solidFill>
              <w14:schemeClr w14:val="tx1"/>
            </w14:solidFill>
          </w14:textFill>
        </w:rPr>
        <w:t>0771-2863138</w:t>
      </w:r>
    </w:p>
    <w:p w14:paraId="273AF47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3.项目联系方式</w:t>
      </w:r>
    </w:p>
    <w:p w14:paraId="53C039E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项目联系人：</w:t>
      </w:r>
      <w:r>
        <w:rPr>
          <w:rFonts w:hint="eastAsia" w:ascii="宋体" w:hAnsi="宋体" w:cs="宋体"/>
          <w:color w:val="000000" w:themeColor="text1"/>
          <w:szCs w:val="21"/>
          <w:highlight w:val="none"/>
          <w:u w:val="single"/>
          <w:lang w:val="en-US" w:eastAsia="zh-CN"/>
          <w14:textFill>
            <w14:solidFill>
              <w14:schemeClr w14:val="tx1"/>
            </w14:solidFill>
          </w14:textFill>
        </w:rPr>
        <w:t>魏飘飘</w:t>
      </w:r>
      <w:r>
        <w:rPr>
          <w:rFonts w:hint="eastAsia" w:ascii="宋体" w:hAnsi="宋体"/>
          <w:color w:val="000000" w:themeColor="text1"/>
          <w:szCs w:val="21"/>
          <w:highlight w:val="none"/>
          <w:u w:val="single"/>
          <w:lang w:eastAsia="zh-CN"/>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周郑华</w:t>
      </w:r>
    </w:p>
    <w:p w14:paraId="5810954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电话：</w:t>
      </w:r>
      <w:r>
        <w:rPr>
          <w:rFonts w:hint="eastAsia" w:ascii="宋体" w:hAnsi="宋体" w:cs="宋体"/>
          <w:color w:val="000000" w:themeColor="text1"/>
          <w:szCs w:val="21"/>
          <w:highlight w:val="none"/>
          <w:u w:val="single"/>
          <w14:textFill>
            <w14:solidFill>
              <w14:schemeClr w14:val="tx1"/>
            </w14:solidFill>
          </w14:textFill>
        </w:rPr>
        <w:t>0771-2863138</w:t>
      </w:r>
    </w:p>
    <w:p w14:paraId="2B06571B">
      <w:pPr>
        <w:pStyle w:val="11"/>
        <w:keepNext w:val="0"/>
        <w:keepLines w:val="0"/>
        <w:pageBreakBefore w:val="0"/>
        <w:widowControl w:val="0"/>
        <w:kinsoku/>
        <w:wordWrap/>
        <w:overflowPunct/>
        <w:topLinePunct w:val="0"/>
        <w:autoSpaceDE/>
        <w:autoSpaceDN/>
        <w:bidi w:val="0"/>
        <w:adjustRightInd/>
        <w:snapToGrid/>
        <w:spacing w:before="0" w:beforeLines="200" w:after="120" w:line="360" w:lineRule="auto"/>
        <w:ind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附件：1.</w:t>
      </w:r>
      <w:r>
        <w:rPr>
          <w:rFonts w:hint="eastAsia" w:ascii="宋体" w:hAnsi="宋体"/>
          <w:color w:val="000000" w:themeColor="text1"/>
          <w:szCs w:val="21"/>
          <w:highlight w:val="none"/>
          <w:lang w:eastAsia="zh-CN"/>
          <w14:textFill>
            <w14:solidFill>
              <w14:schemeClr w14:val="tx1"/>
            </w14:solidFill>
          </w14:textFill>
        </w:rPr>
        <w:t>档案室库房设备采购项目</w:t>
      </w:r>
      <w:r>
        <w:rPr>
          <w:rFonts w:hint="eastAsia" w:ascii="宋体" w:hAnsi="宋体"/>
          <w:color w:val="000000" w:themeColor="text1"/>
          <w:szCs w:val="21"/>
          <w:highlight w:val="none"/>
          <w14:textFill>
            <w14:solidFill>
              <w14:schemeClr w14:val="tx1"/>
            </w14:solidFill>
          </w14:textFill>
        </w:rPr>
        <w:t>竞争性谈判文件</w:t>
      </w:r>
    </w:p>
    <w:p w14:paraId="33268D24">
      <w:pPr>
        <w:pStyle w:val="11"/>
        <w:spacing w:after="120"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.CA证书申请方式及操作指南下载地址（登</w:t>
      </w:r>
      <w:r>
        <w:rPr>
          <w:rFonts w:hint="eastAsia" w:ascii="宋体" w:hAnsi="宋体" w:eastAsia="宋体" w:cs="宋体"/>
          <w:color w:val="000000" w:themeColor="text1"/>
          <w:szCs w:val="21"/>
          <w:highlight w:val="none"/>
          <w14:textFill>
            <w14:solidFill>
              <w14:schemeClr w14:val="tx1"/>
            </w14:solidFill>
          </w14:textFill>
        </w:rPr>
        <w:t>录</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"http://nncz.nanning.gov.cn/" </w:instrText>
      </w:r>
      <w:r>
        <w:rPr>
          <w:rFonts w:hint="eastAsia" w:ascii="宋体" w:hAnsi="宋体" w:eastAsia="宋体" w:cs="宋体"/>
          <w:color w:val="000000" w:themeColor="text1"/>
          <w:highlight w:val="none"/>
          <w14:textFill>
            <w14:solidFill>
              <w14:schemeClr w14:val="tx1"/>
            </w14:solidFill>
          </w14:textFill>
        </w:rPr>
        <w:fldChar w:fldCharType="separate"/>
      </w:r>
      <w:r>
        <w:rPr>
          <w:rStyle w:val="36"/>
          <w:rFonts w:hint="eastAsia" w:ascii="宋体" w:hAnsi="宋体" w:eastAsia="宋体" w:cs="宋体"/>
          <w:color w:val="000000" w:themeColor="text1"/>
          <w:highlight w:val="none"/>
          <w14:textFill>
            <w14:solidFill>
              <w14:schemeClr w14:val="tx1"/>
            </w14:solidFill>
          </w14:textFill>
        </w:rPr>
        <w:t>http://nncz.nanning.gov.cn/</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highlight w:val="none"/>
          <w14:textFill>
            <w14:solidFill>
              <w14:schemeClr w14:val="tx1"/>
            </w14:solidFill>
          </w14:textFill>
        </w:rPr>
        <w:t>（南宁市财政局官网）-业务专题-政府采购监督管理-资料下载-“广西政采云西部CA办理方式”或“南宁市政采云CA证书办理操作指南”</w:t>
      </w:r>
      <w:r>
        <w:rPr>
          <w:rFonts w:hint="eastAsia" w:ascii="宋体" w:hAnsi="宋体" w:eastAsia="宋体" w:cs="宋体"/>
          <w:color w:val="000000" w:themeColor="text1"/>
          <w:szCs w:val="21"/>
          <w:highlight w:val="none"/>
          <w14:textFill>
            <w14:solidFill>
              <w14:schemeClr w14:val="tx1"/>
            </w14:solidFill>
          </w14:textFill>
        </w:rPr>
        <w:t>）</w:t>
      </w:r>
    </w:p>
    <w:p w14:paraId="5D5D56F4">
      <w:pPr>
        <w:pStyle w:val="11"/>
        <w:spacing w:after="120"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.电子响应文件制作与投送教程（在此网址下载：</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"http://nncz.nanning.gov.cn/" </w:instrText>
      </w:r>
      <w:r>
        <w:rPr>
          <w:rFonts w:hint="eastAsia" w:ascii="宋体" w:hAnsi="宋体" w:eastAsia="宋体" w:cs="宋体"/>
          <w:color w:val="000000" w:themeColor="text1"/>
          <w:highlight w:val="none"/>
          <w14:textFill>
            <w14:solidFill>
              <w14:schemeClr w14:val="tx1"/>
            </w14:solidFill>
          </w14:textFill>
        </w:rPr>
        <w:fldChar w:fldCharType="separate"/>
      </w:r>
      <w:r>
        <w:rPr>
          <w:rStyle w:val="36"/>
          <w:rFonts w:hint="eastAsia" w:ascii="宋体" w:hAnsi="宋体" w:eastAsia="宋体" w:cs="宋体"/>
          <w:color w:val="000000" w:themeColor="text1"/>
          <w:highlight w:val="none"/>
          <w14:textFill>
            <w14:solidFill>
              <w14:schemeClr w14:val="tx1"/>
            </w14:solidFill>
          </w14:textFill>
        </w:rPr>
        <w:t>http://nncz.nanning.gov.cn/</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highlight w:val="none"/>
          <w14:textFill>
            <w14:solidFill>
              <w14:schemeClr w14:val="tx1"/>
            </w14:solidFill>
          </w14:textFill>
        </w:rPr>
        <w:t>（南宁市财政局官网）-业务专题-政府采购监督管理-资料下载-南宁市政府采购项目全流程电子</w:t>
      </w:r>
      <w:r>
        <w:rPr>
          <w:rFonts w:hint="eastAsia"/>
          <w:color w:val="000000" w:themeColor="text1"/>
          <w:highlight w:val="none"/>
          <w14:textFill>
            <w14:solidFill>
              <w14:schemeClr w14:val="tx1"/>
            </w14:solidFill>
          </w14:textFill>
        </w:rPr>
        <w:t>化交易操作指南</w:t>
      </w:r>
      <w:r>
        <w:rPr>
          <w:rFonts w:hint="eastAsia" w:ascii="宋体" w:hAnsi="宋体"/>
          <w:color w:val="000000" w:themeColor="text1"/>
          <w:szCs w:val="21"/>
          <w:highlight w:val="none"/>
          <w14:textFill>
            <w14:solidFill>
              <w14:schemeClr w14:val="tx1"/>
            </w14:solidFill>
          </w14:textFill>
        </w:rPr>
        <w:t>）</w:t>
      </w:r>
    </w:p>
    <w:p w14:paraId="536A0153">
      <w:pPr>
        <w:keepNext w:val="0"/>
        <w:keepLines w:val="0"/>
        <w:pageBreakBefore w:val="0"/>
        <w:widowControl w:val="0"/>
        <w:kinsoku/>
        <w:wordWrap/>
        <w:overflowPunct/>
        <w:topLinePunct w:val="0"/>
        <w:autoSpaceDE/>
        <w:autoSpaceDN/>
        <w:bidi w:val="0"/>
        <w:adjustRightInd/>
        <w:snapToGrid/>
        <w:spacing w:before="0" w:beforeLines="200" w:line="360" w:lineRule="auto"/>
        <w:jc w:val="right"/>
        <w:textAlignment w:val="auto"/>
        <w:rPr>
          <w:rFonts w:hint="eastAsia" w:ascii="宋体" w:hAnsi="宋体"/>
          <w:color w:val="000000" w:themeColor="text1"/>
          <w:szCs w:val="21"/>
          <w:highlight w:val="none"/>
          <w:u w:val="none"/>
          <w:lang w:eastAsia="zh-CN"/>
          <w14:textFill>
            <w14:solidFill>
              <w14:schemeClr w14:val="tx1"/>
            </w14:solidFill>
          </w14:textFill>
        </w:rPr>
      </w:pPr>
      <w:bookmarkStart w:id="31" w:name="PO_3000001871_PM031_2"/>
      <w:r>
        <w:rPr>
          <w:rFonts w:hint="eastAsia" w:ascii="宋体" w:hAnsi="宋体"/>
          <w:color w:val="000000" w:themeColor="text1"/>
          <w:szCs w:val="21"/>
          <w:highlight w:val="none"/>
          <w:u w:val="none"/>
          <w:lang w:eastAsia="zh-CN"/>
          <w14:textFill>
            <w14:solidFill>
              <w14:schemeClr w14:val="tx1"/>
            </w14:solidFill>
          </w14:textFill>
        </w:rPr>
        <w:t>广西建通工程咨询有限责任公司</w:t>
      </w:r>
      <w:bookmarkEnd w:id="31"/>
    </w:p>
    <w:p w14:paraId="76DD3892">
      <w:pPr>
        <w:spacing w:line="360" w:lineRule="auto"/>
        <w:jc w:val="right"/>
        <w:rPr>
          <w:rFonts w:hint="eastAsia" w:ascii="宋体" w:hAnsi="宋体"/>
          <w:color w:val="000000" w:themeColor="text1"/>
          <w:szCs w:val="21"/>
          <w:highlight w:val="none"/>
          <w:u w:val="none"/>
          <w14:textFill>
            <w14:solidFill>
              <w14:schemeClr w14:val="tx1"/>
            </w14:solidFill>
          </w14:textFill>
        </w:rPr>
      </w:pPr>
      <w:r>
        <w:rPr>
          <w:rFonts w:hint="eastAsia" w:ascii="宋体" w:hAnsi="宋体"/>
          <w:color w:val="000000" w:themeColor="text1"/>
          <w:szCs w:val="21"/>
          <w:highlight w:val="none"/>
          <w:u w:val="none"/>
          <w:lang w:val="en-US" w:eastAsia="zh-CN"/>
          <w14:textFill>
            <w14:solidFill>
              <w14:schemeClr w14:val="tx1"/>
            </w14:solidFill>
          </w14:textFill>
        </w:rPr>
        <w:t>2026</w:t>
      </w:r>
      <w:r>
        <w:rPr>
          <w:rFonts w:hint="eastAsia" w:ascii="宋体" w:hAnsi="宋体"/>
          <w:color w:val="000000" w:themeColor="text1"/>
          <w:szCs w:val="21"/>
          <w:highlight w:val="none"/>
          <w:u w:val="none"/>
          <w14:textFill>
            <w14:solidFill>
              <w14:schemeClr w14:val="tx1"/>
            </w14:solidFill>
          </w14:textFill>
        </w:rPr>
        <w:t>年</w:t>
      </w:r>
      <w:r>
        <w:rPr>
          <w:rFonts w:hint="eastAsia" w:ascii="宋体" w:hAnsi="宋体"/>
          <w:color w:val="000000" w:themeColor="text1"/>
          <w:szCs w:val="21"/>
          <w:highlight w:val="none"/>
          <w:u w:val="none"/>
          <w:lang w:val="en-US" w:eastAsia="zh-CN"/>
          <w14:textFill>
            <w14:solidFill>
              <w14:schemeClr w14:val="tx1"/>
            </w14:solidFill>
          </w14:textFill>
        </w:rPr>
        <w:t>8</w:t>
      </w:r>
      <w:r>
        <w:rPr>
          <w:rFonts w:hint="eastAsia" w:ascii="宋体" w:hAnsi="宋体"/>
          <w:color w:val="000000" w:themeColor="text1"/>
          <w:szCs w:val="21"/>
          <w:highlight w:val="none"/>
          <w:u w:val="none"/>
          <w14:textFill>
            <w14:solidFill>
              <w14:schemeClr w14:val="tx1"/>
            </w14:solidFill>
          </w14:textFill>
        </w:rPr>
        <w:t>月</w:t>
      </w:r>
      <w:r>
        <w:rPr>
          <w:rFonts w:hint="eastAsia" w:ascii="宋体" w:hAnsi="宋体"/>
          <w:color w:val="000000" w:themeColor="text1"/>
          <w:szCs w:val="21"/>
          <w:highlight w:val="none"/>
          <w:u w:val="none"/>
          <w:lang w:val="en-US" w:eastAsia="zh-CN"/>
          <w14:textFill>
            <w14:solidFill>
              <w14:schemeClr w14:val="tx1"/>
            </w14:solidFill>
          </w14:textFill>
        </w:rPr>
        <w:t>24</w:t>
      </w:r>
      <w:r>
        <w:rPr>
          <w:rFonts w:hint="eastAsia" w:ascii="宋体" w:hAnsi="宋体"/>
          <w:color w:val="000000" w:themeColor="text1"/>
          <w:szCs w:val="21"/>
          <w:highlight w:val="none"/>
          <w:u w:val="none"/>
          <w14:textFill>
            <w14:solidFill>
              <w14:schemeClr w14:val="tx1"/>
            </w14:solidFill>
          </w14:textFill>
        </w:rPr>
        <w:t>日</w:t>
      </w:r>
    </w:p>
    <w:p w14:paraId="5A8348EC">
      <w:pPr>
        <w:widowControl/>
        <w:spacing w:line="360" w:lineRule="auto"/>
        <w:jc w:val="left"/>
        <w:rPr>
          <w:rFonts w:ascii="宋体" w:hAnsi="宋体"/>
          <w:color w:val="000000" w:themeColor="text1"/>
          <w:szCs w:val="21"/>
          <w:highlight w:val="none"/>
          <w14:textFill>
            <w14:solidFill>
              <w14:schemeClr w14:val="tx1"/>
            </w14:solidFill>
          </w14:textFill>
        </w:rPr>
        <w:sectPr>
          <w:pgSz w:w="11910" w:h="16840"/>
          <w:pgMar w:top="1520" w:right="1500" w:bottom="280" w:left="1680" w:header="720" w:footer="720" w:gutter="0"/>
          <w:pgNumType w:fmt="decimal"/>
          <w:cols w:space="720" w:num="1"/>
        </w:sectPr>
      </w:pPr>
    </w:p>
    <w:p w14:paraId="54BAFF80">
      <w:pPr>
        <w:pStyle w:val="2"/>
        <w:keepNext/>
        <w:keepLines/>
        <w:pageBreakBefore w:val="0"/>
        <w:widowControl w:val="0"/>
        <w:kinsoku/>
        <w:wordWrap/>
        <w:overflowPunct/>
        <w:topLinePunct w:val="0"/>
        <w:autoSpaceDE/>
        <w:autoSpaceDN/>
        <w:bidi w:val="0"/>
        <w:adjustRightInd/>
        <w:snapToGrid/>
        <w:spacing w:before="0" w:after="0" w:line="579" w:lineRule="auto"/>
        <w:jc w:val="center"/>
        <w:textAlignment w:val="auto"/>
        <w:rPr>
          <w:rFonts w:hint="eastAsia"/>
          <w:color w:val="000000" w:themeColor="text1"/>
          <w:highlight w:val="none"/>
          <w14:textFill>
            <w14:solidFill>
              <w14:schemeClr w14:val="tx1"/>
            </w14:solidFill>
          </w14:textFill>
        </w:rPr>
      </w:pPr>
      <w:bookmarkStart w:id="32" w:name="_Toc26989"/>
      <w:r>
        <w:rPr>
          <w:rFonts w:hint="eastAsia" w:ascii="Cambria" w:hAnsi="Cambria"/>
          <w:bCs w:val="0"/>
          <w:color w:val="000000" w:themeColor="text1"/>
          <w:sz w:val="32"/>
          <w:szCs w:val="32"/>
          <w:highlight w:val="none"/>
          <w14:textFill>
            <w14:solidFill>
              <w14:schemeClr w14:val="tx1"/>
            </w14:solidFill>
          </w14:textFill>
        </w:rPr>
        <w:t>第二章采购需求</w:t>
      </w:r>
      <w:bookmarkEnd w:id="32"/>
    </w:p>
    <w:p w14:paraId="0335D5E4">
      <w:pPr>
        <w:keepNext w:val="0"/>
        <w:keepLines w:val="0"/>
        <w:pageBreakBefore w:val="0"/>
        <w:widowControl w:val="0"/>
        <w:kinsoku/>
        <w:wordWrap/>
        <w:overflowPunct/>
        <w:topLinePunct w:val="0"/>
        <w:autoSpaceDE/>
        <w:autoSpaceDN/>
        <w:bidi w:val="0"/>
        <w:adjustRightInd w:val="0"/>
        <w:snapToGrid/>
        <w:spacing w:line="400" w:lineRule="exact"/>
        <w:textAlignment w:val="auto"/>
        <w:rPr>
          <w:rFonts w:hAnsi="宋体"/>
          <w:b/>
          <w:color w:val="000000" w:themeColor="text1"/>
          <w:szCs w:val="21"/>
          <w:highlight w:val="none"/>
          <w14:textFill>
            <w14:solidFill>
              <w14:schemeClr w14:val="tx1"/>
            </w14:solidFill>
          </w14:textFill>
        </w:rPr>
      </w:pPr>
      <w:r>
        <w:rPr>
          <w:rFonts w:hint="eastAsia" w:hAnsi="宋体"/>
          <w:b/>
          <w:color w:val="000000" w:themeColor="text1"/>
          <w:szCs w:val="21"/>
          <w:highlight w:val="none"/>
          <w14:textFill>
            <w14:solidFill>
              <w14:schemeClr w14:val="tx1"/>
            </w14:solidFill>
          </w14:textFill>
        </w:rPr>
        <w:t>说明：</w:t>
      </w:r>
    </w:p>
    <w:p w14:paraId="097F8EDA">
      <w:pPr>
        <w:keepNext w:val="0"/>
        <w:keepLines w:val="0"/>
        <w:pageBreakBefore w:val="0"/>
        <w:widowControl w:val="0"/>
        <w:kinsoku/>
        <w:wordWrap/>
        <w:overflowPunct/>
        <w:topLinePunct w:val="0"/>
        <w:autoSpaceDE/>
        <w:autoSpaceDN/>
        <w:bidi w:val="0"/>
        <w:snapToGrid/>
        <w:spacing w:line="400" w:lineRule="exact"/>
        <w:ind w:firstLine="420" w:firstLineChars="200"/>
        <w:jc w:val="left"/>
        <w:textAlignment w:val="auto"/>
        <w:rPr>
          <w:rFonts w:ascii="宋体" w:hAnsi="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1.为落实政府</w:t>
      </w:r>
      <w:r>
        <w:rPr>
          <w:rFonts w:hint="eastAsia"/>
          <w:color w:val="000000" w:themeColor="text1"/>
          <w:highlight w:val="none"/>
          <w14:textFill>
            <w14:solidFill>
              <w14:schemeClr w14:val="tx1"/>
            </w14:solidFill>
          </w14:textFill>
        </w:rPr>
        <w:t>采购政策需满足的要求</w:t>
      </w:r>
    </w:p>
    <w:p w14:paraId="3B7F31F7">
      <w:pPr>
        <w:keepNext w:val="0"/>
        <w:keepLines w:val="0"/>
        <w:pageBreakBefore w:val="0"/>
        <w:widowControl w:val="0"/>
        <w:kinsoku/>
        <w:wordWrap/>
        <w:overflowPunct/>
        <w:topLinePunct w:val="0"/>
        <w:autoSpaceDE/>
        <w:autoSpaceDN/>
        <w:bidi w:val="0"/>
        <w:snapToGrid/>
        <w:spacing w:line="400" w:lineRule="exact"/>
        <w:ind w:firstLine="420" w:firstLineChars="200"/>
        <w:jc w:val="left"/>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w:t>
      </w:r>
      <w:r>
        <w:rPr>
          <w:rFonts w:hint="eastAsia" w:ascii="宋体" w:hAnsi="宋体" w:cs="宋体"/>
          <w:color w:val="000000" w:themeColor="text1"/>
          <w:szCs w:val="21"/>
          <w:highlight w:val="none"/>
          <w:lang w:val="en-US" w:eastAsia="zh-CN"/>
          <w14:textFill>
            <w14:solidFill>
              <w14:schemeClr w14:val="tx1"/>
            </w14:solidFill>
          </w14:textFill>
        </w:rPr>
        <w:t>采购</w:t>
      </w:r>
      <w:r>
        <w:rPr>
          <w:rFonts w:hint="eastAsia" w:ascii="宋体" w:hAnsi="宋体" w:cs="宋体"/>
          <w:color w:val="000000" w:themeColor="text1"/>
          <w:szCs w:val="21"/>
          <w:highlight w:val="none"/>
          <w14:textFill>
            <w14:solidFill>
              <w14:schemeClr w14:val="tx1"/>
            </w14:solidFill>
          </w14:textFill>
        </w:rPr>
        <w:t>文件所称中小企业必须符合《政府采购促进中小企业发展管理办法》（财库〔2020〕46号）的规定。</w:t>
      </w:r>
    </w:p>
    <w:p w14:paraId="3DD6DAC8">
      <w:pPr>
        <w:keepNext w:val="0"/>
        <w:keepLines w:val="0"/>
        <w:pageBreakBefore w:val="0"/>
        <w:widowControl w:val="0"/>
        <w:kinsoku/>
        <w:wordWrap/>
        <w:overflowPunct/>
        <w:topLinePunct w:val="0"/>
        <w:autoSpaceDE/>
        <w:autoSpaceDN/>
        <w:bidi w:val="0"/>
        <w:snapToGrid/>
        <w:spacing w:line="400" w:lineRule="exact"/>
        <w:ind w:firstLine="424" w:firstLineChars="202"/>
        <w:jc w:val="left"/>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w:t>
      </w:r>
      <w:r>
        <w:rPr>
          <w:rFonts w:hint="eastAsia" w:ascii="宋体" w:hAnsi="宋体" w:cs="宋体"/>
          <w:color w:val="000000" w:themeColor="text1"/>
          <w:szCs w:val="21"/>
          <w:highlight w:val="none"/>
          <w:lang w:val="en-US"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的</w:t>
      </w:r>
      <w:r>
        <w:rPr>
          <w:rFonts w:hint="eastAsia" w:ascii="宋体" w:hAnsi="宋体" w:cs="宋体"/>
          <w:color w:val="000000" w:themeColor="text1"/>
          <w:szCs w:val="21"/>
          <w:highlight w:val="none"/>
          <w:lang w:val="en-US" w:eastAsia="zh-CN"/>
          <w14:textFill>
            <w14:solidFill>
              <w14:schemeClr w14:val="tx1"/>
            </w14:solidFill>
          </w14:textFill>
        </w:rPr>
        <w:t>竞标</w:t>
      </w:r>
      <w:r>
        <w:rPr>
          <w:rFonts w:hint="eastAsia" w:ascii="宋体" w:hAnsi="宋体" w:cs="宋体"/>
          <w:color w:val="000000" w:themeColor="text1"/>
          <w:szCs w:val="21"/>
          <w:highlight w:val="none"/>
          <w14:textFill>
            <w14:solidFill>
              <w14:schemeClr w14:val="tx1"/>
            </w14:solidFill>
          </w14:textFill>
        </w:rPr>
        <w:t>货物必须使用政府强制采购的节能产品，</w:t>
      </w:r>
      <w:r>
        <w:rPr>
          <w:rFonts w:hint="eastAsia" w:ascii="宋体" w:hAnsi="宋体" w:cs="宋体"/>
          <w:color w:val="000000" w:themeColor="text1"/>
          <w:szCs w:val="21"/>
          <w:highlight w:val="none"/>
          <w:lang w:val="en-US"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必须在</w:t>
      </w:r>
      <w:r>
        <w:rPr>
          <w:rFonts w:hint="eastAsia" w:ascii="宋体" w:hAnsi="宋体" w:cs="宋体"/>
          <w:color w:val="000000" w:themeColor="text1"/>
          <w:szCs w:val="21"/>
          <w:highlight w:val="none"/>
          <w:lang w:val="en-US" w:eastAsia="zh-CN"/>
          <w14:textFill>
            <w14:solidFill>
              <w14:schemeClr w14:val="tx1"/>
            </w14:solidFill>
          </w14:textFill>
        </w:rPr>
        <w:t>响应</w:t>
      </w:r>
      <w:r>
        <w:rPr>
          <w:rFonts w:hint="eastAsia" w:ascii="宋体" w:hAnsi="宋体" w:cs="宋体"/>
          <w:color w:val="000000" w:themeColor="text1"/>
          <w:szCs w:val="21"/>
          <w:highlight w:val="none"/>
          <w14:textFill>
            <w14:solidFill>
              <w14:schemeClr w14:val="tx1"/>
            </w14:solidFill>
          </w14:textFill>
        </w:rPr>
        <w:t>文件中提供所投标产品的节能产品认证证书扫描件（加盖</w:t>
      </w:r>
      <w:r>
        <w:rPr>
          <w:rFonts w:hint="eastAsia" w:ascii="宋体" w:hAnsi="宋体" w:cs="宋体"/>
          <w:color w:val="000000" w:themeColor="text1"/>
          <w:szCs w:val="21"/>
          <w:highlight w:val="none"/>
          <w:lang w:val="en-US" w:eastAsia="zh-CN"/>
          <w14:textFill>
            <w14:solidFill>
              <w14:schemeClr w14:val="tx1"/>
            </w14:solidFill>
          </w14:textFill>
        </w:rPr>
        <w:t>竞标人</w:t>
      </w:r>
      <w:r>
        <w:rPr>
          <w:rFonts w:hint="eastAsia" w:ascii="宋体" w:hAnsi="宋体" w:cs="宋体"/>
          <w:color w:val="000000" w:themeColor="text1"/>
          <w:szCs w:val="21"/>
          <w:highlight w:val="none"/>
          <w14:textFill>
            <w14:solidFill>
              <w14:schemeClr w14:val="tx1"/>
            </w14:solidFill>
          </w14:textFill>
        </w:rPr>
        <w:t>公章），</w:t>
      </w:r>
      <w:r>
        <w:rPr>
          <w:rFonts w:hint="eastAsia" w:ascii="宋体" w:hAnsi="宋体" w:cs="宋体"/>
          <w:b/>
          <w:bCs/>
          <w:color w:val="000000" w:themeColor="text1"/>
          <w:szCs w:val="21"/>
          <w:highlight w:val="none"/>
          <w14:textFill>
            <w14:solidFill>
              <w14:schemeClr w14:val="tx1"/>
            </w14:solidFill>
          </w14:textFill>
        </w:rPr>
        <w:t>否则</w:t>
      </w:r>
      <w:r>
        <w:rPr>
          <w:rFonts w:hint="eastAsia" w:ascii="宋体" w:hAnsi="宋体" w:cs="宋体"/>
          <w:b/>
          <w:bCs/>
          <w:color w:val="000000" w:themeColor="text1"/>
          <w:szCs w:val="21"/>
          <w:highlight w:val="none"/>
          <w:lang w:val="en-US" w:eastAsia="zh-CN"/>
          <w14:textFill>
            <w14:solidFill>
              <w14:schemeClr w14:val="tx1"/>
            </w14:solidFill>
          </w14:textFill>
        </w:rPr>
        <w:t>响应</w:t>
      </w:r>
      <w:r>
        <w:rPr>
          <w:rFonts w:hint="eastAsia" w:ascii="宋体" w:hAnsi="宋体" w:cs="宋体"/>
          <w:b/>
          <w:bCs/>
          <w:color w:val="000000" w:themeColor="text1"/>
          <w:szCs w:val="21"/>
          <w:highlight w:val="none"/>
          <w14:textFill>
            <w14:solidFill>
              <w14:schemeClr w14:val="tx1"/>
            </w14:solidFill>
          </w14:textFill>
        </w:rPr>
        <w:t>文件作无效处理</w:t>
      </w:r>
      <w:r>
        <w:rPr>
          <w:rFonts w:hint="eastAsia" w:ascii="宋体" w:hAnsi="宋体" w:cs="宋体"/>
          <w:color w:val="000000" w:themeColor="text1"/>
          <w:szCs w:val="21"/>
          <w:highlight w:val="none"/>
          <w14:textFill>
            <w14:solidFill>
              <w14:schemeClr w14:val="tx1"/>
            </w14:solidFill>
          </w14:textFill>
        </w:rPr>
        <w:t>。</w:t>
      </w:r>
    </w:p>
    <w:p w14:paraId="0738A756">
      <w:pPr>
        <w:keepNext w:val="0"/>
        <w:keepLines w:val="0"/>
        <w:pageBreakBefore w:val="0"/>
        <w:widowControl w:val="0"/>
        <w:kinsoku/>
        <w:wordWrap/>
        <w:overflowPunct/>
        <w:topLinePunct w:val="0"/>
        <w:autoSpaceDE/>
        <w:autoSpaceDN/>
        <w:bidi w:val="0"/>
        <w:snapToGrid/>
        <w:spacing w:line="400" w:lineRule="exact"/>
        <w:ind w:firstLine="420" w:firstLineChars="200"/>
        <w:jc w:val="left"/>
        <w:textAlignment w:val="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b/>
          <w:color w:val="000000" w:themeColor="text1"/>
          <w:szCs w:val="21"/>
          <w:highlight w:val="none"/>
          <w14:textFill>
            <w14:solidFill>
              <w14:schemeClr w14:val="tx1"/>
            </w14:solidFill>
          </w14:textFill>
        </w:rPr>
        <w:t>根据《关于调整网络安全专用产品安全管理有关事项的公告》（2023 年1号）规定，本项目采购需求中的产品如果包括《网络关键设备和网络安全专用产品目录》的网络安全专用产品，供应商在</w:t>
      </w:r>
      <w:r>
        <w:rPr>
          <w:rFonts w:hint="eastAsia" w:ascii="宋体" w:hAnsi="宋体" w:cs="宋体"/>
          <w:b/>
          <w:color w:val="000000" w:themeColor="text1"/>
          <w:szCs w:val="21"/>
          <w:highlight w:val="none"/>
          <w:lang w:val="en-US" w:eastAsia="zh-CN"/>
          <w14:textFill>
            <w14:solidFill>
              <w14:schemeClr w14:val="tx1"/>
            </w14:solidFill>
          </w14:textFill>
        </w:rPr>
        <w:t>响应</w:t>
      </w:r>
      <w:r>
        <w:rPr>
          <w:rFonts w:hint="eastAsia" w:ascii="宋体" w:hAnsi="宋体" w:cs="宋体"/>
          <w:b/>
          <w:color w:val="000000" w:themeColor="text1"/>
          <w:szCs w:val="21"/>
          <w:highlight w:val="none"/>
          <w14:textFill>
            <w14:solidFill>
              <w14:schemeClr w14:val="tx1"/>
            </w14:solidFill>
          </w14:textFill>
        </w:rPr>
        <w:t>文件中应主动列明供货范围中属于网络安全专用产品的投标产品，并在</w:t>
      </w:r>
      <w:r>
        <w:rPr>
          <w:rFonts w:hint="eastAsia" w:ascii="宋体" w:hAnsi="宋体" w:cs="宋体"/>
          <w:b/>
          <w:color w:val="000000" w:themeColor="text1"/>
          <w:szCs w:val="21"/>
          <w:highlight w:val="none"/>
          <w:lang w:val="en-US" w:eastAsia="zh-CN"/>
          <w14:textFill>
            <w14:solidFill>
              <w14:schemeClr w14:val="tx1"/>
            </w14:solidFill>
          </w14:textFill>
        </w:rPr>
        <w:t>响应</w:t>
      </w:r>
      <w:r>
        <w:rPr>
          <w:rFonts w:hint="eastAsia" w:ascii="宋体" w:hAnsi="宋体" w:cs="宋体"/>
          <w:b/>
          <w:color w:val="000000" w:themeColor="text1"/>
          <w:szCs w:val="21"/>
          <w:highlight w:val="none"/>
          <w14:textFill>
            <w14:solidFill>
              <w14:schemeClr w14:val="tx1"/>
            </w14:solidFill>
          </w14:textFill>
        </w:rPr>
        <w:t>文件中提供由中国网信网（http://www.cac.gov.cn/index.htm）最新发布的《网络关键设备和网络安全专用产品安全认证和安全检测结果》截图证明材料，不在《网络关键设备和网络安全专用产品安全认证和安全检测结果》中或不在有效期内的，按无效</w:t>
      </w:r>
      <w:r>
        <w:rPr>
          <w:rFonts w:hint="eastAsia" w:ascii="宋体" w:hAnsi="宋体" w:cs="宋体"/>
          <w:b/>
          <w:color w:val="000000" w:themeColor="text1"/>
          <w:szCs w:val="21"/>
          <w:highlight w:val="none"/>
          <w:lang w:val="en-US" w:eastAsia="zh-CN"/>
          <w14:textFill>
            <w14:solidFill>
              <w14:schemeClr w14:val="tx1"/>
            </w14:solidFill>
          </w14:textFill>
        </w:rPr>
        <w:t>竞标</w:t>
      </w:r>
      <w:r>
        <w:rPr>
          <w:rFonts w:hint="eastAsia" w:ascii="宋体" w:hAnsi="宋体" w:cs="宋体"/>
          <w:b/>
          <w:color w:val="000000" w:themeColor="text1"/>
          <w:szCs w:val="21"/>
          <w:highlight w:val="none"/>
          <w14:textFill>
            <w14:solidFill>
              <w14:schemeClr w14:val="tx1"/>
            </w14:solidFill>
          </w14:textFill>
        </w:rPr>
        <w:t>处理。如属于《网络关键设备和网络安全专用产品目录》中“二、网络安全专用产品”内“产品类别”中的所描述的产品，但不属于所列“产品描述”情形的，应提供相应的说明及证明材料。</w:t>
      </w:r>
    </w:p>
    <w:p w14:paraId="6C88CE19">
      <w:pPr>
        <w:keepNext w:val="0"/>
        <w:keepLines w:val="0"/>
        <w:pageBreakBefore w:val="0"/>
        <w:widowControl w:val="0"/>
        <w:kinsoku/>
        <w:wordWrap/>
        <w:overflowPunct/>
        <w:topLinePunct w:val="0"/>
        <w:autoSpaceDE/>
        <w:autoSpaceDN/>
        <w:bidi w:val="0"/>
        <w:snapToGrid/>
        <w:spacing w:line="400" w:lineRule="exact"/>
        <w:ind w:firstLine="422" w:firstLineChars="200"/>
        <w:jc w:val="left"/>
        <w:textAlignment w:val="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lang w:val="en-US" w:eastAsia="zh-CN"/>
          <w14:textFill>
            <w14:solidFill>
              <w14:schemeClr w14:val="tx1"/>
            </w14:solidFill>
          </w14:textFill>
        </w:rPr>
        <w:t>4</w:t>
      </w:r>
      <w:r>
        <w:rPr>
          <w:rFonts w:hint="eastAsia" w:ascii="宋体" w:hAnsi="宋体" w:cs="宋体"/>
          <w:b/>
          <w:color w:val="000000" w:themeColor="text1"/>
          <w:szCs w:val="21"/>
          <w:highlight w:val="none"/>
          <w14:textFill>
            <w14:solidFill>
              <w14:schemeClr w14:val="tx1"/>
            </w14:solidFill>
          </w14:textFill>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BB25FA4">
      <w:pPr>
        <w:keepNext w:val="0"/>
        <w:keepLines w:val="0"/>
        <w:pageBreakBefore w:val="0"/>
        <w:widowControl w:val="0"/>
        <w:kinsoku/>
        <w:wordWrap/>
        <w:overflowPunct/>
        <w:topLinePunct w:val="0"/>
        <w:autoSpaceDE/>
        <w:autoSpaceDN/>
        <w:bidi w:val="0"/>
        <w:snapToGrid/>
        <w:spacing w:line="400" w:lineRule="exact"/>
        <w:ind w:firstLine="422" w:firstLineChars="200"/>
        <w:jc w:val="left"/>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根据《关于在政府采购活动中对有关美国企业采取相关措施的通知》（财库〔2026〕10号）的规定，供应商提供的产品不得为财库〔2026〕10号文件附件规定的46家美国企业（不包括在华美资企业）生产的产品。</w:t>
      </w:r>
    </w:p>
    <w:p w14:paraId="7499552B">
      <w:pPr>
        <w:keepNext w:val="0"/>
        <w:keepLines w:val="0"/>
        <w:pageBreakBefore w:val="0"/>
        <w:widowControl w:val="0"/>
        <w:kinsoku/>
        <w:wordWrap/>
        <w:overflowPunct/>
        <w:topLinePunct w:val="0"/>
        <w:autoSpaceDE/>
        <w:autoSpaceDN/>
        <w:bidi w:val="0"/>
        <w:snapToGrid/>
        <w:spacing w:line="400" w:lineRule="exact"/>
        <w:ind w:firstLine="420" w:firstLineChars="200"/>
        <w:jc w:val="lef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t>“实质性要求”是指</w:t>
      </w:r>
      <w:r>
        <w:rPr>
          <w:rFonts w:hint="eastAsia" w:ascii="宋体" w:hAnsi="宋体" w:cs="宋体"/>
          <w:color w:val="000000" w:themeColor="text1"/>
          <w:highlight w:val="none"/>
          <w:lang w:val="en-US" w:eastAsia="zh-CN"/>
          <w14:textFill>
            <w14:solidFill>
              <w14:schemeClr w14:val="tx1"/>
            </w14:solidFill>
          </w14:textFill>
        </w:rPr>
        <w:t>采购</w:t>
      </w:r>
      <w:r>
        <w:rPr>
          <w:rFonts w:hint="eastAsia" w:ascii="宋体" w:hAnsi="宋体" w:eastAsia="宋体" w:cs="宋体"/>
          <w:color w:val="000000" w:themeColor="text1"/>
          <w:highlight w:val="none"/>
          <w14:textFill>
            <w14:solidFill>
              <w14:schemeClr w14:val="tx1"/>
            </w14:solidFill>
          </w14:textFill>
        </w:rPr>
        <w:t>文件中已经指明不满足则</w:t>
      </w:r>
      <w:r>
        <w:rPr>
          <w:rFonts w:hint="eastAsia" w:ascii="宋体" w:hAnsi="宋体" w:cs="宋体"/>
          <w:color w:val="000000" w:themeColor="text1"/>
          <w:highlight w:val="none"/>
          <w:lang w:val="en-US" w:eastAsia="zh-CN"/>
          <w14:textFill>
            <w14:solidFill>
              <w14:schemeClr w14:val="tx1"/>
            </w14:solidFill>
          </w14:textFill>
        </w:rPr>
        <w:t>竞标</w:t>
      </w:r>
      <w:r>
        <w:rPr>
          <w:rFonts w:hint="eastAsia" w:ascii="宋体" w:hAnsi="宋体" w:eastAsia="宋体" w:cs="宋体"/>
          <w:color w:val="000000" w:themeColor="text1"/>
          <w:highlight w:val="none"/>
          <w14:textFill>
            <w14:solidFill>
              <w14:schemeClr w14:val="tx1"/>
            </w14:solidFill>
          </w14:textFill>
        </w:rPr>
        <w:t>无效的条款，或者不能负偏离的条款，或者采购需求中带“▲”的条款。</w:t>
      </w:r>
    </w:p>
    <w:p w14:paraId="370A0D73">
      <w:pPr>
        <w:keepNext w:val="0"/>
        <w:keepLines w:val="0"/>
        <w:pageBreakBefore w:val="0"/>
        <w:widowControl w:val="0"/>
        <w:kinsoku/>
        <w:wordWrap/>
        <w:overflowPunct/>
        <w:topLinePunct w:val="0"/>
        <w:autoSpaceDE/>
        <w:autoSpaceDN/>
        <w:bidi w:val="0"/>
        <w:snapToGrid/>
        <w:spacing w:line="400" w:lineRule="exact"/>
        <w:ind w:firstLine="420" w:firstLineChars="200"/>
        <w:jc w:val="left"/>
        <w:textAlignment w:val="auto"/>
        <w:rPr>
          <w:rFonts w:hint="default"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3.采购需求中出现的品牌、型号或者生产厂家仅起参考作用，不属于指定品牌、型号或者生产厂家的情形。</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eastAsia="宋体" w:cs="宋体"/>
          <w:color w:val="000000" w:themeColor="text1"/>
          <w:highlight w:val="none"/>
          <w:lang w:val="en-US" w:eastAsia="zh-CN"/>
          <w14:textFill>
            <w14:solidFill>
              <w14:schemeClr w14:val="tx1"/>
            </w14:solidFill>
          </w14:textFill>
        </w:rPr>
        <w:t>可参照或者选用其他相当的品牌、型号或者生产厂家替代，但选用的</w:t>
      </w:r>
      <w:r>
        <w:rPr>
          <w:rFonts w:hint="eastAsia" w:ascii="宋体" w:hAnsi="宋体" w:cs="宋体"/>
          <w:color w:val="000000" w:themeColor="text1"/>
          <w:highlight w:val="none"/>
          <w:lang w:val="en-US" w:eastAsia="zh-CN"/>
          <w14:textFill>
            <w14:solidFill>
              <w14:schemeClr w14:val="tx1"/>
            </w14:solidFill>
          </w14:textFill>
        </w:rPr>
        <w:t>竞标</w:t>
      </w:r>
      <w:r>
        <w:rPr>
          <w:rFonts w:hint="eastAsia" w:ascii="宋体" w:hAnsi="宋体" w:eastAsia="宋体" w:cs="宋体"/>
          <w:color w:val="000000" w:themeColor="text1"/>
          <w:highlight w:val="none"/>
          <w:lang w:val="en-US" w:eastAsia="zh-CN"/>
          <w14:textFill>
            <w14:solidFill>
              <w14:schemeClr w14:val="tx1"/>
            </w14:solidFill>
          </w14:textFill>
        </w:rPr>
        <w:t>产品参数性能必须满足实质性要求</w:t>
      </w:r>
      <w:r>
        <w:rPr>
          <w:rFonts w:hint="eastAsia" w:ascii="宋体" w:hAnsi="宋体" w:cs="宋体"/>
          <w:color w:val="000000" w:themeColor="text1"/>
          <w:highlight w:val="none"/>
          <w:lang w:val="en-US" w:eastAsia="zh-CN"/>
          <w14:textFill>
            <w14:solidFill>
              <w14:schemeClr w14:val="tx1"/>
            </w14:solidFill>
          </w14:textFill>
        </w:rPr>
        <w:t>。</w:t>
      </w:r>
    </w:p>
    <w:p w14:paraId="0BA39D38">
      <w:pPr>
        <w:keepNext w:val="0"/>
        <w:keepLines w:val="0"/>
        <w:pageBreakBefore w:val="0"/>
        <w:widowControl w:val="0"/>
        <w:kinsoku/>
        <w:wordWrap/>
        <w:overflowPunct/>
        <w:topLinePunct w:val="0"/>
        <w:autoSpaceDE/>
        <w:autoSpaceDN/>
        <w:bidi w:val="0"/>
        <w:snapToGrid/>
        <w:spacing w:line="400" w:lineRule="exact"/>
        <w:ind w:firstLine="420" w:firstLineChars="200"/>
        <w:jc w:val="left"/>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lang w:val="en-US" w:eastAsia="zh-CN"/>
          <w14:textFill>
            <w14:solidFill>
              <w14:schemeClr w14:val="tx1"/>
            </w14:solidFill>
          </w14:textFill>
        </w:rPr>
        <w:t>不需要</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eastAsia="宋体" w:cs="宋体"/>
          <w:color w:val="000000" w:themeColor="text1"/>
          <w:highlight w:val="none"/>
          <w:lang w:val="en-US" w:eastAsia="zh-CN"/>
          <w14:textFill>
            <w14:solidFill>
              <w14:schemeClr w14:val="tx1"/>
            </w14:solidFill>
          </w14:textFill>
        </w:rPr>
        <w:t>对采购需求响应为具体数值的，此采购需求的数值后将以◆号标注。</w:t>
      </w:r>
    </w:p>
    <w:p w14:paraId="3609B466">
      <w:pPr>
        <w:numPr>
          <w:ilvl w:val="0"/>
          <w:numId w:val="0"/>
        </w:numPr>
        <w:spacing w:line="360" w:lineRule="auto"/>
        <w:ind w:firstLine="424" w:firstLineChars="202"/>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5</w:t>
      </w:r>
      <w:r>
        <w:rPr>
          <w:rFonts w:hint="eastAsia" w:ascii="宋体" w:hAnsi="宋体" w:eastAsia="宋体" w:cs="宋体"/>
          <w:color w:val="000000" w:themeColor="text1"/>
          <w:highlight w:val="none"/>
          <w:lang w:val="en-US" w:eastAsia="zh-CN"/>
          <w14:textFill>
            <w14:solidFill>
              <w14:schemeClr w14:val="tx1"/>
            </w14:solidFill>
          </w14:textFill>
        </w:rPr>
        <w:t>.如</w:t>
      </w:r>
      <w:r>
        <w:rPr>
          <w:rFonts w:hint="eastAsia" w:ascii="宋体" w:hAnsi="宋体" w:cs="宋体"/>
          <w:color w:val="000000" w:themeColor="text1"/>
          <w:highlight w:val="none"/>
          <w:lang w:val="en-US" w:eastAsia="zh-CN"/>
          <w14:textFill>
            <w14:solidFill>
              <w14:schemeClr w14:val="tx1"/>
            </w14:solidFill>
          </w14:textFill>
        </w:rPr>
        <w:t>供应商竞标</w:t>
      </w:r>
      <w:r>
        <w:rPr>
          <w:rFonts w:hint="eastAsia" w:ascii="宋体" w:hAnsi="宋体" w:eastAsia="宋体" w:cs="宋体"/>
          <w:color w:val="000000" w:themeColor="text1"/>
          <w:highlight w:val="none"/>
          <w:lang w:val="en-US" w:eastAsia="zh-CN"/>
          <w14:textFill>
            <w14:solidFill>
              <w14:schemeClr w14:val="tx1"/>
            </w14:solidFill>
          </w14:textFill>
        </w:rPr>
        <w:t>产品存在侵犯他人的知识产权或者专利成果行为的，应承担相应法律责任</w:t>
      </w:r>
      <w:r>
        <w:rPr>
          <w:rFonts w:hint="eastAsia" w:ascii="宋体" w:hAnsi="宋体" w:eastAsia="宋体" w:cs="宋体"/>
          <w:color w:val="000000" w:themeColor="text1"/>
          <w:szCs w:val="21"/>
          <w:highlight w:val="none"/>
          <w14:textFill>
            <w14:solidFill>
              <w14:schemeClr w14:val="tx1"/>
            </w14:solidFill>
          </w14:textFill>
        </w:rPr>
        <w:t>。</w:t>
      </w:r>
    </w:p>
    <w:p w14:paraId="3B764938">
      <w:pPr>
        <w:rPr>
          <w:rFonts w:hint="eastAsia"/>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p>
    <w:tbl>
      <w:tblPr>
        <w:tblStyle w:val="29"/>
        <w:tblpPr w:leftFromText="180" w:rightFromText="180" w:vertAnchor="text" w:horzAnchor="page" w:tblpX="855" w:tblpY="385"/>
        <w:tblOverlap w:val="never"/>
        <w:tblW w:w="1028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0"/>
        <w:gridCol w:w="420"/>
        <w:gridCol w:w="43"/>
        <w:gridCol w:w="872"/>
        <w:gridCol w:w="39"/>
        <w:gridCol w:w="531"/>
        <w:gridCol w:w="81"/>
        <w:gridCol w:w="789"/>
        <w:gridCol w:w="76"/>
        <w:gridCol w:w="3818"/>
        <w:gridCol w:w="1185"/>
        <w:gridCol w:w="1275"/>
        <w:gridCol w:w="735"/>
      </w:tblGrid>
      <w:tr w14:paraId="44BCD5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0284" w:type="dxa"/>
            <w:gridSpan w:val="13"/>
            <w:tcBorders>
              <w:top w:val="single" w:color="auto" w:sz="4" w:space="0"/>
              <w:left w:val="single" w:color="auto" w:sz="4" w:space="0"/>
              <w:bottom w:val="nil"/>
              <w:right w:val="single" w:color="auto" w:sz="4" w:space="0"/>
            </w:tcBorders>
            <w:noWrap w:val="0"/>
            <w:vAlign w:val="center"/>
          </w:tcPr>
          <w:p w14:paraId="6F9CBD77">
            <w:pPr>
              <w:spacing w:line="320" w:lineRule="exact"/>
              <w:jc w:val="cente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货物需求一览表</w:t>
            </w:r>
          </w:p>
        </w:tc>
      </w:tr>
      <w:tr w14:paraId="453D71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755" w:type="dxa"/>
            <w:gridSpan w:val="4"/>
            <w:tcBorders>
              <w:top w:val="single" w:color="auto" w:sz="4" w:space="0"/>
              <w:left w:val="single" w:color="auto" w:sz="4" w:space="0"/>
              <w:bottom w:val="nil"/>
              <w:right w:val="single" w:color="auto" w:sz="4" w:space="0"/>
            </w:tcBorders>
            <w:noWrap w:val="0"/>
            <w:vAlign w:val="center"/>
          </w:tcPr>
          <w:p w14:paraId="4FEA334E">
            <w:pPr>
              <w:spacing w:line="320" w:lineRule="exact"/>
              <w:jc w:val="center"/>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14:textFill>
                  <w14:solidFill>
                    <w14:schemeClr w14:val="tx1"/>
                  </w14:solidFill>
                </w14:textFill>
              </w:rPr>
              <w:t>标段</w:t>
            </w:r>
          </w:p>
        </w:tc>
        <w:tc>
          <w:tcPr>
            <w:tcW w:w="8529" w:type="dxa"/>
            <w:gridSpan w:val="9"/>
            <w:tcBorders>
              <w:top w:val="single" w:color="auto" w:sz="4" w:space="0"/>
              <w:left w:val="single" w:color="auto" w:sz="4" w:space="0"/>
              <w:bottom w:val="nil"/>
              <w:right w:val="single" w:color="auto" w:sz="4" w:space="0"/>
            </w:tcBorders>
            <w:noWrap w:val="0"/>
            <w:vAlign w:val="center"/>
          </w:tcPr>
          <w:p w14:paraId="2BF44ABA">
            <w:pPr>
              <w:spacing w:line="320" w:lineRule="exact"/>
              <w:jc w:val="left"/>
              <w:rPr>
                <w:rFonts w:hint="eastAsia" w:ascii="宋体" w:hAnsi="宋体" w:eastAsia="宋体" w:cs="宋体"/>
                <w:color w:val="000000" w:themeColor="text1"/>
                <w:sz w:val="30"/>
                <w:szCs w:val="30"/>
                <w:highlight w:val="none"/>
                <w:lang w:val="en-US" w:eastAsia="zh-CN"/>
                <w14:textFill>
                  <w14:solidFill>
                    <w14:schemeClr w14:val="tx1"/>
                  </w14:solidFill>
                </w14:textFill>
              </w:rPr>
            </w:pPr>
            <w:r>
              <w:rPr>
                <w:rFonts w:hint="eastAsia" w:ascii="宋体" w:hAnsi="宋体" w:eastAsia="宋体" w:cs="宋体"/>
                <w:color w:val="000000" w:themeColor="text1"/>
                <w:sz w:val="30"/>
                <w:szCs w:val="30"/>
                <w:highlight w:val="none"/>
                <w:lang w:val="en-US" w:eastAsia="zh-CN"/>
                <w14:textFill>
                  <w14:solidFill>
                    <w14:schemeClr w14:val="tx1"/>
                  </w14:solidFill>
                </w14:textFill>
              </w:rPr>
              <w:t>无</w:t>
            </w:r>
          </w:p>
        </w:tc>
      </w:tr>
      <w:tr w14:paraId="23985D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restart"/>
            <w:tcBorders>
              <w:top w:val="single" w:color="auto" w:sz="4" w:space="0"/>
              <w:left w:val="single" w:color="auto" w:sz="4" w:space="0"/>
              <w:right w:val="single" w:color="auto" w:sz="4" w:space="0"/>
            </w:tcBorders>
            <w:noWrap w:val="0"/>
            <w:vAlign w:val="top"/>
          </w:tcPr>
          <w:p w14:paraId="522D0892">
            <w:pPr>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采购清单及货物参数</w:t>
            </w: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75F4304">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序号</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7396A9B3">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采购货物名称</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45F751B4">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单位</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59E41439">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数量</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79B9685C">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货物参数</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035FEF4">
            <w:pPr>
              <w:shd w:val="clear" w:color="auto" w:fill="auto"/>
              <w:wordWrap w:val="0"/>
              <w:spacing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分项预算</w:t>
            </w:r>
            <w:r>
              <w:rPr>
                <w:rFonts w:hint="eastAsia" w:ascii="宋体" w:hAnsi="宋体" w:eastAsia="宋体" w:cs="宋体"/>
                <w:color w:val="000000" w:themeColor="text1"/>
                <w:sz w:val="21"/>
                <w:szCs w:val="21"/>
                <w:highlight w:val="none"/>
                <w:lang w:eastAsia="zh-CN"/>
                <w14:textFill>
                  <w14:solidFill>
                    <w14:schemeClr w14:val="tx1"/>
                  </w14:solidFill>
                </w14:textFill>
              </w:rPr>
              <w:t>单价</w:t>
            </w:r>
            <w:r>
              <w:rPr>
                <w:rFonts w:hint="eastAsia" w:ascii="宋体" w:hAnsi="宋体" w:eastAsia="宋体" w:cs="宋体"/>
                <w:color w:val="000000" w:themeColor="text1"/>
                <w:sz w:val="21"/>
                <w:szCs w:val="21"/>
                <w:highlight w:val="none"/>
                <w14:textFill>
                  <w14:solidFill>
                    <w14:schemeClr w14:val="tx1"/>
                  </w14:solidFill>
                </w14:textFill>
              </w:rPr>
              <w:t>（元）</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A45ED2E">
            <w:pPr>
              <w:shd w:val="clear" w:color="auto" w:fill="auto"/>
              <w:wordWrap w:val="0"/>
              <w:spacing w:line="240" w:lineRule="auto"/>
              <w:jc w:val="center"/>
              <w:rPr>
                <w:rFonts w:hint="eastAsia" w:ascii="宋体" w:hAnsi="宋体"/>
                <w:color w:val="000000" w:themeColor="text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分项预算合</w:t>
            </w:r>
            <w:r>
              <w:rPr>
                <w:rFonts w:hint="eastAsia" w:ascii="宋体" w:hAnsi="宋体" w:eastAsia="宋体" w:cs="宋体"/>
                <w:color w:val="000000" w:themeColor="text1"/>
                <w:sz w:val="21"/>
                <w:szCs w:val="21"/>
                <w:highlight w:val="none"/>
                <w:lang w:eastAsia="zh-CN"/>
                <w14:textFill>
                  <w14:solidFill>
                    <w14:schemeClr w14:val="tx1"/>
                  </w14:solidFill>
                </w14:textFill>
              </w:rPr>
              <w:t>价</w:t>
            </w:r>
            <w:r>
              <w:rPr>
                <w:rFonts w:hint="eastAsia" w:ascii="宋体" w:hAnsi="宋体" w:eastAsia="宋体" w:cs="宋体"/>
                <w:color w:val="000000" w:themeColor="text1"/>
                <w:sz w:val="21"/>
                <w:szCs w:val="21"/>
                <w:highlight w:val="none"/>
                <w14:textFill>
                  <w14:solidFill>
                    <w14:schemeClr w14:val="tx1"/>
                  </w14:solidFill>
                </w14:textFill>
              </w:rPr>
              <w:t>（元）</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55B6ADED">
            <w:pPr>
              <w:shd w:val="clear" w:color="auto" w:fill="auto"/>
              <w:wordWrap w:val="0"/>
              <w:spacing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中小企业划分标准所属行业名称</w:t>
            </w:r>
          </w:p>
        </w:tc>
      </w:tr>
      <w:tr w14:paraId="7AC20D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5901A96C">
            <w:pPr>
              <w:jc w:val="center"/>
              <w:rPr>
                <w:rFonts w:hint="eastAsia" w:ascii="宋体" w:hAnsi="宋体" w:eastAsia="宋体" w:cs="宋体"/>
                <w:color w:val="000000" w:themeColor="text1"/>
                <w:highlight w:val="none"/>
                <w14:textFill>
                  <w14:solidFill>
                    <w14:schemeClr w14:val="tx1"/>
                  </w14:solidFill>
                </w14:textFill>
              </w:rPr>
            </w:pPr>
          </w:p>
        </w:tc>
        <w:tc>
          <w:tcPr>
            <w:tcW w:w="9864" w:type="dxa"/>
            <w:gridSpan w:val="12"/>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49BAC24">
            <w:pPr>
              <w:jc w:val="both"/>
              <w:rPr>
                <w:rFonts w:hint="eastAsia" w:ascii="宋体" w:hAnsi="宋体"/>
                <w:b/>
                <w:bCs/>
                <w:color w:val="000000" w:themeColor="text1"/>
                <w:szCs w:val="21"/>
                <w:highlight w:val="none"/>
                <w:vertAlign w:val="baseline"/>
                <w:lang w:val="en-US" w:eastAsia="zh-CN"/>
                <w14:textFill>
                  <w14:solidFill>
                    <w14:schemeClr w14:val="tx1"/>
                  </w14:solidFill>
                </w14:textFill>
              </w:rPr>
            </w:pPr>
            <w:r>
              <w:rPr>
                <w:rFonts w:hint="eastAsia" w:ascii="宋体" w:hAnsi="宋体"/>
                <w:b/>
                <w:bCs/>
                <w:color w:val="000000" w:themeColor="text1"/>
                <w:szCs w:val="21"/>
                <w:highlight w:val="none"/>
                <w:vertAlign w:val="baseline"/>
                <w:lang w:val="en-US" w:eastAsia="zh-CN"/>
                <w14:textFill>
                  <w14:solidFill>
                    <w14:schemeClr w14:val="tx1"/>
                  </w14:solidFill>
                </w14:textFill>
              </w:rPr>
              <w:t>一、档案存储</w:t>
            </w:r>
          </w:p>
        </w:tc>
      </w:tr>
      <w:tr w14:paraId="6CC2E1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1C7F4531">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3E32C02">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5AF06FD4">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智能密集架</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2AA39D7C">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m³</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4E489167">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151.8</w:t>
            </w:r>
            <w:r>
              <w:rPr>
                <w:rFonts w:hint="eastAsia" w:ascii="宋体" w:hAnsi="宋体" w:cs="宋体"/>
                <w:color w:val="000000" w:themeColor="text1"/>
                <w:sz w:val="21"/>
                <w:szCs w:val="21"/>
                <w:highlight w:val="none"/>
                <w:lang w:val="en-US" w:eastAsia="zh-CN"/>
                <w14:textFill>
                  <w14:solidFill>
                    <w14:schemeClr w14:val="tx1"/>
                  </w14:solidFill>
                </w14:textFill>
              </w:rPr>
              <w:t>8</w:t>
            </w:r>
          </w:p>
        </w:tc>
        <w:tc>
          <w:tcPr>
            <w:tcW w:w="389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3312891">
            <w:pPr>
              <w:keepNext w:val="0"/>
              <w:keepLines w:val="0"/>
              <w:widowControl/>
              <w:suppressLineNumbers w:val="0"/>
              <w:spacing w:line="240" w:lineRule="auto"/>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一、规格尺寸：单组智能密集架规格：≥W900mm*D600mm*H2500mm；</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整个房间密集架:(≥H2500mmXW3750mmXD600mm)/列，不少于27列，每列4组，不少于108组。</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1、执行标准</w:t>
            </w:r>
          </w:p>
          <w:p w14:paraId="59519481">
            <w:pPr>
              <w:keepNext w:val="0"/>
              <w:keepLines w:val="0"/>
              <w:widowControl/>
              <w:suppressLineNumbers w:val="0"/>
              <w:spacing w:line="240" w:lineRule="auto"/>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（1）GB/T 3325-2024《金属家具通用技术条件》 </w:t>
            </w:r>
          </w:p>
          <w:p w14:paraId="52BED7E8">
            <w:pPr>
              <w:keepNext w:val="0"/>
              <w:keepLines w:val="0"/>
              <w:widowControl/>
              <w:suppressLineNumbers w:val="0"/>
              <w:spacing w:line="240" w:lineRule="auto"/>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（2）GB/T 28200-2011《钢制储物柜（架）技术要求及试验方法》 </w:t>
            </w:r>
          </w:p>
          <w:p w14:paraId="610D6FE6">
            <w:pPr>
              <w:keepNext w:val="0"/>
              <w:keepLines w:val="0"/>
              <w:widowControl/>
              <w:suppressLineNumbers w:val="0"/>
              <w:spacing w:line="240" w:lineRule="auto"/>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（3）GB/T 35607-2024《绿色产品评价 家具》 </w:t>
            </w:r>
          </w:p>
          <w:p w14:paraId="48782E5E">
            <w:pPr>
              <w:keepNext w:val="0"/>
              <w:keepLines w:val="0"/>
              <w:widowControl/>
              <w:suppressLineNumbers w:val="0"/>
              <w:spacing w:line="240" w:lineRule="auto"/>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（4）GB/T 13667.3-2013《钢制书架 第 3 部分：手动密集书架》 </w:t>
            </w:r>
          </w:p>
          <w:p w14:paraId="28E7FE77">
            <w:pPr>
              <w:keepNext w:val="0"/>
              <w:keepLines w:val="0"/>
              <w:widowControl/>
              <w:suppressLineNumbers w:val="0"/>
              <w:spacing w:line="240" w:lineRule="auto"/>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（5）GB/T13667.4-2013《钢制书架 第4部分：电动密集书架》</w:t>
            </w:r>
          </w:p>
          <w:p w14:paraId="1385F862">
            <w:pPr>
              <w:keepNext w:val="0"/>
              <w:keepLines w:val="0"/>
              <w:widowControl/>
              <w:suppressLineNumbers w:val="0"/>
              <w:spacing w:line="240" w:lineRule="auto"/>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（6）GB 16796-2022《安全防范报警设备 安全要求和试验方法》</w:t>
            </w:r>
          </w:p>
          <w:p w14:paraId="211B8753">
            <w:pPr>
              <w:keepNext w:val="0"/>
              <w:keepLines w:val="0"/>
              <w:widowControl/>
              <w:suppressLineNumbers w:val="0"/>
              <w:spacing w:line="240" w:lineRule="auto"/>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（7）GB/T 708-2019《冷轧钢板和钢带的尺寸、外形、重量及允许偏差》</w:t>
            </w:r>
          </w:p>
          <w:p w14:paraId="447AA841">
            <w:pPr>
              <w:keepNext w:val="0"/>
              <w:keepLines w:val="0"/>
              <w:widowControl/>
              <w:suppressLineNumbers w:val="0"/>
              <w:spacing w:line="240" w:lineRule="auto"/>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（8）GB/T 5213-2019《冷轧低碳钢板及钢带》 </w:t>
            </w:r>
          </w:p>
          <w:p w14:paraId="655ACFAD">
            <w:pPr>
              <w:keepNext w:val="0"/>
              <w:keepLines w:val="0"/>
              <w:widowControl/>
              <w:suppressLineNumbers w:val="0"/>
              <w:spacing w:line="240" w:lineRule="auto"/>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（9）GB/T 700-2006《碳素结构钢》</w:t>
            </w:r>
          </w:p>
          <w:p w14:paraId="1FBA2F41">
            <w:pPr>
              <w:keepNext w:val="0"/>
              <w:keepLines w:val="0"/>
              <w:widowControl/>
              <w:suppressLineNumbers w:val="0"/>
              <w:spacing w:line="240" w:lineRule="auto"/>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（10）GB/T 709-2019《热轧钢板和钢带的尺寸、外形、重量及允许偏差》</w:t>
            </w:r>
          </w:p>
          <w:p w14:paraId="3F51930E">
            <w:pPr>
              <w:keepNext w:val="0"/>
              <w:keepLines w:val="0"/>
              <w:widowControl/>
              <w:suppressLineNumbers w:val="0"/>
              <w:spacing w:line="240" w:lineRule="auto"/>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（11）GB/T 24195-2009《金属和合金的腐蚀酸性盐雾、“干燥”和“湿润”条件下的循环加速腐蚀试验》</w:t>
            </w:r>
          </w:p>
          <w:p w14:paraId="25112695">
            <w:pPr>
              <w:keepNext w:val="0"/>
              <w:keepLines w:val="0"/>
              <w:widowControl/>
              <w:suppressLineNumbers w:val="0"/>
              <w:spacing w:line="240" w:lineRule="auto"/>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（12）HG/T 2006-2022《热固性和热塑性粉末涂料》</w:t>
            </w:r>
          </w:p>
          <w:p w14:paraId="4BAD7892">
            <w:pPr>
              <w:keepNext w:val="0"/>
              <w:keepLines w:val="0"/>
              <w:widowControl/>
              <w:suppressLineNumbers w:val="0"/>
              <w:spacing w:line="240" w:lineRule="auto"/>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（13）GB/T 228.1-2021《金属材料 拉伸试验 第1部分:室温试验方法》 </w:t>
            </w:r>
          </w:p>
          <w:p w14:paraId="08F4BB8C">
            <w:pPr>
              <w:keepNext w:val="0"/>
              <w:keepLines w:val="0"/>
              <w:widowControl/>
              <w:suppressLineNumbers w:val="0"/>
              <w:spacing w:line="240" w:lineRule="auto"/>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（14）GB/T 1741-2020《漆膜耐霉菌性测定法》</w:t>
            </w:r>
          </w:p>
          <w:p w14:paraId="60531948">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二、密集架各配件要求：</w:t>
            </w:r>
          </w:p>
          <w:p w14:paraId="61A693CB">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 轨道</w:t>
            </w:r>
          </w:p>
          <w:p w14:paraId="3AE158A3">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2.1.1钢轨采用20mm*20mm45＃实心方钢，数控加工中心一次加工成型，表面粗糙度Ra≤1.6μm，直线度误差≤0.5mm/m。钢轨首尾同心轴插接咬合结构，插接深度≥10mm，实心方钢接缝处高低差≤0.2mm，左右错位≤0.2mm。先整体机加工后热镀锌工艺，镀锌层厚度≥85μm，盐雾试验≥1500小时达到10级，涂层无锈蚀、无剥落，符合GB/T 13912-2020标准要求。采用M8×8mm高强度螺栓固定，螺栓材质为8.8 级高强度钢，每米轨道螺栓数量不少于4个，且螺栓头部采用沉头设计，与轨道表面平齐，落差≤1mm。</w:t>
            </w:r>
          </w:p>
          <w:p w14:paraId="5A52F224">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2.1.2▲轨道质量要求：硬度≥6H，附着力等级≤1级（划格法），冲击强度≥50kg・cm，耐弯曲性≤2mm，各项指标符合 GB/T 1720-2020 标准；涂层表面光滑，色泽均匀，色差≤ΔE2.0（CIE LAB 色差系统），符合GB/T 1766-2008标准要求，无气泡、针孔、流挂、划痕、漏喷等缺陷。涂层耐湿热性≥1000小时，无起泡、无脱落、无锈蚀；耐碱性（5% NaOH溶液）≥1000小时，无异常；耐酸性（10% H2SO4溶液）≥1000小时，无异常。</w:t>
            </w:r>
          </w:p>
          <w:p w14:paraId="4AF5D33E">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 底盘</w:t>
            </w:r>
          </w:p>
          <w:p w14:paraId="63DC1AD7">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2.2.1▲底盘采用优质冷轧钢板数控折弯成型工艺，采用分段焊接组装结构，厚度≥3.0mm的优质冷轧钢板，一次折弯成型，折弯角度误差≤0.5°，折边高度误差≤0.3mm。底盘整体高度≥120mm，底梁钢板厚度≥3.0mm。</w:t>
            </w:r>
          </w:p>
          <w:p w14:paraId="3A7A6539">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w:t>
            </w:r>
            <w:r>
              <w:rPr>
                <w:rFonts w:hint="eastAsia" w:ascii="宋体" w:hAnsi="宋体" w:cs="宋体"/>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t>▲轴承：底盘配置G级外球面轴承，轴承内径20mm，外径47mm，宽度14mm，具备自动调心功能，可补偿轴与座孔的同轴度误差≤0.1mm，降低运行阻力。配置全密封接触式橡胶密封圈（材质为丁腈橡胶）和钢制冲压保持架，保持架材料为08F钢，确保滚珠润滑脂均匀分布，轴承使用寿命≥500000次往复运行。</w:t>
            </w:r>
          </w:p>
          <w:p w14:paraId="62AAC9C3">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w:t>
            </w:r>
            <w:r>
              <w:rPr>
                <w:rFonts w:hint="eastAsia" w:ascii="宋体" w:hAnsi="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▲轴承座：轴承座采用铸钢平面式外球面轴承座，材质为ZG 270-500，经数控车床加工成型，轴承座与轴承配合间隙≤0.02mm，运行噪音≤40dB。</w:t>
            </w:r>
          </w:p>
          <w:p w14:paraId="2F7FA416">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w:t>
            </w: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14:textFill>
                  <w14:solidFill>
                    <w14:schemeClr w14:val="tx1"/>
                  </w14:solidFill>
                </w14:textFill>
              </w:rPr>
              <w:t>轨道轮：轨道轮分为H型双边轨道轮和凸台平轮两种，均采用45#钢一体铸造，经调质处理（HB220-250），H型轮最大外径≥130mm，轨道接触面直径≥120mm；凸台平轮最大外径≥120mm，凸台高度≤1mm，确保不打滑、不脱轨。</w:t>
            </w:r>
          </w:p>
          <w:p w14:paraId="2D421874">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w:t>
            </w:r>
            <w:r>
              <w:rPr>
                <w:rFonts w:hint="eastAsia" w:ascii="宋体" w:hAnsi="宋体" w:cs="宋体"/>
                <w:color w:val="000000" w:themeColor="text1"/>
                <w:highlight w:val="none"/>
                <w:lang w:val="en-US"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轮轴：采用45#冷拉实心圆钢，HB220-290数控车床加工成型，两端开槽安装卡簧，防止运行中轴承移位，轮轴中间安装18齿高强度链轮，通过链条与传动轴连接，轮轴直径</w:t>
            </w:r>
            <w:r>
              <w:rPr>
                <w:rFonts w:hint="eastAsia" w:ascii="宋体" w:hAnsi="宋体" w:eastAsia="宋体"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∅20mm；</w:t>
            </w:r>
          </w:p>
          <w:p w14:paraId="18F8E5EB">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w:t>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eastAsia="宋体" w:cs="宋体"/>
                <w:color w:val="000000" w:themeColor="text1"/>
                <w:highlight w:val="none"/>
                <w14:textFill>
                  <w14:solidFill>
                    <w14:schemeClr w14:val="tx1"/>
                  </w14:solidFill>
                </w14:textFill>
              </w:rPr>
              <w:t>传动轴：采用45#冷拉实心圆钢，数控车床加工成型，两端开槽安装卡簧，防止运行中轴承移位，一端加装21齿高强度链轮，通过链条与传动盘连接，中间安装双排12齿高强度链轮，通过链条与轮轴连接，确保密集架动力能良好的传导到轮子与轨道，动力轴直径</w:t>
            </w:r>
            <w:r>
              <w:rPr>
                <w:rFonts w:hint="eastAsia" w:ascii="宋体" w:hAnsi="宋体" w:eastAsia="宋体"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∅20mm；</w:t>
            </w:r>
          </w:p>
          <w:p w14:paraId="331D2CD5">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w:t>
            </w:r>
            <w:r>
              <w:rPr>
                <w:rFonts w:hint="eastAsia" w:ascii="宋体" w:hAnsi="宋体" w:cs="宋体"/>
                <w:color w:val="000000" w:themeColor="text1"/>
                <w:highlight w:val="none"/>
                <w:lang w:val="en-US" w:eastAsia="zh-CN"/>
                <w14:textFill>
                  <w14:solidFill>
                    <w14:schemeClr w14:val="tx1"/>
                  </w14:solidFill>
                </w14:textFill>
              </w:rPr>
              <w:t>7</w:t>
            </w:r>
            <w:r>
              <w:rPr>
                <w:rFonts w:hint="eastAsia" w:ascii="宋体" w:hAnsi="宋体" w:eastAsia="宋体" w:cs="宋体"/>
                <w:color w:val="000000" w:themeColor="text1"/>
                <w:highlight w:val="none"/>
                <w14:textFill>
                  <w14:solidFill>
                    <w14:schemeClr w14:val="tx1"/>
                  </w14:solidFill>
                </w14:textFill>
              </w:rPr>
              <w:t>同步轴：采用</w:t>
            </w:r>
            <w:r>
              <w:rPr>
                <w:rFonts w:hint="eastAsia" w:ascii="宋体" w:hAnsi="宋体" w:eastAsia="宋体"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∅25mm圆形冷拔钢管，数控车床加工成型，两端加装缓冲套盒卡销，确保与轮轴和传动轴紧密结合，降低运行噪音；</w:t>
            </w:r>
          </w:p>
          <w:p w14:paraId="19AC98CF">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链轮：采用链轮为45#钢，经锻压精密加工成型。</w:t>
            </w:r>
          </w:p>
          <w:p w14:paraId="5E895E6E">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w:t>
            </w:r>
            <w:r>
              <w:rPr>
                <w:rFonts w:hint="eastAsia" w:ascii="宋体" w:hAnsi="宋体" w:cs="宋体"/>
                <w:color w:val="000000" w:themeColor="text1"/>
                <w:highlight w:val="none"/>
                <w:lang w:val="en-US" w:eastAsia="zh-CN"/>
                <w14:textFill>
                  <w14:solidFill>
                    <w14:schemeClr w14:val="tx1"/>
                  </w14:solidFill>
                </w14:textFill>
              </w:rPr>
              <w:t>8</w:t>
            </w:r>
            <w:r>
              <w:rPr>
                <w:rFonts w:hint="eastAsia" w:ascii="宋体" w:hAnsi="宋体" w:eastAsia="宋体" w:cs="宋体"/>
                <w:color w:val="000000" w:themeColor="text1"/>
                <w:highlight w:val="none"/>
                <w14:textFill>
                  <w14:solidFill>
                    <w14:schemeClr w14:val="tx1"/>
                  </w14:solidFill>
                </w14:textFill>
              </w:rPr>
              <w:t>▲底盘质量要求</w:t>
            </w:r>
          </w:p>
          <w:p w14:paraId="290E0235">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1、采用热镀锌工艺，镀锌层厚度≥85μm，锌层附着力≥5N/mm，经48小时中性盐雾试验后，无红锈、无剥落，符合GB/T 13912-2020 标准。</w:t>
            </w:r>
          </w:p>
          <w:p w14:paraId="62AF6417">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2、硬度≥6H，附着力等级≤1级（划格法），冲击强度≥50kg・cm，耐弯曲性≤2mm，各项指标符合 GB/T 1720-2020 标准；涂层表面光滑，色泽均匀，色差≤ΔE2.0（CIE LAB 色差系统），符合GB/T 1766-2008标准要求，无气泡、针孔、流挂、划痕、漏喷等缺陷。</w:t>
            </w:r>
          </w:p>
          <w:p w14:paraId="3BF93266">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3、涂层耐湿热性≥1000小时，无起泡、无脱落、无锈蚀；耐碱性（5% NaOH溶液）≥1000小时，无异常；耐酸性（10% H2SO4溶液）≥1000小时，无异常。</w:t>
            </w:r>
          </w:p>
          <w:p w14:paraId="4FD8F72D">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4、反面涂层厚度:不小于12um;</w:t>
            </w:r>
          </w:p>
          <w:p w14:paraId="78E1E31C">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5、耐冷液测试:试样在温度为(23±2)°C、相对湿度为(50±5)%的环境中存放48h后，在温度为(23±2)°C的环境中试验28d，试验后试样表面应无褪色、变泽和变色、鼓泡、膨胀或其他缺陷;</w:t>
            </w:r>
          </w:p>
          <w:p w14:paraId="7AA86689">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6、耐盐浴:不小于500h试验后，划道两侧3mm外，应无鼓泡、锈蚀、剥落和起皱现象;</w:t>
            </w:r>
          </w:p>
          <w:p w14:paraId="407429DB">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7、耐中性盐雾性能:按1级规定试验时间≥480h，试样起泡密度等级和起泡大小等级不大于GB/T 1766-2008中表23规定的3级，但起泡密度等级和起泡大小等级不应同时为3级。</w:t>
            </w:r>
          </w:p>
          <w:p w14:paraId="6EFB1BC5">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2.3 立柱</w:t>
            </w:r>
          </w:p>
          <w:p w14:paraId="3017A6CA">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2.3.1▲立柱由两侧立柱和立柱横撑焊接而成，立柱和横撑均采用优质冷轧钢板一次性辊压成型工艺，冷轧钢板厚度≥1.6mm；立柱双面均布蝴蝶形挂孔，孔间距≥45mm，挂孔尺寸</w:t>
            </w:r>
            <w:r>
              <w:rPr>
                <w:rFonts w:hint="eastAsia" w:ascii="宋体" w:hAnsi="宋体" w:eastAsia="宋体"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3mmX25mm，孔边圆角</w:t>
            </w:r>
            <w:r>
              <w:rPr>
                <w:rFonts w:hint="eastAsia" w:ascii="宋体" w:hAnsi="宋体" w:eastAsia="宋体"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R1.5mm。密集架层数和层间距可按需调整。</w:t>
            </w:r>
          </w:p>
          <w:p w14:paraId="6330DD58">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2.3.2▲立柱三侧面需采用数控连续辊压压筋工艺，每面各压制≥2条宽≥3mm、深≥1mm的加强筋，单根侧立柱不少于6条沿立柱高度方向通长布置的压筋，无断点、无偏移，筋条边缘需形成R2mm圆角，压筋后立柱截面变形量≤0.3mm，确保增强立柱抗侧弯强度的同时，不影响挂孔精度。</w:t>
            </w:r>
          </w:p>
          <w:p w14:paraId="385ABD9A">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2.3.3▲每标准节(六层双面隔板)在全负载状态(每块单面隔板均布载重40kg)下，立柱最大变形量≤1mm，卸载后残余变形≤0.1mm，符合GB/T33253-2016 标准要求。</w:t>
            </w:r>
          </w:p>
          <w:p w14:paraId="1EC250EC">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2.3.4▲立柱质量要求：</w:t>
            </w:r>
          </w:p>
          <w:p w14:paraId="5B3F1983">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1、耐冲击性:冲击高度≥1000mm，冲头直径≥16mm，试验后应无剥落、裂纹、皱纹;</w:t>
            </w:r>
          </w:p>
          <w:p w14:paraId="28C689C6">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2、耐冷液测试:试样在温度为(23士2)°C、相对湿度为(50士5)%的环境中存放≥48h后，在温度为(23士2)°C的环境中试验≥28d，试验后试样表面应无褪色、变泽和变色、鼓泡、膨胀或其他缺陷;</w:t>
            </w:r>
          </w:p>
          <w:p w14:paraId="4EA9318E">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3、人工气候老化:不小于110h人工气候老化试验后，涂层表面无明显变化，无开裂、无粉化;</w:t>
            </w:r>
          </w:p>
          <w:p w14:paraId="1FCB27D0">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4、耐盐浴:不小于500h试验后，划道两侧≥3mn外，应无鼓泡、锈蚀、剥落和起皱现象;</w:t>
            </w:r>
          </w:p>
          <w:p w14:paraId="2205F9EB">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5、耐中性盐雾性能:按1级规定试验时间≥480h，试样起泡密度等级和起泡大小等级不大于GB/T1766-2008中表23规定的3级，但起泡密度等级和起泡大小等级不应同时为3级。</w:t>
            </w:r>
          </w:p>
          <w:p w14:paraId="775E3E0E">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硬度≥6H，附着力等级≤1级(划格法)，冲击强度≥50kg·cm，耐弯曲性≤2mm，各项指标符合GB/T1720-2020标准;涂层表面光滑，色泽均匀，色差≤AE2.0(CIELAB色差系统)，符合GB/T1766-2008标准要求，无气泡、针孔、流挂、划痕、漏喷等缺陷。</w:t>
            </w:r>
          </w:p>
          <w:p w14:paraId="6F0DBF5E">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7、涂层耐湿热性≥1000小时，无起泡、无脱落、无锈蚀;耐碱性(5%Na0H溶液≥1000小时，无异常;耐酸性(10%H2S04溶液)≥1000小时，无异常。</w:t>
            </w:r>
          </w:p>
          <w:p w14:paraId="0E38DB56">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2.4 挂板</w:t>
            </w:r>
          </w:p>
          <w:p w14:paraId="4DEF4DE4">
            <w:pPr>
              <w:spacing w:line="240" w:lineRule="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2.4.1▲挂板采用优质冷轧钢板一体冲压成型工艺，冷轧钢板厚度≥1.1mm，挂板成型高度≥120mm，宽度≥488mm；挂耳采用外翻式V槽单边双挂耳样式，与立柱蝴蝶形挂孔紧密贴合</w:t>
            </w:r>
            <w:r>
              <w:rPr>
                <w:rFonts w:hint="eastAsia" w:ascii="宋体" w:hAnsi="宋体" w:cs="宋体"/>
                <w:color w:val="000000" w:themeColor="text1"/>
                <w:highlight w:val="none"/>
                <w:lang w:eastAsia="zh-CN"/>
                <w14:textFill>
                  <w14:solidFill>
                    <w14:schemeClr w14:val="tx1"/>
                  </w14:solidFill>
                </w14:textFill>
              </w:rPr>
              <w:t>。</w:t>
            </w:r>
          </w:p>
          <w:p w14:paraId="7BA061E8">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2.4.2▲挂板正面采用冲压≥4条纵向压筋，单条压筋长度≥150mm，压筋宽度≥5mm、深度≥1mm，无漏压、无错位；挂板中部需冲压≥2个长≥110mm、宽≥30mm的腰型孔，孔边需进行无毛刺处理；冲压后挂板整体平整度误差≤0.5mm，无明显变形。</w:t>
            </w:r>
          </w:p>
          <w:p w14:paraId="2C53CA0C">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2.4.3▲挂板底部采用一次翻边工艺，翻边宽度≥15mm，挂板背面冲压≥4个圆角梯形指甲扣，指甲扣边缘光滑无锐边，指甲扣和翻边与搁板相互咬合，形成双向托举的咬合结构，防止搁板前后左右晃动，将搁板压力均匀分布，防止搁板局部受力导致挂板变形。</w:t>
            </w:r>
          </w:p>
          <w:p w14:paraId="0A8E7A6E">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2.4.4▲挂板顶部采用开镜像L孔，用于固定挡条，挡条采用≥1.0mm厚优质冷轧钢板数控折弯成型，长度≥858mm，宽度≥16mm，高度≥10mm，无焊点、无毛刺，嵌入两侧挂板后咬合紧实无间隙、运行无异响，确保挂板横向稳定。</w:t>
            </w:r>
          </w:p>
          <w:p w14:paraId="224A4CF5">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2.4.5▲挂板质量要求：</w:t>
            </w:r>
          </w:p>
          <w:p w14:paraId="25B39C16">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1、硬度≥6H，附着力等级≤1级（划格法），冲击强度≥50kg・cm，耐弯曲性≤2mm，各项指标符合 GB/T 1720-2020 标准；涂层表面光滑，色泽均匀，色差≤ΔE2.0（CIE LAB 色差系统），符合GB/T 1766-2008标准要求，无气泡、针孔、流挂、划痕、漏喷等缺陷。</w:t>
            </w:r>
          </w:p>
          <w:p w14:paraId="568B5F3C">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2、金黄色葡萄球菌抗菌率≥99%、大肠杆菌抗菌率≥ 99%;</w:t>
            </w:r>
          </w:p>
          <w:p w14:paraId="79BED7F3">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3、涂层耐湿热性≥1000小时，无起泡、无脱落、无锈蚀；耐碱性（5% NaOH溶液）≥1000小时，无异常；耐酸性（10% H2SO4溶液）≥1000小时，无异常。</w:t>
            </w:r>
          </w:p>
          <w:p w14:paraId="6DE03991">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2.5 搁板</w:t>
            </w:r>
          </w:p>
          <w:p w14:paraId="770CE281">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2.5.1▲搁板采用冷轧钢板一体辊压成型工艺，冷轧钢板厚度≥1.1mm，强度高、不变型，挂板成型长度≥847mm、宽度≥225mm、高度≥24mm；前后长边采用三次翻边工艺，两边形成半封闭式方形腔体，使层板承载能力最大化。</w:t>
            </w:r>
          </w:p>
          <w:p w14:paraId="2EE8E386">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2.5.2▲搁板上表面采用纵向数控压筋工艺，压制≥6条宽≥3mm、深≥1mm的加强筋，筋条分为前后两组，每组≥3条，一加二布局，沿层板长度方向通长布置，外侧压筋避开搁板边缘40mm范围，压筋后层板平面度误差≤0.5mm/m，无起皱、无开裂，压筋区域与层板翻边结构形成协同承重，提升层板均布载重能力。</w:t>
            </w:r>
          </w:p>
          <w:p w14:paraId="706F17F2">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2.5.3▲搁板后翻边需采用纵向数控压筋工艺，在翻边中心压制≥1条宽≥3mm、深 ≥1mm的加强筋，沿层板长度方向通长布置，压筋后层板平面度误差≤0.5mm/m，无起皱、无开裂。</w:t>
            </w:r>
          </w:p>
          <w:p w14:paraId="1C3DC7D7">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2.5.4▲搁板前长边需采用纵向数控辊压工艺，一体辊压成型防脱挡筋结构，防脱挡筋高度≥5mm、外翻宽度≥5mm，沿层板长度方向通长布置，中间无断点；防脱挡筋顶部需压制R2mm圆角（无锐边、无毛刺），防脱挡筋与层板本体过渡处无褶皱、无裂纹。</w:t>
            </w:r>
          </w:p>
          <w:p w14:paraId="765370E6">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2.5.5▲载重要求：单层均布载重≥100kg，经24小时连续载荷试验后，搁板最大挠度≤3mm，卸载后残余变形≤0.3mm，无裂纹、无永久变形。</w:t>
            </w:r>
          </w:p>
          <w:p w14:paraId="27562DBB">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2.5.6▲搁板质量要求：</w:t>
            </w:r>
          </w:p>
          <w:p w14:paraId="5A883A00">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1、GB/T 4893.1-2021耐冷液测试:试样在温度为(23±2)°C、相对湿度为(50±5)%的环境中存放≥48h后，在温度为(23±2)°C的环境中试验≥28d，试验后试样表面应无褪色、变泽和变色、鼓泡、膨胀或其他缺陷;</w:t>
            </w:r>
          </w:p>
          <w:p w14:paraId="1F6ABDA5">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2、2GB/T23987-2009人工气候老化:不小于110h人工气候老化后，涂层表面无明显变化无开裂、无粉化;</w:t>
            </w:r>
          </w:p>
          <w:p w14:paraId="19CAC210">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3、QB/T 1950-2024耐盐浴≥500h试验后，划道两侧3mm外，应无鼓泡、锈蚀、剥落和起皱现象;</w:t>
            </w:r>
          </w:p>
          <w:p w14:paraId="78248F80">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4、反向冲击:不小于9J;</w:t>
            </w:r>
          </w:p>
          <w:p w14:paraId="54557267">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5、耐中性盐雾性能:按1级规定试验时间≥480h，试样起泡密度等级和起泡大小等级不大于GB/T1766-2008中表23规定的3级，但起泡密度等级和起泡大小等级不应同时为3级。</w:t>
            </w:r>
          </w:p>
          <w:p w14:paraId="05DBFC2C">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2.5.7▲隔板表面处理要求：</w:t>
            </w:r>
          </w:p>
          <w:p w14:paraId="052B507A">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1、硬度≥6H，附着力等级≤1级（划格法），反面涂层厚度:≥12μm，冲击强度≥50kg・cm，耐弯曲性≤2mm，各项指标符合 GB/T 1720-2020 标准；涂层表面光滑，色泽均匀，色差≤ΔE2.0（CIE LAB 色差系统），符合GB/T 1766-2008标准要求，无气泡、针孔、流挂、划痕、漏喷等缺陷，渗透性:距离试验边缘≥3mm 外的涂层不应有气泡，耐溶剂擦拭性:擦拭≥30 次无露底。</w:t>
            </w:r>
          </w:p>
          <w:p w14:paraId="6278C75D">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2、金黄色葡萄球菌抗菌率≥99%、大肠杆菌抗菌率≥ 99%;</w:t>
            </w:r>
          </w:p>
          <w:p w14:paraId="5B64C541">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3、涂层耐湿热性≥1000小时，无起泡、无脱落、无锈蚀；耐碱性（5% NaOH溶液）≥1000小时，无异常；耐酸性（10% H2SO4溶液）≥1000小时，无异常。</w:t>
            </w:r>
          </w:p>
          <w:p w14:paraId="35B7BE5C">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2.6 顶板</w:t>
            </w:r>
          </w:p>
          <w:p w14:paraId="6799E25E">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顶板采用冷轧钢板数控折弯成型工艺，冷轧钢板厚度≥1.0mm，强度高、不变型，顶板成型长度≥850mm、宽度≥528mm、高度≥50mm；四边采用两次翻边工艺，四角焊接，结构稳固；顶板与立柱采用高强度螺栓禁锢连接，与立柱与底盘形成整体结构，起到稳固架体的作用；</w:t>
            </w:r>
          </w:p>
          <w:p w14:paraId="4D47DE69">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▲顶板质量要求：硬度≥6H，附着力等级≤1级（划格法），冲击强度≥50kg・cm，耐弯曲性≤2mm，各项指标符合 GB/T 1720-2020 标准；涂层表面光滑，色泽均匀，色差≤ΔE2.0（CIE LAB 色差系统），符合GB/T 1766-2008标准要求，无气泡、针孔、流挂、划痕、漏喷等缺陷。涂层耐湿热性≥1000小时，无起泡、无脱落、无锈蚀；耐碱性（5% NaOH溶液）≥1000小时，无异常；耐酸性（10% H2SO4溶液）≥1000小时，无异常。</w:t>
            </w:r>
          </w:p>
          <w:p w14:paraId="18000C09">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2.7 防鼠板</w:t>
            </w:r>
          </w:p>
          <w:p w14:paraId="2E6FB8E6">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防鼠板采用冷轧钢板数控折弯成型工艺，冷轧钢板厚度≥1.1mm，强度高、不变型，防鼠板成型长度≥847mm、宽度≥35mm、高度≥24mm；硬度≥6H，附着力等级≤1级（划格法），冲击强度≥50kg・cm，耐弯曲性≤2mm，各项指标符合 GB/T 1720-2020 标准；涂层表面光滑，色泽均匀，色差≤ΔE2.0（CIE LAB 色差系统），符合GB/T 1766-2008标准要求，无气泡、针孔、流挂、划痕、漏喷等缺陷。涂层耐湿热性≥1000小时，无起泡、无脱落、无锈蚀；耐碱性（5% NaOH溶液）≥1000小时，无异常；耐酸性（10% H2SO4溶液）≥1000小时，无异常。</w:t>
            </w:r>
          </w:p>
          <w:p w14:paraId="7603A233">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2.8 防尘板</w:t>
            </w:r>
          </w:p>
          <w:p w14:paraId="1C613AD6">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防尘板采用冷轧钢板数控折弯成型工艺，冷轧钢板厚度≥1.0mm，强度高、不变型，防尘板成型长度≥950mm、宽度≥80mm、高度≥10mm；硬度≥6H，附着力等级≤1级（划格法），冲击强度≥50kg・cm，耐弯曲性≤2mm，各项指标符合 GB/T 1720-2020 标准；涂层表面光滑，色泽均匀，色差≤ΔE2.0（CIE LAB 色差系统），符合GB/T 1766-2008标准要求，无气泡、针孔、流挂、划痕、漏喷等缺陷。涂层耐湿热性≥1000小时，无起泡、无脱落、无锈蚀；耐碱性（5% NaOH溶液）≥1000小时，无异常；耐酸性（10% H2SO4溶液）≥1000小时，无异常。</w:t>
            </w:r>
          </w:p>
          <w:p w14:paraId="24E0F15E">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2.9 装饰板</w:t>
            </w:r>
          </w:p>
          <w:p w14:paraId="693FD24C">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装饰板采用冷轧钢板数控折弯成型工艺，冷轧钢板厚度≥1.0mm，强度高、不变型，装饰板成型长度≥900mm、宽度≥100mm、高度≥20mm；</w:t>
            </w:r>
          </w:p>
          <w:p w14:paraId="3C2C2377">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2.10 密封条固定板</w:t>
            </w:r>
          </w:p>
          <w:p w14:paraId="0CB43829">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密封条固定板采用冷轧钢板数控折弯成型工艺，冷轧钢板厚度≥1.0mm，强度高、不变型，密封条固定板成型长度≥600mm、宽度≥25mm、高度≥10mm；</w:t>
            </w:r>
          </w:p>
          <w:p w14:paraId="52036F05">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2.11 挡棒</w:t>
            </w:r>
          </w:p>
          <w:p w14:paraId="1A5D1428">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挡棒采用冷轧钢板数控折弯成型工艺，无焊点、无毛刺，冷轧钢板厚度≥1.0mm，强度高、不变型，挡条成型长度≥858mm、宽度≥16mm、高度≥10mm；两端采用H形卡槽设计，快速安装，无需螺栓固定，安装后自动锁紧，牢固不易脱落；</w:t>
            </w:r>
          </w:p>
          <w:p w14:paraId="0ABC6386">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2.12 侧板</w:t>
            </w:r>
          </w:p>
          <w:p w14:paraId="531FD9C2">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侧板采用冷轧钢板冷压一体成型工艺，分段组装结构，分为上中下三段，冷轧钢板厚度≥1.0mm，强度高、不变型；侧板上段成型宽度≥560mm、深度≥70mm、高度≥1200mm；中段成型宽度≥560mm、深度≥70mm、高度≥80mm；下段成型宽度≥560mm、深度≥70mm、高度≥1200mm；标识卡、目录框、控制屏、列显、摇把、制动锁等开孔均采用激光切割工艺，切口平滑、精准；侧板中间段配置LED流水灯带，开合架时可根据流水灯的流动方向判断架体的运动方向和速度；侧板显示屏和列显安装周边镶嵌黑色有机玻璃面板，可有效缓解视觉疲劳；侧板左右两侧为圆弧形设计，圆弧半径≥10mm，边角采用半圆闭合角工艺，无缝隙，弧面平滑，造型美观，不易刮蹭掉漆；</w:t>
            </w:r>
          </w:p>
          <w:p w14:paraId="17C0E7CE">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▲侧板质量要求：</w:t>
            </w:r>
          </w:p>
          <w:p w14:paraId="19C3F6FA">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1、冲击高度≥1000mm，冲头直径≥16mm，试验后应无剥落、裂纹、皱纹;</w:t>
            </w:r>
          </w:p>
          <w:p w14:paraId="43285074">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GB/T 4893.1-2021耐冷液测试:试样在温度为(23±2)°C、相对湿度为(50±5)%的环境中存放≥48h后，在温度为(23±2)°C的环境中试验≥28d，试验后试样表面应无褪色、变泽和变色、鼓泡、膨胀或其他缺陷;</w:t>
            </w:r>
          </w:p>
          <w:p w14:paraId="47F3458A">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2、GB/T 23987-2009人工气候老化:不小于110h人工气候老化后，涂层表面无明显变化无开裂、无粉化;QB/T 1950-2024耐盐浴≥500h试验后，划道两侧≥3mm外，应无鼓泡、锈蚀、剥落和起皱现象;反向冲击:不小于9J;耐中性盐雾性能:按1级规定试验时间≥480h，试样起泡密度等级和起泡大小等级不大于GB/T1766-2008中表23规定的3级，但起泡密度等级和起泡大小等级不应同时为3级。</w:t>
            </w:r>
          </w:p>
          <w:p w14:paraId="202FDCB5">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3、硬度≥6H，附着力等级≤1级（划格法），反面涂层厚度:≥12μm，冲击强度≥50kg・cm，耐弯曲性≤2mm，各项指标符合 GB/T 1720-2020 标准；涂层表面光滑，色泽均匀，色差≤ΔE2.0（CIE LAB 色差系统），符合GB/T 1766-2008标准要求，无气泡、针孔、流挂、划痕、漏喷等缺陷，渗透性:距离试验边缘≥3mm 外的涂层不应有气泡，耐溶剂擦拭性:擦拭≥30 次无露底。</w:t>
            </w:r>
          </w:p>
          <w:p w14:paraId="3308F7C3">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4、金黄色葡萄球菌抗菌率≥99%、大肠杆菌抗菌率≥ 99%;</w:t>
            </w:r>
          </w:p>
          <w:p w14:paraId="7F4B75F6">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5、防霉性能耐霉菌性等级(菌种包含:黑曲霉、黄曲霉、出芽短梗霉、绿色木霉、宛氏拟青梅、桔青霉、腊叶芽枝梅和链格 孢):达到 0 级;</w:t>
            </w:r>
          </w:p>
          <w:p w14:paraId="021EB881">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6、涂层耐湿热性≥1000小时，无起泡、无脱落、无锈蚀；耐干热性经过≥100h，60°C烘烤老化后，涂层失光等级和变色等级不低于 1 级耐碱性（5% NaOH溶液）≥1000小时，无异常；耐酸性（10% H2SO4溶液）≥1000小时，无异常。</w:t>
            </w:r>
          </w:p>
          <w:p w14:paraId="777A6D78">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2.13 门板</w:t>
            </w:r>
          </w:p>
          <w:p w14:paraId="09127D8E">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门板采用优质冷轧钢板数控折弯成型工艺，冷轧钢板厚度≥1.0mm，内衬两条加强筋，强度高、不变型；端门成型宽度≥445mm、高度≥2210mm、深度≥22mm；端门为一体结构，四面两次翻边工艺，加强筋采用电阻点焊工艺，焊点牢固、美观，表面无痕迹；门板整体校平，四周无扭曲、变形，与架体组装后四周缝隙均匀，密闭性好；配置四周装饰门边和隐藏式铰链组件，整体组装后外表面平整如一、无凹槽，美观且容易清理；</w:t>
            </w:r>
          </w:p>
          <w:p w14:paraId="0AF1DB1C">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▲门板质量要求：</w:t>
            </w:r>
          </w:p>
          <w:p w14:paraId="7C188C95">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1、冲击高度≥1000mm，冲头直径≥16mm，试验后应无剥落、裂纹、皱纹;</w:t>
            </w:r>
          </w:p>
          <w:p w14:paraId="0C22AE93">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GB/T 4893.1-2021耐冷液测试:试样在温度为(23±2)°C、相对湿度为(50±5)%的环境中存放≥48h后，在温度为(23±2)°C的环境中试验≥28d，试验后试样表面应无褪色、变泽和变色、鼓泡、膨胀或其他缺陷;</w:t>
            </w:r>
          </w:p>
          <w:p w14:paraId="1BFE0D09">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t>、GB/T 23987-2009人工气候老化:不小于110h人工气候老化后，涂层表面无明显变化无开裂、无粉化;QB/T 1950-2024耐盐浴≥500h试验后，划道两侧≥3mm外，应无鼓泡、锈蚀、剥落和起皱现象;反向冲击:不小于9J;耐中性盐雾性能:按1级规定试验时间≥480h，试样起泡密度等级和起泡大小等级不大于GB/T1766-2008中表23规定的3级，但起泡密度等级和起泡大小等级不应同时为3级。</w:t>
            </w:r>
          </w:p>
          <w:p w14:paraId="72861597">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、硬度≥6H，附着力等级≤1级（划格法），反面涂层厚度:≥12μm，冲击强度≥50kg・cm，耐弯曲性≤2mm，各项指标符合 GB/T 1720-2020 标准；涂层表面光滑，色泽均匀，色差≤ΔE2.0（CIE LAB 色差系统），符合GB/T 1766-2008标准要求，无气泡、针孔、流挂、划痕、漏喷等缺陷，渗透性:距离试验边缘≥3mm 外的涂层不应有气泡，耐溶剂擦拭性:擦拭≥30 次无露底。</w:t>
            </w:r>
          </w:p>
          <w:p w14:paraId="031F3A0C">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14:textFill>
                  <w14:solidFill>
                    <w14:schemeClr w14:val="tx1"/>
                  </w14:solidFill>
                </w14:textFill>
              </w:rPr>
              <w:t>、金黄色葡萄球菌抗菌率≥99%、大肠杆菌抗菌率≥ 99%;</w:t>
            </w:r>
          </w:p>
          <w:p w14:paraId="03E5BD5A">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、防霉性能耐霉菌性等级(菌种包含:黑曲霉、黄曲霉、出芽短梗霉、绿色木霉、宛氏拟青梅、桔青霉、腊叶芽枝梅和链格 孢):达到 0 级;</w:t>
            </w:r>
          </w:p>
          <w:p w14:paraId="53AA5022">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eastAsia="宋体" w:cs="宋体"/>
                <w:color w:val="000000" w:themeColor="text1"/>
                <w:highlight w:val="none"/>
                <w14:textFill>
                  <w14:solidFill>
                    <w14:schemeClr w14:val="tx1"/>
                  </w14:solidFill>
                </w14:textFill>
              </w:rPr>
              <w:t>、涂层耐湿热性≥1000小时，无起泡、无脱落、无锈蚀；耐干热性经过≥100h，60°C烘烤老化后，涂层失光等级和变色等级不低于1级耐碱性（5% NaOH溶液）≥1000小时，无异常；耐酸性（10% H2SO4溶液）≥1000小时，无异常。</w:t>
            </w:r>
          </w:p>
          <w:p w14:paraId="4EEA7E6F">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2.14 传动系统</w:t>
            </w:r>
          </w:p>
          <w:p w14:paraId="76B68B53">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▲传动盘组件≥2.0mm厚冷轧钢板一体冲压成型，尺寸≥745mm×180mm×12mm（长×宽×高），表面采用热镀锌处理，镀锌层厚度≥60μm。传动系统配置≥1个摇把咬合链轮、≥2</w:t>
            </w:r>
            <w:r>
              <w:rPr>
                <w:rFonts w:hint="eastAsia" w:ascii="宋体" w:hAnsi="宋体" w:eastAsia="宋体" w:cs="宋体"/>
                <w:color w:val="000000" w:themeColor="text1"/>
                <w:highlight w:val="none"/>
                <w:lang w:val="en-US" w:eastAsia="zh-CN"/>
                <w14:textFill>
                  <w14:solidFill>
                    <w14:schemeClr w14:val="tx1"/>
                  </w14:solidFill>
                </w14:textFill>
              </w:rPr>
              <w:t>个</w:t>
            </w:r>
            <w:r>
              <w:rPr>
                <w:rFonts w:hint="eastAsia" w:ascii="宋体" w:hAnsi="宋体" w:eastAsia="宋体" w:cs="宋体"/>
                <w:color w:val="000000" w:themeColor="text1"/>
                <w:highlight w:val="none"/>
                <w14:textFill>
                  <w14:solidFill>
                    <w14:schemeClr w14:val="tx1"/>
                  </w14:solidFill>
                </w14:textFill>
              </w:rPr>
              <w:t>松紧调节链轮、≥</w:t>
            </w:r>
            <w:r>
              <w:rPr>
                <w:rFonts w:hint="eastAsia" w:ascii="宋体" w:hAnsi="宋体" w:eastAsia="宋体" w:cs="宋体"/>
                <w:color w:val="000000" w:themeColor="text1"/>
                <w:highlight w:val="none"/>
                <w:lang w:val="en-US" w:eastAsia="zh-CN"/>
                <w14:textFill>
                  <w14:solidFill>
                    <w14:schemeClr w14:val="tx1"/>
                  </w14:solidFill>
                </w14:textFill>
              </w:rPr>
              <w:t>1个</w:t>
            </w:r>
            <w:r>
              <w:rPr>
                <w:rFonts w:hint="eastAsia" w:ascii="宋体" w:hAnsi="宋体" w:eastAsia="宋体" w:cs="宋体"/>
                <w:color w:val="000000" w:themeColor="text1"/>
                <w:highlight w:val="none"/>
                <w14:textFill>
                  <w14:solidFill>
                    <w14:schemeClr w14:val="tx1"/>
                  </w14:solidFill>
                </w14:textFill>
              </w:rPr>
              <w:t>减速链轮，均采用45#钢锻压精密加工成型，齿面硬度≥HRC45，齿距误差≤0.05mm。链条采用高强度滚子链条，链条节距≥12.7mm，滚子直径≥7.95mm，销轴直径≥3.96mm，破断载荷≥18kN。</w:t>
            </w:r>
          </w:p>
          <w:p w14:paraId="583F5D97">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传动系统采用三级减速设计，传动比≥1:42，确保架体在满载状态下仍能轻松运行，单标准节手动摇力≤12N，单列手动摇力≤12N×单列节数，运行平稳无卡滞。</w:t>
            </w:r>
          </w:p>
          <w:p w14:paraId="77B31BEE">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2.15 摇手柄</w:t>
            </w:r>
          </w:p>
          <w:p w14:paraId="029611B7">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摇手柄采用不锈钢冲压成型工艺，表面镜面电镀处理，材料厚度≥1.5mm，摇把轴间距≥190mm；摇手柄采用隐藏式折叠扣设计，不用时可将握把折叠，节省空间，防止磕碰；摇手柄内置正反转离合装置，正转、反转都能快速与齿轮实现咬合，停止后自动脱扣，摇把自然下垂；智能架体自动运行时，摇把与齿轮脱扣，不因架体运动而转动；</w:t>
            </w:r>
          </w:p>
          <w:p w14:paraId="501DF97D">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2.16 密封条</w:t>
            </w:r>
          </w:p>
          <w:p w14:paraId="056DC072">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密封条采用聚乙烯PVC材料，长度≥2480mm，宽度≥20mm，高度≥20mm；密封条安装在前后侧板边缘，起到架体密封作用，可确保架体闭合后的气密性，有效防止灰尘和虫鼠的进入；密封条还可起到架体闭合时的缓冲作用，防止架体闭合时因前后侧板碰撞导致的变形、掉漆、夹手等问题的发生；</w:t>
            </w:r>
          </w:p>
          <w:p w14:paraId="390DE9A4">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2.17 安全与制动系统</w:t>
            </w:r>
          </w:p>
          <w:p w14:paraId="415A2D09">
            <w:pPr>
              <w:spacing w:line="240" w:lineRule="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▲防倾倒装置≥2.0mm 厚优质冷轧钢板数控折弯成型，安装于底盘与轨道之间，防倾倒力≥1000N。限位装置≥2.0mm 厚优质冷轧钢板一体冲压成型，安装于轨道两端，限位力≥800N。架体运行时噪音≤50dB，符合 GB/T 33253-2016 标准要求</w:t>
            </w:r>
            <w:r>
              <w:rPr>
                <w:rFonts w:hint="eastAsia" w:ascii="宋体" w:hAnsi="宋体" w:cs="宋体"/>
                <w:color w:val="000000" w:themeColor="text1"/>
                <w:highlight w:val="none"/>
                <w:lang w:eastAsia="zh-CN"/>
                <w14:textFill>
                  <w14:solidFill>
                    <w14:schemeClr w14:val="tx1"/>
                  </w14:solidFill>
                </w14:textFill>
              </w:rPr>
              <w:t>。</w:t>
            </w:r>
          </w:p>
          <w:p w14:paraId="1DB178E0">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三、表面处理：</w:t>
            </w:r>
          </w:p>
          <w:p w14:paraId="1B21A32E">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轨道、传动盘、同步轴整体采用热镀锌工艺，美观、耐磨、不生锈；架体整体采用静电喷塑工艺处理，使用环保粉末涂料,通过高压静电吸附与高温固化技术，在金属表面形成致密均匀的保护涂层，涂层附着力不低于2级标准，具备优异的耐磨、抗刮蹭能，可抵御酸碱腐蚀与日常剐蹭，长期使用不褪色、不脱落，持久保持光洁如新的外观；表面喷塑前经严格的酸洗、除锈、磷化等</w:t>
            </w:r>
            <w:r>
              <w:rPr>
                <w:rFonts w:hint="eastAsia" w:ascii="宋体" w:hAnsi="宋体" w:eastAsia="宋体" w:cs="宋体"/>
                <w:color w:val="000000" w:themeColor="text1"/>
                <w:highlight w:val="none"/>
                <w:lang w:val="en-US" w:eastAsia="zh-CN"/>
                <w14:textFill>
                  <w14:solidFill>
                    <w14:schemeClr w14:val="tx1"/>
                  </w14:solidFill>
                </w14:textFill>
              </w:rPr>
              <w:t>不少于</w:t>
            </w:r>
            <w:r>
              <w:rPr>
                <w:rFonts w:hint="eastAsia" w:ascii="宋体" w:hAnsi="宋体" w:eastAsia="宋体" w:cs="宋体"/>
                <w:color w:val="000000" w:themeColor="text1"/>
                <w:highlight w:val="none"/>
                <w14:textFill>
                  <w14:solidFill>
                    <w14:schemeClr w14:val="tx1"/>
                  </w14:solidFill>
                </w14:textFill>
              </w:rPr>
              <w:t>十三道工序处理，塑层厚度≥100μm，涂层厚度误差≤5μm，涂层使用寿命20年以上；面涂层理化性能硬度≥0.7，冲击高度40cm,无剥落、裂纹、皱纹 附着力不低于II级；</w:t>
            </w:r>
          </w:p>
          <w:p w14:paraId="07501CAD">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四、固定列功能要求：</w:t>
            </w:r>
          </w:p>
          <w:p w14:paraId="7E905591">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4.1固定列采用≥15.6寸全彩高清触摸屏，分辨率：≥1920×1080dpi；CPU：4核主频1.8GHz，支持RJ45、RS485通信接口；配备人脸识别摄像头、条码扫描模块、指纹验证模块、RFID刷卡、智能声控模块、USB接口等；</w:t>
            </w:r>
          </w:p>
          <w:p w14:paraId="0FADB8F1">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4.2手势操控功能：在固定列触摸屏任意界面，多指合拢滑动可实现返回主界面；在文件浏览界面，双指合拢/分开滑动,可缩小/放大文件界面；</w:t>
            </w:r>
          </w:p>
          <w:p w14:paraId="03E5BA8E">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4.3用户中心管理功能：可以添加或删除用户；支持密码、九宫格手势密码、指纹、人脸识别以及RFID身份卡验证登录；可根据安全程度设置手势图案为9点图案、16点图案、25点、36点图案等手势密码验证方式；</w:t>
            </w:r>
          </w:p>
          <w:p w14:paraId="16FE1619">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4.4架体操作功能：系统开机首页会根据架体的实际列数生成对应的密集架界面，可以左右滑动选择任意一列，控制该列的打开、关闭、通风、锁定、查找档案位置等操作；</w:t>
            </w:r>
          </w:p>
          <w:p w14:paraId="6C53851E">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4.5移动可视化功能：架体移动时，固定列显示与架体运行实时同步，并以3D立体图形形式展示；</w:t>
            </w:r>
          </w:p>
          <w:p w14:paraId="392C114F">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4.6</w:t>
            </w:r>
            <w:r>
              <w:rPr>
                <w:rFonts w:hint="eastAsia" w:ascii="宋体" w:hAnsi="宋体" w:cs="宋体"/>
                <w:color w:val="000000" w:themeColor="text1"/>
                <w:highlight w:val="none"/>
                <w:lang w:val="en-US" w:eastAsia="zh-CN"/>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3D虚拟库房功能：打开虚拟库房，显示整个团体真实的3D实景；通过指尖滑动，可以在显示屏上360°旋转、放大、缩小3D场景，可直接在3D图形上对密集架实行打开，关闭，通风，锁定等操作；</w:t>
            </w:r>
          </w:p>
          <w:p w14:paraId="60A2FAE9">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4.7系统信息监控功能：具有系统消息、语音消息、业务消息、系统状态、历史记录的查看功能；具有架体操作、档案查询、温湿度查询、电子标牌、音量调节等常用功能的快捷菜单；    </w:t>
            </w:r>
          </w:p>
          <w:p w14:paraId="11E429FC">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4.8系统设置功能：具有语音开启、关闭，系统参数设置等功能；系统参数设置必须输入九宫格手势密码才能进入设置界面；</w:t>
            </w:r>
          </w:p>
          <w:p w14:paraId="54350B93">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五、移动列功能要求：</w:t>
            </w:r>
          </w:p>
          <w:p w14:paraId="5DEE21BA">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5.1移动列采用≥8寸全彩高清触摸屏，分辨率</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≥1024×768dpi。</w:t>
            </w:r>
          </w:p>
          <w:p w14:paraId="44348AC1">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5.2通过左右滑动触摸屏，可控制移动列左右移动；移动过程中LED数码显示管或触摸屏显示对应的移动方向，点击触摸屏任意位置，移动列停止移动；</w:t>
            </w:r>
          </w:p>
          <w:p w14:paraId="2D05A093">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5.3通电开机即可控制架体的全区域关闭、打开、通风、锁定等操作，支持手势滑动操作，同时具备语音提示；</w:t>
            </w:r>
          </w:p>
          <w:p w14:paraId="66DB511F">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5.4具有电机、灯光等参数设置菜单；支持运行时实时显示移动距离及工作电流；支持通讯状态实时显示；支持灯光独立控制；</w:t>
            </w:r>
          </w:p>
          <w:p w14:paraId="3DADD181">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5.5移动列可以显示所在区号、描述、列号、通告、状态等信息；显示密集架所存放档案类型的电子标牌；</w:t>
            </w:r>
          </w:p>
          <w:p w14:paraId="1FE84F44">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六、架体控制功能要求：</w:t>
            </w:r>
          </w:p>
          <w:p w14:paraId="4FFB84AC">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6.1开机自检功能：密集架开机自检功能可设置，检测内容包括：红外和接近感应传感器状态、温湿度传感器状态、触摸屏状态、电机状态、烟雾传感器状态、语音识别模块状态、照明灯状态、网络状态、级联通信状态、机械锁定状态；</w:t>
            </w:r>
          </w:p>
          <w:p w14:paraId="19BCF588">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6.2平台软件、移动端设备软件、固定列界面上都可通过图形动画操作架体功能，与架体运动保持一致，能直观的显示架体运动位置；</w:t>
            </w:r>
          </w:p>
          <w:p w14:paraId="72E6B5B6">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6.3定时通风功能：具备定时通风、超限通风功能。逐列依次最大通道打开全面通风，通风间隔时间可设置。通风时，语音播报通风区域信息；</w:t>
            </w:r>
          </w:p>
          <w:p w14:paraId="5097A9B3">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6.4电子锁定功能：固定列、移动列可以点击锁定按钮对架体进行锁定，架体锁定后，触摸屏提示禁止移动操作；</w:t>
            </w:r>
          </w:p>
          <w:p w14:paraId="0A723139">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6.5自动关闭功能：在息屏时，架体检测到通道内没有人或其它物体时，架体可以自动关闭；在固定列控制屏的设置界面，可对该功能设置开启或关闭，并可设置自动关闭时间；</w:t>
            </w:r>
          </w:p>
          <w:p w14:paraId="0582F820">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七、环境监测及节能功能要求：</w:t>
            </w:r>
          </w:p>
          <w:p w14:paraId="082F6A9D">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7.1节能休眠功能：系统在无人操作后≥2分钟（默认）自动进入系统屏保状态；屏保页面可设置成环境数据、黑屏、温湿度仪表盘、自行设定的轮播图片，息屏时间可设置；</w:t>
            </w:r>
          </w:p>
          <w:p w14:paraId="626BC926">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7.2空气环境监测功能：固定列、移动列显示≥24小时温湿度数据及曲线，温湿度曲线支持放大缩小查看；固定列支持设置报警阈值，当架体内温湿度超过设定的阈值时，通过触摸屏或者平台软件展示报警信息,并进行本地语音播报；</w:t>
            </w:r>
          </w:p>
          <w:p w14:paraId="68BE9EE6">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7.3多通道开启功能：可以实现同一区域一键打开任意多个（≥2）通道，在固定列屏幕一次输入多个列号，系统会根据可用路轨长度，自动开启多个通道；</w:t>
            </w:r>
          </w:p>
          <w:p w14:paraId="626E6B6B">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7.4温湿度曲线功能：在固定列屏上操作密集架时，密集架在运动时可直接调出架内温湿度曲线并行运行，此模式可进行设置；</w:t>
            </w:r>
          </w:p>
          <w:p w14:paraId="5086DEB6">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八、人机交换档案管理功能要求：</w:t>
            </w:r>
          </w:p>
          <w:p w14:paraId="095B7F4C">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8.1列号显示功能：采用≥5位 1.8 寸数码管，自动按顺序生成列号；架体列号支持手动修改、自动添加，列号显示可从左到右递增编址排序，也可从右到左递增编址排序；固定列可设置并显示密集架所存放档案的电子标牌；固定列及移动列屏幕可显示区域内所在区号及区号描述、列号、状态等信息；</w:t>
            </w:r>
          </w:p>
          <w:p w14:paraId="1CBA1E94">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8.2智能声控及语音提示功能：系统具有离线智能声控功能，在收到特定的普通话指令后，架体实现自动打开、关闭、停止、锁定等功能。语音识别距离不小于5米，在无噪声干扰条件下，语音识别距离不小于10米；可以通过离线方式随时任意修改声控唤醒词；架体的打开、关闭、通风、锁定、安全警告、架内有人、温湿度超限等情况均有语音播报及提示；语音提示音量可调，提供不少于6种声音；固定列语音唤醒电子标牌功能：通过离线语音，可在任意界面切换至电子标牌界面，方便人员快速获知该列档案类型；</w:t>
            </w:r>
          </w:p>
          <w:p w14:paraId="1EFEC28D">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8.3档案引导功能：在架体触摸屏或平台软件查找档案并点击打开库位，架体自动打开该档案所在列，该列列显闪烁，同时在触摸屏上以三维立体图指示档案所在该列单元格位置，人员进入通道后，给出档案所在位置语音提示，实现声光影三位一体精确引导档案位置；</w:t>
            </w:r>
          </w:p>
          <w:p w14:paraId="5C1D8C88">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8.4档案查询功能：可通过关键词、档案号、标签信息查找档案所在位置；支持图形化查询任意列，以获得该列的档案存储信息； 固定列触摸屏支持手写输入法、智慧拼音输入法、语音输入法等多种输入法方式实现关键字查询；</w:t>
            </w:r>
          </w:p>
          <w:p w14:paraId="5F4A6F54">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九、档案管理平台功能：</w:t>
            </w:r>
          </w:p>
          <w:p w14:paraId="62556FBD">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9.1平台软件具备档案注册、查询、销毁、借阅、归还、审批、统计、打印、批量导入导出、移架、标签绑定、盘点等功能；</w:t>
            </w:r>
          </w:p>
          <w:p w14:paraId="4F551B21">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9.2支持档案批量操作功能，可选择多份待处理的档案，一次性批量下发到对应架体上，直接在架体上进行批量操作；</w:t>
            </w:r>
          </w:p>
          <w:p w14:paraId="0DEF5B51">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9.3平台软件可以管理不同权限的帐号，实现了对群组、新建用户、修改、删除、密码修改、权限设置等功能；</w:t>
            </w:r>
          </w:p>
          <w:p w14:paraId="71657CDA">
            <w:pPr>
              <w:spacing w:line="24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9.4支持借还功能，可录入借出、归还档案信息，自动生成相应的记录；平台软件具有档案管理功能，支持档案注册、借阅、归还，可查询档案借阅归还记录；</w:t>
            </w:r>
          </w:p>
          <w:p w14:paraId="4237CA65">
            <w:pPr>
              <w:spacing w:line="240" w:lineRule="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9.5支持远程控制各架体打开、关闭、通风、锁定等各种操作，具备远程设置各架体的配置参数、区列号、故障诊断等功能；</w:t>
            </w:r>
          </w:p>
          <w:p w14:paraId="44E207F0">
            <w:pPr>
              <w:spacing w:line="240" w:lineRule="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十、配备智能电源安全设备</w:t>
            </w:r>
          </w:p>
          <w:p w14:paraId="7741E4F9">
            <w:pPr>
              <w:spacing w:line="240" w:lineRule="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10.</w:t>
            </w:r>
            <w:r>
              <w:rPr>
                <w:rFonts w:hint="eastAsia" w:ascii="宋体" w:hAnsi="宋体" w:eastAsia="宋体" w:cs="宋体"/>
                <w:color w:val="000000" w:themeColor="text1"/>
                <w:highlight w:val="none"/>
                <w:lang w:val="en-US" w:eastAsia="zh-CN"/>
                <w14:textFill>
                  <w14:solidFill>
                    <w14:schemeClr w14:val="tx1"/>
                  </w14:solidFill>
                </w14:textFill>
              </w:rPr>
              <w:t>1设备尺寸（长*宽*高）：≥400*500*100mm；</w:t>
            </w:r>
          </w:p>
          <w:p w14:paraId="4A2D66DB">
            <w:pPr>
              <w:spacing w:line="240" w:lineRule="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10.</w:t>
            </w:r>
            <w:r>
              <w:rPr>
                <w:rFonts w:hint="eastAsia" w:ascii="宋体" w:hAnsi="宋体" w:eastAsia="宋体" w:cs="宋体"/>
                <w:color w:val="000000" w:themeColor="text1"/>
                <w:highlight w:val="none"/>
                <w:lang w:val="en-US" w:eastAsia="zh-CN"/>
                <w14:textFill>
                  <w14:solidFill>
                    <w14:schemeClr w14:val="tx1"/>
                  </w14:solidFill>
                </w14:textFill>
              </w:rPr>
              <w:t>2设备供电：AC220V/50Hz；</w:t>
            </w:r>
          </w:p>
          <w:p w14:paraId="5723A1A2">
            <w:pPr>
              <w:spacing w:line="240" w:lineRule="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10.</w:t>
            </w:r>
            <w:r>
              <w:rPr>
                <w:rFonts w:hint="eastAsia" w:ascii="宋体" w:hAnsi="宋体" w:eastAsia="宋体" w:cs="宋体"/>
                <w:color w:val="000000" w:themeColor="text1"/>
                <w:highlight w:val="none"/>
                <w:lang w:val="en-US" w:eastAsia="zh-CN"/>
                <w14:textFill>
                  <w14:solidFill>
                    <w14:schemeClr w14:val="tx1"/>
                  </w14:solidFill>
                </w14:textFill>
              </w:rPr>
              <w:t>3采用≥7英寸全彩电容触摸屏；</w:t>
            </w:r>
          </w:p>
          <w:p w14:paraId="0D4B7034">
            <w:pPr>
              <w:spacing w:line="240" w:lineRule="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10.</w:t>
            </w:r>
            <w:r>
              <w:rPr>
                <w:rFonts w:hint="eastAsia" w:ascii="宋体" w:hAnsi="宋体" w:eastAsia="宋体" w:cs="宋体"/>
                <w:color w:val="000000" w:themeColor="text1"/>
                <w:highlight w:val="none"/>
                <w:lang w:val="en-US" w:eastAsia="zh-CN"/>
                <w14:textFill>
                  <w14:solidFill>
                    <w14:schemeClr w14:val="tx1"/>
                  </w14:solidFill>
                </w14:textFill>
              </w:rPr>
              <w:t>4▲可与平台对接，实时监测电流、功率、电量、温度、湿度、雷击次数、空开状态等参数。投标时须提供匹配本功能描述的系统界面截图。</w:t>
            </w:r>
          </w:p>
          <w:p w14:paraId="26A95AE8">
            <w:pPr>
              <w:spacing w:line="240" w:lineRule="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10.</w:t>
            </w:r>
            <w:r>
              <w:rPr>
                <w:rFonts w:hint="eastAsia" w:ascii="宋体" w:hAnsi="宋体" w:eastAsia="宋体" w:cs="宋体"/>
                <w:color w:val="000000" w:themeColor="text1"/>
                <w:highlight w:val="none"/>
                <w:lang w:val="en-US" w:eastAsia="zh-CN"/>
                <w14:textFill>
                  <w14:solidFill>
                    <w14:schemeClr w14:val="tx1"/>
                  </w14:solidFill>
                </w14:textFill>
              </w:rPr>
              <w:t>5配置≥2路32A智能漏电保护开关，根据设定阈值触发自动报警，产生声光提示，支持远程控制开关断电；故障自动巡检并报警；</w:t>
            </w:r>
          </w:p>
          <w:p w14:paraId="5E6D4365">
            <w:pPr>
              <w:spacing w:line="240" w:lineRule="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10.</w:t>
            </w:r>
            <w:r>
              <w:rPr>
                <w:rFonts w:hint="eastAsia" w:ascii="宋体" w:hAnsi="宋体" w:eastAsia="宋体" w:cs="宋体"/>
                <w:color w:val="000000" w:themeColor="text1"/>
                <w:highlight w:val="none"/>
                <w:lang w:val="en-US" w:eastAsia="zh-CN"/>
                <w14:textFill>
                  <w14:solidFill>
                    <w14:schemeClr w14:val="tx1"/>
                  </w14:solidFill>
                </w14:textFill>
              </w:rPr>
              <w:t>6配置≥40KA浪涌保护器，能够有效保护设备免受线路电涌冲击；</w:t>
            </w:r>
          </w:p>
          <w:p w14:paraId="486A5EF2">
            <w:pPr>
              <w:spacing w:line="240" w:lineRule="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10.</w:t>
            </w:r>
            <w:r>
              <w:rPr>
                <w:rFonts w:hint="eastAsia" w:ascii="宋体" w:hAnsi="宋体" w:eastAsia="宋体" w:cs="宋体"/>
                <w:color w:val="000000" w:themeColor="text1"/>
                <w:highlight w:val="none"/>
                <w:lang w:val="en-US" w:eastAsia="zh-CN"/>
                <w14:textFill>
                  <w14:solidFill>
                    <w14:schemeClr w14:val="tx1"/>
                  </w14:solidFill>
                </w14:textFill>
              </w:rPr>
              <w:t>7支持多级授权管理；</w:t>
            </w:r>
          </w:p>
          <w:p w14:paraId="3FB240F6">
            <w:pPr>
              <w:spacing w:line="240" w:lineRule="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10.</w:t>
            </w:r>
            <w:r>
              <w:rPr>
                <w:rFonts w:hint="eastAsia" w:ascii="宋体" w:hAnsi="宋体" w:eastAsia="宋体" w:cs="宋体"/>
                <w:color w:val="000000" w:themeColor="text1"/>
                <w:highlight w:val="none"/>
                <w:lang w:val="en-US" w:eastAsia="zh-CN"/>
                <w14:textFill>
                  <w14:solidFill>
                    <w14:schemeClr w14:val="tx1"/>
                  </w14:solidFill>
                </w14:textFill>
              </w:rPr>
              <w:t>8支持本地检修锁定，防止触控屏误触送电；</w:t>
            </w:r>
          </w:p>
          <w:p w14:paraId="0ECF3C1F">
            <w:pPr>
              <w:spacing w:line="240" w:lineRule="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10.</w:t>
            </w:r>
            <w:r>
              <w:rPr>
                <w:rFonts w:hint="eastAsia" w:ascii="宋体" w:hAnsi="宋体" w:eastAsia="宋体" w:cs="宋体"/>
                <w:color w:val="000000" w:themeColor="text1"/>
                <w:highlight w:val="none"/>
                <w:lang w:val="en-US" w:eastAsia="zh-CN"/>
                <w14:textFill>
                  <w14:solidFill>
                    <w14:schemeClr w14:val="tx1"/>
                  </w14:solidFill>
                </w14:textFill>
              </w:rPr>
              <w:t>9通信方式：支持RS485、RJ45、无线接口；</w:t>
            </w:r>
          </w:p>
          <w:p w14:paraId="1555A0CD">
            <w:pPr>
              <w:keepNext w:val="0"/>
              <w:keepLines w:val="0"/>
              <w:widowControl/>
              <w:suppressLineNumbers w:val="0"/>
              <w:spacing w:line="240" w:lineRule="auto"/>
              <w:jc w:val="both"/>
              <w:textAlignment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10.</w:t>
            </w:r>
            <w:r>
              <w:rPr>
                <w:rFonts w:hint="eastAsia" w:ascii="宋体" w:hAnsi="宋体" w:eastAsia="宋体" w:cs="宋体"/>
                <w:color w:val="000000" w:themeColor="text1"/>
                <w:highlight w:val="none"/>
                <w:lang w:val="en-US" w:eastAsia="zh-CN"/>
                <w14:textFill>
                  <w14:solidFill>
                    <w14:schemeClr w14:val="tx1"/>
                  </w14:solidFill>
                </w14:textFill>
              </w:rPr>
              <w:t>10通讯协议：支持标准Modbus RTU、ModbusTCP协议.</w:t>
            </w:r>
          </w:p>
          <w:p w14:paraId="117D2974">
            <w:pPr>
              <w:keepNext w:val="0"/>
              <w:keepLines w:val="0"/>
              <w:widowControl/>
              <w:suppressLineNumbers w:val="0"/>
              <w:spacing w:line="240" w:lineRule="auto"/>
              <w:jc w:val="both"/>
              <w:textAlignment w:val="cente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十一</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系统联动协同要求</w:t>
            </w:r>
          </w:p>
          <w:p w14:paraId="0A52D4FC">
            <w:pPr>
              <w:keepNext w:val="0"/>
              <w:keepLines w:val="0"/>
              <w:widowControl/>
              <w:suppressLineNumbers w:val="0"/>
              <w:spacing w:line="240" w:lineRule="auto"/>
              <w:jc w:val="both"/>
              <w:textAlignment w:val="cente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智能密集架支持</w:t>
            </w:r>
            <w:r>
              <w:rPr>
                <w:rFonts w:hint="eastAsia" w:ascii="宋体" w:hAnsi="宋体" w:eastAsia="宋体" w:cs="宋体"/>
                <w:color w:val="000000" w:themeColor="text1"/>
                <w:highlight w:val="none"/>
                <w:lang w:val="en-US" w:eastAsia="zh-CN"/>
                <w14:textFill>
                  <w14:solidFill>
                    <w14:schemeClr w14:val="tx1"/>
                  </w14:solidFill>
                </w14:textFill>
              </w:rPr>
              <w:t>ModbusTCP协议</w:t>
            </w:r>
            <w:r>
              <w:rPr>
                <w:rFonts w:hint="eastAsia" w:ascii="宋体" w:hAnsi="宋体" w:cs="宋体"/>
                <w:color w:val="000000" w:themeColor="text1"/>
                <w:highlight w:val="none"/>
                <w:lang w:val="en-US" w:eastAsia="zh-CN"/>
                <w14:textFill>
                  <w14:solidFill>
                    <w14:schemeClr w14:val="tx1"/>
                  </w14:solidFill>
                </w14:textFill>
              </w:rPr>
              <w:t>，需与智慧档案可视化平台完成全功能双向联动，各类品牌组合方案的兼容调试、检测整改工作均由成交供应商负责，中标进场前完成全套软硬件兼容性测试并出具合格报告，成交供应商负责系统联调、兼容整改与全周期质保，投标同步提交联动实施方案。</w:t>
            </w:r>
          </w:p>
          <w:p w14:paraId="59B8C62C">
            <w:pPr>
              <w:keepNext w:val="0"/>
              <w:keepLines w:val="0"/>
              <w:widowControl/>
              <w:suppressLineNumbers w:val="0"/>
              <w:spacing w:line="240" w:lineRule="auto"/>
              <w:jc w:val="both"/>
              <w:textAlignment w:val="center"/>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十二、</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包含运输、装卸、搬运、</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开槽</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D48FB82">
            <w:pPr>
              <w:jc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1642.85</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F4CC029">
            <w:pPr>
              <w:jc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249516.06</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45A0FE53">
            <w:pPr>
              <w:jc w:val="center"/>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1696E5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686F2535">
            <w:pPr>
              <w:jc w:val="center"/>
              <w:rPr>
                <w:rFonts w:hint="eastAsia" w:ascii="宋体" w:hAnsi="宋体" w:eastAsia="宋体" w:cs="宋体"/>
                <w:color w:val="000000" w:themeColor="text1"/>
                <w:highlight w:val="none"/>
                <w14:textFill>
                  <w14:solidFill>
                    <w14:schemeClr w14:val="tx1"/>
                  </w14:solidFill>
                </w14:textFill>
              </w:rPr>
            </w:pPr>
          </w:p>
        </w:tc>
        <w:tc>
          <w:tcPr>
            <w:tcW w:w="9129" w:type="dxa"/>
            <w:gridSpan w:val="11"/>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B55CBC0">
            <w:pPr>
              <w:jc w:val="both"/>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t>二、智慧档案数据可视化平台</w:t>
            </w:r>
          </w:p>
        </w:tc>
        <w:tc>
          <w:tcPr>
            <w:tcW w:w="73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128D5D0">
            <w:pPr>
              <w:jc w:val="both"/>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pPr>
          </w:p>
        </w:tc>
      </w:tr>
      <w:tr w14:paraId="712A9D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5593CFEA">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4E0408C">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70E742BC">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智慧档案数据可视化平台</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3A774854">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套</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56A8E0AB">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389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35637BA">
            <w:pPr>
              <w:keepNext w:val="0"/>
              <w:keepLines w:val="0"/>
              <w:widowControl/>
              <w:numPr>
                <w:ilvl w:val="0"/>
                <w:numId w:val="1"/>
              </w:numPr>
              <w:suppressLineNumbers w:val="0"/>
              <w:jc w:val="both"/>
              <w:textAlignment w:val="top"/>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整体架构与性能要求</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1、平台架构设计：采用B/S与C/S融合架构，兼具B/S架构跨平台自适应及WEB浏览便捷性，与C/S架构高响应速度、高安全性优势，保障平台运行稳定性、流畅性，确保数据安全可靠，支持多元化、灵活化展示需求。</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2、数据交互性能：采用多线程并行推送数据处理模式，基于纯网络通信协议，实现多数据通道并行传输且互不干扰；数据采集频率≤2S，保障数据传输稳定性与实时性。</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3、界面与配置灵活性：采用模块化界面及功能搭建架构，支持功能模块自由搭配、界面色彩风格自定义、库房/区域/装具/设备及功能模块自由搭建，同时支持精细化权限分配。</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4、显示适配性：采用 “深色背景+亮色数据” 配色方案，支持动态/静态场景模式切换（静态模式侧重稳定清晰展示，动态模式强化交互体验）；兼容 4K、2K高清及自定义分辨率，数据展示涵盖仪表盘、柱状图、饼形图、曲线、列表、雷达动态图、三维立体图等可视化元素。</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二、系统集成与综合管理功能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多系统集成管理：支持档案库房、技术及功能用房综合管理，可集成档案库房十防监控系统（含温湿度、空气质量、漏水、消防、红外防盗、智能灯光、智能电源管理等子系统）、智能密集架系统、实体档案管理系统、安防监控系统、数字孪生三维可视化系统；实现各系统设备运行状态与参数统一监测管理，支持短信、电话等多方式告警，达成系统间统一管理、有机联动、智能处置，具备自动分析、自动预警、自动告警能力，构建人防 + 物防 + 技防的现代综合档案库房安全智慧管理模式。</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2、标准接口支持：具备标准南北向接口功能，北向接口支持向上级平台数据转发与同步，南向接口支持与实体档案管理系统、智能密集架管理系统等进行数据交互。</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3、主界面功能划分：主界面划分为标题栏、平面3D库房、概要展示、环境大数据、子系统五大展示区域；支持权限登录、主题风格切换、主页切换、子系统查看等快捷操作。</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系统基础配置：支持项目名称、用户单位、LOGO图片、版权信息、部署方式、子系统配置、档案装具类型、视频播放方式设置，以及工程备份与还原、模式选择等功能；支持通过项目名称快速进入档案库房后台管理系统，提供库房管理、设备管理、大屏管理、历史记录、系统设置、用户管理等全功能管理模块。</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三、库房与设备管理功能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1、多维度库房管理：支持多库房/功能及技术用房自由切换；可自定义房间名称、面积及库房类型；支持动态编辑已添加库房属性参数。</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2、物联网终端设备管理：支持添加区域控制器、门禁、视频监控、智能密集架等物联网终端设备；设备属性配置支持定义所属库房、设置设备名称、配置网络参数（IP 地址）、管理设备关系、录入安全凭证（密码 / 编码），并支持已添加设备属性编辑。</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可视化组态管理：支持已接入智能设备及物联网终端可视化组态管理，可在3D平面地图中依据业务需求灵活配置设备空间部署坐标、设备标识及字体规格，并实现与告警状态实时联动绑定；大屏管理系统首页配置模块支持两侧数据看板展示内容即时替换与动态调整，满足场景化数据呈现需求。</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四、数据监测与可视化功能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1、系统拓扑与统计监测：支持查看系统动态生成的监测设备网络拓扑结构；可统计并展示系统内库房及区域数量、总面积，以及十防设备总数量、在线设备数量、离线设备数量</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2、环境数据监测与展示</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温湿度监测：支持通过仪表盘动态展示多区域内多温湿度探头平均值，实时监测单区域内温湿度探头数量、离线探头数量；可实现多区域间平均温湿度及探头数量统计循环切换，并依据温湿度变化生成过高、过低、正常状态提示</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实时曲线：支持多曲线坐标轴模式显示库房实时温湿度曲线，依据库房温湿度要求自动评定状态（以不同颜色区分正常、过高、过低），支持通过卡片按钮快速切换监测区域；具备多库房温度、湿度、PM2.5、PM10、TVOC、甲醛等环境数据历史曲线展示功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▲空气质量监测：支持通过进度条动态展示单区域内多空气质量探头采集的甲醛、二氧化碳、TVOC、PM2.5、PM10 数据平均值；实时监测单区域内空气质量探头数量、离线探头数量；可依据空气质量数据变化生成空气优、良、差洁净等级提示</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▲服务器运行监测：具备服务器运行监测系统，可动态监测分析本地服务器CPU占用率、内存占用率、磁盘占用情况</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主页数据展示交互：平台主页支持环境大数据与子系统展示，界面及数据卡片可灵活配置，支持不少于五种展示界面，每种界面至少支持6种不同交互方式，结合卡片专属交互设计（如点击触发数据详情查看）构建多层次、多维度用户交互体系；数据卡片支持三维立体、仪表盘、折线图、阵列图、滚动列表、图像插入、柱状图等展示形式，针对特定数据类型适配动态驾驶舱模式、数字滚动效果，曲线卡片支持超宽曲线展示；点击卡片指定区域可弹出悬浮详情面板，展示数据历史趋势、异常阈值及关联告警信息；可依据实时数据动态调整展示状态（含卡片内字体颜色、局部标识及标志颜色变更），重要数据可触发闪烁提醒；界面切换时，卡片可按自定义规则同步切换，单个卡片数据变动可触发关联卡片同步更新，保障展示内容连贯性与一致性。</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五、专项子系统功能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1、门禁管理系统</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设备管理：支持门禁设备列表展示，支持新建门禁一体机并绑定通道门，配置门禁名称、IP地址、端口、管理账号、管理密码，可依据门禁一体机名称快速查找设备，支持设备信息查看、修改、开门权限配置、人员信息同步及远程开门操作。</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▲人员管理：支持门禁人员信息管理，通过左右滚动实现多人员信息高效浏览，结合点击、悬停等操作构建 “设备权限 - 人员权限” 关联管理体系；支持新建门禁通行人员，添加人员姓名、性别、工号、卡号，配置人员开门方式，可依据人员名称快速查找，支持人员信息查看与修改。</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▲可视化与记录查询：支持在 3D 平面图查看门禁位置，点击门禁名称弹出密码框实现远程开门；支持以列表形式查看所有门禁通信记录，通过条件组合快速检索目标记录。</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2、安防监控管理系统</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 xml:space="preserve">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设备列表展示：监控设备列表包含三维立体渲染（轻量化建模 + 动态光影提升界面质感，差异化渲染强化摄像头在线 / 离线状态辨识度）、滚动列表（支持鼠标滚轮 / 键盘控制等多方式滚动）、弹窗详情（分标签页展示摄像头基础信息等全维度内容）三大模块，实现 “快速概览 - 精准查看” 操作闭环。</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 xml:space="preserve">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设备管理：支持新建硬盘录像机，添加品牌、名称、IP地址、管理账号、管理密码，可依据录像机名称快速查找，支持设备信息查看与修改；支持新建摄像头，设置部署方式、绑定硬盘录像机、关联库房，添加摄像头名称、IP 地址，可依据摄像头名称快速查找，支持设备信息查看与修改。</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实体档案管理系统：支持档案数据统计、档案位置信息查询、统计功能；档案数据统计以图标方式直观展示实体档案在库数量、异常数量、出库数量、上下架统计；档案位置信息查询支持通过题名、档号等关键字段检索，实现档案快速定位及位置、在位情况查看。</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智能密集架管理系统：支持密集架环境及状态监测、远程控制、架内档案信息列表展示及档案位置检索功能；环境及状态监测支持密集架内温度、湿度在线监测；远程控制支持选左移、右移、合架、通风、锁定、解锁等操作；支持通过档号、题名等信息快速检索对应档案，档案信息展示以列表形式展示搜索结果，支持通过题名、档号等字段快速定位档案位置，查询到档案位置后可快速远程控制密集架打开档案所在位置。</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六、告警与数据追溯功能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1、告警配置与统计</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 xml:space="preserve">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告警配置：告警配置模块支持短信及电话告警设备IP地址参数设定，具备告警接收人员信息新增与编辑功能，可精细化配置接收人员告警信息接收权限。</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 xml:space="preserve">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▲告警统计：支持在动态雷达图上统计展示当前设备报警数量；雷达报警详情展示可动态呈现当前监测设备总数、在线数量、离线数量及告警数量。</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 xml:space="preserve">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告警列表：告警列表卡片支持循环滚动列表形式实时显示各区域设备及参数告警状态，展示区域名称、告警设备、告警时间、告警内容；支持统计显示告警总数，点击可快速进入告警列表查看智能AI分析处理建议。</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2、历史数据查询与导出：支持设备告警历史记录、环境历史数据、门禁通行及告警记录多维度查询；支持按库房维度、设备维度、时间维度一键导出历史报表，满足数据追溯与合规留存需求。</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3、历史曲线分析：多功能历史曲线卡片支持跨区域多维度数据历史记录同步展示，涵盖不同区域温度、湿度、二氧化碳、TVOC、甲醛、PM2.5、PM10 等环境数据历史变化；采用多曲线分层渲染模式，通过差异化配色（如温度湖蓝、PM2.5蓝绿）、节点数值标记直观反映库房环境状态；支持按环境类（温度、湿度）、粉尘类（PM2.5、PM10）、特殊气体类（二氧化碳、TVOC、甲醛）分类显示；图表区域可触发超宽屏模式，实现视图横向扩展，时间轴精度提升至全时间记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七、权限与日志管理功能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1、▲权限管理：支持用户创建，添加用户账号、密码、姓名、性别，为用户匹配部门、职位、角色，添加联系方式；可依据用户名称、电话、部门快速查找已添加用户，支持用户信息查看与修改。</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2、▲操作日志管理：支持以列表形式记录并展示所有用户详细操作信息，可依据操作人员、操作时间快速检索操作历史记录。</w:t>
            </w:r>
          </w:p>
          <w:p w14:paraId="67CF10E2">
            <w:pPr>
              <w:keepNext w:val="0"/>
              <w:keepLines w:val="0"/>
              <w:widowControl/>
              <w:numPr>
                <w:ilvl w:val="0"/>
                <w:numId w:val="0"/>
              </w:numPr>
              <w:suppressLineNumbers w:val="0"/>
              <w:jc w:val="both"/>
              <w:textAlignment w:val="top"/>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八、包含运输、装卸、搬运、布线穿管、设备安装、系统调试、使用培训等综合费用。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B1FDF3A">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56462.27</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4BAE995">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56462.27</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1FBA3CD8">
            <w:pPr>
              <w:keepNext w:val="0"/>
              <w:keepLines w:val="0"/>
              <w:widowControl/>
              <w:suppressLineNumbers w:val="0"/>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4CD201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142CC67C">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2E240D0">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0CC8ED72">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智能告警服务器</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0AE16F94">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台</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183D9807">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389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5D3EB4E">
            <w:pPr>
              <w:keepNext w:val="0"/>
              <w:keepLines w:val="0"/>
              <w:widowControl/>
              <w:suppressLineNumbers w:val="0"/>
              <w:jc w:val="both"/>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1、设备尺寸（长*宽*高）：≥340*180*60mm</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2、设备供电：AC220V/50Hz；</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3、最大功率（W）：≤50W；</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4、采用≥4.8英寸全彩电容触摸屏，支持动态雷达实时监测告警，显示告警音频广播内容，支持短信电话告警方式，支持屏幕修改IP功能；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5、内置广播模块、语音模块，支持音频男/女声音广播，支持音量高/中/低三挡调节；</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6、内置接口：≥1路SIM卡槽，支持移动/联通/电信标准SIM卡；</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7、配置≥1路消音按键，≥1路清屏按键；</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8、接口：≥1 路DO输出接口，可外接声光报警器、警铃等告警模块，≥1路RJ45接口；</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9、安装方式：壁挂安装；</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10、▲设备需符合国标GB/T2423.2-2008、GB/T2423.1-2008高、低温环境试验要求，在-25℃—60℃保持2小时或以上，再恢复到常温，开机工作正常；设备需符合GB/T17626.5-2019浪涌（冲击）试验，间隔60s施加±0.5KV电压冲击40次,正常工作。</w:t>
            </w:r>
          </w:p>
          <w:p w14:paraId="276E756C">
            <w:pPr>
              <w:keepNext w:val="0"/>
              <w:keepLines w:val="0"/>
              <w:widowControl/>
              <w:suppressLineNumbers w:val="0"/>
              <w:jc w:val="both"/>
              <w:textAlignment w:val="top"/>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▲11、</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系统联动协同与兼容性测试要求</w:t>
            </w:r>
          </w:p>
          <w:p w14:paraId="1CBED709">
            <w:pPr>
              <w:keepNext w:val="0"/>
              <w:keepLines w:val="0"/>
              <w:widowControl/>
              <w:suppressLineNumbers w:val="0"/>
              <w:jc w:val="both"/>
              <w:textAlignment w:val="top"/>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智能告警服务器开放通用通讯接口，与智能档案可视化平台实现全部告警信号双向联动，设备可跨品牌组合，</w:t>
            </w:r>
            <w:r>
              <w:rPr>
                <w:rFonts w:hint="eastAsia" w:ascii="宋体" w:hAnsi="宋体" w:cs="宋体"/>
                <w:color w:val="000000" w:themeColor="text1"/>
                <w:highlight w:val="none"/>
                <w:lang w:val="en-US" w:eastAsia="zh-CN"/>
                <w14:textFill>
                  <w14:solidFill>
                    <w14:schemeClr w14:val="tx1"/>
                  </w14:solidFill>
                </w14:textFill>
              </w:rPr>
              <w:t>成交供应商</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负责全部软硬件对接、联调整改，进场施工前完成全套兼容性测试并出具合格报告，</w:t>
            </w:r>
            <w:r>
              <w:rPr>
                <w:rFonts w:hint="eastAsia" w:ascii="宋体" w:hAnsi="宋体" w:cs="宋体"/>
                <w:color w:val="000000" w:themeColor="text1"/>
                <w:highlight w:val="none"/>
                <w:lang w:val="en-US" w:eastAsia="zh-CN"/>
                <w14:textFill>
                  <w14:solidFill>
                    <w14:schemeClr w14:val="tx1"/>
                  </w14:solidFill>
                </w14:textFill>
              </w:rPr>
              <w:t>成交供应商</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落实联调及质保整改工作，投标同步提交联动测试实施方案。</w:t>
            </w:r>
          </w:p>
          <w:p w14:paraId="76E053A4">
            <w:pPr>
              <w:keepNext w:val="0"/>
              <w:keepLines w:val="0"/>
              <w:widowControl/>
              <w:suppressLineNumbers w:val="0"/>
              <w:jc w:val="both"/>
              <w:textAlignment w:val="top"/>
              <w:rPr>
                <w:rFonts w:hint="default" w:eastAsia="宋体"/>
                <w:color w:val="000000" w:themeColor="text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12、包含运输、装卸、搬运、布线穿管、设备安装、系统调试、使用培训等综合费用</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771BA34">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4510.81</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17538E8">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4510.81</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019E6BE5">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4F776A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705D056D">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EE9D6B2">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2E5C8EFC">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工控机</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4A37BC7E">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台</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587583A1">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389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28ED594">
            <w:pPr>
              <w:keepNext w:val="0"/>
              <w:keepLines w:val="0"/>
              <w:widowControl/>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1、设备尺寸（长*宽*高）：≤462mm*445mm*135mm</w:t>
            </w:r>
          </w:p>
          <w:p w14:paraId="3B4AF21A">
            <w:pPr>
              <w:keepNext w:val="0"/>
              <w:keepLines w:val="0"/>
              <w:widowControl/>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2、工作电压：AC220V/50Hz</w:t>
            </w:r>
          </w:p>
          <w:p w14:paraId="23F23CDA">
            <w:pPr>
              <w:keepNext w:val="0"/>
              <w:keepLines w:val="0"/>
              <w:widowControl/>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3、最大功率：≤220W</w:t>
            </w:r>
          </w:p>
          <w:p w14:paraId="14DB7376">
            <w:pPr>
              <w:keepNext w:val="0"/>
              <w:keepLines w:val="0"/>
              <w:widowControl/>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4、处理器：≥3.0GHz国产处理器 ≥8核16线程5、内存:≥16G；硬盘:≥512G固态硬盘+ 2TB机械硬盘</w:t>
            </w:r>
          </w:p>
          <w:p w14:paraId="55D5ABCF">
            <w:pPr>
              <w:keepNext w:val="0"/>
              <w:keepLines w:val="0"/>
              <w:widowControl/>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、接口要求：≥2个千兆网口，≥2路RS-232，≥2路HDMI，≥1路VGA，≥1路DP，≥8路USB接口，≥1路Audio 接口（麦克风,音频输入,音频输出）；</w:t>
            </w:r>
          </w:p>
          <w:p w14:paraId="254AD9FB">
            <w:pPr>
              <w:keepNext w:val="0"/>
              <w:keepLines w:val="0"/>
              <w:widowControl/>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、配备弹出式硬盘仓，支持硬盘单独弹出，配备独立电源开关及指示灯；</w:t>
            </w:r>
          </w:p>
          <w:p w14:paraId="7CB1BC3B">
            <w:pPr>
              <w:keepNext w:val="0"/>
              <w:keepLines w:val="0"/>
              <w:widowControl/>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8</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、配备国产4G独显（HDMI+DP）支持双4K 60Hz同时输出；</w:t>
            </w:r>
          </w:p>
          <w:p w14:paraId="138BD9AC">
            <w:pPr>
              <w:keepNext w:val="0"/>
              <w:keepLines w:val="0"/>
              <w:widowControl/>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9</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、配备开机按键、重启按键、电源指示灯、硬盘指示灯；</w:t>
            </w:r>
          </w:p>
          <w:p w14:paraId="055ADB43">
            <w:pPr>
              <w:keepNext w:val="0"/>
              <w:keepLines w:val="0"/>
              <w:widowControl/>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10</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、标配国产化操作系统；</w:t>
            </w:r>
          </w:p>
          <w:p w14:paraId="7B0AC59D">
            <w:pPr>
              <w:keepNext w:val="0"/>
              <w:keepLines w:val="0"/>
              <w:widowControl/>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11、</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考虑到会禁用部分风险端口，须支持并提供SPICE、VNC、SPICE+VNC三种模式的控制台，SPICE协议可新增SSL加密通道（提供产品功能截图并加盖供应商公章）；</w:t>
            </w:r>
          </w:p>
          <w:p w14:paraId="375CC192">
            <w:pPr>
              <w:keepNext w:val="0"/>
              <w:keepLines w:val="0"/>
              <w:widowControl/>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12、</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为保证架构的灵活性和扩展，平台应支持FC-SAN、IP-SAN、本地存储、NFS、NVME-oF、Vhost、分布式存储等不同存储接口（提供产品功能截图并加盖供应商公章）；</w:t>
            </w:r>
          </w:p>
          <w:p w14:paraId="46F3F3A6">
            <w:pPr>
              <w:keepNext w:val="0"/>
              <w:keepLines w:val="0"/>
              <w:widowControl/>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13、</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为保证操作便捷性，平台支持任意界面打开内部搜索功能，可根据关键词搜索资源、功能入口、相关技术文档及操作实践手册等（提供产品功能截图并加盖供应商公章）；</w:t>
            </w:r>
          </w:p>
          <w:p w14:paraId="1BEA195F">
            <w:pPr>
              <w:keepNext w:val="0"/>
              <w:keepLines w:val="0"/>
              <w:widowControl/>
              <w:suppressLineNumbers w:val="0"/>
              <w:jc w:val="both"/>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14、包含运输、装卸、搬运、布线穿管、设备安装、系统调试、使用培训等综合费用。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4402C43">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13139.08</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7505EEB">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13139.08</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0D3738F9">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50118F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397BA8B2">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A5BAB4B">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5C9693AA">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档案库房可视化3D平面图</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250B20A9">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张</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24CDB453">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389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BEA0B5D">
            <w:pPr>
              <w:keepNext w:val="0"/>
              <w:keepLines w:val="0"/>
              <w:widowControl/>
              <w:suppressLineNumbers w:val="0"/>
              <w:jc w:val="both"/>
              <w:textAlignment w:val="center"/>
              <w:rPr>
                <w:rFonts w:hint="eastAsia" w:ascii="宋体" w:hAnsi="宋体" w:eastAsia="宋体" w:cs="宋体"/>
                <w:i w:val="0"/>
                <w:iCs w:val="0"/>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根据档案库房真实情况绘制实景3D平面鸟瞰图。</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6AE52D9">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1427.90</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337F692">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1427.90</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34221639">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12B77F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17494B8B">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C6D3890">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1391EFD2">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交换机</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67F294DF">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台</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52BC156D">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48A6DF85">
            <w:pPr>
              <w:keepNext w:val="0"/>
              <w:keepLines w:val="0"/>
              <w:widowControl/>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1、16口百兆交换机，支持最大传输距离100米。</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2、供电电源：AC100-240V。</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3、工作温度0-40℃，功耗≤2.2W。</w:t>
            </w:r>
          </w:p>
          <w:p w14:paraId="13A9994F">
            <w:pPr>
              <w:keepNext w:val="0"/>
              <w:keepLines w:val="0"/>
              <w:widowControl/>
              <w:suppressLineNumbers w:val="0"/>
              <w:jc w:val="both"/>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4、包含运输、装卸、搬运、布线穿管、设备安装、系统调试、使用培训等综合费用。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8DDD3A4">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917.54</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31DB31C">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917.54</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11AA32E1">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482070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5C2F71A4">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BC0C019">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0FC8FDEA">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机柜</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2AA9A87A">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台</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6B580099">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1570F282">
            <w:pPr>
              <w:keepNext w:val="0"/>
              <w:keepLines w:val="0"/>
              <w:widowControl/>
              <w:suppressLineNumbers w:val="0"/>
              <w:jc w:val="both"/>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柜体尺寸：</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600*600*2000</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MM，3MM厚度</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前玻璃门后网孔门；</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20DD1C4">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2601.91</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27B344F">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2601.91</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647C5AFC">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417AC1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510A6095">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671D938">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7C877ED8">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防雷排插</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1082FF11">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个</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730574E2">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6B04E91F">
            <w:pPr>
              <w:keepNext w:val="0"/>
              <w:keepLines w:val="0"/>
              <w:widowControl/>
              <w:suppressLineNumbers w:val="0"/>
              <w:jc w:val="both"/>
              <w:textAlignment w:val="top"/>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1、标准19英寸1.5U机架式铝合金外壳；</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2、输入电流：</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16A；标称放电电流（8/20μS）In：10KA；最大放电电流（8/20μS）Imax：20KA；</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3、保护水平Up≤1000V；8位万用输出孔；</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4、工作状态指示：工作指示灯、接地指示灯、故障指示灯。</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D2E4796">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247.43</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8EE60BA">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247.43</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0295566B">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520724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6AFF82EB">
            <w:pPr>
              <w:jc w:val="center"/>
              <w:rPr>
                <w:rFonts w:hint="eastAsia" w:ascii="宋体" w:hAnsi="宋体" w:eastAsia="宋体" w:cs="宋体"/>
                <w:color w:val="000000" w:themeColor="text1"/>
                <w:highlight w:val="none"/>
                <w14:textFill>
                  <w14:solidFill>
                    <w14:schemeClr w14:val="tx1"/>
                  </w14:solidFill>
                </w14:textFill>
              </w:rPr>
            </w:pPr>
          </w:p>
        </w:tc>
        <w:tc>
          <w:tcPr>
            <w:tcW w:w="9129" w:type="dxa"/>
            <w:gridSpan w:val="11"/>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033AFC9">
            <w:pPr>
              <w:jc w:val="both"/>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t>三、RFID实体档案管理系统</w:t>
            </w:r>
          </w:p>
        </w:tc>
        <w:tc>
          <w:tcPr>
            <w:tcW w:w="73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07B47D8">
            <w:pPr>
              <w:jc w:val="both"/>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pPr>
          </w:p>
        </w:tc>
      </w:tr>
      <w:tr w14:paraId="448D5D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17109ABB">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2292D98">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5200C31D">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档案射频识别电子标签</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3CDD7A89">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枚</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6B33AF65">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27216</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0B2BCABE">
            <w:pPr>
              <w:keepNext w:val="0"/>
              <w:keepLines w:val="0"/>
              <w:widowControl/>
              <w:numPr>
                <w:ilvl w:val="0"/>
                <w:numId w:val="2"/>
              </w:numPr>
              <w:suppressLineNumbers w:val="0"/>
              <w:jc w:val="both"/>
              <w:textAlignment w:val="top"/>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工作频率：920～925MHz；</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2、符合标准：EPCGlobal C1\G2、ISO18000-6C；</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3、工作模式：可读写；</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4、存储容量：TID96bits、EPC128bits；</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5、标签为单面不干胶，可打印立案号、归档号等信息；</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6、防冲突性：能保证工作区间内多个标签的同时可靠识读；</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7、读取距离：读取距离≥200cm；</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8、标签需符合国标GB/T 26572-2011《电子电气产品中限用物质的限量要求》</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GB/T26125-2011《电子电气产品 六种限用物质（铅、汞、镉、六价铬、多溴联苯和多溴二苯醚）的测定》要求，所检验项目均符合标准规定的要求</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w:t>
            </w:r>
          </w:p>
          <w:p w14:paraId="2A3B7A1B">
            <w:pPr>
              <w:keepNext w:val="0"/>
              <w:keepLines w:val="0"/>
              <w:widowControl/>
              <w:numPr>
                <w:ilvl w:val="0"/>
                <w:numId w:val="3"/>
              </w:numPr>
              <w:suppressLineNumbers w:val="0"/>
              <w:jc w:val="both"/>
              <w:textAlignment w:val="top"/>
              <w:rPr>
                <w:rFonts w:hint="default" w:ascii="宋体" w:hAnsi="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5CCD3D5">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0.76</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2CA1820">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20684.16</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5851981E">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75CF89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3DEF61A4">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97C303F">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779FB1DC">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货架层架电子标识铭牌</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7574A5EC">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枚</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486C1947">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1296</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39D837FB">
            <w:pPr>
              <w:keepNext w:val="0"/>
              <w:keepLines w:val="0"/>
              <w:widowControl/>
              <w:numPr>
                <w:ilvl w:val="0"/>
                <w:numId w:val="4"/>
              </w:numPr>
              <w:suppressLineNumbers w:val="0"/>
              <w:jc w:val="both"/>
              <w:textAlignment w:val="top"/>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工作频率：920～925MHz；</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2、符合标准：EPCGlobal C1\G2、ISO18000-6C；</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3、工作模式：可读写；</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4、防冲突性：能保证工作区间内多个标签的同时可靠识读；</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5、安装到金属层架板后，读取距离≥10cm；</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6、材质：透明亚克力、不干胶面纸、3M强力背胶；</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电子标识</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需符合国标GB/T 26572-2011《电子电气产品中限用物质的限量要求》</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GB/T26125-2011《电子电气产品 六种限用物质（铅、汞、镉、六价铬、多溴联苯和多溴二苯醚）的测定》要求</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w:t>
            </w:r>
          </w:p>
          <w:p w14:paraId="68633A00">
            <w:pPr>
              <w:keepNext w:val="0"/>
              <w:keepLines w:val="0"/>
              <w:widowControl/>
              <w:numPr>
                <w:ilvl w:val="0"/>
                <w:numId w:val="0"/>
              </w:numPr>
              <w:suppressLineNumbers w:val="0"/>
              <w:jc w:val="both"/>
              <w:textAlignment w:val="top"/>
              <w:rPr>
                <w:rFonts w:hint="default" w:ascii="宋体" w:hAnsi="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8、包含运输、装卸、搬运、布线穿管、设备安装、系统调试、使用培训等综合费用。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EB183CE">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3.86</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ACB8C02">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5002.56</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3E10033A">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4D4E48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4388DBBE">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9738E0B">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7DCC9DC8">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标签实施费</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0821DD01">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枚</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3236ACAF">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28512</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4FDABE65">
            <w:pPr>
              <w:keepNext w:val="0"/>
              <w:keepLines w:val="0"/>
              <w:widowControl/>
              <w:suppressLineNumbers w:val="0"/>
              <w:jc w:val="both"/>
              <w:textAlignment w:val="top"/>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完成标签制作、信息录入、台账核对等全流程工作。设备符合档案库房使用环境标准，防护性能良好，运行稳定可靠，整体配置可满足日常及批量档案数字化、标识管理工作使用。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5AF8F3F">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1.96</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D446E4B">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55883.52</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3A9CA6A1">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7D0744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15C2B098">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C63AD6C">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10CA8DF8">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手持盘点机</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15AB1C60">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台</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3D5912FE">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785C8A48">
            <w:pPr>
              <w:keepNext w:val="0"/>
              <w:keepLines w:val="0"/>
              <w:widowControl/>
              <w:numPr>
                <w:ilvl w:val="0"/>
                <w:numId w:val="5"/>
              </w:numPr>
              <w:suppressLineNumbers w:val="0"/>
              <w:jc w:val="both"/>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CPU：主频≥1.45GHz，≥4核;</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、RAM+ROM：≥2GB+≥16GB；</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、显示屏：≥5英寸全彩电容触摸屏，支持多点触控，分辨率：1920×1080；</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4</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、电池容量：≥8000mAh，工作时间≥12小时，待机时间≥24小时；</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、通讯接口：≥1路type-C接口，支持蓝牙、WIFI功能；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、防护等级：IP65，达到IEC密封标准。</w:t>
            </w:r>
          </w:p>
          <w:p w14:paraId="5AABAFE6">
            <w:pPr>
              <w:keepNext w:val="0"/>
              <w:keepLines w:val="0"/>
              <w:widowControl/>
              <w:numPr>
                <w:ilvl w:val="0"/>
                <w:numId w:val="0"/>
              </w:numPr>
              <w:suppressLineNumbers w:val="0"/>
              <w:jc w:val="both"/>
              <w:textAlignment w:val="top"/>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7、包含运输、装卸、搬运、布线穿管、设备安装、系统调试、使用培训等综合费用。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5F93181">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5580.80</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BFF3815">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5580.80</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16193B58">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74615E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409F4353">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AE02131">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566BDCEE">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智能档案RFID读写器</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78A781E2">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台</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2FF78D83">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2EC0307C">
            <w:pPr>
              <w:keepNext w:val="0"/>
              <w:keepLines w:val="0"/>
              <w:widowControl/>
              <w:suppressLineNumbers w:val="0"/>
              <w:jc w:val="both"/>
              <w:textAlignment w:val="top"/>
              <w:rPr>
                <w:color w:val="000000" w:themeColor="text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1、设备尺寸（长*宽*高）： ≥400*270*47mm;</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2、设备供电：DC12V；</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3、最大功率（W）：≤50W；</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4、工作频率：840～868MHz, 920～925MHz；</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5、符合标准：EPCGlobal C1\G2、ISO18000-6C；</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6、接口：≥1路RS232接口，支持与平台对接；</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▲7、可非接触式快速识别RFID标签，可同时读取多个标签，写入成功率：≥99.9%；</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8、配置电源和工作指示灯；</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9、材质：采用高强度钣金外壳+钢化玻璃；</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10、支持将档案与标签进行绑定；</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11、设备需符合国标GB/T2423.2-2008、GB/T2423.1-2008高、低温环境试验要求，在-25℃—60℃保持2小时或以上，再恢复到常温，开机工作正常；设备需符合GB/T17626.5-2019浪涌（冲击）试验，间隔60s施加±0.5KV电压冲击40次,正常工作。</w:t>
            </w:r>
          </w:p>
          <w:p w14:paraId="5101E4F6">
            <w:pPr>
              <w:keepNext w:val="0"/>
              <w:keepLines w:val="0"/>
              <w:widowControl/>
              <w:suppressLineNumbers w:val="0"/>
              <w:jc w:val="both"/>
              <w:textAlignment w:val="top"/>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12、设备</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须符合中华人民共和国无线电管理规定，提供</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整机</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无线电发射设备型号核准</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认证证书。</w:t>
            </w:r>
          </w:p>
          <w:p w14:paraId="04B59EC3">
            <w:pPr>
              <w:keepNext w:val="0"/>
              <w:keepLines w:val="0"/>
              <w:widowControl/>
              <w:suppressLineNumbers w:val="0"/>
              <w:jc w:val="both"/>
              <w:textAlignment w:val="top"/>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13、包含运输、装卸、搬运、布线穿管、设备安装、系统调试、使用培训等综合费用。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EDF6147">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3689.65</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4FBFE3D">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3689.65</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7727FA13">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7D662D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7DE5A4C7">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06E292A">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27DAF3CA">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档案盒卷皮打印机</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24A772AF">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台</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39DF481A">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60CB031C">
            <w:pPr>
              <w:keepNext w:val="0"/>
              <w:keepLines w:val="0"/>
              <w:widowControl/>
              <w:numPr>
                <w:ilvl w:val="0"/>
                <w:numId w:val="6"/>
              </w:numPr>
              <w:suppressLineNumbers w:val="0"/>
              <w:jc w:val="both"/>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打印技术：喷墨打印</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打印喷头：墨盒一体化设计</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顶盖：亚克力</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4、</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可打印介质：国际档案盒/袋、凭证盒、卷皮、牛皮纸/覆膜纸等</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打印介质厚度：≥8mm</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进纸宽度：≥320mm</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打印范围：支持全幅面打印，宽度≥280mm，长度不限</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8、</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脊背宽度：支持超宽脊背打印（自定义宽度）</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9、</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进纸方式：前进前出、前进后出；</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10、</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打印速度：160盒/小时，高中低三档可调</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11、</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工作时长：可连续24小时不间断打印；</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12、</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打印颜色：支持多种颜色打印（黑、红、蓝等）</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13、</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墨盒：高解析油性墨盒/水性墨盒（42ml/盒）</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14、</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字迹检测：字迹耐久</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15、</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分辨率：≥300dpi</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16、</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显示屏：≥3.5英寸</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17、</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软件：</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 xml:space="preserve">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自定义打印模板，批量导入导出模板，支持横排、竖排等功能；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18、</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使用环境：Windows、国产系统等。</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19、</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数据传输：支持USB Type-B接口、网络端口</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输入电压：100-240V~，1.0A，50/60Hz</w:t>
            </w:r>
          </w:p>
          <w:p w14:paraId="5E3BD80B">
            <w:pPr>
              <w:keepNext w:val="0"/>
              <w:keepLines w:val="0"/>
              <w:widowControl/>
              <w:numPr>
                <w:ilvl w:val="0"/>
                <w:numId w:val="0"/>
              </w:numPr>
              <w:suppressLineNumbers w:val="0"/>
              <w:jc w:val="both"/>
              <w:textAlignment w:val="top"/>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21、包含运输、装卸、搬运、布线穿管、设备安装、系统调试、使用培训等综合费用。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8D7FFD4">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31588.20</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122E52B">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31588.20</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43037D70">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350A9B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0CA39EFE">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6179916">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59F093B5">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实体档案管理系统</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2B972E31">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套</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60B73278">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389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BB2157E">
            <w:pPr>
              <w:keepNext w:val="0"/>
              <w:keepLines w:val="0"/>
              <w:widowControl/>
              <w:suppressLineNumbers w:val="0"/>
              <w:jc w:val="both"/>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1、系统采用B/S、C/S相融合的整体架构，兼容B/S架构跨平台自适应、WEB浏览便捷性和C/S架构响应速度、安全性强的优点，确保平台整体运行稳定、流畅，数据安全、可靠，展示丰富、灵活；</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2、系统支持超高频、高频解决方案，通过电子标签对档案实物进行唯一标识，实现档案的标签绑定、上架、下架、出库、入库、盘点等功能；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3、系统采用多线程并行推送数据交互处理模式，采用纯网络通信协议，确保数据传输的稳定性和可靠性，多个数据通道并行传输互不干扰，数据采集频率＜2S；</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4、系统支持标准南北向接口功能：北向支持向上一级平台转发和同步数据功能，南向支持RFID终端设备、智能密集架控制系统等的数据交互；</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5、系统支持对系统名称、软件名称、单位名称、LOGO图片、版权信息、档案装具类型等设置功能；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6、系统支持档案库房及功能用房的名称、面积和房间地址的设定，支持对已添加库房属性进行编辑；</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7、系统支持接入馆员工作站、标签打印机、读写器、智能盘点车、安全通道门、手持盘点机、智能密集架等设备</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8、数据看板支持以可视化图形方式展示装具容量统计、在库离库单统计、馆藏统计、逾期统计等；可显示档案或档案盒的进出时间，是否违规等；</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9、装具容量统计可以切换库房，查看库房内装具的总容量和已用容量，以柱状图的形式展示；在库离库单可以年度为单位统计年度内各月的出库单和入库单数量，以折线图的形式展示；馆藏统计可以统计档案盒的上架数量和下架数量，以饼状图的形式展示；逾期提醒可显示最新的≥5条逾期未归还的档案，支持查看全部逾期列表；标签违规出入库记录可查看违规出库的档案盒的历史记录</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10、支持扫描档案盒，获取档案盒信息，可直接进行上架、下架、出库、入库操作；</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11、档案录入支持手动添加档案数据、批量模版导入，支持工作站绑定标签，支持打印机批量打印标签；</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12、标签管理支持档案盒标签更换、层架标签更换，可以根据库位名称、库位编号查询到具体库位条目，可以展示原标签与新标签号；</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13、档案上下架管理可对档案盒进行上架、下架、销毁操作，并保存操作记录，具备异常登记功能，异常登记的类型可以通过数据字典添加或删除；</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14、出入库管理可对档案盒进行出库、入库、延期归还操作，并保存操作记录；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15、移位管理可对档案进行移位、拆盒、装盒、换盒等操作，并保存位置变更记录，可查看变更前位置、变更后位置和变更日期；</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16、盘点管理支持按照单组、单列、多列、多库位创建盘点任务，并可通过盘点记录查看盘点详情；</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17、虚拟库房管理可通过图形、列表形式直观的展示库房装具信息，包括装具的实时状态（温湿度），容量统计、已占用空间统计、剩余空间统计；可对接智能密集架进行远程操控（如通风、打开、合架等）；可查看已上架的档案/档案盒信息，并可进行下架、出库、入库等操作；</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18、统计查询功能支持自定义查询、加入档案车、查询数据导出操作，并可查看档案盒从建立到查询日期内的全部操作流程记录；</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19、系统设置管理支持进行系统配置、库房管理、装具管理、设备管理、型号信息管理、数据字典维护、字段设置、模板管理、接口管理、服务设置、用户管理、部门管理、角色管理等功能操作；</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20、系统支持档案盒的字段维护，可以添加删除档案盒的字段，可以设置档案盒检索列表中的字段顺序，可以设置每一个字段的数据类型；</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21、档案盒查询支持高级查询功能，可以以任意字段为查询条件查询，查询结果的显示列表字段可以配置；</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22、可以建立多级部门管理，配置角色权限，实现用户权限管理；</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23、日志管理可根据登录日志、操作日志形成日志记录，支持系统数据备份及恢复；</w:t>
            </w:r>
          </w:p>
          <w:p w14:paraId="1579EDDB">
            <w:pPr>
              <w:keepNext w:val="0"/>
              <w:keepLines w:val="0"/>
              <w:widowControl/>
              <w:suppressLineNumbers w:val="0"/>
              <w:jc w:val="both"/>
              <w:textAlignment w:val="top"/>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24</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系统联动协同与兼容性测试要求</w:t>
            </w:r>
          </w:p>
          <w:p w14:paraId="6A14B7BA">
            <w:pPr>
              <w:keepNext w:val="0"/>
              <w:keepLines w:val="0"/>
              <w:widowControl/>
              <w:suppressLineNumbers w:val="0"/>
              <w:jc w:val="both"/>
              <w:textAlignment w:val="top"/>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实体档案管理系统开放标准化数据接口，与智慧档案可视化平台完成全量档案业务数据双向联动，支持跨品牌搭配使用，</w:t>
            </w:r>
            <w:r>
              <w:rPr>
                <w:rFonts w:hint="eastAsia" w:ascii="宋体" w:hAnsi="宋体" w:cs="宋体"/>
                <w:color w:val="000000" w:themeColor="text1"/>
                <w:highlight w:val="none"/>
                <w:lang w:val="en-US" w:eastAsia="zh-CN"/>
                <w14:textFill>
                  <w14:solidFill>
                    <w14:schemeClr w14:val="tx1"/>
                  </w14:solidFill>
                </w14:textFill>
              </w:rPr>
              <w:t>成交供应商</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全权负责软硬件对接、联调整改，进场实施前完成全套兼容性测试并出具合格报告，</w:t>
            </w:r>
            <w:r>
              <w:rPr>
                <w:rFonts w:hint="eastAsia" w:ascii="宋体" w:hAnsi="宋体" w:cs="宋体"/>
                <w:color w:val="000000" w:themeColor="text1"/>
                <w:highlight w:val="none"/>
                <w:lang w:val="en-US" w:eastAsia="zh-CN"/>
                <w14:textFill>
                  <w14:solidFill>
                    <w14:schemeClr w14:val="tx1"/>
                  </w14:solidFill>
                </w14:textFill>
              </w:rPr>
              <w:t>成交供应商</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承担联调及质保整改工作，投标同步提交联动测试实施方案。</w:t>
            </w:r>
          </w:p>
          <w:p w14:paraId="4B04A36D">
            <w:pPr>
              <w:keepNext w:val="0"/>
              <w:keepLines w:val="0"/>
              <w:widowControl/>
              <w:suppressLineNumbers w:val="0"/>
              <w:jc w:val="both"/>
              <w:textAlignment w:val="top"/>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25、包含运输、装卸、搬运、布线穿管、设备安装、系统调试、使用培训等综合费用。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2E0B3CE">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50922.89</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276BE5F">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50922.89</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5165728E">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6E472F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0A179807">
            <w:pPr>
              <w:jc w:val="center"/>
              <w:rPr>
                <w:rFonts w:hint="eastAsia" w:ascii="宋体" w:hAnsi="宋体" w:eastAsia="宋体" w:cs="宋体"/>
                <w:color w:val="000000" w:themeColor="text1"/>
                <w:highlight w:val="none"/>
                <w14:textFill>
                  <w14:solidFill>
                    <w14:schemeClr w14:val="tx1"/>
                  </w14:solidFill>
                </w14:textFill>
              </w:rPr>
            </w:pPr>
          </w:p>
        </w:tc>
        <w:tc>
          <w:tcPr>
            <w:tcW w:w="9129" w:type="dxa"/>
            <w:gridSpan w:val="11"/>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39B9736">
            <w:pPr>
              <w:jc w:val="both"/>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t>四、环境温湿度监控管理</w:t>
            </w:r>
          </w:p>
        </w:tc>
        <w:tc>
          <w:tcPr>
            <w:tcW w:w="73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9B8C3A2">
            <w:pPr>
              <w:jc w:val="both"/>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pPr>
          </w:p>
        </w:tc>
      </w:tr>
      <w:tr w14:paraId="6ABCA5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0EDB96E8">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EED8C3B">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4877896E">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空气质量云测仪</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5B5D0C00">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台</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07557FB6">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2E263E67">
            <w:pPr>
              <w:keepNext w:val="0"/>
              <w:keepLines w:val="0"/>
              <w:widowControl/>
              <w:numPr>
                <w:ilvl w:val="0"/>
                <w:numId w:val="7"/>
              </w:numPr>
              <w:suppressLineNumbers w:val="0"/>
              <w:jc w:val="both"/>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设备尺寸（长*宽*高）： ≥350mm*180mm*60mm;</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2、安装方式：壁挂式；</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3、设备供电：AC220V/50Hz；</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4、功率（W）：≤10；</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5、全金属外壳，快速安装挂板；</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6、采用≥5.1英寸全彩电容触摸屏，实时显示≥8种库房环境数据，包括但不限于温度、湿度、PM2.5、PM10、甲醛、TVOC、CO₂、烟雾等数值；</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7、温度精度：±1℃；测量范围：-20℃～80℃；</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8、湿度精度：±2%RH；测量范围：0%RH～99%RH；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9、PM2.5精度：±10%，测量范围：0</w:t>
            </w:r>
            <w:r>
              <w:rPr>
                <w:rStyle w:val="113"/>
                <w:rFonts w:hint="eastAsia" w:ascii="宋体" w:hAnsi="宋体" w:eastAsia="宋体" w:cs="宋体"/>
                <w:color w:val="000000" w:themeColor="text1"/>
                <w:sz w:val="21"/>
                <w:szCs w:val="21"/>
                <w:highlight w:val="none"/>
                <w:lang w:val="en-US" w:eastAsia="zh-CN" w:bidi="ar"/>
                <w14:textFill>
                  <w14:solidFill>
                    <w14:schemeClr w14:val="tx1"/>
                  </w14:solidFill>
                </w14:textFill>
              </w:rPr>
              <w:t>μ</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g/m³～1000 </w:t>
            </w:r>
            <w:r>
              <w:rPr>
                <w:rStyle w:val="113"/>
                <w:rFonts w:hint="eastAsia" w:ascii="宋体" w:hAnsi="宋体" w:eastAsia="宋体" w:cs="宋体"/>
                <w:color w:val="000000" w:themeColor="text1"/>
                <w:sz w:val="21"/>
                <w:szCs w:val="21"/>
                <w:highlight w:val="none"/>
                <w:lang w:val="en-US" w:eastAsia="zh-CN" w:bidi="ar"/>
                <w14:textFill>
                  <w14:solidFill>
                    <w14:schemeClr w14:val="tx1"/>
                  </w14:solidFill>
                </w14:textFill>
              </w:rPr>
              <w:t>μ</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g/m³；</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10、PM10精度：±10%，测量范围：0</w:t>
            </w:r>
            <w:r>
              <w:rPr>
                <w:rStyle w:val="113"/>
                <w:rFonts w:hint="eastAsia" w:ascii="宋体" w:hAnsi="宋体" w:eastAsia="宋体" w:cs="宋体"/>
                <w:color w:val="000000" w:themeColor="text1"/>
                <w:sz w:val="21"/>
                <w:szCs w:val="21"/>
                <w:highlight w:val="none"/>
                <w:lang w:val="en-US" w:eastAsia="zh-CN" w:bidi="ar"/>
                <w14:textFill>
                  <w14:solidFill>
                    <w14:schemeClr w14:val="tx1"/>
                  </w14:solidFill>
                </w14:textFill>
              </w:rPr>
              <w:t>μ</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g/m³～1000 </w:t>
            </w:r>
            <w:r>
              <w:rPr>
                <w:rStyle w:val="113"/>
                <w:rFonts w:hint="eastAsia" w:ascii="宋体" w:hAnsi="宋体" w:eastAsia="宋体" w:cs="宋体"/>
                <w:color w:val="000000" w:themeColor="text1"/>
                <w:sz w:val="21"/>
                <w:szCs w:val="21"/>
                <w:highlight w:val="none"/>
                <w:lang w:val="en-US" w:eastAsia="zh-CN" w:bidi="ar"/>
                <w14:textFill>
                  <w14:solidFill>
                    <w14:schemeClr w14:val="tx1"/>
                  </w14:solidFill>
                </w14:textFill>
              </w:rPr>
              <w:t>μ</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g/m³；</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11、甲醛精度：±40</w:t>
            </w:r>
            <w:r>
              <w:rPr>
                <w:rStyle w:val="113"/>
                <w:rFonts w:hint="eastAsia" w:ascii="宋体" w:hAnsi="宋体" w:eastAsia="宋体" w:cs="宋体"/>
                <w:color w:val="000000" w:themeColor="text1"/>
                <w:sz w:val="21"/>
                <w:szCs w:val="21"/>
                <w:highlight w:val="none"/>
                <w:lang w:val="en-US" w:eastAsia="zh-CN" w:bidi="ar"/>
                <w14:textFill>
                  <w14:solidFill>
                    <w14:schemeClr w14:val="tx1"/>
                  </w14:solidFill>
                </w14:textFill>
              </w:rPr>
              <w:t>μ</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g/m³，测量范围：0</w:t>
            </w:r>
            <w:r>
              <w:rPr>
                <w:rStyle w:val="113"/>
                <w:rFonts w:hint="eastAsia" w:ascii="宋体" w:hAnsi="宋体" w:eastAsia="宋体" w:cs="宋体"/>
                <w:color w:val="000000" w:themeColor="text1"/>
                <w:sz w:val="21"/>
                <w:szCs w:val="21"/>
                <w:highlight w:val="none"/>
                <w:lang w:val="en-US" w:eastAsia="zh-CN" w:bidi="ar"/>
                <w14:textFill>
                  <w14:solidFill>
                    <w14:schemeClr w14:val="tx1"/>
                  </w14:solidFill>
                </w14:textFill>
              </w:rPr>
              <w:t>μ</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g/m³～500 </w:t>
            </w:r>
            <w:r>
              <w:rPr>
                <w:rStyle w:val="113"/>
                <w:rFonts w:hint="eastAsia" w:ascii="宋体" w:hAnsi="宋体" w:eastAsia="宋体" w:cs="宋体"/>
                <w:color w:val="000000" w:themeColor="text1"/>
                <w:sz w:val="21"/>
                <w:szCs w:val="21"/>
                <w:highlight w:val="none"/>
                <w:lang w:val="en-US" w:eastAsia="zh-CN" w:bidi="ar"/>
                <w14:textFill>
                  <w14:solidFill>
                    <w14:schemeClr w14:val="tx1"/>
                  </w14:solidFill>
                </w14:textFill>
              </w:rPr>
              <w:t>μ</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g/m³；</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12、TVOC精度：±90</w:t>
            </w:r>
            <w:r>
              <w:rPr>
                <w:rStyle w:val="113"/>
                <w:rFonts w:hint="eastAsia" w:ascii="宋体" w:hAnsi="宋体" w:eastAsia="宋体" w:cs="宋体"/>
                <w:color w:val="000000" w:themeColor="text1"/>
                <w:sz w:val="21"/>
                <w:szCs w:val="21"/>
                <w:highlight w:val="none"/>
                <w:lang w:val="en-US" w:eastAsia="zh-CN" w:bidi="ar"/>
                <w14:textFill>
                  <w14:solidFill>
                    <w14:schemeClr w14:val="tx1"/>
                  </w14:solidFill>
                </w14:textFill>
              </w:rPr>
              <w:t>μ</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g/m³，测量范围：0</w:t>
            </w:r>
            <w:r>
              <w:rPr>
                <w:rStyle w:val="113"/>
                <w:rFonts w:hint="eastAsia" w:ascii="宋体" w:hAnsi="宋体" w:eastAsia="宋体" w:cs="宋体"/>
                <w:color w:val="000000" w:themeColor="text1"/>
                <w:sz w:val="21"/>
                <w:szCs w:val="21"/>
                <w:highlight w:val="none"/>
                <w:lang w:val="en-US" w:eastAsia="zh-CN" w:bidi="ar"/>
                <w14:textFill>
                  <w14:solidFill>
                    <w14:schemeClr w14:val="tx1"/>
                  </w14:solidFill>
                </w14:textFill>
              </w:rPr>
              <w:t>μ</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g/m³～1000 </w:t>
            </w:r>
            <w:r>
              <w:rPr>
                <w:rStyle w:val="113"/>
                <w:rFonts w:hint="eastAsia" w:ascii="宋体" w:hAnsi="宋体" w:eastAsia="宋体" w:cs="宋体"/>
                <w:color w:val="000000" w:themeColor="text1"/>
                <w:sz w:val="21"/>
                <w:szCs w:val="21"/>
                <w:highlight w:val="none"/>
                <w:lang w:val="en-US" w:eastAsia="zh-CN" w:bidi="ar"/>
                <w14:textFill>
                  <w14:solidFill>
                    <w14:schemeClr w14:val="tx1"/>
                  </w14:solidFill>
                </w14:textFill>
              </w:rPr>
              <w:t>μ</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g/m³；</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13、CO₂精度：±75ppm，测量范围：0ppm～5000ppm；</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14、通信方式：支持RS485、RJ45、无线接口；</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15、通讯协议：支持标准Modbus RTU、ModbusTCP协议；</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16、空气质量云测仪需符合国标GB/T2423.2-2008、GB/T2423.1-2008高、低温环境试验要求，在-15℃—40℃保持2小时或以上，再恢复到常温，通电正常开机显示；设备需符合GB/T17626.5-2019浪涌（冲击）试验，间隔60s施加±0.5KV电压冲击10次,正常工作。</w:t>
            </w:r>
          </w:p>
          <w:p w14:paraId="32413A29">
            <w:pPr>
              <w:keepNext w:val="0"/>
              <w:keepLines w:val="0"/>
              <w:widowControl/>
              <w:numPr>
                <w:ilvl w:val="0"/>
                <w:numId w:val="0"/>
              </w:numPr>
              <w:suppressLineNumbers w:val="0"/>
              <w:jc w:val="both"/>
              <w:textAlignment w:val="top"/>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17、包含运输、装卸、搬运、布线穿管、设备安装、系统调试、使用培训等综合费用。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85908E3">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4073.20</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AC38EC5">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8146.40</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7CADC8CD">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72F776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15E84D9E">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577CC40">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77F9DB0A">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霉菌净化机</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7EF5FD3A">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台</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6105F7F9">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741A65AE">
            <w:pPr>
              <w:keepNext w:val="0"/>
              <w:keepLines w:val="0"/>
              <w:widowControl/>
              <w:numPr>
                <w:ilvl w:val="0"/>
                <w:numId w:val="8"/>
              </w:numPr>
              <w:suppressLineNumbers w:val="0"/>
              <w:jc w:val="both"/>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设备尺寸（长*宽*高）： ≥1080mm*628mm*250mm;</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2、设备供电：AC220V/50Hz；</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3、最大功率（W）：≤240；</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4、最大风量：≥600m³/h；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5、空气净化: 净化装置包括但不限于双侧三合-HEPA过滤器、内嵌双波段纳米光氢离子净化装置、顶部装配≥120W无臭氧主动消杀装置，滤网支持堵塞告警、更换提醒功能；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6、净化效率指标：</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6.1白色葡萄球菌除菌率≥99.95%，空气自然菌消亡率≥92%；</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6.2黑曲霉除菌率≥99.95%；</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6.3▲PM2.5去除率≥99.95%；</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7、工作模式：具备手动、自动、定时、红外遥控、远程控制共五种工作模式，支持高、低风速调节；</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8、采用≥5.1英寸全彩电容触摸屏，实时显示≥7种库房环境数据，包括但不限于温度、湿度、PM2.5、PM10、甲醛、TVOC、CO₂等数值；</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9、自动翻板净化:设备采用自动翻板式消杀装置，支持远程、定时自动翻板、遥控三种主动灭菌方式，具备人体感应功能，感应到有人后自动关闭杀菌灯；</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10、定时运行功能；支持每天设置≥3个运行时段；</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11、通信方式：支持RS485、RJ45、无线接口；</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12、通讯协议：支持标准Modbus RTU、ModbusTCP协议；</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13、▲霉菌净化机需符合国标GB/T2423.2-2008、GB/T2423.1-2008高、低温环境试验要求，在-20℃—50℃保持2小时或以上，再恢复到常温，开机工作正常；设备需符合GB/T17626.5-2019浪涌（冲击）试验，间隔60s施加±0.5KV电压冲击40次,正常工作。</w:t>
            </w:r>
          </w:p>
          <w:p w14:paraId="74FE5682">
            <w:pPr>
              <w:keepNext w:val="0"/>
              <w:keepLines w:val="0"/>
              <w:widowControl/>
              <w:numPr>
                <w:ilvl w:val="0"/>
                <w:numId w:val="0"/>
              </w:numPr>
              <w:suppressLineNumbers w:val="0"/>
              <w:jc w:val="both"/>
              <w:textAlignment w:val="top"/>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14、包含运输、装卸、搬运、布线穿管、设备安装、系统调试、使用培训等综合费用。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2B578C7">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9741.33</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206E042">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9741.33</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0850140C">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1566E2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453F82F0">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3DC4006">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340B1CF9">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恒湿净化一体机</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2AFEA6CE">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台</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03F3DAF8">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121A5A50">
            <w:pPr>
              <w:keepNext w:val="0"/>
              <w:keepLines w:val="0"/>
              <w:widowControl/>
              <w:numPr>
                <w:ilvl w:val="0"/>
                <w:numId w:val="9"/>
              </w:numPr>
              <w:suppressLineNumbers w:val="0"/>
              <w:jc w:val="both"/>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设备尺寸（长*宽*高）： ≥600mmW500mm*1870mm;</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2、设备供电：AC220V/50Hz；</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3、最大功率（W）：≤1500；</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4、最大风量：≥2000m³/h；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5、加湿量：≥9Kg/h；</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6、除湿量：≥5L/h（≥120L/24h）；</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7、空气净化：支持强效净化模式，净化方式包括但不限于初效过滤器、三合-HEPA 过滤器、双波段纳米光氢离子净化装置、湿式除尘过滤器；滤网支持堵塞告警、更换提醒功能；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8、▲空气净化效率要求：PM2.5去除率≥9</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TVOC去除率≥9</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%；甲醛去除率≥9</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%；二氧化氮去除率≥9</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%；SO₂净化效率≥9</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%；白色葡萄球菌除菌率≥9</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%；黑曲霉除菌率≥9</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%；苯净化效率≥9</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%；氨净化效率≥9</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0</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9、能效等级：≤3级能效；</w:t>
            </w:r>
          </w:p>
          <w:p w14:paraId="52E4293C">
            <w:pPr>
              <w:keepNext w:val="0"/>
              <w:keepLines w:val="0"/>
              <w:widowControl/>
              <w:suppressLineNumbers w:val="0"/>
              <w:jc w:val="both"/>
              <w:textAlignment w:val="top"/>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10</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、工作模式：具备恒湿模式、净化模式、加湿模式、除湿模式、节能模式和远程控制功能；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、采用≥7英寸全彩电容触摸屏，实时监测温度、湿度数值及设备运行状态，具备设备故障自检功能；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、内置水箱：采用LLDPE材料，容量≥40L；支持水箱清洗可设置清洗次数；告警清洗告警上限:水箱清洗默认≥6次后，会产生报警确认，此时需要把扩容水箱里面被清洗过的水排空，并确认后报警才会消失；</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水位监测：具备0~100%水位监测，高、低限水位报警，支持定时自动杀菌功能；精准显示水箱水位，高、低限水位报警。配套设备联动接口，根据水位变化自动加、排水，自带漏水监测报警，监测到漏水后关闭所有阀门、机器停止运行；</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4</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、排水方式：支持管道排水、扩容水箱排水两种方式；支持排水和进水时界面实时显示状态；支持水箱排水、支持管道排水、支持排水禁用；支持手动开启强制排水；</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、联动功能：具备自动给排水、支持水箱清洗，可设定清洗次数、切断水源、漏水检测、自动保护、数据上传功能；支持定时自动杀菌功能；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、电气防护：具备过载保护、漏电保护、防雷保护功能；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、压缩机保护：具备高温保护、低温保护、高压保护、过载保护、闪断保护功能；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8</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、漏水防护：自带漏水检测线，具备漏水保护、缺水保护、溢水保护功能；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9</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、通信方式：支持RS485、RJ45、无线接口；</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20</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、通讯协议：支持标准Modbus RTU、ModbusTCP协议；</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恒湿净化一体机管理控制系统实现了除湿、加湿、净化、联动、水位控制、开机自动运行、风速调节、清洗、环境监测、湿度设定、进水排水状态显示、手动排水、压缩机保护、水箱模式选择、湿度区间显示、滤网工作状态显示、通讯、记录保存、清洗告警、其他设置功能</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w:t>
            </w:r>
          </w:p>
          <w:p w14:paraId="456254D3">
            <w:pPr>
              <w:keepNext w:val="0"/>
              <w:keepLines w:val="0"/>
              <w:widowControl/>
              <w:suppressLineNumbers w:val="0"/>
              <w:jc w:val="both"/>
              <w:textAlignment w:val="top"/>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系统联动协同与兼容性测试要求</w:t>
            </w:r>
          </w:p>
          <w:p w14:paraId="55A75F49">
            <w:pPr>
              <w:keepNext w:val="0"/>
              <w:keepLines w:val="0"/>
              <w:widowControl/>
              <w:suppressLineNumbers w:val="0"/>
              <w:jc w:val="both"/>
              <w:textAlignment w:val="top"/>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恒湿净化一体机开放标准化通讯接口，与智慧档案可视化平台完成温湿度、告警、运行状态全量数据双向联动，支持跨品牌搭配使用，</w:t>
            </w:r>
            <w:r>
              <w:rPr>
                <w:rFonts w:hint="eastAsia" w:ascii="宋体" w:hAnsi="宋体" w:cs="宋体"/>
                <w:color w:val="000000" w:themeColor="text1"/>
                <w:highlight w:val="none"/>
                <w:lang w:val="en-US" w:eastAsia="zh-CN"/>
                <w14:textFill>
                  <w14:solidFill>
                    <w14:schemeClr w14:val="tx1"/>
                  </w14:solidFill>
                </w14:textFill>
              </w:rPr>
              <w:t>成交供应商</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全权负责软硬件对接、联调整改、进场施工前完成全套兼容性测试并出具合格报告，</w:t>
            </w:r>
            <w:r>
              <w:rPr>
                <w:rFonts w:hint="eastAsia" w:ascii="宋体" w:hAnsi="宋体" w:cs="宋体"/>
                <w:color w:val="000000" w:themeColor="text1"/>
                <w:highlight w:val="none"/>
                <w:lang w:val="en-US" w:eastAsia="zh-CN"/>
                <w14:textFill>
                  <w14:solidFill>
                    <w14:schemeClr w14:val="tx1"/>
                  </w14:solidFill>
                </w14:textFill>
              </w:rPr>
              <w:t>成交供应商</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承担联调及质保整改工作，投标同步提交联动测试实施方案。</w:t>
            </w:r>
          </w:p>
          <w:p w14:paraId="54B0906C">
            <w:pPr>
              <w:keepNext w:val="0"/>
              <w:keepLines w:val="0"/>
              <w:widowControl/>
              <w:suppressLineNumbers w:val="0"/>
              <w:jc w:val="both"/>
              <w:textAlignment w:val="top"/>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23、包含运输、装卸、搬运、布线穿管、设备安装、系统调试、使用培训等综合费用。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EC36C94">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22184.77</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A5DA211">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44369.54</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6563A36A">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7D786F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0E840C2C">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B830D98">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2280C0DA">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空调控制器</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6F92FDFA">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个</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3BEE6E1E">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16BB9E88">
            <w:pPr>
              <w:keepNext w:val="0"/>
              <w:keepLines w:val="0"/>
              <w:widowControl/>
              <w:numPr>
                <w:ilvl w:val="0"/>
                <w:numId w:val="10"/>
              </w:numPr>
              <w:suppressLineNumbers w:val="0"/>
              <w:jc w:val="both"/>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设备尺寸（长*宽*高）： ≥280mm*165mm*65mm;</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2、设备供电：AC220V/50Hz;</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3、功率（w）：≤5；</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4、全金属外壳，快速安装挂板；</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5、支持≥8项自定义控制功能，兼容≥99%空调红外指令；</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6、内置红外发射头，支持360°旋转，遥控距离：≥10米；</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7、按键负荷寿命：≥30万次；</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8、功能指示灯：≥8个红绿双色指示灯；</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9、通信方式：支持RS485、RJ45、无线接口；</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10、通讯协议：支持标准Modbus RTU、ModbusTCP协议；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11、▲空调控制器需符合国标GB/T2423.2-2008、GB/T2423.1-2008高、低温环境试验要求，在-25℃—60℃保持2小时或以上，再恢复到常温，通电正常开机显示；设备需符合GB/T17626.5-2019浪涌（冲击）试验，间隔60s施加±0.5KV电压冲击10次,正常工作。提供第三方检测机构出具的检测（验）报告</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佐证</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p>
          <w:p w14:paraId="51181C5D">
            <w:pPr>
              <w:keepNext w:val="0"/>
              <w:keepLines w:val="0"/>
              <w:widowControl/>
              <w:numPr>
                <w:ilvl w:val="0"/>
                <w:numId w:val="0"/>
              </w:numPr>
              <w:suppressLineNumbers w:val="0"/>
              <w:jc w:val="both"/>
              <w:textAlignment w:val="top"/>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12、包含运输、装卸、搬运、布线穿管、设备安装、系统调试、使用培训等综合费用。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46F5710">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2025.22</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EC36B8B">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4050.44</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09E3BCF1">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4A1A50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7F34ED1B">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B781856">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0EA52813">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档案库房十防监控系统环境温湿度监控管理软件</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5A6FE057">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套</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1AB149D1">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57987541">
            <w:pPr>
              <w:keepNext w:val="0"/>
              <w:keepLines w:val="0"/>
              <w:widowControl/>
              <w:suppressLineNumbers w:val="0"/>
              <w:jc w:val="both"/>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1.实时监测档案库房内温度、湿度、PM2.5、PM10、甲醛、TOVC、C02值，实时监测恒湿净化一体机、空调的工作状态及运行参数，提供实时查询，历史曲线，数据保存等，接入档案库房十防监控系统。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2.当库房温度不达标时，可联动控制中央空调/商用空调进行制冷/制热，使档案库房内温度常年保持在14-24°。</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3.当库房湿度不达标时，可联动控制恒湿净化一体机进行加湿或除湿。使档案库房内温度常年保持在45%-60%。</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F82DAC2">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3096.69</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5628CD2">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3096.69</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1408D34B">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099A68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2BEFB9DD">
            <w:pPr>
              <w:jc w:val="center"/>
              <w:rPr>
                <w:rFonts w:hint="eastAsia" w:ascii="宋体" w:hAnsi="宋体" w:eastAsia="宋体" w:cs="宋体"/>
                <w:color w:val="000000" w:themeColor="text1"/>
                <w:highlight w:val="none"/>
                <w14:textFill>
                  <w14:solidFill>
                    <w14:schemeClr w14:val="tx1"/>
                  </w14:solidFill>
                </w14:textFill>
              </w:rPr>
            </w:pPr>
          </w:p>
        </w:tc>
        <w:tc>
          <w:tcPr>
            <w:tcW w:w="9129" w:type="dxa"/>
            <w:gridSpan w:val="11"/>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4F45DFD">
            <w:pPr>
              <w:jc w:val="both"/>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t>五、电子巡查系统</w:t>
            </w:r>
          </w:p>
        </w:tc>
        <w:tc>
          <w:tcPr>
            <w:tcW w:w="73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F22C299">
            <w:pPr>
              <w:jc w:val="both"/>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pPr>
          </w:p>
        </w:tc>
      </w:tr>
      <w:tr w14:paraId="504106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70930875">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EDC684B">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74B3DB4A">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中文照明巡查机</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40274862">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台</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62AD55CE">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7F1A5617">
            <w:pPr>
              <w:keepNext w:val="0"/>
              <w:keepLines w:val="0"/>
              <w:widowControl/>
              <w:numPr>
                <w:ilvl w:val="0"/>
                <w:numId w:val="11"/>
              </w:numPr>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全自动EM卡感应读卡技术，无须按键</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2、金属外壳，内胆软硅胶包裹,超强防水防尘设计，防护等级达到IP67</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3、内置锂电池，可用通讯线直接充电，通讯充电二合一</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4、可支持简体、繁体、英文等多种语言</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5、≥32000条抗摔记录，准确查询故意摔砸机器</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6、≥80000条巡检数据大容量存储，无需频繁下载清空设备中的数据</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7、触点USB线通讯，真正高速免驱，数据传输速度达320条/s</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8、安全性：掉电后数据可保存≥30年</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9、机器尺寸/重量：≥130*40*25mm/170g</w:t>
            </w:r>
          </w:p>
          <w:p w14:paraId="77D90239">
            <w:pPr>
              <w:keepNext w:val="0"/>
              <w:keepLines w:val="0"/>
              <w:widowControl/>
              <w:numPr>
                <w:ilvl w:val="0"/>
                <w:numId w:val="0"/>
              </w:numPr>
              <w:suppressLineNumbers w:val="0"/>
              <w:jc w:val="both"/>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10、包含运输、装卸、搬运、布线穿管、设备安装、系统调试、使用培训等综合费用。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CF51EFC">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636.56</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3F0B0A4">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1273.12</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1B575AB8">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06C66A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35965879">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73FAF67">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67B64EEE">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巡查点</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5E876E5B">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个</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576A58B7">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12</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0F5667D6">
            <w:pPr>
              <w:keepNext w:val="0"/>
              <w:keepLines w:val="0"/>
              <w:widowControl/>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 工作频率：125kHz</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 外壳结构：工程塑胶外壳，美观精致，超强抗摔、耐磨</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 颜色：黑色&amp;蓝色&amp;银色</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 特点：表面由蓄光型夜光材料制成，可在黑暗中自动发光，并可无限次数循环使用</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5. 尺寸：≥70*70*10MM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6. 环境温度：-40℃~85℃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7. 使用年限 ：≥20年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8. 重量： ≥33g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9. 读卡次数： ≥35万</w:t>
            </w:r>
          </w:p>
          <w:p w14:paraId="5C5B54CC">
            <w:pPr>
              <w:keepNext w:val="0"/>
              <w:keepLines w:val="0"/>
              <w:widowControl/>
              <w:suppressLineNumbers w:val="0"/>
              <w:jc w:val="both"/>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10.包含运输、装卸、搬运、布线穿管、设备安装、系统调试、使用培训等综合费用。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E26FD44">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95.11</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2A8B6F6">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1141.32</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6B85C8AF">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68E8A1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343476EE">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F863348">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72C47F0B">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身份卡</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30FA31BF">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个</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135299CE">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76876280">
            <w:pPr>
              <w:keepNext w:val="0"/>
              <w:keepLines w:val="0"/>
              <w:widowControl/>
              <w:suppressLineNumbers w:val="0"/>
              <w:jc w:val="both"/>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1、非接触式卡</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2、可在雨、雪、冰、尘、等恶劣条件下可靠使用</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3、无源卡，使用时间超过20年</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4、人员卡为特制高灵敏度卡,在保证制卡距离的同时,减少巡检主机电源功耗</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7BA09A1">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57.77</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7DBFD91">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115.54</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16131BB4">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64C329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3C67F696">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864B54E">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05DC1672">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巡查系统软件</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24BD90B7">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套</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7EE9AFF0">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0B04B872">
            <w:pPr>
              <w:keepNext w:val="0"/>
              <w:keepLines w:val="0"/>
              <w:widowControl/>
              <w:suppressLineNumbers w:val="0"/>
              <w:jc w:val="both"/>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、巡检数据自动生成图表，形象、直观：系统可以将回传的信息自动进行分析处理，并生成图形报表，详细显示应检、实检、合格、漏检等信息，巡检结果一目了然。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、多用户权限管理：软件可以设置不同的管理身份，开放不同的权限，既能保证工作的质量和效率，又能保障巡检数据的安全性。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人性化巡检计划设置：巡检计划周期可选择按每天、每周、每月及每N天，在每个周期内可自定义巡检起止时间，设置复杂多变的巡检计划，且一条巡检线路下可执行多个巡检计划。另外，软件还可以修改、新增过去时间段的巡检计划，便于管理者的可逆向操作性。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4</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双重数据备份机制：系统配置手动、自动双模式数据备份策略，可规避文件误删除、目录损坏等风险，完整留存全周期巡检原始数据，保障库房巡检业务数据存储安全、可追溯。</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、巡检报表邮件推送：</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系统支持按设定周期自动生产标准化巡检报表，通过邮件接口推送至指定管理邮箱，便于管理人员远程查阅、归档巡检记录。</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8771015">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3136.20</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ABA9B3C">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3136.20</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4ED54846">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6F7702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48E8F2C5">
            <w:pPr>
              <w:jc w:val="center"/>
              <w:rPr>
                <w:rFonts w:hint="eastAsia" w:ascii="宋体" w:hAnsi="宋体" w:eastAsia="宋体" w:cs="宋体"/>
                <w:color w:val="000000" w:themeColor="text1"/>
                <w:highlight w:val="none"/>
                <w14:textFill>
                  <w14:solidFill>
                    <w14:schemeClr w14:val="tx1"/>
                  </w14:solidFill>
                </w14:textFill>
              </w:rPr>
            </w:pPr>
          </w:p>
        </w:tc>
        <w:tc>
          <w:tcPr>
            <w:tcW w:w="9129" w:type="dxa"/>
            <w:gridSpan w:val="11"/>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CEBA0FA">
            <w:pPr>
              <w:jc w:val="both"/>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t>六、十防监控系统</w:t>
            </w:r>
          </w:p>
        </w:tc>
        <w:tc>
          <w:tcPr>
            <w:tcW w:w="73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661DD5B">
            <w:pPr>
              <w:jc w:val="both"/>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pPr>
          </w:p>
        </w:tc>
      </w:tr>
      <w:tr w14:paraId="14DE21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333E1795">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F727DE7">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60571453">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十防区域控制器</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0F2C1DDC">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台</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10C71176">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72025301">
            <w:pPr>
              <w:keepNext w:val="0"/>
              <w:keepLines w:val="0"/>
              <w:widowControl/>
              <w:suppressLineNumbers w:val="0"/>
              <w:jc w:val="both"/>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1、设备尺寸（长*宽*高）：≥600mm*460mm*100mm;</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2、设备供电：AC220V/50Hz；；</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3、最大功率（W）：≤30；</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采用≥21英寸高清全彩电容触摸屏，分辨率≥1920*1080，帧频60Hz；实时显示档案库房温度、湿度、粉尘、有害气体等空气质量数值，实时监测火灾、漏水、红外告警、有害生物等状态信息，实时监控空调、恒湿净化一体机、除酸净化一体机、新风净化机、霉菌净化机、智能电源安全管理器等智能档案保护设备的工作和运行状态（以上监测内容需要根据项目建设清单为准），实现对库房的集中监测和管理；</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5、采用Linux嵌入式系统；内嵌WEB采用HTML5技术，远程浏览无需安装插件、跨平台浏览自动适应；支持WEB端远程配置设备参数、告警阈值；</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6、CPU：主频≥2.0GHz，≥4核；</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7、内存(RAM)：≥8GB，硬盘(ROM)：≥256GB；</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8、接口：≥10路千兆RJ45接口，≥2路RS-232串口，≥6路USB接口，≥2路DC12V电源输出接口，支持MSATA3.0硬盘扩展；</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9、通用驱动板:全部元器件应符合国家工业和信息化部定义的研制单位分类要求，电子元器件唯一化规格数≥99%；</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10、支持本地语音告警功能；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11、支持Modbus-TCP、http等多种接口协议，支持标准南北向接口功能，北向支持上一级平台数据转发和同步，南向支持十防智能设备的数据交互；</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12、支持智能断电保护功能：内置延时保护模块，当设备监测到异常断电时，自动启动智能保护程序，保障系统安全退出，避免数据丢失和系统受损；</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13、支持智能来电自启功能：设备监测到电源恢复正常后，自动启动开机运行程序，系统自动恢复至断电前状态；</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14、配备8个微动按键，通过微动按键可实现多种动作的快捷操作功能：支持一键锁屏功能，可快速锁定或唤醒屏幕；支持一键消音功能，可快速消除告警提示音；支持一键清理功能，可快速清理浏览器缓存；支持一键还原功能，可将系统快速初始化；支持一键开启最高权限账户功能；支持一键关机功能；支持一键重启功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15、通过前面板的2路USB接口，支持历史数据、运行日志导出；支持外接键盘鼠标功能；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16、安装方式：壁挂式安装，标配快速安装挂板，配置前开门机械锁，内置理线槽及散热风扇；</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17、▲区域控制器需符合国标GB/T2423.2-2008、GB/T2423.1-2008高、低温环境试验要求，在-25℃—60℃保持2小时或以上，再恢复到常温，开机工作正常；设备需符合GB/T17626.5-2019浪涌（冲击）试验，间隔60s施加±0.5KV电压冲击40次,正常工作。</w:t>
            </w:r>
          </w:p>
          <w:p w14:paraId="3FE6311F">
            <w:pPr>
              <w:keepNext w:val="0"/>
              <w:keepLines w:val="0"/>
              <w:widowControl/>
              <w:suppressLineNumbers w:val="0"/>
              <w:jc w:val="both"/>
              <w:textAlignment w:val="top"/>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▲18、</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系统联动协同与兼容性测试要求</w:t>
            </w:r>
          </w:p>
          <w:p w14:paraId="3ADF477D">
            <w:pPr>
              <w:keepNext w:val="0"/>
              <w:keepLines w:val="0"/>
              <w:widowControl/>
              <w:suppressLineNumbers w:val="0"/>
              <w:jc w:val="both"/>
              <w:textAlignment w:val="top"/>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十防区域控制器开放标准化通讯接口，与智慧档案可视化平台完成十防监测、异常告警全量数据双向联动，允许跨品牌搭配设备；</w:t>
            </w:r>
            <w:r>
              <w:rPr>
                <w:rFonts w:hint="eastAsia" w:ascii="宋体" w:hAnsi="宋体" w:cs="宋体"/>
                <w:color w:val="000000" w:themeColor="text1"/>
                <w:highlight w:val="none"/>
                <w:lang w:val="en-US" w:eastAsia="zh-CN"/>
                <w14:textFill>
                  <w14:solidFill>
                    <w14:schemeClr w14:val="tx1"/>
                  </w14:solidFill>
                </w14:textFill>
              </w:rPr>
              <w:t>成交供应商</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全权负责软硬件对接、联调整改，进场施工前完成全套兼容性测试并出具合格报告，</w:t>
            </w:r>
            <w:r>
              <w:rPr>
                <w:rFonts w:hint="eastAsia" w:ascii="宋体" w:hAnsi="宋体" w:cs="宋体"/>
                <w:color w:val="000000" w:themeColor="text1"/>
                <w:highlight w:val="none"/>
                <w:lang w:val="en-US" w:eastAsia="zh-CN"/>
                <w14:textFill>
                  <w14:solidFill>
                    <w14:schemeClr w14:val="tx1"/>
                  </w14:solidFill>
                </w14:textFill>
              </w:rPr>
              <w:t>成交供应商</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承担全部联调、质保整改责任，投标阶段同步提交联动测试实施方案。</w:t>
            </w:r>
          </w:p>
          <w:p w14:paraId="78651144">
            <w:pPr>
              <w:keepNext w:val="0"/>
              <w:keepLines w:val="0"/>
              <w:widowControl/>
              <w:suppressLineNumbers w:val="0"/>
              <w:jc w:val="both"/>
              <w:textAlignment w:val="top"/>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19、包含运输、装卸、搬运、布线穿管、设备安装、系统调试、使用培训等综合费用。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C6430B1">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16439.66</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69238E7">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16439.66</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480271B8">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12C24C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71073219">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8DBD98D">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1DF623D0">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数据采集网关</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4A850058">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台</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642FE079">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6B332CCA">
            <w:pPr>
              <w:keepNext w:val="0"/>
              <w:keepLines w:val="0"/>
              <w:widowControl/>
              <w:numPr>
                <w:ilvl w:val="0"/>
                <w:numId w:val="12"/>
              </w:numPr>
              <w:suppressLineNumbers w:val="0"/>
              <w:jc w:val="both"/>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外形尺寸（宽*高*深）：≥222.0mm * 110.3mm * 40.0mm;</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2、设备供电：DC12V；</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3、最大功率（W）：≤36；</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4、设备重量：≥0.67kg；</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5、工作环境：-20℃～+85℃；10%RH～90%RH（无凝露）；</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6、浪涌防护：浪涌防护能力≥5kV（8/20μs）；</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7、光电隔离：采用工业级光电隔离设计，隔离耐压≥5kV，有效提升设备抗干扰能力及运行稳定性。</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8、安装方式：支持嵌入式安装及壁挂式安装；</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9、处理器：采用工业级32位嵌入式处理器；</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10、接口配置：≥20路DI输入接口，≥8路DO继电器输出接口，≥8路RS485数据采集接口，≥2路RS232接口，≥4路RJ45网络接口，≥1路电源输入接口；</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11、指示功能：配备≥1个电源指示灯、≥1个运行状态指示灯、≥16个RS485通信状态指示灯、≥20个DI状态指示灯及≥8个DO状态指示灯，可实时显示设备运行状态及通信状态，便于设备运行监测及故障诊断。</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12、支持20路DI数据采集，可实时采集各类干接点报警信号，并支持状态实时上传及报警联动。</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13、支持8路DO继电器控制输出，可根据平台策略或联动规则自动控制声光报警器等其他受控设备。</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14、支持8路RS485智能设备数据采集，可接入温湿度传感器、精密空调、UPS、发电机、新风机、光照探测器等智能设备，实现统一数据采集及集中管理；</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15、支持RS485通信参数在线配置，包括波特率、协议选择等，无需更换硬件即可适配不同设备。</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16、支持多设备并发采集，采集数据实时上传至管理平台，并支持设备运行状态实时监测。</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17、内置智能设备通信协议≥40种，支持设备快速接入，减少现场调试工作量，提高系统部署效率；</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18、最大支持10路红外探测器一键布撤防，支持定时、手动布撤防功能；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19、支持数据实时获取，可实时查看设备通信数据及运行状态，便于现场调试、故障定位及运维管理。</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20、支持标准Modbus RTU、Modbus TCP通信协议，支持与档案库房十防综合管理平台无缝对接，实现设备集中管理、统一监控及远程维护。</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21、数据采集网关需符合国标GB/T2423.2-2008、GB/T2423.1-2008高、低温环境试验要求，在-25℃—60℃保持2小时或以上，再恢复到常温，开机工作正常；设备需符合GB/T17626.5-2019浪涌（冲击）试验，间隔60s施加±0.5KV电压冲击40次,正常工作。</w:t>
            </w:r>
          </w:p>
          <w:p w14:paraId="2A9F2519">
            <w:pPr>
              <w:keepNext w:val="0"/>
              <w:keepLines w:val="0"/>
              <w:widowControl/>
              <w:numPr>
                <w:ilvl w:val="0"/>
                <w:numId w:val="0"/>
              </w:numPr>
              <w:suppressLineNumbers w:val="0"/>
              <w:jc w:val="both"/>
              <w:textAlignment w:val="top"/>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22、包含运输、装卸、搬运、布线穿管、设备安装、系统调试、使用培训等综合费用。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B7AACDA">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2649.83</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A6A9D95">
            <w:pPr>
              <w:jc w:val="center"/>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2649.83</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77A38B2B">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4F5016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3ABB8EC7">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ED8F960">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496C40CF">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声光报警器</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717C6DB5">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个</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42689191">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1DA0ED78">
            <w:pPr>
              <w:keepNext w:val="0"/>
              <w:keepLines w:val="0"/>
              <w:widowControl/>
              <w:suppressLineNumbers w:val="0"/>
              <w:jc w:val="both"/>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1.工作电压：DC12V</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2.警号分贝：120db</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1EEB7E8">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127</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DBF965F">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127</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22E2A9D8">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5E9600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32D3D1E1">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6598CB3">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7D5C1165">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交换机</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4B126D96">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台</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5AC2D971">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49B4EC56">
            <w:pPr>
              <w:keepNext w:val="0"/>
              <w:keepLines w:val="0"/>
              <w:widowControl/>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1、16口百兆交换机，支持最大传输距离100米。</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2、供电电源：AC100-240V。</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3、工作温度0-40℃，功耗≤2.2W。</w:t>
            </w:r>
          </w:p>
          <w:p w14:paraId="118C91ED">
            <w:pPr>
              <w:keepNext w:val="0"/>
              <w:keepLines w:val="0"/>
              <w:widowControl/>
              <w:suppressLineNumbers w:val="0"/>
              <w:jc w:val="both"/>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4、包含运输、装卸、搬运、布线穿管、设备安装、系统调试、使用培训等综合费用。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44AD237">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924.08</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F7FB806">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924.08</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3C7A45A1">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23FFE3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327307C9">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877399F">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738F931D">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档案库房十防监控系统</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10B5EF57">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套</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1275F841">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039E892B">
            <w:pPr>
              <w:keepNext w:val="0"/>
              <w:keepLines w:val="0"/>
              <w:widowControl/>
              <w:numPr>
                <w:ilvl w:val="0"/>
                <w:numId w:val="0"/>
              </w:numPr>
              <w:suppressLineNumbers w:val="0"/>
              <w:jc w:val="both"/>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软件采用B/S架构模式，纯嵌入式软件开发，针对档案库房环境进行集中的监测、管理与控制，系统涵盖库房“十防”：“防温度超限、防湿度超限、防有害气体、防粉尘、防霉虫、防水、防火、防鼠、防盗、防强光直射”。</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2.软件主界面支持≥6个数据展示窗口，并支持窗口在线编辑、设备数量增减功能，可根据需求，自主构建监控首页面，选择需要在首页展示的设备及数据；</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3.软件主界面支持3D地图展示功能，可根据实际环境导入实景3D模型，并在库房实景模型上显示检测点位实时数据、报警信息。</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4.软件系统支持设备详细数据展示、数据报警权限设置、数据报警功能开启以及数据名称编辑等功能。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5.软件系统支持设备数据曲线记录功能，可编辑设备单项数据的记录特性，记录数据的实时曲线，最大支持10000条数据的存储功能。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6.软件系统支持报警信息发送功能，自动识别4G短信报警模块，并通过设置的报警联系人信息，发送报警信息。</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7.软件系统支持不少于20个报警联系人的信息存储功能，支持报警信息记录、查询功能，报警信息记录数量不少于10000条。</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8.软件系统界面支持一键换肤功能，可根据需求切换不少于7种界面风格，适用不同的应用环境。</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9.软件系统具备数据备份导入导出功能，可实现一键备份/还原系统信息。</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10.软件系统具备WAN\LAN网口的IP地址配置功能，可根据不同的使用场景自主设置IP地址，任意配置。</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11.软件系统支持系统名称修改功能，可方便修改系统所属应用单位名称。</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12.软件系统支持服务信息编辑功能，方便编写售后服务电话等信息。</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13.软件系统支持不少于20个帐号功能，可设置、管理帐号权限，做到分级分层访问数据。</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14.▲</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供货</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时提供软件测试报告复印件加盖公章。</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15.</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C4A267B">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3047.91</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58CC938">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3047.91</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289134FE">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23F854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79ED32A7">
            <w:pPr>
              <w:jc w:val="center"/>
              <w:rPr>
                <w:rFonts w:hint="eastAsia" w:ascii="宋体" w:hAnsi="宋体" w:eastAsia="宋体" w:cs="宋体"/>
                <w:color w:val="000000" w:themeColor="text1"/>
                <w:highlight w:val="none"/>
                <w14:textFill>
                  <w14:solidFill>
                    <w14:schemeClr w14:val="tx1"/>
                  </w14:solidFill>
                </w14:textFill>
              </w:rPr>
            </w:pPr>
          </w:p>
        </w:tc>
        <w:tc>
          <w:tcPr>
            <w:tcW w:w="9129" w:type="dxa"/>
            <w:gridSpan w:val="11"/>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C5E73D5">
            <w:pPr>
              <w:jc w:val="both"/>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t>七、漏水驱鼠监测系统</w:t>
            </w:r>
          </w:p>
        </w:tc>
        <w:tc>
          <w:tcPr>
            <w:tcW w:w="73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5E85561">
            <w:pPr>
              <w:jc w:val="both"/>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pPr>
          </w:p>
        </w:tc>
      </w:tr>
      <w:tr w14:paraId="6BF920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23CF395E">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3678901">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214A8217">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漏水驱鼠云测仪</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24F60279">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台</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5411683D">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2C3E3809">
            <w:pPr>
              <w:keepNext w:val="0"/>
              <w:keepLines w:val="0"/>
              <w:widowControl/>
              <w:suppressLineNumbers w:val="0"/>
              <w:jc w:val="both"/>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1、设备尺寸（长*宽*高）： ≥400mm*240mm*100mm;</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2、设备供电：AC220V/50Hz；</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3、最大功率（W）：≤8；</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4、采用≥4.8英寸全彩电容触摸屏，实时显示漏水报警信息、驱鼠声波频率、幅度、声音变化电平等信息；</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5、漏水检测功能：支持≥2路漏水检测线接入，具备声光报警功能；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6、驱鼠（虫）功能：采用≥4路90dB、频率：15KHz-60KHz的高强度超声波发生器；</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7、工作模式：具备手动、自动、定时、远程控制共四种工作模式，支持通过模式切换自动调节驱鼠声波频率范围、声波强度、变化规律、工作周期等参数；</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8、通信方式：支持RS485、RJ45、无线接口；</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9、通讯协议：支持标准Modbus RTU、ModbusTCP协议；</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10、</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设备</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需符合国标GB/T2423.2-2008、GB/T2423.1-2008高、低温环境试验要求，在-25℃—60℃保持2小时或以上，再恢复到常温，开机工作正常；设备需符合GB/T17626.5-2019浪涌（冲击）试验，间隔60s施加±0.5KV电压冲击10次,正常工作。</w:t>
            </w:r>
          </w:p>
          <w:p w14:paraId="4A7E4522">
            <w:pPr>
              <w:keepNext w:val="0"/>
              <w:keepLines w:val="0"/>
              <w:widowControl/>
              <w:suppressLineNumbers w:val="0"/>
              <w:jc w:val="both"/>
              <w:textAlignment w:val="top"/>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▲11、</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系统联动协同与兼容性测试要求</w:t>
            </w:r>
          </w:p>
          <w:p w14:paraId="50F320ED">
            <w:pPr>
              <w:keepNext w:val="0"/>
              <w:keepLines w:val="0"/>
              <w:widowControl/>
              <w:suppressLineNumbers w:val="0"/>
              <w:jc w:val="both"/>
              <w:textAlignment w:val="top"/>
              <w:rPr>
                <w:rFonts w:hint="default" w:ascii="宋体" w:hAnsi="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漏水驱鼠云测仪开放标准化通讯接口，与智慧档案可视化平台完成漏水、驱鼠运行及告警全量数据双向联动，允许跨品牌搭配设备；</w:t>
            </w:r>
            <w:r>
              <w:rPr>
                <w:rFonts w:hint="eastAsia" w:ascii="宋体" w:hAnsi="宋体" w:cs="宋体"/>
                <w:color w:val="000000" w:themeColor="text1"/>
                <w:highlight w:val="none"/>
                <w:lang w:val="en-US" w:eastAsia="zh-CN"/>
                <w14:textFill>
                  <w14:solidFill>
                    <w14:schemeClr w14:val="tx1"/>
                  </w14:solidFill>
                </w14:textFill>
              </w:rPr>
              <w:t>成交供应商</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全权负责软硬件对接、联调整改，进场施工完成全套兼容性测试并出具合格报告，</w:t>
            </w:r>
            <w:r>
              <w:rPr>
                <w:rFonts w:hint="eastAsia" w:ascii="宋体" w:hAnsi="宋体" w:cs="宋体"/>
                <w:color w:val="000000" w:themeColor="text1"/>
                <w:highlight w:val="none"/>
                <w:lang w:val="en-US" w:eastAsia="zh-CN"/>
                <w14:textFill>
                  <w14:solidFill>
                    <w14:schemeClr w14:val="tx1"/>
                  </w14:solidFill>
                </w14:textFill>
              </w:rPr>
              <w:t>成交供应商</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承担全部联调、质保整改责任，投标阶段同步提交联动测试实施方案。</w:t>
            </w:r>
          </w:p>
          <w:p w14:paraId="4884BC63">
            <w:pPr>
              <w:keepNext w:val="0"/>
              <w:keepLines w:val="0"/>
              <w:widowControl/>
              <w:suppressLineNumbers w:val="0"/>
              <w:jc w:val="both"/>
              <w:textAlignment w:val="top"/>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CF74D33">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2640.74</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2BE8317">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5281.48</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3AA63616">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2E158E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794F60EC">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BEB064F">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635650BE">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热插拔物联网卡</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48A4819C">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张</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6FD443C8">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77BC808A">
            <w:pPr>
              <w:keepNext w:val="0"/>
              <w:keepLines w:val="0"/>
              <w:widowControl/>
              <w:numPr>
                <w:ilvl w:val="0"/>
                <w:numId w:val="13"/>
              </w:numPr>
              <w:suppressLineNumbers w:val="0"/>
              <w:jc w:val="both"/>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设备尺寸（长*宽*高）：≥80mm*60mm*20mm;</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2、设备供电：DC5V;</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3、安装方式：防呆插拔式；</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4、集接口转换、通信协议转换和通信协议处理于一体；</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5、隔离方式：光电隔离；</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6、浪涌防护：5KA（8/20uS）；</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7、接口：≥1路8P卡槽，≥1路RJ45网口，≥1路Type-C接口；</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8、通讯协议：支持标准ModbusTCP协议；</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9、热插拔物联网卡需符合国标GB/T2423.2-2008、GB/T2423.1-2008高、低温环境试验要求，在-15℃—40℃保持2小时或以上，再恢复到常温，通电正常开机显示；设备需符合GB/T17626.5-2019浪涌（冲击）试验，间隔60s施加±0.5KV电压冲击5次,正常工作。</w:t>
            </w:r>
          </w:p>
          <w:p w14:paraId="52A86279">
            <w:pPr>
              <w:keepNext w:val="0"/>
              <w:keepLines w:val="0"/>
              <w:widowControl/>
              <w:numPr>
                <w:ilvl w:val="0"/>
                <w:numId w:val="0"/>
              </w:numPr>
              <w:suppressLineNumbers w:val="0"/>
              <w:jc w:val="both"/>
              <w:textAlignment w:val="top"/>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10、包含运输、装卸、搬运、布线穿管、设备安装、系统调试、使用培训等综合费用。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A5BB78F">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850.20</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273C4A4">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1700.40</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47069B36">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257ED4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38E2ACC7">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03C918A">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7B93D89F">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漏水检测线</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0244AB00">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条</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76380180">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179299A9">
            <w:pPr>
              <w:keepNext w:val="0"/>
              <w:keepLines w:val="0"/>
              <w:widowControl/>
              <w:suppressLineNumbers w:val="0"/>
              <w:jc w:val="both"/>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1、线缆直径：≥5.0mm</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2、监测导线外阻：≥20Ω/100m</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3、长度：≥5米</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28EBDB7">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317.17</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A9248C7">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1903.02</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4BD23E2D">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7C4742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6AC7C276">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967328A">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3C050146">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轻型防水堰</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6F66DE50">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根</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6190D011">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56BE3B50">
            <w:pPr>
              <w:keepNext w:val="0"/>
              <w:keepLines w:val="0"/>
              <w:widowControl/>
              <w:suppressLineNumbers w:val="0"/>
              <w:jc w:val="both"/>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1、阻燃型PVC材料，坚固、美观；</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2、安装高度≥1.5cm，漏水初期可防止溢出，确保检测绳能准确检测到漏水信息；</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3、弧面凹槽设计，将检测绳隐藏于防水堰内，避免误报警；</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4、围绕设备和管道敷设，作为设备的定位标记</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14C3CF9">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95.92</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210D2F5">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959.20</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1DD2FD39">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3CB6A7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76914B7F">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A188A54">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61ADA78F">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档案库房十防监控系统漏水监测软件</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5AD32180">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套</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2E9BAB32">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5F58042E">
            <w:pPr>
              <w:keepNext w:val="0"/>
              <w:keepLines w:val="0"/>
              <w:widowControl/>
              <w:suppressLineNumbers w:val="0"/>
              <w:jc w:val="both"/>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1、实时监测恒湿机、移动扩容水箱及窗户周围有无漏水隐患。实时监测有害生物驱控主机工作状态及运行参数，通过设定不同频率对虫鼠进行驱赶，并统一接入十防监控系统。</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B6563C0">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3047.91</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0359CCB">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3047.91</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66144BC7">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544CF1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1" w:hRule="atLeast"/>
        </w:trPr>
        <w:tc>
          <w:tcPr>
            <w:tcW w:w="420" w:type="dxa"/>
            <w:vMerge w:val="continue"/>
            <w:tcBorders>
              <w:left w:val="single" w:color="auto" w:sz="4" w:space="0"/>
              <w:right w:val="single" w:color="auto" w:sz="4" w:space="0"/>
            </w:tcBorders>
            <w:noWrap w:val="0"/>
            <w:vAlign w:val="top"/>
          </w:tcPr>
          <w:p w14:paraId="4797CF80">
            <w:pPr>
              <w:jc w:val="center"/>
              <w:rPr>
                <w:rFonts w:hint="eastAsia" w:ascii="宋体" w:hAnsi="宋体" w:eastAsia="宋体" w:cs="宋体"/>
                <w:color w:val="000000" w:themeColor="text1"/>
                <w:highlight w:val="none"/>
                <w14:textFill>
                  <w14:solidFill>
                    <w14:schemeClr w14:val="tx1"/>
                  </w14:solidFill>
                </w14:textFill>
              </w:rPr>
            </w:pPr>
          </w:p>
        </w:tc>
        <w:tc>
          <w:tcPr>
            <w:tcW w:w="9129" w:type="dxa"/>
            <w:gridSpan w:val="11"/>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0602FD2">
            <w:pPr>
              <w:jc w:val="both"/>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t>八、消防灭火系统</w:t>
            </w:r>
          </w:p>
        </w:tc>
        <w:tc>
          <w:tcPr>
            <w:tcW w:w="73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4841A99">
            <w:pPr>
              <w:jc w:val="both"/>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pPr>
          </w:p>
        </w:tc>
      </w:tr>
      <w:tr w14:paraId="25F104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3CBA49CC">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B2A7587">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59C2400A">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气体灭火控制器</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1DC8EA93">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台</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01A3754D">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0E2C1223">
            <w:pPr>
              <w:keepNext w:val="0"/>
              <w:keepLines w:val="0"/>
              <w:widowControl/>
              <w:numPr>
                <w:ilvl w:val="0"/>
                <w:numId w:val="14"/>
              </w:numPr>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使用环境温度：0℃～40℃；相对湿度：≤95 ( 40℃) ；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（2）交流输入电压：220V, 50Hz±1%；</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（3）交流输入功率：≤100W；</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（4）直流备电：DC24V/5.0Ah,全密封免维护蓄电池；</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（5）容量：2区；回路容量≤160点；</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（6）DC24V电源最大输出电流：2A（瞬态输出可达3A）。</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（7）总线长度：≤1500米</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（8）控制器采用≥4.3英寸彩色液晶屏（LCD），显示分辨率480×272；                                               （9）提供拼音中文输入法和T9拼音输入法，实现自由中文输入、轻松输入汉字；</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（10）使用智能存储U盘，可复制或恢复系统的设置文件和历史文件，方便系统维护；</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（11）采用无极性二总线智能报警联动模式，对回路中连接的终端设备可进行手动编码，地址为1-324#任选；</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（12）支持多台控制器联网，可选择CAN联网或以太网联网；（13）系统可区分故障、火警、放气延时、放气中四种状态；</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（14）系统设有启动或停止按钮，保证在紧急情况或设备现场维护时，系统的工作完全受控；</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（15）系统区控单元可设置系统的工作状态为手动/自动，手动状态优先。</w:t>
            </w:r>
          </w:p>
          <w:p w14:paraId="0FE1E484">
            <w:pPr>
              <w:keepNext w:val="0"/>
              <w:keepLines w:val="0"/>
              <w:widowControl/>
              <w:numPr>
                <w:ilvl w:val="0"/>
                <w:numId w:val="0"/>
              </w:numPr>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（16）包含运输、装卸、搬运、布线穿管、设备安装、系统调试、使用培训等综合费用。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4814306">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6075.95</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1F66C10">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6075.95</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5FB95B1A">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663BDE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20" w:type="dxa"/>
            <w:vMerge w:val="continue"/>
            <w:tcBorders>
              <w:left w:val="single" w:color="auto" w:sz="4" w:space="0"/>
              <w:right w:val="single" w:color="auto" w:sz="4" w:space="0"/>
            </w:tcBorders>
            <w:noWrap w:val="0"/>
            <w:vAlign w:val="top"/>
          </w:tcPr>
          <w:p w14:paraId="35918660">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EC996D1">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07940308">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柜式七氟丙烷气体灭火装置</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074C44A0">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套</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5A559577">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53857CF8">
            <w:pPr>
              <w:keepNext w:val="0"/>
              <w:keepLines w:val="0"/>
              <w:widowControl/>
              <w:numPr>
                <w:ilvl w:val="0"/>
                <w:numId w:val="15"/>
              </w:numPr>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≥120L 柜式，含箱体、压力信号器、高压软管、喷嘴、检测压力表，充装七氟丙烷灭火药剂。</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2、充装压力（20℃时）：≥2.5Mpa。</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3、电磁阀工作电压：≥DC24V。</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4、启动电流：1～1.5A。</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5、喷射时间：≤10S。</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6、使用环境：温度：0℃～50℃。</w:t>
            </w:r>
          </w:p>
          <w:p w14:paraId="24DB9610">
            <w:pPr>
              <w:keepNext w:val="0"/>
              <w:keepLines w:val="0"/>
              <w:widowControl/>
              <w:numPr>
                <w:ilvl w:val="0"/>
                <w:numId w:val="16"/>
              </w:numPr>
              <w:suppressLineNumbers w:val="0"/>
              <w:jc w:val="both"/>
              <w:textAlignment w:val="cente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含七氟丙烷灭火药剂</w:t>
            </w:r>
          </w:p>
          <w:p w14:paraId="002F06DB">
            <w:pPr>
              <w:keepNext w:val="0"/>
              <w:keepLines w:val="0"/>
              <w:widowControl/>
              <w:numPr>
                <w:ilvl w:val="0"/>
                <w:numId w:val="16"/>
              </w:numPr>
              <w:suppressLineNumbers w:val="0"/>
              <w:jc w:val="both"/>
              <w:textAlignment w:val="center"/>
              <w:rPr>
                <w:rFonts w:hint="default" w:ascii="宋体" w:hAnsi="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D7404FF">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19219.01</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CBA60BE">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38438.02</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7BB9FBC9">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4909C6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2746DAD1">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0" w:type="dxa"/>
              <w:bottom w:w="0" w:type="dxa"/>
              <w:right w:w="0" w:type="dxa"/>
            </w:tcMar>
            <w:vAlign w:val="center"/>
          </w:tcPr>
          <w:p w14:paraId="10AB17F4">
            <w:pPr>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w:t>
            </w:r>
          </w:p>
        </w:tc>
        <w:tc>
          <w:tcPr>
            <w:tcW w:w="915"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400E5C4">
            <w:pPr>
              <w:keepNext w:val="0"/>
              <w:keepLines w:val="0"/>
              <w:widowControl/>
              <w:suppressLineNumbers w:val="0"/>
              <w:jc w:val="center"/>
              <w:textAlignment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泄压装置</w:t>
            </w:r>
          </w:p>
        </w:tc>
        <w:tc>
          <w:tcPr>
            <w:tcW w:w="57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A18790E">
            <w:pPr>
              <w:keepNext w:val="0"/>
              <w:keepLines w:val="0"/>
              <w:widowControl/>
              <w:suppressLineNumbers w:val="0"/>
              <w:jc w:val="center"/>
              <w:textAlignment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个</w:t>
            </w:r>
          </w:p>
        </w:tc>
        <w:tc>
          <w:tcPr>
            <w:tcW w:w="87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A3B81B5">
            <w:pPr>
              <w:keepNext w:val="0"/>
              <w:keepLines w:val="0"/>
              <w:widowControl/>
              <w:suppressLineNumbers w:val="0"/>
              <w:jc w:val="center"/>
              <w:textAlignment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389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DF341C0">
            <w:pPr>
              <w:keepNext w:val="0"/>
              <w:keepLines w:val="0"/>
              <w:widowControl/>
              <w:suppressLineNumbers w:val="0"/>
              <w:jc w:val="both"/>
              <w:textAlignment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1.有效泄压面积：≥0.12平方米。</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2.平时呈密闭状态，当防护区压力大于设定压力时，叶片可开启，满足防护区泄压的要求。</w:t>
            </w:r>
          </w:p>
        </w:tc>
        <w:tc>
          <w:tcPr>
            <w:tcW w:w="118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5A61CD8">
            <w:pPr>
              <w:jc w:val="cente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kern w:val="2"/>
                <w:sz w:val="21"/>
                <w:szCs w:val="21"/>
                <w:highlight w:val="none"/>
                <w:lang w:val="en-US" w:eastAsia="zh-CN" w:bidi="ar-SA"/>
                <w14:textFill>
                  <w14:solidFill>
                    <w14:schemeClr w14:val="tx1"/>
                  </w14:solidFill>
                </w14:textFill>
              </w:rPr>
              <w:t>617.32</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6217BB">
            <w:pPr>
              <w:jc w:val="cente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kern w:val="2"/>
                <w:sz w:val="21"/>
                <w:szCs w:val="21"/>
                <w:highlight w:val="none"/>
                <w:lang w:val="en-US" w:eastAsia="zh-CN" w:bidi="ar-SA"/>
                <w14:textFill>
                  <w14:solidFill>
                    <w14:schemeClr w14:val="tx1"/>
                  </w14:solidFill>
                </w14:textFill>
              </w:rPr>
              <w:t>617.32</w:t>
            </w:r>
          </w:p>
        </w:tc>
        <w:tc>
          <w:tcPr>
            <w:tcW w:w="7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3596EDE">
            <w:pPr>
              <w:jc w:val="center"/>
              <w:rPr>
                <w:rFonts w:hint="eastAsia" w:ascii="宋体" w:hAnsi="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60321A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3FDA9EDC">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0" w:type="dxa"/>
              <w:bottom w:w="0" w:type="dxa"/>
              <w:right w:w="0" w:type="dxa"/>
            </w:tcMar>
            <w:vAlign w:val="center"/>
          </w:tcPr>
          <w:p w14:paraId="1383A1B7">
            <w:pPr>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1045192E">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点型感温火灾探测器</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66689F7B">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个</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4BFC4EFD">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10</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5F8221B2">
            <w:pPr>
              <w:keepNext w:val="0"/>
              <w:keepLines w:val="0"/>
              <w:widowControl/>
              <w:numPr>
                <w:ilvl w:val="0"/>
                <w:numId w:val="17"/>
              </w:numPr>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工作电压：总线24V</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2.工作电流：监视状态：＜300uA 报警状态：＜1.5mA</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3.工作指示：状态指示灯：巡检时闪烁，报警时常亮</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4.外形尺寸：φ100×56mm（带底座）</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5.壳体材料：ABS,白色</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6.使用环境：室内，温度-10℃—+55℃，相对湿度≤95%（40℃±2℃无凝露）</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7.编码方式：通过编码器可进行电编码，地址编码1-324任选</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8.接线方式：无极性二总线制</w:t>
            </w:r>
          </w:p>
          <w:p w14:paraId="42DFD10C">
            <w:pPr>
              <w:keepNext w:val="0"/>
              <w:keepLines w:val="0"/>
              <w:widowControl/>
              <w:numPr>
                <w:ilvl w:val="0"/>
                <w:numId w:val="0"/>
              </w:numPr>
              <w:suppressLineNumbers w:val="0"/>
              <w:jc w:val="both"/>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9、包含运输、装卸、搬运、布线穿管、设备安装、系统调试、使用培训等综合费用。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77A64E3">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153.94</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494B0AD">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1539.40</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0124D83E">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2C8185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13F2BB23">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0" w:type="dxa"/>
              <w:bottom w:w="0" w:type="dxa"/>
              <w:right w:w="0" w:type="dxa"/>
            </w:tcMar>
            <w:vAlign w:val="center"/>
          </w:tcPr>
          <w:p w14:paraId="7B8431E3">
            <w:pPr>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0D9E0A92">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点型光电感烟火灾探测器</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57C73B65">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个</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6FC615AC">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17AD3C1B">
            <w:pPr>
              <w:keepNext w:val="0"/>
              <w:keepLines w:val="0"/>
              <w:widowControl/>
              <w:numPr>
                <w:ilvl w:val="0"/>
                <w:numId w:val="18"/>
              </w:numPr>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工作电压：总线24V</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2.工作电流：监视状态：＜300uA 报警状态：＜1.5mA</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3.工作指示：状态指示灯：巡检时闪烁，报警时常亮</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4.外形尺寸：≥φ100×55mm（带底座）</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5.壳体材料：ABS</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6.使用环境：室内，温度-10℃—+55℃，相对湿度≤95%（40℃±2℃无凝露）</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7.编码方式：通过编码器可进行电编码，地址编码</w:t>
            </w:r>
            <w:r>
              <w:rPr>
                <w:rFonts w:hint="eastAsia"/>
                <w:color w:val="000000" w:themeColor="text1"/>
                <w:highlight w:val="none"/>
                <w:lang w:val="en-US" w:eastAsia="zh-CN"/>
                <w14:textFill>
                  <w14:solidFill>
                    <w14:schemeClr w14:val="tx1"/>
                  </w14:solidFill>
                </w14:textFill>
              </w:rPr>
              <w:t>可</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选</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8.接线方式：无极性二总线制</w:t>
            </w:r>
          </w:p>
          <w:p w14:paraId="7E3EE70D">
            <w:pPr>
              <w:keepNext w:val="0"/>
              <w:keepLines w:val="0"/>
              <w:widowControl/>
              <w:numPr>
                <w:ilvl w:val="0"/>
                <w:numId w:val="0"/>
              </w:numPr>
              <w:suppressLineNumbers w:val="0"/>
              <w:jc w:val="both"/>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9.包含运输、装卸、搬运、布线穿管、设备安装、系统调试、使用培训等综合费用。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EEC52C6">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156.12</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8D5683C">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780.60</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6B6EDB9D">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346A95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74098019">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0" w:type="dxa"/>
              <w:bottom w:w="0" w:type="dxa"/>
              <w:right w:w="0" w:type="dxa"/>
            </w:tcMar>
            <w:vAlign w:val="center"/>
          </w:tcPr>
          <w:p w14:paraId="3DB10ECD">
            <w:pPr>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6</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71A499F7">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火灾声光报警器</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22E847CB">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个</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0C302D24">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7C8069F1">
            <w:pPr>
              <w:keepNext w:val="0"/>
              <w:keepLines w:val="0"/>
              <w:widowControl/>
              <w:numPr>
                <w:ilvl w:val="0"/>
                <w:numId w:val="19"/>
              </w:numPr>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工作电压：总线24V，电源DC24V±20%</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2.工作电流：监视状态：＜1mA 动作状态：＜120mA</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3.工作指示：巡检时闪亮，动作时常亮</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4.闪光频率：1Hz-1.5Hz</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5.报警音量：80dB-120dB</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6.外形尺寸：≥84×142×66.5mm</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7.壳体材料：ABS</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8.使用环境：室内（非住宅），温度-10℃—+55℃，相对湿度≤95%（40℃±2℃无凝露）</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9.编码方式：通过编码器可进行电编码，地址编码</w:t>
            </w:r>
            <w:r>
              <w:rPr>
                <w:rFonts w:hint="eastAsia"/>
                <w:color w:val="000000" w:themeColor="text1"/>
                <w:highlight w:val="none"/>
                <w:lang w:val="en-US" w:eastAsia="zh-CN"/>
                <w14:textFill>
                  <w14:solidFill>
                    <w14:schemeClr w14:val="tx1"/>
                  </w14:solidFill>
                </w14:textFill>
              </w:rPr>
              <w:t>可</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选</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10.接线方式：四线制：信号线+电源线</w:t>
            </w:r>
          </w:p>
          <w:p w14:paraId="29C45425">
            <w:pPr>
              <w:keepNext w:val="0"/>
              <w:keepLines w:val="0"/>
              <w:widowControl/>
              <w:numPr>
                <w:ilvl w:val="0"/>
                <w:numId w:val="0"/>
              </w:numPr>
              <w:suppressLineNumbers w:val="0"/>
              <w:jc w:val="both"/>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11.包含运输、装卸、搬运、布线穿管、设备安装、系统调试、使用培训等综合费用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7DDC22A">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236.00</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6F21B73">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944.00</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7D1A547A">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48D313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2F1BDE44">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0" w:type="dxa"/>
              <w:bottom w:w="0" w:type="dxa"/>
              <w:right w:w="0" w:type="dxa"/>
            </w:tcMar>
            <w:vAlign w:val="center"/>
          </w:tcPr>
          <w:p w14:paraId="412C4984">
            <w:pPr>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7</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5D4E1542">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紧急启停按钮</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381AE2D9">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个</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57A7405B">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2C17F4BD">
            <w:pPr>
              <w:keepNext w:val="0"/>
              <w:keepLines w:val="0"/>
              <w:widowControl/>
              <w:numPr>
                <w:ilvl w:val="0"/>
                <w:numId w:val="20"/>
              </w:numPr>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工作电压：24VDC(20VDC-28VDC)</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2.工作电流：工作电流≤30mA</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3.触电容量：＜2A/24VDC</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4.外形尺寸：≥90×90×35mm</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5.壳体材料：SECC（镀锌钢板）</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6.使用环境：室内（非住宅），温度-10℃—+55℃，相对湿度≤95%（40℃±2℃无凝露）</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7.接线方式：二线制</w:t>
            </w:r>
          </w:p>
          <w:p w14:paraId="5F496769">
            <w:pPr>
              <w:keepNext w:val="0"/>
              <w:keepLines w:val="0"/>
              <w:widowControl/>
              <w:numPr>
                <w:ilvl w:val="0"/>
                <w:numId w:val="0"/>
              </w:numPr>
              <w:suppressLineNumbers w:val="0"/>
              <w:jc w:val="both"/>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8.包含运输、装卸、搬运、布线穿管、设备安装、系统调试、使用培训等综合费用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B56F1C4">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160.33</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8AA7A78">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320.66</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24B67E69">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075E2E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28322D72">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0" w:type="dxa"/>
              <w:bottom w:w="0" w:type="dxa"/>
              <w:right w:w="0" w:type="dxa"/>
            </w:tcMar>
            <w:vAlign w:val="center"/>
          </w:tcPr>
          <w:p w14:paraId="4D155874">
            <w:pPr>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8</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34F506F5">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气体释放报警器</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72E205C2">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个</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44651BFC">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7B128D9E">
            <w:pPr>
              <w:keepNext w:val="0"/>
              <w:keepLines w:val="0"/>
              <w:widowControl/>
              <w:numPr>
                <w:ilvl w:val="0"/>
                <w:numId w:val="21"/>
              </w:numPr>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工作电压：总线24V，24VDC</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2.工作电流：静态时：总线耗电：≤500uA</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3.报警时：总线耗电电流≤4mA，DC24V消耗电流≤150mA</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4.闪光频率：1Hz-2Hz</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5.发光字体表面亮度：50cd/㎡-300cd/㎡</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6.点亮与非点亮时间比：≥3:2</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7.声压级：75dB-120dB，变调周期：3S-5S</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8.外形尺寸：≥330×135×35mm</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9.壳体材料：ABS</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10.使用环境：室内（非住宅），温度-10℃—+55℃，相对湿度≤95%（40℃±2℃无凝露）</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11.接线方式：四线制</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12.编码方式：通过编码器可进行电编码，地址编码</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可</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选</w:t>
            </w:r>
          </w:p>
          <w:p w14:paraId="72541295">
            <w:pPr>
              <w:keepNext w:val="0"/>
              <w:keepLines w:val="0"/>
              <w:widowControl/>
              <w:numPr>
                <w:ilvl w:val="0"/>
                <w:numId w:val="0"/>
              </w:numPr>
              <w:suppressLineNumbers w:val="0"/>
              <w:jc w:val="both"/>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13.包含运输、装卸、搬运、布线穿管、设备安装、系统调试、使用培训等综合费用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E40137A">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160.79</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63D5F18">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321.58</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65FE09DB">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1E09AF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00" w:hRule="atLeast"/>
        </w:trPr>
        <w:tc>
          <w:tcPr>
            <w:tcW w:w="420" w:type="dxa"/>
            <w:vMerge w:val="continue"/>
            <w:tcBorders>
              <w:left w:val="single" w:color="auto" w:sz="4" w:space="0"/>
              <w:right w:val="single" w:color="auto" w:sz="4" w:space="0"/>
            </w:tcBorders>
            <w:noWrap w:val="0"/>
            <w:vAlign w:val="top"/>
          </w:tcPr>
          <w:p w14:paraId="27D85E73">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26F44BB">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9</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0B73E703">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档案库房十防监控系统消防监测软件</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75C65C80">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套</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09BEE20F">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604B9796">
            <w:pPr>
              <w:keepNext w:val="0"/>
              <w:keepLines w:val="0"/>
              <w:widowControl/>
              <w:suppressLineNumbers w:val="0"/>
              <w:jc w:val="both"/>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1、将消防主机报警信息集成档案库房十防监控系统进行统一监控管理，一旦发生火灾报警信息，立即以短信、电话或声光的方式告知管理员。</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7E0D453">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3047.91</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2E9A598">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3047.91</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397EACD4">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04932B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4B982E17">
            <w:pPr>
              <w:jc w:val="center"/>
              <w:rPr>
                <w:rFonts w:hint="eastAsia" w:ascii="宋体" w:hAnsi="宋体" w:eastAsia="宋体" w:cs="宋体"/>
                <w:color w:val="000000" w:themeColor="text1"/>
                <w:highlight w:val="none"/>
                <w14:textFill>
                  <w14:solidFill>
                    <w14:schemeClr w14:val="tx1"/>
                  </w14:solidFill>
                </w14:textFill>
              </w:rPr>
            </w:pPr>
          </w:p>
        </w:tc>
        <w:tc>
          <w:tcPr>
            <w:tcW w:w="9129" w:type="dxa"/>
            <w:gridSpan w:val="11"/>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AA1D5C4">
            <w:pPr>
              <w:jc w:val="both"/>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t>九、非法入侵报警</w:t>
            </w:r>
          </w:p>
        </w:tc>
        <w:tc>
          <w:tcPr>
            <w:tcW w:w="73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84F0363">
            <w:pPr>
              <w:jc w:val="both"/>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pPr>
          </w:p>
        </w:tc>
      </w:tr>
      <w:tr w14:paraId="5A5000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6513AC9C">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80066F6">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27FF762F">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报警主机</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474D4221">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台</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63515AD2">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26EFE9A9">
            <w:pPr>
              <w:keepNext w:val="0"/>
              <w:keepLines w:val="0"/>
              <w:widowControl/>
              <w:suppressLineNumbers w:val="0"/>
              <w:jc w:val="both"/>
              <w:textAlignment w:val="cente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符合GB12663～2019三级标准, 具有很强的安全性. 适用于周界报警,小区报警, 大楼, 工厂, 学校, 仓储, 银行, 监狱等各类大中型安保系统, 板载以太网接口,可实现计算机管理, 并方便的与其他系统集成。</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一、主要功能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t>自带16个有线防区,,自带16分区,可通过DK903, DK904分区键盘扩展232个扩展分区,系统最大支持248分区,31056防区.</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t xml:space="preserve"> SBUS总线用两芯 </w:t>
            </w:r>
            <w:r>
              <w:rPr>
                <w:rStyle w:val="111"/>
                <w:rFonts w:hint="eastAsia" w:ascii="宋体" w:hAnsi="宋体" w:eastAsia="宋体" w:cs="宋体"/>
                <w:color w:val="000000" w:themeColor="text1"/>
                <w:sz w:val="21"/>
                <w:szCs w:val="21"/>
                <w:highlight w:val="none"/>
                <w:lang w:val="en-US" w:eastAsia="zh-CN" w:bidi="ar"/>
                <w14:textFill>
                  <w14:solidFill>
                    <w14:schemeClr w14:val="tx1"/>
                  </w14:solidFill>
                </w14:textFill>
              </w:rPr>
              <w:t>ɸ</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t>1.5mm非屏蔽非双绞RVV线,最远支持2600米.</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t>可接16个菜单式控制键盘, 每个键盘可设置管理一个或多个分区.</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t>多达160个操作密码, 可设置控制一个或多个分区.</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t>可选择多种防区模块.</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t>可连接R8 继电器输出模块, 实现一对一,一对多报警输出联动.</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t>系统自带网络接口,可通过局域网或广域网实现管理接警功能.</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t>可通过PSTN, 4G模块(非标配)与接警中实现3网合一冗余接警模式,支持4个电话接警平台和4个网络接警平台.</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9.</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t>支持8个语音,短信电话号码,可实现用户远程接警和远程控制.</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10.</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t>系统自带 4 个PGM可编程输出口.1个备用RS232接口,1个备用RS485接口,可实现功能扩展或与不同系统对接.</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11.</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t>总线过载, 短路保护.</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t>系统支持1024条循环事件记录.</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13.</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t>255条事件发送缓存.</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14.</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t>系统自带Web Server浏览器设置界面, 无需安装软件, 通过浏览器直接访问配置主机.</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15.</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t>系统支持网络自动校时.</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16.</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t>支持系统配置数据备份, 系统事件记录备份功能.</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17.</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t xml:space="preserve">支持远程系统升级, 远程系统诊断,远程配置功能. </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br w:type="textWrapping"/>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t>18.可接16个,无总键盘和分键盘之分，每个分区键盘可收到本分区信息，有键盘总线与系统连接，最远距离可大1000M.</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br w:type="textWrapping"/>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t>19.继电器输出模块可实现与防区报警联动需求，多种灵活的编程设定，满足用户一对一，多对一，一对多等多种报警输出关系。</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br w:type="textWrapping"/>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t>20.系统可选用PSTN模块与电话报警中心相连，支持ContactID通讯格式，当接警中心忙碌或电话线路故障时，系统可记录48条事件记录，待恢复通讯时可再次上报。</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br w:type="textWrapping"/>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t xml:space="preserve">输入功率:  AC 18V,2A, 36W, 50/60HZ     </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br w:type="textWrapping"/>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t>辅助输出:  DC10V～14V,  最大800mA</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br w:type="textWrapping"/>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t>备用电源:  12V, 7AH</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br w:type="textWrapping"/>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t>主机耗电:  静态最小系统 &lt;200mA</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br w:type="textWrapping"/>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t>报警输出:  DC10V～14V,  800mA</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br w:type="textWrapping"/>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t>键盘输出:  DC10V～14V,  800mA</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br w:type="textWrapping"/>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t>输出功率：≤24W</w:t>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br w:type="textWrapping"/>
            </w:r>
            <w: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t>可编程输出:  干接点3A 120V/AC , 3A 24V/DC</w:t>
            </w:r>
          </w:p>
          <w:p w14:paraId="3B1B2940">
            <w:pPr>
              <w:keepNext w:val="0"/>
              <w:keepLines w:val="0"/>
              <w:widowControl/>
              <w:suppressLineNumbers w:val="0"/>
              <w:jc w:val="both"/>
              <w:textAlignment w:val="center"/>
              <w:rPr>
                <w:rStyle w:val="112"/>
                <w:rFonts w:hint="eastAsia" w:ascii="宋体" w:hAnsi="宋体" w:eastAsia="宋体" w:cs="宋体"/>
                <w:color w:val="000000" w:themeColor="text1"/>
                <w:sz w:val="21"/>
                <w:szCs w:val="21"/>
                <w:highlight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21.包含运输、装卸、搬运、布线穿管、设备安装、系统调试、使用培训等综合费用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21C7F18">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2654.78</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B2F49DB">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2654.78</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041725C4">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56871A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0D40B8F4">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6875117">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19335404">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红外探测器</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20EAC473">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个</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102A90EE">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78B94FEF">
            <w:pPr>
              <w:keepNext w:val="0"/>
              <w:keepLines w:val="0"/>
              <w:widowControl/>
              <w:suppressLineNumbers w:val="0"/>
              <w:jc w:val="both"/>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红外加微波探测，微波、红外、人工智能三鉴探测；微波探测范围可调；创新插拔式接线方式，免拆外壳安装下视窗设计，可消除探测死角；动态阀值调节技术；微波频率：10.525G；数字温度补偿技术，32度环境温度下探测距离不变；抗白光技术，抗白光≥6500LUX；防宠物功能，防宠物≤35KG；报警触发AND和OR选择功能；工作电压：DC9—16V；消耗电流：≤30mA；环境温度：-10℃---+50℃；安装方式：壁挂；安装高度：1.8m左右；探测角度：110度；探测范围：12m；报警输出：常开/常闭可选；</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528DD6E">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344.08</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056CF71">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688.16</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6939AB0E">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4337EE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2EE174FE">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5154953">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545E46CB">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档案库房十防监控系统非法入侵安防报警软件</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0D27A35E">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套</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41A8000D">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6E03155B">
            <w:pPr>
              <w:keepNext w:val="0"/>
              <w:keepLines w:val="0"/>
              <w:widowControl/>
              <w:numPr>
                <w:ilvl w:val="0"/>
                <w:numId w:val="22"/>
              </w:numPr>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非法入侵报警软件，实时监测档案库房门、窗有无非法入侵。撤布防时间可设定，假日设定，特定库房管理。实现语音报警，声光报警，并统一接入十防监控系统。</w:t>
            </w:r>
          </w:p>
          <w:p w14:paraId="57DE2B51">
            <w:pPr>
              <w:keepNext w:val="0"/>
              <w:keepLines w:val="0"/>
              <w:widowControl/>
              <w:numPr>
                <w:ilvl w:val="0"/>
                <w:numId w:val="22"/>
              </w:numPr>
              <w:suppressLineNumbers w:val="0"/>
              <w:jc w:val="both"/>
              <w:textAlignment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包含运输、装卸、搬运、布线穿管、设备安装、系统调试、使用培训等综合费用。</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BE6EDE8">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3047.91</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2499E63">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3047.91</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659D42E3">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6AB784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56366A9A">
            <w:pPr>
              <w:jc w:val="center"/>
              <w:rPr>
                <w:rFonts w:hint="eastAsia" w:ascii="宋体" w:hAnsi="宋体" w:eastAsia="宋体" w:cs="宋体"/>
                <w:color w:val="000000" w:themeColor="text1"/>
                <w:highlight w:val="none"/>
                <w14:textFill>
                  <w14:solidFill>
                    <w14:schemeClr w14:val="tx1"/>
                  </w14:solidFill>
                </w14:textFill>
              </w:rPr>
            </w:pPr>
          </w:p>
        </w:tc>
        <w:tc>
          <w:tcPr>
            <w:tcW w:w="9129" w:type="dxa"/>
            <w:gridSpan w:val="11"/>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1BABCFF">
            <w:pPr>
              <w:jc w:val="both"/>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t>十、门禁管理</w:t>
            </w:r>
          </w:p>
        </w:tc>
        <w:tc>
          <w:tcPr>
            <w:tcW w:w="73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EAA8120">
            <w:pPr>
              <w:jc w:val="both"/>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pPr>
          </w:p>
        </w:tc>
      </w:tr>
      <w:tr w14:paraId="674751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77F66AFB">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A1F761D">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1722BD21">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人脸识别门禁机</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121EB429">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台</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7AA661E4">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05E85950">
            <w:pPr>
              <w:keepNext w:val="0"/>
              <w:keepLines w:val="0"/>
              <w:widowControl/>
              <w:numPr>
                <w:ilvl w:val="0"/>
                <w:numId w:val="23"/>
              </w:numPr>
              <w:suppressLineNumbers w:val="0"/>
              <w:jc w:val="both"/>
              <w:textAlignment w:val="top"/>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设备外观：采用≥7英寸LCD触摸显示屏，200万像素双目摄像头，面部识别距离0.2-3m，支持照片视频防假；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2、设备容量：≥支持5000张人脸白名单，1：N人脸比对时间＜0.2S/人，支持≥5000枚指纹，≥6000张卡片，≥50000条记录；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3、认证方式：支持人脸、刷卡、指纹、密码（超级密码）及其组合的认证方式；可读取Mifare卡（IC卡）卡号、CPU序列号、身份证序列号；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4、通讯方式：上行通讯为TCP/IP，支持跨公网传输；支持外接RS485，Wiegand副读卡器（不支持外接指纹读卡器）；基线支持标准韦根34/26；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5、视频对讲：主副室内分机、管理机的视频对讲功能；支持远程视频预览功能，可以通过RTSP协议输出视频码流，编码格式H.264；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6、输入接口：LAN*1、RS485*1、wiegand * 1、USB*1、门磁*1、报警输入*2、防拆*1、开门按钮*1；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7、输出接口：电锁*1个，报警输出*1个；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8、工作电压： DC 12V/2A，含电源；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9、使用环境：室内外环境，室外使用必须搭配遮阳罩；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10、安装方式：标配金属安装挂板，支持明装、86底盒安装；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11、产品尺寸：≥290mm*116.5mm*33mm；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12、工作温度：-30~65℃。</w:t>
            </w:r>
          </w:p>
          <w:p w14:paraId="65933508">
            <w:pPr>
              <w:keepNext w:val="0"/>
              <w:keepLines w:val="0"/>
              <w:widowControl/>
              <w:numPr>
                <w:ilvl w:val="0"/>
                <w:numId w:val="0"/>
              </w:numPr>
              <w:suppressLineNumbers w:val="0"/>
              <w:jc w:val="both"/>
              <w:textAlignment w:val="top"/>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13、包含运输、装卸、搬运、布线穿管、设备安装、系统调试、使用培训等综合费用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519348C">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2136.41</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A8CCA08">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4272.82</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47636E24">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6461B7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1F6D20AC">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2C09FF1">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28086EF2">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电磁锁</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0B0A0B14">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把</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095DAA0A">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5C1DC7D7">
            <w:pPr>
              <w:keepNext w:val="0"/>
              <w:keepLines w:val="0"/>
              <w:widowControl/>
              <w:suppressLineNumbers w:val="0"/>
              <w:jc w:val="both"/>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1、单门磁力锁，含电磁锁支架及开门按钮、20张IC卡；</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2、最大拉力：280kg(600Lbs)直线拉力；</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3、输入电压：DC12V或DC24V+10%；</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4、工作电流：≥350mA</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1459274">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431.32</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E563BD5">
            <w:pPr>
              <w:tabs>
                <w:tab w:val="left" w:pos="320"/>
              </w:tabs>
              <w:jc w:val="left"/>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ab/>
            </w:r>
            <w:r>
              <w:rPr>
                <w:rFonts w:hint="eastAsia" w:ascii="宋体" w:hAnsi="宋体" w:cs="宋体"/>
                <w:color w:val="000000" w:themeColor="text1"/>
                <w:sz w:val="21"/>
                <w:szCs w:val="21"/>
                <w:highlight w:val="none"/>
                <w:lang w:val="en-US" w:eastAsia="zh-CN"/>
                <w14:textFill>
                  <w14:solidFill>
                    <w14:schemeClr w14:val="tx1"/>
                  </w14:solidFill>
                </w14:textFill>
              </w:rPr>
              <w:t>862.64</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26722ECF">
            <w:pPr>
              <w:tabs>
                <w:tab w:val="left" w:pos="320"/>
              </w:tabs>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0C5516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181412E3">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A8F3C97">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6DB105C5">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智慧档案数据可视化平台门禁管理系统集成</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33E2EA13">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套</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075EDF09">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6C2C12F5">
            <w:pPr>
              <w:keepNext w:val="0"/>
              <w:keepLines w:val="0"/>
              <w:widowControl/>
              <w:suppressLineNumbers w:val="0"/>
              <w:jc w:val="both"/>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1、门禁管理系统与智慧档案馆综合运行管理平台的数据对接接口；</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接口可实现总平台与多台门禁主机的功能对接，实现多门在线管理，可实现所有门禁数据同步、门状态监测，可查询开关门通行记录、开关门权限，可远程发卡、授权、设置开门密码，可远程开门、可配置通行时段；</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3、接口为纯网络协议，基于平台后台独立开发，可同时对接多套门禁系统，并生成各自独立的监控界面，在3D界面标注位置，生成非法开门、越限开门报警信息；</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4、门禁系统可通过接口由平台统一发送报警信息，可通过平台WEB、APP功能实现对所有门的远程管理、移动管理；</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E600C28">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3047.91</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B38CB25">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3047.91</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58DB7FF3">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321F51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7139F197">
            <w:pPr>
              <w:jc w:val="center"/>
              <w:rPr>
                <w:rFonts w:hint="eastAsia" w:ascii="宋体" w:hAnsi="宋体" w:eastAsia="宋体" w:cs="宋体"/>
                <w:color w:val="000000" w:themeColor="text1"/>
                <w:highlight w:val="none"/>
                <w14:textFill>
                  <w14:solidFill>
                    <w14:schemeClr w14:val="tx1"/>
                  </w14:solidFill>
                </w14:textFill>
              </w:rPr>
            </w:pPr>
          </w:p>
        </w:tc>
        <w:tc>
          <w:tcPr>
            <w:tcW w:w="9129" w:type="dxa"/>
            <w:gridSpan w:val="11"/>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BBE13A4">
            <w:pPr>
              <w:jc w:val="both"/>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t>十一、视频监控</w:t>
            </w:r>
          </w:p>
        </w:tc>
        <w:tc>
          <w:tcPr>
            <w:tcW w:w="73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A4BBB67">
            <w:pPr>
              <w:jc w:val="both"/>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pPr>
          </w:p>
        </w:tc>
      </w:tr>
      <w:tr w14:paraId="037D36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5362AF05">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3475872">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3C152CC2">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网络摄像机</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68EC5544">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台</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58A69B0A">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34F20E76">
            <w:pPr>
              <w:keepNext w:val="0"/>
              <w:keepLines w:val="0"/>
              <w:widowControl/>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1、分辨率：400万；</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2、外形：半球；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3、最小照度：</w:t>
            </w:r>
          </w:p>
          <w:p w14:paraId="71823BCE">
            <w:pPr>
              <w:keepNext w:val="0"/>
              <w:keepLines w:val="0"/>
              <w:widowControl/>
              <w:suppressLineNumbers w:val="0"/>
              <w:jc w:val="both"/>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0.002Lux@(F1.2,AGCON),0LuxwithIR；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4、压缩标准：主码流视频压缩标准 H.265/H.264；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5、存储功能：NAS(NFS;SMB/CIFS均支持)；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 xml:space="preserve">6、最远红外照射距离：20-30米；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7、最高分辨率可达2560×1440@25fps,在该分辨率下可输出实时图像；</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8、支持低码率、低延时、ROI感兴趣区域增强编码；</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9、采用高效红外灯,使用寿命长,照射距离可达20-30米；</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10、支持防止夜间红外过曝；</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11、ICR红外滤片式自动切换,实现真正的日夜监控；</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12、支持日夜两套参数独立配置；</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13、支持PoE供电功能；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14、支持3D数字降噪，支持120dB真宽动态；</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15、支持双码流,支持手机监控；</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16、支持走廊模式,背光补偿,自动电子快门功能,适应不同监控环境；</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17、支持智能报警：越界侦测,区域入侵侦测；</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18、支持智能后检索，配合NVR支持事件的二次检索分析；</w:t>
            </w:r>
          </w:p>
          <w:p w14:paraId="520BAB9D">
            <w:pPr>
              <w:keepNext w:val="0"/>
              <w:keepLines w:val="0"/>
              <w:widowControl/>
              <w:suppressLineNumbers w:val="0"/>
              <w:jc w:val="both"/>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19、包含运输、装卸、搬运、布线穿管、设备安装、系统调试、使用培训等综合费用。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40D892A">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617.03</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D523AD1">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3702.18</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48DDAD76">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1971E5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04940DE4">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292051F">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7AEE8751">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智慧档案数据可视化平台视频监控系统集成</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758C9B6E">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套</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3C547262">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4078E94A">
            <w:pPr>
              <w:keepNext w:val="0"/>
              <w:keepLines w:val="0"/>
              <w:widowControl/>
              <w:suppressLineNumbers w:val="0"/>
              <w:jc w:val="both"/>
              <w:textAlignment w:val="top"/>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1、视频监控系统对与总平台的数据接接口，支持多种主流摄像机品牌对接；</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接口可实现与摄像机、硬盘录像机、监控服务器等视频监控设备的功能对接，实现视频画面与实景3D画面的融合，可在3D画面布置摄像机点位信息，点击摄像机打开实时画面，可实现对云台摄像机的远程控制等功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3、接口为纯网络协议，基于平台后台独立开发，可同时对接多套视频监控系统，接入多个摄像机画面；</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4、视频监控系统可通过平台WEB功能实现对所有摄像机画面的远程浏览和管理</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7A3D89D">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3047.91</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A0736FF">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3047.91</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44DA70A3">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5CA5C5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40DDFA8D">
            <w:pPr>
              <w:jc w:val="center"/>
              <w:rPr>
                <w:rFonts w:hint="eastAsia" w:ascii="宋体" w:hAnsi="宋体" w:eastAsia="宋体" w:cs="宋体"/>
                <w:color w:val="000000" w:themeColor="text1"/>
                <w:highlight w:val="none"/>
                <w14:textFill>
                  <w14:solidFill>
                    <w14:schemeClr w14:val="tx1"/>
                  </w14:solidFill>
                </w14:textFill>
              </w:rPr>
            </w:pPr>
          </w:p>
        </w:tc>
        <w:tc>
          <w:tcPr>
            <w:tcW w:w="9129" w:type="dxa"/>
            <w:gridSpan w:val="11"/>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540FE4A">
            <w:pPr>
              <w:jc w:val="both"/>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t>十二、配件</w:t>
            </w:r>
          </w:p>
        </w:tc>
        <w:tc>
          <w:tcPr>
            <w:tcW w:w="73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F4C6404">
            <w:pPr>
              <w:jc w:val="both"/>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pPr>
          </w:p>
        </w:tc>
      </w:tr>
      <w:tr w14:paraId="5F35E6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3024DAEF">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AD2D8B5">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251A729B">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网线</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6B69FB8D">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米</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5FB28F60">
            <w:pPr>
              <w:keepNext w:val="0"/>
              <w:keepLines w:val="0"/>
              <w:widowControl/>
              <w:suppressLineNumbers w:val="0"/>
              <w:tabs>
                <w:tab w:val="center" w:pos="386"/>
                <w:tab w:val="left" w:pos="522"/>
              </w:tabs>
              <w:jc w:val="center"/>
              <w:textAlignment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100</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1678BCE5">
            <w:pPr>
              <w:keepNext w:val="0"/>
              <w:keepLines w:val="0"/>
              <w:widowControl/>
              <w:suppressLineNumbers w:val="0"/>
              <w:jc w:val="both"/>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超五类</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44110D0">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5.93</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00C1729">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593.00</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1F3C9D96">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3B6EC2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6FEBD938">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2972695">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182DD41B">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电线</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4068AB49">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米</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142A4860">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250</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477D5CF1">
            <w:pPr>
              <w:keepNext w:val="0"/>
              <w:keepLines w:val="0"/>
              <w:widowControl/>
              <w:suppressLineNumbers w:val="0"/>
              <w:jc w:val="both"/>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RVV3*2.5mm²</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64F60FA">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9.26</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B6C7A54">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2315.00</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635BCE5B">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3A8C9B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1D44DCF2">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B3F805D">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70129E54">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穿线管</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256C937C">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米</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4785FC4D">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250</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7D4FE281">
            <w:pPr>
              <w:keepNext w:val="0"/>
              <w:keepLines w:val="0"/>
              <w:widowControl/>
              <w:suppressLineNumbers w:val="0"/>
              <w:jc w:val="both"/>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φ25穿线管</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AF6C6DC">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16.36</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ECD3B85">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4090.00</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4E8FF1ED">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47D262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264A3518">
            <w:pPr>
              <w:jc w:val="center"/>
              <w:rPr>
                <w:rFonts w:hint="eastAsia" w:ascii="宋体" w:hAnsi="宋体" w:eastAsia="宋体" w:cs="宋体"/>
                <w:color w:val="000000" w:themeColor="text1"/>
                <w:highlight w:val="none"/>
                <w14:textFill>
                  <w14:solidFill>
                    <w14:schemeClr w14:val="tx1"/>
                  </w14:solidFill>
                </w14:textFill>
              </w:rPr>
            </w:pPr>
          </w:p>
        </w:tc>
        <w:tc>
          <w:tcPr>
            <w:tcW w:w="42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8C6365F">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915" w:type="dxa"/>
            <w:gridSpan w:val="2"/>
            <w:tcBorders>
              <w:top w:val="single" w:color="auto" w:sz="4" w:space="0"/>
              <w:left w:val="single" w:color="auto" w:sz="4" w:space="0"/>
              <w:bottom w:val="single" w:color="auto" w:sz="4" w:space="0"/>
              <w:right w:val="single" w:color="auto" w:sz="4" w:space="0"/>
            </w:tcBorders>
            <w:noWrap w:val="0"/>
            <w:vAlign w:val="center"/>
          </w:tcPr>
          <w:p w14:paraId="6F8F0975">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排水管道</w:t>
            </w:r>
          </w:p>
        </w:tc>
        <w:tc>
          <w:tcPr>
            <w:tcW w:w="570" w:type="dxa"/>
            <w:gridSpan w:val="2"/>
            <w:tcBorders>
              <w:top w:val="single" w:color="auto" w:sz="4" w:space="0"/>
              <w:left w:val="single" w:color="auto" w:sz="4" w:space="0"/>
              <w:bottom w:val="single" w:color="auto" w:sz="4" w:space="0"/>
              <w:right w:val="single" w:color="auto" w:sz="4" w:space="0"/>
            </w:tcBorders>
            <w:noWrap w:val="0"/>
            <w:vAlign w:val="center"/>
          </w:tcPr>
          <w:p w14:paraId="74C43B91">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套</w:t>
            </w:r>
          </w:p>
        </w:tc>
        <w:tc>
          <w:tcPr>
            <w:tcW w:w="870" w:type="dxa"/>
            <w:gridSpan w:val="2"/>
            <w:tcBorders>
              <w:top w:val="single" w:color="auto" w:sz="4" w:space="0"/>
              <w:left w:val="single" w:color="auto" w:sz="4" w:space="0"/>
              <w:bottom w:val="single" w:color="auto" w:sz="4" w:space="0"/>
              <w:right w:val="single" w:color="auto" w:sz="4" w:space="0"/>
            </w:tcBorders>
            <w:noWrap w:val="0"/>
            <w:vAlign w:val="center"/>
          </w:tcPr>
          <w:p w14:paraId="57A018E1">
            <w:pPr>
              <w:keepNext w:val="0"/>
              <w:keepLines w:val="0"/>
              <w:widowControl/>
              <w:suppressLineNumbers w:val="0"/>
              <w:jc w:val="center"/>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3894" w:type="dxa"/>
            <w:gridSpan w:val="2"/>
            <w:tcBorders>
              <w:top w:val="single" w:color="auto" w:sz="4" w:space="0"/>
              <w:left w:val="single" w:color="auto" w:sz="4" w:space="0"/>
              <w:bottom w:val="single" w:color="auto" w:sz="4" w:space="0"/>
              <w:right w:val="single" w:color="auto" w:sz="4" w:space="0"/>
            </w:tcBorders>
            <w:noWrap w:val="0"/>
            <w:vAlign w:val="center"/>
          </w:tcPr>
          <w:p w14:paraId="7533C7BD">
            <w:pPr>
              <w:keepNext w:val="0"/>
              <w:keepLines w:val="0"/>
              <w:widowControl/>
              <w:suppressLineNumbers w:val="0"/>
              <w:jc w:val="both"/>
              <w:textAlignment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定制恒湿净化机排水管道，φ32PPR</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29379AB">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1722.20</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2165850">
            <w:pPr>
              <w:jc w:val="cente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3444.40</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47EFFDE8">
            <w:pPr>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工业</w:t>
            </w:r>
          </w:p>
        </w:tc>
      </w:tr>
      <w:tr w14:paraId="2233AA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06A45A0D">
            <w:pPr>
              <w:jc w:val="center"/>
              <w:rPr>
                <w:rFonts w:hint="eastAsia" w:ascii="宋体" w:hAnsi="宋体" w:eastAsia="宋体" w:cs="宋体"/>
                <w:color w:val="000000" w:themeColor="text1"/>
                <w:highlight w:val="none"/>
                <w14:textFill>
                  <w14:solidFill>
                    <w14:schemeClr w14:val="tx1"/>
                  </w14:solidFill>
                </w14:textFill>
              </w:rPr>
            </w:pPr>
          </w:p>
        </w:tc>
        <w:tc>
          <w:tcPr>
            <w:tcW w:w="9129" w:type="dxa"/>
            <w:gridSpan w:val="11"/>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3BB93F7">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t>十</w:t>
            </w:r>
            <w:r>
              <w:rPr>
                <w:rFonts w:hint="eastAsia" w:ascii="宋体" w:hAnsi="宋体" w:cs="宋体"/>
                <w:b/>
                <w:bCs/>
                <w:color w:val="000000" w:themeColor="text1"/>
                <w:sz w:val="21"/>
                <w:szCs w:val="21"/>
                <w:highlight w:val="none"/>
                <w:vertAlign w:val="baseline"/>
                <w:lang w:val="en-US" w:eastAsia="zh-CN"/>
                <w14:textFill>
                  <w14:solidFill>
                    <w14:schemeClr w14:val="tx1"/>
                  </w14:solidFill>
                </w14:textFill>
              </w:rPr>
              <w:t>三</w:t>
            </w:r>
            <w:r>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t>、</w:t>
            </w:r>
            <w:r>
              <w:rPr>
                <w:rFonts w:hint="eastAsia" w:ascii="宋体" w:hAnsi="宋体" w:cs="宋体"/>
                <w:b/>
                <w:bCs/>
                <w:color w:val="000000" w:themeColor="text1"/>
                <w:sz w:val="21"/>
                <w:szCs w:val="21"/>
                <w:highlight w:val="none"/>
                <w:vertAlign w:val="baseline"/>
                <w:lang w:val="en-US" w:eastAsia="zh-CN"/>
                <w14:textFill>
                  <w14:solidFill>
                    <w14:schemeClr w14:val="tx1"/>
                  </w14:solidFill>
                </w14:textFill>
              </w:rPr>
              <w:t>项目配套综合包干费</w:t>
            </w:r>
          </w:p>
        </w:tc>
        <w:tc>
          <w:tcPr>
            <w:tcW w:w="73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57AA57B">
            <w:pPr>
              <w:jc w:val="both"/>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pPr>
          </w:p>
        </w:tc>
      </w:tr>
      <w:tr w14:paraId="10B755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420" w:type="dxa"/>
            <w:vMerge w:val="continue"/>
            <w:tcBorders>
              <w:left w:val="single" w:color="auto" w:sz="4" w:space="0"/>
              <w:right w:val="single" w:color="auto" w:sz="4" w:space="0"/>
            </w:tcBorders>
            <w:noWrap w:val="0"/>
            <w:vAlign w:val="top"/>
          </w:tcPr>
          <w:p w14:paraId="15ED7E1A">
            <w:pPr>
              <w:jc w:val="center"/>
              <w:rPr>
                <w:rFonts w:hint="eastAsia" w:ascii="宋体" w:hAnsi="宋体" w:eastAsia="宋体" w:cs="宋体"/>
                <w:color w:val="000000" w:themeColor="text1"/>
                <w:highlight w:val="none"/>
                <w14:textFill>
                  <w14:solidFill>
                    <w14:schemeClr w14:val="tx1"/>
                  </w14:solidFill>
                </w14:textFill>
              </w:rPr>
            </w:pPr>
          </w:p>
        </w:tc>
        <w:tc>
          <w:tcPr>
            <w:tcW w:w="463" w:type="dxa"/>
            <w:gridSpan w:val="2"/>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C889C0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911" w:type="dxa"/>
            <w:gridSpan w:val="2"/>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768A658">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项目配套综合包干费</w:t>
            </w:r>
          </w:p>
        </w:tc>
        <w:tc>
          <w:tcPr>
            <w:tcW w:w="612" w:type="dxa"/>
            <w:gridSpan w:val="2"/>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7DBB29C">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项</w:t>
            </w:r>
          </w:p>
        </w:tc>
        <w:tc>
          <w:tcPr>
            <w:tcW w:w="865" w:type="dxa"/>
            <w:gridSpan w:val="2"/>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D3CCFAF">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381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430F807">
            <w:pPr>
              <w:keepNext w:val="0"/>
              <w:keepLines w:val="0"/>
              <w:widowControl/>
              <w:suppressLineNumbers w:val="0"/>
              <w:jc w:val="left"/>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包含</w:t>
            </w: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技术配套服务（设备调试、兼容性检测、技术培训、售后技术指导）与现场配套服务（石膏板面装饰、钢板封窗、腻子批刮、包水管、美缝）；涵盖辅材、人工、机具、清运、整改维保、管理税费等全部相关费用，无任何额外增项费用。</w:t>
            </w:r>
          </w:p>
        </w:tc>
        <w:tc>
          <w:tcPr>
            <w:tcW w:w="118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923B6E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21928.28</w:t>
            </w:r>
          </w:p>
        </w:tc>
        <w:tc>
          <w:tcPr>
            <w:tcW w:w="127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D02B84E">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i w:val="0"/>
                <w:iCs w:val="0"/>
                <w:color w:val="000000" w:themeColor="text1"/>
                <w:kern w:val="0"/>
                <w:sz w:val="21"/>
                <w:szCs w:val="21"/>
                <w:highlight w:val="none"/>
                <w:u w:val="none"/>
                <w:lang w:val="en-US" w:eastAsia="zh-CN" w:bidi="ar"/>
                <w14:textFill>
                  <w14:solidFill>
                    <w14:schemeClr w14:val="tx1"/>
                  </w14:solidFill>
                </w14:textFill>
              </w:rPr>
              <w:t>21928.28</w:t>
            </w:r>
          </w:p>
        </w:tc>
        <w:tc>
          <w:tcPr>
            <w:tcW w:w="73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2CA7FC1">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其他未列明行业</w:t>
            </w:r>
          </w:p>
        </w:tc>
      </w:tr>
      <w:tr w14:paraId="2B6383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47" w:hRule="atLeast"/>
        </w:trPr>
        <w:tc>
          <w:tcPr>
            <w:tcW w:w="4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B9DC81">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商务条款</w:t>
            </w:r>
          </w:p>
        </w:tc>
        <w:tc>
          <w:tcPr>
            <w:tcW w:w="9864" w:type="dxa"/>
            <w:gridSpan w:val="12"/>
            <w:tcBorders>
              <w:top w:val="single" w:color="auto" w:sz="4" w:space="0"/>
              <w:left w:val="single" w:color="auto" w:sz="4" w:space="0"/>
              <w:bottom w:val="single" w:color="auto" w:sz="4" w:space="0"/>
              <w:right w:val="single" w:color="auto" w:sz="4" w:space="0"/>
            </w:tcBorders>
            <w:shd w:val="clear" w:color="auto" w:fill="auto"/>
            <w:noWrap w:val="0"/>
            <w:vAlign w:val="top"/>
          </w:tcPr>
          <w:p w14:paraId="3AA8BC99">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b/>
                <w:bCs/>
                <w:color w:val="000000" w:themeColor="text1"/>
                <w:sz w:val="21"/>
                <w:szCs w:val="21"/>
                <w:highlight w:val="none"/>
                <w:lang w:val="en-US" w:eastAsia="zh-CN"/>
                <w14:textFill>
                  <w14:solidFill>
                    <w14:schemeClr w14:val="tx1"/>
                  </w14:solidFill>
                </w14:textFill>
              </w:rPr>
              <w:t>一、合同签订期：</w:t>
            </w:r>
            <w:r>
              <w:rPr>
                <w:rFonts w:hint="default" w:ascii="宋体" w:hAnsi="宋体" w:eastAsia="宋体" w:cs="宋体"/>
                <w:color w:val="000000" w:themeColor="text1"/>
                <w:sz w:val="21"/>
                <w:szCs w:val="21"/>
                <w:highlight w:val="none"/>
                <w:lang w:val="en-US" w:eastAsia="zh-CN"/>
                <w14:textFill>
                  <w14:solidFill>
                    <w14:schemeClr w14:val="tx1"/>
                  </w14:solidFill>
                </w14:textFill>
              </w:rPr>
              <w:t>自</w:t>
            </w:r>
            <w:r>
              <w:rPr>
                <w:rFonts w:hint="eastAsia" w:ascii="宋体" w:hAnsi="宋体" w:eastAsia="宋体" w:cs="宋体"/>
                <w:color w:val="000000" w:themeColor="text1"/>
                <w:sz w:val="21"/>
                <w:szCs w:val="21"/>
                <w:highlight w:val="none"/>
                <w:lang w:val="en-US" w:eastAsia="zh-CN"/>
                <w14:textFill>
                  <w14:solidFill>
                    <w14:schemeClr w14:val="tx1"/>
                  </w14:solidFill>
                </w14:textFill>
              </w:rPr>
              <w:t>成交</w:t>
            </w:r>
            <w:r>
              <w:rPr>
                <w:rFonts w:hint="default" w:ascii="宋体" w:hAnsi="宋体" w:eastAsia="宋体" w:cs="宋体"/>
                <w:color w:val="000000" w:themeColor="text1"/>
                <w:sz w:val="21"/>
                <w:szCs w:val="21"/>
                <w:highlight w:val="none"/>
                <w:lang w:val="en-US" w:eastAsia="zh-CN"/>
                <w14:textFill>
                  <w14:solidFill>
                    <w14:schemeClr w14:val="tx1"/>
                  </w14:solidFill>
                </w14:textFill>
              </w:rPr>
              <w:t>通知书发出之日起</w:t>
            </w:r>
            <w:r>
              <w:rPr>
                <w:rFonts w:hint="eastAsia" w:ascii="宋体" w:hAnsi="宋体" w:cs="宋体"/>
                <w:color w:val="000000" w:themeColor="text1"/>
                <w:sz w:val="21"/>
                <w:szCs w:val="21"/>
                <w:highlight w:val="none"/>
                <w:lang w:val="en-US" w:eastAsia="zh-CN"/>
                <w14:textFill>
                  <w14:solidFill>
                    <w14:schemeClr w14:val="tx1"/>
                  </w14:solidFill>
                </w14:textFill>
              </w:rPr>
              <w:t>25</w:t>
            </w:r>
            <w:r>
              <w:rPr>
                <w:rFonts w:hint="default" w:ascii="宋体" w:hAnsi="宋体" w:eastAsia="宋体" w:cs="宋体"/>
                <w:color w:val="000000" w:themeColor="text1"/>
                <w:sz w:val="21"/>
                <w:szCs w:val="21"/>
                <w:highlight w:val="none"/>
                <w:lang w:val="en-US" w:eastAsia="zh-CN"/>
                <w14:textFill>
                  <w14:solidFill>
                    <w14:schemeClr w14:val="tx1"/>
                  </w14:solidFill>
                </w14:textFill>
              </w:rPr>
              <w:t>个日历日内。</w:t>
            </w:r>
          </w:p>
          <w:p w14:paraId="644C5449">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b/>
                <w:bCs/>
                <w:color w:val="000000" w:themeColor="text1"/>
                <w:sz w:val="21"/>
                <w:szCs w:val="21"/>
                <w:highlight w:val="none"/>
                <w:lang w:val="en-US" w:eastAsia="zh-CN"/>
                <w14:textFill>
                  <w14:solidFill>
                    <w14:schemeClr w14:val="tx1"/>
                  </w14:solidFill>
                </w14:textFill>
              </w:rPr>
              <w:t>二、交货期：自签订合同之日起30个工作日内完成全部货物的交付、安装及调试完毕并验收合格交付使用。</w:t>
            </w:r>
          </w:p>
          <w:p w14:paraId="5994528C">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b/>
                <w:bCs/>
                <w:color w:val="000000" w:themeColor="text1"/>
                <w:sz w:val="21"/>
                <w:szCs w:val="21"/>
                <w:highlight w:val="none"/>
                <w:lang w:val="en-US" w:eastAsia="zh-CN"/>
                <w14:textFill>
                  <w14:solidFill>
                    <w14:schemeClr w14:val="tx1"/>
                  </w14:solidFill>
                </w14:textFill>
              </w:rPr>
              <w:t>三、交货方式及交货地点：</w:t>
            </w:r>
            <w:r>
              <w:rPr>
                <w:rFonts w:hint="default" w:ascii="宋体" w:hAnsi="宋体" w:eastAsia="宋体" w:cs="宋体"/>
                <w:color w:val="000000" w:themeColor="text1"/>
                <w:sz w:val="21"/>
                <w:szCs w:val="21"/>
                <w:highlight w:val="none"/>
                <w:lang w:val="en-US" w:eastAsia="zh-CN"/>
                <w14:textFill>
                  <w14:solidFill>
                    <w14:schemeClr w14:val="tx1"/>
                  </w14:solidFill>
                </w14:textFill>
              </w:rPr>
              <w:t>现场交付，南宁市青秀区人民检察院采购人指定地点（南宁市茶花园路19号）。</w:t>
            </w:r>
          </w:p>
          <w:p w14:paraId="404B58CB">
            <w:pPr>
              <w:spacing w:line="360" w:lineRule="auto"/>
              <w:rPr>
                <w:rFonts w:hint="default"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宋体" w:hAnsi="宋体" w:eastAsia="宋体" w:cs="宋体"/>
                <w:b/>
                <w:bCs/>
                <w:color w:val="000000" w:themeColor="text1"/>
                <w:sz w:val="21"/>
                <w:szCs w:val="21"/>
                <w:highlight w:val="none"/>
                <w:lang w:val="en-US" w:eastAsia="zh-CN"/>
                <w14:textFill>
                  <w14:solidFill>
                    <w14:schemeClr w14:val="tx1"/>
                  </w14:solidFill>
                </w14:textFill>
              </w:rPr>
              <w:t>四、售后服务要求：</w:t>
            </w:r>
          </w:p>
          <w:p w14:paraId="4B0F637F">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1.质量保证期：</w:t>
            </w:r>
            <w:r>
              <w:rPr>
                <w:rFonts w:hint="eastAsia" w:ascii="宋体" w:hAnsi="宋体" w:cs="宋体"/>
                <w:color w:val="000000" w:themeColor="text1"/>
                <w:sz w:val="21"/>
                <w:szCs w:val="21"/>
                <w:highlight w:val="none"/>
                <w:lang w:val="en-US" w:eastAsia="zh-CN"/>
                <w14:textFill>
                  <w14:solidFill>
                    <w14:schemeClr w14:val="tx1"/>
                  </w14:solidFill>
                </w14:textFill>
              </w:rPr>
              <w:t>所有货物</w:t>
            </w:r>
            <w:r>
              <w:rPr>
                <w:rFonts w:hint="default" w:ascii="宋体" w:hAnsi="宋体" w:eastAsia="宋体" w:cs="宋体"/>
                <w:color w:val="000000" w:themeColor="text1"/>
                <w:sz w:val="21"/>
                <w:szCs w:val="21"/>
                <w:highlight w:val="none"/>
                <w:lang w:val="en-US" w:eastAsia="zh-CN"/>
                <w14:textFill>
                  <w14:solidFill>
                    <w14:schemeClr w14:val="tx1"/>
                  </w14:solidFill>
                </w14:textFill>
              </w:rPr>
              <w:t>调试验收合格之日起≥</w:t>
            </w: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default" w:ascii="宋体" w:hAnsi="宋体" w:eastAsia="宋体" w:cs="宋体"/>
                <w:color w:val="000000" w:themeColor="text1"/>
                <w:sz w:val="21"/>
                <w:szCs w:val="21"/>
                <w:highlight w:val="none"/>
                <w:lang w:val="en-US" w:eastAsia="zh-CN"/>
                <w14:textFill>
                  <w14:solidFill>
                    <w14:schemeClr w14:val="tx1"/>
                  </w14:solidFill>
                </w14:textFill>
              </w:rPr>
              <w:t>年。质保期内负责上门服务</w:t>
            </w:r>
            <w:r>
              <w:rPr>
                <w:rFonts w:hint="eastAsia" w:ascii="宋体" w:hAnsi="宋体" w:cs="宋体"/>
                <w:color w:val="000000" w:themeColor="text1"/>
                <w:sz w:val="21"/>
                <w:szCs w:val="21"/>
                <w:highlight w:val="none"/>
                <w:lang w:val="en-US" w:eastAsia="zh-CN"/>
                <w14:textFill>
                  <w14:solidFill>
                    <w14:schemeClr w14:val="tx1"/>
                  </w14:solidFill>
                </w14:textFill>
              </w:rPr>
              <w:t>（保修期内，产品出现故障时，供应商须在2小时内响应并安排人员到达现场处理）</w:t>
            </w:r>
            <w:r>
              <w:rPr>
                <w:rFonts w:hint="default" w:ascii="宋体" w:hAnsi="宋体" w:eastAsia="宋体" w:cs="宋体"/>
                <w:color w:val="000000" w:themeColor="text1"/>
                <w:sz w:val="21"/>
                <w:szCs w:val="21"/>
                <w:highlight w:val="none"/>
                <w:lang w:val="en-US" w:eastAsia="zh-CN"/>
                <w14:textFill>
                  <w14:solidFill>
                    <w14:schemeClr w14:val="tx1"/>
                  </w14:solidFill>
                </w14:textFill>
              </w:rPr>
              <w:t>、维修、更换配件，不得收取任何费用。自提交货物并验收合格之日起计，若厂家质保期超过产品规定的，按厂家承诺执行，每年定期回访服务，以及对设备维修服务，质保期后提供终身维修服务，其余按供应商提交的售后服务承诺书执行；所有非故意性损坏以及在要求质量标准范围内的正常使用造成的损坏均要维修。对因采购人人员的不正当使用所造成的损坏不归成交供应商负责保修，但成交供应商也要积极帮助采购人修理，并保证提供优惠价格的配件和服务。供应商须在响应文件中提供售后服务承诺函(加盖供应商公章)，承诺函需明确包含</w:t>
            </w:r>
            <w:r>
              <w:rPr>
                <w:rFonts w:hint="eastAsia" w:ascii="宋体" w:hAnsi="宋体" w:cs="宋体"/>
                <w:color w:val="000000" w:themeColor="text1"/>
                <w:sz w:val="21"/>
                <w:szCs w:val="21"/>
                <w:highlight w:val="none"/>
                <w:lang w:val="en-US" w:eastAsia="zh-CN"/>
                <w14:textFill>
                  <w14:solidFill>
                    <w14:schemeClr w14:val="tx1"/>
                  </w14:solidFill>
                </w14:textFill>
              </w:rPr>
              <w:t>：</w:t>
            </w:r>
            <w:r>
              <w:rPr>
                <w:rFonts w:hint="default" w:ascii="宋体" w:hAnsi="宋体" w:eastAsia="宋体" w:cs="宋体"/>
                <w:color w:val="000000" w:themeColor="text1"/>
                <w:sz w:val="21"/>
                <w:szCs w:val="21"/>
                <w:highlight w:val="none"/>
                <w:lang w:val="en-US" w:eastAsia="zh-CN"/>
                <w14:textFill>
                  <w14:solidFill>
                    <w14:schemeClr w14:val="tx1"/>
                  </w14:solidFill>
                </w14:textFill>
              </w:rPr>
              <w:t>故障响应时间、修复时效、备品备件供应方案及质保期外的维保收费标准等具体服务指标。</w:t>
            </w:r>
          </w:p>
          <w:p w14:paraId="0FA4A16A">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2.供应商应在响应文件中承诺</w:t>
            </w:r>
            <w:r>
              <w:rPr>
                <w:rFonts w:hint="eastAsia" w:ascii="宋体" w:hAnsi="宋体" w:cs="宋体"/>
                <w:color w:val="000000" w:themeColor="text1"/>
                <w:sz w:val="21"/>
                <w:szCs w:val="21"/>
                <w:highlight w:val="none"/>
                <w:lang w:val="en-US" w:eastAsia="zh-CN"/>
                <w14:textFill>
                  <w14:solidFill>
                    <w14:schemeClr w14:val="tx1"/>
                  </w14:solidFill>
                </w14:textFill>
              </w:rPr>
              <w:t>：</w:t>
            </w:r>
            <w:r>
              <w:rPr>
                <w:rFonts w:hint="default" w:ascii="宋体" w:hAnsi="宋体" w:eastAsia="宋体" w:cs="宋体"/>
                <w:color w:val="000000" w:themeColor="text1"/>
                <w:sz w:val="21"/>
                <w:szCs w:val="21"/>
                <w:highlight w:val="none"/>
                <w:lang w:val="en-US" w:eastAsia="zh-CN"/>
                <w14:textFill>
                  <w14:solidFill>
                    <w14:schemeClr w14:val="tx1"/>
                  </w14:solidFill>
                </w14:textFill>
              </w:rPr>
              <w:t>接到采购人保修通知后，2小时内响应，4小时内到达现场处理。同时提交切实可行的售后保障实施方案，可通过自有服务网点、合作网点、驻场技术队伍、备品备件仓储、应急通勤运力等保障方式，佐证自身可稳定达成上述时效要求。质保期内免费升级服务。</w:t>
            </w:r>
          </w:p>
          <w:p w14:paraId="0CC60B35">
            <w:pPr>
              <w:spacing w:line="360" w:lineRule="auto"/>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lang w:val="en-US" w:eastAsia="zh-CN"/>
                <w14:textFill>
                  <w14:solidFill>
                    <w14:schemeClr w14:val="tx1"/>
                  </w14:solidFill>
                </w14:textFill>
              </w:rPr>
              <w:t>为了保障项目的高质量</w:t>
            </w:r>
            <w:r>
              <w:rPr>
                <w:rFonts w:hint="eastAsia" w:ascii="宋体" w:hAnsi="宋体" w:cs="宋体"/>
                <w:color w:val="000000" w:themeColor="text1"/>
                <w:szCs w:val="21"/>
                <w:highlight w:val="none"/>
                <w:lang w:val="en-US" w:eastAsia="zh-CN"/>
                <w14:textFill>
                  <w14:solidFill>
                    <w14:schemeClr w14:val="tx1"/>
                  </w14:solidFill>
                </w14:textFill>
              </w:rPr>
              <w:t>实施，项目实施阶段可配备专职档案技术人员驻场提供现场技术指导；供应商拟投入本项目技术人员需具备档案相关服务工作经验，响应文件中可自愿提供拟派人员简历、档案类项目相关业绩材料（加盖供应商公章）作为履约能力佐证。</w:t>
            </w:r>
          </w:p>
          <w:p w14:paraId="63A5C879">
            <w:pPr>
              <w:spacing w:line="360" w:lineRule="auto"/>
              <w:rPr>
                <w:rFonts w:hint="default" w:ascii="宋体" w:hAnsi="宋体" w:eastAsia="宋体" w:cs="宋体"/>
                <w:b w:val="0"/>
                <w:b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b w:val="0"/>
                <w:bCs w:val="0"/>
                <w:color w:val="000000" w:themeColor="text1"/>
                <w:kern w:val="0"/>
                <w:sz w:val="21"/>
                <w:szCs w:val="21"/>
                <w:highlight w:val="none"/>
                <w:u w:val="none"/>
                <w:lang w:val="en-US" w:eastAsia="zh-CN" w:bidi="ar"/>
                <w14:textFill>
                  <w14:solidFill>
                    <w14:schemeClr w14:val="tx1"/>
                  </w14:solidFill>
                </w14:textFill>
              </w:rPr>
              <w:t>4.</w:t>
            </w:r>
            <w:r>
              <w:rPr>
                <w:rFonts w:hint="default" w:ascii="宋体" w:hAnsi="宋体" w:eastAsia="宋体" w:cs="宋体"/>
                <w:b w:val="0"/>
                <w:bCs w:val="0"/>
                <w:color w:val="000000" w:themeColor="text1"/>
                <w:kern w:val="0"/>
                <w:sz w:val="21"/>
                <w:szCs w:val="21"/>
                <w:highlight w:val="none"/>
                <w:u w:val="none"/>
                <w:lang w:val="en-US" w:eastAsia="zh-CN" w:bidi="ar"/>
                <w14:textFill>
                  <w14:solidFill>
                    <w14:schemeClr w14:val="tx1"/>
                  </w14:solidFill>
                </w14:textFill>
              </w:rPr>
              <w:t>本项目采购 RFID档案管理系统，实现标签制作、信息录入、台账核对全流程管理，保障档案安全；设备符合档案库房环境标准，防护良好、运行稳定，配置满足日常及批量档案数字化、标识管理使用要求。供应商须具备</w:t>
            </w:r>
            <w:r>
              <w:rPr>
                <w:rFonts w:hint="default" w:ascii="宋体" w:hAnsi="宋体" w:eastAsia="宋体" w:cs="宋体"/>
                <w:b/>
                <w:bCs/>
                <w:color w:val="000000" w:themeColor="text1"/>
                <w:kern w:val="0"/>
                <w:sz w:val="21"/>
                <w:szCs w:val="21"/>
                <w:highlight w:val="none"/>
                <w:u w:val="none"/>
                <w:lang w:val="en-US" w:eastAsia="zh-CN" w:bidi="ar"/>
                <w14:textFill>
                  <w14:solidFill>
                    <w14:schemeClr w14:val="tx1"/>
                  </w14:solidFill>
                </w14:textFill>
              </w:rPr>
              <w:t>涉密载体印制资质证书</w:t>
            </w:r>
            <w:r>
              <w:rPr>
                <w:rFonts w:hint="default" w:ascii="宋体" w:hAnsi="宋体" w:eastAsia="宋体" w:cs="宋体"/>
                <w:b w:val="0"/>
                <w:bCs w:val="0"/>
                <w:color w:val="000000" w:themeColor="text1"/>
                <w:kern w:val="0"/>
                <w:sz w:val="21"/>
                <w:szCs w:val="21"/>
                <w:highlight w:val="none"/>
                <w:u w:val="none"/>
                <w:lang w:val="en-US" w:eastAsia="zh-CN" w:bidi="ar"/>
                <w14:textFill>
                  <w14:solidFill>
                    <w14:schemeClr w14:val="tx1"/>
                  </w14:solidFill>
                </w14:textFill>
              </w:rPr>
              <w:t>。</w:t>
            </w:r>
          </w:p>
          <w:p w14:paraId="05CA95AE">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5.成交</w:t>
            </w:r>
            <w:r>
              <w:rPr>
                <w:rFonts w:hint="default" w:ascii="宋体" w:hAnsi="宋体" w:eastAsia="宋体" w:cs="宋体"/>
                <w:color w:val="000000" w:themeColor="text1"/>
                <w:sz w:val="21"/>
                <w:szCs w:val="21"/>
                <w:highlight w:val="none"/>
                <w:lang w:val="en-US" w:eastAsia="zh-CN"/>
                <w14:textFill>
                  <w14:solidFill>
                    <w14:schemeClr w14:val="tx1"/>
                  </w14:solidFill>
                </w14:textFill>
              </w:rPr>
              <w:t>供应商应在</w:t>
            </w:r>
            <w:r>
              <w:rPr>
                <w:rFonts w:hint="eastAsia" w:ascii="宋体" w:hAnsi="宋体" w:cs="宋体"/>
                <w:color w:val="000000" w:themeColor="text1"/>
                <w:sz w:val="21"/>
                <w:szCs w:val="21"/>
                <w:highlight w:val="none"/>
                <w:lang w:val="en-US" w:eastAsia="zh-CN"/>
                <w14:textFill>
                  <w14:solidFill>
                    <w14:schemeClr w14:val="tx1"/>
                  </w14:solidFill>
                </w14:textFill>
              </w:rPr>
              <w:t>响应文件中</w:t>
            </w:r>
            <w:r>
              <w:rPr>
                <w:rFonts w:hint="default" w:ascii="宋体" w:hAnsi="宋体" w:eastAsia="宋体" w:cs="宋体"/>
                <w:color w:val="000000" w:themeColor="text1"/>
                <w:sz w:val="21"/>
                <w:szCs w:val="21"/>
                <w:highlight w:val="none"/>
                <w:lang w:val="en-US" w:eastAsia="zh-CN"/>
                <w14:textFill>
                  <w14:solidFill>
                    <w14:schemeClr w14:val="tx1"/>
                  </w14:solidFill>
                </w14:textFill>
              </w:rPr>
              <w:t>提交售后服务方案，明确服务人员、响应机制及保障措施。</w:t>
            </w:r>
          </w:p>
          <w:p w14:paraId="7D129365">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default"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竞标人</w:t>
            </w:r>
            <w:r>
              <w:rPr>
                <w:rFonts w:hint="default" w:ascii="宋体" w:hAnsi="宋体" w:eastAsia="宋体" w:cs="宋体"/>
                <w:color w:val="000000" w:themeColor="text1"/>
                <w:sz w:val="21"/>
                <w:szCs w:val="21"/>
                <w:highlight w:val="none"/>
                <w:lang w:val="en-US" w:eastAsia="zh-CN"/>
                <w14:textFill>
                  <w14:solidFill>
                    <w14:schemeClr w14:val="tx1"/>
                  </w14:solidFill>
                </w14:textFill>
              </w:rPr>
              <w:t>必须承诺设备验收合格后对采购人的使用人员进行操作及相关知识的免费培训，内容包括设备操作、日常维护及简单故障排除等。</w:t>
            </w:r>
          </w:p>
          <w:p w14:paraId="0ED2B859">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b/>
                <w:bCs/>
                <w:color w:val="000000" w:themeColor="text1"/>
                <w:sz w:val="21"/>
                <w:szCs w:val="21"/>
                <w:highlight w:val="none"/>
                <w:lang w:val="en-US" w:eastAsia="zh-CN"/>
                <w14:textFill>
                  <w14:solidFill>
                    <w14:schemeClr w14:val="tx1"/>
                  </w14:solidFill>
                </w14:textFill>
              </w:rPr>
              <w:t>五、付款方式：</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本项目</w:t>
            </w:r>
            <w:r>
              <w:rPr>
                <w:rFonts w:hint="default" w:ascii="宋体" w:hAnsi="宋体" w:eastAsia="宋体" w:cs="宋体"/>
                <w:color w:val="000000" w:themeColor="text1"/>
                <w:sz w:val="21"/>
                <w:szCs w:val="21"/>
                <w:highlight w:val="none"/>
                <w:lang w:val="en-US" w:eastAsia="zh-CN"/>
                <w14:textFill>
                  <w14:solidFill>
                    <w14:schemeClr w14:val="tx1"/>
                  </w14:solidFill>
                </w14:textFill>
              </w:rPr>
              <w:t>无预付款，采购人收到</w:t>
            </w:r>
            <w:r>
              <w:rPr>
                <w:rFonts w:hint="eastAsia" w:ascii="宋体" w:hAnsi="宋体" w:eastAsia="宋体" w:cs="宋体"/>
                <w:color w:val="000000" w:themeColor="text1"/>
                <w:sz w:val="21"/>
                <w:szCs w:val="21"/>
                <w:highlight w:val="none"/>
                <w:lang w:val="en-US" w:eastAsia="zh-CN"/>
                <w14:textFill>
                  <w14:solidFill>
                    <w14:schemeClr w14:val="tx1"/>
                  </w14:solidFill>
                </w14:textFill>
              </w:rPr>
              <w:t>成交供应商</w:t>
            </w:r>
            <w:r>
              <w:rPr>
                <w:rFonts w:hint="default" w:ascii="宋体" w:hAnsi="宋体" w:eastAsia="宋体" w:cs="宋体"/>
                <w:color w:val="000000" w:themeColor="text1"/>
                <w:sz w:val="21"/>
                <w:szCs w:val="21"/>
                <w:highlight w:val="none"/>
                <w:lang w:val="en-US" w:eastAsia="zh-CN"/>
                <w14:textFill>
                  <w14:solidFill>
                    <w14:schemeClr w14:val="tx1"/>
                  </w14:solidFill>
                </w14:textFill>
              </w:rPr>
              <w:t>设备</w:t>
            </w:r>
            <w:r>
              <w:rPr>
                <w:rFonts w:hint="eastAsia" w:ascii="宋体" w:hAnsi="宋体" w:cs="宋体"/>
                <w:color w:val="000000" w:themeColor="text1"/>
                <w:sz w:val="21"/>
                <w:szCs w:val="21"/>
                <w:highlight w:val="none"/>
                <w:lang w:val="en-US" w:eastAsia="zh-CN"/>
                <w14:textFill>
                  <w14:solidFill>
                    <w14:schemeClr w14:val="tx1"/>
                  </w14:solidFill>
                </w14:textFill>
              </w:rPr>
              <w:t>，</w:t>
            </w:r>
            <w:r>
              <w:rPr>
                <w:rFonts w:hint="default" w:ascii="宋体" w:hAnsi="宋体" w:eastAsia="宋体" w:cs="宋体"/>
                <w:color w:val="000000" w:themeColor="text1"/>
                <w:sz w:val="21"/>
                <w:szCs w:val="21"/>
                <w:highlight w:val="none"/>
                <w:lang w:val="en-US" w:eastAsia="zh-CN"/>
                <w14:textFill>
                  <w14:solidFill>
                    <w14:schemeClr w14:val="tx1"/>
                  </w14:solidFill>
                </w14:textFill>
              </w:rPr>
              <w:t>安装调试完毕并验收合格，采购人凭</w:t>
            </w:r>
            <w:r>
              <w:rPr>
                <w:rFonts w:hint="eastAsia" w:ascii="宋体" w:hAnsi="宋体" w:eastAsia="宋体" w:cs="宋体"/>
                <w:color w:val="000000" w:themeColor="text1"/>
                <w:sz w:val="21"/>
                <w:szCs w:val="21"/>
                <w:highlight w:val="none"/>
                <w:lang w:val="en-US" w:eastAsia="zh-CN"/>
                <w14:textFill>
                  <w14:solidFill>
                    <w14:schemeClr w14:val="tx1"/>
                  </w14:solidFill>
                </w14:textFill>
              </w:rPr>
              <w:t>成交供应商</w:t>
            </w:r>
            <w:r>
              <w:rPr>
                <w:rFonts w:hint="default" w:ascii="宋体" w:hAnsi="宋体" w:eastAsia="宋体" w:cs="宋体"/>
                <w:color w:val="000000" w:themeColor="text1"/>
                <w:sz w:val="21"/>
                <w:szCs w:val="21"/>
                <w:highlight w:val="none"/>
                <w:lang w:val="en-US" w:eastAsia="zh-CN"/>
                <w14:textFill>
                  <w14:solidFill>
                    <w14:schemeClr w14:val="tx1"/>
                  </w14:solidFill>
                </w14:textFill>
              </w:rPr>
              <w:t>提交的请款函、开具的全额发票在验收合格之日起30个工作日内向双方合同约定的银行账户支付款项。</w:t>
            </w:r>
            <w:r>
              <w:rPr>
                <w:rFonts w:hint="eastAsia" w:ascii="宋体" w:hAnsi="宋体" w:eastAsia="宋体" w:cs="宋体"/>
                <w:color w:val="000000" w:themeColor="text1"/>
                <w:sz w:val="21"/>
                <w:szCs w:val="21"/>
                <w:highlight w:val="none"/>
                <w:lang w:val="en-US" w:eastAsia="zh-CN"/>
                <w14:textFill>
                  <w14:solidFill>
                    <w14:schemeClr w14:val="tx1"/>
                  </w14:solidFill>
                </w14:textFill>
              </w:rPr>
              <w:t>成交供应商</w:t>
            </w:r>
            <w:r>
              <w:rPr>
                <w:rFonts w:hint="default" w:ascii="宋体" w:hAnsi="宋体" w:eastAsia="宋体" w:cs="宋体"/>
                <w:color w:val="000000" w:themeColor="text1"/>
                <w:sz w:val="21"/>
                <w:szCs w:val="21"/>
                <w:highlight w:val="none"/>
                <w:lang w:val="en-US" w:eastAsia="zh-CN"/>
                <w14:textFill>
                  <w14:solidFill>
                    <w14:schemeClr w14:val="tx1"/>
                  </w14:solidFill>
                </w14:textFill>
              </w:rPr>
              <w:t>应于验收开始前提交请款函和发票，如因</w:t>
            </w:r>
            <w:r>
              <w:rPr>
                <w:rFonts w:hint="eastAsia" w:ascii="宋体" w:hAnsi="宋体" w:eastAsia="宋体" w:cs="宋体"/>
                <w:color w:val="000000" w:themeColor="text1"/>
                <w:sz w:val="21"/>
                <w:szCs w:val="21"/>
                <w:highlight w:val="none"/>
                <w:lang w:val="en-US" w:eastAsia="zh-CN"/>
                <w14:textFill>
                  <w14:solidFill>
                    <w14:schemeClr w14:val="tx1"/>
                  </w14:solidFill>
                </w14:textFill>
              </w:rPr>
              <w:t>成交供应商</w:t>
            </w:r>
            <w:r>
              <w:rPr>
                <w:rFonts w:hint="default" w:ascii="宋体" w:hAnsi="宋体" w:eastAsia="宋体" w:cs="宋体"/>
                <w:color w:val="000000" w:themeColor="text1"/>
                <w:sz w:val="21"/>
                <w:szCs w:val="21"/>
                <w:highlight w:val="none"/>
                <w:lang w:val="en-US" w:eastAsia="zh-CN"/>
                <w14:textFill>
                  <w14:solidFill>
                    <w14:schemeClr w14:val="tx1"/>
                  </w14:solidFill>
                </w14:textFill>
              </w:rPr>
              <w:t>未及时提交请款函和发票导致付款延期的，由</w:t>
            </w:r>
            <w:r>
              <w:rPr>
                <w:rFonts w:hint="eastAsia" w:ascii="宋体" w:hAnsi="宋体" w:eastAsia="宋体" w:cs="宋体"/>
                <w:color w:val="000000" w:themeColor="text1"/>
                <w:sz w:val="21"/>
                <w:szCs w:val="21"/>
                <w:highlight w:val="none"/>
                <w:lang w:val="en-US" w:eastAsia="zh-CN"/>
                <w14:textFill>
                  <w14:solidFill>
                    <w14:schemeClr w14:val="tx1"/>
                  </w14:solidFill>
                </w14:textFill>
              </w:rPr>
              <w:t>成交供应商</w:t>
            </w:r>
            <w:r>
              <w:rPr>
                <w:rFonts w:hint="default" w:ascii="宋体" w:hAnsi="宋体" w:eastAsia="宋体" w:cs="宋体"/>
                <w:color w:val="000000" w:themeColor="text1"/>
                <w:sz w:val="21"/>
                <w:szCs w:val="21"/>
                <w:highlight w:val="none"/>
                <w:lang w:val="en-US" w:eastAsia="zh-CN"/>
                <w14:textFill>
                  <w14:solidFill>
                    <w14:schemeClr w14:val="tx1"/>
                  </w14:solidFill>
                </w14:textFill>
              </w:rPr>
              <w:t>承担相应责任。</w:t>
            </w:r>
          </w:p>
          <w:p w14:paraId="6AAE7442">
            <w:pPr>
              <w:spacing w:line="360" w:lineRule="auto"/>
              <w:rPr>
                <w:rFonts w:hint="default" w:ascii="宋体" w:hAnsi="宋体" w:eastAsia="宋体" w:cs="宋体"/>
                <w:b/>
                <w:bCs/>
                <w:color w:val="000000" w:themeColor="text1"/>
                <w:sz w:val="21"/>
                <w:szCs w:val="21"/>
                <w:highlight w:val="none"/>
                <w:lang w:val="en-US" w:eastAsia="zh-CN"/>
                <w14:textFill>
                  <w14:solidFill>
                    <w14:schemeClr w14:val="tx1"/>
                  </w14:solidFill>
                </w14:textFill>
              </w:rPr>
            </w:pPr>
            <w:r>
              <w:rPr>
                <w:rFonts w:hint="default" w:ascii="宋体" w:hAnsi="宋体" w:eastAsia="宋体" w:cs="宋体"/>
                <w:b/>
                <w:bCs/>
                <w:color w:val="000000" w:themeColor="text1"/>
                <w:sz w:val="21"/>
                <w:szCs w:val="21"/>
                <w:highlight w:val="none"/>
                <w:lang w:val="en-US" w:eastAsia="zh-CN"/>
                <w14:textFill>
                  <w14:solidFill>
                    <w14:schemeClr w14:val="tx1"/>
                  </w14:solidFill>
                </w14:textFill>
              </w:rPr>
              <w:t>六、报价要求：</w:t>
            </w:r>
          </w:p>
          <w:p w14:paraId="799E88DA">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竞标</w:t>
            </w:r>
            <w:r>
              <w:rPr>
                <w:rFonts w:hint="default" w:ascii="宋体" w:hAnsi="宋体" w:eastAsia="宋体" w:cs="宋体"/>
                <w:color w:val="000000" w:themeColor="text1"/>
                <w:sz w:val="21"/>
                <w:szCs w:val="21"/>
                <w:highlight w:val="none"/>
                <w:lang w:val="en-US" w:eastAsia="zh-CN"/>
                <w14:textFill>
                  <w14:solidFill>
                    <w14:schemeClr w14:val="tx1"/>
                  </w14:solidFill>
                </w14:textFill>
              </w:rPr>
              <w:t>报价必须含以下部分，包括：</w:t>
            </w:r>
          </w:p>
          <w:p w14:paraId="3399E26C">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（1）要求</w:t>
            </w:r>
            <w:r>
              <w:rPr>
                <w:rFonts w:hint="eastAsia" w:ascii="宋体" w:hAnsi="宋体" w:eastAsia="宋体" w:cs="宋体"/>
                <w:color w:val="000000" w:themeColor="text1"/>
                <w:sz w:val="21"/>
                <w:szCs w:val="21"/>
                <w:highlight w:val="none"/>
                <w:lang w:val="en-US" w:eastAsia="zh-CN"/>
                <w14:textFill>
                  <w14:solidFill>
                    <w14:schemeClr w14:val="tx1"/>
                  </w14:solidFill>
                </w14:textFill>
              </w:rPr>
              <w:t>竞标</w:t>
            </w:r>
            <w:r>
              <w:rPr>
                <w:rFonts w:hint="default" w:ascii="宋体" w:hAnsi="宋体" w:eastAsia="宋体" w:cs="宋体"/>
                <w:color w:val="000000" w:themeColor="text1"/>
                <w:sz w:val="21"/>
                <w:szCs w:val="21"/>
                <w:highlight w:val="none"/>
                <w:lang w:val="en-US" w:eastAsia="zh-CN"/>
                <w14:textFill>
                  <w14:solidFill>
                    <w14:schemeClr w14:val="tx1"/>
                  </w14:solidFill>
                </w14:textFill>
              </w:rPr>
              <w:t>货物是全新、未经改装、合格、满足本项目技术需求及要求的货物。所有零部件、配件必须是未经使用的全新的并符合国家有关质量安全标准的产品。</w:t>
            </w:r>
          </w:p>
          <w:p w14:paraId="08FA9C9F">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val="en-US" w:eastAsia="zh-CN"/>
                <w14:textFill>
                  <w14:solidFill>
                    <w14:schemeClr w14:val="tx1"/>
                  </w14:solidFill>
                </w14:textFill>
              </w:rPr>
              <w:t>竞标</w:t>
            </w:r>
            <w:r>
              <w:rPr>
                <w:rFonts w:hint="default" w:ascii="宋体" w:hAnsi="宋体" w:eastAsia="宋体" w:cs="宋体"/>
                <w:color w:val="000000" w:themeColor="text1"/>
                <w:sz w:val="21"/>
                <w:szCs w:val="21"/>
                <w:highlight w:val="none"/>
                <w:lang w:val="en-US" w:eastAsia="zh-CN"/>
                <w14:textFill>
                  <w14:solidFill>
                    <w14:schemeClr w14:val="tx1"/>
                  </w14:solidFill>
                </w14:textFill>
              </w:rPr>
              <w:t>报价为采购人指定地点的现场交货价，包括：</w:t>
            </w:r>
          </w:p>
          <w:p w14:paraId="04244EAB">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①货物的价格；</w:t>
            </w:r>
          </w:p>
          <w:p w14:paraId="627712A5">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②货物的标准附件、备品备件、专用工具、包装的价格；</w:t>
            </w:r>
          </w:p>
          <w:p w14:paraId="6ADFB935">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③货物运输、装卸、安装、调试、培训、技术支持、售后服务、到现场验收及所有的不定因素的风险等费用；</w:t>
            </w:r>
          </w:p>
          <w:p w14:paraId="386C9129">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④必要的保险费用、各项税费和招标代理服务费。</w:t>
            </w:r>
          </w:p>
          <w:p w14:paraId="1D12FD0B">
            <w:pPr>
              <w:spacing w:line="360" w:lineRule="auto"/>
              <w:rPr>
                <w:rFonts w:hint="default" w:ascii="宋体" w:hAnsi="宋体" w:eastAsia="宋体" w:cs="宋体"/>
                <w:b/>
                <w:bCs/>
                <w:color w:val="000000" w:themeColor="text1"/>
                <w:sz w:val="21"/>
                <w:szCs w:val="21"/>
                <w:highlight w:val="none"/>
                <w:lang w:val="en-US" w:eastAsia="zh-CN"/>
                <w14:textFill>
                  <w14:solidFill>
                    <w14:schemeClr w14:val="tx1"/>
                  </w14:solidFill>
                </w14:textFill>
              </w:rPr>
            </w:pPr>
            <w:r>
              <w:rPr>
                <w:rFonts w:hint="default" w:ascii="宋体" w:hAnsi="宋体" w:eastAsia="宋体" w:cs="宋体"/>
                <w:b/>
                <w:bCs/>
                <w:color w:val="000000" w:themeColor="text1"/>
                <w:sz w:val="21"/>
                <w:szCs w:val="21"/>
                <w:highlight w:val="none"/>
                <w:lang w:val="en-US" w:eastAsia="zh-CN"/>
                <w14:textFill>
                  <w14:solidFill>
                    <w14:schemeClr w14:val="tx1"/>
                  </w14:solidFill>
                </w14:textFill>
              </w:rPr>
              <w:t>七、验收标准、规范：</w:t>
            </w:r>
          </w:p>
          <w:p w14:paraId="45EEBF5B">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竞标</w:t>
            </w:r>
            <w:r>
              <w:rPr>
                <w:rFonts w:hint="default" w:ascii="宋体" w:hAnsi="宋体" w:eastAsia="宋体" w:cs="宋体"/>
                <w:color w:val="000000" w:themeColor="text1"/>
                <w:sz w:val="21"/>
                <w:szCs w:val="21"/>
                <w:highlight w:val="none"/>
                <w:lang w:val="en-US" w:eastAsia="zh-CN"/>
                <w14:textFill>
                  <w14:solidFill>
                    <w14:schemeClr w14:val="tx1"/>
                  </w14:solidFill>
                </w14:textFill>
              </w:rPr>
              <w:t>人所供货物必须是全新的且按国家有关质量标准制造，能满足本项目技术指标。</w:t>
            </w:r>
          </w:p>
          <w:p w14:paraId="12309B4D">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2.验收过程中所产生的一切费用均由</w:t>
            </w:r>
            <w:r>
              <w:rPr>
                <w:rFonts w:hint="eastAsia" w:ascii="宋体" w:hAnsi="宋体" w:eastAsia="宋体" w:cs="宋体"/>
                <w:color w:val="000000" w:themeColor="text1"/>
                <w:sz w:val="21"/>
                <w:szCs w:val="21"/>
                <w:highlight w:val="none"/>
                <w:lang w:val="en-US" w:eastAsia="zh-CN"/>
                <w14:textFill>
                  <w14:solidFill>
                    <w14:schemeClr w14:val="tx1"/>
                  </w14:solidFill>
                </w14:textFill>
              </w:rPr>
              <w:t>竞标</w:t>
            </w:r>
            <w:r>
              <w:rPr>
                <w:rFonts w:hint="default" w:ascii="宋体" w:hAnsi="宋体" w:eastAsia="宋体" w:cs="宋体"/>
                <w:color w:val="000000" w:themeColor="text1"/>
                <w:sz w:val="21"/>
                <w:szCs w:val="21"/>
                <w:highlight w:val="none"/>
                <w:lang w:val="en-US" w:eastAsia="zh-CN"/>
                <w14:textFill>
                  <w14:solidFill>
                    <w14:schemeClr w14:val="tx1"/>
                  </w14:solidFill>
                </w14:textFill>
              </w:rPr>
              <w:t>人承担。报价时应考虑相关费用。</w:t>
            </w:r>
          </w:p>
          <w:p w14:paraId="1CF71F91">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成交</w:t>
            </w:r>
            <w:r>
              <w:rPr>
                <w:rFonts w:hint="default" w:ascii="宋体" w:hAnsi="宋体" w:eastAsia="宋体" w:cs="宋体"/>
                <w:color w:val="000000" w:themeColor="text1"/>
                <w:sz w:val="21"/>
                <w:szCs w:val="21"/>
                <w:highlight w:val="none"/>
                <w:lang w:val="en-US" w:eastAsia="zh-CN"/>
                <w14:textFill>
                  <w14:solidFill>
                    <w14:schemeClr w14:val="tx1"/>
                  </w14:solidFill>
                </w14:textFill>
              </w:rPr>
              <w:t>供应商在货物验收时由采购人对照采购文件的功能目标及技术指标全面核对检验，对所有要求出具的证明文件进行核查，如不符合采购文件的技术需求及提供虚假承诺的，按相关规定做退货处理及违约处理，</w:t>
            </w:r>
            <w:r>
              <w:rPr>
                <w:rFonts w:hint="eastAsia" w:ascii="宋体" w:hAnsi="宋体" w:eastAsia="宋体" w:cs="宋体"/>
                <w:color w:val="000000" w:themeColor="text1"/>
                <w:sz w:val="21"/>
                <w:szCs w:val="21"/>
                <w:highlight w:val="none"/>
                <w:lang w:val="en-US" w:eastAsia="zh-CN"/>
                <w14:textFill>
                  <w14:solidFill>
                    <w14:schemeClr w14:val="tx1"/>
                  </w14:solidFill>
                </w14:textFill>
              </w:rPr>
              <w:t>成交</w:t>
            </w:r>
            <w:r>
              <w:rPr>
                <w:rFonts w:hint="default" w:ascii="宋体" w:hAnsi="宋体" w:eastAsia="宋体" w:cs="宋体"/>
                <w:color w:val="000000" w:themeColor="text1"/>
                <w:sz w:val="21"/>
                <w:szCs w:val="21"/>
                <w:highlight w:val="none"/>
                <w:lang w:val="en-US" w:eastAsia="zh-CN"/>
                <w14:textFill>
                  <w14:solidFill>
                    <w14:schemeClr w14:val="tx1"/>
                  </w14:solidFill>
                </w14:textFill>
              </w:rPr>
              <w:t>供应商承担所有责任和费用，采购人保留进一步追究责任的权利。测试结果满足采购文件及合同要求后方可通过验收。</w:t>
            </w:r>
          </w:p>
          <w:p w14:paraId="3311B958">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4.检查供货范围或服务范围：</w:t>
            </w:r>
          </w:p>
          <w:p w14:paraId="13D505FC">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产品到达现场后，</w:t>
            </w:r>
            <w:r>
              <w:rPr>
                <w:rFonts w:hint="eastAsia" w:ascii="宋体" w:hAnsi="宋体" w:eastAsia="宋体" w:cs="宋体"/>
                <w:color w:val="000000" w:themeColor="text1"/>
                <w:sz w:val="21"/>
                <w:szCs w:val="21"/>
                <w:highlight w:val="none"/>
                <w:lang w:val="en-US" w:eastAsia="zh-CN"/>
                <w14:textFill>
                  <w14:solidFill>
                    <w14:schemeClr w14:val="tx1"/>
                  </w14:solidFill>
                </w14:textFill>
              </w:rPr>
              <w:t>成交</w:t>
            </w:r>
            <w:r>
              <w:rPr>
                <w:rFonts w:hint="default" w:ascii="宋体" w:hAnsi="宋体" w:eastAsia="宋体" w:cs="宋体"/>
                <w:color w:val="000000" w:themeColor="text1"/>
                <w:sz w:val="21"/>
                <w:szCs w:val="21"/>
                <w:highlight w:val="none"/>
                <w:lang w:val="en-US" w:eastAsia="zh-CN"/>
                <w14:textFill>
                  <w14:solidFill>
                    <w14:schemeClr w14:val="tx1"/>
                  </w14:solidFill>
                </w14:textFill>
              </w:rPr>
              <w:t>供应商应在采购单位人员在场情况下当面开箱，共同清点、检查外观，作出开箱记录，双方签字确认。</w:t>
            </w:r>
            <w:r>
              <w:rPr>
                <w:rFonts w:hint="eastAsia" w:ascii="宋体" w:hAnsi="宋体" w:eastAsia="宋体" w:cs="宋体"/>
                <w:color w:val="000000" w:themeColor="text1"/>
                <w:sz w:val="21"/>
                <w:szCs w:val="21"/>
                <w:highlight w:val="none"/>
                <w:lang w:val="en-US" w:eastAsia="zh-CN"/>
                <w14:textFill>
                  <w14:solidFill>
                    <w14:schemeClr w14:val="tx1"/>
                  </w14:solidFill>
                </w14:textFill>
              </w:rPr>
              <w:t>成交</w:t>
            </w:r>
            <w:r>
              <w:rPr>
                <w:rFonts w:hint="default" w:ascii="宋体" w:hAnsi="宋体" w:eastAsia="宋体" w:cs="宋体"/>
                <w:color w:val="000000" w:themeColor="text1"/>
                <w:sz w:val="21"/>
                <w:szCs w:val="21"/>
                <w:highlight w:val="none"/>
                <w:lang w:val="en-US" w:eastAsia="zh-CN"/>
                <w14:textFill>
                  <w14:solidFill>
                    <w14:schemeClr w14:val="tx1"/>
                  </w14:solidFill>
                </w14:textFill>
              </w:rPr>
              <w:t>供应商应保证货物到达采购人指定地点完好无损，如有缺漏、损坏，由</w:t>
            </w:r>
            <w:r>
              <w:rPr>
                <w:rFonts w:hint="eastAsia" w:ascii="宋体" w:hAnsi="宋体" w:eastAsia="宋体" w:cs="宋体"/>
                <w:color w:val="000000" w:themeColor="text1"/>
                <w:sz w:val="21"/>
                <w:szCs w:val="21"/>
                <w:highlight w:val="none"/>
                <w:lang w:val="en-US" w:eastAsia="zh-CN"/>
                <w14:textFill>
                  <w14:solidFill>
                    <w14:schemeClr w14:val="tx1"/>
                  </w14:solidFill>
                </w14:textFill>
              </w:rPr>
              <w:t>成交</w:t>
            </w:r>
            <w:r>
              <w:rPr>
                <w:rFonts w:hint="default" w:ascii="宋体" w:hAnsi="宋体" w:eastAsia="宋体" w:cs="宋体"/>
                <w:color w:val="000000" w:themeColor="text1"/>
                <w:sz w:val="21"/>
                <w:szCs w:val="21"/>
                <w:highlight w:val="none"/>
                <w:lang w:val="en-US" w:eastAsia="zh-CN"/>
                <w14:textFill>
                  <w14:solidFill>
                    <w14:schemeClr w14:val="tx1"/>
                  </w14:solidFill>
                </w14:textFill>
              </w:rPr>
              <w:t>供应商负责调换、补齐或赔偿。</w:t>
            </w:r>
          </w:p>
          <w:p w14:paraId="4AF517AB">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val="en-US" w:eastAsia="zh-CN"/>
                <w14:textFill>
                  <w14:solidFill>
                    <w14:schemeClr w14:val="tx1"/>
                  </w14:solidFill>
                </w14:textFill>
              </w:rPr>
              <w:t>成交</w:t>
            </w:r>
            <w:r>
              <w:rPr>
                <w:rFonts w:hint="default" w:ascii="宋体" w:hAnsi="宋体" w:eastAsia="宋体" w:cs="宋体"/>
                <w:color w:val="000000" w:themeColor="text1"/>
                <w:sz w:val="21"/>
                <w:szCs w:val="21"/>
                <w:highlight w:val="none"/>
                <w:lang w:val="en-US" w:eastAsia="zh-CN"/>
                <w14:textFill>
                  <w14:solidFill>
                    <w14:schemeClr w14:val="tx1"/>
                  </w14:solidFill>
                </w14:textFill>
              </w:rPr>
              <w:t>供应商应提供完备的技术或服务资料、装箱单和合格证等，并派遣专业人员进行现场安装调试。</w:t>
            </w:r>
          </w:p>
          <w:p w14:paraId="1F3B2486">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lang w:val="en-US" w:eastAsia="zh-CN"/>
                <w14:textFill>
                  <w14:solidFill>
                    <w14:schemeClr w14:val="tx1"/>
                  </w14:solidFill>
                </w14:textFill>
              </w:rPr>
              <w:t>成交</w:t>
            </w:r>
            <w:r>
              <w:rPr>
                <w:rFonts w:hint="default" w:ascii="宋体" w:hAnsi="宋体" w:eastAsia="宋体" w:cs="宋体"/>
                <w:color w:val="000000" w:themeColor="text1"/>
                <w:sz w:val="21"/>
                <w:szCs w:val="21"/>
                <w:highlight w:val="none"/>
                <w:lang w:val="en-US" w:eastAsia="zh-CN"/>
                <w14:textFill>
                  <w14:solidFill>
                    <w14:schemeClr w14:val="tx1"/>
                  </w14:solidFill>
                </w14:textFill>
              </w:rPr>
              <w:t>供应商提供的货物或服务未达到采购文件规定要求，且对采购人造成损失的，由</w:t>
            </w:r>
            <w:r>
              <w:rPr>
                <w:rFonts w:hint="eastAsia" w:ascii="宋体" w:hAnsi="宋体" w:eastAsia="宋体" w:cs="宋体"/>
                <w:color w:val="000000" w:themeColor="text1"/>
                <w:sz w:val="21"/>
                <w:szCs w:val="21"/>
                <w:highlight w:val="none"/>
                <w:lang w:val="en-US" w:eastAsia="zh-CN"/>
                <w14:textFill>
                  <w14:solidFill>
                    <w14:schemeClr w14:val="tx1"/>
                  </w14:solidFill>
                </w14:textFill>
              </w:rPr>
              <w:t>成交</w:t>
            </w:r>
            <w:r>
              <w:rPr>
                <w:rFonts w:hint="default" w:ascii="宋体" w:hAnsi="宋体" w:eastAsia="宋体" w:cs="宋体"/>
                <w:color w:val="000000" w:themeColor="text1"/>
                <w:sz w:val="21"/>
                <w:szCs w:val="21"/>
                <w:highlight w:val="none"/>
                <w:lang w:val="en-US" w:eastAsia="zh-CN"/>
                <w14:textFill>
                  <w14:solidFill>
                    <w14:schemeClr w14:val="tx1"/>
                  </w14:solidFill>
                </w14:textFill>
              </w:rPr>
              <w:t>供应商承担一切责任，并赔偿所造成的损失。</w:t>
            </w:r>
          </w:p>
          <w:p w14:paraId="7E995238">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7.采购人需要制造商对</w:t>
            </w:r>
            <w:r>
              <w:rPr>
                <w:rFonts w:hint="eastAsia" w:ascii="宋体" w:hAnsi="宋体" w:eastAsia="宋体" w:cs="宋体"/>
                <w:color w:val="000000" w:themeColor="text1"/>
                <w:sz w:val="21"/>
                <w:szCs w:val="21"/>
                <w:highlight w:val="none"/>
                <w:lang w:val="en-US" w:eastAsia="zh-CN"/>
                <w14:textFill>
                  <w14:solidFill>
                    <w14:schemeClr w14:val="tx1"/>
                  </w14:solidFill>
                </w14:textFill>
              </w:rPr>
              <w:t>成交</w:t>
            </w:r>
            <w:r>
              <w:rPr>
                <w:rFonts w:hint="default" w:ascii="宋体" w:hAnsi="宋体" w:eastAsia="宋体" w:cs="宋体"/>
                <w:color w:val="000000" w:themeColor="text1"/>
                <w:sz w:val="21"/>
                <w:szCs w:val="21"/>
                <w:highlight w:val="none"/>
                <w:lang w:val="en-US" w:eastAsia="zh-CN"/>
                <w14:textFill>
                  <w14:solidFill>
                    <w14:schemeClr w14:val="tx1"/>
                  </w14:solidFill>
                </w14:textFill>
              </w:rPr>
              <w:t>供应商交付的产品或服务（包括质量、参数等）进行确认的，制造商应予以配合并出具书面意见，相关配合事项由</w:t>
            </w:r>
            <w:r>
              <w:rPr>
                <w:rFonts w:hint="eastAsia" w:ascii="宋体" w:hAnsi="宋体" w:eastAsia="宋体" w:cs="宋体"/>
                <w:color w:val="000000" w:themeColor="text1"/>
                <w:sz w:val="21"/>
                <w:szCs w:val="21"/>
                <w:highlight w:val="none"/>
                <w:lang w:val="en-US" w:eastAsia="zh-CN"/>
                <w14:textFill>
                  <w14:solidFill>
                    <w14:schemeClr w14:val="tx1"/>
                  </w14:solidFill>
                </w14:textFill>
              </w:rPr>
              <w:t>成交</w:t>
            </w:r>
            <w:r>
              <w:rPr>
                <w:rFonts w:hint="default" w:ascii="宋体" w:hAnsi="宋体" w:eastAsia="宋体" w:cs="宋体"/>
                <w:color w:val="000000" w:themeColor="text1"/>
                <w:sz w:val="21"/>
                <w:szCs w:val="21"/>
                <w:highlight w:val="none"/>
                <w:lang w:val="en-US" w:eastAsia="zh-CN"/>
                <w14:textFill>
                  <w14:solidFill>
                    <w14:schemeClr w14:val="tx1"/>
                  </w14:solidFill>
                </w14:textFill>
              </w:rPr>
              <w:t>供应商与制造商协调。</w:t>
            </w:r>
          </w:p>
          <w:p w14:paraId="5090E744">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8.产品包装材料归采购人所有。</w:t>
            </w:r>
          </w:p>
          <w:p w14:paraId="586A9FC4">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9.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4FCDFA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4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C9C38F">
            <w:pPr>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其他说明</w:t>
            </w:r>
          </w:p>
        </w:tc>
        <w:tc>
          <w:tcPr>
            <w:tcW w:w="9864" w:type="dxa"/>
            <w:gridSpan w:val="12"/>
            <w:tcBorders>
              <w:top w:val="single" w:color="auto" w:sz="4" w:space="0"/>
              <w:left w:val="single" w:color="auto" w:sz="4" w:space="0"/>
              <w:bottom w:val="single" w:color="auto" w:sz="4" w:space="0"/>
              <w:right w:val="single" w:color="auto" w:sz="4" w:space="0"/>
            </w:tcBorders>
            <w:shd w:val="clear" w:color="auto" w:fill="auto"/>
            <w:noWrap w:val="0"/>
            <w:vAlign w:val="top"/>
          </w:tcPr>
          <w:p w14:paraId="466B2462">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一、进口产品说明（根据项目实际情况选择）</w:t>
            </w:r>
          </w:p>
          <w:p w14:paraId="4AE04A08">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□本表的第  项货物所涉及的货物已按规定办妥进口产品采购审核手续，</w:t>
            </w:r>
            <w:r>
              <w:rPr>
                <w:rFonts w:hint="eastAsia" w:ascii="宋体" w:hAnsi="宋体" w:cs="宋体"/>
                <w:color w:val="000000" w:themeColor="text1"/>
                <w:sz w:val="21"/>
                <w:szCs w:val="21"/>
                <w:highlight w:val="none"/>
                <w:lang w:val="en-US" w:eastAsia="zh-CN"/>
                <w14:textFill>
                  <w14:solidFill>
                    <w14:schemeClr w14:val="tx1"/>
                  </w14:solidFill>
                </w14:textFill>
              </w:rPr>
              <w:t>竞标</w:t>
            </w:r>
            <w:r>
              <w:rPr>
                <w:rFonts w:hint="default" w:ascii="宋体" w:hAnsi="宋体" w:eastAsia="宋体" w:cs="宋体"/>
                <w:color w:val="000000" w:themeColor="text1"/>
                <w:sz w:val="21"/>
                <w:szCs w:val="21"/>
                <w:highlight w:val="none"/>
                <w:lang w:val="en-US" w:eastAsia="zh-CN"/>
                <w14:textFill>
                  <w14:solidFill>
                    <w14:schemeClr w14:val="tx1"/>
                  </w14:solidFill>
                </w14:textFill>
              </w:rPr>
              <w:t>产品可选用进口产品；但如选用进口产品时必须为全套原装进口产品（即通过中国海关报关验放进入中国境内且产自关境外的产品），同时</w:t>
            </w:r>
            <w:r>
              <w:rPr>
                <w:rFonts w:hint="eastAsia" w:ascii="宋体" w:hAnsi="宋体" w:cs="宋体"/>
                <w:color w:val="000000" w:themeColor="text1"/>
                <w:sz w:val="21"/>
                <w:szCs w:val="21"/>
                <w:highlight w:val="none"/>
                <w:lang w:val="en-US" w:eastAsia="zh-CN"/>
                <w14:textFill>
                  <w14:solidFill>
                    <w14:schemeClr w14:val="tx1"/>
                  </w14:solidFill>
                </w14:textFill>
              </w:rPr>
              <w:t>竞标</w:t>
            </w:r>
            <w:r>
              <w:rPr>
                <w:rFonts w:hint="default" w:ascii="宋体" w:hAnsi="宋体" w:eastAsia="宋体" w:cs="宋体"/>
                <w:color w:val="000000" w:themeColor="text1"/>
                <w:sz w:val="21"/>
                <w:szCs w:val="21"/>
                <w:highlight w:val="none"/>
                <w:lang w:val="en-US" w:eastAsia="zh-CN"/>
                <w14:textFill>
                  <w14:solidFill>
                    <w14:schemeClr w14:val="tx1"/>
                  </w14:solidFill>
                </w14:textFill>
              </w:rPr>
              <w:t>人必须负责办理进口产品所有相关手续并承担所有费用。其他货物不接受进口产品参与</w:t>
            </w:r>
            <w:r>
              <w:rPr>
                <w:rFonts w:hint="eastAsia" w:ascii="宋体" w:hAnsi="宋体" w:cs="宋体"/>
                <w:color w:val="000000" w:themeColor="text1"/>
                <w:sz w:val="21"/>
                <w:szCs w:val="21"/>
                <w:highlight w:val="none"/>
                <w:lang w:val="en-US" w:eastAsia="zh-CN"/>
                <w14:textFill>
                  <w14:solidFill>
                    <w14:schemeClr w14:val="tx1"/>
                  </w14:solidFill>
                </w14:textFill>
              </w:rPr>
              <w:t>竞标</w:t>
            </w:r>
            <w:r>
              <w:rPr>
                <w:rFonts w:hint="default" w:ascii="宋体" w:hAnsi="宋体" w:eastAsia="宋体" w:cs="宋体"/>
                <w:color w:val="000000" w:themeColor="text1"/>
                <w:sz w:val="21"/>
                <w:szCs w:val="21"/>
                <w:highlight w:val="none"/>
                <w:lang w:val="en-US" w:eastAsia="zh-CN"/>
                <w14:textFill>
                  <w14:solidFill>
                    <w14:schemeClr w14:val="tx1"/>
                  </w14:solidFill>
                </w14:textFill>
              </w:rPr>
              <w:t>，否则作无效标处理。</w:t>
            </w:r>
          </w:p>
          <w:p w14:paraId="204B7811">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default" w:ascii="宋体" w:hAnsi="宋体" w:eastAsia="宋体" w:cs="宋体"/>
                <w:color w:val="000000" w:themeColor="text1"/>
                <w:sz w:val="21"/>
                <w:szCs w:val="21"/>
                <w:highlight w:val="none"/>
                <w:lang w:val="en-US" w:eastAsia="zh-CN"/>
                <w14:textFill>
                  <w14:solidFill>
                    <w14:schemeClr w14:val="tx1"/>
                  </w14:solidFill>
                </w14:textFill>
              </w:rPr>
              <w:t>本分标货物所涉及的货物不接受进口产品（即通过中国海关报关验放进入中国境内且产自关境外的产品）参与</w:t>
            </w:r>
            <w:r>
              <w:rPr>
                <w:rFonts w:hint="eastAsia" w:ascii="宋体" w:hAnsi="宋体" w:cs="宋体"/>
                <w:color w:val="000000" w:themeColor="text1"/>
                <w:sz w:val="21"/>
                <w:szCs w:val="21"/>
                <w:highlight w:val="none"/>
                <w:lang w:val="en-US" w:eastAsia="zh-CN"/>
                <w14:textFill>
                  <w14:solidFill>
                    <w14:schemeClr w14:val="tx1"/>
                  </w14:solidFill>
                </w14:textFill>
              </w:rPr>
              <w:t>竞标</w:t>
            </w:r>
            <w:r>
              <w:rPr>
                <w:rFonts w:hint="default" w:ascii="宋体" w:hAnsi="宋体" w:eastAsia="宋体" w:cs="宋体"/>
                <w:color w:val="000000" w:themeColor="text1"/>
                <w:sz w:val="21"/>
                <w:szCs w:val="21"/>
                <w:highlight w:val="none"/>
                <w:lang w:val="en-US" w:eastAsia="zh-CN"/>
                <w14:textFill>
                  <w14:solidFill>
                    <w14:schemeClr w14:val="tx1"/>
                  </w14:solidFill>
                </w14:textFill>
              </w:rPr>
              <w:t>，如有进口产品参与</w:t>
            </w:r>
            <w:r>
              <w:rPr>
                <w:rFonts w:hint="eastAsia" w:ascii="宋体" w:hAnsi="宋体" w:cs="宋体"/>
                <w:color w:val="000000" w:themeColor="text1"/>
                <w:sz w:val="21"/>
                <w:szCs w:val="21"/>
                <w:highlight w:val="none"/>
                <w:lang w:val="en-US" w:eastAsia="zh-CN"/>
                <w14:textFill>
                  <w14:solidFill>
                    <w14:schemeClr w14:val="tx1"/>
                  </w14:solidFill>
                </w14:textFill>
              </w:rPr>
              <w:t>竞标</w:t>
            </w:r>
            <w:r>
              <w:rPr>
                <w:rFonts w:hint="default" w:ascii="宋体" w:hAnsi="宋体" w:eastAsia="宋体" w:cs="宋体"/>
                <w:color w:val="000000" w:themeColor="text1"/>
                <w:sz w:val="21"/>
                <w:szCs w:val="21"/>
                <w:highlight w:val="none"/>
                <w:lang w:val="en-US" w:eastAsia="zh-CN"/>
                <w14:textFill>
                  <w14:solidFill>
                    <w14:schemeClr w14:val="tx1"/>
                  </w14:solidFill>
                </w14:textFill>
              </w:rPr>
              <w:t>的作无效标处理。</w:t>
            </w:r>
          </w:p>
          <w:p w14:paraId="12CF6E82">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w:t>
            </w:r>
            <w:r>
              <w:rPr>
                <w:rFonts w:hint="default" w:ascii="宋体" w:hAnsi="宋体" w:eastAsia="宋体" w:cs="宋体"/>
                <w:b/>
                <w:bCs/>
                <w:color w:val="000000" w:themeColor="text1"/>
                <w:sz w:val="21"/>
                <w:szCs w:val="21"/>
                <w:highlight w:val="none"/>
                <w:lang w:val="en-US" w:eastAsia="zh-CN"/>
                <w14:textFill>
                  <w14:solidFill>
                    <w14:schemeClr w14:val="tx1"/>
                  </w14:solidFill>
                </w14:textFill>
              </w:rPr>
              <w:t>二、核心产品：</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智能密集架</w:t>
            </w:r>
            <w:r>
              <w:rPr>
                <w:rFonts w:hint="eastAsia" w:ascii="宋体" w:hAnsi="宋体" w:cs="宋体"/>
                <w:b/>
                <w:bCs/>
                <w:color w:val="000000" w:themeColor="text1"/>
                <w:sz w:val="21"/>
                <w:szCs w:val="21"/>
                <w:highlight w:val="none"/>
                <w:lang w:val="en-US" w:eastAsia="zh-CN"/>
                <w14:textFill>
                  <w14:solidFill>
                    <w14:schemeClr w14:val="tx1"/>
                  </w14:solidFill>
                </w14:textFill>
              </w:rPr>
              <w:t>。</w:t>
            </w:r>
          </w:p>
          <w:p w14:paraId="0EEE1F52">
            <w:pPr>
              <w:spacing w:line="360" w:lineRule="auto"/>
              <w:ind w:firstLine="210" w:firstLineChars="100"/>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提供相同品牌产品且通过资格审查、符合性审查的不同</w:t>
            </w:r>
            <w:r>
              <w:rPr>
                <w:rFonts w:hint="eastAsia" w:ascii="宋体" w:hAnsi="宋体" w:cs="宋体"/>
                <w:color w:val="000000" w:themeColor="text1"/>
                <w:sz w:val="21"/>
                <w:szCs w:val="21"/>
                <w:highlight w:val="none"/>
                <w:lang w:val="en-US" w:eastAsia="zh-CN"/>
                <w14:textFill>
                  <w14:solidFill>
                    <w14:schemeClr w14:val="tx1"/>
                  </w14:solidFill>
                </w14:textFill>
              </w:rPr>
              <w:t>供应商</w:t>
            </w:r>
            <w:r>
              <w:rPr>
                <w:rFonts w:hint="default" w:ascii="宋体" w:hAnsi="宋体" w:eastAsia="宋体" w:cs="宋体"/>
                <w:color w:val="000000" w:themeColor="text1"/>
                <w:sz w:val="21"/>
                <w:szCs w:val="21"/>
                <w:highlight w:val="none"/>
                <w:lang w:val="en-US" w:eastAsia="zh-CN"/>
                <w14:textFill>
                  <w14:solidFill>
                    <w14:schemeClr w14:val="tx1"/>
                  </w14:solidFill>
                </w14:textFill>
              </w:rPr>
              <w:t>参加同一合同项下</w:t>
            </w:r>
            <w:r>
              <w:rPr>
                <w:rFonts w:hint="eastAsia" w:ascii="宋体" w:hAnsi="宋体" w:cs="宋体"/>
                <w:color w:val="000000" w:themeColor="text1"/>
                <w:sz w:val="21"/>
                <w:szCs w:val="21"/>
                <w:highlight w:val="none"/>
                <w:lang w:val="en-US" w:eastAsia="zh-CN"/>
                <w14:textFill>
                  <w14:solidFill>
                    <w14:schemeClr w14:val="tx1"/>
                  </w14:solidFill>
                </w14:textFill>
              </w:rPr>
              <w:t>竞标</w:t>
            </w:r>
            <w:r>
              <w:rPr>
                <w:rFonts w:hint="default" w:ascii="宋体" w:hAnsi="宋体" w:eastAsia="宋体" w:cs="宋体"/>
                <w:color w:val="000000" w:themeColor="text1"/>
                <w:sz w:val="21"/>
                <w:szCs w:val="21"/>
                <w:highlight w:val="none"/>
                <w:lang w:val="en-US" w:eastAsia="zh-CN"/>
                <w14:textFill>
                  <w14:solidFill>
                    <w14:schemeClr w14:val="tx1"/>
                  </w14:solidFill>
                </w14:textFill>
              </w:rPr>
              <w:t>的，按一家</w:t>
            </w:r>
            <w:r>
              <w:rPr>
                <w:rFonts w:hint="eastAsia" w:ascii="宋体" w:hAnsi="宋体" w:cs="宋体"/>
                <w:color w:val="000000" w:themeColor="text1"/>
                <w:sz w:val="21"/>
                <w:szCs w:val="21"/>
                <w:highlight w:val="none"/>
                <w:lang w:val="en-US" w:eastAsia="zh-CN"/>
                <w14:textFill>
                  <w14:solidFill>
                    <w14:schemeClr w14:val="tx1"/>
                  </w14:solidFill>
                </w14:textFill>
              </w:rPr>
              <w:t>供应商</w:t>
            </w:r>
            <w:r>
              <w:rPr>
                <w:rFonts w:hint="default" w:ascii="宋体" w:hAnsi="宋体" w:eastAsia="宋体" w:cs="宋体"/>
                <w:color w:val="000000" w:themeColor="text1"/>
                <w:sz w:val="21"/>
                <w:szCs w:val="21"/>
                <w:highlight w:val="none"/>
                <w:lang w:val="en-US" w:eastAsia="zh-CN"/>
                <w14:textFill>
                  <w14:solidFill>
                    <w14:schemeClr w14:val="tx1"/>
                  </w14:solidFill>
                </w14:textFill>
              </w:rPr>
              <w:t>计算，评审后得分最高的同品牌</w:t>
            </w:r>
            <w:r>
              <w:rPr>
                <w:rFonts w:hint="eastAsia" w:ascii="宋体" w:hAnsi="宋体" w:cs="宋体"/>
                <w:color w:val="000000" w:themeColor="text1"/>
                <w:sz w:val="21"/>
                <w:szCs w:val="21"/>
                <w:highlight w:val="none"/>
                <w:lang w:val="en-US" w:eastAsia="zh-CN"/>
                <w14:textFill>
                  <w14:solidFill>
                    <w14:schemeClr w14:val="tx1"/>
                  </w14:solidFill>
                </w14:textFill>
              </w:rPr>
              <w:t>供应商</w:t>
            </w:r>
            <w:r>
              <w:rPr>
                <w:rFonts w:hint="default" w:ascii="宋体" w:hAnsi="宋体" w:eastAsia="宋体" w:cs="宋体"/>
                <w:color w:val="000000" w:themeColor="text1"/>
                <w:sz w:val="21"/>
                <w:szCs w:val="21"/>
                <w:highlight w:val="none"/>
                <w:lang w:val="en-US" w:eastAsia="zh-CN"/>
                <w14:textFill>
                  <w14:solidFill>
                    <w14:schemeClr w14:val="tx1"/>
                  </w14:solidFill>
                </w14:textFill>
              </w:rPr>
              <w:t>获得</w:t>
            </w:r>
            <w:r>
              <w:rPr>
                <w:rFonts w:hint="eastAsia" w:ascii="宋体" w:hAnsi="宋体" w:cs="宋体"/>
                <w:color w:val="000000" w:themeColor="text1"/>
                <w:sz w:val="21"/>
                <w:szCs w:val="21"/>
                <w:highlight w:val="none"/>
                <w:lang w:val="en-US" w:eastAsia="zh-CN"/>
                <w14:textFill>
                  <w14:solidFill>
                    <w14:schemeClr w14:val="tx1"/>
                  </w14:solidFill>
                </w14:textFill>
              </w:rPr>
              <w:t>成交</w:t>
            </w:r>
            <w:r>
              <w:rPr>
                <w:rFonts w:hint="default" w:ascii="宋体" w:hAnsi="宋体" w:eastAsia="宋体" w:cs="宋体"/>
                <w:color w:val="000000" w:themeColor="text1"/>
                <w:sz w:val="21"/>
                <w:szCs w:val="21"/>
                <w:highlight w:val="none"/>
                <w:lang w:val="en-US" w:eastAsia="zh-CN"/>
                <w14:textFill>
                  <w14:solidFill>
                    <w14:schemeClr w14:val="tx1"/>
                  </w14:solidFill>
                </w14:textFill>
              </w:rPr>
              <w:t>人推荐资格；评审得分相同的，由采购人或者采购人委托评标委员会按照招标文件规定的方式确定一个</w:t>
            </w:r>
            <w:r>
              <w:rPr>
                <w:rFonts w:hint="eastAsia" w:ascii="宋体" w:hAnsi="宋体" w:cs="宋体"/>
                <w:color w:val="000000" w:themeColor="text1"/>
                <w:sz w:val="21"/>
                <w:szCs w:val="21"/>
                <w:highlight w:val="none"/>
                <w:lang w:val="en-US" w:eastAsia="zh-CN"/>
                <w14:textFill>
                  <w14:solidFill>
                    <w14:schemeClr w14:val="tx1"/>
                  </w14:solidFill>
                </w14:textFill>
              </w:rPr>
              <w:t>供应商</w:t>
            </w:r>
            <w:r>
              <w:rPr>
                <w:rFonts w:hint="default" w:ascii="宋体" w:hAnsi="宋体" w:eastAsia="宋体" w:cs="宋体"/>
                <w:color w:val="000000" w:themeColor="text1"/>
                <w:sz w:val="21"/>
                <w:szCs w:val="21"/>
                <w:highlight w:val="none"/>
                <w:lang w:val="en-US" w:eastAsia="zh-CN"/>
                <w14:textFill>
                  <w14:solidFill>
                    <w14:schemeClr w14:val="tx1"/>
                  </w14:solidFill>
                </w14:textFill>
              </w:rPr>
              <w:t>获得</w:t>
            </w:r>
            <w:r>
              <w:rPr>
                <w:rFonts w:hint="eastAsia" w:ascii="宋体" w:hAnsi="宋体" w:cs="宋体"/>
                <w:color w:val="000000" w:themeColor="text1"/>
                <w:sz w:val="21"/>
                <w:szCs w:val="21"/>
                <w:highlight w:val="none"/>
                <w:lang w:val="en-US" w:eastAsia="zh-CN"/>
                <w14:textFill>
                  <w14:solidFill>
                    <w14:schemeClr w14:val="tx1"/>
                  </w14:solidFill>
                </w14:textFill>
              </w:rPr>
              <w:t>成交</w:t>
            </w:r>
            <w:r>
              <w:rPr>
                <w:rFonts w:hint="default" w:ascii="宋体" w:hAnsi="宋体" w:eastAsia="宋体" w:cs="宋体"/>
                <w:color w:val="000000" w:themeColor="text1"/>
                <w:sz w:val="21"/>
                <w:szCs w:val="21"/>
                <w:highlight w:val="none"/>
                <w:lang w:val="en-US" w:eastAsia="zh-CN"/>
                <w14:textFill>
                  <w14:solidFill>
                    <w14:schemeClr w14:val="tx1"/>
                  </w14:solidFill>
                </w14:textFill>
              </w:rPr>
              <w:t>人推荐资格，</w:t>
            </w:r>
            <w:r>
              <w:rPr>
                <w:rFonts w:hint="eastAsia" w:ascii="宋体" w:hAnsi="宋体" w:cs="宋体"/>
                <w:color w:val="000000" w:themeColor="text1"/>
                <w:sz w:val="21"/>
                <w:szCs w:val="21"/>
                <w:highlight w:val="none"/>
                <w:lang w:val="en-US" w:eastAsia="zh-CN"/>
                <w14:textFill>
                  <w14:solidFill>
                    <w14:schemeClr w14:val="tx1"/>
                  </w14:solidFill>
                </w14:textFill>
              </w:rPr>
              <w:t>采购</w:t>
            </w:r>
            <w:r>
              <w:rPr>
                <w:rFonts w:hint="default" w:ascii="宋体" w:hAnsi="宋体" w:eastAsia="宋体" w:cs="宋体"/>
                <w:color w:val="000000" w:themeColor="text1"/>
                <w:sz w:val="21"/>
                <w:szCs w:val="21"/>
                <w:highlight w:val="none"/>
                <w:lang w:val="en-US" w:eastAsia="zh-CN"/>
                <w14:textFill>
                  <w14:solidFill>
                    <w14:schemeClr w14:val="tx1"/>
                  </w14:solidFill>
                </w14:textFill>
              </w:rPr>
              <w:t>文件未规定的采取随机抽取方式确定，其他同品牌</w:t>
            </w:r>
            <w:r>
              <w:rPr>
                <w:rFonts w:hint="eastAsia" w:ascii="宋体" w:hAnsi="宋体" w:cs="宋体"/>
                <w:color w:val="000000" w:themeColor="text1"/>
                <w:sz w:val="21"/>
                <w:szCs w:val="21"/>
                <w:highlight w:val="none"/>
                <w:lang w:val="en-US" w:eastAsia="zh-CN"/>
                <w14:textFill>
                  <w14:solidFill>
                    <w14:schemeClr w14:val="tx1"/>
                  </w14:solidFill>
                </w14:textFill>
              </w:rPr>
              <w:t>供应商</w:t>
            </w:r>
            <w:r>
              <w:rPr>
                <w:rFonts w:hint="default" w:ascii="宋体" w:hAnsi="宋体" w:eastAsia="宋体" w:cs="宋体"/>
                <w:color w:val="000000" w:themeColor="text1"/>
                <w:sz w:val="21"/>
                <w:szCs w:val="21"/>
                <w:highlight w:val="none"/>
                <w:lang w:val="en-US" w:eastAsia="zh-CN"/>
                <w14:textFill>
                  <w14:solidFill>
                    <w14:schemeClr w14:val="tx1"/>
                  </w14:solidFill>
                </w14:textFill>
              </w:rPr>
              <w:t>不作为</w:t>
            </w:r>
            <w:r>
              <w:rPr>
                <w:rFonts w:hint="eastAsia" w:ascii="宋体" w:hAnsi="宋体" w:cs="宋体"/>
                <w:color w:val="000000" w:themeColor="text1"/>
                <w:sz w:val="21"/>
                <w:szCs w:val="21"/>
                <w:highlight w:val="none"/>
                <w:lang w:val="en-US" w:eastAsia="zh-CN"/>
                <w14:textFill>
                  <w14:solidFill>
                    <w14:schemeClr w14:val="tx1"/>
                  </w14:solidFill>
                </w14:textFill>
              </w:rPr>
              <w:t>成交</w:t>
            </w:r>
            <w:r>
              <w:rPr>
                <w:rFonts w:hint="default" w:ascii="宋体" w:hAnsi="宋体" w:eastAsia="宋体" w:cs="宋体"/>
                <w:color w:val="000000" w:themeColor="text1"/>
                <w:sz w:val="21"/>
                <w:szCs w:val="21"/>
                <w:highlight w:val="none"/>
                <w:lang w:val="en-US" w:eastAsia="zh-CN"/>
                <w14:textFill>
                  <w14:solidFill>
                    <w14:schemeClr w14:val="tx1"/>
                  </w14:solidFill>
                </w14:textFill>
              </w:rPr>
              <w:t>候选人。</w:t>
            </w:r>
          </w:p>
          <w:p w14:paraId="76BDC9E7">
            <w:pPr>
              <w:spacing w:line="360" w:lineRule="auto"/>
              <w:rPr>
                <w:rFonts w:hint="default" w:ascii="宋体" w:hAnsi="宋体" w:eastAsia="宋体" w:cs="宋体"/>
                <w:b/>
                <w:bCs/>
                <w:color w:val="000000" w:themeColor="text1"/>
                <w:sz w:val="21"/>
                <w:szCs w:val="21"/>
                <w:highlight w:val="none"/>
                <w:lang w:val="en-US" w:eastAsia="zh-CN"/>
                <w14:textFill>
                  <w14:solidFill>
                    <w14:schemeClr w14:val="tx1"/>
                  </w14:solidFill>
                </w14:textFill>
              </w:rPr>
            </w:pPr>
            <w:r>
              <w:rPr>
                <w:rFonts w:hint="default" w:ascii="宋体" w:hAnsi="宋体" w:eastAsia="宋体" w:cs="宋体"/>
                <w:b/>
                <w:bCs/>
                <w:color w:val="000000" w:themeColor="text1"/>
                <w:sz w:val="21"/>
                <w:szCs w:val="21"/>
                <w:highlight w:val="none"/>
                <w:lang w:val="en-US" w:eastAsia="zh-CN"/>
                <w14:textFill>
                  <w14:solidFill>
                    <w14:schemeClr w14:val="tx1"/>
                  </w14:solidFill>
                </w14:textFill>
              </w:rPr>
              <w:t>三、其他</w:t>
            </w:r>
          </w:p>
          <w:p w14:paraId="35FC9B8C">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1.培训：</w:t>
            </w:r>
            <w:r>
              <w:rPr>
                <w:rFonts w:hint="eastAsia" w:ascii="宋体" w:hAnsi="宋体" w:eastAsia="宋体" w:cs="宋体"/>
                <w:color w:val="000000" w:themeColor="text1"/>
                <w:sz w:val="21"/>
                <w:szCs w:val="21"/>
                <w:highlight w:val="none"/>
                <w:lang w:val="en-US" w:eastAsia="zh-CN"/>
                <w14:textFill>
                  <w14:solidFill>
                    <w14:schemeClr w14:val="tx1"/>
                  </w14:solidFill>
                </w14:textFill>
              </w:rPr>
              <w:t>成交</w:t>
            </w:r>
            <w:r>
              <w:rPr>
                <w:rFonts w:hint="default" w:ascii="宋体" w:hAnsi="宋体" w:eastAsia="宋体" w:cs="宋体"/>
                <w:color w:val="000000" w:themeColor="text1"/>
                <w:sz w:val="21"/>
                <w:szCs w:val="21"/>
                <w:highlight w:val="none"/>
                <w:lang w:val="en-US" w:eastAsia="zh-CN"/>
                <w14:textFill>
                  <w14:solidFill>
                    <w14:schemeClr w14:val="tx1"/>
                  </w14:solidFill>
                </w14:textFill>
              </w:rPr>
              <w:t>供应商对其提供产品或服务的使用和操作应尽培训义务。</w:t>
            </w:r>
            <w:r>
              <w:rPr>
                <w:rFonts w:hint="eastAsia" w:ascii="宋体" w:hAnsi="宋体" w:eastAsia="宋体" w:cs="宋体"/>
                <w:color w:val="000000" w:themeColor="text1"/>
                <w:sz w:val="21"/>
                <w:szCs w:val="21"/>
                <w:highlight w:val="none"/>
                <w:lang w:val="en-US" w:eastAsia="zh-CN"/>
                <w14:textFill>
                  <w14:solidFill>
                    <w14:schemeClr w14:val="tx1"/>
                  </w14:solidFill>
                </w14:textFill>
              </w:rPr>
              <w:t>成交</w:t>
            </w:r>
            <w:r>
              <w:rPr>
                <w:rFonts w:hint="default" w:ascii="宋体" w:hAnsi="宋体" w:eastAsia="宋体" w:cs="宋体"/>
                <w:color w:val="000000" w:themeColor="text1"/>
                <w:sz w:val="21"/>
                <w:szCs w:val="21"/>
                <w:highlight w:val="none"/>
                <w:lang w:val="en-US" w:eastAsia="zh-CN"/>
                <w14:textFill>
                  <w14:solidFill>
                    <w14:schemeClr w14:val="tx1"/>
                  </w14:solidFill>
                </w14:textFill>
              </w:rPr>
              <w:t>供应商应提供对采购人的基本培训，使采购人使用人员熟练掌握所培训内容，培训的相关费用包括在竞标报价中，采购人不再另行支付。</w:t>
            </w:r>
          </w:p>
          <w:p w14:paraId="4897AFC0">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2.知识产权及正品要求</w:t>
            </w:r>
            <w:r>
              <w:rPr>
                <w:rFonts w:hint="default" w:ascii="宋体" w:hAnsi="宋体" w:eastAsia="宋体" w:cs="宋体"/>
                <w:color w:val="000000" w:themeColor="text1"/>
                <w:sz w:val="21"/>
                <w:szCs w:val="21"/>
                <w:highlight w:val="none"/>
                <w:lang w:val="en-US" w:eastAsia="zh-CN"/>
                <w14:textFill>
                  <w14:solidFill>
                    <w14:schemeClr w14:val="tx1"/>
                  </w14:solidFill>
                </w14:textFill>
              </w:rPr>
              <w:tab/>
            </w:r>
          </w:p>
          <w:p w14:paraId="0C39ADC7">
            <w:pPr>
              <w:spacing w:line="360" w:lineRule="auto"/>
              <w:ind w:firstLine="420" w:firstLineChars="200"/>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供应商所提供的产品必须为合法正规渠道的正品，不得侵犯任何第三方知识产权。如发现属于假冒伪劣产品或非正规渠道来源产品，采购人有权不予验收，并依法追究供应商法律责任。</w:t>
            </w:r>
            <w:r>
              <w:rPr>
                <w:rFonts w:hint="default" w:ascii="宋体" w:hAnsi="宋体" w:eastAsia="宋体" w:cs="宋体"/>
                <w:color w:val="000000" w:themeColor="text1"/>
                <w:sz w:val="21"/>
                <w:szCs w:val="21"/>
                <w:highlight w:val="none"/>
                <w:lang w:val="en-US" w:eastAsia="zh-CN"/>
                <w14:textFill>
                  <w14:solidFill>
                    <w14:schemeClr w14:val="tx1"/>
                  </w14:solidFill>
                </w14:textFill>
              </w:rPr>
              <w:tab/>
            </w:r>
          </w:p>
          <w:p w14:paraId="4468743C">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default" w:ascii="宋体" w:hAnsi="宋体" w:eastAsia="宋体" w:cs="宋体"/>
                <w:color w:val="000000" w:themeColor="text1"/>
                <w:sz w:val="21"/>
                <w:szCs w:val="21"/>
                <w:highlight w:val="none"/>
                <w:lang w:val="en-US" w:eastAsia="zh-CN"/>
                <w14:textFill>
                  <w14:solidFill>
                    <w14:schemeClr w14:val="tx1"/>
                  </w14:solidFill>
                </w14:textFill>
              </w:rPr>
              <w:t>响应真实性要求</w:t>
            </w:r>
            <w:r>
              <w:rPr>
                <w:rFonts w:hint="default" w:ascii="宋体" w:hAnsi="宋体" w:eastAsia="宋体" w:cs="宋体"/>
                <w:color w:val="000000" w:themeColor="text1"/>
                <w:sz w:val="21"/>
                <w:szCs w:val="21"/>
                <w:highlight w:val="none"/>
                <w:lang w:val="en-US" w:eastAsia="zh-CN"/>
                <w14:textFill>
                  <w14:solidFill>
                    <w14:schemeClr w14:val="tx1"/>
                  </w14:solidFill>
                </w14:textFill>
              </w:rPr>
              <w:tab/>
            </w:r>
          </w:p>
          <w:p w14:paraId="5F1B6D73">
            <w:pPr>
              <w:spacing w:line="360" w:lineRule="auto"/>
              <w:ind w:firstLine="420" w:firstLineChars="200"/>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供应商应确保对本项目产品参数要求的实质性响应。若供应商存在虚假响应、无法按承诺提供合格产品或影响采购人正常使用的，采购人有权依法取消其成交资格，并报政府采购监督管理部门处理。</w:t>
            </w:r>
          </w:p>
          <w:p w14:paraId="13562863">
            <w:pPr>
              <w:spacing w:line="360" w:lineRule="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default" w:ascii="宋体" w:hAnsi="宋体" w:eastAsia="宋体" w:cs="宋体"/>
                <w:color w:val="000000" w:themeColor="text1"/>
                <w:sz w:val="21"/>
                <w:szCs w:val="21"/>
                <w:highlight w:val="none"/>
                <w:lang w:val="en-US" w:eastAsia="zh-CN"/>
                <w14:textFill>
                  <w14:solidFill>
                    <w14:schemeClr w14:val="tx1"/>
                  </w14:solidFill>
                </w14:textFill>
              </w:rPr>
              <w:t>四、根据《国务院办公厅关于在政府采购中实施本国产品标准及相关政策的通知》（国办发〔2025〕34号）的规定，政府采购活动中既有本国产品又有非本国产品参与竞争的，依法对符合政策要求的本国产品给予价格评审优惠，具体详见“第四章 评标方法和评标标准”。产品在中国境内生产的组件成本，按照《中国境内生产的组件成本核算基本规则》计算。</w:t>
            </w:r>
          </w:p>
        </w:tc>
      </w:tr>
    </w:tbl>
    <w:p w14:paraId="0D343648">
      <w:pPr>
        <w:rPr>
          <w:rFonts w:hint="eastAsia" w:ascii="微软雅黑" w:hAnsi="微软雅黑" w:eastAsia="微软雅黑" w:cs="微软雅黑"/>
          <w:color w:val="000000" w:themeColor="text1"/>
          <w:sz w:val="32"/>
          <w:szCs w:val="32"/>
          <w:highlight w:val="none"/>
          <w14:textFill>
            <w14:solidFill>
              <w14:schemeClr w14:val="tx1"/>
            </w14:solidFill>
          </w14:textFill>
        </w:rPr>
      </w:pPr>
      <w:r>
        <w:rPr>
          <w:rFonts w:hint="eastAsia" w:ascii="微软雅黑" w:hAnsi="微软雅黑" w:eastAsia="微软雅黑" w:cs="微软雅黑"/>
          <w:color w:val="000000" w:themeColor="text1"/>
          <w:sz w:val="32"/>
          <w:szCs w:val="32"/>
          <w:highlight w:val="none"/>
          <w14:textFill>
            <w14:solidFill>
              <w14:schemeClr w14:val="tx1"/>
            </w14:solidFill>
          </w14:textFill>
        </w:rPr>
        <w:br w:type="page"/>
      </w:r>
    </w:p>
    <w:p w14:paraId="52C02644">
      <w:pPr>
        <w:pStyle w:val="11"/>
        <w:spacing w:line="420" w:lineRule="exact"/>
        <w:ind w:firstLine="640" w:firstLineChars="200"/>
        <w:rPr>
          <w:rFonts w:hint="eastAsia" w:ascii="Arial Unicode MS" w:hAnsi="Arial Unicode MS" w:eastAsia="Arial Unicode MS" w:cs="Arial Unicode MS"/>
          <w:color w:val="000000" w:themeColor="text1"/>
          <w:sz w:val="17"/>
          <w:szCs w:val="17"/>
          <w:highlight w:val="none"/>
          <w14:textFill>
            <w14:solidFill>
              <w14:schemeClr w14:val="tx1"/>
            </w14:solidFill>
          </w14:textFill>
        </w:rPr>
      </w:pPr>
      <w:r>
        <w:rPr>
          <w:rFonts w:hint="eastAsia" w:ascii="微软雅黑" w:hAnsi="微软雅黑" w:eastAsia="微软雅黑" w:cs="微软雅黑"/>
          <w:color w:val="000000" w:themeColor="text1"/>
          <w:sz w:val="32"/>
          <w:szCs w:val="32"/>
          <w:highlight w:val="none"/>
          <w14:textFill>
            <w14:solidFill>
              <w14:schemeClr w14:val="tx1"/>
            </w14:solidFill>
          </w14:textFill>
        </w:rPr>
        <w:t>附件</w:t>
      </w:r>
      <w:r>
        <w:rPr>
          <w:rFonts w:ascii="Arial Unicode MS" w:hAnsi="Arial Unicode MS" w:eastAsia="Arial Unicode MS" w:cs="Arial Unicode MS"/>
          <w:color w:val="000000" w:themeColor="text1"/>
          <w:sz w:val="32"/>
          <w:szCs w:val="32"/>
          <w:highlight w:val="none"/>
          <w14:textFill>
            <w14:solidFill>
              <w14:schemeClr w14:val="tx1"/>
            </w14:solidFill>
          </w14:textFill>
        </w:rPr>
        <w:t>1</w:t>
      </w:r>
      <w:r>
        <w:rPr>
          <w:rFonts w:hint="eastAsia" w:ascii="微软雅黑" w:hAnsi="微软雅黑" w:eastAsia="微软雅黑" w:cs="微软雅黑"/>
          <w:color w:val="000000" w:themeColor="text1"/>
          <w:sz w:val="32"/>
          <w:szCs w:val="32"/>
          <w:highlight w:val="none"/>
          <w14:textFill>
            <w14:solidFill>
              <w14:schemeClr w14:val="tx1"/>
            </w14:solidFill>
          </w14:textFill>
        </w:rPr>
        <w:t>：</w:t>
      </w:r>
    </w:p>
    <w:p w14:paraId="54881C4A">
      <w:pPr>
        <w:spacing w:line="528" w:lineRule="exact"/>
        <w:ind w:left="1871"/>
        <w:rPr>
          <w:rFonts w:ascii="Arial Unicode MS" w:hAnsi="Arial Unicode MS" w:eastAsia="Arial Unicode MS" w:cs="Arial Unicode MS"/>
          <w:color w:val="000000" w:themeColor="text1"/>
          <w:sz w:val="40"/>
          <w:szCs w:val="40"/>
          <w:highlight w:val="none"/>
          <w14:textFill>
            <w14:solidFill>
              <w14:schemeClr w14:val="tx1"/>
            </w14:solidFill>
          </w14:textFill>
        </w:rPr>
      </w:pPr>
      <w:r>
        <w:rPr>
          <w:rFonts w:hint="eastAsia" w:ascii="微软雅黑" w:hAnsi="微软雅黑" w:eastAsia="微软雅黑" w:cs="微软雅黑"/>
          <w:color w:val="000000" w:themeColor="text1"/>
          <w:sz w:val="40"/>
          <w:szCs w:val="40"/>
          <w:highlight w:val="none"/>
          <w14:textFill>
            <w14:solidFill>
              <w14:schemeClr w14:val="tx1"/>
            </w14:solidFill>
          </w14:textFill>
        </w:rPr>
        <w:t>节能产品政府采购品目清单</w:t>
      </w:r>
    </w:p>
    <w:tbl>
      <w:tblPr>
        <w:tblStyle w:val="29"/>
        <w:tblW w:w="92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1"/>
        <w:gridCol w:w="1116"/>
        <w:gridCol w:w="1516"/>
        <w:gridCol w:w="1612"/>
        <w:gridCol w:w="4335"/>
      </w:tblGrid>
      <w:tr w14:paraId="420BF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60" w:type="dxa"/>
            <w:noWrap w:val="0"/>
            <w:vAlign w:val="top"/>
          </w:tcPr>
          <w:p w14:paraId="6012EEC4">
            <w:pPr>
              <w:widowControl/>
              <w:jc w:val="center"/>
              <w:rPr>
                <w:rFonts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品目序号</w:t>
            </w:r>
          </w:p>
        </w:tc>
        <w:tc>
          <w:tcPr>
            <w:tcW w:w="4020" w:type="dxa"/>
            <w:gridSpan w:val="3"/>
            <w:noWrap w:val="0"/>
            <w:vAlign w:val="center"/>
          </w:tcPr>
          <w:p w14:paraId="54AD4AF8">
            <w:pPr>
              <w:widowControl/>
              <w:jc w:val="center"/>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名称</w:t>
            </w:r>
          </w:p>
        </w:tc>
        <w:tc>
          <w:tcPr>
            <w:tcW w:w="4540" w:type="dxa"/>
            <w:noWrap w:val="0"/>
            <w:vAlign w:val="center"/>
          </w:tcPr>
          <w:p w14:paraId="07EA4D49">
            <w:pPr>
              <w:widowControl/>
              <w:jc w:val="center"/>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依据的标准</w:t>
            </w:r>
          </w:p>
        </w:tc>
      </w:tr>
      <w:tr w14:paraId="6C7AA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restart"/>
            <w:noWrap w:val="0"/>
            <w:vAlign w:val="center"/>
          </w:tcPr>
          <w:p w14:paraId="7198F63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w:t>
            </w:r>
          </w:p>
        </w:tc>
        <w:tc>
          <w:tcPr>
            <w:tcW w:w="1080" w:type="dxa"/>
            <w:vMerge w:val="restart"/>
            <w:noWrap w:val="0"/>
            <w:vAlign w:val="center"/>
          </w:tcPr>
          <w:p w14:paraId="66990EA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A020101计算机设备</w:t>
            </w:r>
          </w:p>
        </w:tc>
        <w:tc>
          <w:tcPr>
            <w:tcW w:w="1320" w:type="dxa"/>
            <w:noWrap w:val="0"/>
            <w:vAlign w:val="center"/>
          </w:tcPr>
          <w:p w14:paraId="2D4E27D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★A02010104台式计算机</w:t>
            </w:r>
          </w:p>
        </w:tc>
        <w:tc>
          <w:tcPr>
            <w:tcW w:w="1620" w:type="dxa"/>
            <w:noWrap w:val="0"/>
            <w:vAlign w:val="center"/>
          </w:tcPr>
          <w:p w14:paraId="6A62144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noWrap w:val="0"/>
            <w:vAlign w:val="center"/>
          </w:tcPr>
          <w:p w14:paraId="73BA542E">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7BE2B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32E8EFC0">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41AD08F1">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noWrap w:val="0"/>
            <w:vAlign w:val="center"/>
          </w:tcPr>
          <w:p w14:paraId="02F026F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★A02010105便携式计算机</w:t>
            </w:r>
          </w:p>
        </w:tc>
        <w:tc>
          <w:tcPr>
            <w:tcW w:w="1620" w:type="dxa"/>
            <w:noWrap w:val="0"/>
            <w:vAlign w:val="center"/>
          </w:tcPr>
          <w:p w14:paraId="1BF1D69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noWrap w:val="0"/>
            <w:vAlign w:val="center"/>
          </w:tcPr>
          <w:p w14:paraId="512DC043">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4273D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0" w:type="auto"/>
            <w:vMerge w:val="continue"/>
            <w:noWrap w:val="0"/>
            <w:vAlign w:val="center"/>
          </w:tcPr>
          <w:p w14:paraId="16E62072">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4CDB5498">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noWrap w:val="0"/>
            <w:vAlign w:val="center"/>
          </w:tcPr>
          <w:p w14:paraId="5C806E6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★A02010107平板式微型计算机</w:t>
            </w:r>
          </w:p>
        </w:tc>
        <w:tc>
          <w:tcPr>
            <w:tcW w:w="1620" w:type="dxa"/>
            <w:noWrap w:val="0"/>
            <w:vAlign w:val="center"/>
          </w:tcPr>
          <w:p w14:paraId="7553504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noWrap w:val="0"/>
            <w:vAlign w:val="center"/>
          </w:tcPr>
          <w:p w14:paraId="30CF955F">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69E09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restart"/>
            <w:noWrap w:val="0"/>
            <w:vAlign w:val="center"/>
          </w:tcPr>
          <w:p w14:paraId="0E11CDB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2</w:t>
            </w:r>
          </w:p>
        </w:tc>
        <w:tc>
          <w:tcPr>
            <w:tcW w:w="1080" w:type="dxa"/>
            <w:vMerge w:val="restart"/>
            <w:noWrap w:val="0"/>
            <w:vAlign w:val="center"/>
          </w:tcPr>
          <w:p w14:paraId="68B32A1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A020106输入输出设备</w:t>
            </w:r>
          </w:p>
        </w:tc>
        <w:tc>
          <w:tcPr>
            <w:tcW w:w="1320" w:type="dxa"/>
            <w:vMerge w:val="restart"/>
            <w:noWrap w:val="0"/>
            <w:vAlign w:val="center"/>
          </w:tcPr>
          <w:p w14:paraId="1CC184B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A02010601打印设备</w:t>
            </w:r>
          </w:p>
        </w:tc>
        <w:tc>
          <w:tcPr>
            <w:tcW w:w="1620" w:type="dxa"/>
            <w:noWrap w:val="0"/>
            <w:vAlign w:val="center"/>
          </w:tcPr>
          <w:p w14:paraId="0C95D4C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A0201060101喷墨打印机</w:t>
            </w:r>
          </w:p>
        </w:tc>
        <w:tc>
          <w:tcPr>
            <w:tcW w:w="4540" w:type="dxa"/>
            <w:noWrap w:val="0"/>
            <w:vAlign w:val="center"/>
          </w:tcPr>
          <w:p w14:paraId="4693BC73">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0D004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28EEB309">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4AD23196">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5981198D">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noWrap w:val="0"/>
            <w:vAlign w:val="center"/>
          </w:tcPr>
          <w:p w14:paraId="07B9B4F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★A0201060102激光打印机</w:t>
            </w:r>
          </w:p>
        </w:tc>
        <w:tc>
          <w:tcPr>
            <w:tcW w:w="4540" w:type="dxa"/>
            <w:noWrap w:val="0"/>
            <w:vAlign w:val="center"/>
          </w:tcPr>
          <w:p w14:paraId="33DFAE5E">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2740C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2828893C">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2BFB5AE1">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11F4CC8E">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noWrap w:val="0"/>
            <w:vAlign w:val="center"/>
          </w:tcPr>
          <w:p w14:paraId="1901FF0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★A0201060104针式打印机</w:t>
            </w:r>
          </w:p>
        </w:tc>
        <w:tc>
          <w:tcPr>
            <w:tcW w:w="4540" w:type="dxa"/>
            <w:noWrap w:val="0"/>
            <w:vAlign w:val="center"/>
          </w:tcPr>
          <w:p w14:paraId="0F1E6118">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231D7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40FF708B">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22E2D06F">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noWrap w:val="0"/>
            <w:vAlign w:val="center"/>
          </w:tcPr>
          <w:p w14:paraId="273D1E7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A02010604显示设备</w:t>
            </w:r>
          </w:p>
        </w:tc>
        <w:tc>
          <w:tcPr>
            <w:tcW w:w="1620" w:type="dxa"/>
            <w:noWrap w:val="0"/>
            <w:vAlign w:val="center"/>
          </w:tcPr>
          <w:p w14:paraId="24F90DB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★A0201060401液晶显示器</w:t>
            </w:r>
          </w:p>
        </w:tc>
        <w:tc>
          <w:tcPr>
            <w:tcW w:w="4540" w:type="dxa"/>
            <w:noWrap w:val="0"/>
            <w:vAlign w:val="center"/>
          </w:tcPr>
          <w:p w14:paraId="6431FB90">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《计算机显示器能效限定值及能效等级》（GB21520）</w:t>
            </w:r>
          </w:p>
        </w:tc>
      </w:tr>
      <w:tr w14:paraId="4E833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0" w:type="auto"/>
            <w:vMerge w:val="continue"/>
            <w:noWrap w:val="0"/>
            <w:vAlign w:val="center"/>
          </w:tcPr>
          <w:p w14:paraId="700237B7">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0D7D05C8">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noWrap w:val="0"/>
            <w:vAlign w:val="center"/>
          </w:tcPr>
          <w:p w14:paraId="7996E72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A02010609图形图像输入设备</w:t>
            </w:r>
          </w:p>
        </w:tc>
        <w:tc>
          <w:tcPr>
            <w:tcW w:w="1620" w:type="dxa"/>
            <w:noWrap w:val="0"/>
            <w:vAlign w:val="center"/>
          </w:tcPr>
          <w:p w14:paraId="2333178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A0201060901扫描仪</w:t>
            </w:r>
          </w:p>
        </w:tc>
        <w:tc>
          <w:tcPr>
            <w:tcW w:w="4540" w:type="dxa"/>
            <w:noWrap w:val="0"/>
            <w:vAlign w:val="center"/>
          </w:tcPr>
          <w:p w14:paraId="433E1402">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参照《复印机、打印机和传真机能效限定值及能效等级》（GB21521中打印速度为15页/分的针式打印机相关要求中打印速度为15页/分的针式打印机相关要求</w:t>
            </w:r>
          </w:p>
        </w:tc>
      </w:tr>
      <w:tr w14:paraId="087B6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72AFC3D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3</w:t>
            </w:r>
          </w:p>
        </w:tc>
        <w:tc>
          <w:tcPr>
            <w:tcW w:w="1080" w:type="dxa"/>
            <w:noWrap w:val="0"/>
            <w:vAlign w:val="center"/>
          </w:tcPr>
          <w:p w14:paraId="47F3BE7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A020202投影仪</w:t>
            </w:r>
          </w:p>
        </w:tc>
        <w:tc>
          <w:tcPr>
            <w:tcW w:w="1320" w:type="dxa"/>
            <w:noWrap w:val="0"/>
            <w:vAlign w:val="center"/>
          </w:tcPr>
          <w:p w14:paraId="0F01B2E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noWrap w:val="0"/>
            <w:vAlign w:val="center"/>
          </w:tcPr>
          <w:p w14:paraId="33906D9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noWrap w:val="0"/>
            <w:vAlign w:val="center"/>
          </w:tcPr>
          <w:p w14:paraId="17B555F0">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《投影机能效限定值及能效等级》（GB32028）</w:t>
            </w:r>
          </w:p>
        </w:tc>
      </w:tr>
      <w:tr w14:paraId="2EFD4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1FFFA5F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4</w:t>
            </w:r>
          </w:p>
        </w:tc>
        <w:tc>
          <w:tcPr>
            <w:tcW w:w="1080" w:type="dxa"/>
            <w:noWrap w:val="0"/>
            <w:vAlign w:val="center"/>
          </w:tcPr>
          <w:p w14:paraId="2724919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A020204多功能一体机</w:t>
            </w:r>
          </w:p>
        </w:tc>
        <w:tc>
          <w:tcPr>
            <w:tcW w:w="1320" w:type="dxa"/>
            <w:noWrap w:val="0"/>
            <w:vAlign w:val="center"/>
          </w:tcPr>
          <w:p w14:paraId="14584C6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noWrap w:val="0"/>
            <w:vAlign w:val="center"/>
          </w:tcPr>
          <w:p w14:paraId="015BF19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noWrap w:val="0"/>
            <w:vAlign w:val="center"/>
          </w:tcPr>
          <w:p w14:paraId="29430FD7">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20131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0AD41DB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5</w:t>
            </w:r>
          </w:p>
        </w:tc>
        <w:tc>
          <w:tcPr>
            <w:tcW w:w="1080" w:type="dxa"/>
            <w:noWrap w:val="0"/>
            <w:vAlign w:val="center"/>
          </w:tcPr>
          <w:p w14:paraId="3C82879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A020519泵</w:t>
            </w:r>
          </w:p>
        </w:tc>
        <w:tc>
          <w:tcPr>
            <w:tcW w:w="1320" w:type="dxa"/>
            <w:noWrap w:val="0"/>
            <w:vAlign w:val="center"/>
          </w:tcPr>
          <w:p w14:paraId="499EF08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A02051901离心泵</w:t>
            </w:r>
          </w:p>
        </w:tc>
        <w:tc>
          <w:tcPr>
            <w:tcW w:w="1620" w:type="dxa"/>
            <w:noWrap w:val="0"/>
            <w:vAlign w:val="center"/>
          </w:tcPr>
          <w:p w14:paraId="351174B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noWrap w:val="0"/>
            <w:vAlign w:val="center"/>
          </w:tcPr>
          <w:p w14:paraId="36770641">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《清水离心泵能效限定值及节能评价值》（GB19762）</w:t>
            </w:r>
          </w:p>
        </w:tc>
      </w:tr>
      <w:tr w14:paraId="2D19D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vMerge w:val="restart"/>
            <w:noWrap w:val="0"/>
            <w:vAlign w:val="center"/>
          </w:tcPr>
          <w:p w14:paraId="0330544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6</w:t>
            </w:r>
          </w:p>
        </w:tc>
        <w:tc>
          <w:tcPr>
            <w:tcW w:w="1080" w:type="dxa"/>
            <w:vMerge w:val="restart"/>
            <w:noWrap w:val="0"/>
            <w:vAlign w:val="center"/>
          </w:tcPr>
          <w:p w14:paraId="0651E19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A020523制冷空调设备</w:t>
            </w:r>
          </w:p>
        </w:tc>
        <w:tc>
          <w:tcPr>
            <w:tcW w:w="1320" w:type="dxa"/>
            <w:vMerge w:val="restart"/>
            <w:noWrap w:val="0"/>
            <w:vAlign w:val="center"/>
          </w:tcPr>
          <w:p w14:paraId="711EC5E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★A02052301制冷压缩机</w:t>
            </w:r>
          </w:p>
        </w:tc>
        <w:tc>
          <w:tcPr>
            <w:tcW w:w="1620" w:type="dxa"/>
            <w:noWrap w:val="0"/>
            <w:vAlign w:val="center"/>
          </w:tcPr>
          <w:p w14:paraId="08A1A85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冷水机组</w:t>
            </w:r>
          </w:p>
        </w:tc>
        <w:tc>
          <w:tcPr>
            <w:tcW w:w="4540" w:type="dxa"/>
            <w:noWrap w:val="0"/>
            <w:vAlign w:val="center"/>
          </w:tcPr>
          <w:p w14:paraId="2257949E">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《冷水机组能效限定值及能效等级》（GB19577），《低环境温度空气源热泵（冷水）机组能效限定值及能效等级》（GB37480）</w:t>
            </w:r>
          </w:p>
        </w:tc>
      </w:tr>
      <w:tr w14:paraId="11B6F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1FE3622F">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0711C36C">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177D5DFD">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noWrap w:val="0"/>
            <w:vAlign w:val="center"/>
          </w:tcPr>
          <w:p w14:paraId="6185878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水源热泵机组</w:t>
            </w:r>
          </w:p>
        </w:tc>
        <w:tc>
          <w:tcPr>
            <w:tcW w:w="4540" w:type="dxa"/>
            <w:noWrap w:val="0"/>
            <w:vAlign w:val="center"/>
          </w:tcPr>
          <w:p w14:paraId="56E6D33F">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《水（地）源热泵机组能效限定值及能效等级》（GB30721）</w:t>
            </w:r>
          </w:p>
        </w:tc>
      </w:tr>
      <w:tr w14:paraId="32F67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4C03C28A">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515C199B">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4B4B14C3">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noWrap w:val="0"/>
            <w:vAlign w:val="center"/>
          </w:tcPr>
          <w:p w14:paraId="73D32E4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溴化锂吸收式冷水机组</w:t>
            </w:r>
          </w:p>
        </w:tc>
        <w:tc>
          <w:tcPr>
            <w:tcW w:w="4540" w:type="dxa"/>
            <w:noWrap w:val="0"/>
            <w:vAlign w:val="center"/>
          </w:tcPr>
          <w:p w14:paraId="5F9E7915">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《溴化锂吸收式冷水机组能效限定值及能效等级》（GB29540）</w:t>
            </w:r>
          </w:p>
        </w:tc>
      </w:tr>
      <w:tr w14:paraId="20100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0" w:type="auto"/>
            <w:vMerge w:val="continue"/>
            <w:noWrap w:val="0"/>
            <w:vAlign w:val="center"/>
          </w:tcPr>
          <w:p w14:paraId="0BB9E442">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0F8384DA">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vMerge w:val="restart"/>
            <w:noWrap w:val="0"/>
            <w:vAlign w:val="center"/>
          </w:tcPr>
          <w:p w14:paraId="118ADF1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★A02052305空调机组</w:t>
            </w:r>
          </w:p>
        </w:tc>
        <w:tc>
          <w:tcPr>
            <w:tcW w:w="1620" w:type="dxa"/>
            <w:noWrap w:val="0"/>
            <w:vAlign w:val="center"/>
          </w:tcPr>
          <w:p w14:paraId="79CDD1A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多联式空调（热泵）机组(制冷量&gt;14000W)</w:t>
            </w:r>
          </w:p>
        </w:tc>
        <w:tc>
          <w:tcPr>
            <w:tcW w:w="4540" w:type="dxa"/>
            <w:noWrap w:val="0"/>
            <w:vAlign w:val="center"/>
          </w:tcPr>
          <w:p w14:paraId="1CDE1D59">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《多联式空调（热泵）机组能效限定值及能源效率等级》（GB21454）</w:t>
            </w:r>
          </w:p>
        </w:tc>
      </w:tr>
      <w:tr w14:paraId="180B0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0" w:type="auto"/>
            <w:vMerge w:val="continue"/>
            <w:noWrap w:val="0"/>
            <w:vAlign w:val="center"/>
          </w:tcPr>
          <w:p w14:paraId="5F9FF5CD">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39B285E0">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1877654A">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noWrap w:val="0"/>
            <w:vAlign w:val="center"/>
          </w:tcPr>
          <w:p w14:paraId="56A0AD7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单元式空气调节机(制冷量&gt;14000W</w:t>
            </w:r>
          </w:p>
        </w:tc>
        <w:tc>
          <w:tcPr>
            <w:tcW w:w="4540" w:type="dxa"/>
            <w:noWrap w:val="0"/>
            <w:vAlign w:val="center"/>
          </w:tcPr>
          <w:p w14:paraId="7566B71B">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《单元式空气调节机能效限定值及能效等级》（GB19576）《风管送风式空调机组能效限定值及能效等级》（GB37479）</w:t>
            </w:r>
          </w:p>
        </w:tc>
      </w:tr>
      <w:tr w14:paraId="6F742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0" w:type="auto"/>
            <w:vMerge w:val="continue"/>
            <w:noWrap w:val="0"/>
            <w:vAlign w:val="center"/>
          </w:tcPr>
          <w:p w14:paraId="2CA89ED6">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7E118231">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noWrap w:val="0"/>
            <w:vAlign w:val="center"/>
          </w:tcPr>
          <w:p w14:paraId="7615054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★A02052309专用制冷、空调设备</w:t>
            </w:r>
          </w:p>
        </w:tc>
        <w:tc>
          <w:tcPr>
            <w:tcW w:w="1620" w:type="dxa"/>
            <w:noWrap w:val="0"/>
            <w:vAlign w:val="center"/>
          </w:tcPr>
          <w:p w14:paraId="7807DE2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机房空调</w:t>
            </w:r>
          </w:p>
        </w:tc>
        <w:tc>
          <w:tcPr>
            <w:tcW w:w="4540" w:type="dxa"/>
            <w:noWrap w:val="0"/>
            <w:vAlign w:val="center"/>
          </w:tcPr>
          <w:p w14:paraId="63594F91">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《单元式空气调节机能效限定值及能效等级》（GB19576）</w:t>
            </w:r>
          </w:p>
        </w:tc>
      </w:tr>
      <w:tr w14:paraId="5B9B4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0" w:type="auto"/>
            <w:vMerge w:val="continue"/>
            <w:noWrap w:val="0"/>
            <w:vAlign w:val="center"/>
          </w:tcPr>
          <w:p w14:paraId="5E224254">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1E0D20EE">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noWrap w:val="0"/>
            <w:vAlign w:val="center"/>
          </w:tcPr>
          <w:p w14:paraId="4AA3A88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A02052399其他制冷空调设备</w:t>
            </w:r>
          </w:p>
        </w:tc>
        <w:tc>
          <w:tcPr>
            <w:tcW w:w="1620" w:type="dxa"/>
            <w:noWrap w:val="0"/>
            <w:vAlign w:val="center"/>
          </w:tcPr>
          <w:p w14:paraId="4EC5346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冷却塔</w:t>
            </w:r>
          </w:p>
        </w:tc>
        <w:tc>
          <w:tcPr>
            <w:tcW w:w="4540" w:type="dxa"/>
            <w:noWrap w:val="0"/>
            <w:vAlign w:val="center"/>
          </w:tcPr>
          <w:p w14:paraId="64D53FF9">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《机械通风冷却塔第1部分：中小型开式冷却塔》（GB/T7190.1）；《机械通风冷却塔第2部分：大型开式冷却塔》（GB/T7190.2）</w:t>
            </w:r>
          </w:p>
        </w:tc>
      </w:tr>
      <w:tr w14:paraId="69F3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7944EEB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7</w:t>
            </w:r>
          </w:p>
        </w:tc>
        <w:tc>
          <w:tcPr>
            <w:tcW w:w="1080" w:type="dxa"/>
            <w:noWrap w:val="0"/>
            <w:vAlign w:val="center"/>
          </w:tcPr>
          <w:p w14:paraId="7E77EBE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A020601电机</w:t>
            </w:r>
          </w:p>
        </w:tc>
        <w:tc>
          <w:tcPr>
            <w:tcW w:w="1320" w:type="dxa"/>
            <w:noWrap w:val="0"/>
            <w:vAlign w:val="center"/>
          </w:tcPr>
          <w:p w14:paraId="59B71CC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noWrap w:val="0"/>
            <w:vAlign w:val="center"/>
          </w:tcPr>
          <w:p w14:paraId="271E2F2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noWrap w:val="0"/>
            <w:vAlign w:val="center"/>
          </w:tcPr>
          <w:p w14:paraId="25F27C2A">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《中小型三相异步电动机能效限定值及能效等级》（GB18613）</w:t>
            </w:r>
          </w:p>
        </w:tc>
      </w:tr>
      <w:tr w14:paraId="6CE08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5085089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8</w:t>
            </w:r>
          </w:p>
        </w:tc>
        <w:tc>
          <w:tcPr>
            <w:tcW w:w="1080" w:type="dxa"/>
            <w:noWrap w:val="0"/>
            <w:vAlign w:val="center"/>
          </w:tcPr>
          <w:p w14:paraId="4A1DADF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A020602变压器</w:t>
            </w:r>
          </w:p>
        </w:tc>
        <w:tc>
          <w:tcPr>
            <w:tcW w:w="1320" w:type="dxa"/>
            <w:noWrap w:val="0"/>
            <w:vAlign w:val="center"/>
          </w:tcPr>
          <w:p w14:paraId="7D50C2F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配电变压器</w:t>
            </w:r>
          </w:p>
        </w:tc>
        <w:tc>
          <w:tcPr>
            <w:tcW w:w="1620" w:type="dxa"/>
            <w:noWrap w:val="0"/>
            <w:vAlign w:val="center"/>
          </w:tcPr>
          <w:p w14:paraId="042C36C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noWrap w:val="0"/>
            <w:vAlign w:val="center"/>
          </w:tcPr>
          <w:p w14:paraId="61F49B13">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《三相配电变压器能效限定值及能效等级》（GB20052）</w:t>
            </w:r>
          </w:p>
        </w:tc>
      </w:tr>
      <w:tr w14:paraId="68419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57975D2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9</w:t>
            </w:r>
          </w:p>
        </w:tc>
        <w:tc>
          <w:tcPr>
            <w:tcW w:w="1080" w:type="dxa"/>
            <w:noWrap w:val="0"/>
            <w:vAlign w:val="center"/>
          </w:tcPr>
          <w:p w14:paraId="0D34645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★A020609镇流器</w:t>
            </w:r>
          </w:p>
        </w:tc>
        <w:tc>
          <w:tcPr>
            <w:tcW w:w="1320" w:type="dxa"/>
            <w:noWrap w:val="0"/>
            <w:vAlign w:val="center"/>
          </w:tcPr>
          <w:p w14:paraId="6DA1553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管型荧光灯镇流器</w:t>
            </w:r>
          </w:p>
        </w:tc>
        <w:tc>
          <w:tcPr>
            <w:tcW w:w="1620" w:type="dxa"/>
            <w:noWrap w:val="0"/>
            <w:vAlign w:val="center"/>
          </w:tcPr>
          <w:p w14:paraId="4EB27CF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noWrap w:val="0"/>
            <w:vAlign w:val="center"/>
          </w:tcPr>
          <w:p w14:paraId="5EB93878">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《管形荧光灯镇流器能效限定值及能效等级》（GB17896）</w:t>
            </w:r>
          </w:p>
        </w:tc>
      </w:tr>
      <w:tr w14:paraId="76C1C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restart"/>
            <w:noWrap w:val="0"/>
            <w:vAlign w:val="center"/>
          </w:tcPr>
          <w:p w14:paraId="2B192CB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10</w:t>
            </w:r>
          </w:p>
        </w:tc>
        <w:tc>
          <w:tcPr>
            <w:tcW w:w="1080" w:type="dxa"/>
            <w:vMerge w:val="restart"/>
            <w:noWrap w:val="0"/>
            <w:vAlign w:val="center"/>
          </w:tcPr>
          <w:p w14:paraId="0020EAF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A020618生活用电器</w:t>
            </w:r>
          </w:p>
        </w:tc>
        <w:tc>
          <w:tcPr>
            <w:tcW w:w="1320" w:type="dxa"/>
            <w:noWrap w:val="0"/>
            <w:vAlign w:val="center"/>
          </w:tcPr>
          <w:p w14:paraId="6AA6523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A0206180101电冰箱</w:t>
            </w:r>
          </w:p>
        </w:tc>
        <w:tc>
          <w:tcPr>
            <w:tcW w:w="1620" w:type="dxa"/>
            <w:noWrap w:val="0"/>
            <w:vAlign w:val="center"/>
          </w:tcPr>
          <w:p w14:paraId="51438E9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noWrap w:val="0"/>
            <w:vAlign w:val="center"/>
          </w:tcPr>
          <w:p w14:paraId="18D56CB0">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《家用电冰箱耗电量限定值及能效等级》（GB12021.2）</w:t>
            </w:r>
          </w:p>
        </w:tc>
      </w:tr>
      <w:tr w14:paraId="03405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0" w:type="auto"/>
            <w:vMerge w:val="continue"/>
            <w:noWrap w:val="0"/>
            <w:vAlign w:val="center"/>
          </w:tcPr>
          <w:p w14:paraId="76CFAF28">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1BC37610">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vMerge w:val="restart"/>
            <w:noWrap w:val="0"/>
            <w:vAlign w:val="center"/>
          </w:tcPr>
          <w:p w14:paraId="42CDEF7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★A0206180203空调机</w:t>
            </w:r>
          </w:p>
        </w:tc>
        <w:tc>
          <w:tcPr>
            <w:tcW w:w="1620" w:type="dxa"/>
            <w:noWrap w:val="0"/>
            <w:vAlign w:val="center"/>
          </w:tcPr>
          <w:p w14:paraId="1758A82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房间空气调节器</w:t>
            </w:r>
          </w:p>
        </w:tc>
        <w:tc>
          <w:tcPr>
            <w:tcW w:w="4540" w:type="dxa"/>
            <w:noWrap w:val="0"/>
            <w:vAlign w:val="center"/>
          </w:tcPr>
          <w:p w14:paraId="4119623A">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《转速可控型房间空气调节器能效限定值及能效等级》（GB21455-2013），待2019年修订发布后，按《房间空气调节器能效限定值及能效等级》（GB21455-2019实施。</w:t>
            </w:r>
          </w:p>
        </w:tc>
      </w:tr>
      <w:tr w14:paraId="53502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0" w:type="auto"/>
            <w:vMerge w:val="continue"/>
            <w:noWrap w:val="0"/>
            <w:vAlign w:val="center"/>
          </w:tcPr>
          <w:p w14:paraId="1C117136">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28AB1B7A">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5AA5133E">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noWrap w:val="0"/>
            <w:vAlign w:val="center"/>
          </w:tcPr>
          <w:p w14:paraId="6B0B81B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多联式空调（热泵）机组（制冷量≤14000W）</w:t>
            </w:r>
          </w:p>
        </w:tc>
        <w:tc>
          <w:tcPr>
            <w:tcW w:w="4540" w:type="dxa"/>
            <w:noWrap w:val="0"/>
            <w:vAlign w:val="center"/>
          </w:tcPr>
          <w:p w14:paraId="5953C878">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《多联式空调（热泵）机组能效限定值及能源效率等级》（GB21454）</w:t>
            </w:r>
          </w:p>
        </w:tc>
      </w:tr>
      <w:tr w14:paraId="333F8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0" w:type="auto"/>
            <w:vMerge w:val="continue"/>
            <w:noWrap w:val="0"/>
            <w:vAlign w:val="center"/>
          </w:tcPr>
          <w:p w14:paraId="38CDF0C2">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55C95E39">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248F9178">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noWrap w:val="0"/>
            <w:vAlign w:val="center"/>
          </w:tcPr>
          <w:p w14:paraId="7ECF428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单元式空气调节机(制冷量≤14000W)</w:t>
            </w:r>
          </w:p>
        </w:tc>
        <w:tc>
          <w:tcPr>
            <w:tcW w:w="4540" w:type="dxa"/>
            <w:noWrap w:val="0"/>
            <w:vAlign w:val="center"/>
          </w:tcPr>
          <w:p w14:paraId="612832E9">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《单元式空气调节机能效限定值及能源效率等级》（GB19576）《风管送风式空调机组能效限定值及能效等级》（GB37479）</w:t>
            </w:r>
          </w:p>
        </w:tc>
      </w:tr>
      <w:tr w14:paraId="21060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614413F0">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40ED545D">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noWrap w:val="0"/>
            <w:vAlign w:val="center"/>
          </w:tcPr>
          <w:p w14:paraId="72F4C12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A0206180301洗衣机</w:t>
            </w:r>
          </w:p>
        </w:tc>
        <w:tc>
          <w:tcPr>
            <w:tcW w:w="1620" w:type="dxa"/>
            <w:noWrap w:val="0"/>
            <w:vAlign w:val="center"/>
          </w:tcPr>
          <w:p w14:paraId="4967879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noWrap w:val="0"/>
            <w:vAlign w:val="center"/>
          </w:tcPr>
          <w:p w14:paraId="63B10D18">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《电动洗衣机能效水效限定值及等级》（GB12021.4）</w:t>
            </w:r>
          </w:p>
        </w:tc>
      </w:tr>
      <w:tr w14:paraId="3480C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084CACD3">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709E88D0">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vMerge w:val="restart"/>
            <w:noWrap w:val="0"/>
            <w:vAlign w:val="center"/>
          </w:tcPr>
          <w:p w14:paraId="08BA13E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A02061808热水器</w:t>
            </w:r>
          </w:p>
        </w:tc>
        <w:tc>
          <w:tcPr>
            <w:tcW w:w="1620" w:type="dxa"/>
            <w:noWrap w:val="0"/>
            <w:vAlign w:val="center"/>
          </w:tcPr>
          <w:p w14:paraId="279E07B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★电热水器</w:t>
            </w:r>
          </w:p>
        </w:tc>
        <w:tc>
          <w:tcPr>
            <w:tcW w:w="4540" w:type="dxa"/>
            <w:noWrap w:val="0"/>
            <w:vAlign w:val="center"/>
          </w:tcPr>
          <w:p w14:paraId="2720288F">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《储水式电热水器能效限定值及能效等级》（GB21519）</w:t>
            </w:r>
          </w:p>
        </w:tc>
      </w:tr>
      <w:tr w14:paraId="03244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5D8E6900">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381C90EF">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1E1BAE2D">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noWrap w:val="0"/>
            <w:vAlign w:val="center"/>
          </w:tcPr>
          <w:p w14:paraId="4849CE9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燃气热水器</w:t>
            </w:r>
          </w:p>
        </w:tc>
        <w:tc>
          <w:tcPr>
            <w:tcW w:w="4540" w:type="dxa"/>
            <w:noWrap w:val="0"/>
            <w:vAlign w:val="center"/>
          </w:tcPr>
          <w:p w14:paraId="1808F793">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《家用燃气快速热水器和燃气采暖热水炉能效限定值及能效等级》（GB20665）</w:t>
            </w:r>
          </w:p>
        </w:tc>
      </w:tr>
      <w:tr w14:paraId="7D03C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2BFE59ED">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39BB17BC">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14740F2E">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noWrap w:val="0"/>
            <w:vAlign w:val="center"/>
          </w:tcPr>
          <w:p w14:paraId="7CAB3A3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热泵热水器</w:t>
            </w:r>
          </w:p>
        </w:tc>
        <w:tc>
          <w:tcPr>
            <w:tcW w:w="4540" w:type="dxa"/>
            <w:noWrap w:val="0"/>
            <w:vAlign w:val="center"/>
          </w:tcPr>
          <w:p w14:paraId="64017CC7">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《热泵热水机（器）能效限定值及能效等级》（GB29541）</w:t>
            </w:r>
          </w:p>
        </w:tc>
      </w:tr>
      <w:tr w14:paraId="3BB0E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486BDEF3">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52FFD5CA">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7BA13B27">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noWrap w:val="0"/>
            <w:vAlign w:val="center"/>
          </w:tcPr>
          <w:p w14:paraId="38CB900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太阳能热水系统</w:t>
            </w:r>
          </w:p>
        </w:tc>
        <w:tc>
          <w:tcPr>
            <w:tcW w:w="4540" w:type="dxa"/>
            <w:noWrap w:val="0"/>
            <w:vAlign w:val="center"/>
          </w:tcPr>
          <w:p w14:paraId="10B07BDA">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《家用太阳能热水系统能效限定值及能效等级》（GB26969）</w:t>
            </w:r>
          </w:p>
        </w:tc>
      </w:tr>
      <w:tr w14:paraId="127AA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vMerge w:val="restart"/>
            <w:noWrap w:val="0"/>
            <w:vAlign w:val="center"/>
          </w:tcPr>
          <w:p w14:paraId="404309E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11</w:t>
            </w:r>
          </w:p>
        </w:tc>
        <w:tc>
          <w:tcPr>
            <w:tcW w:w="1080" w:type="dxa"/>
            <w:vMerge w:val="restart"/>
            <w:noWrap w:val="0"/>
            <w:vAlign w:val="center"/>
          </w:tcPr>
          <w:p w14:paraId="5B6CA8D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A020619照明设备</w:t>
            </w:r>
          </w:p>
        </w:tc>
        <w:tc>
          <w:tcPr>
            <w:tcW w:w="1320" w:type="dxa"/>
            <w:noWrap w:val="0"/>
            <w:vAlign w:val="center"/>
          </w:tcPr>
          <w:p w14:paraId="6EB10A4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★普通照明用双端荧光灯</w:t>
            </w:r>
          </w:p>
        </w:tc>
        <w:tc>
          <w:tcPr>
            <w:tcW w:w="1620" w:type="dxa"/>
            <w:noWrap w:val="0"/>
            <w:vAlign w:val="center"/>
          </w:tcPr>
          <w:p w14:paraId="06D69B8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noWrap w:val="0"/>
            <w:vAlign w:val="center"/>
          </w:tcPr>
          <w:p w14:paraId="4EA8459E">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《普通照明用双端荧光灯能效限定值及能效等级》（GB19043）</w:t>
            </w:r>
          </w:p>
        </w:tc>
      </w:tr>
      <w:tr w14:paraId="0761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70D50282">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6F54AA14">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noWrap w:val="0"/>
            <w:vAlign w:val="center"/>
          </w:tcPr>
          <w:p w14:paraId="3ADABA8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LED道路/隧道照明产品</w:t>
            </w:r>
          </w:p>
        </w:tc>
        <w:tc>
          <w:tcPr>
            <w:tcW w:w="1620" w:type="dxa"/>
            <w:noWrap w:val="0"/>
            <w:vAlign w:val="center"/>
          </w:tcPr>
          <w:p w14:paraId="29F98BF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noWrap w:val="0"/>
            <w:vAlign w:val="center"/>
          </w:tcPr>
          <w:p w14:paraId="0318EAEA">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《道路和隧道照明用LED灯具能效限定值及能效等级》（GB37478）</w:t>
            </w:r>
          </w:p>
        </w:tc>
      </w:tr>
      <w:tr w14:paraId="4A4DA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35BD33E2">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192946DB">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noWrap w:val="0"/>
            <w:vAlign w:val="center"/>
          </w:tcPr>
          <w:p w14:paraId="1D67BF6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LED筒灯</w:t>
            </w:r>
          </w:p>
        </w:tc>
        <w:tc>
          <w:tcPr>
            <w:tcW w:w="1620" w:type="dxa"/>
            <w:noWrap w:val="0"/>
            <w:vAlign w:val="center"/>
          </w:tcPr>
          <w:p w14:paraId="50B6727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noWrap w:val="0"/>
            <w:vAlign w:val="center"/>
          </w:tcPr>
          <w:p w14:paraId="74E18D43">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《室内照明用LED产品能效限定值及能效等级》（GB30255）</w:t>
            </w:r>
          </w:p>
        </w:tc>
      </w:tr>
      <w:tr w14:paraId="5128F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0" w:type="auto"/>
            <w:vMerge w:val="continue"/>
            <w:noWrap w:val="0"/>
            <w:vAlign w:val="center"/>
          </w:tcPr>
          <w:p w14:paraId="416BED16">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034AE4D1">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noWrap w:val="0"/>
            <w:vAlign w:val="center"/>
          </w:tcPr>
          <w:p w14:paraId="579DF73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普通照明用非定向自镇流LED灯</w:t>
            </w:r>
          </w:p>
        </w:tc>
        <w:tc>
          <w:tcPr>
            <w:tcW w:w="1620" w:type="dxa"/>
            <w:noWrap w:val="0"/>
            <w:vAlign w:val="center"/>
          </w:tcPr>
          <w:p w14:paraId="481BE4D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noWrap w:val="0"/>
            <w:vAlign w:val="center"/>
          </w:tcPr>
          <w:p w14:paraId="114A4920">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《室内照明用LED产品能效限定值及能效等级》（GB30255）</w:t>
            </w:r>
          </w:p>
        </w:tc>
      </w:tr>
      <w:tr w14:paraId="5271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60" w:type="dxa"/>
            <w:noWrap w:val="0"/>
            <w:vAlign w:val="center"/>
          </w:tcPr>
          <w:p w14:paraId="3FFCAF6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12</w:t>
            </w:r>
          </w:p>
        </w:tc>
        <w:tc>
          <w:tcPr>
            <w:tcW w:w="1080" w:type="dxa"/>
            <w:noWrap w:val="0"/>
            <w:vAlign w:val="center"/>
          </w:tcPr>
          <w:p w14:paraId="19B4FCE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★A020910电视设备</w:t>
            </w:r>
          </w:p>
        </w:tc>
        <w:tc>
          <w:tcPr>
            <w:tcW w:w="1320" w:type="dxa"/>
            <w:noWrap w:val="0"/>
            <w:vAlign w:val="center"/>
          </w:tcPr>
          <w:p w14:paraId="193FBDF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A02091001普通电视设备（电视机）</w:t>
            </w:r>
          </w:p>
        </w:tc>
        <w:tc>
          <w:tcPr>
            <w:tcW w:w="1620" w:type="dxa"/>
            <w:noWrap w:val="0"/>
            <w:vAlign w:val="center"/>
          </w:tcPr>
          <w:p w14:paraId="13BCE2E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noWrap w:val="0"/>
            <w:vAlign w:val="center"/>
          </w:tcPr>
          <w:p w14:paraId="501A49B8">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《平板电视能效限定值及能效等级》（GB24850）</w:t>
            </w:r>
          </w:p>
        </w:tc>
      </w:tr>
      <w:tr w14:paraId="5CFB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660" w:type="dxa"/>
            <w:noWrap w:val="0"/>
            <w:vAlign w:val="center"/>
          </w:tcPr>
          <w:p w14:paraId="20F3311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13</w:t>
            </w:r>
          </w:p>
        </w:tc>
        <w:tc>
          <w:tcPr>
            <w:tcW w:w="1080" w:type="dxa"/>
            <w:noWrap w:val="0"/>
            <w:vAlign w:val="center"/>
          </w:tcPr>
          <w:p w14:paraId="19E2FA5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★A020911视频设备</w:t>
            </w:r>
          </w:p>
        </w:tc>
        <w:tc>
          <w:tcPr>
            <w:tcW w:w="1320" w:type="dxa"/>
            <w:noWrap w:val="0"/>
            <w:vAlign w:val="center"/>
          </w:tcPr>
          <w:p w14:paraId="19D79AD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A02091107视频监控设备</w:t>
            </w:r>
          </w:p>
        </w:tc>
        <w:tc>
          <w:tcPr>
            <w:tcW w:w="1620" w:type="dxa"/>
            <w:noWrap w:val="0"/>
            <w:vAlign w:val="center"/>
          </w:tcPr>
          <w:p w14:paraId="2283B74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监视器</w:t>
            </w:r>
          </w:p>
        </w:tc>
        <w:tc>
          <w:tcPr>
            <w:tcW w:w="4540" w:type="dxa"/>
            <w:noWrap w:val="0"/>
            <w:vAlign w:val="center"/>
          </w:tcPr>
          <w:p w14:paraId="3CF8B97B">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以射频信号为主要信号输入的监视器应符合《平板电视能效限定值及能效等级》（GB24850），以数字信号为主要信号输入的监视器应符合《计算机显示器能效限定值及能效等级》（GB21520）</w:t>
            </w:r>
          </w:p>
        </w:tc>
      </w:tr>
      <w:tr w14:paraId="16AFF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4770929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14</w:t>
            </w:r>
          </w:p>
        </w:tc>
        <w:tc>
          <w:tcPr>
            <w:tcW w:w="1080" w:type="dxa"/>
            <w:noWrap w:val="0"/>
            <w:vAlign w:val="center"/>
          </w:tcPr>
          <w:p w14:paraId="383AB7E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A031210饮食炊事机械</w:t>
            </w:r>
          </w:p>
        </w:tc>
        <w:tc>
          <w:tcPr>
            <w:tcW w:w="1320" w:type="dxa"/>
            <w:noWrap w:val="0"/>
            <w:vAlign w:val="center"/>
          </w:tcPr>
          <w:p w14:paraId="1A5A3FB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商用燃气灶具</w:t>
            </w:r>
          </w:p>
        </w:tc>
        <w:tc>
          <w:tcPr>
            <w:tcW w:w="1620" w:type="dxa"/>
            <w:noWrap w:val="0"/>
            <w:vAlign w:val="center"/>
          </w:tcPr>
          <w:p w14:paraId="00A7B7D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noWrap w:val="0"/>
            <w:vAlign w:val="center"/>
          </w:tcPr>
          <w:p w14:paraId="26FF620A">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《商用燃气灶具能效限定值及能效等级》（GB30531）</w:t>
            </w:r>
          </w:p>
        </w:tc>
      </w:tr>
      <w:tr w14:paraId="5D74F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60" w:type="dxa"/>
            <w:vMerge w:val="restart"/>
            <w:noWrap w:val="0"/>
            <w:vAlign w:val="center"/>
          </w:tcPr>
          <w:p w14:paraId="3F059B3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15</w:t>
            </w:r>
          </w:p>
        </w:tc>
        <w:tc>
          <w:tcPr>
            <w:tcW w:w="1080" w:type="dxa"/>
            <w:vMerge w:val="restart"/>
            <w:noWrap w:val="0"/>
            <w:vAlign w:val="center"/>
          </w:tcPr>
          <w:p w14:paraId="0BAE99F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★A060805便器</w:t>
            </w:r>
          </w:p>
        </w:tc>
        <w:tc>
          <w:tcPr>
            <w:tcW w:w="1320" w:type="dxa"/>
            <w:noWrap w:val="0"/>
            <w:vAlign w:val="center"/>
          </w:tcPr>
          <w:p w14:paraId="16C7FE9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坐便器</w:t>
            </w:r>
          </w:p>
        </w:tc>
        <w:tc>
          <w:tcPr>
            <w:tcW w:w="1620" w:type="dxa"/>
            <w:noWrap w:val="0"/>
            <w:vAlign w:val="center"/>
          </w:tcPr>
          <w:p w14:paraId="7314250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noWrap w:val="0"/>
            <w:vAlign w:val="center"/>
          </w:tcPr>
          <w:p w14:paraId="788F9AF7">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《坐便器水效限定值及水效等级》（GB25502）</w:t>
            </w:r>
          </w:p>
        </w:tc>
      </w:tr>
      <w:tr w14:paraId="71D9A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5BDBA930">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361854B7">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noWrap w:val="0"/>
            <w:vAlign w:val="center"/>
          </w:tcPr>
          <w:p w14:paraId="198A693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蹲便器</w:t>
            </w:r>
          </w:p>
        </w:tc>
        <w:tc>
          <w:tcPr>
            <w:tcW w:w="1620" w:type="dxa"/>
            <w:noWrap w:val="0"/>
            <w:vAlign w:val="center"/>
          </w:tcPr>
          <w:p w14:paraId="4DEA968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noWrap w:val="0"/>
            <w:vAlign w:val="center"/>
          </w:tcPr>
          <w:p w14:paraId="333C5F1D">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《蹲便器用水效率限定值及用水效率等级》（GB30717）</w:t>
            </w:r>
          </w:p>
        </w:tc>
      </w:tr>
      <w:tr w14:paraId="34A93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0" w:type="auto"/>
            <w:vMerge w:val="continue"/>
            <w:noWrap w:val="0"/>
            <w:vAlign w:val="center"/>
          </w:tcPr>
          <w:p w14:paraId="64D96FB8">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noWrap w:val="0"/>
            <w:vAlign w:val="center"/>
          </w:tcPr>
          <w:p w14:paraId="70380C32">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noWrap w:val="0"/>
            <w:vAlign w:val="center"/>
          </w:tcPr>
          <w:p w14:paraId="340B100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小便器</w:t>
            </w:r>
          </w:p>
        </w:tc>
        <w:tc>
          <w:tcPr>
            <w:tcW w:w="1620" w:type="dxa"/>
            <w:noWrap w:val="0"/>
            <w:vAlign w:val="center"/>
          </w:tcPr>
          <w:p w14:paraId="51031F9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noWrap w:val="0"/>
            <w:vAlign w:val="center"/>
          </w:tcPr>
          <w:p w14:paraId="0F1271BE">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《小便器用水效率限定值及用水效率等级》（GB28377）</w:t>
            </w:r>
          </w:p>
        </w:tc>
      </w:tr>
      <w:tr w14:paraId="274ED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14D114D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16</w:t>
            </w:r>
          </w:p>
        </w:tc>
        <w:tc>
          <w:tcPr>
            <w:tcW w:w="1080" w:type="dxa"/>
            <w:noWrap w:val="0"/>
            <w:vAlign w:val="center"/>
          </w:tcPr>
          <w:p w14:paraId="3E4B4FF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★A060806水嘴</w:t>
            </w:r>
          </w:p>
        </w:tc>
        <w:tc>
          <w:tcPr>
            <w:tcW w:w="1320" w:type="dxa"/>
            <w:noWrap w:val="0"/>
            <w:vAlign w:val="center"/>
          </w:tcPr>
          <w:p w14:paraId="4FB6E15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noWrap w:val="0"/>
            <w:vAlign w:val="center"/>
          </w:tcPr>
          <w:p w14:paraId="1E50F87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noWrap w:val="0"/>
            <w:vAlign w:val="center"/>
          </w:tcPr>
          <w:p w14:paraId="11926AED">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《水嘴用水效率限定值及用水效率等级》（GB25501）</w:t>
            </w:r>
          </w:p>
        </w:tc>
      </w:tr>
      <w:tr w14:paraId="53FE1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584D6D6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17</w:t>
            </w:r>
          </w:p>
        </w:tc>
        <w:tc>
          <w:tcPr>
            <w:tcW w:w="1080" w:type="dxa"/>
            <w:noWrap w:val="0"/>
            <w:vAlign w:val="center"/>
          </w:tcPr>
          <w:p w14:paraId="075899F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A060807便器冲洗阀</w:t>
            </w:r>
          </w:p>
        </w:tc>
        <w:tc>
          <w:tcPr>
            <w:tcW w:w="1320" w:type="dxa"/>
            <w:noWrap w:val="0"/>
            <w:vAlign w:val="center"/>
          </w:tcPr>
          <w:p w14:paraId="5D37740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noWrap w:val="0"/>
            <w:vAlign w:val="center"/>
          </w:tcPr>
          <w:p w14:paraId="59B92E2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noWrap w:val="0"/>
            <w:vAlign w:val="center"/>
          </w:tcPr>
          <w:p w14:paraId="7CA73537">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《便器冲洗阀用水效率限定值及用水效率等级》（GB28379）</w:t>
            </w:r>
          </w:p>
        </w:tc>
      </w:tr>
      <w:tr w14:paraId="7D55B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60" w:type="dxa"/>
            <w:noWrap w:val="0"/>
            <w:vAlign w:val="center"/>
          </w:tcPr>
          <w:p w14:paraId="6F301F3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18</w:t>
            </w:r>
          </w:p>
        </w:tc>
        <w:tc>
          <w:tcPr>
            <w:tcW w:w="1080" w:type="dxa"/>
            <w:noWrap w:val="0"/>
            <w:vAlign w:val="center"/>
          </w:tcPr>
          <w:p w14:paraId="7DA13A6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A060810淋浴器</w:t>
            </w:r>
          </w:p>
        </w:tc>
        <w:tc>
          <w:tcPr>
            <w:tcW w:w="1320" w:type="dxa"/>
            <w:noWrap w:val="0"/>
            <w:vAlign w:val="center"/>
          </w:tcPr>
          <w:p w14:paraId="689196F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noWrap w:val="0"/>
            <w:vAlign w:val="center"/>
          </w:tcPr>
          <w:p w14:paraId="04D1992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noWrap w:val="0"/>
            <w:vAlign w:val="center"/>
          </w:tcPr>
          <w:p w14:paraId="6F0E2807">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《淋浴器用水效率限定值及用水效率等级》（GB28378）</w:t>
            </w:r>
          </w:p>
        </w:tc>
      </w:tr>
    </w:tbl>
    <w:p w14:paraId="6D79DB40">
      <w:pPr>
        <w:pStyle w:val="13"/>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pacing w:val="-3"/>
          <w:szCs w:val="21"/>
          <w:highlight w:val="none"/>
          <w14:textFill>
            <w14:solidFill>
              <w14:schemeClr w14:val="tx1"/>
            </w14:solidFill>
          </w14:textFill>
        </w:rPr>
        <w:t>注：1.节能产品认证应依据相关国家标准的最新版本，依据国家标准中二级能效（水效）</w:t>
      </w:r>
      <w:r>
        <w:rPr>
          <w:rFonts w:hint="eastAsia" w:ascii="宋体" w:hAnsi="宋体" w:eastAsia="宋体" w:cs="宋体"/>
          <w:color w:val="000000" w:themeColor="text1"/>
          <w:szCs w:val="21"/>
          <w:highlight w:val="none"/>
          <w14:textFill>
            <w14:solidFill>
              <w14:schemeClr w14:val="tx1"/>
            </w14:solidFill>
          </w14:textFill>
        </w:rPr>
        <w:t>指标。</w:t>
      </w:r>
    </w:p>
    <w:p w14:paraId="1B0405F4">
      <w:pPr>
        <w:pStyle w:val="17"/>
        <w:jc w:val="left"/>
        <w:rPr>
          <w:rFonts w:hint="eastAsia" w:ascii="Arial Unicode MS" w:hAnsi="Arial Unicode MS" w:eastAsia="Arial Unicode MS" w:cs="Arial Unicode MS"/>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pacing w:val="-3"/>
          <w:kern w:val="2"/>
          <w:sz w:val="21"/>
          <w:szCs w:val="21"/>
          <w:highlight w:val="none"/>
          <w:lang w:val="en-US" w:eastAsia="zh-CN" w:bidi="ar-SA"/>
          <w14:textFill>
            <w14:solidFill>
              <w14:schemeClr w14:val="tx1"/>
            </w14:solidFill>
          </w14:textFill>
        </w:rPr>
        <w:t>2.以“★”标注的为政府强制采购产品。</w:t>
      </w:r>
      <w:r>
        <w:rPr>
          <w:rFonts w:hint="eastAsia"/>
          <w:color w:val="000000" w:themeColor="text1"/>
          <w:highlight w:val="none"/>
          <w14:textFill>
            <w14:solidFill>
              <w14:schemeClr w14:val="tx1"/>
            </w14:solidFill>
          </w14:textFill>
        </w:rPr>
        <w:br w:type="page"/>
      </w:r>
      <w:r>
        <w:rPr>
          <w:rFonts w:hint="eastAsia" w:ascii="微软雅黑" w:hAnsi="微软雅黑" w:eastAsia="微软雅黑" w:cs="微软雅黑"/>
          <w:color w:val="000000" w:themeColor="text1"/>
          <w:sz w:val="32"/>
          <w:szCs w:val="32"/>
          <w:highlight w:val="none"/>
          <w14:textFill>
            <w14:solidFill>
              <w14:schemeClr w14:val="tx1"/>
            </w14:solidFill>
          </w14:textFill>
        </w:rPr>
        <w:t>附件</w:t>
      </w:r>
      <w:r>
        <w:rPr>
          <w:rFonts w:ascii="Arial Unicode MS" w:hAnsi="Arial Unicode MS" w:eastAsia="Arial Unicode MS" w:cs="Arial Unicode MS"/>
          <w:color w:val="000000" w:themeColor="text1"/>
          <w:sz w:val="32"/>
          <w:szCs w:val="32"/>
          <w:highlight w:val="none"/>
          <w14:textFill>
            <w14:solidFill>
              <w14:schemeClr w14:val="tx1"/>
            </w14:solidFill>
          </w14:textFill>
        </w:rPr>
        <w:t>2</w:t>
      </w:r>
      <w:r>
        <w:rPr>
          <w:rFonts w:hint="eastAsia" w:ascii="微软雅黑" w:hAnsi="微软雅黑" w:eastAsia="微软雅黑" w:cs="微软雅黑"/>
          <w:color w:val="000000" w:themeColor="text1"/>
          <w:sz w:val="32"/>
          <w:szCs w:val="32"/>
          <w:highlight w:val="none"/>
          <w14:textFill>
            <w14:solidFill>
              <w14:schemeClr w14:val="tx1"/>
            </w14:solidFill>
          </w14:textFill>
        </w:rPr>
        <w:t>：</w:t>
      </w:r>
    </w:p>
    <w:p w14:paraId="50C7ECBD">
      <w:pPr>
        <w:spacing w:line="528" w:lineRule="exact"/>
        <w:jc w:val="center"/>
        <w:rPr>
          <w:rFonts w:ascii="Arial Unicode MS" w:hAnsi="Arial Unicode MS" w:eastAsia="Arial Unicode MS" w:cs="Arial Unicode MS"/>
          <w:color w:val="000000" w:themeColor="text1"/>
          <w:sz w:val="40"/>
          <w:szCs w:val="40"/>
          <w:highlight w:val="none"/>
          <w14:textFill>
            <w14:solidFill>
              <w14:schemeClr w14:val="tx1"/>
            </w14:solidFill>
          </w14:textFill>
        </w:rPr>
      </w:pPr>
      <w:r>
        <w:rPr>
          <w:rFonts w:hint="eastAsia" w:ascii="微软雅黑" w:hAnsi="微软雅黑" w:eastAsia="微软雅黑" w:cs="微软雅黑"/>
          <w:color w:val="000000" w:themeColor="text1"/>
          <w:sz w:val="40"/>
          <w:szCs w:val="40"/>
          <w:highlight w:val="none"/>
          <w14:textFill>
            <w14:solidFill>
              <w14:schemeClr w14:val="tx1"/>
            </w14:solidFill>
          </w14:textFill>
        </w:rPr>
        <w:t>中小微企业划型标准</w:t>
      </w:r>
    </w:p>
    <w:tbl>
      <w:tblPr>
        <w:tblStyle w:val="29"/>
        <w:tblW w:w="9341" w:type="dxa"/>
        <w:tblInd w:w="250" w:type="dxa"/>
        <w:tblLayout w:type="fixed"/>
        <w:tblCellMar>
          <w:top w:w="0" w:type="dxa"/>
          <w:left w:w="108" w:type="dxa"/>
          <w:bottom w:w="0" w:type="dxa"/>
          <w:right w:w="108" w:type="dxa"/>
        </w:tblCellMar>
      </w:tblPr>
      <w:tblGrid>
        <w:gridCol w:w="1985"/>
        <w:gridCol w:w="1984"/>
        <w:gridCol w:w="851"/>
        <w:gridCol w:w="1842"/>
        <w:gridCol w:w="1701"/>
        <w:gridCol w:w="978"/>
      </w:tblGrid>
      <w:tr w14:paraId="1E7B2A46">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5DDC39BB">
            <w:pPr>
              <w:widowControl/>
              <w:jc w:val="left"/>
              <w:rPr>
                <w:rFonts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行业名称</w:t>
            </w:r>
          </w:p>
        </w:tc>
        <w:tc>
          <w:tcPr>
            <w:tcW w:w="1984" w:type="dxa"/>
            <w:tcBorders>
              <w:top w:val="single" w:color="auto" w:sz="4" w:space="0"/>
              <w:left w:val="nil"/>
              <w:bottom w:val="single" w:color="auto" w:sz="4" w:space="0"/>
              <w:right w:val="single" w:color="auto" w:sz="4" w:space="0"/>
            </w:tcBorders>
            <w:noWrap w:val="0"/>
            <w:vAlign w:val="center"/>
          </w:tcPr>
          <w:p w14:paraId="6DC4A571">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指标名称</w:t>
            </w:r>
          </w:p>
        </w:tc>
        <w:tc>
          <w:tcPr>
            <w:tcW w:w="851" w:type="dxa"/>
            <w:tcBorders>
              <w:top w:val="single" w:color="auto" w:sz="4" w:space="0"/>
              <w:left w:val="nil"/>
              <w:bottom w:val="single" w:color="auto" w:sz="4" w:space="0"/>
              <w:right w:val="single" w:color="auto" w:sz="4" w:space="0"/>
            </w:tcBorders>
            <w:noWrap w:val="0"/>
            <w:vAlign w:val="center"/>
          </w:tcPr>
          <w:p w14:paraId="05A2569C">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计量单位</w:t>
            </w:r>
          </w:p>
        </w:tc>
        <w:tc>
          <w:tcPr>
            <w:tcW w:w="1842" w:type="dxa"/>
            <w:tcBorders>
              <w:top w:val="single" w:color="auto" w:sz="4" w:space="0"/>
              <w:left w:val="nil"/>
              <w:bottom w:val="single" w:color="auto" w:sz="4" w:space="0"/>
              <w:right w:val="single" w:color="auto" w:sz="4" w:space="0"/>
            </w:tcBorders>
            <w:noWrap w:val="0"/>
            <w:vAlign w:val="center"/>
          </w:tcPr>
          <w:p w14:paraId="4E21A32C">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中型</w:t>
            </w:r>
          </w:p>
        </w:tc>
        <w:tc>
          <w:tcPr>
            <w:tcW w:w="1701" w:type="dxa"/>
            <w:tcBorders>
              <w:top w:val="single" w:color="auto" w:sz="4" w:space="0"/>
              <w:left w:val="nil"/>
              <w:bottom w:val="single" w:color="auto" w:sz="4" w:space="0"/>
              <w:right w:val="single" w:color="auto" w:sz="4" w:space="0"/>
            </w:tcBorders>
            <w:noWrap w:val="0"/>
            <w:vAlign w:val="center"/>
          </w:tcPr>
          <w:p w14:paraId="15271F37">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小型</w:t>
            </w:r>
          </w:p>
        </w:tc>
        <w:tc>
          <w:tcPr>
            <w:tcW w:w="978" w:type="dxa"/>
            <w:tcBorders>
              <w:top w:val="single" w:color="auto" w:sz="4" w:space="0"/>
              <w:left w:val="nil"/>
              <w:bottom w:val="single" w:color="auto" w:sz="4" w:space="0"/>
              <w:right w:val="single" w:color="auto" w:sz="4" w:space="0"/>
            </w:tcBorders>
            <w:noWrap w:val="0"/>
            <w:vAlign w:val="center"/>
          </w:tcPr>
          <w:p w14:paraId="3DBE43E8">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微型</w:t>
            </w:r>
          </w:p>
        </w:tc>
      </w:tr>
      <w:tr w14:paraId="5E2A3BD5">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147B0BFB">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农、林、牧、渔</w:t>
            </w:r>
          </w:p>
        </w:tc>
        <w:tc>
          <w:tcPr>
            <w:tcW w:w="1984" w:type="dxa"/>
            <w:tcBorders>
              <w:top w:val="nil"/>
              <w:left w:val="nil"/>
              <w:bottom w:val="single" w:color="auto" w:sz="4" w:space="0"/>
              <w:right w:val="single" w:color="auto" w:sz="4" w:space="0"/>
            </w:tcBorders>
            <w:noWrap w:val="0"/>
            <w:vAlign w:val="center"/>
          </w:tcPr>
          <w:p w14:paraId="0172116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24DF2A3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2D95BFD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500≤Y＜20000</w:t>
            </w:r>
          </w:p>
        </w:tc>
        <w:tc>
          <w:tcPr>
            <w:tcW w:w="1701" w:type="dxa"/>
            <w:tcBorders>
              <w:top w:val="nil"/>
              <w:left w:val="nil"/>
              <w:bottom w:val="single" w:color="auto" w:sz="4" w:space="0"/>
              <w:right w:val="single" w:color="auto" w:sz="4" w:space="0"/>
            </w:tcBorders>
            <w:noWrap w:val="0"/>
            <w:vAlign w:val="center"/>
          </w:tcPr>
          <w:p w14:paraId="3F68764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50≤Y＜500</w:t>
            </w:r>
          </w:p>
        </w:tc>
        <w:tc>
          <w:tcPr>
            <w:tcW w:w="978" w:type="dxa"/>
            <w:tcBorders>
              <w:top w:val="nil"/>
              <w:left w:val="nil"/>
              <w:bottom w:val="single" w:color="auto" w:sz="4" w:space="0"/>
              <w:right w:val="single" w:color="auto" w:sz="4" w:space="0"/>
            </w:tcBorders>
            <w:noWrap w:val="0"/>
            <w:vAlign w:val="center"/>
          </w:tcPr>
          <w:p w14:paraId="3E96A08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Y＜50</w:t>
            </w:r>
          </w:p>
        </w:tc>
      </w:tr>
      <w:tr w14:paraId="0696D0F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630743E">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工业</w:t>
            </w:r>
          </w:p>
        </w:tc>
        <w:tc>
          <w:tcPr>
            <w:tcW w:w="1984" w:type="dxa"/>
            <w:tcBorders>
              <w:top w:val="nil"/>
              <w:left w:val="nil"/>
              <w:bottom w:val="single" w:color="auto" w:sz="4" w:space="0"/>
              <w:right w:val="single" w:color="auto" w:sz="4" w:space="0"/>
            </w:tcBorders>
            <w:noWrap w:val="0"/>
            <w:vAlign w:val="center"/>
          </w:tcPr>
          <w:p w14:paraId="13C733D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1672208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0"/>
            <w:vAlign w:val="center"/>
          </w:tcPr>
          <w:p w14:paraId="565360B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701" w:type="dxa"/>
            <w:tcBorders>
              <w:top w:val="nil"/>
              <w:left w:val="nil"/>
              <w:bottom w:val="single" w:color="auto" w:sz="4" w:space="0"/>
              <w:right w:val="single" w:color="auto" w:sz="4" w:space="0"/>
            </w:tcBorders>
            <w:noWrap w:val="0"/>
            <w:vAlign w:val="center"/>
          </w:tcPr>
          <w:p w14:paraId="465807D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20≤X＜300</w:t>
            </w:r>
          </w:p>
        </w:tc>
        <w:tc>
          <w:tcPr>
            <w:tcW w:w="978" w:type="dxa"/>
            <w:tcBorders>
              <w:top w:val="nil"/>
              <w:left w:val="nil"/>
              <w:bottom w:val="single" w:color="auto" w:sz="4" w:space="0"/>
              <w:right w:val="single" w:color="auto" w:sz="4" w:space="0"/>
            </w:tcBorders>
            <w:noWrap w:val="0"/>
            <w:vAlign w:val="center"/>
          </w:tcPr>
          <w:p w14:paraId="5860739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74DA52E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C209BFB">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72A521D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6BF103B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7B85456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2000≤Y＜40000</w:t>
            </w:r>
          </w:p>
        </w:tc>
        <w:tc>
          <w:tcPr>
            <w:tcW w:w="1701" w:type="dxa"/>
            <w:tcBorders>
              <w:top w:val="nil"/>
              <w:left w:val="nil"/>
              <w:bottom w:val="single" w:color="auto" w:sz="4" w:space="0"/>
              <w:right w:val="single" w:color="auto" w:sz="4" w:space="0"/>
            </w:tcBorders>
            <w:noWrap w:val="0"/>
            <w:vAlign w:val="center"/>
          </w:tcPr>
          <w:p w14:paraId="26BE77E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300≤Y＜2000</w:t>
            </w:r>
          </w:p>
        </w:tc>
        <w:tc>
          <w:tcPr>
            <w:tcW w:w="978" w:type="dxa"/>
            <w:tcBorders>
              <w:top w:val="nil"/>
              <w:left w:val="nil"/>
              <w:bottom w:val="single" w:color="auto" w:sz="4" w:space="0"/>
              <w:right w:val="single" w:color="auto" w:sz="4" w:space="0"/>
            </w:tcBorders>
            <w:noWrap w:val="0"/>
            <w:vAlign w:val="center"/>
          </w:tcPr>
          <w:p w14:paraId="4FD2DBA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Y＜300</w:t>
            </w:r>
          </w:p>
        </w:tc>
      </w:tr>
      <w:tr w14:paraId="372DFE0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0B73E74">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建筑业</w:t>
            </w:r>
          </w:p>
        </w:tc>
        <w:tc>
          <w:tcPr>
            <w:tcW w:w="1984" w:type="dxa"/>
            <w:tcBorders>
              <w:top w:val="nil"/>
              <w:left w:val="nil"/>
              <w:bottom w:val="single" w:color="auto" w:sz="4" w:space="0"/>
              <w:right w:val="single" w:color="auto" w:sz="4" w:space="0"/>
            </w:tcBorders>
            <w:noWrap w:val="0"/>
            <w:vAlign w:val="center"/>
          </w:tcPr>
          <w:p w14:paraId="0A8D8DE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49D098B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10191C7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6000≤Y＜80000</w:t>
            </w:r>
          </w:p>
        </w:tc>
        <w:tc>
          <w:tcPr>
            <w:tcW w:w="1701" w:type="dxa"/>
            <w:tcBorders>
              <w:top w:val="nil"/>
              <w:left w:val="nil"/>
              <w:bottom w:val="single" w:color="auto" w:sz="4" w:space="0"/>
              <w:right w:val="single" w:color="auto" w:sz="4" w:space="0"/>
            </w:tcBorders>
            <w:noWrap w:val="0"/>
            <w:vAlign w:val="center"/>
          </w:tcPr>
          <w:p w14:paraId="3A46B81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300≤Y＜6000</w:t>
            </w:r>
          </w:p>
        </w:tc>
        <w:tc>
          <w:tcPr>
            <w:tcW w:w="978" w:type="dxa"/>
            <w:tcBorders>
              <w:top w:val="nil"/>
              <w:left w:val="nil"/>
              <w:bottom w:val="single" w:color="auto" w:sz="4" w:space="0"/>
              <w:right w:val="single" w:color="auto" w:sz="4" w:space="0"/>
            </w:tcBorders>
            <w:noWrap w:val="0"/>
            <w:vAlign w:val="center"/>
          </w:tcPr>
          <w:p w14:paraId="3C631B2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Y＜300</w:t>
            </w:r>
          </w:p>
        </w:tc>
      </w:tr>
      <w:tr w14:paraId="7F82DA2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BAF3091">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719432A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资产总额（Z）</w:t>
            </w:r>
          </w:p>
        </w:tc>
        <w:tc>
          <w:tcPr>
            <w:tcW w:w="851" w:type="dxa"/>
            <w:tcBorders>
              <w:top w:val="nil"/>
              <w:left w:val="nil"/>
              <w:bottom w:val="single" w:color="auto" w:sz="4" w:space="0"/>
              <w:right w:val="single" w:color="auto" w:sz="4" w:space="0"/>
            </w:tcBorders>
            <w:noWrap w:val="0"/>
            <w:vAlign w:val="center"/>
          </w:tcPr>
          <w:p w14:paraId="175A4EB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58D001D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5000≤Z＜80000</w:t>
            </w:r>
          </w:p>
        </w:tc>
        <w:tc>
          <w:tcPr>
            <w:tcW w:w="1701" w:type="dxa"/>
            <w:tcBorders>
              <w:top w:val="nil"/>
              <w:left w:val="nil"/>
              <w:bottom w:val="single" w:color="auto" w:sz="4" w:space="0"/>
              <w:right w:val="single" w:color="auto" w:sz="4" w:space="0"/>
            </w:tcBorders>
            <w:noWrap w:val="0"/>
            <w:vAlign w:val="center"/>
          </w:tcPr>
          <w:p w14:paraId="0B89320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300≤Z＜5000</w:t>
            </w:r>
          </w:p>
        </w:tc>
        <w:tc>
          <w:tcPr>
            <w:tcW w:w="978" w:type="dxa"/>
            <w:tcBorders>
              <w:top w:val="nil"/>
              <w:left w:val="nil"/>
              <w:bottom w:val="single" w:color="auto" w:sz="4" w:space="0"/>
              <w:right w:val="single" w:color="auto" w:sz="4" w:space="0"/>
            </w:tcBorders>
            <w:noWrap w:val="0"/>
            <w:vAlign w:val="center"/>
          </w:tcPr>
          <w:p w14:paraId="41DA6D2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Z＜300</w:t>
            </w:r>
          </w:p>
        </w:tc>
      </w:tr>
      <w:tr w14:paraId="365FBB6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40EA00D">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批发业</w:t>
            </w:r>
          </w:p>
        </w:tc>
        <w:tc>
          <w:tcPr>
            <w:tcW w:w="1984" w:type="dxa"/>
            <w:tcBorders>
              <w:top w:val="nil"/>
              <w:left w:val="nil"/>
              <w:bottom w:val="single" w:color="auto" w:sz="4" w:space="0"/>
              <w:right w:val="single" w:color="auto" w:sz="4" w:space="0"/>
            </w:tcBorders>
            <w:noWrap w:val="0"/>
            <w:vAlign w:val="center"/>
          </w:tcPr>
          <w:p w14:paraId="2A591A5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77187BB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0"/>
            <w:vAlign w:val="center"/>
          </w:tcPr>
          <w:p w14:paraId="1EB3566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20≤X＜200</w:t>
            </w:r>
          </w:p>
        </w:tc>
        <w:tc>
          <w:tcPr>
            <w:tcW w:w="1701" w:type="dxa"/>
            <w:tcBorders>
              <w:top w:val="nil"/>
              <w:left w:val="nil"/>
              <w:bottom w:val="single" w:color="auto" w:sz="4" w:space="0"/>
              <w:right w:val="single" w:color="auto" w:sz="4" w:space="0"/>
            </w:tcBorders>
            <w:noWrap w:val="0"/>
            <w:vAlign w:val="center"/>
          </w:tcPr>
          <w:p w14:paraId="5CDD0CC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5≤X＜20</w:t>
            </w:r>
          </w:p>
        </w:tc>
        <w:tc>
          <w:tcPr>
            <w:tcW w:w="978" w:type="dxa"/>
            <w:tcBorders>
              <w:top w:val="nil"/>
              <w:left w:val="nil"/>
              <w:bottom w:val="single" w:color="auto" w:sz="4" w:space="0"/>
              <w:right w:val="single" w:color="auto" w:sz="4" w:space="0"/>
            </w:tcBorders>
            <w:noWrap w:val="0"/>
            <w:vAlign w:val="center"/>
          </w:tcPr>
          <w:p w14:paraId="4447E28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X＜5</w:t>
            </w:r>
          </w:p>
        </w:tc>
      </w:tr>
      <w:tr w14:paraId="12EB4CF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E55DC03">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58DCB46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03712DE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06AC3B2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5000≤Y＜40000</w:t>
            </w:r>
          </w:p>
        </w:tc>
        <w:tc>
          <w:tcPr>
            <w:tcW w:w="1701" w:type="dxa"/>
            <w:tcBorders>
              <w:top w:val="nil"/>
              <w:left w:val="nil"/>
              <w:bottom w:val="single" w:color="auto" w:sz="4" w:space="0"/>
              <w:right w:val="single" w:color="auto" w:sz="4" w:space="0"/>
            </w:tcBorders>
            <w:noWrap w:val="0"/>
            <w:vAlign w:val="center"/>
          </w:tcPr>
          <w:p w14:paraId="6562AA0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1000≤Y＜5000</w:t>
            </w:r>
          </w:p>
        </w:tc>
        <w:tc>
          <w:tcPr>
            <w:tcW w:w="978" w:type="dxa"/>
            <w:tcBorders>
              <w:top w:val="nil"/>
              <w:left w:val="nil"/>
              <w:bottom w:val="single" w:color="auto" w:sz="4" w:space="0"/>
              <w:right w:val="single" w:color="auto" w:sz="4" w:space="0"/>
            </w:tcBorders>
            <w:noWrap w:val="0"/>
            <w:vAlign w:val="center"/>
          </w:tcPr>
          <w:p w14:paraId="51FD2EF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Y＜1000</w:t>
            </w:r>
          </w:p>
        </w:tc>
      </w:tr>
      <w:tr w14:paraId="0C9BEDA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0F7FD17">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零售业</w:t>
            </w:r>
          </w:p>
        </w:tc>
        <w:tc>
          <w:tcPr>
            <w:tcW w:w="1984" w:type="dxa"/>
            <w:tcBorders>
              <w:top w:val="nil"/>
              <w:left w:val="nil"/>
              <w:bottom w:val="single" w:color="auto" w:sz="4" w:space="0"/>
              <w:right w:val="single" w:color="auto" w:sz="4" w:space="0"/>
            </w:tcBorders>
            <w:noWrap w:val="0"/>
            <w:vAlign w:val="center"/>
          </w:tcPr>
          <w:p w14:paraId="302C017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324CE3A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0"/>
            <w:vAlign w:val="center"/>
          </w:tcPr>
          <w:p w14:paraId="18FDCB4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50≤X＜300</w:t>
            </w:r>
          </w:p>
        </w:tc>
        <w:tc>
          <w:tcPr>
            <w:tcW w:w="1701" w:type="dxa"/>
            <w:tcBorders>
              <w:top w:val="nil"/>
              <w:left w:val="nil"/>
              <w:bottom w:val="single" w:color="auto" w:sz="4" w:space="0"/>
              <w:right w:val="single" w:color="auto" w:sz="4" w:space="0"/>
            </w:tcBorders>
            <w:noWrap w:val="0"/>
            <w:vAlign w:val="center"/>
          </w:tcPr>
          <w:p w14:paraId="008A910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10≤X＜50</w:t>
            </w:r>
          </w:p>
        </w:tc>
        <w:tc>
          <w:tcPr>
            <w:tcW w:w="978" w:type="dxa"/>
            <w:tcBorders>
              <w:top w:val="nil"/>
              <w:left w:val="nil"/>
              <w:bottom w:val="single" w:color="auto" w:sz="4" w:space="0"/>
              <w:right w:val="single" w:color="auto" w:sz="4" w:space="0"/>
            </w:tcBorders>
            <w:noWrap w:val="0"/>
            <w:vAlign w:val="center"/>
          </w:tcPr>
          <w:p w14:paraId="68A1C9D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7F9FD4E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42A8E1C">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3CCF492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13D75BC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53C3BF5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500≤Y＜20000</w:t>
            </w:r>
          </w:p>
        </w:tc>
        <w:tc>
          <w:tcPr>
            <w:tcW w:w="1701" w:type="dxa"/>
            <w:tcBorders>
              <w:top w:val="nil"/>
              <w:left w:val="nil"/>
              <w:bottom w:val="single" w:color="auto" w:sz="4" w:space="0"/>
              <w:right w:val="single" w:color="auto" w:sz="4" w:space="0"/>
            </w:tcBorders>
            <w:noWrap w:val="0"/>
            <w:vAlign w:val="center"/>
          </w:tcPr>
          <w:p w14:paraId="73089F4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100≤Y＜500</w:t>
            </w:r>
          </w:p>
        </w:tc>
        <w:tc>
          <w:tcPr>
            <w:tcW w:w="978" w:type="dxa"/>
            <w:tcBorders>
              <w:top w:val="nil"/>
              <w:left w:val="nil"/>
              <w:bottom w:val="single" w:color="auto" w:sz="4" w:space="0"/>
              <w:right w:val="single" w:color="auto" w:sz="4" w:space="0"/>
            </w:tcBorders>
            <w:noWrap w:val="0"/>
            <w:vAlign w:val="center"/>
          </w:tcPr>
          <w:p w14:paraId="6EAB3F6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3971CC8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6C289AA">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交通运输业</w:t>
            </w:r>
          </w:p>
        </w:tc>
        <w:tc>
          <w:tcPr>
            <w:tcW w:w="1984" w:type="dxa"/>
            <w:tcBorders>
              <w:top w:val="nil"/>
              <w:left w:val="nil"/>
              <w:bottom w:val="single" w:color="auto" w:sz="4" w:space="0"/>
              <w:right w:val="single" w:color="auto" w:sz="4" w:space="0"/>
            </w:tcBorders>
            <w:noWrap w:val="0"/>
            <w:vAlign w:val="center"/>
          </w:tcPr>
          <w:p w14:paraId="76A3677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369C39E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0"/>
            <w:vAlign w:val="center"/>
          </w:tcPr>
          <w:p w14:paraId="2A27648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701" w:type="dxa"/>
            <w:tcBorders>
              <w:top w:val="nil"/>
              <w:left w:val="nil"/>
              <w:bottom w:val="single" w:color="auto" w:sz="4" w:space="0"/>
              <w:right w:val="single" w:color="auto" w:sz="4" w:space="0"/>
            </w:tcBorders>
            <w:noWrap w:val="0"/>
            <w:vAlign w:val="center"/>
          </w:tcPr>
          <w:p w14:paraId="45D3EBE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20≤X＜300</w:t>
            </w:r>
          </w:p>
        </w:tc>
        <w:tc>
          <w:tcPr>
            <w:tcW w:w="978" w:type="dxa"/>
            <w:tcBorders>
              <w:top w:val="nil"/>
              <w:left w:val="nil"/>
              <w:bottom w:val="single" w:color="auto" w:sz="4" w:space="0"/>
              <w:right w:val="single" w:color="auto" w:sz="4" w:space="0"/>
            </w:tcBorders>
            <w:noWrap w:val="0"/>
            <w:vAlign w:val="center"/>
          </w:tcPr>
          <w:p w14:paraId="3BF2F06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4AD6882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5BDD8A3">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46C2C1F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0DD131A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329B3AB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3000≤Y＜30000</w:t>
            </w:r>
          </w:p>
        </w:tc>
        <w:tc>
          <w:tcPr>
            <w:tcW w:w="1701" w:type="dxa"/>
            <w:tcBorders>
              <w:top w:val="nil"/>
              <w:left w:val="nil"/>
              <w:bottom w:val="single" w:color="auto" w:sz="4" w:space="0"/>
              <w:right w:val="single" w:color="auto" w:sz="4" w:space="0"/>
            </w:tcBorders>
            <w:noWrap w:val="0"/>
            <w:vAlign w:val="center"/>
          </w:tcPr>
          <w:p w14:paraId="376E43D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200≤Y＜3000</w:t>
            </w:r>
          </w:p>
        </w:tc>
        <w:tc>
          <w:tcPr>
            <w:tcW w:w="978" w:type="dxa"/>
            <w:tcBorders>
              <w:top w:val="nil"/>
              <w:left w:val="nil"/>
              <w:bottom w:val="single" w:color="auto" w:sz="4" w:space="0"/>
              <w:right w:val="single" w:color="auto" w:sz="4" w:space="0"/>
            </w:tcBorders>
            <w:noWrap w:val="0"/>
            <w:vAlign w:val="center"/>
          </w:tcPr>
          <w:p w14:paraId="3D75262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Y＜200</w:t>
            </w:r>
          </w:p>
        </w:tc>
      </w:tr>
      <w:tr w14:paraId="2F1C84F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63E4E58">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仓储业</w:t>
            </w:r>
          </w:p>
        </w:tc>
        <w:tc>
          <w:tcPr>
            <w:tcW w:w="1984" w:type="dxa"/>
            <w:tcBorders>
              <w:top w:val="nil"/>
              <w:left w:val="nil"/>
              <w:bottom w:val="single" w:color="auto" w:sz="4" w:space="0"/>
              <w:right w:val="single" w:color="auto" w:sz="4" w:space="0"/>
            </w:tcBorders>
            <w:noWrap w:val="0"/>
            <w:vAlign w:val="center"/>
          </w:tcPr>
          <w:p w14:paraId="353E2CF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5C88190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0"/>
            <w:vAlign w:val="center"/>
          </w:tcPr>
          <w:p w14:paraId="4E25AF5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100≤X＜200</w:t>
            </w:r>
          </w:p>
        </w:tc>
        <w:tc>
          <w:tcPr>
            <w:tcW w:w="1701" w:type="dxa"/>
            <w:tcBorders>
              <w:top w:val="nil"/>
              <w:left w:val="nil"/>
              <w:bottom w:val="single" w:color="auto" w:sz="4" w:space="0"/>
              <w:right w:val="single" w:color="auto" w:sz="4" w:space="0"/>
            </w:tcBorders>
            <w:noWrap w:val="0"/>
            <w:vAlign w:val="center"/>
          </w:tcPr>
          <w:p w14:paraId="78A18DB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20≤X＜100</w:t>
            </w:r>
          </w:p>
        </w:tc>
        <w:tc>
          <w:tcPr>
            <w:tcW w:w="978" w:type="dxa"/>
            <w:tcBorders>
              <w:top w:val="nil"/>
              <w:left w:val="nil"/>
              <w:bottom w:val="single" w:color="auto" w:sz="4" w:space="0"/>
              <w:right w:val="single" w:color="auto" w:sz="4" w:space="0"/>
            </w:tcBorders>
            <w:noWrap w:val="0"/>
            <w:vAlign w:val="center"/>
          </w:tcPr>
          <w:p w14:paraId="570F391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0EF38F5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DCFAB6D">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660EC5C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1D5E16E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31ED1FF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1000≤Y＜30000</w:t>
            </w:r>
          </w:p>
        </w:tc>
        <w:tc>
          <w:tcPr>
            <w:tcW w:w="1701" w:type="dxa"/>
            <w:tcBorders>
              <w:top w:val="nil"/>
              <w:left w:val="nil"/>
              <w:bottom w:val="single" w:color="auto" w:sz="4" w:space="0"/>
              <w:right w:val="single" w:color="auto" w:sz="4" w:space="0"/>
            </w:tcBorders>
            <w:noWrap w:val="0"/>
            <w:vAlign w:val="center"/>
          </w:tcPr>
          <w:p w14:paraId="6C78EF9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100≤Y＜1000</w:t>
            </w:r>
          </w:p>
        </w:tc>
        <w:tc>
          <w:tcPr>
            <w:tcW w:w="978" w:type="dxa"/>
            <w:tcBorders>
              <w:top w:val="nil"/>
              <w:left w:val="nil"/>
              <w:bottom w:val="single" w:color="auto" w:sz="4" w:space="0"/>
              <w:right w:val="single" w:color="auto" w:sz="4" w:space="0"/>
            </w:tcBorders>
            <w:noWrap w:val="0"/>
            <w:vAlign w:val="center"/>
          </w:tcPr>
          <w:p w14:paraId="0AE16DB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6127806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1D5F723">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邮政业</w:t>
            </w:r>
          </w:p>
        </w:tc>
        <w:tc>
          <w:tcPr>
            <w:tcW w:w="1984" w:type="dxa"/>
            <w:tcBorders>
              <w:top w:val="nil"/>
              <w:left w:val="nil"/>
              <w:bottom w:val="single" w:color="auto" w:sz="4" w:space="0"/>
              <w:right w:val="single" w:color="auto" w:sz="4" w:space="0"/>
            </w:tcBorders>
            <w:noWrap w:val="0"/>
            <w:vAlign w:val="center"/>
          </w:tcPr>
          <w:p w14:paraId="39C1C80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1BA6765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0"/>
            <w:vAlign w:val="center"/>
          </w:tcPr>
          <w:p w14:paraId="04BF462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701" w:type="dxa"/>
            <w:tcBorders>
              <w:top w:val="nil"/>
              <w:left w:val="nil"/>
              <w:bottom w:val="single" w:color="auto" w:sz="4" w:space="0"/>
              <w:right w:val="single" w:color="auto" w:sz="4" w:space="0"/>
            </w:tcBorders>
            <w:noWrap w:val="0"/>
            <w:vAlign w:val="center"/>
          </w:tcPr>
          <w:p w14:paraId="50DDE99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20≤X＜300</w:t>
            </w:r>
          </w:p>
        </w:tc>
        <w:tc>
          <w:tcPr>
            <w:tcW w:w="978" w:type="dxa"/>
            <w:tcBorders>
              <w:top w:val="nil"/>
              <w:left w:val="nil"/>
              <w:bottom w:val="single" w:color="auto" w:sz="4" w:space="0"/>
              <w:right w:val="single" w:color="auto" w:sz="4" w:space="0"/>
            </w:tcBorders>
            <w:noWrap w:val="0"/>
            <w:vAlign w:val="center"/>
          </w:tcPr>
          <w:p w14:paraId="6B60CC3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47EA360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C8B9ADA">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0159C26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4EA8E2C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51B4A67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2000≤Y＜30000</w:t>
            </w:r>
          </w:p>
        </w:tc>
        <w:tc>
          <w:tcPr>
            <w:tcW w:w="1701" w:type="dxa"/>
            <w:tcBorders>
              <w:top w:val="nil"/>
              <w:left w:val="nil"/>
              <w:bottom w:val="single" w:color="auto" w:sz="4" w:space="0"/>
              <w:right w:val="single" w:color="auto" w:sz="4" w:space="0"/>
            </w:tcBorders>
            <w:noWrap w:val="0"/>
            <w:vAlign w:val="center"/>
          </w:tcPr>
          <w:p w14:paraId="5D858D5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100≤Y＜2000</w:t>
            </w:r>
          </w:p>
        </w:tc>
        <w:tc>
          <w:tcPr>
            <w:tcW w:w="978" w:type="dxa"/>
            <w:tcBorders>
              <w:top w:val="nil"/>
              <w:left w:val="nil"/>
              <w:bottom w:val="single" w:color="auto" w:sz="4" w:space="0"/>
              <w:right w:val="single" w:color="auto" w:sz="4" w:space="0"/>
            </w:tcBorders>
            <w:noWrap w:val="0"/>
            <w:vAlign w:val="center"/>
          </w:tcPr>
          <w:p w14:paraId="1DF4076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70B844C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AECEAAE">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住宿业</w:t>
            </w:r>
          </w:p>
        </w:tc>
        <w:tc>
          <w:tcPr>
            <w:tcW w:w="1984" w:type="dxa"/>
            <w:tcBorders>
              <w:top w:val="nil"/>
              <w:left w:val="nil"/>
              <w:bottom w:val="single" w:color="auto" w:sz="4" w:space="0"/>
              <w:right w:val="single" w:color="auto" w:sz="4" w:space="0"/>
            </w:tcBorders>
            <w:noWrap w:val="0"/>
            <w:vAlign w:val="center"/>
          </w:tcPr>
          <w:p w14:paraId="22AD734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7A92C6A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0"/>
            <w:vAlign w:val="center"/>
          </w:tcPr>
          <w:p w14:paraId="54013B8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701" w:type="dxa"/>
            <w:tcBorders>
              <w:top w:val="nil"/>
              <w:left w:val="nil"/>
              <w:bottom w:val="single" w:color="auto" w:sz="4" w:space="0"/>
              <w:right w:val="single" w:color="auto" w:sz="4" w:space="0"/>
            </w:tcBorders>
            <w:noWrap w:val="0"/>
            <w:vAlign w:val="center"/>
          </w:tcPr>
          <w:p w14:paraId="3641F5A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978" w:type="dxa"/>
            <w:tcBorders>
              <w:top w:val="nil"/>
              <w:left w:val="nil"/>
              <w:bottom w:val="single" w:color="auto" w:sz="4" w:space="0"/>
              <w:right w:val="single" w:color="auto" w:sz="4" w:space="0"/>
            </w:tcBorders>
            <w:noWrap w:val="0"/>
            <w:vAlign w:val="center"/>
          </w:tcPr>
          <w:p w14:paraId="2A50975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5565F1D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57DC914">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1C3E70A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05621EE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364C4A3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2000≤Y＜10000</w:t>
            </w:r>
          </w:p>
        </w:tc>
        <w:tc>
          <w:tcPr>
            <w:tcW w:w="1701" w:type="dxa"/>
            <w:tcBorders>
              <w:top w:val="nil"/>
              <w:left w:val="nil"/>
              <w:bottom w:val="single" w:color="auto" w:sz="4" w:space="0"/>
              <w:right w:val="single" w:color="auto" w:sz="4" w:space="0"/>
            </w:tcBorders>
            <w:noWrap w:val="0"/>
            <w:vAlign w:val="center"/>
          </w:tcPr>
          <w:p w14:paraId="1281F72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100≤Y＜2000</w:t>
            </w:r>
          </w:p>
        </w:tc>
        <w:tc>
          <w:tcPr>
            <w:tcW w:w="978" w:type="dxa"/>
            <w:tcBorders>
              <w:top w:val="nil"/>
              <w:left w:val="nil"/>
              <w:bottom w:val="single" w:color="auto" w:sz="4" w:space="0"/>
              <w:right w:val="single" w:color="auto" w:sz="4" w:space="0"/>
            </w:tcBorders>
            <w:noWrap w:val="0"/>
            <w:vAlign w:val="center"/>
          </w:tcPr>
          <w:p w14:paraId="2E5FD74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7C57F85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F3B04B6">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餐饮业</w:t>
            </w:r>
          </w:p>
        </w:tc>
        <w:tc>
          <w:tcPr>
            <w:tcW w:w="1984" w:type="dxa"/>
            <w:tcBorders>
              <w:top w:val="nil"/>
              <w:left w:val="nil"/>
              <w:bottom w:val="single" w:color="auto" w:sz="4" w:space="0"/>
              <w:right w:val="single" w:color="auto" w:sz="4" w:space="0"/>
            </w:tcBorders>
            <w:noWrap w:val="0"/>
            <w:vAlign w:val="center"/>
          </w:tcPr>
          <w:p w14:paraId="462C528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41B73CD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0"/>
            <w:vAlign w:val="center"/>
          </w:tcPr>
          <w:p w14:paraId="6B2C4BF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701" w:type="dxa"/>
            <w:tcBorders>
              <w:top w:val="nil"/>
              <w:left w:val="nil"/>
              <w:bottom w:val="single" w:color="auto" w:sz="4" w:space="0"/>
              <w:right w:val="single" w:color="auto" w:sz="4" w:space="0"/>
            </w:tcBorders>
            <w:noWrap w:val="0"/>
            <w:vAlign w:val="center"/>
          </w:tcPr>
          <w:p w14:paraId="3C51BC5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978" w:type="dxa"/>
            <w:tcBorders>
              <w:top w:val="nil"/>
              <w:left w:val="nil"/>
              <w:bottom w:val="single" w:color="auto" w:sz="4" w:space="0"/>
              <w:right w:val="single" w:color="auto" w:sz="4" w:space="0"/>
            </w:tcBorders>
            <w:noWrap w:val="0"/>
            <w:vAlign w:val="center"/>
          </w:tcPr>
          <w:p w14:paraId="552CE55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7EEAF2E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9C790BD">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0B37194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6351904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734E0FD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2000≤Y＜10000</w:t>
            </w:r>
          </w:p>
        </w:tc>
        <w:tc>
          <w:tcPr>
            <w:tcW w:w="1701" w:type="dxa"/>
            <w:tcBorders>
              <w:top w:val="nil"/>
              <w:left w:val="nil"/>
              <w:bottom w:val="single" w:color="auto" w:sz="4" w:space="0"/>
              <w:right w:val="single" w:color="auto" w:sz="4" w:space="0"/>
            </w:tcBorders>
            <w:noWrap w:val="0"/>
            <w:vAlign w:val="center"/>
          </w:tcPr>
          <w:p w14:paraId="5F26F27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100≤Y＜2000</w:t>
            </w:r>
          </w:p>
        </w:tc>
        <w:tc>
          <w:tcPr>
            <w:tcW w:w="978" w:type="dxa"/>
            <w:tcBorders>
              <w:top w:val="nil"/>
              <w:left w:val="nil"/>
              <w:bottom w:val="single" w:color="auto" w:sz="4" w:space="0"/>
              <w:right w:val="single" w:color="auto" w:sz="4" w:space="0"/>
            </w:tcBorders>
            <w:noWrap w:val="0"/>
            <w:vAlign w:val="center"/>
          </w:tcPr>
          <w:p w14:paraId="40C44C3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262F735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16F0F5D">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信息传输业</w:t>
            </w:r>
          </w:p>
        </w:tc>
        <w:tc>
          <w:tcPr>
            <w:tcW w:w="1984" w:type="dxa"/>
            <w:tcBorders>
              <w:top w:val="nil"/>
              <w:left w:val="nil"/>
              <w:bottom w:val="single" w:color="auto" w:sz="4" w:space="0"/>
              <w:right w:val="single" w:color="auto" w:sz="4" w:space="0"/>
            </w:tcBorders>
            <w:noWrap w:val="0"/>
            <w:vAlign w:val="center"/>
          </w:tcPr>
          <w:p w14:paraId="599D36A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71CA116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0"/>
            <w:vAlign w:val="center"/>
          </w:tcPr>
          <w:p w14:paraId="7BC924C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100≤X＜2000</w:t>
            </w:r>
          </w:p>
        </w:tc>
        <w:tc>
          <w:tcPr>
            <w:tcW w:w="1701" w:type="dxa"/>
            <w:tcBorders>
              <w:top w:val="nil"/>
              <w:left w:val="nil"/>
              <w:bottom w:val="single" w:color="auto" w:sz="4" w:space="0"/>
              <w:right w:val="single" w:color="auto" w:sz="4" w:space="0"/>
            </w:tcBorders>
            <w:noWrap w:val="0"/>
            <w:vAlign w:val="center"/>
          </w:tcPr>
          <w:p w14:paraId="476691D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978" w:type="dxa"/>
            <w:tcBorders>
              <w:top w:val="nil"/>
              <w:left w:val="nil"/>
              <w:bottom w:val="single" w:color="auto" w:sz="4" w:space="0"/>
              <w:right w:val="single" w:color="auto" w:sz="4" w:space="0"/>
            </w:tcBorders>
            <w:noWrap w:val="0"/>
            <w:vAlign w:val="center"/>
          </w:tcPr>
          <w:p w14:paraId="231DBF4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2B77132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1651F01">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6458468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765D42F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31F7831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1000≤Y＜100000</w:t>
            </w:r>
          </w:p>
        </w:tc>
        <w:tc>
          <w:tcPr>
            <w:tcW w:w="1701" w:type="dxa"/>
            <w:tcBorders>
              <w:top w:val="nil"/>
              <w:left w:val="nil"/>
              <w:bottom w:val="single" w:color="auto" w:sz="4" w:space="0"/>
              <w:right w:val="single" w:color="auto" w:sz="4" w:space="0"/>
            </w:tcBorders>
            <w:noWrap w:val="0"/>
            <w:vAlign w:val="center"/>
          </w:tcPr>
          <w:p w14:paraId="3955244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100≤Y＜1000</w:t>
            </w:r>
          </w:p>
        </w:tc>
        <w:tc>
          <w:tcPr>
            <w:tcW w:w="978" w:type="dxa"/>
            <w:tcBorders>
              <w:top w:val="nil"/>
              <w:left w:val="nil"/>
              <w:bottom w:val="single" w:color="auto" w:sz="4" w:space="0"/>
              <w:right w:val="single" w:color="auto" w:sz="4" w:space="0"/>
            </w:tcBorders>
            <w:noWrap w:val="0"/>
            <w:vAlign w:val="center"/>
          </w:tcPr>
          <w:p w14:paraId="3419B36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40548F1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BF4A8BF">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软件和信息技术服务业</w:t>
            </w:r>
          </w:p>
        </w:tc>
        <w:tc>
          <w:tcPr>
            <w:tcW w:w="1984" w:type="dxa"/>
            <w:tcBorders>
              <w:top w:val="nil"/>
              <w:left w:val="nil"/>
              <w:bottom w:val="single" w:color="auto" w:sz="4" w:space="0"/>
              <w:right w:val="single" w:color="auto" w:sz="4" w:space="0"/>
            </w:tcBorders>
            <w:noWrap w:val="0"/>
            <w:vAlign w:val="center"/>
          </w:tcPr>
          <w:p w14:paraId="12BC4D9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3D457C3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0"/>
            <w:vAlign w:val="center"/>
          </w:tcPr>
          <w:p w14:paraId="3C0D048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701" w:type="dxa"/>
            <w:tcBorders>
              <w:top w:val="nil"/>
              <w:left w:val="nil"/>
              <w:bottom w:val="single" w:color="auto" w:sz="4" w:space="0"/>
              <w:right w:val="single" w:color="auto" w:sz="4" w:space="0"/>
            </w:tcBorders>
            <w:noWrap w:val="0"/>
            <w:vAlign w:val="center"/>
          </w:tcPr>
          <w:p w14:paraId="5A9316F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978" w:type="dxa"/>
            <w:tcBorders>
              <w:top w:val="nil"/>
              <w:left w:val="nil"/>
              <w:bottom w:val="single" w:color="auto" w:sz="4" w:space="0"/>
              <w:right w:val="single" w:color="auto" w:sz="4" w:space="0"/>
            </w:tcBorders>
            <w:noWrap w:val="0"/>
            <w:vAlign w:val="center"/>
          </w:tcPr>
          <w:p w14:paraId="31F5A37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7B95B1D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14F5148">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2B68F05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73FA6B5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544F17F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1000≤Y＜10000</w:t>
            </w:r>
          </w:p>
        </w:tc>
        <w:tc>
          <w:tcPr>
            <w:tcW w:w="1701" w:type="dxa"/>
            <w:tcBorders>
              <w:top w:val="nil"/>
              <w:left w:val="nil"/>
              <w:bottom w:val="single" w:color="auto" w:sz="4" w:space="0"/>
              <w:right w:val="single" w:color="auto" w:sz="4" w:space="0"/>
            </w:tcBorders>
            <w:noWrap w:val="0"/>
            <w:vAlign w:val="center"/>
          </w:tcPr>
          <w:p w14:paraId="422B159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50≤Y＜1000</w:t>
            </w:r>
          </w:p>
        </w:tc>
        <w:tc>
          <w:tcPr>
            <w:tcW w:w="978" w:type="dxa"/>
            <w:tcBorders>
              <w:top w:val="nil"/>
              <w:left w:val="nil"/>
              <w:bottom w:val="single" w:color="auto" w:sz="4" w:space="0"/>
              <w:right w:val="single" w:color="auto" w:sz="4" w:space="0"/>
            </w:tcBorders>
            <w:noWrap w:val="0"/>
            <w:vAlign w:val="center"/>
          </w:tcPr>
          <w:p w14:paraId="72B9179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Y＜50</w:t>
            </w:r>
          </w:p>
        </w:tc>
      </w:tr>
      <w:tr w14:paraId="2CCF507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41A92F1">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房地产开发经营</w:t>
            </w:r>
          </w:p>
        </w:tc>
        <w:tc>
          <w:tcPr>
            <w:tcW w:w="1984" w:type="dxa"/>
            <w:tcBorders>
              <w:top w:val="nil"/>
              <w:left w:val="nil"/>
              <w:bottom w:val="single" w:color="auto" w:sz="4" w:space="0"/>
              <w:right w:val="single" w:color="auto" w:sz="4" w:space="0"/>
            </w:tcBorders>
            <w:noWrap w:val="0"/>
            <w:vAlign w:val="center"/>
          </w:tcPr>
          <w:p w14:paraId="255FE8F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4461992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782C57A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1000≤Y＜200000</w:t>
            </w:r>
          </w:p>
        </w:tc>
        <w:tc>
          <w:tcPr>
            <w:tcW w:w="1701" w:type="dxa"/>
            <w:tcBorders>
              <w:top w:val="nil"/>
              <w:left w:val="nil"/>
              <w:bottom w:val="single" w:color="auto" w:sz="4" w:space="0"/>
              <w:right w:val="single" w:color="auto" w:sz="4" w:space="0"/>
            </w:tcBorders>
            <w:noWrap w:val="0"/>
            <w:vAlign w:val="center"/>
          </w:tcPr>
          <w:p w14:paraId="451B789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100≤X＜1000</w:t>
            </w:r>
          </w:p>
        </w:tc>
        <w:tc>
          <w:tcPr>
            <w:tcW w:w="978" w:type="dxa"/>
            <w:tcBorders>
              <w:top w:val="nil"/>
              <w:left w:val="nil"/>
              <w:bottom w:val="single" w:color="auto" w:sz="4" w:space="0"/>
              <w:right w:val="single" w:color="auto" w:sz="4" w:space="0"/>
            </w:tcBorders>
            <w:noWrap w:val="0"/>
            <w:vAlign w:val="center"/>
          </w:tcPr>
          <w:p w14:paraId="1532DE0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X＜100</w:t>
            </w:r>
          </w:p>
        </w:tc>
      </w:tr>
      <w:tr w14:paraId="4B1F525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778FCEE">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1B393D5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资产总额（Z）</w:t>
            </w:r>
          </w:p>
        </w:tc>
        <w:tc>
          <w:tcPr>
            <w:tcW w:w="851" w:type="dxa"/>
            <w:tcBorders>
              <w:top w:val="nil"/>
              <w:left w:val="nil"/>
              <w:bottom w:val="single" w:color="auto" w:sz="4" w:space="0"/>
              <w:right w:val="single" w:color="auto" w:sz="4" w:space="0"/>
            </w:tcBorders>
            <w:noWrap w:val="0"/>
            <w:vAlign w:val="center"/>
          </w:tcPr>
          <w:p w14:paraId="2F3DF3A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12678B8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5000≤Z＜10000</w:t>
            </w:r>
          </w:p>
        </w:tc>
        <w:tc>
          <w:tcPr>
            <w:tcW w:w="1701" w:type="dxa"/>
            <w:tcBorders>
              <w:top w:val="nil"/>
              <w:left w:val="nil"/>
              <w:bottom w:val="single" w:color="auto" w:sz="4" w:space="0"/>
              <w:right w:val="single" w:color="auto" w:sz="4" w:space="0"/>
            </w:tcBorders>
            <w:noWrap w:val="0"/>
            <w:vAlign w:val="center"/>
          </w:tcPr>
          <w:p w14:paraId="3FCA937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2000≤Y＜5000</w:t>
            </w:r>
          </w:p>
        </w:tc>
        <w:tc>
          <w:tcPr>
            <w:tcW w:w="978" w:type="dxa"/>
            <w:tcBorders>
              <w:top w:val="nil"/>
              <w:left w:val="nil"/>
              <w:bottom w:val="single" w:color="auto" w:sz="4" w:space="0"/>
              <w:right w:val="single" w:color="auto" w:sz="4" w:space="0"/>
            </w:tcBorders>
            <w:noWrap w:val="0"/>
            <w:vAlign w:val="center"/>
          </w:tcPr>
          <w:p w14:paraId="58D64EA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Y＜2000</w:t>
            </w:r>
          </w:p>
        </w:tc>
      </w:tr>
      <w:tr w14:paraId="0B5EE92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B7C32E1">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物业管理</w:t>
            </w:r>
          </w:p>
        </w:tc>
        <w:tc>
          <w:tcPr>
            <w:tcW w:w="1984" w:type="dxa"/>
            <w:tcBorders>
              <w:top w:val="nil"/>
              <w:left w:val="nil"/>
              <w:bottom w:val="single" w:color="auto" w:sz="4" w:space="0"/>
              <w:right w:val="single" w:color="auto" w:sz="4" w:space="0"/>
            </w:tcBorders>
            <w:noWrap w:val="0"/>
            <w:vAlign w:val="center"/>
          </w:tcPr>
          <w:p w14:paraId="60150C1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18418E6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0"/>
            <w:vAlign w:val="center"/>
          </w:tcPr>
          <w:p w14:paraId="37AF678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701" w:type="dxa"/>
            <w:tcBorders>
              <w:top w:val="nil"/>
              <w:left w:val="nil"/>
              <w:bottom w:val="single" w:color="auto" w:sz="4" w:space="0"/>
              <w:right w:val="single" w:color="auto" w:sz="4" w:space="0"/>
            </w:tcBorders>
            <w:noWrap w:val="0"/>
            <w:vAlign w:val="center"/>
          </w:tcPr>
          <w:p w14:paraId="3890A17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978" w:type="dxa"/>
            <w:tcBorders>
              <w:top w:val="nil"/>
              <w:left w:val="nil"/>
              <w:bottom w:val="single" w:color="auto" w:sz="4" w:space="0"/>
              <w:right w:val="single" w:color="auto" w:sz="4" w:space="0"/>
            </w:tcBorders>
            <w:noWrap w:val="0"/>
            <w:vAlign w:val="center"/>
          </w:tcPr>
          <w:p w14:paraId="2E8E174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X＜100</w:t>
            </w:r>
          </w:p>
        </w:tc>
      </w:tr>
      <w:tr w14:paraId="11692DE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EEC201D">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5F79D82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7922AD3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051E802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1000≤Y＜5000</w:t>
            </w:r>
          </w:p>
        </w:tc>
        <w:tc>
          <w:tcPr>
            <w:tcW w:w="1701" w:type="dxa"/>
            <w:tcBorders>
              <w:top w:val="nil"/>
              <w:left w:val="nil"/>
              <w:bottom w:val="single" w:color="auto" w:sz="4" w:space="0"/>
              <w:right w:val="single" w:color="auto" w:sz="4" w:space="0"/>
            </w:tcBorders>
            <w:noWrap w:val="0"/>
            <w:vAlign w:val="center"/>
          </w:tcPr>
          <w:p w14:paraId="543799D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500≤Y＜1000</w:t>
            </w:r>
          </w:p>
        </w:tc>
        <w:tc>
          <w:tcPr>
            <w:tcW w:w="978" w:type="dxa"/>
            <w:tcBorders>
              <w:top w:val="nil"/>
              <w:left w:val="nil"/>
              <w:bottom w:val="single" w:color="auto" w:sz="4" w:space="0"/>
              <w:right w:val="single" w:color="auto" w:sz="4" w:space="0"/>
            </w:tcBorders>
            <w:noWrap w:val="0"/>
            <w:vAlign w:val="center"/>
          </w:tcPr>
          <w:p w14:paraId="2E7BADB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Y＜500</w:t>
            </w:r>
          </w:p>
        </w:tc>
      </w:tr>
      <w:tr w14:paraId="7655FA6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46E4B65">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租赁和商务服务业</w:t>
            </w:r>
          </w:p>
        </w:tc>
        <w:tc>
          <w:tcPr>
            <w:tcW w:w="1984" w:type="dxa"/>
            <w:tcBorders>
              <w:top w:val="nil"/>
              <w:left w:val="nil"/>
              <w:bottom w:val="single" w:color="auto" w:sz="4" w:space="0"/>
              <w:right w:val="single" w:color="auto" w:sz="4" w:space="0"/>
            </w:tcBorders>
            <w:noWrap w:val="0"/>
            <w:vAlign w:val="center"/>
          </w:tcPr>
          <w:p w14:paraId="0B7DDCA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7E3F00F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0"/>
            <w:vAlign w:val="center"/>
          </w:tcPr>
          <w:p w14:paraId="29CBFF2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701" w:type="dxa"/>
            <w:tcBorders>
              <w:top w:val="nil"/>
              <w:left w:val="nil"/>
              <w:bottom w:val="single" w:color="auto" w:sz="4" w:space="0"/>
              <w:right w:val="single" w:color="auto" w:sz="4" w:space="0"/>
            </w:tcBorders>
            <w:noWrap w:val="0"/>
            <w:vAlign w:val="center"/>
          </w:tcPr>
          <w:p w14:paraId="271A4EA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978" w:type="dxa"/>
            <w:tcBorders>
              <w:top w:val="nil"/>
              <w:left w:val="nil"/>
              <w:bottom w:val="single" w:color="auto" w:sz="4" w:space="0"/>
              <w:right w:val="single" w:color="auto" w:sz="4" w:space="0"/>
            </w:tcBorders>
            <w:noWrap w:val="0"/>
            <w:vAlign w:val="center"/>
          </w:tcPr>
          <w:p w14:paraId="69AC620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4734D10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919BC60">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6D679F1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资产总额（Z）</w:t>
            </w:r>
          </w:p>
        </w:tc>
        <w:tc>
          <w:tcPr>
            <w:tcW w:w="851" w:type="dxa"/>
            <w:tcBorders>
              <w:top w:val="nil"/>
              <w:left w:val="nil"/>
              <w:bottom w:val="single" w:color="auto" w:sz="4" w:space="0"/>
              <w:right w:val="single" w:color="auto" w:sz="4" w:space="0"/>
            </w:tcBorders>
            <w:noWrap w:val="0"/>
            <w:vAlign w:val="center"/>
          </w:tcPr>
          <w:p w14:paraId="7E64952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7D4A1EF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8000≤Z＜120000</w:t>
            </w:r>
          </w:p>
        </w:tc>
        <w:tc>
          <w:tcPr>
            <w:tcW w:w="1701" w:type="dxa"/>
            <w:tcBorders>
              <w:top w:val="nil"/>
              <w:left w:val="nil"/>
              <w:bottom w:val="single" w:color="auto" w:sz="4" w:space="0"/>
              <w:right w:val="single" w:color="auto" w:sz="4" w:space="0"/>
            </w:tcBorders>
            <w:noWrap w:val="0"/>
            <w:vAlign w:val="center"/>
          </w:tcPr>
          <w:p w14:paraId="10421FC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100≤Z＜8000</w:t>
            </w:r>
          </w:p>
        </w:tc>
        <w:tc>
          <w:tcPr>
            <w:tcW w:w="978" w:type="dxa"/>
            <w:tcBorders>
              <w:top w:val="nil"/>
              <w:left w:val="nil"/>
              <w:bottom w:val="single" w:color="auto" w:sz="4" w:space="0"/>
              <w:right w:val="single" w:color="auto" w:sz="4" w:space="0"/>
            </w:tcBorders>
            <w:noWrap w:val="0"/>
            <w:vAlign w:val="center"/>
          </w:tcPr>
          <w:p w14:paraId="69EA6EC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323E1735">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52660E82">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其他未列明行业</w:t>
            </w:r>
          </w:p>
        </w:tc>
        <w:tc>
          <w:tcPr>
            <w:tcW w:w="1984" w:type="dxa"/>
            <w:tcBorders>
              <w:top w:val="nil"/>
              <w:left w:val="nil"/>
              <w:bottom w:val="single" w:color="auto" w:sz="4" w:space="0"/>
              <w:right w:val="single" w:color="auto" w:sz="4" w:space="0"/>
            </w:tcBorders>
            <w:noWrap w:val="0"/>
            <w:vAlign w:val="center"/>
          </w:tcPr>
          <w:p w14:paraId="1627AFB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63B21CD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0"/>
            <w:vAlign w:val="center"/>
          </w:tcPr>
          <w:p w14:paraId="57D7F0A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701" w:type="dxa"/>
            <w:tcBorders>
              <w:top w:val="nil"/>
              <w:left w:val="nil"/>
              <w:bottom w:val="single" w:color="auto" w:sz="4" w:space="0"/>
              <w:right w:val="single" w:color="auto" w:sz="4" w:space="0"/>
            </w:tcBorders>
            <w:noWrap w:val="0"/>
            <w:vAlign w:val="center"/>
          </w:tcPr>
          <w:p w14:paraId="3B181FA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978" w:type="dxa"/>
            <w:tcBorders>
              <w:top w:val="nil"/>
              <w:left w:val="nil"/>
              <w:bottom w:val="single" w:color="auto" w:sz="4" w:space="0"/>
              <w:right w:val="single" w:color="auto" w:sz="4" w:space="0"/>
            </w:tcBorders>
            <w:noWrap w:val="0"/>
            <w:vAlign w:val="center"/>
          </w:tcPr>
          <w:p w14:paraId="6E59C46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bl>
    <w:p w14:paraId="13DCF638">
      <w:pPr>
        <w:spacing w:line="560" w:lineRule="exact"/>
        <w:ind w:firstLine="525" w:firstLineChars="250"/>
        <w:rPr>
          <w:rFonts w:ascii="宋体" w:hAnsi="宋体"/>
          <w:color w:val="000000" w:themeColor="text1"/>
          <w:kern w:val="0"/>
          <w:sz w:val="20"/>
          <w:szCs w:val="21"/>
          <w:highlight w:val="none"/>
          <w14:textFill>
            <w14:solidFill>
              <w14:schemeClr w14:val="tx1"/>
            </w14:solidFill>
          </w14:textFill>
        </w:rPr>
      </w:pPr>
      <w:r>
        <w:rPr>
          <w:rFonts w:hint="eastAsia" w:ascii="仿宋_GB2312" w:hAnsi="仿宋" w:eastAsia="仿宋_GB2312"/>
          <w:color w:val="000000" w:themeColor="text1"/>
          <w:szCs w:val="21"/>
          <w:highlight w:val="none"/>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p w14:paraId="01C245D1">
      <w:pPr>
        <w:widowControl/>
        <w:jc w:val="left"/>
        <w:rPr>
          <w:rFonts w:hint="eastAsia" w:ascii="微软雅黑" w:hAnsi="微软雅黑" w:eastAsia="微软雅黑" w:cs="微软雅黑"/>
          <w:color w:val="000000" w:themeColor="text1"/>
          <w:sz w:val="32"/>
          <w:szCs w:val="32"/>
          <w:highlight w:val="none"/>
          <w14:textFill>
            <w14:solidFill>
              <w14:schemeClr w14:val="tx1"/>
            </w14:solidFill>
          </w14:textFill>
        </w:rPr>
      </w:pPr>
      <w:r>
        <w:rPr>
          <w:rFonts w:hint="eastAsia" w:ascii="微软雅黑" w:hAnsi="微软雅黑" w:eastAsia="微软雅黑" w:cs="微软雅黑"/>
          <w:color w:val="000000" w:themeColor="text1"/>
          <w:sz w:val="32"/>
          <w:szCs w:val="32"/>
          <w:highlight w:val="none"/>
          <w14:textFill>
            <w14:solidFill>
              <w14:schemeClr w14:val="tx1"/>
            </w14:solidFill>
          </w14:textFill>
        </w:rPr>
        <w:t>附件</w:t>
      </w:r>
      <w:r>
        <w:rPr>
          <w:rFonts w:hint="eastAsia" w:ascii="Arial Unicode MS" w:hAnsi="Arial Unicode MS" w:eastAsia="Arial Unicode MS" w:cs="Arial Unicode MS"/>
          <w:color w:val="000000" w:themeColor="text1"/>
          <w:sz w:val="32"/>
          <w:szCs w:val="32"/>
          <w:highlight w:val="none"/>
          <w14:textFill>
            <w14:solidFill>
              <w14:schemeClr w14:val="tx1"/>
            </w14:solidFill>
          </w14:textFill>
        </w:rPr>
        <w:t>3</w:t>
      </w:r>
      <w:r>
        <w:rPr>
          <w:rFonts w:hint="eastAsia" w:ascii="微软雅黑" w:hAnsi="微软雅黑" w:eastAsia="微软雅黑" w:cs="微软雅黑"/>
          <w:color w:val="000000" w:themeColor="text1"/>
          <w:sz w:val="32"/>
          <w:szCs w:val="32"/>
          <w:highlight w:val="none"/>
          <w14:textFill>
            <w14:solidFill>
              <w14:schemeClr w14:val="tx1"/>
            </w14:solidFill>
          </w14:textFill>
        </w:rPr>
        <w:t>：</w:t>
      </w:r>
    </w:p>
    <w:p w14:paraId="14FD0D90">
      <w:pPr>
        <w:spacing w:line="528" w:lineRule="exact"/>
        <w:jc w:val="center"/>
        <w:rPr>
          <w:rFonts w:hint="eastAsia" w:ascii="微软雅黑" w:hAnsi="微软雅黑" w:eastAsia="微软雅黑" w:cs="微软雅黑"/>
          <w:color w:val="000000" w:themeColor="text1"/>
          <w:sz w:val="40"/>
          <w:szCs w:val="40"/>
          <w:highlight w:val="none"/>
          <w14:textFill>
            <w14:solidFill>
              <w14:schemeClr w14:val="tx1"/>
            </w14:solidFill>
          </w14:textFill>
        </w:rPr>
      </w:pPr>
      <w:r>
        <w:rPr>
          <w:rFonts w:hint="eastAsia" w:ascii="微软雅黑" w:hAnsi="微软雅黑" w:eastAsia="微软雅黑" w:cs="微软雅黑"/>
          <w:color w:val="000000" w:themeColor="text1"/>
          <w:sz w:val="40"/>
          <w:szCs w:val="40"/>
          <w:highlight w:val="none"/>
          <w14:textFill>
            <w14:solidFill>
              <w14:schemeClr w14:val="tx1"/>
            </w14:solidFill>
          </w14:textFill>
        </w:rPr>
        <w:t>中国境内生产的组件成本核算基本规则</w:t>
      </w:r>
    </w:p>
    <w:p w14:paraId="4AFE0E5A">
      <w:pPr>
        <w:widowControl/>
        <w:spacing w:before="331" w:beforeLines="100"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产品在中国境内生产的组件成本，一般按照其二级组件的相关成本进行核算。按照产品的一级组件进 行成本核算能够满足中国境内生产的组件成本判定需求的，可以按照一级组件的相关成本进行核算。</w:t>
      </w:r>
    </w:p>
    <w:p w14:paraId="0F7976A7">
      <w:pPr>
        <w:widowControl/>
        <w:spacing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一、产品的一级组件是指直接组成产品的组件。产品的二级组件是指直接组成产品一级组件的组件。一级组件不可分解的，视同二级组件。</w:t>
      </w:r>
    </w:p>
    <w:p w14:paraId="41C9A3FC">
      <w:pPr>
        <w:widowControl/>
        <w:spacing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二、二级组件在中国境内生产的，其全部成本计入中国境内生产的组件成本；二级组件不在中国境内生产的，其成本不计入中国境内生产的组件成本。</w:t>
      </w:r>
    </w:p>
    <w:p w14:paraId="6FA4C0AD">
      <w:pPr>
        <w:widowControl/>
        <w:spacing w:line="360" w:lineRule="auto"/>
        <w:ind w:firstLine="480" w:firstLineChars="2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三、产品总成本和组件成本以相关会计核算数据、采购合同、进货记录等为基础进行计算。</w:t>
      </w:r>
    </w:p>
    <w:p w14:paraId="1116CAF4">
      <w:pPr>
        <w:pStyle w:val="28"/>
        <w:rPr>
          <w:color w:val="000000" w:themeColor="text1"/>
          <w:highlight w:val="none"/>
          <w14:textFill>
            <w14:solidFill>
              <w14:schemeClr w14:val="tx1"/>
            </w14:solidFill>
          </w14:textFill>
        </w:rPr>
        <w:sectPr>
          <w:pgSz w:w="11906" w:h="16838"/>
          <w:pgMar w:top="1440" w:right="1440" w:bottom="1440" w:left="1440" w:header="720" w:footer="720" w:gutter="0"/>
          <w:pgNumType w:fmt="decimal"/>
          <w:cols w:space="720" w:num="1"/>
          <w:docGrid w:type="lines" w:linePitch="331" w:charSpace="0"/>
        </w:sectPr>
      </w:pPr>
      <w:r>
        <w:rPr>
          <w:rFonts w:hint="eastAsia" w:ascii="宋体" w:hAnsi="宋体" w:cs="宋体"/>
          <w:color w:val="000000" w:themeColor="text1"/>
          <w:sz w:val="24"/>
          <w:highlight w:val="none"/>
          <w14:textFill>
            <w14:solidFill>
              <w14:schemeClr w14:val="tx1"/>
            </w14:solidFill>
          </w14:textFill>
        </w:rPr>
        <w:t>四、需要对成本核算规则予以进一步明确的其他有关事项，由财政部会同有关部门另行规定。</w:t>
      </w:r>
    </w:p>
    <w:p w14:paraId="14DBDA7D">
      <w:pPr>
        <w:pStyle w:val="2"/>
        <w:keepNext/>
        <w:keepLines/>
        <w:pageBreakBefore w:val="0"/>
        <w:widowControl w:val="0"/>
        <w:kinsoku/>
        <w:wordWrap/>
        <w:overflowPunct/>
        <w:topLinePunct w:val="0"/>
        <w:autoSpaceDE/>
        <w:autoSpaceDN/>
        <w:bidi w:val="0"/>
        <w:adjustRightInd/>
        <w:snapToGrid/>
        <w:spacing w:line="240" w:lineRule="auto"/>
        <w:jc w:val="center"/>
        <w:textAlignment w:val="auto"/>
        <w:rPr>
          <w:rFonts w:hint="eastAsia"/>
          <w:color w:val="000000" w:themeColor="text1"/>
          <w:highlight w:val="none"/>
          <w14:textFill>
            <w14:solidFill>
              <w14:schemeClr w14:val="tx1"/>
            </w14:solidFill>
          </w14:textFill>
        </w:rPr>
      </w:pPr>
      <w:bookmarkStart w:id="33" w:name="_Toc12288"/>
      <w:r>
        <w:rPr>
          <w:rFonts w:hint="eastAsia" w:ascii="Cambria" w:hAnsi="Cambria"/>
          <w:bCs w:val="0"/>
          <w:color w:val="000000" w:themeColor="text1"/>
          <w:sz w:val="32"/>
          <w:szCs w:val="32"/>
          <w:highlight w:val="none"/>
          <w14:textFill>
            <w14:solidFill>
              <w14:schemeClr w14:val="tx1"/>
            </w14:solidFill>
          </w14:textFill>
        </w:rPr>
        <w:t>第三章供应商须知</w:t>
      </w:r>
      <w:bookmarkEnd w:id="33"/>
    </w:p>
    <w:p w14:paraId="12641E77">
      <w:pPr>
        <w:pStyle w:val="3"/>
        <w:keepNext/>
        <w:keepLines/>
        <w:pageBreakBefore w:val="0"/>
        <w:widowControl w:val="0"/>
        <w:kinsoku/>
        <w:wordWrap/>
        <w:overflowPunct/>
        <w:topLinePunct w:val="0"/>
        <w:autoSpaceDE/>
        <w:autoSpaceDN/>
        <w:bidi w:val="0"/>
        <w:adjustRightInd/>
        <w:snapToGrid/>
        <w:spacing w:line="240" w:lineRule="auto"/>
        <w:jc w:val="center"/>
        <w:textAlignment w:val="auto"/>
        <w:rPr>
          <w:rFonts w:ascii="宋体" w:hAnsi="宋体"/>
          <w:b w:val="0"/>
          <w:color w:val="000000" w:themeColor="text1"/>
          <w:highlight w:val="none"/>
          <w14:textFill>
            <w14:solidFill>
              <w14:schemeClr w14:val="tx1"/>
            </w14:solidFill>
          </w14:textFill>
        </w:rPr>
      </w:pPr>
      <w:bookmarkStart w:id="34" w:name="_Toc10368"/>
      <w:r>
        <w:rPr>
          <w:rFonts w:hint="eastAsia" w:ascii="宋体" w:hAnsi="宋体"/>
          <w:b w:val="0"/>
          <w:color w:val="000000" w:themeColor="text1"/>
          <w:highlight w:val="none"/>
          <w14:textFill>
            <w14:solidFill>
              <w14:schemeClr w14:val="tx1"/>
            </w14:solidFill>
          </w14:textFill>
        </w:rPr>
        <w:t>第一节供应商须知前附表</w:t>
      </w:r>
      <w:bookmarkEnd w:id="34"/>
    </w:p>
    <w:tbl>
      <w:tblPr>
        <w:tblStyle w:val="29"/>
        <w:tblW w:w="880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5" w:type="dxa"/>
          <w:left w:w="108" w:type="dxa"/>
          <w:bottom w:w="0" w:type="dxa"/>
          <w:right w:w="108" w:type="dxa"/>
        </w:tblCellMar>
      </w:tblPr>
      <w:tblGrid>
        <w:gridCol w:w="1003"/>
        <w:gridCol w:w="2100"/>
        <w:gridCol w:w="5700"/>
      </w:tblGrid>
      <w:tr w14:paraId="68CB7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108" w:type="dxa"/>
            <w:bottom w:w="0" w:type="dxa"/>
            <w:right w:w="108" w:type="dxa"/>
          </w:tblCellMar>
        </w:tblPrEx>
        <w:trPr>
          <w:trHeight w:val="493" w:hRule="atLeast"/>
          <w:jc w:val="center"/>
        </w:trPr>
        <w:tc>
          <w:tcPr>
            <w:tcW w:w="1003" w:type="dxa"/>
            <w:tcBorders>
              <w:top w:val="single" w:color="000000" w:sz="4" w:space="0"/>
              <w:left w:val="single" w:color="000000" w:sz="4" w:space="0"/>
              <w:bottom w:val="single" w:color="000000" w:sz="4" w:space="0"/>
              <w:right w:val="single" w:color="000000" w:sz="4" w:space="0"/>
            </w:tcBorders>
            <w:noWrap w:val="0"/>
            <w:vAlign w:val="center"/>
          </w:tcPr>
          <w:p w14:paraId="690EAAED">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条款号</w:t>
            </w: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540E12D6">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条款内容</w:t>
            </w:r>
          </w:p>
        </w:tc>
        <w:tc>
          <w:tcPr>
            <w:tcW w:w="5700" w:type="dxa"/>
            <w:tcBorders>
              <w:top w:val="single" w:color="000000" w:sz="4" w:space="0"/>
              <w:left w:val="single" w:color="000000" w:sz="4" w:space="0"/>
              <w:bottom w:val="single" w:color="000000" w:sz="4" w:space="0"/>
              <w:right w:val="single" w:color="000000" w:sz="4" w:space="0"/>
            </w:tcBorders>
            <w:noWrap w:val="0"/>
            <w:vAlign w:val="center"/>
          </w:tcPr>
          <w:p w14:paraId="2A135E33">
            <w:pPr>
              <w:spacing w:line="360" w:lineRule="auto"/>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具体要求</w:t>
            </w:r>
          </w:p>
        </w:tc>
      </w:tr>
      <w:tr w14:paraId="0423A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108" w:type="dxa"/>
            <w:bottom w:w="0" w:type="dxa"/>
            <w:right w:w="108" w:type="dxa"/>
          </w:tblCellMar>
        </w:tblPrEx>
        <w:trPr>
          <w:trHeight w:val="493" w:hRule="atLeast"/>
          <w:jc w:val="center"/>
        </w:trPr>
        <w:tc>
          <w:tcPr>
            <w:tcW w:w="1003" w:type="dxa"/>
            <w:tcBorders>
              <w:top w:val="single" w:color="000000" w:sz="4" w:space="0"/>
              <w:left w:val="single" w:color="000000" w:sz="4" w:space="0"/>
              <w:bottom w:val="single" w:color="000000" w:sz="4" w:space="0"/>
              <w:right w:val="single" w:color="000000" w:sz="4" w:space="0"/>
            </w:tcBorders>
            <w:noWrap w:val="0"/>
            <w:vAlign w:val="center"/>
          </w:tcPr>
          <w:p w14:paraId="217F1B24">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3.1</w:t>
            </w: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1D044DDB">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供应商资格条件</w:t>
            </w:r>
          </w:p>
        </w:tc>
        <w:tc>
          <w:tcPr>
            <w:tcW w:w="5700" w:type="dxa"/>
            <w:tcBorders>
              <w:top w:val="single" w:color="000000" w:sz="4" w:space="0"/>
              <w:left w:val="single" w:color="000000" w:sz="4" w:space="0"/>
              <w:bottom w:val="single" w:color="000000" w:sz="4" w:space="0"/>
              <w:right w:val="single" w:color="000000" w:sz="4" w:space="0"/>
            </w:tcBorders>
            <w:noWrap w:val="0"/>
            <w:vAlign w:val="center"/>
          </w:tcPr>
          <w:p w14:paraId="461666F4">
            <w:pPr>
              <w:spacing w:line="360" w:lineRule="auto"/>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供应商资格条件要求详见公告</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r>
      <w:tr w14:paraId="18E7A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108" w:type="dxa"/>
            <w:bottom w:w="0" w:type="dxa"/>
            <w:right w:w="108" w:type="dxa"/>
          </w:tblCellMar>
        </w:tblPrEx>
        <w:trPr>
          <w:trHeight w:val="495" w:hRule="atLeast"/>
          <w:jc w:val="center"/>
        </w:trPr>
        <w:tc>
          <w:tcPr>
            <w:tcW w:w="1003" w:type="dxa"/>
            <w:tcBorders>
              <w:top w:val="single" w:color="000000" w:sz="4" w:space="0"/>
              <w:left w:val="single" w:color="000000" w:sz="4" w:space="0"/>
              <w:bottom w:val="single" w:color="000000" w:sz="4" w:space="0"/>
              <w:right w:val="single" w:color="000000" w:sz="4" w:space="0"/>
            </w:tcBorders>
            <w:noWrap w:val="0"/>
            <w:vAlign w:val="center"/>
          </w:tcPr>
          <w:p w14:paraId="34F74D0E">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5.1</w:t>
            </w: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484E43C1">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是否接受联合体竞标</w:t>
            </w:r>
          </w:p>
        </w:tc>
        <w:tc>
          <w:tcPr>
            <w:tcW w:w="5700" w:type="dxa"/>
            <w:tcBorders>
              <w:top w:val="single" w:color="000000" w:sz="4" w:space="0"/>
              <w:left w:val="single" w:color="000000" w:sz="4" w:space="0"/>
              <w:bottom w:val="single" w:color="000000" w:sz="4" w:space="0"/>
              <w:right w:val="single" w:color="000000" w:sz="4" w:space="0"/>
            </w:tcBorders>
            <w:noWrap w:val="0"/>
            <w:vAlign w:val="center"/>
          </w:tcPr>
          <w:p w14:paraId="13598615">
            <w:pPr>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bookmarkStart w:id="35" w:name="PO_3000001871_PM007_1"/>
            <w:r>
              <w:rPr>
                <w:rFonts w:hint="eastAsia" w:ascii="宋体" w:hAnsi="宋体" w:eastAsia="宋体" w:cs="宋体"/>
                <w:color w:val="000000" w:themeColor="text1"/>
                <w:sz w:val="21"/>
                <w:szCs w:val="21"/>
                <w:highlight w:val="none"/>
                <w:lang w:eastAsia="zh-CN"/>
                <w14:textFill>
                  <w14:solidFill>
                    <w14:schemeClr w14:val="tx1"/>
                  </w14:solidFill>
                </w14:textFill>
              </w:rPr>
              <w:t>不允许联合体</w:t>
            </w:r>
            <w:bookmarkEnd w:id="35"/>
            <w:r>
              <w:rPr>
                <w:rFonts w:hint="eastAsia" w:ascii="宋体" w:hAnsi="宋体" w:eastAsia="宋体" w:cs="宋体"/>
                <w:color w:val="000000" w:themeColor="text1"/>
                <w:sz w:val="21"/>
                <w:szCs w:val="21"/>
                <w:highlight w:val="none"/>
                <w:lang w:val="en-US" w:eastAsia="zh-CN"/>
                <w14:textFill>
                  <w14:solidFill>
                    <w14:schemeClr w14:val="tx1"/>
                  </w14:solidFill>
                </w14:textFill>
              </w:rPr>
              <w:t>竞标</w:t>
            </w:r>
            <w:r>
              <w:rPr>
                <w:rFonts w:hint="eastAsia" w:ascii="宋体" w:hAnsi="宋体" w:eastAsia="宋体" w:cs="宋体"/>
                <w:color w:val="000000" w:themeColor="text1"/>
                <w:sz w:val="21"/>
                <w:szCs w:val="21"/>
                <w:highlight w:val="none"/>
                <w14:textFill>
                  <w14:solidFill>
                    <w14:schemeClr w14:val="tx1"/>
                  </w14:solidFill>
                </w14:textFill>
              </w:rPr>
              <w:t>。</w:t>
            </w:r>
          </w:p>
        </w:tc>
      </w:tr>
      <w:tr w14:paraId="692A6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108" w:type="dxa"/>
            <w:bottom w:w="0" w:type="dxa"/>
            <w:right w:w="108" w:type="dxa"/>
          </w:tblCellMar>
        </w:tblPrEx>
        <w:trPr>
          <w:trHeight w:val="410" w:hRule="atLeast"/>
          <w:jc w:val="center"/>
        </w:trPr>
        <w:tc>
          <w:tcPr>
            <w:tcW w:w="1003" w:type="dxa"/>
            <w:tcBorders>
              <w:top w:val="single" w:color="000000" w:sz="4" w:space="0"/>
              <w:left w:val="single" w:color="000000" w:sz="4" w:space="0"/>
              <w:bottom w:val="single" w:color="000000" w:sz="4" w:space="0"/>
              <w:right w:val="single" w:color="000000" w:sz="4" w:space="0"/>
            </w:tcBorders>
            <w:noWrap w:val="0"/>
            <w:vAlign w:val="center"/>
          </w:tcPr>
          <w:p w14:paraId="3C1AE2E4">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5.2</w:t>
            </w: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5FACCD07">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联合体竞标要求</w:t>
            </w:r>
          </w:p>
        </w:tc>
        <w:tc>
          <w:tcPr>
            <w:tcW w:w="5700" w:type="dxa"/>
            <w:tcBorders>
              <w:top w:val="single" w:color="000000" w:sz="4" w:space="0"/>
              <w:left w:val="single" w:color="000000" w:sz="4" w:space="0"/>
              <w:bottom w:val="single" w:color="000000" w:sz="4" w:space="0"/>
              <w:right w:val="single" w:color="000000" w:sz="4" w:space="0"/>
            </w:tcBorders>
            <w:noWrap w:val="0"/>
            <w:vAlign w:val="center"/>
          </w:tcPr>
          <w:p w14:paraId="2625770B">
            <w:pPr>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无</w:t>
            </w:r>
          </w:p>
        </w:tc>
      </w:tr>
      <w:tr w14:paraId="59F4F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108" w:type="dxa"/>
            <w:bottom w:w="0" w:type="dxa"/>
            <w:right w:w="108" w:type="dxa"/>
          </w:tblCellMar>
        </w:tblPrEx>
        <w:trPr>
          <w:trHeight w:val="1295" w:hRule="atLeast"/>
          <w:jc w:val="center"/>
        </w:trPr>
        <w:tc>
          <w:tcPr>
            <w:tcW w:w="1003" w:type="dxa"/>
            <w:tcBorders>
              <w:top w:val="single" w:color="000000" w:sz="4" w:space="0"/>
              <w:left w:val="single" w:color="000000" w:sz="4" w:space="0"/>
              <w:bottom w:val="single" w:color="000000" w:sz="4" w:space="0"/>
              <w:right w:val="single" w:color="000000" w:sz="4" w:space="0"/>
            </w:tcBorders>
            <w:noWrap w:val="0"/>
            <w:vAlign w:val="center"/>
          </w:tcPr>
          <w:p w14:paraId="3A47458E">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6.1</w:t>
            </w: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5703436D">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是否允许分包</w:t>
            </w:r>
          </w:p>
        </w:tc>
        <w:tc>
          <w:tcPr>
            <w:tcW w:w="5700" w:type="dxa"/>
            <w:tcBorders>
              <w:top w:val="single" w:color="000000" w:sz="4" w:space="0"/>
              <w:left w:val="single" w:color="000000" w:sz="4" w:space="0"/>
              <w:bottom w:val="single" w:color="000000" w:sz="4" w:space="0"/>
              <w:right w:val="single" w:color="000000" w:sz="4" w:space="0"/>
            </w:tcBorders>
            <w:noWrap w:val="0"/>
            <w:vAlign w:val="center"/>
          </w:tcPr>
          <w:p w14:paraId="4ADFE815">
            <w:pPr>
              <w:spacing w:line="360" w:lineRule="auto"/>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bookmarkStart w:id="36" w:name="PO_3000001871_PM044"/>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不允许分包</w:t>
            </w:r>
            <w:bookmarkEnd w:id="36"/>
          </w:p>
          <w:p w14:paraId="1892739B">
            <w:pPr>
              <w:spacing w:line="360" w:lineRule="auto"/>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sym w:font="Wingdings" w:char="00A8"/>
            </w:r>
            <w:r>
              <w:rPr>
                <w:rFonts w:hint="eastAsia" w:ascii="宋体" w:hAnsi="宋体" w:eastAsia="宋体" w:cs="宋体"/>
                <w:color w:val="000000" w:themeColor="text1"/>
                <w:sz w:val="21"/>
                <w:szCs w:val="21"/>
                <w:highlight w:val="none"/>
                <w:lang w:val="en-US" w:eastAsia="zh-CN"/>
                <w14:textFill>
                  <w14:solidFill>
                    <w14:schemeClr w14:val="tx1"/>
                  </w14:solidFill>
                </w14:textFill>
              </w:rPr>
              <w:t>分包内容：。</w:t>
            </w:r>
          </w:p>
          <w:p w14:paraId="320DF8D5">
            <w:pPr>
              <w:spacing w:line="360" w:lineRule="auto"/>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sym w:font="Wingdings" w:char="00A8"/>
            </w:r>
            <w:r>
              <w:rPr>
                <w:rFonts w:hint="eastAsia" w:ascii="宋体" w:hAnsi="宋体" w:eastAsia="宋体" w:cs="宋体"/>
                <w:color w:val="000000" w:themeColor="text1"/>
                <w:sz w:val="21"/>
                <w:szCs w:val="21"/>
                <w:highlight w:val="none"/>
                <w:lang w:val="en-US" w:eastAsia="zh-CN"/>
                <w14:textFill>
                  <w14:solidFill>
                    <w14:schemeClr w14:val="tx1"/>
                  </w14:solidFill>
                </w14:textFill>
              </w:rPr>
              <w:t>分包金额或者比例：。</w:t>
            </w:r>
          </w:p>
        </w:tc>
      </w:tr>
      <w:tr w14:paraId="54CF4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108" w:type="dxa"/>
            <w:bottom w:w="0" w:type="dxa"/>
            <w:right w:w="108" w:type="dxa"/>
          </w:tblCellMar>
        </w:tblPrEx>
        <w:trPr>
          <w:jc w:val="center"/>
        </w:trPr>
        <w:tc>
          <w:tcPr>
            <w:tcW w:w="1003" w:type="dxa"/>
            <w:tcBorders>
              <w:top w:val="single" w:color="000000" w:sz="4" w:space="0"/>
              <w:left w:val="single" w:color="000000" w:sz="4" w:space="0"/>
              <w:bottom w:val="single" w:color="000000" w:sz="4" w:space="0"/>
              <w:right w:val="single" w:color="000000" w:sz="4" w:space="0"/>
            </w:tcBorders>
            <w:noWrap w:val="0"/>
            <w:vAlign w:val="center"/>
          </w:tcPr>
          <w:p w14:paraId="4839B237">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12.1.1</w:t>
            </w: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5DC78136">
            <w:pPr>
              <w:snapToGrid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资格证明文件组成</w:t>
            </w:r>
          </w:p>
        </w:tc>
        <w:tc>
          <w:tcPr>
            <w:tcW w:w="5700" w:type="dxa"/>
            <w:tcBorders>
              <w:top w:val="single" w:color="000000" w:sz="4" w:space="0"/>
              <w:left w:val="single" w:color="000000" w:sz="4" w:space="0"/>
              <w:bottom w:val="single" w:color="000000" w:sz="4" w:space="0"/>
              <w:right w:val="single" w:color="000000" w:sz="4" w:space="0"/>
            </w:tcBorders>
            <w:noWrap w:val="0"/>
            <w:vAlign w:val="center"/>
          </w:tcPr>
          <w:p w14:paraId="35AFA17D">
            <w:pPr>
              <w:pStyle w:val="11"/>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1.供应商为法人或者其他组织的提供其营业执照等证明文件（如营业执照或者事业单位法人证书或者执业许可证等），供应商为自然人的提供其身份证复印件；（</w:t>
            </w:r>
            <w:r>
              <w:rPr>
                <w:rFonts w:hint="eastAsia" w:ascii="宋体" w:hAnsi="宋体" w:eastAsia="宋体" w:cs="宋体"/>
                <w:b/>
                <w:color w:val="000000" w:themeColor="text1"/>
                <w:sz w:val="21"/>
                <w:szCs w:val="21"/>
                <w:highlight w:val="none"/>
                <w14:textFill>
                  <w14:solidFill>
                    <w14:schemeClr w14:val="tx1"/>
                  </w14:solidFill>
                </w14:textFill>
              </w:rPr>
              <w:t>必须提供，否则谈判文件按无效响应处理</w:t>
            </w:r>
            <w:r>
              <w:rPr>
                <w:rFonts w:hint="eastAsia" w:ascii="宋体" w:hAnsi="宋体" w:eastAsia="宋体" w:cs="宋体"/>
                <w:color w:val="000000" w:themeColor="text1"/>
                <w:sz w:val="21"/>
                <w:szCs w:val="21"/>
                <w:highlight w:val="none"/>
                <w14:textFill>
                  <w14:solidFill>
                    <w14:schemeClr w14:val="tx1"/>
                  </w14:solidFill>
                </w14:textFill>
              </w:rPr>
              <w:t>）</w:t>
            </w:r>
          </w:p>
          <w:p w14:paraId="26BD0409">
            <w:pPr>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2.供应商依法缴纳税收的相关材料：[</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202</w:t>
            </w:r>
            <w:r>
              <w:rPr>
                <w:rFonts w:hint="eastAsia" w:ascii="宋体" w:hAnsi="宋体" w:cs="宋体"/>
                <w:color w:val="000000" w:themeColor="text1"/>
                <w:sz w:val="21"/>
                <w:szCs w:val="21"/>
                <w:highlight w:val="none"/>
                <w:u w:val="singl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cs="宋体"/>
                <w:color w:val="000000" w:themeColor="text1"/>
                <w:sz w:val="21"/>
                <w:szCs w:val="21"/>
                <w:highlight w:val="none"/>
                <w:u w:val="singl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月至</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202</w:t>
            </w:r>
            <w:r>
              <w:rPr>
                <w:rFonts w:hint="eastAsia" w:ascii="宋体" w:hAnsi="宋体" w:cs="宋体"/>
                <w:color w:val="000000" w:themeColor="text1"/>
                <w:sz w:val="21"/>
                <w:szCs w:val="21"/>
                <w:highlight w:val="none"/>
                <w:u w:val="singl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cs="宋体"/>
                <w:color w:val="000000" w:themeColor="text1"/>
                <w:sz w:val="21"/>
                <w:szCs w:val="21"/>
                <w:highlight w:val="none"/>
                <w:u w:val="singl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cs="宋体"/>
                <w:color w:val="000000" w:themeColor="text1"/>
                <w:sz w:val="21"/>
                <w:szCs w:val="21"/>
                <w:highlight w:val="none"/>
                <w:lang w:val="en-US" w:eastAsia="zh-CN"/>
                <w14:textFill>
                  <w14:solidFill>
                    <w14:schemeClr w14:val="tx1"/>
                  </w14:solidFill>
                </w14:textFill>
              </w:rPr>
              <w:t>任意</w:t>
            </w:r>
            <w:r>
              <w:rPr>
                <w:rFonts w:hint="eastAsia" w:ascii="宋体" w:hAnsi="宋体" w:eastAsia="宋体" w:cs="宋体"/>
                <w:color w:val="000000" w:themeColor="text1"/>
                <w:sz w:val="21"/>
                <w:szCs w:val="21"/>
                <w:highlight w:val="none"/>
                <w14:textFill>
                  <w14:solidFill>
                    <w14:schemeClr w14:val="tx1"/>
                  </w14:solidFill>
                </w14:textFill>
              </w:rPr>
              <w:t>连续</w:t>
            </w:r>
            <w:r>
              <w:rPr>
                <w:rFonts w:hint="eastAsia" w:ascii="宋体" w:hAnsi="宋体" w:eastAsia="宋体" w:cs="宋体"/>
                <w:color w:val="000000" w:themeColor="text1"/>
                <w:sz w:val="21"/>
                <w:szCs w:val="21"/>
                <w:highlight w:val="none"/>
                <w:u w:val="single"/>
                <w14:textFill>
                  <w14:solidFill>
                    <w14:schemeClr w14:val="tx1"/>
                  </w14:solidFill>
                </w14:textFill>
              </w:rPr>
              <w:t>三</w:t>
            </w:r>
            <w:r>
              <w:rPr>
                <w:rFonts w:hint="eastAsia" w:ascii="宋体" w:hAnsi="宋体" w:eastAsia="宋体" w:cs="宋体"/>
                <w:color w:val="000000" w:themeColor="text1"/>
                <w:sz w:val="21"/>
                <w:szCs w:val="21"/>
                <w:highlight w:val="none"/>
                <w14:textFill>
                  <w14:solidFill>
                    <w14:schemeClr w14:val="tx1"/>
                  </w14:solidFill>
                </w14:textFill>
              </w:rPr>
              <w:t>个月的依法缴纳税收的凭据复印件；依法免税的供应商，必须提供相应文件证明其依法免税。无纳税记录的，应提供竞标人所在地主管税务部门出具的依法纳税或依法免税证明复印件。从取得营业执照时间起到</w:t>
            </w:r>
            <w:r>
              <w:rPr>
                <w:rFonts w:hint="eastAsia" w:ascii="宋体" w:hAnsi="宋体" w:eastAsia="宋体" w:cs="宋体"/>
                <w:color w:val="000000" w:themeColor="text1"/>
                <w:sz w:val="21"/>
                <w:szCs w:val="21"/>
                <w:highlight w:val="none"/>
                <w:lang w:eastAsia="zh-CN"/>
                <w14:textFill>
                  <w14:solidFill>
                    <w14:schemeClr w14:val="tx1"/>
                  </w14:solidFill>
                </w14:textFill>
              </w:rPr>
              <w:t>响应</w:t>
            </w:r>
            <w:r>
              <w:rPr>
                <w:rFonts w:hint="eastAsia" w:ascii="宋体" w:hAnsi="宋体" w:eastAsia="宋体" w:cs="宋体"/>
                <w:color w:val="000000" w:themeColor="text1"/>
                <w:sz w:val="21"/>
                <w:szCs w:val="21"/>
                <w:highlight w:val="none"/>
                <w14:textFill>
                  <w14:solidFill>
                    <w14:schemeClr w14:val="tx1"/>
                  </w14:solidFill>
                </w14:textFill>
              </w:rPr>
              <w:t>文件提交截止时间为止不足要求月数的，只需提供从取得营业执照起的依法缴纳税收相应证明文件）；（</w:t>
            </w:r>
            <w:r>
              <w:rPr>
                <w:rFonts w:hint="eastAsia" w:ascii="宋体" w:hAnsi="宋体" w:eastAsia="宋体" w:cs="宋体"/>
                <w:b/>
                <w:color w:val="000000" w:themeColor="text1"/>
                <w:sz w:val="21"/>
                <w:szCs w:val="21"/>
                <w:highlight w:val="none"/>
                <w14:textFill>
                  <w14:solidFill>
                    <w14:schemeClr w14:val="tx1"/>
                  </w14:solidFill>
                </w14:textFill>
              </w:rPr>
              <w:t>必须提供，否则作无效响应处理</w:t>
            </w:r>
            <w:r>
              <w:rPr>
                <w:rFonts w:hint="eastAsia" w:ascii="宋体" w:hAnsi="宋体" w:eastAsia="宋体" w:cs="宋体"/>
                <w:color w:val="000000" w:themeColor="text1"/>
                <w:sz w:val="21"/>
                <w:szCs w:val="21"/>
                <w:highlight w:val="none"/>
                <w14:textFill>
                  <w14:solidFill>
                    <w14:schemeClr w14:val="tx1"/>
                  </w14:solidFill>
                </w14:textFill>
              </w:rPr>
              <w:t>）</w:t>
            </w:r>
          </w:p>
          <w:p w14:paraId="5EA77979">
            <w:pPr>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3.供应商依法缴纳社会保障资金的相关材料[</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202</w:t>
            </w:r>
            <w:r>
              <w:rPr>
                <w:rFonts w:hint="eastAsia" w:ascii="宋体" w:hAnsi="宋体" w:cs="宋体"/>
                <w:color w:val="000000" w:themeColor="text1"/>
                <w:sz w:val="21"/>
                <w:szCs w:val="21"/>
                <w:highlight w:val="none"/>
                <w:u w:val="singl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cs="宋体"/>
                <w:color w:val="000000" w:themeColor="text1"/>
                <w:sz w:val="21"/>
                <w:szCs w:val="21"/>
                <w:highlight w:val="none"/>
                <w:u w:val="singl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月至</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202</w:t>
            </w:r>
            <w:r>
              <w:rPr>
                <w:rFonts w:hint="eastAsia" w:ascii="宋体" w:hAnsi="宋体" w:cs="宋体"/>
                <w:color w:val="000000" w:themeColor="text1"/>
                <w:sz w:val="21"/>
                <w:szCs w:val="21"/>
                <w:highlight w:val="none"/>
                <w:u w:val="singl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cs="宋体"/>
                <w:color w:val="000000" w:themeColor="text1"/>
                <w:sz w:val="21"/>
                <w:szCs w:val="21"/>
                <w:highlight w:val="none"/>
                <w:u w:val="singl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cs="宋体"/>
                <w:color w:val="000000" w:themeColor="text1"/>
                <w:sz w:val="21"/>
                <w:szCs w:val="21"/>
                <w:highlight w:val="none"/>
                <w:lang w:val="en-US" w:eastAsia="zh-CN"/>
                <w14:textFill>
                  <w14:solidFill>
                    <w14:schemeClr w14:val="tx1"/>
                  </w14:solidFill>
                </w14:textFill>
              </w:rPr>
              <w:t>任意</w:t>
            </w:r>
            <w:r>
              <w:rPr>
                <w:rFonts w:hint="eastAsia" w:ascii="宋体" w:hAnsi="宋体" w:eastAsia="宋体" w:cs="宋体"/>
                <w:color w:val="000000" w:themeColor="text1"/>
                <w:sz w:val="21"/>
                <w:szCs w:val="21"/>
                <w:highlight w:val="none"/>
                <w14:textFill>
                  <w14:solidFill>
                    <w14:schemeClr w14:val="tx1"/>
                  </w14:solidFill>
                </w14:textFill>
              </w:rPr>
              <w:t>连续</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三</w:t>
            </w:r>
            <w:r>
              <w:rPr>
                <w:rFonts w:hint="eastAsia" w:ascii="宋体" w:hAnsi="宋体" w:eastAsia="宋体" w:cs="宋体"/>
                <w:color w:val="000000" w:themeColor="text1"/>
                <w:sz w:val="21"/>
                <w:szCs w:val="21"/>
                <w:highlight w:val="none"/>
                <w14:textFill>
                  <w14:solidFill>
                    <w14:schemeClr w14:val="tx1"/>
                  </w14:solidFill>
                </w14:textFill>
              </w:rPr>
              <w:t>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color w:val="000000" w:themeColor="text1"/>
                <w:sz w:val="21"/>
                <w:szCs w:val="21"/>
                <w:highlight w:val="none"/>
                <w14:textFill>
                  <w14:solidFill>
                    <w14:schemeClr w14:val="tx1"/>
                  </w14:solidFill>
                </w14:textFill>
              </w:rPr>
              <w:t>必须提供，否则作无效响应处理</w:t>
            </w:r>
            <w:r>
              <w:rPr>
                <w:rFonts w:hint="eastAsia" w:ascii="宋体" w:hAnsi="宋体" w:eastAsia="宋体" w:cs="宋体"/>
                <w:color w:val="000000" w:themeColor="text1"/>
                <w:sz w:val="21"/>
                <w:szCs w:val="21"/>
                <w:highlight w:val="none"/>
                <w14:textFill>
                  <w14:solidFill>
                    <w14:schemeClr w14:val="tx1"/>
                  </w14:solidFill>
                </w14:textFill>
              </w:rPr>
              <w:t>）</w:t>
            </w:r>
          </w:p>
          <w:p w14:paraId="07599BEF">
            <w:pPr>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4.供应商财务状况报告：[</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2025</w:t>
            </w:r>
            <w:r>
              <w:rPr>
                <w:rFonts w:hint="eastAsia" w:ascii="宋体" w:hAnsi="宋体" w:eastAsia="宋体" w:cs="宋体"/>
                <w:color w:val="000000" w:themeColor="text1"/>
                <w:sz w:val="21"/>
                <w:szCs w:val="21"/>
                <w:highlight w:val="none"/>
                <w:lang w:val="en-US" w:eastAsia="zh-CN"/>
                <w14:textFill>
                  <w14:solidFill>
                    <w14:schemeClr w14:val="tx1"/>
                  </w14:solidFill>
                </w14:textFill>
              </w:rPr>
              <w:t>年</w:t>
            </w:r>
            <w:r>
              <w:rPr>
                <w:rFonts w:hint="eastAsia" w:ascii="宋体" w:hAnsi="宋体" w:eastAsia="宋体" w:cs="宋体"/>
                <w:color w:val="000000" w:themeColor="text1"/>
                <w:sz w:val="21"/>
                <w:szCs w:val="21"/>
                <w:highlight w:val="none"/>
                <w14:textFill>
                  <w14:solidFill>
                    <w14:schemeClr w14:val="tx1"/>
                  </w14:solidFill>
                </w14:textFill>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eastAsia="宋体" w:cs="宋体"/>
                <w:b/>
                <w:color w:val="000000" w:themeColor="text1"/>
                <w:sz w:val="21"/>
                <w:szCs w:val="21"/>
                <w:highlight w:val="none"/>
                <w14:textFill>
                  <w14:solidFill>
                    <w14:schemeClr w14:val="tx1"/>
                  </w14:solidFill>
                </w14:textFill>
              </w:rPr>
              <w:t>必须提供，否则作无效响应处理</w:t>
            </w:r>
            <w:r>
              <w:rPr>
                <w:rFonts w:hint="eastAsia" w:ascii="宋体" w:hAnsi="宋体" w:eastAsia="宋体" w:cs="宋体"/>
                <w:color w:val="000000" w:themeColor="text1"/>
                <w:sz w:val="21"/>
                <w:szCs w:val="21"/>
                <w:highlight w:val="none"/>
                <w14:textFill>
                  <w14:solidFill>
                    <w14:schemeClr w14:val="tx1"/>
                  </w14:solidFill>
                </w14:textFill>
              </w:rPr>
              <w:t>）</w:t>
            </w:r>
          </w:p>
          <w:p w14:paraId="29E4F852">
            <w:pPr>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5.供应商直接控股、管理关系信息表；（</w:t>
            </w:r>
            <w:r>
              <w:rPr>
                <w:rFonts w:hint="eastAsia" w:ascii="宋体" w:hAnsi="宋体" w:eastAsia="宋体" w:cs="宋体"/>
                <w:b/>
                <w:color w:val="000000" w:themeColor="text1"/>
                <w:sz w:val="21"/>
                <w:szCs w:val="21"/>
                <w:highlight w:val="none"/>
                <w14:textFill>
                  <w14:solidFill>
                    <w14:schemeClr w14:val="tx1"/>
                  </w14:solidFill>
                </w14:textFill>
              </w:rPr>
              <w:t>必须提供，否则响应文件按无效响应处理</w:t>
            </w:r>
            <w:r>
              <w:rPr>
                <w:rFonts w:hint="eastAsia" w:ascii="宋体" w:hAnsi="宋体" w:eastAsia="宋体" w:cs="宋体"/>
                <w:color w:val="000000" w:themeColor="text1"/>
                <w:sz w:val="21"/>
                <w:szCs w:val="21"/>
                <w:highlight w:val="none"/>
                <w14:textFill>
                  <w14:solidFill>
                    <w14:schemeClr w14:val="tx1"/>
                  </w14:solidFill>
                </w14:textFill>
              </w:rPr>
              <w:t>）</w:t>
            </w:r>
          </w:p>
          <w:p w14:paraId="5AF9B31E">
            <w:pPr>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6.资格声明函；（</w:t>
            </w:r>
            <w:r>
              <w:rPr>
                <w:rFonts w:hint="eastAsia" w:ascii="宋体" w:hAnsi="宋体" w:eastAsia="宋体" w:cs="宋体"/>
                <w:b/>
                <w:color w:val="000000" w:themeColor="text1"/>
                <w:sz w:val="21"/>
                <w:szCs w:val="21"/>
                <w:highlight w:val="none"/>
                <w14:textFill>
                  <w14:solidFill>
                    <w14:schemeClr w14:val="tx1"/>
                  </w14:solidFill>
                </w14:textFill>
              </w:rPr>
              <w:t>必须提供，否则响应文件按无效响应处理</w:t>
            </w:r>
            <w:r>
              <w:rPr>
                <w:rFonts w:hint="eastAsia" w:ascii="宋体" w:hAnsi="宋体" w:eastAsia="宋体" w:cs="宋体"/>
                <w:color w:val="000000" w:themeColor="text1"/>
                <w:sz w:val="21"/>
                <w:szCs w:val="21"/>
                <w:highlight w:val="none"/>
                <w14:textFill>
                  <w14:solidFill>
                    <w14:schemeClr w14:val="tx1"/>
                  </w14:solidFill>
                </w14:textFill>
              </w:rPr>
              <w:t>）</w:t>
            </w:r>
          </w:p>
          <w:p w14:paraId="588B02E2">
            <w:pPr>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7.联合体协议书；（</w:t>
            </w:r>
            <w:r>
              <w:rPr>
                <w:rFonts w:hint="eastAsia" w:ascii="宋体" w:hAnsi="宋体" w:eastAsia="宋体" w:cs="宋体"/>
                <w:b/>
                <w:color w:val="000000" w:themeColor="text1"/>
                <w:sz w:val="21"/>
                <w:szCs w:val="21"/>
                <w:highlight w:val="none"/>
                <w14:textFill>
                  <w14:solidFill>
                    <w14:schemeClr w14:val="tx1"/>
                  </w14:solidFill>
                </w14:textFill>
              </w:rPr>
              <w:t>联合体竞标时必须提供，否则响应文件按无效响应处理</w:t>
            </w:r>
            <w:r>
              <w:rPr>
                <w:rFonts w:hint="eastAsia" w:ascii="宋体" w:hAnsi="宋体" w:eastAsia="宋体" w:cs="宋体"/>
                <w:color w:val="000000" w:themeColor="text1"/>
                <w:sz w:val="21"/>
                <w:szCs w:val="21"/>
                <w:highlight w:val="none"/>
                <w14:textFill>
                  <w14:solidFill>
                    <w14:schemeClr w14:val="tx1"/>
                  </w14:solidFill>
                </w14:textFill>
              </w:rPr>
              <w:t>）</w:t>
            </w:r>
          </w:p>
          <w:p w14:paraId="4837DE56">
            <w:pPr>
              <w:snapToGrid w:val="0"/>
              <w:spacing w:line="360" w:lineRule="auto"/>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w:t>
            </w:r>
            <w:r>
              <w:rPr>
                <w:rFonts w:hint="eastAsia" w:ascii="宋体" w:hAnsi="宋体" w:eastAsia="宋体" w:cs="宋体"/>
                <w:color w:val="000000" w:themeColor="text1"/>
                <w:sz w:val="21"/>
                <w:szCs w:val="21"/>
                <w:highlight w:val="none"/>
                <w:lang w:val="en-US" w:eastAsia="zh-CN"/>
                <w14:textFill>
                  <w14:solidFill>
                    <w14:schemeClr w14:val="tx1"/>
                  </w14:solidFill>
                </w14:textFill>
              </w:rPr>
              <w:t>本项目为</w:t>
            </w:r>
            <w:r>
              <w:rPr>
                <w:rFonts w:hint="eastAsia" w:ascii="宋体" w:hAnsi="宋体"/>
                <w:color w:val="000000" w:themeColor="text1"/>
                <w:szCs w:val="21"/>
                <w:highlight w:val="none"/>
                <w14:textFill>
                  <w14:solidFill>
                    <w14:schemeClr w14:val="tx1"/>
                  </w14:solidFill>
                </w14:textFill>
              </w:rPr>
              <w:t>专门面向</w:t>
            </w:r>
            <w:r>
              <w:rPr>
                <w:rFonts w:hint="eastAsia" w:ascii="宋体" w:hAnsi="宋体"/>
                <w:color w:val="000000" w:themeColor="text1"/>
                <w:szCs w:val="21"/>
                <w:highlight w:val="none"/>
                <w:lang w:val="en-US" w:eastAsia="zh-CN"/>
                <w14:textFill>
                  <w14:solidFill>
                    <w14:schemeClr w14:val="tx1"/>
                  </w14:solidFill>
                </w14:textFill>
              </w:rPr>
              <w:t>小微</w:t>
            </w:r>
            <w:r>
              <w:rPr>
                <w:rFonts w:hint="eastAsia" w:ascii="宋体" w:hAnsi="宋体"/>
                <w:color w:val="000000" w:themeColor="text1"/>
                <w:szCs w:val="21"/>
                <w:highlight w:val="none"/>
                <w14:textFill>
                  <w14:solidFill>
                    <w14:schemeClr w14:val="tx1"/>
                  </w14:solidFill>
                </w14:textFill>
              </w:rPr>
              <w:t>企业采购的项目</w:t>
            </w:r>
            <w:r>
              <w:rPr>
                <w:rFonts w:hint="eastAsia" w:ascii="宋体" w:hAnsi="宋体" w:eastAsia="宋体" w:cs="宋体"/>
                <w:color w:val="000000" w:themeColor="text1"/>
                <w:sz w:val="21"/>
                <w:szCs w:val="21"/>
                <w:highlight w:val="none"/>
                <w:lang w:val="en-US" w:eastAsia="zh-CN"/>
                <w14:textFill>
                  <w14:solidFill>
                    <w14:schemeClr w14:val="tx1"/>
                  </w14:solidFill>
                </w14:textFill>
              </w:rPr>
              <w:t>，参加本项目的供应商所响应产品制造商必须为小型、微型企业，或监狱企业，或残疾人福利性单位，否则竞标无效。供应商应符合以上其中一项资格，并根据情况提供材料</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（必须提供，否则响应文件按无效响应处理）</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p w14:paraId="18DE128C">
            <w:pPr>
              <w:snapToGrid w:val="0"/>
              <w:spacing w:line="360" w:lineRule="auto"/>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①《中小企业声明函》（格式后附）；</w:t>
            </w:r>
          </w:p>
          <w:p w14:paraId="5BE3A952">
            <w:pPr>
              <w:snapToGrid w:val="0"/>
              <w:spacing w:line="360" w:lineRule="auto"/>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②《残疾人福利性单位声明函》（格式后附）；</w:t>
            </w:r>
          </w:p>
          <w:p w14:paraId="1920925A">
            <w:pPr>
              <w:snapToGrid w:val="0"/>
              <w:spacing w:line="360" w:lineRule="auto"/>
              <w:jc w:val="left"/>
              <w:rPr>
                <w:rFonts w:hint="eastAsia"/>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③由省级或以上监狱管理局、戒毒管理局（含新疆生产建设兵团）出具的属于监狱企业的证明文件。</w:t>
            </w:r>
          </w:p>
          <w:p w14:paraId="0DC14B75">
            <w:pPr>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9.除谈判文件规定必须提供以外，供应商认为需要提供的其他证明材料；</w:t>
            </w:r>
          </w:p>
          <w:p w14:paraId="400343BA">
            <w:pPr>
              <w:snapToGrid w:val="0"/>
              <w:spacing w:line="360" w:lineRule="auto"/>
              <w:jc w:val="left"/>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注：</w:t>
            </w:r>
          </w:p>
          <w:p w14:paraId="0243403B">
            <w:pPr>
              <w:snapToGrid w:val="0"/>
              <w:spacing w:line="360" w:lineRule="auto"/>
              <w:jc w:val="left"/>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1.以上标明“必须提供”的材料属于复印件的扫描件的，必须加盖供应商电子公章，否则响应文件按无效响应处理。</w:t>
            </w:r>
          </w:p>
          <w:p w14:paraId="288CF96B">
            <w:pPr>
              <w:pStyle w:val="11"/>
              <w:spacing w:line="360" w:lineRule="auto"/>
              <w:jc w:val="left"/>
              <w:rPr>
                <w:rFonts w:hint="eastAsia" w:ascii="宋体" w:hAnsi="宋体" w:eastAsia="宋体" w:cs="宋体"/>
                <w:b/>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2.联合体竞标时，第1-5项、第8项资格证明文件联合体各方均必须分别提供，联合体各方分别盖章和签字，否则响应文件按无效响应处理</w:t>
            </w:r>
            <w:r>
              <w:rPr>
                <w:rFonts w:hint="eastAsia" w:ascii="宋体" w:hAnsi="宋体" w:eastAsia="宋体" w:cs="宋体"/>
                <w:b/>
                <w:color w:val="000000" w:themeColor="text1"/>
                <w:sz w:val="21"/>
                <w:szCs w:val="21"/>
                <w:highlight w:val="none"/>
                <w:lang w:val="en-US" w:eastAsia="zh-CN"/>
                <w14:textFill>
                  <w14:solidFill>
                    <w14:schemeClr w14:val="tx1"/>
                  </w14:solidFill>
                </w14:textFill>
              </w:rPr>
              <w:t>。</w:t>
            </w:r>
          </w:p>
        </w:tc>
      </w:tr>
      <w:tr w14:paraId="64777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108" w:type="dxa"/>
            <w:bottom w:w="0" w:type="dxa"/>
            <w:right w:w="108" w:type="dxa"/>
          </w:tblCellMar>
        </w:tblPrEx>
        <w:trPr>
          <w:jc w:val="center"/>
        </w:trPr>
        <w:tc>
          <w:tcPr>
            <w:tcW w:w="1003" w:type="dxa"/>
            <w:vMerge w:val="restart"/>
            <w:tcBorders>
              <w:top w:val="single" w:color="000000" w:sz="4" w:space="0"/>
              <w:left w:val="single" w:color="000000" w:sz="4" w:space="0"/>
              <w:bottom w:val="single" w:color="000000" w:sz="4" w:space="0"/>
              <w:right w:val="single" w:color="000000" w:sz="4" w:space="0"/>
            </w:tcBorders>
            <w:noWrap w:val="0"/>
            <w:vAlign w:val="center"/>
          </w:tcPr>
          <w:p w14:paraId="05BE58D7">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12.1.2</w:t>
            </w: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1526A89F">
            <w:pPr>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商务文件组成</w:t>
            </w:r>
          </w:p>
        </w:tc>
        <w:tc>
          <w:tcPr>
            <w:tcW w:w="5700" w:type="dxa"/>
            <w:tcBorders>
              <w:top w:val="single" w:color="000000" w:sz="4" w:space="0"/>
              <w:left w:val="single" w:color="000000" w:sz="4" w:space="0"/>
              <w:bottom w:val="single" w:color="000000" w:sz="4" w:space="0"/>
              <w:right w:val="single" w:color="000000" w:sz="4" w:space="0"/>
            </w:tcBorders>
            <w:noWrap w:val="0"/>
            <w:vAlign w:val="center"/>
          </w:tcPr>
          <w:p w14:paraId="6C72EC04">
            <w:pPr>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1.无串通竞标行为的承诺函；（</w:t>
            </w:r>
            <w:r>
              <w:rPr>
                <w:rFonts w:hint="eastAsia" w:ascii="宋体" w:hAnsi="宋体" w:eastAsia="宋体" w:cs="宋体"/>
                <w:b/>
                <w:color w:val="000000" w:themeColor="text1"/>
                <w:sz w:val="21"/>
                <w:szCs w:val="21"/>
                <w:highlight w:val="none"/>
                <w14:textFill>
                  <w14:solidFill>
                    <w14:schemeClr w14:val="tx1"/>
                  </w14:solidFill>
                </w14:textFill>
              </w:rPr>
              <w:t>必须提供，否则响应文件按无效响应处理</w:t>
            </w:r>
            <w:r>
              <w:rPr>
                <w:rFonts w:hint="eastAsia" w:ascii="宋体" w:hAnsi="宋体" w:eastAsia="宋体" w:cs="宋体"/>
                <w:color w:val="000000" w:themeColor="text1"/>
                <w:sz w:val="21"/>
                <w:szCs w:val="21"/>
                <w:highlight w:val="none"/>
                <w14:textFill>
                  <w14:solidFill>
                    <w14:schemeClr w14:val="tx1"/>
                  </w14:solidFill>
                </w14:textFill>
              </w:rPr>
              <w:t>）</w:t>
            </w:r>
          </w:p>
          <w:p w14:paraId="3AACB56C">
            <w:pPr>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2.法定代表人身份证明书及法定代表人有效身份证正反面复印件；（</w:t>
            </w:r>
            <w:r>
              <w:rPr>
                <w:rFonts w:hint="eastAsia" w:ascii="宋体" w:hAnsi="宋体" w:eastAsia="宋体" w:cs="宋体"/>
                <w:b/>
                <w:bCs/>
                <w:color w:val="000000" w:themeColor="text1"/>
                <w:sz w:val="21"/>
                <w:szCs w:val="21"/>
                <w:highlight w:val="none"/>
                <w14:textFill>
                  <w14:solidFill>
                    <w14:schemeClr w14:val="tx1"/>
                  </w14:solidFill>
                </w14:textFill>
              </w:rPr>
              <w:t>除自然人竞标外</w:t>
            </w:r>
            <w:r>
              <w:rPr>
                <w:rFonts w:hint="eastAsia" w:ascii="宋体" w:hAnsi="宋体" w:eastAsia="宋体" w:cs="宋体"/>
                <w:b/>
                <w:color w:val="000000" w:themeColor="text1"/>
                <w:sz w:val="21"/>
                <w:szCs w:val="21"/>
                <w:highlight w:val="none"/>
                <w14:textFill>
                  <w14:solidFill>
                    <w14:schemeClr w14:val="tx1"/>
                  </w14:solidFill>
                </w14:textFill>
              </w:rPr>
              <w:t>必须提供，否则响应文件按无效响应处理</w:t>
            </w:r>
            <w:r>
              <w:rPr>
                <w:rFonts w:hint="eastAsia" w:ascii="宋体" w:hAnsi="宋体" w:eastAsia="宋体" w:cs="宋体"/>
                <w:color w:val="000000" w:themeColor="text1"/>
                <w:sz w:val="21"/>
                <w:szCs w:val="21"/>
                <w:highlight w:val="none"/>
                <w14:textFill>
                  <w14:solidFill>
                    <w14:schemeClr w14:val="tx1"/>
                  </w14:solidFill>
                </w14:textFill>
              </w:rPr>
              <w:t>）</w:t>
            </w:r>
          </w:p>
          <w:p w14:paraId="156F8204">
            <w:pPr>
              <w:spacing w:line="360" w:lineRule="auto"/>
              <w:jc w:val="left"/>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3.法定代表人授权委托书及委托代理人有效身份证正反面复印件；（</w:t>
            </w:r>
            <w:r>
              <w:rPr>
                <w:rFonts w:hint="eastAsia" w:ascii="宋体" w:hAnsi="宋体" w:eastAsia="宋体" w:cs="宋体"/>
                <w:b/>
                <w:color w:val="000000" w:themeColor="text1"/>
                <w:sz w:val="21"/>
                <w:szCs w:val="21"/>
                <w:highlight w:val="none"/>
                <w14:textFill>
                  <w14:solidFill>
                    <w14:schemeClr w14:val="tx1"/>
                  </w14:solidFill>
                </w14:textFill>
              </w:rPr>
              <w:t>委托时必须提供，否则响应文件按无效响应处理</w:t>
            </w:r>
            <w:r>
              <w:rPr>
                <w:rFonts w:hint="eastAsia" w:ascii="宋体" w:hAnsi="宋体" w:eastAsia="宋体" w:cs="宋体"/>
                <w:color w:val="000000" w:themeColor="text1"/>
                <w:sz w:val="21"/>
                <w:szCs w:val="21"/>
                <w:highlight w:val="none"/>
                <w14:textFill>
                  <w14:solidFill>
                    <w14:schemeClr w14:val="tx1"/>
                  </w14:solidFill>
                </w14:textFill>
              </w:rPr>
              <w:t>）</w:t>
            </w:r>
          </w:p>
          <w:p w14:paraId="33F40661">
            <w:pPr>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4.商务条款偏离表；（</w:t>
            </w:r>
            <w:r>
              <w:rPr>
                <w:rFonts w:hint="eastAsia" w:ascii="宋体" w:hAnsi="宋体" w:eastAsia="宋体" w:cs="宋体"/>
                <w:b/>
                <w:color w:val="000000" w:themeColor="text1"/>
                <w:sz w:val="21"/>
                <w:szCs w:val="21"/>
                <w:highlight w:val="none"/>
                <w14:textFill>
                  <w14:solidFill>
                    <w14:schemeClr w14:val="tx1"/>
                  </w14:solidFill>
                </w14:textFill>
              </w:rPr>
              <w:t>必须提供，否则响应文件按无效响应处理</w:t>
            </w:r>
            <w:r>
              <w:rPr>
                <w:rFonts w:hint="eastAsia" w:ascii="宋体" w:hAnsi="宋体" w:eastAsia="宋体" w:cs="宋体"/>
                <w:color w:val="000000" w:themeColor="text1"/>
                <w:sz w:val="21"/>
                <w:szCs w:val="21"/>
                <w:highlight w:val="none"/>
                <w14:textFill>
                  <w14:solidFill>
                    <w14:schemeClr w14:val="tx1"/>
                  </w14:solidFill>
                </w14:textFill>
              </w:rPr>
              <w:t>）</w:t>
            </w:r>
          </w:p>
          <w:p w14:paraId="0B58F559">
            <w:pPr>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5.竞标人情况介绍；</w:t>
            </w:r>
          </w:p>
          <w:p w14:paraId="75C091F7">
            <w:pPr>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6.供应商认为需要提供的其他有关资料。</w:t>
            </w:r>
          </w:p>
          <w:p w14:paraId="2A700190">
            <w:pPr>
              <w:snapToGrid w:val="0"/>
              <w:spacing w:line="360" w:lineRule="auto"/>
              <w:jc w:val="left"/>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注：</w:t>
            </w:r>
          </w:p>
          <w:p w14:paraId="37F2E00B">
            <w:pPr>
              <w:snapToGrid w:val="0"/>
              <w:spacing w:line="360" w:lineRule="auto"/>
              <w:jc w:val="left"/>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1.法定代表人授权委托书必须由法定代表人及委托代理人签字，并加盖供应商公章，否则响应文件按无效响应处理。</w:t>
            </w:r>
          </w:p>
          <w:p w14:paraId="1A941661">
            <w:pPr>
              <w:spacing w:line="360" w:lineRule="auto"/>
              <w:jc w:val="left"/>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2.以上标明“必须提供”的材料属于复印件的扫描件的，必须加盖供应商电子公章，否则响应文件按无效响应处理。</w:t>
            </w:r>
          </w:p>
        </w:tc>
      </w:tr>
      <w:tr w14:paraId="3D0B7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108" w:type="dxa"/>
            <w:bottom w:w="0" w:type="dxa"/>
            <w:right w:w="108" w:type="dxa"/>
          </w:tblCellMar>
        </w:tblPrEx>
        <w:trPr>
          <w:jc w:val="center"/>
        </w:trPr>
        <w:tc>
          <w:tcPr>
            <w:tcW w:w="1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F958EB">
            <w:pPr>
              <w:widowControl/>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3BC09677">
            <w:pPr>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技术文件组成</w:t>
            </w:r>
          </w:p>
        </w:tc>
        <w:tc>
          <w:tcPr>
            <w:tcW w:w="5700" w:type="dxa"/>
            <w:tcBorders>
              <w:top w:val="single" w:color="000000" w:sz="4" w:space="0"/>
              <w:left w:val="single" w:color="000000" w:sz="4" w:space="0"/>
              <w:bottom w:val="single" w:color="000000" w:sz="4" w:space="0"/>
              <w:right w:val="single" w:color="000000" w:sz="4" w:space="0"/>
            </w:tcBorders>
            <w:noWrap w:val="0"/>
            <w:vAlign w:val="center"/>
          </w:tcPr>
          <w:p w14:paraId="32D32355">
            <w:pPr>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1.货物需求偏离表；（</w:t>
            </w:r>
            <w:r>
              <w:rPr>
                <w:rFonts w:hint="eastAsia" w:ascii="宋体" w:hAnsi="宋体" w:eastAsia="宋体" w:cs="宋体"/>
                <w:b/>
                <w:color w:val="000000" w:themeColor="text1"/>
                <w:sz w:val="21"/>
                <w:szCs w:val="21"/>
                <w:highlight w:val="none"/>
                <w14:textFill>
                  <w14:solidFill>
                    <w14:schemeClr w14:val="tx1"/>
                  </w14:solidFill>
                </w14:textFill>
              </w:rPr>
              <w:t>必须提供，否则响应文件按无效响应处理</w:t>
            </w:r>
            <w:r>
              <w:rPr>
                <w:rFonts w:hint="eastAsia" w:ascii="宋体" w:hAnsi="宋体" w:eastAsia="宋体" w:cs="宋体"/>
                <w:color w:val="000000" w:themeColor="text1"/>
                <w:sz w:val="21"/>
                <w:szCs w:val="21"/>
                <w:highlight w:val="none"/>
                <w14:textFill>
                  <w14:solidFill>
                    <w14:schemeClr w14:val="tx1"/>
                  </w14:solidFill>
                </w14:textFill>
              </w:rPr>
              <w:t>）</w:t>
            </w:r>
          </w:p>
          <w:p w14:paraId="356DA17C">
            <w:pPr>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2.配置清单（均不含报价）；（</w:t>
            </w:r>
            <w:r>
              <w:rPr>
                <w:rFonts w:hint="eastAsia" w:ascii="宋体" w:hAnsi="宋体" w:eastAsia="宋体" w:cs="宋体"/>
                <w:b/>
                <w:color w:val="000000" w:themeColor="text1"/>
                <w:sz w:val="21"/>
                <w:szCs w:val="21"/>
                <w:highlight w:val="none"/>
                <w14:textFill>
                  <w14:solidFill>
                    <w14:schemeClr w14:val="tx1"/>
                  </w14:solidFill>
                </w14:textFill>
              </w:rPr>
              <w:t>必须提供，否则响应文件作无效处理</w:t>
            </w:r>
            <w:r>
              <w:rPr>
                <w:rFonts w:hint="eastAsia" w:ascii="宋体" w:hAnsi="宋体" w:eastAsia="宋体" w:cs="宋体"/>
                <w:color w:val="000000" w:themeColor="text1"/>
                <w:sz w:val="21"/>
                <w:szCs w:val="21"/>
                <w:highlight w:val="none"/>
                <w14:textFill>
                  <w14:solidFill>
                    <w14:schemeClr w14:val="tx1"/>
                  </w14:solidFill>
                </w14:textFill>
              </w:rPr>
              <w:t>）</w:t>
            </w:r>
          </w:p>
          <w:p w14:paraId="4F802D18">
            <w:pPr>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3.售后服务</w:t>
            </w:r>
            <w:r>
              <w:rPr>
                <w:rFonts w:hint="eastAsia" w:ascii="宋体" w:hAnsi="宋体" w:cs="宋体"/>
                <w:color w:val="000000" w:themeColor="text1"/>
                <w:sz w:val="21"/>
                <w:szCs w:val="21"/>
                <w:highlight w:val="none"/>
                <w:lang w:val="en-US" w:eastAsia="zh-CN"/>
                <w14:textFill>
                  <w14:solidFill>
                    <w14:schemeClr w14:val="tx1"/>
                  </w14:solidFill>
                </w14:textFill>
              </w:rPr>
              <w:t>方案</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b/>
                <w:color w:val="000000" w:themeColor="text1"/>
                <w:sz w:val="21"/>
                <w:szCs w:val="21"/>
                <w:highlight w:val="none"/>
                <w14:textFill>
                  <w14:solidFill>
                    <w14:schemeClr w14:val="tx1"/>
                  </w14:solidFill>
                </w14:textFill>
              </w:rPr>
              <w:t>必须提供，否则响应文件按无效响应处理</w:t>
            </w:r>
            <w:r>
              <w:rPr>
                <w:rFonts w:hint="eastAsia" w:ascii="宋体" w:hAnsi="宋体" w:eastAsia="宋体" w:cs="宋体"/>
                <w:color w:val="000000" w:themeColor="text1"/>
                <w:sz w:val="21"/>
                <w:szCs w:val="21"/>
                <w:highlight w:val="none"/>
                <w14:textFill>
                  <w14:solidFill>
                    <w14:schemeClr w14:val="tx1"/>
                  </w14:solidFill>
                </w14:textFill>
              </w:rPr>
              <w:t>）</w:t>
            </w:r>
          </w:p>
          <w:p w14:paraId="37998B65">
            <w:pPr>
              <w:spacing w:line="360" w:lineRule="auto"/>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4.项目实施人员一览表；（</w:t>
            </w:r>
            <w:r>
              <w:rPr>
                <w:rFonts w:hint="eastAsia" w:ascii="宋体" w:hAnsi="宋体" w:eastAsia="宋体" w:cs="宋体"/>
                <w:b/>
                <w:color w:val="000000" w:themeColor="text1"/>
                <w:sz w:val="21"/>
                <w:szCs w:val="21"/>
                <w:highlight w:val="none"/>
                <w14:textFill>
                  <w14:solidFill>
                    <w14:schemeClr w14:val="tx1"/>
                  </w14:solidFill>
                </w14:textFill>
              </w:rPr>
              <w:t>如有请提供</w:t>
            </w:r>
            <w:r>
              <w:rPr>
                <w:rFonts w:hint="eastAsia" w:ascii="宋体" w:hAnsi="宋体" w:eastAsia="宋体" w:cs="宋体"/>
                <w:color w:val="000000" w:themeColor="text1"/>
                <w:sz w:val="21"/>
                <w:szCs w:val="21"/>
                <w:highlight w:val="none"/>
                <w14:textFill>
                  <w14:solidFill>
                    <w14:schemeClr w14:val="tx1"/>
                  </w14:solidFill>
                </w14:textFill>
              </w:rPr>
              <w:t>）</w:t>
            </w:r>
          </w:p>
          <w:p w14:paraId="327FCDB0">
            <w:pPr>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5.对应采购需求的货物需求、商务条款提供的其他文件资料；</w:t>
            </w:r>
          </w:p>
          <w:p w14:paraId="5B827B6D">
            <w:pPr>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6.供应商认为需要提供的其他有关资料。</w:t>
            </w:r>
          </w:p>
          <w:p w14:paraId="37B12017">
            <w:pPr>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注：1.以上标明“必须提供”的材料属于复印件的扫描件的，必须加盖供应商电子公章，否则响应文件按无效响应处理。</w:t>
            </w:r>
          </w:p>
        </w:tc>
      </w:tr>
      <w:tr w14:paraId="44C22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108" w:type="dxa"/>
            <w:bottom w:w="0" w:type="dxa"/>
            <w:right w:w="108" w:type="dxa"/>
          </w:tblCellMar>
        </w:tblPrEx>
        <w:trPr>
          <w:jc w:val="center"/>
        </w:trPr>
        <w:tc>
          <w:tcPr>
            <w:tcW w:w="1003" w:type="dxa"/>
            <w:tcBorders>
              <w:top w:val="single" w:color="000000" w:sz="4" w:space="0"/>
              <w:left w:val="single" w:color="000000" w:sz="4" w:space="0"/>
              <w:bottom w:val="single" w:color="000000" w:sz="4" w:space="0"/>
              <w:right w:val="single" w:color="000000" w:sz="4" w:space="0"/>
            </w:tcBorders>
            <w:noWrap w:val="0"/>
            <w:vAlign w:val="center"/>
          </w:tcPr>
          <w:p w14:paraId="63E7AA04">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12.1.3</w:t>
            </w: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4B4C5AA8">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报价文件组成</w:t>
            </w:r>
          </w:p>
        </w:tc>
        <w:tc>
          <w:tcPr>
            <w:tcW w:w="5700" w:type="dxa"/>
            <w:tcBorders>
              <w:top w:val="single" w:color="000000" w:sz="4" w:space="0"/>
              <w:left w:val="single" w:color="000000" w:sz="4" w:space="0"/>
              <w:bottom w:val="single" w:color="000000" w:sz="4" w:space="0"/>
              <w:right w:val="single" w:color="000000" w:sz="4" w:space="0"/>
            </w:tcBorders>
            <w:noWrap w:val="0"/>
            <w:vAlign w:val="center"/>
          </w:tcPr>
          <w:p w14:paraId="2F3032CB">
            <w:pPr>
              <w:tabs>
                <w:tab w:val="left" w:pos="459"/>
              </w:tabs>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1.响应函；</w:t>
            </w:r>
            <w:r>
              <w:rPr>
                <w:rFonts w:hint="eastAsia" w:ascii="宋体" w:hAnsi="宋体" w:eastAsia="宋体" w:cs="宋体"/>
                <w:b/>
                <w:color w:val="000000" w:themeColor="text1"/>
                <w:sz w:val="21"/>
                <w:szCs w:val="21"/>
                <w:highlight w:val="none"/>
                <w14:textFill>
                  <w14:solidFill>
                    <w14:schemeClr w14:val="tx1"/>
                  </w14:solidFill>
                </w14:textFill>
              </w:rPr>
              <w:t>（必须提供，否则作无效响应处理）</w:t>
            </w:r>
          </w:p>
          <w:p w14:paraId="2142FDC6">
            <w:pPr>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2.响应报价表；（</w:t>
            </w:r>
            <w:r>
              <w:rPr>
                <w:rFonts w:hint="eastAsia" w:ascii="宋体" w:hAnsi="宋体" w:eastAsia="宋体" w:cs="宋体"/>
                <w:b/>
                <w:color w:val="000000" w:themeColor="text1"/>
                <w:sz w:val="21"/>
                <w:szCs w:val="21"/>
                <w:highlight w:val="none"/>
                <w14:textFill>
                  <w14:solidFill>
                    <w14:schemeClr w14:val="tx1"/>
                  </w14:solidFill>
                </w14:textFill>
              </w:rPr>
              <w:t>必须提供，否则响应文件按无效响应处理</w:t>
            </w:r>
            <w:r>
              <w:rPr>
                <w:rFonts w:hint="eastAsia" w:ascii="宋体" w:hAnsi="宋体" w:eastAsia="宋体" w:cs="宋体"/>
                <w:color w:val="000000" w:themeColor="text1"/>
                <w:sz w:val="21"/>
                <w:szCs w:val="21"/>
                <w:highlight w:val="none"/>
                <w14:textFill>
                  <w14:solidFill>
                    <w14:schemeClr w14:val="tx1"/>
                  </w14:solidFill>
                </w14:textFill>
              </w:rPr>
              <w:t>）</w:t>
            </w:r>
          </w:p>
          <w:p w14:paraId="3FE5B955">
            <w:pPr>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关于符合本国产品标准的声明函（格式后附）或财政部会同有关部门规定的有关证明文件；（如有请提供）</w:t>
            </w:r>
          </w:p>
          <w:p w14:paraId="077E79D9">
            <w:pPr>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供应商认为需要提供的其他有关资料。</w:t>
            </w:r>
          </w:p>
        </w:tc>
      </w:tr>
      <w:tr w14:paraId="29675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108" w:type="dxa"/>
            <w:bottom w:w="0" w:type="dxa"/>
            <w:right w:w="108" w:type="dxa"/>
          </w:tblCellMar>
        </w:tblPrEx>
        <w:trPr>
          <w:jc w:val="center"/>
        </w:trPr>
        <w:tc>
          <w:tcPr>
            <w:tcW w:w="1003" w:type="dxa"/>
            <w:tcBorders>
              <w:top w:val="single" w:color="000000" w:sz="4" w:space="0"/>
              <w:left w:val="single" w:color="000000" w:sz="4" w:space="0"/>
              <w:bottom w:val="single" w:color="000000" w:sz="4" w:space="0"/>
              <w:right w:val="single" w:color="000000" w:sz="4" w:space="0"/>
            </w:tcBorders>
            <w:noWrap w:val="0"/>
            <w:vAlign w:val="center"/>
          </w:tcPr>
          <w:p w14:paraId="116F4AD5">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12.2</w:t>
            </w: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16C71680">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响应文件电子版要求</w:t>
            </w:r>
          </w:p>
        </w:tc>
        <w:tc>
          <w:tcPr>
            <w:tcW w:w="5700" w:type="dxa"/>
            <w:tcBorders>
              <w:top w:val="single" w:color="000000" w:sz="4" w:space="0"/>
              <w:left w:val="single" w:color="000000" w:sz="4" w:space="0"/>
              <w:bottom w:val="single" w:color="000000" w:sz="4" w:space="0"/>
              <w:right w:val="single" w:color="000000" w:sz="4" w:space="0"/>
            </w:tcBorders>
            <w:noWrap w:val="0"/>
            <w:vAlign w:val="center"/>
          </w:tcPr>
          <w:p w14:paraId="5484A608">
            <w:pPr>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1.响应文件电子版要求：按照本采购文件“第五章响应文件格式”编写（第五章未附格式的，由供应商自行拟定）。不可涂改并在规定加盖公章处加盖电子公章，</w:t>
            </w:r>
            <w:r>
              <w:rPr>
                <w:rFonts w:hint="eastAsia" w:ascii="宋体" w:hAnsi="宋体" w:eastAsia="宋体" w:cs="宋体"/>
                <w:b/>
                <w:color w:val="000000" w:themeColor="text1"/>
                <w:sz w:val="21"/>
                <w:szCs w:val="21"/>
                <w:highlight w:val="none"/>
                <w14:textFill>
                  <w14:solidFill>
                    <w14:schemeClr w14:val="tx1"/>
                  </w14:solidFill>
                </w14:textFill>
              </w:rPr>
              <w:t>否则响应文件按无效响应处理</w:t>
            </w:r>
            <w:r>
              <w:rPr>
                <w:rFonts w:hint="eastAsia" w:ascii="宋体" w:hAnsi="宋体" w:eastAsia="宋体" w:cs="宋体"/>
                <w:color w:val="000000" w:themeColor="text1"/>
                <w:sz w:val="21"/>
                <w:szCs w:val="21"/>
                <w:highlight w:val="none"/>
                <w14:textFill>
                  <w14:solidFill>
                    <w14:schemeClr w14:val="tx1"/>
                  </w14:solidFill>
                </w14:textFill>
              </w:rPr>
              <w:t>。</w:t>
            </w:r>
          </w:p>
          <w:p w14:paraId="347B5536">
            <w:pPr>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2.响应文件电子版密封方式：电子响应文件通过平台有效CA加密后在广西政府采购云平台投送。（操作方式见公告附件“电子响应文件制作与投送教程”）</w:t>
            </w:r>
          </w:p>
        </w:tc>
      </w:tr>
      <w:tr w14:paraId="0CE93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108" w:type="dxa"/>
            <w:bottom w:w="0" w:type="dxa"/>
            <w:right w:w="108" w:type="dxa"/>
          </w:tblCellMar>
        </w:tblPrEx>
        <w:trPr>
          <w:jc w:val="center"/>
        </w:trPr>
        <w:tc>
          <w:tcPr>
            <w:tcW w:w="1003" w:type="dxa"/>
            <w:tcBorders>
              <w:top w:val="single" w:color="000000" w:sz="4" w:space="0"/>
              <w:left w:val="single" w:color="000000" w:sz="4" w:space="0"/>
              <w:bottom w:val="single" w:color="000000" w:sz="4" w:space="0"/>
              <w:right w:val="single" w:color="000000" w:sz="4" w:space="0"/>
            </w:tcBorders>
            <w:noWrap w:val="0"/>
            <w:vAlign w:val="center"/>
          </w:tcPr>
          <w:p w14:paraId="51657638">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15.2</w:t>
            </w: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184EA45B">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响应报价要求</w:t>
            </w:r>
          </w:p>
        </w:tc>
        <w:tc>
          <w:tcPr>
            <w:tcW w:w="5700" w:type="dxa"/>
            <w:tcBorders>
              <w:top w:val="single" w:color="000000" w:sz="4" w:space="0"/>
              <w:left w:val="single" w:color="000000" w:sz="4" w:space="0"/>
              <w:bottom w:val="single" w:color="000000" w:sz="4" w:space="0"/>
              <w:right w:val="single" w:color="000000" w:sz="4" w:space="0"/>
            </w:tcBorders>
            <w:noWrap w:val="0"/>
            <w:vAlign w:val="center"/>
          </w:tcPr>
          <w:p w14:paraId="1BD8C393">
            <w:pPr>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响应报价必须包含满足本次竞标全部采购需求所应提供的货物，以及伴随的货物和工程（如有）的价格；包含竞标货物、货物、工程的成本、运输（含保险）、安装（如有）、调试、检验、技术货物、培训、税费等所有费用。</w:t>
            </w:r>
            <w:r>
              <w:rPr>
                <w:rFonts w:hint="eastAsia" w:ascii="宋体" w:hAnsi="宋体" w:eastAsia="宋体" w:cs="宋体"/>
                <w:b/>
                <w:color w:val="000000" w:themeColor="text1"/>
                <w:sz w:val="21"/>
                <w:szCs w:val="21"/>
                <w:highlight w:val="none"/>
                <w14:textFill>
                  <w14:solidFill>
                    <w14:schemeClr w14:val="tx1"/>
                  </w14:solidFill>
                </w14:textFill>
              </w:rPr>
              <w:t>（采购需求另有约定的，从其约定。）</w:t>
            </w:r>
          </w:p>
        </w:tc>
      </w:tr>
      <w:tr w14:paraId="230E2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108" w:type="dxa"/>
            <w:bottom w:w="0" w:type="dxa"/>
            <w:right w:w="108" w:type="dxa"/>
          </w:tblCellMar>
        </w:tblPrEx>
        <w:trPr>
          <w:jc w:val="center"/>
        </w:trPr>
        <w:tc>
          <w:tcPr>
            <w:tcW w:w="1003" w:type="dxa"/>
            <w:tcBorders>
              <w:top w:val="single" w:color="000000" w:sz="4" w:space="0"/>
              <w:left w:val="single" w:color="000000" w:sz="4" w:space="0"/>
              <w:bottom w:val="single" w:color="000000" w:sz="4" w:space="0"/>
              <w:right w:val="single" w:color="000000" w:sz="4" w:space="0"/>
            </w:tcBorders>
            <w:noWrap w:val="0"/>
            <w:vAlign w:val="center"/>
          </w:tcPr>
          <w:p w14:paraId="18F75014">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16.2</w:t>
            </w: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6ADF7268">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竞标有效期</w:t>
            </w:r>
          </w:p>
        </w:tc>
        <w:tc>
          <w:tcPr>
            <w:tcW w:w="5700" w:type="dxa"/>
            <w:tcBorders>
              <w:top w:val="single" w:color="000000" w:sz="4" w:space="0"/>
              <w:left w:val="single" w:color="000000" w:sz="4" w:space="0"/>
              <w:bottom w:val="single" w:color="000000" w:sz="4" w:space="0"/>
              <w:right w:val="single" w:color="000000" w:sz="4" w:space="0"/>
            </w:tcBorders>
            <w:noWrap w:val="0"/>
            <w:vAlign w:val="center"/>
          </w:tcPr>
          <w:p w14:paraId="379E4965">
            <w:pPr>
              <w:pStyle w:val="10"/>
              <w:widowControl w:val="0"/>
              <w:tabs>
                <w:tab w:val="clear" w:pos="454"/>
              </w:tabs>
              <w:snapToGrid w:val="0"/>
              <w:spacing w:after="120" w:line="360" w:lineRule="auto"/>
              <w:ind w:left="283" w:hanging="283" w:hangingChars="135"/>
              <w:jc w:val="left"/>
              <w:rPr>
                <w:rFonts w:hint="eastAsia" w:ascii="宋体" w:hAnsi="宋体" w:eastAsia="宋体" w:cs="宋体"/>
                <w:color w:val="000000" w:themeColor="text1"/>
                <w:kern w:val="2"/>
                <w:sz w:val="2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14:textFill>
                  <w14:solidFill>
                    <w14:schemeClr w14:val="tx1"/>
                  </w14:solidFill>
                </w14:textFill>
              </w:rPr>
              <w:t>自首次响应文件提交截止之日起</w:t>
            </w:r>
            <w:bookmarkStart w:id="37" w:name="PO_3000001871_PM046"/>
            <w:r>
              <w:rPr>
                <w:rFonts w:hint="eastAsia" w:ascii="宋体" w:hAnsi="宋体" w:eastAsia="宋体" w:cs="宋体"/>
                <w:color w:val="000000" w:themeColor="text1"/>
                <w:kern w:val="2"/>
                <w:sz w:val="21"/>
                <w:szCs w:val="21"/>
                <w:highlight w:val="none"/>
                <w:u w:val="single"/>
                <w:lang w:eastAsia="zh-CN"/>
                <w14:textFill>
                  <w14:solidFill>
                    <w14:schemeClr w14:val="tx1"/>
                  </w14:solidFill>
                </w14:textFill>
              </w:rPr>
              <w:t>60日历</w:t>
            </w:r>
            <w:bookmarkEnd w:id="37"/>
            <w:r>
              <w:rPr>
                <w:rFonts w:hint="eastAsia" w:ascii="宋体" w:hAnsi="宋体" w:eastAsia="宋体" w:cs="宋体"/>
                <w:color w:val="000000" w:themeColor="text1"/>
                <w:kern w:val="2"/>
                <w:sz w:val="21"/>
                <w:szCs w:val="21"/>
                <w:highlight w:val="none"/>
                <w14:textFill>
                  <w14:solidFill>
                    <w14:schemeClr w14:val="tx1"/>
                  </w14:solidFill>
                </w14:textFill>
              </w:rPr>
              <w:t>日。</w:t>
            </w:r>
          </w:p>
        </w:tc>
      </w:tr>
      <w:tr w14:paraId="0236F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108" w:type="dxa"/>
            <w:bottom w:w="0" w:type="dxa"/>
            <w:right w:w="108" w:type="dxa"/>
          </w:tblCellMar>
        </w:tblPrEx>
        <w:trPr>
          <w:jc w:val="center"/>
        </w:trPr>
        <w:tc>
          <w:tcPr>
            <w:tcW w:w="1003" w:type="dxa"/>
            <w:tcBorders>
              <w:top w:val="single" w:color="000000" w:sz="4" w:space="0"/>
              <w:left w:val="single" w:color="000000" w:sz="4" w:space="0"/>
              <w:bottom w:val="single" w:color="000000" w:sz="4" w:space="0"/>
              <w:right w:val="single" w:color="000000" w:sz="4" w:space="0"/>
            </w:tcBorders>
            <w:noWrap w:val="0"/>
            <w:vAlign w:val="center"/>
          </w:tcPr>
          <w:p w14:paraId="3D0EE733">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17.1</w:t>
            </w: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081114B8">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谈判保证金</w:t>
            </w:r>
          </w:p>
        </w:tc>
        <w:tc>
          <w:tcPr>
            <w:tcW w:w="5700" w:type="dxa"/>
            <w:tcBorders>
              <w:top w:val="single" w:color="000000" w:sz="4" w:space="0"/>
              <w:left w:val="single" w:color="000000" w:sz="4" w:space="0"/>
              <w:bottom w:val="single" w:color="000000" w:sz="4" w:space="0"/>
              <w:right w:val="single" w:color="000000" w:sz="4" w:space="0"/>
            </w:tcBorders>
            <w:noWrap w:val="0"/>
            <w:vAlign w:val="center"/>
          </w:tcPr>
          <w:p w14:paraId="62CCB5B6">
            <w:pPr>
              <w:autoSpaceDE w:val="0"/>
              <w:autoSpaceDN w:val="0"/>
              <w:snapToGrid w:val="0"/>
              <w:spacing w:line="360" w:lineRule="auto"/>
              <w:jc w:val="left"/>
              <w:textAlignment w:val="bottom"/>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本项目不收取谈判保证金。</w:t>
            </w:r>
          </w:p>
        </w:tc>
      </w:tr>
      <w:tr w14:paraId="6F690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108" w:type="dxa"/>
            <w:bottom w:w="0" w:type="dxa"/>
            <w:right w:w="108" w:type="dxa"/>
          </w:tblCellMar>
        </w:tblPrEx>
        <w:trPr>
          <w:trHeight w:val="458" w:hRule="atLeast"/>
          <w:jc w:val="center"/>
        </w:trPr>
        <w:tc>
          <w:tcPr>
            <w:tcW w:w="1003" w:type="dxa"/>
            <w:vMerge w:val="restart"/>
            <w:tcBorders>
              <w:top w:val="single" w:color="000000" w:sz="4" w:space="0"/>
              <w:left w:val="single" w:color="000000" w:sz="4" w:space="0"/>
              <w:bottom w:val="single" w:color="000000" w:sz="4" w:space="0"/>
              <w:right w:val="single" w:color="000000" w:sz="4" w:space="0"/>
            </w:tcBorders>
            <w:noWrap w:val="0"/>
            <w:vAlign w:val="center"/>
          </w:tcPr>
          <w:p w14:paraId="74CC0FF8">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20.1</w:t>
            </w: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469A5EAD">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首次响应文件</w:t>
            </w:r>
          </w:p>
          <w:p w14:paraId="7A2A26A3">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提交起止时间</w:t>
            </w:r>
          </w:p>
        </w:tc>
        <w:tc>
          <w:tcPr>
            <w:tcW w:w="5700" w:type="dxa"/>
            <w:tcBorders>
              <w:top w:val="single" w:color="000000" w:sz="4" w:space="0"/>
              <w:left w:val="single" w:color="000000" w:sz="4" w:space="0"/>
              <w:bottom w:val="single" w:color="000000" w:sz="4" w:space="0"/>
              <w:right w:val="single" w:color="000000" w:sz="4" w:space="0"/>
            </w:tcBorders>
            <w:noWrap w:val="0"/>
            <w:vAlign w:val="center"/>
          </w:tcPr>
          <w:p w14:paraId="176FFE99">
            <w:pPr>
              <w:snapToGrid w:val="0"/>
              <w:spacing w:line="360" w:lineRule="auto"/>
              <w:jc w:val="left"/>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详见竞争性谈判公告。</w:t>
            </w:r>
          </w:p>
        </w:tc>
      </w:tr>
      <w:tr w14:paraId="3E561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108" w:type="dxa"/>
            <w:bottom w:w="0" w:type="dxa"/>
            <w:right w:w="108" w:type="dxa"/>
          </w:tblCellMar>
        </w:tblPrEx>
        <w:trPr>
          <w:trHeight w:val="422" w:hRule="atLeast"/>
          <w:jc w:val="center"/>
        </w:trPr>
        <w:tc>
          <w:tcPr>
            <w:tcW w:w="1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172D8F">
            <w:pPr>
              <w:widowControl/>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61C380F7">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首次响应文件</w:t>
            </w:r>
          </w:p>
          <w:p w14:paraId="2A79F39B">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提交地点</w:t>
            </w:r>
          </w:p>
        </w:tc>
        <w:tc>
          <w:tcPr>
            <w:tcW w:w="5700" w:type="dxa"/>
            <w:tcBorders>
              <w:top w:val="single" w:color="000000" w:sz="4" w:space="0"/>
              <w:left w:val="single" w:color="000000" w:sz="4" w:space="0"/>
              <w:bottom w:val="single" w:color="000000" w:sz="4" w:space="0"/>
              <w:right w:val="single" w:color="000000" w:sz="4" w:space="0"/>
            </w:tcBorders>
            <w:noWrap w:val="0"/>
            <w:vAlign w:val="center"/>
          </w:tcPr>
          <w:p w14:paraId="20FBF301">
            <w:pPr>
              <w:snapToGrid w:val="0"/>
              <w:spacing w:line="360" w:lineRule="auto"/>
              <w:jc w:val="left"/>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详见竞争性谈判公告。</w:t>
            </w:r>
          </w:p>
        </w:tc>
      </w:tr>
      <w:tr w14:paraId="646E6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108" w:type="dxa"/>
            <w:bottom w:w="0" w:type="dxa"/>
            <w:right w:w="108" w:type="dxa"/>
          </w:tblCellMar>
        </w:tblPrEx>
        <w:trPr>
          <w:trHeight w:val="422" w:hRule="atLeast"/>
          <w:jc w:val="center"/>
        </w:trPr>
        <w:tc>
          <w:tcPr>
            <w:tcW w:w="1003" w:type="dxa"/>
            <w:tcBorders>
              <w:top w:val="single" w:color="000000" w:sz="4" w:space="0"/>
              <w:left w:val="single" w:color="000000" w:sz="4" w:space="0"/>
              <w:bottom w:val="single" w:color="000000" w:sz="4" w:space="0"/>
              <w:right w:val="single" w:color="000000" w:sz="4" w:space="0"/>
            </w:tcBorders>
            <w:noWrap w:val="0"/>
            <w:vAlign w:val="center"/>
          </w:tcPr>
          <w:p w14:paraId="0750D5B6">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20.6</w:t>
            </w: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6F6E70A5">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备份响应文件</w:t>
            </w:r>
          </w:p>
        </w:tc>
        <w:tc>
          <w:tcPr>
            <w:tcW w:w="5700" w:type="dxa"/>
            <w:tcBorders>
              <w:top w:val="single" w:color="000000" w:sz="4" w:space="0"/>
              <w:left w:val="single" w:color="000000" w:sz="4" w:space="0"/>
              <w:bottom w:val="single" w:color="000000" w:sz="4" w:space="0"/>
              <w:right w:val="single" w:color="000000" w:sz="4" w:space="0"/>
            </w:tcBorders>
            <w:noWrap w:val="0"/>
            <w:vAlign w:val="center"/>
          </w:tcPr>
          <w:p w14:paraId="13ABA834">
            <w:pPr>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本项目不接受备份响应文件。</w:t>
            </w:r>
          </w:p>
        </w:tc>
      </w:tr>
      <w:tr w14:paraId="1A4752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108" w:type="dxa"/>
            <w:bottom w:w="0" w:type="dxa"/>
            <w:right w:w="108" w:type="dxa"/>
          </w:tblCellMar>
        </w:tblPrEx>
        <w:trPr>
          <w:trHeight w:val="422" w:hRule="atLeast"/>
          <w:jc w:val="center"/>
        </w:trPr>
        <w:tc>
          <w:tcPr>
            <w:tcW w:w="1003" w:type="dxa"/>
            <w:tcBorders>
              <w:top w:val="single" w:color="000000" w:sz="4" w:space="0"/>
              <w:left w:val="single" w:color="000000" w:sz="4" w:space="0"/>
              <w:bottom w:val="single" w:color="000000" w:sz="4" w:space="0"/>
              <w:right w:val="single" w:color="000000" w:sz="4" w:space="0"/>
            </w:tcBorders>
            <w:noWrap w:val="0"/>
            <w:vAlign w:val="center"/>
          </w:tcPr>
          <w:p w14:paraId="7DAFFED9">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21</w:t>
            </w: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4C7E1D13">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首次响应文件</w:t>
            </w:r>
          </w:p>
          <w:p w14:paraId="1DFA68C0">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的退回</w:t>
            </w:r>
          </w:p>
        </w:tc>
        <w:tc>
          <w:tcPr>
            <w:tcW w:w="5700" w:type="dxa"/>
            <w:tcBorders>
              <w:top w:val="single" w:color="000000" w:sz="4" w:space="0"/>
              <w:left w:val="single" w:color="000000" w:sz="4" w:space="0"/>
              <w:bottom w:val="single" w:color="000000" w:sz="4" w:space="0"/>
              <w:right w:val="single" w:color="000000" w:sz="4" w:space="0"/>
            </w:tcBorders>
            <w:noWrap w:val="0"/>
            <w:vAlign w:val="center"/>
          </w:tcPr>
          <w:p w14:paraId="5F042B3D">
            <w:pPr>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详见竞争性谈判公告。</w:t>
            </w:r>
          </w:p>
        </w:tc>
      </w:tr>
      <w:tr w14:paraId="121D8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108" w:type="dxa"/>
            <w:bottom w:w="0" w:type="dxa"/>
            <w:right w:w="108" w:type="dxa"/>
          </w:tblCellMar>
        </w:tblPrEx>
        <w:trPr>
          <w:trHeight w:val="524" w:hRule="atLeast"/>
          <w:jc w:val="center"/>
        </w:trPr>
        <w:tc>
          <w:tcPr>
            <w:tcW w:w="1003" w:type="dxa"/>
            <w:vMerge w:val="restart"/>
            <w:tcBorders>
              <w:top w:val="single" w:color="000000" w:sz="4" w:space="0"/>
              <w:left w:val="single" w:color="000000" w:sz="4" w:space="0"/>
              <w:bottom w:val="single" w:color="000000" w:sz="4" w:space="0"/>
              <w:right w:val="single" w:color="000000" w:sz="4" w:space="0"/>
            </w:tcBorders>
            <w:noWrap w:val="0"/>
            <w:vAlign w:val="center"/>
          </w:tcPr>
          <w:p w14:paraId="71464B98">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26.2</w:t>
            </w: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3032BB75">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负偏离要求</w:t>
            </w:r>
          </w:p>
        </w:tc>
        <w:tc>
          <w:tcPr>
            <w:tcW w:w="5700" w:type="dxa"/>
            <w:tcBorders>
              <w:top w:val="single" w:color="000000" w:sz="4" w:space="0"/>
              <w:left w:val="single" w:color="000000" w:sz="4" w:space="0"/>
              <w:bottom w:val="single" w:color="000000" w:sz="4" w:space="0"/>
              <w:right w:val="single" w:color="000000" w:sz="4" w:space="0"/>
            </w:tcBorders>
            <w:noWrap w:val="0"/>
            <w:vAlign w:val="center"/>
          </w:tcPr>
          <w:p w14:paraId="77B4C6ED">
            <w:pPr>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商务条款评审中允许负偏离的条款数为</w:t>
            </w:r>
            <w:r>
              <w:rPr>
                <w:rFonts w:hint="eastAsia" w:ascii="宋体" w:hAnsi="宋体" w:eastAsia="宋体" w:cs="宋体"/>
                <w:color w:val="000000" w:themeColor="text1"/>
                <w:sz w:val="21"/>
                <w:szCs w:val="21"/>
                <w:highlight w:val="none"/>
                <w:u w:val="single"/>
                <w14:textFill>
                  <w14:solidFill>
                    <w14:schemeClr w14:val="tx1"/>
                  </w14:solidFill>
                </w14:textFill>
              </w:rPr>
              <w:t>0</w:t>
            </w:r>
            <w:r>
              <w:rPr>
                <w:rFonts w:hint="eastAsia" w:ascii="宋体" w:hAnsi="宋体" w:eastAsia="宋体" w:cs="宋体"/>
                <w:color w:val="000000" w:themeColor="text1"/>
                <w:sz w:val="21"/>
                <w:szCs w:val="21"/>
                <w:highlight w:val="none"/>
                <w14:textFill>
                  <w14:solidFill>
                    <w14:schemeClr w14:val="tx1"/>
                  </w14:solidFill>
                </w14:textFill>
              </w:rPr>
              <w:t>项。</w:t>
            </w:r>
          </w:p>
          <w:p w14:paraId="7AA6A4CC">
            <w:pPr>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货物需求评审中允许负偏离的条款数为</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 w:val="21"/>
                <w:szCs w:val="21"/>
                <w:highlight w:val="none"/>
                <w:u w:val="single"/>
                <w:lang w:val="en-US" w:eastAsia="zh-CN"/>
                <w14:textFill>
                  <w14:solidFill>
                    <w14:schemeClr w14:val="tx1"/>
                  </w14:solidFill>
                </w14:textFill>
              </w:rPr>
              <w:t>0</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项。</w:t>
            </w:r>
          </w:p>
        </w:tc>
      </w:tr>
      <w:tr w14:paraId="1F9A8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108" w:type="dxa"/>
            <w:bottom w:w="0" w:type="dxa"/>
            <w:right w:w="108" w:type="dxa"/>
          </w:tblCellMar>
        </w:tblPrEx>
        <w:trPr>
          <w:jc w:val="center"/>
        </w:trPr>
        <w:tc>
          <w:tcPr>
            <w:tcW w:w="1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4E7AD5">
            <w:pPr>
              <w:widowControl/>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5290E121">
            <w:pPr>
              <w:snapToGrid w:val="0"/>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谈判的顺序</w:t>
            </w:r>
          </w:p>
        </w:tc>
        <w:tc>
          <w:tcPr>
            <w:tcW w:w="5700" w:type="dxa"/>
            <w:tcBorders>
              <w:top w:val="single" w:color="000000" w:sz="4" w:space="0"/>
              <w:left w:val="single" w:color="000000" w:sz="4" w:space="0"/>
              <w:bottom w:val="single" w:color="000000" w:sz="4" w:space="0"/>
              <w:right w:val="single" w:color="000000" w:sz="4" w:space="0"/>
            </w:tcBorders>
            <w:noWrap w:val="0"/>
            <w:vAlign w:val="center"/>
          </w:tcPr>
          <w:p w14:paraId="71A8F3D4">
            <w:pPr>
              <w:snapToGrid w:val="0"/>
              <w:spacing w:line="360" w:lineRule="auto"/>
              <w:jc w:val="left"/>
              <w:rPr>
                <w:rFonts w:hint="eastAsia" w:ascii="宋体" w:hAnsi="宋体" w:eastAsia="宋体" w:cs="宋体"/>
                <w:b/>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系统自动提取的顺序</w:t>
            </w:r>
          </w:p>
        </w:tc>
      </w:tr>
      <w:tr w14:paraId="3E734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108" w:type="dxa"/>
            <w:bottom w:w="0" w:type="dxa"/>
            <w:right w:w="108" w:type="dxa"/>
          </w:tblCellMar>
        </w:tblPrEx>
        <w:trPr>
          <w:jc w:val="center"/>
        </w:trPr>
        <w:tc>
          <w:tcPr>
            <w:tcW w:w="1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F12DD1">
            <w:pPr>
              <w:widowControl/>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21F482C8">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评审价相同时</w:t>
            </w:r>
          </w:p>
          <w:p w14:paraId="46EF8ABB">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成交原则</w:t>
            </w:r>
          </w:p>
        </w:tc>
        <w:tc>
          <w:tcPr>
            <w:tcW w:w="5700" w:type="dxa"/>
            <w:tcBorders>
              <w:top w:val="single" w:color="000000" w:sz="4" w:space="0"/>
              <w:left w:val="single" w:color="000000" w:sz="4" w:space="0"/>
              <w:bottom w:val="single" w:color="000000" w:sz="4" w:space="0"/>
              <w:right w:val="single" w:color="000000" w:sz="4" w:space="0"/>
            </w:tcBorders>
            <w:noWrap w:val="0"/>
            <w:vAlign w:val="center"/>
          </w:tcPr>
          <w:p w14:paraId="072D695B">
            <w:pPr>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评审价相同时，按照最后报价由低到高顺序依次推荐；最后报价相同时，按以下原则确定成交候选人的顺序：</w:t>
            </w:r>
          </w:p>
          <w:p w14:paraId="1206028C">
            <w:pPr>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依次按带“▲”的实质性要求正偏离项数多的优先、均无正偏离或者正偏离项数一致时负偏离项数少的优先、质量保证期长优先、交货期短优先、故障响应时间短优先的顺序排列。</w:t>
            </w:r>
          </w:p>
          <w:p w14:paraId="2C9A83C0">
            <w:pPr>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□由谈判小组推荐代表随机抽取。</w:t>
            </w:r>
          </w:p>
        </w:tc>
      </w:tr>
      <w:tr w14:paraId="61BA5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108" w:type="dxa"/>
            <w:bottom w:w="0" w:type="dxa"/>
            <w:right w:w="108" w:type="dxa"/>
          </w:tblCellMar>
        </w:tblPrEx>
        <w:trPr>
          <w:jc w:val="center"/>
        </w:trPr>
        <w:tc>
          <w:tcPr>
            <w:tcW w:w="1003" w:type="dxa"/>
            <w:tcBorders>
              <w:top w:val="single" w:color="000000" w:sz="4" w:space="0"/>
              <w:left w:val="single" w:color="000000" w:sz="4" w:space="0"/>
              <w:bottom w:val="single" w:color="000000" w:sz="4" w:space="0"/>
              <w:right w:val="single" w:color="000000" w:sz="4" w:space="0"/>
            </w:tcBorders>
            <w:noWrap w:val="0"/>
            <w:vAlign w:val="center"/>
          </w:tcPr>
          <w:p w14:paraId="185FBE8B">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28</w:t>
            </w: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09C1DBB5">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履约保证金</w:t>
            </w:r>
          </w:p>
        </w:tc>
        <w:tc>
          <w:tcPr>
            <w:tcW w:w="5700" w:type="dxa"/>
            <w:tcBorders>
              <w:top w:val="single" w:color="000000" w:sz="4" w:space="0"/>
              <w:left w:val="single" w:color="000000" w:sz="4" w:space="0"/>
              <w:bottom w:val="single" w:color="000000" w:sz="4" w:space="0"/>
              <w:right w:val="single" w:color="000000" w:sz="4" w:space="0"/>
            </w:tcBorders>
            <w:noWrap w:val="0"/>
            <w:vAlign w:val="center"/>
          </w:tcPr>
          <w:p w14:paraId="05B1FE53">
            <w:pPr>
              <w:snapToGrid w:val="0"/>
              <w:spacing w:line="360" w:lineRule="auto"/>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本项目不收取履约保证金</w:t>
            </w:r>
          </w:p>
        </w:tc>
      </w:tr>
      <w:tr w14:paraId="5A0E0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108" w:type="dxa"/>
            <w:bottom w:w="0" w:type="dxa"/>
            <w:right w:w="108" w:type="dxa"/>
          </w:tblCellMar>
        </w:tblPrEx>
        <w:trPr>
          <w:jc w:val="center"/>
        </w:trPr>
        <w:tc>
          <w:tcPr>
            <w:tcW w:w="1003" w:type="dxa"/>
            <w:tcBorders>
              <w:top w:val="single" w:color="000000" w:sz="4" w:space="0"/>
              <w:left w:val="single" w:color="000000" w:sz="4" w:space="0"/>
              <w:bottom w:val="single" w:color="000000" w:sz="4" w:space="0"/>
              <w:right w:val="single" w:color="000000" w:sz="4" w:space="0"/>
            </w:tcBorders>
            <w:noWrap w:val="0"/>
            <w:vAlign w:val="center"/>
          </w:tcPr>
          <w:p w14:paraId="1E99E870">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29.5</w:t>
            </w: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6B08C4FA">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签订合同携带</w:t>
            </w:r>
          </w:p>
          <w:p w14:paraId="57BAEC79">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的材料</w:t>
            </w:r>
          </w:p>
        </w:tc>
        <w:tc>
          <w:tcPr>
            <w:tcW w:w="5700" w:type="dxa"/>
            <w:tcBorders>
              <w:top w:val="single" w:color="000000" w:sz="4" w:space="0"/>
              <w:left w:val="single" w:color="000000" w:sz="4" w:space="0"/>
              <w:bottom w:val="single" w:color="000000" w:sz="4" w:space="0"/>
              <w:right w:val="single" w:color="000000" w:sz="4" w:space="0"/>
            </w:tcBorders>
            <w:noWrap w:val="0"/>
            <w:vAlign w:val="center"/>
          </w:tcPr>
          <w:p w14:paraId="54169498">
            <w:pPr>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使用的有效CA证书加盖单位电子公章</w:t>
            </w:r>
          </w:p>
        </w:tc>
      </w:tr>
      <w:tr w14:paraId="6CE86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108" w:type="dxa"/>
            <w:bottom w:w="0" w:type="dxa"/>
            <w:right w:w="108" w:type="dxa"/>
          </w:tblCellMar>
        </w:tblPrEx>
        <w:trPr>
          <w:jc w:val="center"/>
        </w:trPr>
        <w:tc>
          <w:tcPr>
            <w:tcW w:w="1003" w:type="dxa"/>
            <w:vMerge w:val="restart"/>
            <w:tcBorders>
              <w:top w:val="single" w:color="000000" w:sz="4" w:space="0"/>
              <w:left w:val="single" w:color="000000" w:sz="4" w:space="0"/>
              <w:bottom w:val="single" w:color="000000" w:sz="4" w:space="0"/>
              <w:right w:val="single" w:color="000000" w:sz="4" w:space="0"/>
            </w:tcBorders>
            <w:noWrap w:val="0"/>
            <w:vAlign w:val="center"/>
          </w:tcPr>
          <w:p w14:paraId="0BFFB186">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31.2</w:t>
            </w: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773BF68A">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接收质疑函方式</w:t>
            </w:r>
          </w:p>
        </w:tc>
        <w:tc>
          <w:tcPr>
            <w:tcW w:w="5700" w:type="dxa"/>
            <w:tcBorders>
              <w:top w:val="single" w:color="000000" w:sz="4" w:space="0"/>
              <w:left w:val="single" w:color="000000" w:sz="4" w:space="0"/>
              <w:bottom w:val="single" w:color="000000" w:sz="4" w:space="0"/>
              <w:right w:val="single" w:color="000000" w:sz="4" w:space="0"/>
            </w:tcBorders>
            <w:noWrap w:val="0"/>
            <w:vAlign w:val="center"/>
          </w:tcPr>
          <w:p w14:paraId="4BAF02E1">
            <w:pPr>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以书面形式</w:t>
            </w:r>
          </w:p>
        </w:tc>
      </w:tr>
      <w:tr w14:paraId="21B16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108" w:type="dxa"/>
            <w:bottom w:w="0" w:type="dxa"/>
            <w:right w:w="108" w:type="dxa"/>
          </w:tblCellMar>
        </w:tblPrEx>
        <w:trPr>
          <w:jc w:val="center"/>
        </w:trPr>
        <w:tc>
          <w:tcPr>
            <w:tcW w:w="1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F1DE5E">
            <w:pPr>
              <w:widowControl/>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09EE9F7D">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质疑联系部门</w:t>
            </w:r>
          </w:p>
          <w:p w14:paraId="1F229934">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及联系方式</w:t>
            </w:r>
          </w:p>
        </w:tc>
        <w:tc>
          <w:tcPr>
            <w:tcW w:w="5700" w:type="dxa"/>
            <w:tcBorders>
              <w:top w:val="single" w:color="000000" w:sz="4" w:space="0"/>
              <w:left w:val="single" w:color="000000" w:sz="4" w:space="0"/>
              <w:bottom w:val="single" w:color="000000" w:sz="4" w:space="0"/>
              <w:right w:val="single" w:color="000000" w:sz="4" w:space="0"/>
            </w:tcBorders>
            <w:noWrap w:val="0"/>
            <w:vAlign w:val="center"/>
          </w:tcPr>
          <w:p w14:paraId="3A8F1702">
            <w:pPr>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u w:val="single"/>
                <w14:textFill>
                  <w14:solidFill>
                    <w14:schemeClr w14:val="tx1"/>
                  </w14:solidFill>
                </w14:textFill>
              </w:rPr>
              <w:t>（1）</w:t>
            </w:r>
            <w:bookmarkStart w:id="38" w:name="PO_3000001871_PM031_3"/>
            <w:r>
              <w:rPr>
                <w:rFonts w:hint="eastAsia" w:ascii="宋体" w:hAnsi="宋体" w:eastAsia="宋体" w:cs="宋体"/>
                <w:color w:val="000000" w:themeColor="text1"/>
                <w:sz w:val="21"/>
                <w:szCs w:val="21"/>
                <w:highlight w:val="none"/>
                <w:u w:val="single"/>
                <w:lang w:eastAsia="zh-CN"/>
                <w14:textFill>
                  <w14:solidFill>
                    <w14:schemeClr w14:val="tx1"/>
                  </w14:solidFill>
                </w14:textFill>
              </w:rPr>
              <w:t>广西建通工程咨询有限责任公司</w:t>
            </w:r>
            <w:bookmarkEnd w:id="38"/>
            <w:r>
              <w:rPr>
                <w:rFonts w:hint="eastAsia" w:ascii="宋体" w:hAnsi="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3437E35D">
            <w:pPr>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联系电话：</w:t>
            </w:r>
            <w:bookmarkStart w:id="39" w:name="PO_3000001871_PM033"/>
            <w:r>
              <w:rPr>
                <w:rFonts w:hint="eastAsia" w:ascii="宋体" w:hAnsi="宋体" w:eastAsia="宋体" w:cs="宋体"/>
                <w:color w:val="000000" w:themeColor="text1"/>
                <w:sz w:val="21"/>
                <w:szCs w:val="21"/>
                <w:highlight w:val="none"/>
                <w:lang w:eastAsia="zh-CN"/>
                <w14:textFill>
                  <w14:solidFill>
                    <w14:schemeClr w14:val="tx1"/>
                  </w14:solidFill>
                </w14:textFill>
              </w:rPr>
              <w:t>0771-2863138</w:t>
            </w:r>
            <w:bookmarkEnd w:id="39"/>
            <w:r>
              <w:rPr>
                <w:rFonts w:hint="eastAsia" w:ascii="宋体" w:hAnsi="宋体" w:eastAsia="宋体" w:cs="宋体"/>
                <w:color w:val="000000" w:themeColor="text1"/>
                <w:sz w:val="21"/>
                <w:szCs w:val="21"/>
                <w:highlight w:val="none"/>
                <w14:textFill>
                  <w14:solidFill>
                    <w14:schemeClr w14:val="tx1"/>
                  </w14:solidFill>
                </w14:textFill>
              </w:rPr>
              <w:t>，</w:t>
            </w:r>
          </w:p>
          <w:p w14:paraId="62F8D313">
            <w:pPr>
              <w:snapToGrid w:val="0"/>
              <w:spacing w:line="360" w:lineRule="auto"/>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通讯地址：</w:t>
            </w:r>
            <w:r>
              <w:rPr>
                <w:rFonts w:hint="eastAsia" w:ascii="宋体" w:hAnsi="宋体" w:eastAsia="宋体" w:cs="宋体"/>
                <w:color w:val="000000" w:themeColor="text1"/>
                <w:sz w:val="21"/>
                <w:szCs w:val="21"/>
                <w:highlight w:val="none"/>
                <w:u w:val="single"/>
                <w14:textFill>
                  <w14:solidFill>
                    <w14:schemeClr w14:val="tx1"/>
                  </w14:solidFill>
                </w14:textFill>
              </w:rPr>
              <w:t>南宁市江南区金凯路26号广西建通中心12楼</w:t>
            </w:r>
          </w:p>
          <w:p w14:paraId="380D70F6">
            <w:pPr>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u w:val="single"/>
                <w14:textFill>
                  <w14:solidFill>
                    <w14:schemeClr w14:val="tx1"/>
                  </w14:solidFill>
                </w14:textFill>
              </w:rPr>
              <w:t>（2）</w:t>
            </w:r>
            <w:r>
              <w:rPr>
                <w:rFonts w:hint="eastAsia" w:ascii="宋体" w:hAnsi="宋体" w:cs="宋体"/>
                <w:color w:val="000000" w:themeColor="text1"/>
                <w:sz w:val="21"/>
                <w:szCs w:val="21"/>
                <w:highlight w:val="none"/>
                <w:u w:val="single"/>
                <w:lang w:val="en-US" w:eastAsia="zh-CN"/>
                <w14:textFill>
                  <w14:solidFill>
                    <w14:schemeClr w14:val="tx1"/>
                  </w14:solidFill>
                </w14:textFill>
              </w:rPr>
              <w:t xml:space="preserve">南宁市青秀区人民检察院 </w:t>
            </w:r>
            <w:r>
              <w:rPr>
                <w:rFonts w:hint="eastAsia" w:ascii="宋体" w:hAnsi="宋体" w:eastAsia="宋体" w:cs="宋体"/>
                <w:color w:val="000000" w:themeColor="text1"/>
                <w:sz w:val="21"/>
                <w:szCs w:val="21"/>
                <w:highlight w:val="none"/>
                <w14:textFill>
                  <w14:solidFill>
                    <w14:schemeClr w14:val="tx1"/>
                  </w14:solidFill>
                </w14:textFill>
              </w:rPr>
              <w:t>；</w:t>
            </w:r>
          </w:p>
          <w:p w14:paraId="50781836">
            <w:pPr>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联系电话：</w:t>
            </w:r>
            <w:r>
              <w:rPr>
                <w:rFonts w:hint="eastAsia" w:ascii="宋体" w:hAnsi="宋体" w:eastAsia="宋体" w:cs="宋体"/>
                <w:color w:val="000000" w:themeColor="text1"/>
                <w:sz w:val="21"/>
                <w:szCs w:val="21"/>
                <w:highlight w:val="none"/>
                <w:lang w:eastAsia="zh-CN"/>
                <w14:textFill>
                  <w14:solidFill>
                    <w14:schemeClr w14:val="tx1"/>
                  </w14:solidFill>
                </w14:textFill>
              </w:rPr>
              <w:t>0771-5531182</w:t>
            </w:r>
            <w:r>
              <w:rPr>
                <w:rFonts w:hint="eastAsia" w:ascii="宋体" w:hAnsi="宋体" w:eastAsia="宋体" w:cs="宋体"/>
                <w:color w:val="000000" w:themeColor="text1"/>
                <w:sz w:val="21"/>
                <w:szCs w:val="21"/>
                <w:highlight w:val="none"/>
                <w14:textFill>
                  <w14:solidFill>
                    <w14:schemeClr w14:val="tx1"/>
                  </w14:solidFill>
                </w14:textFill>
              </w:rPr>
              <w:t>，</w:t>
            </w:r>
          </w:p>
          <w:p w14:paraId="2DBFAC4E">
            <w:pPr>
              <w:snapToGrid w:val="0"/>
              <w:spacing w:line="360" w:lineRule="auto"/>
              <w:jc w:val="left"/>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通讯地址：</w:t>
            </w:r>
            <w:r>
              <w:rPr>
                <w:rFonts w:hint="eastAsia" w:ascii="宋体" w:hAnsi="宋体" w:cs="宋体"/>
                <w:color w:val="000000" w:themeColor="text1"/>
                <w:sz w:val="21"/>
                <w:szCs w:val="21"/>
                <w:highlight w:val="none"/>
                <w:u w:val="single"/>
                <w:lang w:val="en-US" w:eastAsia="zh-CN"/>
                <w14:textFill>
                  <w14:solidFill>
                    <w14:schemeClr w14:val="tx1"/>
                  </w14:solidFill>
                </w14:textFill>
              </w:rPr>
              <w:t>南宁市茶花园路19号</w:t>
            </w:r>
          </w:p>
        </w:tc>
      </w:tr>
      <w:tr w14:paraId="1A309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108" w:type="dxa"/>
            <w:bottom w:w="0" w:type="dxa"/>
            <w:right w:w="108" w:type="dxa"/>
          </w:tblCellMar>
        </w:tblPrEx>
        <w:trPr>
          <w:jc w:val="center"/>
        </w:trPr>
        <w:tc>
          <w:tcPr>
            <w:tcW w:w="1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D18A59">
            <w:pPr>
              <w:widowControl/>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1AD57E01">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现场提交质疑办理业务时间</w:t>
            </w:r>
          </w:p>
        </w:tc>
        <w:tc>
          <w:tcPr>
            <w:tcW w:w="5700" w:type="dxa"/>
            <w:tcBorders>
              <w:top w:val="single" w:color="000000" w:sz="4" w:space="0"/>
              <w:left w:val="single" w:color="000000" w:sz="4" w:space="0"/>
              <w:bottom w:val="single" w:color="000000" w:sz="4" w:space="0"/>
              <w:right w:val="single" w:color="000000" w:sz="4" w:space="0"/>
            </w:tcBorders>
            <w:noWrap w:val="0"/>
            <w:vAlign w:val="center"/>
          </w:tcPr>
          <w:p w14:paraId="56D537A8">
            <w:pPr>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质疑期内每个工作日</w:t>
            </w:r>
            <w:r>
              <w:rPr>
                <w:rFonts w:hint="eastAsia" w:ascii="宋体" w:hAnsi="宋体" w:eastAsia="宋体" w:cs="宋体"/>
                <w:color w:val="000000" w:themeColor="text1"/>
                <w:sz w:val="21"/>
                <w:szCs w:val="21"/>
                <w:highlight w:val="none"/>
                <w:u w:val="single"/>
                <w14:textFill>
                  <w14:solidFill>
                    <w14:schemeClr w14:val="tx1"/>
                  </w14:solidFill>
                </w14:textFill>
              </w:rPr>
              <w:t>9</w:t>
            </w:r>
            <w:r>
              <w:rPr>
                <w:rFonts w:hint="eastAsia" w:ascii="宋体" w:hAnsi="宋体" w:eastAsia="宋体" w:cs="宋体"/>
                <w:color w:val="000000" w:themeColor="text1"/>
                <w:sz w:val="21"/>
                <w:szCs w:val="21"/>
                <w:highlight w:val="none"/>
                <w14:textFill>
                  <w14:solidFill>
                    <w14:schemeClr w14:val="tx1"/>
                  </w14:solidFill>
                </w14:textFill>
              </w:rPr>
              <w:t>时</w:t>
            </w:r>
            <w:r>
              <w:rPr>
                <w:rFonts w:hint="eastAsia" w:ascii="宋体" w:hAnsi="宋体" w:eastAsia="宋体" w:cs="宋体"/>
                <w:color w:val="000000" w:themeColor="text1"/>
                <w:sz w:val="21"/>
                <w:szCs w:val="21"/>
                <w:highlight w:val="none"/>
                <w:u w:val="single"/>
                <w14:textFill>
                  <w14:solidFill>
                    <w14:schemeClr w14:val="tx1"/>
                  </w14:solidFill>
                </w14:textFill>
              </w:rPr>
              <w:t>00</w:t>
            </w:r>
            <w:r>
              <w:rPr>
                <w:rFonts w:hint="eastAsia" w:ascii="宋体" w:hAnsi="宋体" w:eastAsia="宋体" w:cs="宋体"/>
                <w:color w:val="000000" w:themeColor="text1"/>
                <w:sz w:val="21"/>
                <w:szCs w:val="21"/>
                <w:highlight w:val="none"/>
                <w14:textFill>
                  <w14:solidFill>
                    <w14:schemeClr w14:val="tx1"/>
                  </w14:solidFill>
                </w14:textFill>
              </w:rPr>
              <w:t>分到</w:t>
            </w:r>
            <w:r>
              <w:rPr>
                <w:rFonts w:hint="eastAsia" w:ascii="宋体" w:hAnsi="宋体" w:eastAsia="宋体" w:cs="宋体"/>
                <w:color w:val="000000" w:themeColor="text1"/>
                <w:sz w:val="21"/>
                <w:szCs w:val="21"/>
                <w:highlight w:val="none"/>
                <w:u w:val="single"/>
                <w14:textFill>
                  <w14:solidFill>
                    <w14:schemeClr w14:val="tx1"/>
                  </w14:solidFill>
                </w14:textFill>
              </w:rPr>
              <w:t>12</w:t>
            </w:r>
            <w:r>
              <w:rPr>
                <w:rFonts w:hint="eastAsia" w:ascii="宋体" w:hAnsi="宋体" w:eastAsia="宋体" w:cs="宋体"/>
                <w:color w:val="000000" w:themeColor="text1"/>
                <w:sz w:val="21"/>
                <w:szCs w:val="21"/>
                <w:highlight w:val="none"/>
                <w14:textFill>
                  <w14:solidFill>
                    <w14:schemeClr w14:val="tx1"/>
                  </w14:solidFill>
                </w14:textFill>
              </w:rPr>
              <w:t>时</w:t>
            </w:r>
            <w:r>
              <w:rPr>
                <w:rFonts w:hint="eastAsia" w:ascii="宋体" w:hAnsi="宋体" w:eastAsia="宋体" w:cs="宋体"/>
                <w:color w:val="000000" w:themeColor="text1"/>
                <w:sz w:val="21"/>
                <w:szCs w:val="21"/>
                <w:highlight w:val="none"/>
                <w:u w:val="single"/>
                <w14:textFill>
                  <w14:solidFill>
                    <w14:schemeClr w14:val="tx1"/>
                  </w14:solidFill>
                </w14:textFill>
              </w:rPr>
              <w:t>00</w:t>
            </w:r>
            <w:r>
              <w:rPr>
                <w:rFonts w:hint="eastAsia" w:ascii="宋体" w:hAnsi="宋体" w:eastAsia="宋体" w:cs="宋体"/>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u w:val="single"/>
                <w14:textFill>
                  <w14:solidFill>
                    <w14:schemeClr w14:val="tx1"/>
                  </w14:solidFill>
                </w14:textFill>
              </w:rPr>
              <w:t>14</w:t>
            </w:r>
            <w:r>
              <w:rPr>
                <w:rFonts w:hint="eastAsia" w:ascii="宋体" w:hAnsi="宋体" w:eastAsia="宋体" w:cs="宋体"/>
                <w:color w:val="000000" w:themeColor="text1"/>
                <w:sz w:val="21"/>
                <w:szCs w:val="21"/>
                <w:highlight w:val="none"/>
                <w14:textFill>
                  <w14:solidFill>
                    <w14:schemeClr w14:val="tx1"/>
                  </w14:solidFill>
                </w14:textFill>
              </w:rPr>
              <w:t>时</w:t>
            </w:r>
            <w:r>
              <w:rPr>
                <w:rFonts w:hint="eastAsia" w:ascii="宋体" w:hAnsi="宋体" w:eastAsia="宋体" w:cs="宋体"/>
                <w:color w:val="000000" w:themeColor="text1"/>
                <w:sz w:val="21"/>
                <w:szCs w:val="21"/>
                <w:highlight w:val="none"/>
                <w:u w:val="single"/>
                <w14:textFill>
                  <w14:solidFill>
                    <w14:schemeClr w14:val="tx1"/>
                  </w14:solidFill>
                </w14:textFill>
              </w:rPr>
              <w:t>30</w:t>
            </w:r>
            <w:r>
              <w:rPr>
                <w:rFonts w:hint="eastAsia" w:ascii="宋体" w:hAnsi="宋体" w:eastAsia="宋体" w:cs="宋体"/>
                <w:color w:val="000000" w:themeColor="text1"/>
                <w:sz w:val="21"/>
                <w:szCs w:val="21"/>
                <w:highlight w:val="none"/>
                <w14:textFill>
                  <w14:solidFill>
                    <w14:schemeClr w14:val="tx1"/>
                  </w14:solidFill>
                </w14:textFill>
              </w:rPr>
              <w:t>分到</w:t>
            </w:r>
            <w:r>
              <w:rPr>
                <w:rFonts w:hint="eastAsia" w:ascii="宋体" w:hAnsi="宋体" w:eastAsia="宋体" w:cs="宋体"/>
                <w:color w:val="000000" w:themeColor="text1"/>
                <w:sz w:val="21"/>
                <w:szCs w:val="21"/>
                <w:highlight w:val="none"/>
                <w:u w:val="single"/>
                <w14:textFill>
                  <w14:solidFill>
                    <w14:schemeClr w14:val="tx1"/>
                  </w14:solidFill>
                </w14:textFill>
              </w:rPr>
              <w:t>17</w:t>
            </w:r>
            <w:r>
              <w:rPr>
                <w:rFonts w:hint="eastAsia" w:ascii="宋体" w:hAnsi="宋体" w:eastAsia="宋体" w:cs="宋体"/>
                <w:color w:val="000000" w:themeColor="text1"/>
                <w:sz w:val="21"/>
                <w:szCs w:val="21"/>
                <w:highlight w:val="none"/>
                <w14:textFill>
                  <w14:solidFill>
                    <w14:schemeClr w14:val="tx1"/>
                  </w14:solidFill>
                </w14:textFill>
              </w:rPr>
              <w:t>时</w:t>
            </w:r>
            <w:r>
              <w:rPr>
                <w:rFonts w:hint="eastAsia" w:ascii="宋体" w:hAnsi="宋体" w:eastAsia="宋体" w:cs="宋体"/>
                <w:color w:val="000000" w:themeColor="text1"/>
                <w:sz w:val="21"/>
                <w:szCs w:val="21"/>
                <w:highlight w:val="none"/>
                <w:u w:val="single"/>
                <w14:textFill>
                  <w14:solidFill>
                    <w14:schemeClr w14:val="tx1"/>
                  </w14:solidFill>
                </w14:textFill>
              </w:rPr>
              <w:t>30</w:t>
            </w:r>
            <w:r>
              <w:rPr>
                <w:rFonts w:hint="eastAsia" w:ascii="宋体" w:hAnsi="宋体" w:eastAsia="宋体" w:cs="宋体"/>
                <w:color w:val="000000" w:themeColor="text1"/>
                <w:sz w:val="21"/>
                <w:szCs w:val="21"/>
                <w:highlight w:val="none"/>
                <w14:textFill>
                  <w14:solidFill>
                    <w14:schemeClr w14:val="tx1"/>
                  </w14:solidFill>
                </w14:textFill>
              </w:rPr>
              <w:t>分</w:t>
            </w:r>
          </w:p>
        </w:tc>
      </w:tr>
      <w:tr w14:paraId="01F3F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108" w:type="dxa"/>
            <w:bottom w:w="0" w:type="dxa"/>
            <w:right w:w="108" w:type="dxa"/>
          </w:tblCellMar>
        </w:tblPrEx>
        <w:trPr>
          <w:jc w:val="center"/>
        </w:trPr>
        <w:tc>
          <w:tcPr>
            <w:tcW w:w="1003" w:type="dxa"/>
            <w:tcBorders>
              <w:top w:val="single" w:color="000000" w:sz="4" w:space="0"/>
              <w:left w:val="single" w:color="000000" w:sz="4" w:space="0"/>
              <w:bottom w:val="single" w:color="000000" w:sz="4" w:space="0"/>
              <w:right w:val="single" w:color="000000" w:sz="4" w:space="0"/>
            </w:tcBorders>
            <w:noWrap w:val="0"/>
            <w:vAlign w:val="center"/>
          </w:tcPr>
          <w:p w14:paraId="7B3F5ABF">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31.6</w:t>
            </w: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55289442">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受理投诉方式</w:t>
            </w:r>
          </w:p>
        </w:tc>
        <w:tc>
          <w:tcPr>
            <w:tcW w:w="5700" w:type="dxa"/>
            <w:tcBorders>
              <w:top w:val="single" w:color="000000" w:sz="4" w:space="0"/>
              <w:left w:val="single" w:color="000000" w:sz="4" w:space="0"/>
              <w:bottom w:val="single" w:color="000000" w:sz="4" w:space="0"/>
              <w:right w:val="single" w:color="000000" w:sz="4" w:space="0"/>
            </w:tcBorders>
            <w:noWrap w:val="0"/>
            <w:vAlign w:val="center"/>
          </w:tcPr>
          <w:p w14:paraId="64588459">
            <w:pPr>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受理方式：纸质方式受理，投诉书正、副本（经过质疑的事项才可投诉）。</w:t>
            </w:r>
          </w:p>
          <w:p w14:paraId="0BAF885B">
            <w:pPr>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邮寄地址：</w:t>
            </w:r>
          </w:p>
          <w:p w14:paraId="7913B956">
            <w:pPr>
              <w:pStyle w:val="17"/>
              <w:snapToGrid w:val="0"/>
              <w:spacing w:line="360" w:lineRule="auto"/>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名称：南宁市财政局政府采购监督管理科</w:t>
            </w:r>
          </w:p>
          <w:p w14:paraId="60D5C49A">
            <w:pPr>
              <w:pStyle w:val="17"/>
              <w:snapToGrid w:val="0"/>
              <w:spacing w:line="360" w:lineRule="auto"/>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地址：南宁市青秀区东葛路129号</w:t>
            </w:r>
          </w:p>
          <w:p w14:paraId="75ECBF08">
            <w:pPr>
              <w:pStyle w:val="17"/>
              <w:snapToGrid w:val="0"/>
              <w:spacing w:line="360" w:lineRule="auto"/>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联系电话：0771-2189091</w:t>
            </w:r>
          </w:p>
        </w:tc>
      </w:tr>
      <w:tr w14:paraId="6EC7B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108" w:type="dxa"/>
            <w:bottom w:w="0" w:type="dxa"/>
            <w:right w:w="108" w:type="dxa"/>
          </w:tblCellMar>
        </w:tblPrEx>
        <w:trPr>
          <w:jc w:val="center"/>
        </w:trPr>
        <w:tc>
          <w:tcPr>
            <w:tcW w:w="1003" w:type="dxa"/>
            <w:tcBorders>
              <w:top w:val="single" w:color="000000" w:sz="4" w:space="0"/>
              <w:left w:val="single" w:color="000000" w:sz="4" w:space="0"/>
              <w:bottom w:val="single" w:color="000000" w:sz="4" w:space="0"/>
              <w:right w:val="single" w:color="000000" w:sz="4" w:space="0"/>
            </w:tcBorders>
            <w:noWrap w:val="0"/>
            <w:vAlign w:val="center"/>
          </w:tcPr>
          <w:p w14:paraId="0BB22B33">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33</w:t>
            </w: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5C66A5D1">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采购代理费</w:t>
            </w:r>
          </w:p>
        </w:tc>
        <w:tc>
          <w:tcPr>
            <w:tcW w:w="5700" w:type="dxa"/>
            <w:tcBorders>
              <w:top w:val="single" w:color="000000" w:sz="4" w:space="0"/>
              <w:left w:val="single" w:color="000000" w:sz="4" w:space="0"/>
              <w:bottom w:val="single" w:color="000000" w:sz="4" w:space="0"/>
              <w:right w:val="single" w:color="000000" w:sz="4" w:space="0"/>
            </w:tcBorders>
            <w:noWrap w:val="0"/>
            <w:vAlign w:val="center"/>
          </w:tcPr>
          <w:p w14:paraId="76A2335E">
            <w:pPr>
              <w:pStyle w:val="17"/>
              <w:snapToGrid w:val="0"/>
              <w:spacing w:line="360" w:lineRule="auto"/>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1.是否收取采购代理费：</w:t>
            </w:r>
          </w:p>
          <w:p w14:paraId="4FF9E735">
            <w:pPr>
              <w:pStyle w:val="17"/>
              <w:snapToGrid w:val="0"/>
              <w:spacing w:line="360" w:lineRule="auto"/>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☑是□否</w:t>
            </w:r>
          </w:p>
          <w:p w14:paraId="6CF1F1EA">
            <w:pPr>
              <w:pStyle w:val="17"/>
              <w:snapToGrid w:val="0"/>
              <w:spacing w:line="360" w:lineRule="auto"/>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2.采购代理费支付方式：</w:t>
            </w:r>
          </w:p>
          <w:p w14:paraId="760CB313">
            <w:pPr>
              <w:pStyle w:val="17"/>
              <w:snapToGrid w:val="0"/>
              <w:spacing w:line="360" w:lineRule="auto"/>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☑本项目代理</w:t>
            </w:r>
            <w:r>
              <w:rPr>
                <w:rFonts w:hint="eastAsia" w:ascii="宋体" w:hAnsi="宋体" w:eastAsia="宋体" w:cs="宋体"/>
                <w:color w:val="000000" w:themeColor="text1"/>
                <w:sz w:val="21"/>
                <w:szCs w:val="21"/>
                <w:highlight w:val="none"/>
                <w:lang w:eastAsia="zh-CN"/>
                <w14:textFill>
                  <w14:solidFill>
                    <w14:schemeClr w14:val="tx1"/>
                  </w14:solidFill>
                </w14:textFill>
              </w:rPr>
              <w:t>服务</w:t>
            </w:r>
            <w:r>
              <w:rPr>
                <w:rFonts w:hint="eastAsia" w:ascii="宋体" w:hAnsi="宋体" w:eastAsia="宋体" w:cs="宋体"/>
                <w:color w:val="000000" w:themeColor="text1"/>
                <w:sz w:val="21"/>
                <w:szCs w:val="21"/>
                <w:highlight w:val="none"/>
                <w:lang w:val="en-US" w:eastAsia="zh-CN"/>
                <w14:textFill>
                  <w14:solidFill>
                    <w14:schemeClr w14:val="tx1"/>
                  </w14:solidFill>
                </w14:textFill>
              </w:rPr>
              <w:t>费由</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成交供应商</w:t>
            </w:r>
            <w:r>
              <w:rPr>
                <w:rFonts w:hint="eastAsia" w:ascii="宋体" w:hAnsi="宋体" w:eastAsia="宋体" w:cs="宋体"/>
                <w:color w:val="000000" w:themeColor="text1"/>
                <w:sz w:val="21"/>
                <w:szCs w:val="21"/>
                <w:highlight w:val="none"/>
                <w:lang w:val="en-US" w:eastAsia="zh-CN"/>
                <w14:textFill>
                  <w14:solidFill>
                    <w14:schemeClr w14:val="tx1"/>
                  </w14:solidFill>
                </w14:textFill>
              </w:rPr>
              <w:t>领取成交通知书前，一次性向采购代理机构支付。</w:t>
            </w:r>
          </w:p>
          <w:p w14:paraId="16323E44">
            <w:pPr>
              <w:pStyle w:val="17"/>
              <w:snapToGrid w:val="0"/>
              <w:spacing w:line="360" w:lineRule="auto"/>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□采购人支付。</w:t>
            </w:r>
          </w:p>
          <w:p w14:paraId="12A1DD4C">
            <w:pPr>
              <w:pStyle w:val="17"/>
              <w:snapToGrid w:val="0"/>
              <w:spacing w:line="360" w:lineRule="auto"/>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3.采购代理费收取标准：</w:t>
            </w:r>
          </w:p>
          <w:p w14:paraId="2C6D186C">
            <w:pPr>
              <w:pStyle w:val="17"/>
              <w:snapToGrid w:val="0"/>
              <w:spacing w:line="360" w:lineRule="auto"/>
              <w:jc w:val="left"/>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40" w:name="PO_3000001871_PM025"/>
            <w:r>
              <w:rPr>
                <w:rFonts w:hint="eastAsia" w:ascii="宋体" w:hAnsi="宋体" w:eastAsia="宋体" w:cs="宋体"/>
                <w:color w:val="000000" w:themeColor="text1"/>
                <w:sz w:val="21"/>
                <w:szCs w:val="21"/>
                <w:highlight w:val="none"/>
                <w:lang w:eastAsia="zh-CN"/>
                <w14:textFill>
                  <w14:solidFill>
                    <w14:schemeClr w14:val="tx1"/>
                  </w14:solidFill>
                </w14:textFill>
              </w:rPr>
              <w:t>以成交金额为计费额，</w:t>
            </w:r>
            <w:r>
              <w:rPr>
                <w:rFonts w:hint="eastAsia" w:hAnsi="宋体" w:cs="宋体"/>
                <w:color w:val="000000" w:themeColor="text1"/>
                <w:sz w:val="21"/>
                <w:szCs w:val="21"/>
                <w:highlight w:val="none"/>
                <w:lang w:val="en-US" w:eastAsia="zh-CN"/>
                <w14:textFill>
                  <w14:solidFill>
                    <w14:schemeClr w14:val="tx1"/>
                  </w14:solidFill>
                </w14:textFill>
              </w:rPr>
              <w:t>参照</w:t>
            </w:r>
            <w:r>
              <w:rPr>
                <w:rFonts w:hint="eastAsia" w:ascii="宋体" w:hAnsi="宋体" w:eastAsia="宋体" w:cs="宋体"/>
                <w:color w:val="000000" w:themeColor="text1"/>
                <w:sz w:val="21"/>
                <w:szCs w:val="21"/>
                <w:highlight w:val="none"/>
                <w:lang w:eastAsia="zh-CN"/>
                <w14:textFill>
                  <w14:solidFill>
                    <w14:schemeClr w14:val="tx1"/>
                  </w14:solidFill>
                </w14:textFill>
              </w:rPr>
              <w:t>原《招标代理服务收费管理暂行办法》（计价格【2002】1980号）和《国家发展改革委关于降低部分建设项目收费标准规范收费行为等有关问题的通知》（发改价格[2011]534号）的规定标准计取，由成交供应商在领取成交通知书时向采购代理机构一次性支付。</w:t>
            </w:r>
            <w:bookmarkEnd w:id="40"/>
          </w:p>
          <w:p w14:paraId="2D3B6390">
            <w:pPr>
              <w:pStyle w:val="17"/>
              <w:snapToGrid w:val="0"/>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4.采购代理费收取银行账户</w:t>
            </w:r>
          </w:p>
          <w:p w14:paraId="1AB2AA8C">
            <w:pPr>
              <w:pStyle w:val="17"/>
              <w:snapToGrid w:val="0"/>
              <w:spacing w:line="360" w:lineRule="auto"/>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账户名称：</w:t>
            </w:r>
            <w:r>
              <w:rPr>
                <w:rFonts w:hint="eastAsia" w:hAnsi="宋体" w:cs="宋体"/>
                <w:color w:val="000000" w:themeColor="text1"/>
                <w:sz w:val="21"/>
                <w:szCs w:val="21"/>
                <w:highlight w:val="none"/>
                <w:lang w:eastAsia="zh-CN"/>
                <w14:textFill>
                  <w14:solidFill>
                    <w14:schemeClr w14:val="tx1"/>
                  </w14:solidFill>
                </w14:textFill>
              </w:rPr>
              <w:t>广西建通工程咨询有限责任公司南宁分公司</w:t>
            </w:r>
          </w:p>
          <w:p w14:paraId="06A57498">
            <w:pPr>
              <w:pStyle w:val="17"/>
              <w:snapToGrid w:val="0"/>
              <w:spacing w:line="360" w:lineRule="auto"/>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开户银行：</w:t>
            </w:r>
            <w:r>
              <w:rPr>
                <w:rFonts w:hint="eastAsia" w:hAnsi="宋体" w:cs="宋体"/>
                <w:color w:val="000000" w:themeColor="text1"/>
                <w:sz w:val="21"/>
                <w:szCs w:val="21"/>
                <w:highlight w:val="none"/>
                <w:lang w:eastAsia="zh-CN"/>
                <w14:textFill>
                  <w14:solidFill>
                    <w14:schemeClr w14:val="tx1"/>
                  </w14:solidFill>
                </w14:textFill>
              </w:rPr>
              <w:t>中国农业银行股份有限公司南宁古城支行</w:t>
            </w:r>
          </w:p>
          <w:p w14:paraId="663F84D5">
            <w:pPr>
              <w:pStyle w:val="17"/>
              <w:snapToGrid w:val="0"/>
              <w:spacing w:line="360" w:lineRule="auto"/>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账户号码：</w:t>
            </w:r>
            <w:r>
              <w:rPr>
                <w:rFonts w:hint="eastAsia" w:hAnsi="宋体" w:cs="宋体"/>
                <w:color w:val="000000" w:themeColor="text1"/>
                <w:sz w:val="21"/>
                <w:szCs w:val="21"/>
                <w:highlight w:val="none"/>
                <w:lang w:eastAsia="zh-CN"/>
                <w14:textFill>
                  <w14:solidFill>
                    <w14:schemeClr w14:val="tx1"/>
                  </w14:solidFill>
                </w14:textFill>
              </w:rPr>
              <w:t>20009101040029750</w:t>
            </w:r>
          </w:p>
        </w:tc>
      </w:tr>
      <w:tr w14:paraId="071D8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108" w:type="dxa"/>
            <w:bottom w:w="0" w:type="dxa"/>
            <w:right w:w="108" w:type="dxa"/>
          </w:tblCellMar>
        </w:tblPrEx>
        <w:trPr>
          <w:jc w:val="center"/>
        </w:trPr>
        <w:tc>
          <w:tcPr>
            <w:tcW w:w="1003" w:type="dxa"/>
            <w:tcBorders>
              <w:top w:val="single" w:color="000000" w:sz="4" w:space="0"/>
              <w:left w:val="single" w:color="000000" w:sz="4" w:space="0"/>
              <w:bottom w:val="single" w:color="000000" w:sz="4" w:space="0"/>
              <w:right w:val="single" w:color="000000" w:sz="4" w:space="0"/>
            </w:tcBorders>
            <w:noWrap w:val="0"/>
            <w:vAlign w:val="center"/>
          </w:tcPr>
          <w:p w14:paraId="3F3221C3">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34.1</w:t>
            </w: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20607427">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解释</w:t>
            </w:r>
          </w:p>
        </w:tc>
        <w:tc>
          <w:tcPr>
            <w:tcW w:w="5700" w:type="dxa"/>
            <w:tcBorders>
              <w:top w:val="single" w:color="000000" w:sz="4" w:space="0"/>
              <w:left w:val="single" w:color="000000" w:sz="4" w:space="0"/>
              <w:bottom w:val="single" w:color="000000" w:sz="4" w:space="0"/>
              <w:right w:val="single" w:color="000000" w:sz="4" w:space="0"/>
            </w:tcBorders>
            <w:noWrap w:val="0"/>
            <w:vAlign w:val="center"/>
          </w:tcPr>
          <w:p w14:paraId="3206D155">
            <w:pPr>
              <w:pStyle w:val="17"/>
              <w:snapToGrid w:val="0"/>
              <w:spacing w:line="360" w:lineRule="auto"/>
              <w:jc w:val="left"/>
              <w:rPr>
                <w:rFonts w:hint="eastAsia" w:ascii="宋体" w:hAnsi="宋体" w:eastAsia="宋体" w:cs="宋体"/>
                <w:b/>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lang w:val="en-US" w:eastAsia="zh-CN"/>
                <w14:textFill>
                  <w14:solidFill>
                    <w14:schemeClr w14:val="tx1"/>
                  </w14:solidFill>
                </w14:textFill>
              </w:rPr>
              <w:t>解释权：</w:t>
            </w:r>
            <w:r>
              <w:rPr>
                <w:rFonts w:hint="eastAsia" w:ascii="宋体" w:hAnsi="宋体" w:eastAsia="宋体" w:cs="宋体"/>
                <w:color w:val="000000" w:themeColor="text1"/>
                <w:sz w:val="21"/>
                <w:szCs w:val="21"/>
                <w:highlight w:val="none"/>
                <w:lang w:val="en-US" w:eastAsia="zh-CN"/>
                <w14:textFill>
                  <w14:solidFill>
                    <w14:schemeClr w14:val="tx1"/>
                  </w14:solidFill>
                </w14:textFill>
              </w:rPr>
              <w:t>构成本谈判文件的各个组成文件应互为解释，互为说明；除谈判文件中有特别规定外，仅适用于竞标阶段的规定，按更正公告（澄清公告）、竞争性谈判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w:t>
            </w:r>
            <w:r>
              <w:rPr>
                <w:rFonts w:hint="eastAsia" w:ascii="宋体" w:hAnsi="宋体" w:eastAsia="宋体" w:cs="宋体"/>
                <w:b/>
                <w:color w:val="000000" w:themeColor="text1"/>
                <w:sz w:val="21"/>
                <w:szCs w:val="21"/>
                <w:highlight w:val="none"/>
                <w:lang w:val="en-US" w:eastAsia="zh-CN"/>
                <w14:textFill>
                  <w14:solidFill>
                    <w14:schemeClr w14:val="tx1"/>
                  </w14:solidFill>
                </w14:textFill>
              </w:rPr>
              <w:t>由采购人或者采购代理机构负责解释。</w:t>
            </w:r>
          </w:p>
          <w:p w14:paraId="1E5CA7F2">
            <w:pPr>
              <w:tabs>
                <w:tab w:val="left" w:pos="1080"/>
              </w:tabs>
              <w:spacing w:line="360" w:lineRule="auto"/>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14:textFill>
                  <w14:solidFill>
                    <w14:schemeClr w14:val="tx1"/>
                  </w14:solidFill>
                </w14:textFill>
              </w:rPr>
              <w:t>法律责任：</w:t>
            </w:r>
          </w:p>
          <w:p w14:paraId="79AEB803">
            <w:pPr>
              <w:tabs>
                <w:tab w:val="left" w:pos="1080"/>
              </w:tabs>
              <w:spacing w:line="360" w:lineRule="auto"/>
              <w:jc w:val="left"/>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03822D73">
            <w:pPr>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6D3C1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5" w:type="dxa"/>
            <w:left w:w="108" w:type="dxa"/>
            <w:bottom w:w="0" w:type="dxa"/>
            <w:right w:w="108" w:type="dxa"/>
          </w:tblCellMar>
        </w:tblPrEx>
        <w:trPr>
          <w:jc w:val="center"/>
        </w:trPr>
        <w:tc>
          <w:tcPr>
            <w:tcW w:w="1003" w:type="dxa"/>
            <w:tcBorders>
              <w:top w:val="single" w:color="000000" w:sz="4" w:space="0"/>
              <w:left w:val="single" w:color="000000" w:sz="4" w:space="0"/>
              <w:bottom w:val="single" w:color="000000" w:sz="4" w:space="0"/>
              <w:right w:val="single" w:color="000000" w:sz="4" w:space="0"/>
            </w:tcBorders>
            <w:noWrap w:val="0"/>
            <w:vAlign w:val="center"/>
          </w:tcPr>
          <w:p w14:paraId="6CF88162">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34.2</w:t>
            </w: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117A55A5">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其他</w:t>
            </w:r>
          </w:p>
        </w:tc>
        <w:tc>
          <w:tcPr>
            <w:tcW w:w="5700" w:type="dxa"/>
            <w:tcBorders>
              <w:top w:val="single" w:color="000000" w:sz="4" w:space="0"/>
              <w:left w:val="single" w:color="000000" w:sz="4" w:space="0"/>
              <w:bottom w:val="single" w:color="000000" w:sz="4" w:space="0"/>
              <w:right w:val="single" w:color="000000" w:sz="4" w:space="0"/>
            </w:tcBorders>
            <w:noWrap w:val="0"/>
            <w:vAlign w:val="center"/>
          </w:tcPr>
          <w:p w14:paraId="09EA1310">
            <w:pPr>
              <w:pStyle w:val="17"/>
              <w:snapToGrid w:val="0"/>
              <w:spacing w:line="360" w:lineRule="auto"/>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1.本谈判文件中描述供应商的“公章”是指供应商通过指定电子化政府采购平台办理数字证书（CA认证）获得的以法定主体行为名称制作的电子印章。</w:t>
            </w:r>
          </w:p>
          <w:p w14:paraId="42132BF8">
            <w:pPr>
              <w:pStyle w:val="17"/>
              <w:snapToGrid w:val="0"/>
              <w:spacing w:line="360" w:lineRule="auto"/>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2.本谈判文件中描述供应商的“签字”是指供应商通过指定电子化政府采购平台办理数字证书（CA认证）获得的以供应商法定代表人或者委托代理人姓名制作的电子印章或手写签字。</w:t>
            </w:r>
          </w:p>
          <w:p w14:paraId="6EF1BCEA">
            <w:pPr>
              <w:pStyle w:val="17"/>
              <w:snapToGrid w:val="0"/>
              <w:spacing w:line="360" w:lineRule="auto"/>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6DCFA23B">
            <w:pPr>
              <w:pStyle w:val="17"/>
              <w:snapToGrid w:val="0"/>
              <w:spacing w:line="360" w:lineRule="auto"/>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4.自然人竞标的，谈判文件规定盖公章处由自然人摁手指指印。</w:t>
            </w:r>
          </w:p>
          <w:p w14:paraId="7716A551">
            <w:pPr>
              <w:pStyle w:val="17"/>
              <w:snapToGrid w:val="0"/>
              <w:spacing w:line="360" w:lineRule="auto"/>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5.本谈判文件所称的“以上”“以下”“以内”“届满”，包括本数；所称的“不满”“超过”“以外”，不包括本数。</w:t>
            </w:r>
          </w:p>
        </w:tc>
      </w:tr>
    </w:tbl>
    <w:p w14:paraId="1B56C904">
      <w:pPr>
        <w:pStyle w:val="3"/>
        <w:spacing w:line="420" w:lineRule="exact"/>
        <w:jc w:val="center"/>
        <w:rPr>
          <w:rFonts w:hint="eastAsia" w:ascii="宋体" w:hAnsi="宋体" w:cs="宋体"/>
          <w:b w:val="0"/>
          <w:color w:val="000000" w:themeColor="text1"/>
          <w:highlight w:val="none"/>
          <w14:textFill>
            <w14:solidFill>
              <w14:schemeClr w14:val="tx1"/>
            </w14:solidFill>
          </w14:textFill>
        </w:rPr>
      </w:pPr>
      <w:r>
        <w:rPr>
          <w:rFonts w:hint="eastAsia" w:ascii="宋体" w:hAnsi="宋体"/>
          <w:b w:val="0"/>
          <w:color w:val="000000" w:themeColor="text1"/>
          <w:highlight w:val="none"/>
          <w14:textFill>
            <w14:solidFill>
              <w14:schemeClr w14:val="tx1"/>
            </w14:solidFill>
          </w14:textFill>
        </w:rPr>
        <w:br w:type="page"/>
      </w:r>
      <w:bookmarkStart w:id="41" w:name="_Toc2888"/>
      <w:r>
        <w:rPr>
          <w:rFonts w:hint="eastAsia" w:ascii="宋体" w:hAnsi="宋体"/>
          <w:b w:val="0"/>
          <w:color w:val="000000" w:themeColor="text1"/>
          <w:highlight w:val="none"/>
          <w14:textFill>
            <w14:solidFill>
              <w14:schemeClr w14:val="tx1"/>
            </w14:solidFill>
          </w14:textFill>
        </w:rPr>
        <w:t>第二节供应商须知正文</w:t>
      </w:r>
      <w:bookmarkEnd w:id="41"/>
    </w:p>
    <w:p w14:paraId="376D577E">
      <w:pPr>
        <w:pStyle w:val="4"/>
        <w:spacing w:before="0" w:after="0" w:line="360" w:lineRule="auto"/>
        <w:ind w:firstLine="640" w:firstLineChars="200"/>
        <w:rPr>
          <w:rFonts w:hint="eastAsia" w:ascii="宋体" w:hAnsi="宋体"/>
          <w:b w:val="0"/>
          <w:color w:val="000000" w:themeColor="text1"/>
          <w:highlight w:val="none"/>
          <w14:textFill>
            <w14:solidFill>
              <w14:schemeClr w14:val="tx1"/>
            </w14:solidFill>
          </w14:textFill>
        </w:rPr>
      </w:pPr>
      <w:bookmarkStart w:id="42" w:name="_Toc11076"/>
      <w:r>
        <w:rPr>
          <w:rFonts w:hint="eastAsia" w:ascii="宋体" w:hAnsi="宋体"/>
          <w:b w:val="0"/>
          <w:color w:val="000000" w:themeColor="text1"/>
          <w:highlight w:val="none"/>
          <w14:textFill>
            <w14:solidFill>
              <w14:schemeClr w14:val="tx1"/>
            </w14:solidFill>
          </w14:textFill>
        </w:rPr>
        <w:t>一、总则</w:t>
      </w:r>
      <w:bookmarkEnd w:id="42"/>
    </w:p>
    <w:p w14:paraId="4916C5C7">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1.适用范围</w:t>
      </w:r>
    </w:p>
    <w:p w14:paraId="2ED82ED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068E533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r>
        <w:rPr>
          <w:rFonts w:hint="eastAsia" w:ascii="宋体" w:hAnsi="宋体" w:cs="宋体"/>
          <w:color w:val="000000" w:themeColor="text1"/>
          <w:spacing w:val="-6"/>
          <w:szCs w:val="21"/>
          <w:highlight w:val="none"/>
          <w14:textFill>
            <w14:solidFill>
              <w14:schemeClr w14:val="tx1"/>
            </w14:solidFill>
          </w14:textFill>
        </w:rPr>
        <w:t>本竞争性谈判文件（以下简称谈判文件）适用于本项目的所有采购程序和环节（法律、法规另有规定的，从其规定）。</w:t>
      </w:r>
    </w:p>
    <w:p w14:paraId="717F0D5B">
      <w:pPr>
        <w:spacing w:line="360" w:lineRule="auto"/>
        <w:ind w:firstLine="482" w:firstLineChars="200"/>
        <w:rPr>
          <w:rFonts w:hint="eastAsia" w:ascii="宋体" w:hAnsi="宋体" w:cs="宋体"/>
          <w:color w:val="000000" w:themeColor="text1"/>
          <w:szCs w:val="21"/>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2.定义</w:t>
      </w:r>
    </w:p>
    <w:p w14:paraId="7AC93EF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2.1“采购人”是指依法进行采购的国家机关、事业单位、团体组织。</w:t>
      </w:r>
    </w:p>
    <w:p w14:paraId="454D8F68">
      <w:pPr>
        <w:spacing w:line="360" w:lineRule="auto"/>
        <w:ind w:firstLine="420"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2.2“采购代理机构”是指政府采购集中采购机构和集中采购机构以外的采购代理机构。</w:t>
      </w:r>
    </w:p>
    <w:p w14:paraId="07870C3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2.3“供应商”是指向采购人提供货物、工程或者服务的法人、其他组织或者自然人。</w:t>
      </w:r>
    </w:p>
    <w:p w14:paraId="3141935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2.4“货物”是指各种形态和种类的物品，包括原材料、燃料、设备、产品等。</w:t>
      </w:r>
    </w:p>
    <w:p w14:paraId="605B5E3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2.5“竞标”是指按照本项目竞争性谈判公告或者邀请函规定的方式供应商获取谈判文件、提交响应文件并希望获得标的的行为。</w:t>
      </w:r>
    </w:p>
    <w:p w14:paraId="58F7695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2.6“售后服务”是指包含但不限于供应商须承担的备品备件、包装、运输、装卸、保险、货到就位以及安装、调试、培训、保修和其他类似的义务。</w:t>
      </w:r>
    </w:p>
    <w:p w14:paraId="6A25189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2.7“书面形式”是指合同书、信件和数据电文（包括电报、电传、传真、电子数据交换和电子邮件）等可以有形地表现所载内容的形式。</w:t>
      </w:r>
    </w:p>
    <w:p w14:paraId="2C89181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2.8“响应文件”</w:t>
      </w:r>
      <w:r>
        <w:rPr>
          <w:rFonts w:hint="eastAsia" w:ascii="宋体" w:hAnsi="宋体" w:cs="宋体"/>
          <w:color w:val="000000" w:themeColor="text1"/>
          <w:spacing w:val="-6"/>
          <w:szCs w:val="21"/>
          <w:highlight w:val="none"/>
          <w14:textFill>
            <w14:solidFill>
              <w14:schemeClr w14:val="tx1"/>
            </w14:solidFill>
          </w14:textFill>
        </w:rPr>
        <w:t>是指：供应商根据本文件要求，编制包含报价、技术和货物等所有内容的文件。</w:t>
      </w:r>
    </w:p>
    <w:p w14:paraId="4B676C8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2.9“实质性要求”是指采购需求中带“▲”的条款或者不能负偏离的条款或者已经指明不满足按响应文件作无效处理的条款。</w:t>
      </w:r>
    </w:p>
    <w:p w14:paraId="6BFFE19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2.10“正偏离”，是指响应文件对谈判文件“采购需求”中有关条款作出优于条款要求并有利于采购人的响应情形；</w:t>
      </w:r>
    </w:p>
    <w:p w14:paraId="397F899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2.11“负偏离”，是指响应文件对谈判文件“采购需求”中有关条款作出的响应不满足条款要求，导致采购人要求不能得到满足的情形。</w:t>
      </w:r>
    </w:p>
    <w:p w14:paraId="4874159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2.12“允许负偏离的条款”是指采购需求中的不属于“实质性要求”的条款。</w:t>
      </w:r>
    </w:p>
    <w:p w14:paraId="4DB16D1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2.13“首次报价”是指供应商提交的首次响应文件中的竞标报价。</w:t>
      </w:r>
    </w:p>
    <w:p w14:paraId="59399EEC">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3.供应商的资格条件</w:t>
      </w:r>
    </w:p>
    <w:p w14:paraId="2341AD1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供应商的资格条件详见“供应商须知前附表”。</w:t>
      </w:r>
    </w:p>
    <w:p w14:paraId="23AE3B7B">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4.谈判费用</w:t>
      </w:r>
    </w:p>
    <w:p w14:paraId="5540DA6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供应商应承担参与本次采购活动有关的所有费用，包括但不限于、勘查现场、编制和提交响应文件、参加谈判与应答、签订合同等，不论竞标结果如何，均应自行承担。</w:t>
      </w:r>
    </w:p>
    <w:p w14:paraId="41DC422C">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5.联合体竞标</w:t>
      </w:r>
    </w:p>
    <w:p w14:paraId="4607709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5.1本项目是否接受联合体竞标，详见“供应商须知前附表”。</w:t>
      </w:r>
    </w:p>
    <w:p w14:paraId="4C7A47F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5.2</w:t>
      </w:r>
      <w:r>
        <w:rPr>
          <w:rFonts w:hint="eastAsia" w:ascii="宋体" w:hAnsi="宋体"/>
          <w:color w:val="000000" w:themeColor="text1"/>
          <w:highlight w:val="none"/>
          <w14:textFill>
            <w14:solidFill>
              <w14:schemeClr w14:val="tx1"/>
            </w14:solidFill>
          </w14:textFill>
        </w:rPr>
        <w:t>如接受联合体竞标，</w:t>
      </w:r>
      <w:r>
        <w:rPr>
          <w:rFonts w:hint="eastAsia" w:ascii="宋体" w:hAnsi="宋体" w:cs="宋体"/>
          <w:color w:val="000000" w:themeColor="text1"/>
          <w:szCs w:val="21"/>
          <w:highlight w:val="none"/>
          <w14:textFill>
            <w14:solidFill>
              <w14:schemeClr w14:val="tx1"/>
            </w14:solidFill>
          </w14:textFill>
        </w:rPr>
        <w:t>联合体竞标要求详见“供应商须知前附表”。</w:t>
      </w:r>
    </w:p>
    <w:p w14:paraId="2ECE41E1">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5.3</w:t>
      </w:r>
      <w:r>
        <w:rPr>
          <w:rFonts w:hint="eastAsia" w:ascii="宋体" w:hAnsi="宋体"/>
          <w:bCs/>
          <w:color w:val="000000" w:themeColor="text1"/>
          <w:szCs w:val="21"/>
          <w:highlight w:val="none"/>
          <w14:textFill>
            <w14:solidFill>
              <w14:schemeClr w14:val="tx1"/>
            </w14:solidFill>
          </w14:textFill>
        </w:rPr>
        <w:t>根据《政府采购促进中小企业发展管理办法》（财库〔2020〕46号）第九条及《广西壮族自治区财政厅关于持续优化政府采购营商环境推动高质量发展的通知》（桂财采〔2024〕55</w:t>
      </w:r>
      <w:r>
        <w:rPr>
          <w:rFonts w:hint="eastAsia" w:ascii="宋体" w:hAnsi="宋体" w:eastAsia="宋体" w:cs="宋体"/>
          <w:bCs/>
          <w:color w:val="000000" w:themeColor="text1"/>
          <w:szCs w:val="21"/>
          <w:highlight w:val="none"/>
          <w14:textFill>
            <w14:solidFill>
              <w14:schemeClr w14:val="tx1"/>
            </w14:solidFill>
          </w14:textFill>
        </w:rPr>
        <w:t>号）规</w:t>
      </w:r>
      <w:r>
        <w:rPr>
          <w:rFonts w:hint="eastAsia" w:ascii="宋体" w:hAnsi="宋体"/>
          <w:bCs/>
          <w:color w:val="000000" w:themeColor="text1"/>
          <w:szCs w:val="21"/>
          <w:highlight w:val="none"/>
          <w14:textFill>
            <w14:solidFill>
              <w14:schemeClr w14:val="tx1"/>
            </w14:solidFill>
          </w14:textFill>
        </w:rPr>
        <w:t>定，接受大中型企业与小微企业组成联合体的采购项目，对于联合协议约定小微企业的合同份额占到合同总金额30%以上的，采购人、采购代理机构应当对联合体的报价给予4%-6%（工程项目为1%—2%）的扣除，用扣除后的价格参加评审。组成联合体的小微企业与联合体内其他企业、分包企业之间存在直接控股、管理关系的，不享受价格扣除优惠政策。</w:t>
      </w:r>
    </w:p>
    <w:p w14:paraId="1BE4E4D7">
      <w:pPr>
        <w:spacing w:line="360" w:lineRule="auto"/>
        <w:ind w:firstLine="482" w:firstLineChars="200"/>
        <w:rPr>
          <w:rFonts w:hint="eastAsia" w:ascii="黑体" w:hAnsi="黑体" w:eastAsia="黑体" w:cs="宋体"/>
          <w:b/>
          <w:bCs/>
          <w:color w:val="000000" w:themeColor="text1"/>
          <w:sz w:val="24"/>
          <w:highlight w:val="none"/>
          <w:lang w:eastAsia="zh-CN"/>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6.转包与分包</w:t>
      </w:r>
    </w:p>
    <w:p w14:paraId="1317FF9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6.1本项目是否允许分包详见“供应商须知前附表”，本项目不允许违法分包。</w:t>
      </w:r>
    </w:p>
    <w:p w14:paraId="3C2A8EE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6.2</w:t>
      </w:r>
      <w:r>
        <w:rPr>
          <w:rFonts w:hint="eastAsia" w:ascii="宋体" w:hAnsi="宋体"/>
          <w:bCs/>
          <w:color w:val="000000" w:themeColor="text1"/>
          <w:szCs w:val="21"/>
          <w:highlight w:val="none"/>
          <w14:textFill>
            <w14:solidFill>
              <w14:schemeClr w14:val="tx1"/>
            </w14:solidFill>
          </w14:textFill>
        </w:rPr>
        <w:t>根据《政府采购促进中小企业发展</w:t>
      </w:r>
      <w:r>
        <w:rPr>
          <w:rFonts w:hint="eastAsia"/>
          <w:color w:val="000000" w:themeColor="text1"/>
          <w:highlight w:val="none"/>
          <w14:textFill>
            <w14:solidFill>
              <w14:schemeClr w14:val="tx1"/>
            </w14:solidFill>
          </w14:textFill>
        </w:rPr>
        <w:t>管理</w:t>
      </w:r>
      <w:r>
        <w:rPr>
          <w:rFonts w:hint="eastAsia" w:ascii="宋体" w:hAnsi="宋体"/>
          <w:bCs/>
          <w:color w:val="000000" w:themeColor="text1"/>
          <w:szCs w:val="21"/>
          <w:highlight w:val="none"/>
          <w14:textFill>
            <w14:solidFill>
              <w14:schemeClr w14:val="tx1"/>
            </w14:solidFill>
          </w14:textFill>
        </w:rPr>
        <w:t>办法》（财库〔2020〕46号）第九条及《广西壮族自治区财政厅关于持续优化政府采购营商环境推动高质量发展的通知》（桂财采〔2024〕55号</w:t>
      </w:r>
      <w:r>
        <w:rPr>
          <w:rFonts w:hint="eastAsia" w:ascii="仿宋_GB2312" w:hAnsi="Calibri" w:eastAsia="仿宋_GB2312"/>
          <w:color w:val="000000" w:themeColor="text1"/>
          <w:sz w:val="24"/>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规定，允许大中型企业向一家或者多家小微企业分包的采购项目，对于分包意向协议约定小微企业的合同份额占到合同总金额30%以上的，采购人、采购代理机构应当对大中型企业的报价给予4%-6%的扣除，用扣除后的价格参加评审。接受分包的小微企业与分包企业之间存在直接控股、管理关系的，不享受价格扣除优惠政策。</w:t>
      </w:r>
    </w:p>
    <w:p w14:paraId="02FC7846">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bookmarkStart w:id="43" w:name="_Toc254970673"/>
      <w:bookmarkStart w:id="44" w:name="_Toc254970532"/>
      <w:r>
        <w:rPr>
          <w:rFonts w:hint="eastAsia" w:ascii="黑体" w:hAnsi="黑体" w:eastAsia="黑体" w:cs="宋体"/>
          <w:b/>
          <w:bCs/>
          <w:color w:val="000000" w:themeColor="text1"/>
          <w:sz w:val="24"/>
          <w:highlight w:val="none"/>
          <w14:textFill>
            <w14:solidFill>
              <w14:schemeClr w14:val="tx1"/>
            </w14:solidFill>
          </w14:textFill>
        </w:rPr>
        <w:t>7.特别说明</w:t>
      </w:r>
      <w:bookmarkEnd w:id="43"/>
      <w:bookmarkEnd w:id="44"/>
    </w:p>
    <w:p w14:paraId="12E4798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bookmarkStart w:id="45" w:name="_8.1提供相同品牌产品且通过资格审查、符合性审查的不同投标人参加同一合"/>
      <w:bookmarkEnd w:id="45"/>
      <w:r>
        <w:rPr>
          <w:rFonts w:hint="eastAsia" w:ascii="宋体" w:hAnsi="宋体" w:cs="宋体"/>
          <w:color w:val="000000" w:themeColor="text1"/>
          <w:szCs w:val="21"/>
          <w:highlight w:val="none"/>
          <w14:textFill>
            <w14:solidFill>
              <w14:schemeClr w14:val="tx1"/>
            </w14:solidFill>
          </w14:textFill>
        </w:rPr>
        <w:t>7.1如果本谈判文件要求提供供应商或制造商的资格、信誉、荣誉、业绩与企业认证等材料的，资格、信誉、荣誉、业绩与企业认证等必须为供应商或者制造商所拥有或自身获得。</w:t>
      </w:r>
    </w:p>
    <w:p w14:paraId="746E59C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7.2供应商应仔细阅读谈判文件的所有内容，按照谈判文件的要求提交响应文件，并对所提供的全部资料的真实性承担法律责任。</w:t>
      </w:r>
    </w:p>
    <w:p w14:paraId="59EFBAA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7.3供应商在竞标活动中提供任何虚假材料,其响应文件作无效处理，并报监管部门查处；签订合同后发现的,成交供应商须依照《中华人民共和国消费者权益保护法》规定赔偿采购人，且民事赔偿并不免除违法供应商的行政与刑事责任。</w:t>
      </w:r>
    </w:p>
    <w:p w14:paraId="35636BF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7.4在政府采购活动中，采购人员及相关人员与供应商有下列利害关系之一的，应当回避：</w:t>
      </w:r>
    </w:p>
    <w:p w14:paraId="1B801A2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（1）参加采购活动前3年内与供应商存在劳动关系；</w:t>
      </w:r>
    </w:p>
    <w:p w14:paraId="3DAA2F7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（2）参加采购活动前3年内担任供应商的董事、监事；</w:t>
      </w:r>
    </w:p>
    <w:p w14:paraId="38D780A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（3）参加采购活动前3年内是供应商的控股股东或者实际控制人；</w:t>
      </w:r>
    </w:p>
    <w:p w14:paraId="57F488F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（4）与供应商的法定代表人或者负责人有夫妻、直系血亲、三代以内旁系血亲或者近姻亲关系；</w:t>
      </w:r>
    </w:p>
    <w:p w14:paraId="7F6F034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（5）与供应商有其他可能影响政府采购活动公平、公正进行的关系。</w:t>
      </w:r>
    </w:p>
    <w:p w14:paraId="2AA7F60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6E62A7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7.5有下列情形之一的，响应文件将被视为无效：</w:t>
      </w:r>
    </w:p>
    <w:p w14:paraId="0FCF708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（1）不同供应商的响应文件由同一单位或者个人编制；或者不同供应商报名的IP地址一致的；或者编制响应文件硬件设备CPU编号、硬盘编号、网卡地址一致的情况。</w:t>
      </w:r>
      <w:r>
        <w:rPr>
          <w:rFonts w:hint="eastAsia" w:hAnsi="宋体"/>
          <w:b/>
          <w:color w:val="000000" w:themeColor="text1"/>
          <w:highlight w:val="none"/>
          <w14:textFill>
            <w14:solidFill>
              <w14:schemeClr w14:val="tx1"/>
            </w14:solidFill>
          </w14:textFill>
        </w:rPr>
        <w:t>（供应商IP地址、硬件设备</w:t>
      </w:r>
      <w:r>
        <w:rPr>
          <w:rFonts w:hAnsi="宋体"/>
          <w:b/>
          <w:color w:val="000000" w:themeColor="text1"/>
          <w:highlight w:val="none"/>
          <w14:textFill>
            <w14:solidFill>
              <w14:schemeClr w14:val="tx1"/>
            </w14:solidFill>
          </w14:textFill>
        </w:rPr>
        <w:t>CPU</w:t>
      </w:r>
      <w:r>
        <w:rPr>
          <w:rFonts w:hint="eastAsia" w:hAnsi="宋体"/>
          <w:b/>
          <w:color w:val="000000" w:themeColor="text1"/>
          <w:highlight w:val="none"/>
          <w14:textFill>
            <w14:solidFill>
              <w14:schemeClr w14:val="tx1"/>
            </w14:solidFill>
          </w14:textFill>
        </w:rPr>
        <w:t>编号、硬盘编号、网卡地址等数据相似异常以广西政府采购云平台解密文件后信息提示为准）</w:t>
      </w:r>
    </w:p>
    <w:p w14:paraId="5A52F70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（2）不同供应商委托同一单位或者个人办理竞标事宜；</w:t>
      </w:r>
    </w:p>
    <w:p w14:paraId="236FAE0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（3）不同的供应商的响应文件载明的项目管理员为同一个人；</w:t>
      </w:r>
    </w:p>
    <w:p w14:paraId="7F5FE91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（4）不同供应商的响应文件异常一致或者报价呈规律性差异；</w:t>
      </w:r>
    </w:p>
    <w:p w14:paraId="491C912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（5）不同供应商的响应文件相互混装；</w:t>
      </w:r>
    </w:p>
    <w:p w14:paraId="7D67079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（6）不同供应商的竞标保证金从同一单位或者个人账户转出。</w:t>
      </w:r>
    </w:p>
    <w:p w14:paraId="428E653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7.6供应商有下列情形之一的，属于恶意串通行为</w:t>
      </w:r>
      <w:bookmarkStart w:id="46" w:name="_Hlk54682620"/>
      <w:r>
        <w:rPr>
          <w:rFonts w:hint="eastAsia" w:ascii="宋体" w:hAnsi="宋体" w:cs="宋体"/>
          <w:color w:val="000000" w:themeColor="text1"/>
          <w:szCs w:val="21"/>
          <w:highlight w:val="none"/>
          <w14:textFill>
            <w14:solidFill>
              <w14:schemeClr w14:val="tx1"/>
            </w14:solidFill>
          </w14:textFill>
        </w:rPr>
        <w:t>，将报同级监督管理部门</w:t>
      </w:r>
      <w:bookmarkEnd w:id="46"/>
      <w:r>
        <w:rPr>
          <w:rFonts w:hint="eastAsia" w:ascii="宋体" w:hAnsi="宋体" w:cs="宋体"/>
          <w:color w:val="000000" w:themeColor="text1"/>
          <w:szCs w:val="21"/>
          <w:highlight w:val="none"/>
          <w14:textFill>
            <w14:solidFill>
              <w14:schemeClr w14:val="tx1"/>
            </w14:solidFill>
          </w14:textFill>
        </w:rPr>
        <w:t>：</w:t>
      </w:r>
    </w:p>
    <w:p w14:paraId="0306059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（1）供应商直接或者间接从采购人或者采购代理机构处获得其他供应商的相关信息并修改其响应文件；</w:t>
      </w:r>
    </w:p>
    <w:p w14:paraId="22E4334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（2）供应商按照采购人或者采购代理机构的授意撤换、修改响应文件；</w:t>
      </w:r>
    </w:p>
    <w:p w14:paraId="113E67C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（3）供应商之间协商报价、技术方案等响应文件或者响应文件的实质性内容；</w:t>
      </w:r>
    </w:p>
    <w:p w14:paraId="2412D8B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143FE88B">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（5）供应商之间事先约定一致抬高或者压低报价,或者在政府采购活动中事先约定轮流以高价位或</w:t>
      </w:r>
      <w:r>
        <w:rPr>
          <w:rFonts w:hint="eastAsia" w:ascii="宋体" w:hAnsi="宋体" w:eastAsia="宋体" w:cs="宋体"/>
          <w:color w:val="000000" w:themeColor="text1"/>
          <w:szCs w:val="21"/>
          <w:highlight w:val="none"/>
          <w14:textFill>
            <w14:solidFill>
              <w14:schemeClr w14:val="tx1"/>
            </w14:solidFill>
          </w14:textFill>
        </w:rPr>
        <w:t>者低价位成交,或者事先约定由某一特定供应商成交,然后再参加竞标；</w:t>
      </w:r>
    </w:p>
    <w:p w14:paraId="4D246584">
      <w:p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（6）供应商之间商定部分供应商放弃参加政府采购活动或者放弃成交；</w:t>
      </w:r>
    </w:p>
    <w:p w14:paraId="00FBBFD8">
      <w:pPr>
        <w:spacing w:line="360" w:lineRule="auto"/>
        <w:ind w:firstLine="420" w:firstLineChars="200"/>
        <w:rPr>
          <w:rFonts w:hint="eastAsia"/>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（7）供应商与</w:t>
      </w:r>
      <w:r>
        <w:rPr>
          <w:rFonts w:hint="eastAsia"/>
          <w:color w:val="000000" w:themeColor="text1"/>
          <w:highlight w:val="none"/>
          <w14:textFill>
            <w14:solidFill>
              <w14:schemeClr w14:val="tx1"/>
            </w14:solidFill>
          </w14:textFill>
        </w:rPr>
        <w:t>采购人或者采购代理机构之间、供应商相互之间，为谋求特定供应商成交或者排斥其他供应商的其他串通行为。</w:t>
      </w:r>
      <w:bookmarkStart w:id="47" w:name="_Toc254970534"/>
      <w:bookmarkStart w:id="48" w:name="_Toc254970675"/>
    </w:p>
    <w:p w14:paraId="4484198C">
      <w:pPr>
        <w:pStyle w:val="7"/>
        <w:spacing w:line="360" w:lineRule="auto"/>
        <w:rPr>
          <w:b/>
          <w:bCs/>
          <w:color w:val="000000" w:themeColor="text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7.</w:t>
      </w:r>
      <w:r>
        <w:rPr>
          <w:rFonts w:hint="eastAsia" w:ascii="宋体" w:hAnsi="宋体" w:cs="宋体"/>
          <w:b/>
          <w:bCs/>
          <w:color w:val="000000" w:themeColor="text1"/>
          <w:szCs w:val="21"/>
          <w:highlight w:val="none"/>
          <w:lang w:val="en-US" w:eastAsia="zh-CN"/>
          <w14:textFill>
            <w14:solidFill>
              <w14:schemeClr w14:val="tx1"/>
            </w14:solidFill>
          </w14:textFill>
        </w:rPr>
        <w:t>7</w:t>
      </w:r>
      <w:r>
        <w:rPr>
          <w:rFonts w:hint="eastAsia"/>
          <w:b/>
          <w:bCs/>
          <w:color w:val="000000" w:themeColor="text1"/>
          <w:highlight w:val="none"/>
          <w14:textFill>
            <w14:solidFill>
              <w14:schemeClr w14:val="tx1"/>
            </w14:solidFill>
          </w14:textFill>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AD4DA31">
      <w:pPr>
        <w:pStyle w:val="7"/>
        <w:spacing w:line="360" w:lineRule="auto"/>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产品在中国境内生产的组件成本占比应当达到规定比例，计算公式为：</w:t>
      </w:r>
    </w:p>
    <w:p w14:paraId="72C34478">
      <w:pPr>
        <w:widowControl/>
        <w:shd w:val="clear" w:color="auto" w:fill="FFFFFF"/>
        <w:spacing w:before="30" w:after="30"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ascii="宋体" w:hAnsi="宋体" w:cs="宋体"/>
          <w:b/>
          <w:bCs/>
          <w:color w:val="000000" w:themeColor="text1"/>
          <w:kern w:val="0"/>
          <w:sz w:val="24"/>
          <w:highlight w:val="none"/>
          <w14:textFill>
            <w14:solidFill>
              <w14:schemeClr w14:val="tx1"/>
            </w14:solidFill>
          </w14:textFill>
        </w:rPr>
        <w:drawing>
          <wp:inline distT="0" distB="0" distL="114300" distR="114300">
            <wp:extent cx="4827905" cy="762635"/>
            <wp:effectExtent l="0" t="0" r="10795" b="184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4827905" cy="762635"/>
                    </a:xfrm>
                    <a:prstGeom prst="rect">
                      <a:avLst/>
                    </a:prstGeom>
                    <a:noFill/>
                    <a:ln>
                      <a:noFill/>
                    </a:ln>
                  </pic:spPr>
                </pic:pic>
              </a:graphicData>
            </a:graphic>
          </wp:inline>
        </w:drawing>
      </w:r>
    </w:p>
    <w:p w14:paraId="4826920D">
      <w:pPr>
        <w:pStyle w:val="7"/>
        <w:spacing w:line="360" w:lineRule="auto"/>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ABDCA47">
      <w:pPr>
        <w:pStyle w:val="7"/>
        <w:spacing w:line="360" w:lineRule="auto"/>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086085D9">
      <w:pPr>
        <w:spacing w:line="360" w:lineRule="auto"/>
        <w:ind w:firstLine="422" w:firstLineChars="200"/>
        <w:rPr>
          <w:rFonts w:hint="eastAsia"/>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B118E1B">
      <w:pPr>
        <w:pStyle w:val="4"/>
        <w:spacing w:before="0" w:after="0" w:line="360" w:lineRule="auto"/>
        <w:ind w:firstLine="640" w:firstLineChars="200"/>
        <w:rPr>
          <w:rFonts w:ascii="宋体" w:hAnsi="宋体"/>
          <w:b w:val="0"/>
          <w:bCs w:val="0"/>
          <w:color w:val="000000" w:themeColor="text1"/>
          <w:highlight w:val="none"/>
          <w14:textFill>
            <w14:solidFill>
              <w14:schemeClr w14:val="tx1"/>
            </w14:solidFill>
          </w14:textFill>
        </w:rPr>
      </w:pPr>
      <w:bookmarkStart w:id="49" w:name="_Toc10951"/>
      <w:r>
        <w:rPr>
          <w:rFonts w:hint="eastAsia" w:ascii="宋体" w:hAnsi="宋体"/>
          <w:b w:val="0"/>
          <w:bCs w:val="0"/>
          <w:color w:val="000000" w:themeColor="text1"/>
          <w:highlight w:val="none"/>
          <w14:textFill>
            <w14:solidFill>
              <w14:schemeClr w14:val="tx1"/>
            </w14:solidFill>
          </w14:textFill>
        </w:rPr>
        <w:t>二、谈判文件</w:t>
      </w:r>
      <w:bookmarkEnd w:id="47"/>
      <w:bookmarkEnd w:id="48"/>
      <w:bookmarkEnd w:id="49"/>
    </w:p>
    <w:p w14:paraId="5931380F">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8.谈判文件的构成</w:t>
      </w:r>
    </w:p>
    <w:p w14:paraId="45EE52E1">
      <w:pPr>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第一章竞争性谈判公告；</w:t>
      </w:r>
    </w:p>
    <w:p w14:paraId="6C6CDF48">
      <w:pPr>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第二章采购需求；</w:t>
      </w:r>
    </w:p>
    <w:p w14:paraId="596B0979">
      <w:pPr>
        <w:spacing w:line="360" w:lineRule="auto"/>
        <w:ind w:firstLine="420" w:firstLineChars="20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第三章供应商须知；</w:t>
      </w:r>
    </w:p>
    <w:p w14:paraId="21429CA5">
      <w:pPr>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第四章评审程序、评审方法和成交标准；</w:t>
      </w:r>
    </w:p>
    <w:p w14:paraId="50D643F2">
      <w:pPr>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第五章响应文件格式；</w:t>
      </w:r>
    </w:p>
    <w:p w14:paraId="247B5A96">
      <w:pPr>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第六章合同文本；</w:t>
      </w:r>
    </w:p>
    <w:p w14:paraId="0F42672B">
      <w:pPr>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第七章质疑、投诉材料格式。</w:t>
      </w:r>
    </w:p>
    <w:p w14:paraId="7565C5F1">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9.供应商的询问</w:t>
      </w:r>
    </w:p>
    <w:p w14:paraId="4F1CC517">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供应商应认真阅读谈判文件的采购需求，如供应商对谈判文件有疑问的，如要求采购人作出澄清或者修改的，供应商尽应在提交首次响应文件截止之日前，以书面形式向采购人、采购代理机构提出。</w:t>
      </w:r>
    </w:p>
    <w:p w14:paraId="7BC32F5C">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10.谈判文件的澄清和修改</w:t>
      </w:r>
    </w:p>
    <w:p w14:paraId="63C5A48C">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10.1已获取谈判文件的潜在供应商，若有问题需要澄清，应于应标截止时间前，以书面形式向采购代理机构提出，采购代理机构与采购人研究后，对认为有必要回答的问题，按照本章10.3的内容处理。</w:t>
      </w:r>
    </w:p>
    <w:p w14:paraId="2EB02799">
      <w:pPr>
        <w:spacing w:line="360" w:lineRule="auto"/>
        <w:ind w:firstLine="422"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4C39F68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书面形式（目前为网上公告和系统短信等形式）通知所有获取谈判文件的供应商，不足3个工作日的，应当顺延提交首次响应文件截止之日。</w:t>
      </w:r>
    </w:p>
    <w:p w14:paraId="75B2B8DA">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10.4</w:t>
      </w:r>
      <w:r>
        <w:rPr>
          <w:rFonts w:hint="eastAsia" w:ascii="Arial" w:hAnsi="Arial" w:cs="Arial"/>
          <w:color w:val="000000" w:themeColor="text1"/>
          <w:highlight w:val="none"/>
          <w:shd w:val="clear" w:color="auto" w:fill="FFFFFF"/>
          <w14:textFill>
            <w14:solidFill>
              <w14:schemeClr w14:val="tx1"/>
            </w14:solidFill>
          </w14:textFill>
        </w:rPr>
        <w:t>采购信息更正公告的内容应当包括采购人和采购代理机构名称、地址、联系方式，原公告的采购项目名称及首次公告日期，更正事项、内容及日期，采购项目联系人和电话。</w:t>
      </w:r>
    </w:p>
    <w:p w14:paraId="41697419">
      <w:pPr>
        <w:spacing w:line="360" w:lineRule="auto"/>
        <w:ind w:firstLine="420" w:firstLineChars="200"/>
        <w:rPr>
          <w:rFonts w:hint="eastAsia"/>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10.5</w:t>
      </w:r>
      <w:r>
        <w:rPr>
          <w:rFonts w:hint="eastAsia"/>
          <w:color w:val="000000" w:themeColor="text1"/>
          <w:highlight w:val="none"/>
          <w14:textFill>
            <w14:solidFill>
              <w14:schemeClr w14:val="tx1"/>
            </w14:solidFill>
          </w14:textFill>
        </w:rPr>
        <w:t>采购人和采购代理机构可以视采购具体情况，变更</w:t>
      </w:r>
      <w:r>
        <w:rPr>
          <w:rFonts w:hint="eastAsia" w:hAnsi="宋体"/>
          <w:color w:val="000000" w:themeColor="text1"/>
          <w:highlight w:val="none"/>
          <w14:textFill>
            <w14:solidFill>
              <w14:schemeClr w14:val="tx1"/>
            </w14:solidFill>
          </w14:textFill>
        </w:rPr>
        <w:t>提交首次响应文件</w:t>
      </w:r>
      <w:r>
        <w:rPr>
          <w:rFonts w:hint="eastAsia"/>
          <w:color w:val="000000" w:themeColor="text1"/>
          <w:highlight w:val="none"/>
          <w14:textFill>
            <w14:solidFill>
              <w14:schemeClr w14:val="tx1"/>
            </w14:solidFill>
          </w14:textFill>
        </w:rPr>
        <w:t>截止时间和竞谈时间，将变更时间将在</w:t>
      </w:r>
      <w:r>
        <w:rPr>
          <w:rFonts w:hint="eastAsia" w:hAnsi="宋体"/>
          <w:color w:val="000000" w:themeColor="text1"/>
          <w:highlight w:val="none"/>
          <w14:textFill>
            <w14:solidFill>
              <w14:schemeClr w14:val="tx1"/>
            </w14:solidFill>
          </w14:textFill>
        </w:rPr>
        <w:t>“采购文件公告”中“七、其他补充事宜</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网上查询地址”</w:t>
      </w:r>
      <w:r>
        <w:rPr>
          <w:rFonts w:hint="eastAsia" w:cs="宋体"/>
          <w:color w:val="000000" w:themeColor="text1"/>
          <w:highlight w:val="none"/>
          <w14:textFill>
            <w14:solidFill>
              <w14:schemeClr w14:val="tx1"/>
            </w14:solidFill>
          </w14:textFill>
        </w:rPr>
        <w:t>规定的政府采购信息发布媒体上</w:t>
      </w:r>
      <w:r>
        <w:rPr>
          <w:rFonts w:hint="eastAsia"/>
          <w:color w:val="000000" w:themeColor="text1"/>
          <w:highlight w:val="none"/>
          <w14:textFill>
            <w14:solidFill>
              <w14:schemeClr w14:val="tx1"/>
            </w14:solidFill>
          </w14:textFill>
        </w:rPr>
        <w:t>发布更正公告。</w:t>
      </w:r>
    </w:p>
    <w:p w14:paraId="64DD87AC">
      <w:pPr>
        <w:spacing w:line="360" w:lineRule="auto"/>
        <w:ind w:firstLine="400" w:firstLineChars="200"/>
        <w:rPr>
          <w:rFonts w:ascii="宋体" w:hAnsi="Courier New"/>
          <w:color w:val="000000" w:themeColor="text1"/>
          <w:kern w:val="0"/>
          <w:sz w:val="20"/>
          <w:szCs w:val="21"/>
          <w:highlight w:val="none"/>
          <w14:textFill>
            <w14:solidFill>
              <w14:schemeClr w14:val="tx1"/>
            </w14:solidFill>
          </w14:textFill>
        </w:rPr>
      </w:pPr>
      <w:r>
        <w:rPr>
          <w:rFonts w:hint="eastAsia" w:ascii="宋体" w:hAnsi="Courier New"/>
          <w:color w:val="000000" w:themeColor="text1"/>
          <w:kern w:val="0"/>
          <w:sz w:val="20"/>
          <w:szCs w:val="21"/>
          <w:highlight w:val="none"/>
          <w14:textFill>
            <w14:solidFill>
              <w14:schemeClr w14:val="tx1"/>
            </w14:solidFill>
          </w14:textFill>
        </w:rPr>
        <w:t>▲</w:t>
      </w:r>
      <w:r>
        <w:rPr>
          <w:rFonts w:hint="eastAsia" w:ascii="宋体" w:hAnsi="Courier New"/>
          <w:b/>
          <w:color w:val="000000" w:themeColor="text1"/>
          <w:kern w:val="0"/>
          <w:sz w:val="20"/>
          <w:szCs w:val="21"/>
          <w:highlight w:val="none"/>
          <w14:textFill>
            <w14:solidFill>
              <w14:schemeClr w14:val="tx1"/>
            </w14:solidFill>
          </w14:textFill>
        </w:rPr>
        <w:t>响应文件未按谈判文件的澄清、修改的内容编制，又不符合实质性要求的，其响应文件作无效处理。</w:t>
      </w:r>
    </w:p>
    <w:p w14:paraId="1CAD649D">
      <w:pPr>
        <w:pStyle w:val="4"/>
        <w:spacing w:before="0" w:after="0" w:line="360" w:lineRule="auto"/>
        <w:ind w:firstLine="640" w:firstLineChars="200"/>
        <w:rPr>
          <w:rFonts w:hint="eastAsia" w:ascii="宋体" w:hAnsi="宋体"/>
          <w:b w:val="0"/>
          <w:bCs w:val="0"/>
          <w:color w:val="000000" w:themeColor="text1"/>
          <w:highlight w:val="none"/>
          <w14:textFill>
            <w14:solidFill>
              <w14:schemeClr w14:val="tx1"/>
            </w14:solidFill>
          </w14:textFill>
        </w:rPr>
      </w:pPr>
      <w:bookmarkStart w:id="50" w:name="_Toc9356"/>
      <w:r>
        <w:rPr>
          <w:rFonts w:hint="eastAsia" w:ascii="宋体" w:hAnsi="宋体"/>
          <w:b w:val="0"/>
          <w:bCs w:val="0"/>
          <w:color w:val="000000" w:themeColor="text1"/>
          <w:highlight w:val="none"/>
          <w14:textFill>
            <w14:solidFill>
              <w14:schemeClr w14:val="tx1"/>
            </w14:solidFill>
          </w14:textFill>
        </w:rPr>
        <w:t>三、响应文件的编制</w:t>
      </w:r>
      <w:bookmarkEnd w:id="50"/>
    </w:p>
    <w:p w14:paraId="2BDBB3CE">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11.响应文件的编制原则</w:t>
      </w:r>
    </w:p>
    <w:p w14:paraId="74687AF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供应商必须按照谈判文件的要求编制响应文件，并对其提交的响应文件的真实性、合法性承担法律责任。响应文件必须对谈判文件作出实质性响应。</w:t>
      </w:r>
    </w:p>
    <w:p w14:paraId="7D85EE82">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12.响应文件的组成</w:t>
      </w:r>
    </w:p>
    <w:p w14:paraId="6943065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12.1响应文件由资格证明文件、报价文件、商务和技术文件三部分组成。</w:t>
      </w:r>
    </w:p>
    <w:p w14:paraId="1BBC1F59">
      <w:pPr>
        <w:spacing w:line="360" w:lineRule="auto"/>
        <w:ind w:left="420" w:leftChars="20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12.1.1资格证明文件：详见须知前附表</w:t>
      </w:r>
    </w:p>
    <w:p w14:paraId="6D4C343F">
      <w:pPr>
        <w:spacing w:line="360" w:lineRule="auto"/>
        <w:ind w:left="420" w:leftChars="20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12.1.2商务技术文件：详见须知前附表</w:t>
      </w:r>
    </w:p>
    <w:p w14:paraId="152A1641">
      <w:pPr>
        <w:spacing w:line="360" w:lineRule="auto"/>
        <w:ind w:left="420" w:leftChars="20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12.1.3报价文件：详见须知前附表</w:t>
      </w:r>
    </w:p>
    <w:p w14:paraId="0175F110">
      <w:pPr>
        <w:spacing w:line="360" w:lineRule="auto"/>
        <w:ind w:left="420" w:leftChars="20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12.2响应文件电子版：详见须知前附表</w:t>
      </w:r>
    </w:p>
    <w:p w14:paraId="6829ECF3">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13.计量单位</w:t>
      </w:r>
    </w:p>
    <w:p w14:paraId="59CCE39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谈判文件已有明确规定的，使用谈判文件规定的计量单位；谈判文件没有规定的，应采用中华人民共和国法定计量单位，货币种类为人民币，否则视同未响应。</w:t>
      </w:r>
    </w:p>
    <w:p w14:paraId="48AB9417">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14.竞标的风险</w:t>
      </w:r>
    </w:p>
    <w:p w14:paraId="59182FF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供应商没有按照谈判文件要求提供全部资料，或者供应商没有对谈判文件在各方面作出实质性响应可能导致其响应无效，是供应商应当考虑的风险。</w:t>
      </w:r>
    </w:p>
    <w:p w14:paraId="45DA6498">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15.响应报价要求和构成</w:t>
      </w:r>
    </w:p>
    <w:p w14:paraId="7DAF3223">
      <w:pPr>
        <w:tabs>
          <w:tab w:val="left" w:pos="2492"/>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15.1响应报价应按“第五章响应文件格式”中“响应报价表”格式填写。</w:t>
      </w:r>
    </w:p>
    <w:p w14:paraId="6CA7D852">
      <w:pPr>
        <w:tabs>
          <w:tab w:val="left" w:pos="2492"/>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15.2响应报价的价格构成见“供应商须知前附表”。</w:t>
      </w:r>
    </w:p>
    <w:p w14:paraId="36259A3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15.3响应报价要求</w:t>
      </w:r>
    </w:p>
    <w:p w14:paraId="4BCFFCC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15.3.1供应商的响应报价应符合以下要求，否则响应文件按无效响应处理：</w:t>
      </w:r>
    </w:p>
    <w:p w14:paraId="2A4EFF56">
      <w:pPr>
        <w:spacing w:line="360" w:lineRule="auto"/>
        <w:ind w:left="420" w:left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（1）供应商必须就“采购需求”中所竞标的每个分标的全部内容分别作完整唯一总价报价，不得存在漏项报价；</w:t>
      </w:r>
    </w:p>
    <w:p w14:paraId="1B2601D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（2）供应商必须就所竞标的分标的单项内容作唯一报价。</w:t>
      </w:r>
    </w:p>
    <w:p w14:paraId="7E95DA3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15.3.2响应报价（包含首次报价、最后报价）超过所竞标分标规定的采购预算金额或者最高限价的，其响应文件将作无效处理。</w:t>
      </w:r>
    </w:p>
    <w:p w14:paraId="37A16AA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15.3.3</w:t>
      </w:r>
      <w:bookmarkStart w:id="51" w:name="_Hlk42592874"/>
      <w:r>
        <w:rPr>
          <w:rFonts w:hint="eastAsia" w:ascii="宋体" w:hAnsi="宋体" w:cs="宋体"/>
          <w:color w:val="000000" w:themeColor="text1"/>
          <w:szCs w:val="21"/>
          <w:highlight w:val="none"/>
          <w14:textFill>
            <w14:solidFill>
              <w14:schemeClr w14:val="tx1"/>
            </w14:solidFill>
          </w14:textFill>
        </w:rPr>
        <w:t>响应报价（包含首次报价、最后报价）超过分项采购预算金额或者最高限价的，其响应文件将作无效处理。</w:t>
      </w:r>
    </w:p>
    <w:bookmarkEnd w:id="51"/>
    <w:p w14:paraId="75397011">
      <w:pPr>
        <w:spacing w:line="360" w:lineRule="auto"/>
        <w:ind w:firstLine="482" w:firstLineChars="200"/>
        <w:rPr>
          <w:rFonts w:hint="eastAsia" w:ascii="黑体" w:hAnsi="黑体" w:eastAsia="黑体" w:cs="宋体"/>
          <w:b/>
          <w:bCs/>
          <w:color w:val="000000" w:themeColor="text1"/>
          <w:sz w:val="24"/>
          <w:highlight w:val="none"/>
          <w:lang w:val="en-US" w:eastAsia="zh-CN"/>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16.竞标有效期</w:t>
      </w:r>
      <w:r>
        <w:rPr>
          <w:rFonts w:hint="eastAsia" w:ascii="黑体" w:hAnsi="黑体" w:eastAsia="黑体" w:cs="宋体"/>
          <w:b/>
          <w:bCs/>
          <w:color w:val="000000" w:themeColor="text1"/>
          <w:sz w:val="24"/>
          <w:highlight w:val="none"/>
          <w:lang w:val="en-US" w:eastAsia="zh-CN"/>
          <w14:textFill>
            <w14:solidFill>
              <w14:schemeClr w14:val="tx1"/>
            </w14:solidFill>
          </w14:textFill>
        </w:rPr>
        <w:t xml:space="preserve"> </w:t>
      </w:r>
    </w:p>
    <w:p w14:paraId="4E45FF6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16.1竞标有效期是指为保证采购人有足够的时间在提交响应文件后完成评审、确定成交供应商、合同签订等工作而要求供应商提交的响应文件在一定时间内保持有效的期限。</w:t>
      </w:r>
    </w:p>
    <w:p w14:paraId="32CB780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16.2竞标有效期应由供应商按“供应商须知前附表”规定的期限作出响应。</w:t>
      </w:r>
    </w:p>
    <w:p w14:paraId="1B59A4F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16.3供应商的响应文件在竞标有效期内均保持有效。</w:t>
      </w:r>
    </w:p>
    <w:p w14:paraId="257F6DD9">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17.谈判保证金</w:t>
      </w:r>
    </w:p>
    <w:p w14:paraId="278C575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详见“供应商须知前附表”。</w:t>
      </w:r>
    </w:p>
    <w:p w14:paraId="466242A7">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18.响应文件编制的要求</w:t>
      </w:r>
    </w:p>
    <w:p w14:paraId="1936047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18.1各供应商在编制响应文件时请按照谈判文件“第五章响应文件格式”规定的格式进行，混乱的编排导致响应文件被误读或谈判小组查找不到有效文件是供应商的风险。不完整、编排混乱导致响应文件被误读、漏读或者查找不到相关内容的，</w:t>
      </w:r>
      <w:r>
        <w:rPr>
          <w:rFonts w:hint="eastAsia" w:ascii="宋体" w:hAnsi="宋体" w:cs="宋体"/>
          <w:color w:val="000000" w:themeColor="text1"/>
          <w:highlight w:val="none"/>
          <w14:textFill>
            <w14:solidFill>
              <w14:schemeClr w14:val="tx1"/>
            </w14:solidFill>
          </w14:textFill>
        </w:rPr>
        <w:t>由此引发的</w:t>
      </w:r>
      <w:r>
        <w:rPr>
          <w:rFonts w:hint="eastAsia" w:ascii="宋体" w:hAnsi="宋体" w:cs="宋体"/>
          <w:color w:val="000000" w:themeColor="text1"/>
          <w:szCs w:val="21"/>
          <w:highlight w:val="none"/>
          <w14:textFill>
            <w14:solidFill>
              <w14:schemeClr w14:val="tx1"/>
            </w14:solidFill>
          </w14:textFill>
        </w:rPr>
        <w:t>后果由供应商承担。</w:t>
      </w:r>
    </w:p>
    <w:p w14:paraId="1589961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18.2响应文件应按资格证明、报价分别编制，商务技术文件合并编制，本谈判只接收电子版响应文件，要求见本章“12.2响应文件电子版要求”。</w:t>
      </w:r>
    </w:p>
    <w:p w14:paraId="7ACBAC8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w:t>
      </w:r>
      <w:bookmarkStart w:id="52" w:name="_Hlk65832699"/>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响应文件须由供应商在</w:t>
      </w:r>
      <w:r>
        <w:rPr>
          <w:rFonts w:hint="eastAsia" w:ascii="宋体" w:hAnsi="宋体" w:cs="仿宋_GB2312"/>
          <w:color w:val="000000" w:themeColor="text1"/>
          <w:kern w:val="0"/>
          <w:szCs w:val="21"/>
          <w:highlight w:val="none"/>
          <w:lang w:val="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第五章响应文件格式</w:t>
      </w:r>
      <w:r>
        <w:rPr>
          <w:rFonts w:hint="eastAsia" w:ascii="宋体" w:hAnsi="宋体" w:cs="仿宋_GB2312"/>
          <w:color w:val="000000" w:themeColor="text1"/>
          <w:kern w:val="0"/>
          <w:szCs w:val="21"/>
          <w:highlight w:val="none"/>
          <w:lang w:val="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规定位置</w:t>
      </w:r>
      <w:r>
        <w:rPr>
          <w:rFonts w:hint="eastAsia" w:ascii="宋体" w:hAnsi="宋体" w:cs="仿宋_GB2312"/>
          <w:color w:val="000000" w:themeColor="text1"/>
          <w:szCs w:val="21"/>
          <w:highlight w:val="none"/>
          <w14:textFill>
            <w14:solidFill>
              <w14:schemeClr w14:val="tx1"/>
            </w14:solidFill>
          </w14:textFill>
        </w:rPr>
        <w:t>进行签署、盖章</w:t>
      </w:r>
      <w:bookmarkEnd w:id="52"/>
      <w:r>
        <w:rPr>
          <w:rFonts w:hint="eastAsia" w:ascii="宋体" w:hAnsi="宋体" w:cs="宋体"/>
          <w:color w:val="000000" w:themeColor="text1"/>
          <w:szCs w:val="21"/>
          <w:highlight w:val="none"/>
          <w14:textFill>
            <w14:solidFill>
              <w14:schemeClr w14:val="tx1"/>
            </w14:solidFill>
          </w14:textFill>
        </w:rPr>
        <w:t>，否则其响应文件按无效响应处理。骑缝盖公章不视为在规定位置盖章。</w:t>
      </w:r>
    </w:p>
    <w:p w14:paraId="4ED2FD9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18.4响应文件中标注的供应商名称应与营业执照（事业单位法人证书、执业许可证、自然人身份证）及电子公章一致，否则其响应文件按无效响应处理。</w:t>
      </w:r>
    </w:p>
    <w:p w14:paraId="6F55302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18.5响应文件应避免涂改、行间插字或者删除，否则其响应文件按无效响应处理。</w:t>
      </w:r>
    </w:p>
    <w:p w14:paraId="410B6E93">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19.响应文件的密封和标记</w:t>
      </w:r>
    </w:p>
    <w:p w14:paraId="5D9CEA9C">
      <w:pPr>
        <w:spacing w:line="360" w:lineRule="auto"/>
        <w:ind w:firstLine="420" w:firstLineChars="200"/>
        <w:rPr>
          <w:rFonts w:hint="eastAsia" w:ascii="宋体" w:hAnsi="宋体" w:cs="仿宋_GB2312"/>
          <w:color w:val="000000" w:themeColor="text1"/>
          <w:kern w:val="0"/>
          <w:szCs w:val="21"/>
          <w:highlight w:val="none"/>
          <w:lang w:val="zh-CN"/>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19.1供应商进行电子交易应安装客户端软件—“</w:t>
      </w:r>
      <w:r>
        <w:rPr>
          <w:rFonts w:hint="eastAsia" w:ascii="宋体" w:hAnsi="宋体"/>
          <w:color w:val="000000" w:themeColor="text1"/>
          <w:szCs w:val="21"/>
          <w:highlight w:val="none"/>
          <w14:textFill>
            <w14:solidFill>
              <w14:schemeClr w14:val="tx1"/>
            </w14:solidFill>
          </w14:textFill>
        </w:rPr>
        <w:t>广西政府采购云平台</w:t>
      </w:r>
      <w:r>
        <w:rPr>
          <w:rFonts w:hint="eastAsia" w:ascii="宋体" w:hAnsi="宋体" w:cs="仿宋_GB2312"/>
          <w:color w:val="000000" w:themeColor="text1"/>
          <w:kern w:val="0"/>
          <w:szCs w:val="21"/>
          <w:highlight w:val="none"/>
          <w:lang w:val="zh-CN"/>
          <w14:textFill>
            <w14:solidFill>
              <w14:schemeClr w14:val="tx1"/>
            </w14:solidFill>
          </w14:textFill>
        </w:rPr>
        <w:t>电子交易客户端”，并按照谈判文件和电子交易平台的要求编制并加密响应文件。供应商未按规定加密的响应文件，电子交易平台将拒收并提示。</w:t>
      </w:r>
    </w:p>
    <w:p w14:paraId="5035B50B">
      <w:pPr>
        <w:spacing w:line="360" w:lineRule="auto"/>
        <w:ind w:firstLine="420" w:firstLineChars="200"/>
        <w:rPr>
          <w:rFonts w:hint="eastAsia" w:ascii="宋体" w:hAnsi="宋体" w:cs="仿宋_GB2312"/>
          <w:color w:val="000000" w:themeColor="text1"/>
          <w:kern w:val="0"/>
          <w:szCs w:val="21"/>
          <w:highlight w:val="none"/>
          <w:lang w:val="zh-CN"/>
          <w14:textFill>
            <w14:solidFill>
              <w14:schemeClr w14:val="tx1"/>
            </w14:solidFill>
          </w14:textFill>
        </w:rPr>
      </w:pPr>
      <w:r>
        <w:rPr>
          <w:rFonts w:hint="eastAsia" w:ascii="宋体" w:hAnsi="宋体" w:cs="仿宋_GB2312"/>
          <w:color w:val="000000" w:themeColor="text1"/>
          <w:kern w:val="0"/>
          <w:szCs w:val="21"/>
          <w:highlight w:val="none"/>
          <w:lang w:val="zh-CN"/>
          <w14:textFill>
            <w14:solidFill>
              <w14:schemeClr w14:val="tx1"/>
            </w14:solidFill>
          </w14:textFill>
        </w:rPr>
        <w:t>19.2使用“</w:t>
      </w:r>
      <w:r>
        <w:rPr>
          <w:rFonts w:hint="eastAsia" w:ascii="宋体" w:hAnsi="宋体"/>
          <w:color w:val="000000" w:themeColor="text1"/>
          <w:szCs w:val="21"/>
          <w:highlight w:val="none"/>
          <w14:textFill>
            <w14:solidFill>
              <w14:schemeClr w14:val="tx1"/>
            </w14:solidFill>
          </w14:textFill>
        </w:rPr>
        <w:t>广西政府采购云平台</w:t>
      </w:r>
      <w:r>
        <w:rPr>
          <w:rFonts w:hint="eastAsia" w:ascii="宋体" w:hAnsi="宋体" w:cs="仿宋_GB2312"/>
          <w:color w:val="000000" w:themeColor="text1"/>
          <w:kern w:val="0"/>
          <w:szCs w:val="21"/>
          <w:highlight w:val="none"/>
          <w:lang w:val="zh-CN"/>
          <w14:textFill>
            <w14:solidFill>
              <w14:schemeClr w14:val="tx1"/>
            </w14:solidFill>
          </w14:textFill>
        </w:rPr>
        <w:t>电子交易客户端”需要提前申领CA数字证书，申领流程见该项目采购公告附件。</w:t>
      </w:r>
    </w:p>
    <w:p w14:paraId="74048BE0">
      <w:pPr>
        <w:pStyle w:val="17"/>
        <w:spacing w:line="360" w:lineRule="auto"/>
        <w:ind w:firstLine="420" w:firstLineChars="200"/>
        <w:rPr>
          <w:rFonts w:hint="eastAsia" w:hAnsi="宋体" w:cs="仿宋_GB2312"/>
          <w:color w:val="000000" w:themeColor="text1"/>
          <w:sz w:val="21"/>
          <w:highlight w:val="none"/>
          <w14:textFill>
            <w14:solidFill>
              <w14:schemeClr w14:val="tx1"/>
            </w14:solidFill>
          </w14:textFill>
        </w:rPr>
      </w:pPr>
      <w:r>
        <w:rPr>
          <w:rFonts w:hint="eastAsia" w:hAnsi="宋体" w:cs="仿宋_GB2312"/>
          <w:color w:val="000000" w:themeColor="text1"/>
          <w:sz w:val="21"/>
          <w:highlight w:val="none"/>
          <w14:textFill>
            <w14:solidFill>
              <w14:schemeClr w14:val="tx1"/>
            </w14:solidFill>
          </w14:textFill>
        </w:rPr>
        <w:t>19.3为确保网上操作合法、有效和安全，供应商应当在响应文件提交截止时间前完成在“政府采购云平台”的身份认证，确保在电子交易过程中能够对相关数据电文进行加密和使用电子签名。</w:t>
      </w:r>
    </w:p>
    <w:p w14:paraId="1A82B88B">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20.响应文件的提交</w:t>
      </w:r>
    </w:p>
    <w:p w14:paraId="633BA6F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20.1供应商必须在“供应商须知前附表”规定的时间和地点提交响应文件。</w:t>
      </w:r>
    </w:p>
    <w:p w14:paraId="1D41B25D">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w:t>
      </w:r>
      <w:r>
        <w:rPr>
          <w:rFonts w:hint="eastAsia" w:ascii="宋体" w:hAnsi="宋体"/>
          <w:color w:val="000000" w:themeColor="text1"/>
          <w:szCs w:val="21"/>
          <w:highlight w:val="none"/>
          <w14:textFill>
            <w14:solidFill>
              <w14:schemeClr w14:val="tx1"/>
            </w14:solidFill>
          </w14:textFill>
        </w:rPr>
        <w:t>.2在响应文件提交截止时间以后，不能补充、修改响应文件。</w:t>
      </w:r>
    </w:p>
    <w:p w14:paraId="7CCB37BE">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20.3在提交“最后报价”后，供应商不能退出谈判。</w:t>
      </w:r>
    </w:p>
    <w:p w14:paraId="48EA2DD3">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20.4电子交易平台收到响应文件，将妥善保存并即时向供应商发出确认回执通知。在响应文件提交截止时间前，除供应商补充、修改或者撤回响应文件外，任何单位和个人不得解密或提取响应文件。</w:t>
      </w:r>
    </w:p>
    <w:p w14:paraId="283997F9">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20.5采购机构不可视情况延长提交响应文件的截止时间。</w:t>
      </w:r>
    </w:p>
    <w:p w14:paraId="0A7F7F4D">
      <w:pPr>
        <w:spacing w:line="360" w:lineRule="auto"/>
        <w:ind w:firstLine="420" w:firstLineChars="200"/>
        <w:rPr>
          <w:rFonts w:hint="eastAsia" w:ascii="黑体" w:hAnsi="黑体" w:eastAsia="黑体"/>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20.6备份响应文件。</w:t>
      </w:r>
      <w:r>
        <w:rPr>
          <w:rFonts w:hint="eastAsia" w:hAnsi="宋体"/>
          <w:bCs/>
          <w:color w:val="000000" w:themeColor="text1"/>
          <w:szCs w:val="21"/>
          <w:highlight w:val="none"/>
          <w14:textFill>
            <w14:solidFill>
              <w14:schemeClr w14:val="tx1"/>
            </w14:solidFill>
          </w14:textFill>
        </w:rPr>
        <w:t>详见在“供应商须知前附表”。</w:t>
      </w:r>
    </w:p>
    <w:p w14:paraId="13561743">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21.首次响应文件的补充、修改与撤回</w:t>
      </w:r>
    </w:p>
    <w:p w14:paraId="25619A2E">
      <w:pPr>
        <w:pStyle w:val="82"/>
        <w:spacing w:before="0"/>
        <w:ind w:firstLine="420"/>
        <w:rPr>
          <w:rFonts w:hint="eastAsia" w:ascii="宋体" w:hAnsi="宋体" w:cs="仿宋_GB2312"/>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7326429B">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bookmarkStart w:id="53" w:name="_Hlk45702405"/>
      <w:r>
        <w:rPr>
          <w:rFonts w:hint="eastAsia" w:ascii="黑体" w:hAnsi="黑体" w:eastAsia="黑体" w:cs="宋体"/>
          <w:b/>
          <w:bCs/>
          <w:color w:val="000000" w:themeColor="text1"/>
          <w:sz w:val="24"/>
          <w:highlight w:val="none"/>
          <w14:textFill>
            <w14:solidFill>
              <w14:schemeClr w14:val="tx1"/>
            </w14:solidFill>
          </w14:textFill>
        </w:rPr>
        <w:t>22.首次响应文件的退回</w:t>
      </w:r>
    </w:p>
    <w:p w14:paraId="509A30F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详见“供应商须知前附表”。</w:t>
      </w:r>
    </w:p>
    <w:p w14:paraId="1F1E8300">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23.截止时间后的撤回</w:t>
      </w:r>
    </w:p>
    <w:p w14:paraId="5CD61371">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本项目不收取谈判保证金，供应商在首次响应文件提交截止时间后可向采购人、采购代理机构书面申请撤回响应文件。</w:t>
      </w:r>
      <w:bookmarkEnd w:id="53"/>
    </w:p>
    <w:p w14:paraId="2C8A0228">
      <w:pPr>
        <w:pStyle w:val="4"/>
        <w:spacing w:before="0" w:after="0" w:line="360" w:lineRule="auto"/>
        <w:ind w:firstLine="640" w:firstLineChars="200"/>
        <w:rPr>
          <w:rFonts w:hint="eastAsia" w:ascii="宋体" w:hAnsi="宋体"/>
          <w:b w:val="0"/>
          <w:bCs w:val="0"/>
          <w:color w:val="000000" w:themeColor="text1"/>
          <w:highlight w:val="none"/>
          <w14:textFill>
            <w14:solidFill>
              <w14:schemeClr w14:val="tx1"/>
            </w14:solidFill>
          </w14:textFill>
        </w:rPr>
      </w:pPr>
      <w:bookmarkStart w:id="54" w:name="_Toc19009"/>
      <w:r>
        <w:rPr>
          <w:rFonts w:hint="eastAsia" w:ascii="宋体" w:hAnsi="宋体"/>
          <w:b w:val="0"/>
          <w:bCs w:val="0"/>
          <w:color w:val="000000" w:themeColor="text1"/>
          <w:highlight w:val="none"/>
          <w14:textFill>
            <w14:solidFill>
              <w14:schemeClr w14:val="tx1"/>
            </w14:solidFill>
          </w14:textFill>
        </w:rPr>
        <w:t>四、评审及谈判</w:t>
      </w:r>
      <w:bookmarkEnd w:id="54"/>
    </w:p>
    <w:p w14:paraId="34A78CD2">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24.谈判小组成立</w:t>
      </w:r>
    </w:p>
    <w:p w14:paraId="4E78A77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14:paraId="062BD8E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24.2评审专家应当从政府采购评审专家库内相关专业的专家名单中随机抽取。技术复杂、专业性强的竞争性谈判采购项目，评审专家中应当包含1名法律专家。</w:t>
      </w:r>
    </w:p>
    <w:p w14:paraId="04C878F3">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25.首次响应文件的开启</w:t>
      </w:r>
    </w:p>
    <w:p w14:paraId="30FF880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25.1首次响应文件由谈判小组或者采购代理机构在“供应商须知前附表”规定的时间开启。</w:t>
      </w:r>
    </w:p>
    <w:p w14:paraId="03BC9D26">
      <w:pPr>
        <w:pStyle w:val="17"/>
        <w:spacing w:line="360" w:lineRule="auto"/>
        <w:ind w:firstLine="400" w:firstLineChars="200"/>
        <w:rPr>
          <w:rFonts w:hint="eastAsia" w:hAnsi="宋体"/>
          <w:bCs/>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25.2</w:t>
      </w:r>
      <w:r>
        <w:rPr>
          <w:rFonts w:hint="eastAsia" w:hAnsi="宋体"/>
          <w:bCs/>
          <w:color w:val="000000" w:themeColor="text1"/>
          <w:highlight w:val="none"/>
          <w14:textFill>
            <w14:solidFill>
              <w14:schemeClr w14:val="tx1"/>
            </w14:solidFill>
          </w14:textFill>
        </w:rPr>
        <w:t>响应文件解密</w:t>
      </w:r>
    </w:p>
    <w:p w14:paraId="22C65D8F">
      <w:pPr>
        <w:pStyle w:val="17"/>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采购代理机构将在“供应商须知前附表”规定的时</w:t>
      </w:r>
      <w:r>
        <w:rPr>
          <w:rFonts w:hint="eastAsia" w:hAnsi="宋体"/>
          <w:color w:val="000000" w:themeColor="text1"/>
          <w:sz w:val="21"/>
          <w:highlight w:val="none"/>
          <w14:textFill>
            <w14:solidFill>
              <w14:schemeClr w14:val="tx1"/>
            </w14:solidFill>
          </w14:textFill>
        </w:rPr>
        <w:t>间通过电子交易平台组织响应文件开启，采购机构依托电子交易平台发起开始解密指令，供应商的法定代表人或其委托代理人</w:t>
      </w:r>
      <w:r>
        <w:rPr>
          <w:rFonts w:hint="eastAsia" w:hAnsi="宋体"/>
          <w:b/>
          <w:color w:val="000000" w:themeColor="text1"/>
          <w:sz w:val="21"/>
          <w:highlight w:val="none"/>
          <w14:textFill>
            <w14:solidFill>
              <w14:schemeClr w14:val="tx1"/>
            </w14:solidFill>
          </w14:textFill>
        </w:rPr>
        <w:t>须携带加密时所用的CA锁按平台提示和采购文件的规定登录到广西政府采购云平台电子开标大厅签到并在发起解密指令之时起30分钟内完成对电子响应文件在线解密</w:t>
      </w:r>
      <w:r>
        <w:rPr>
          <w:rFonts w:hint="eastAsia" w:hAnsi="宋体"/>
          <w:color w:val="000000" w:themeColor="text1"/>
          <w:sz w:val="21"/>
          <w:highlight w:val="none"/>
          <w14:textFill>
            <w14:solidFill>
              <w14:schemeClr w14:val="tx1"/>
            </w14:solidFill>
          </w14:textFill>
        </w:rPr>
        <w:t>。发起解密指令之时起5分钟内供应商还未进行解密的，代理机构要通知供应商，供应商没预留联系方式或预留联系方式无效，导致代理机构无法联系到供应商进行解密的，</w:t>
      </w:r>
      <w:r>
        <w:rPr>
          <w:rFonts w:hint="eastAsia" w:hAnsi="宋体"/>
          <w:b/>
          <w:color w:val="000000" w:themeColor="text1"/>
          <w:sz w:val="21"/>
          <w:highlight w:val="none"/>
          <w14:textFill>
            <w14:solidFill>
              <w14:schemeClr w14:val="tx1"/>
            </w14:solidFill>
          </w14:textFill>
        </w:rPr>
        <w:t>视为响应文件无效。</w:t>
      </w:r>
      <w:r>
        <w:rPr>
          <w:rFonts w:hint="eastAsia" w:hAnsi="宋体"/>
          <w:color w:val="000000" w:themeColor="text1"/>
          <w:sz w:val="21"/>
          <w:highlight w:val="none"/>
          <w14:textFill>
            <w14:solidFill>
              <w14:schemeClr w14:val="tx1"/>
            </w14:solidFill>
          </w14:textFill>
        </w:rPr>
        <w:t>（解密</w:t>
      </w:r>
      <w:r>
        <w:rPr>
          <w:rFonts w:hint="eastAsia" w:hAnsi="宋体"/>
          <w:bCs/>
          <w:color w:val="000000" w:themeColor="text1"/>
          <w:sz w:val="21"/>
          <w:highlight w:val="none"/>
          <w14:textFill>
            <w14:solidFill>
              <w14:schemeClr w14:val="tx1"/>
            </w14:solidFill>
          </w14:textFill>
        </w:rPr>
        <w:t>异常情况处理：详见本章</w:t>
      </w:r>
      <w:r>
        <w:rPr>
          <w:rFonts w:hint="eastAsia" w:hAnsi="宋体"/>
          <w:color w:val="000000" w:themeColor="text1"/>
          <w:sz w:val="21"/>
          <w:highlight w:val="none"/>
          <w14:textFill>
            <w14:solidFill>
              <w14:schemeClr w14:val="tx1"/>
            </w14:solidFill>
          </w14:textFill>
        </w:rPr>
        <w:t>26.3电子交易活动的中止。）</w:t>
      </w:r>
    </w:p>
    <w:p w14:paraId="34B3D655">
      <w:pPr>
        <w:pStyle w:val="17"/>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如</w:t>
      </w:r>
      <w:r>
        <w:rPr>
          <w:rFonts w:hint="eastAsia" w:hAnsi="宋体"/>
          <w:bCs/>
          <w:color w:val="000000" w:themeColor="text1"/>
          <w:sz w:val="21"/>
          <w:highlight w:val="none"/>
          <w14:textFill>
            <w14:solidFill>
              <w14:schemeClr w14:val="tx1"/>
            </w14:solidFill>
          </w14:textFill>
        </w:rPr>
        <w:t>供应商成功解密响应文件，但未在广西政府采购云平台电子开标大厅参加谈判的，视同认可谈判过程和结果，</w:t>
      </w:r>
      <w:r>
        <w:rPr>
          <w:rFonts w:hint="eastAsia" w:hAnsi="宋体"/>
          <w:color w:val="000000" w:themeColor="text1"/>
          <w:sz w:val="21"/>
          <w:highlight w:val="none"/>
          <w14:textFill>
            <w14:solidFill>
              <w14:schemeClr w14:val="tx1"/>
            </w14:solidFill>
          </w14:textFill>
        </w:rPr>
        <w:t>由此产生的后果由供应商自行负责。参与谈判的供应商不足3家的，不得谈判。</w:t>
      </w:r>
    </w:p>
    <w:p w14:paraId="041DB46A">
      <w:pPr>
        <w:spacing w:line="360" w:lineRule="auto"/>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26.评审程序、评审方法和成交标准</w:t>
      </w:r>
    </w:p>
    <w:p w14:paraId="2D82207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26.1谈判小组按照“第四章评审程序、评审方法和成交标准”规定的方法、评审因素、标准和程序对响应文件进行评审。</w:t>
      </w:r>
    </w:p>
    <w:p w14:paraId="6F8A6442">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26.2采购需求负偏离要求及谈判顺序详见“供应商须知前附表”。</w:t>
      </w:r>
    </w:p>
    <w:p w14:paraId="24CEC6E4">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26.3</w:t>
      </w:r>
      <w:r>
        <w:rPr>
          <w:rFonts w:hint="eastAsia" w:hAnsi="宋体"/>
          <w:color w:val="000000" w:themeColor="text1"/>
          <w:highlight w:val="none"/>
          <w14:textFill>
            <w14:solidFill>
              <w14:schemeClr w14:val="tx1"/>
            </w14:solidFill>
          </w14:textFill>
        </w:rPr>
        <w:t>电子交易活动的中止。采购过程中出现以下情形，导致电子交易平台无法正常运行，或者无</w:t>
      </w:r>
      <w:r>
        <w:rPr>
          <w:rFonts w:hint="eastAsia" w:ascii="宋体" w:hAnsi="宋体" w:eastAsia="宋体" w:cs="宋体"/>
          <w:color w:val="000000" w:themeColor="text1"/>
          <w:highlight w:val="none"/>
          <w14:textFill>
            <w14:solidFill>
              <w14:schemeClr w14:val="tx1"/>
            </w14:solidFill>
          </w14:textFill>
        </w:rPr>
        <w:t>法保证电子交易的公平、公正和安全时，采购机构可中止电子交易活动：</w:t>
      </w:r>
    </w:p>
    <w:p w14:paraId="767B8F12">
      <w:pPr>
        <w:spacing w:line="360" w:lineRule="auto"/>
        <w:ind w:firstLine="420" w:firstLineChars="20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（1）电子交易平台发生故障而无法登录访问的；</w:t>
      </w:r>
    </w:p>
    <w:p w14:paraId="75A34638">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（2）电子交易平台应用或数据库出现错误，不能进行正常操作的；</w:t>
      </w:r>
    </w:p>
    <w:p w14:paraId="24B722AF">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（3）电子交易平台发现严重安全漏洞，有潜在泄密危险的；</w:t>
      </w:r>
    </w:p>
    <w:p w14:paraId="0B67D746">
      <w:pPr>
        <w:spacing w:line="360" w:lineRule="auto"/>
        <w:ind w:firstLine="420" w:firstLineChars="20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（4）病毒发作导致不能进行正常操作的；</w:t>
      </w:r>
    </w:p>
    <w:p w14:paraId="13F5BFB9">
      <w:pPr>
        <w:spacing w:line="360" w:lineRule="auto"/>
        <w:ind w:firstLine="420" w:firstLineChars="200"/>
        <w:rPr>
          <w:rFonts w:hAnsi="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）其</w:t>
      </w:r>
      <w:r>
        <w:rPr>
          <w:rFonts w:hint="eastAsia" w:hAnsi="宋体"/>
          <w:color w:val="000000" w:themeColor="text1"/>
          <w:highlight w:val="none"/>
          <w14:textFill>
            <w14:solidFill>
              <w14:schemeClr w14:val="tx1"/>
            </w14:solidFill>
          </w14:textFill>
        </w:rPr>
        <w:t>他无法保证电子交易的公平、公正和安全的情况。</w:t>
      </w:r>
    </w:p>
    <w:p w14:paraId="083BF3AD">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26.4</w:t>
      </w:r>
      <w:r>
        <w:rPr>
          <w:rFonts w:hint="eastAsia" w:hAnsi="宋体"/>
          <w:color w:val="000000" w:themeColor="text1"/>
          <w:highlight w:val="none"/>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492AD7E3">
      <w:pPr>
        <w:pStyle w:val="4"/>
        <w:spacing w:before="0" w:after="0" w:line="360" w:lineRule="auto"/>
        <w:ind w:firstLine="640" w:firstLineChars="200"/>
        <w:rPr>
          <w:rFonts w:ascii="宋体" w:hAnsi="宋体"/>
          <w:b w:val="0"/>
          <w:bCs w:val="0"/>
          <w:color w:val="000000" w:themeColor="text1"/>
          <w:highlight w:val="none"/>
          <w14:textFill>
            <w14:solidFill>
              <w14:schemeClr w14:val="tx1"/>
            </w14:solidFill>
          </w14:textFill>
        </w:rPr>
      </w:pPr>
      <w:bookmarkStart w:id="55" w:name="_Toc27715"/>
      <w:r>
        <w:rPr>
          <w:rFonts w:hint="eastAsia" w:ascii="宋体" w:hAnsi="宋体"/>
          <w:b w:val="0"/>
          <w:bCs w:val="0"/>
          <w:color w:val="000000" w:themeColor="text1"/>
          <w:highlight w:val="none"/>
          <w14:textFill>
            <w14:solidFill>
              <w14:schemeClr w14:val="tx1"/>
            </w14:solidFill>
          </w14:textFill>
        </w:rPr>
        <w:t>五、成交及合同</w:t>
      </w:r>
      <w:bookmarkEnd w:id="55"/>
    </w:p>
    <w:p w14:paraId="1F0811FA">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27.确定成交供应商及结果公告</w:t>
      </w:r>
    </w:p>
    <w:p w14:paraId="7F57886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27.1确定成交供应商。</w:t>
      </w:r>
      <w:r>
        <w:rPr>
          <w:rFonts w:hint="eastAsia" w:ascii="宋体" w:hAnsi="宋体" w:cs="宋体"/>
          <w:color w:val="000000" w:themeColor="text1"/>
          <w:kern w:val="0"/>
          <w:szCs w:val="21"/>
          <w:highlight w:val="none"/>
          <w:u w:val="single"/>
          <w14:textFill>
            <w14:solidFill>
              <w14:schemeClr w14:val="tx1"/>
            </w14:solidFill>
          </w14:textFill>
        </w:rPr>
        <w:t>谈判小组按第四章“评审程序、评审方法和成交标准”的规定排列成交候选人顺序，并由采购人依照次序确定成交人</w:t>
      </w:r>
      <w:r>
        <w:rPr>
          <w:rFonts w:hint="eastAsia" w:ascii="宋体" w:hAnsi="宋体" w:cs="宋体"/>
          <w:color w:val="000000" w:themeColor="text1"/>
          <w:szCs w:val="21"/>
          <w:highlight w:val="none"/>
          <w:u w:val="single"/>
          <w14:textFill>
            <w14:solidFill>
              <w14:schemeClr w14:val="tx1"/>
            </w14:solidFill>
          </w14:textFill>
        </w:rPr>
        <w:t>。</w:t>
      </w:r>
    </w:p>
    <w:p w14:paraId="343229F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27.2成交通知及成交结果公告。</w:t>
      </w:r>
      <w:r>
        <w:rPr>
          <w:rFonts w:hint="eastAsia" w:ascii="宋体" w:hAnsi="宋体" w:cs="宋体"/>
          <w:color w:val="000000" w:themeColor="text1"/>
          <w:kern w:val="0"/>
          <w:szCs w:val="21"/>
          <w:highlight w:val="none"/>
          <w14:textFill>
            <w14:solidFill>
              <w14:schemeClr w14:val="tx1"/>
            </w14:solidFill>
          </w14:textFill>
        </w:rPr>
        <w:t>成交</w:t>
      </w:r>
      <w:r>
        <w:rPr>
          <w:rFonts w:hint="eastAsia" w:ascii="宋体" w:hAnsi="宋体" w:cs="宋体"/>
          <w:color w:val="000000" w:themeColor="text1"/>
          <w:szCs w:val="21"/>
          <w:highlight w:val="none"/>
          <w14:textFill>
            <w14:solidFill>
              <w14:schemeClr w14:val="tx1"/>
            </w14:solidFill>
          </w14:textFill>
        </w:rPr>
        <w:t>供应商确定后2个工作日内，在省级以上财政部门指定的媒体上公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同时向成交供应商发出成交通知书，成交通知书规定签订合同的时间不得超过25日。</w:t>
      </w:r>
    </w:p>
    <w:p w14:paraId="38381765">
      <w:pPr>
        <w:spacing w:line="360" w:lineRule="auto"/>
        <w:ind w:firstLine="420" w:firstLineChars="200"/>
        <w:rPr>
          <w:rFonts w:hint="eastAsia" w:ascii="宋体" w:hAnsi="宋体" w:cs="Courier New"/>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谈判文件一并保存。</w:t>
      </w:r>
      <w:bookmarkStart w:id="56" w:name="_Hlk66782294"/>
      <w:r>
        <w:rPr>
          <w:rFonts w:hint="eastAsia" w:ascii="宋体" w:hAnsi="宋体" w:cs="Courier New"/>
          <w:color w:val="000000" w:themeColor="text1"/>
          <w:szCs w:val="21"/>
          <w:highlight w:val="none"/>
          <w14:textFill>
            <w14:solidFill>
              <w14:schemeClr w14:val="tx1"/>
            </w14:solidFill>
          </w14:textFill>
        </w:rPr>
        <w:t>成交供应商享受</w:t>
      </w:r>
      <w:r>
        <w:rPr>
          <w:rFonts w:hint="eastAsia" w:ascii="宋体" w:hAnsi="宋体"/>
          <w:color w:val="000000" w:themeColor="text1"/>
          <w:szCs w:val="21"/>
          <w:highlight w:val="none"/>
          <w14:textFill>
            <w14:solidFill>
              <w14:schemeClr w14:val="tx1"/>
            </w14:solidFill>
          </w14:textFill>
        </w:rPr>
        <w:t>《政府采购促进中小企业发展管理办法》（财库〔2020〕46号）规定的中小企业扶持</w:t>
      </w:r>
      <w:r>
        <w:rPr>
          <w:rFonts w:hint="eastAsia" w:ascii="宋体" w:hAnsi="宋体" w:cs="Courier New"/>
          <w:color w:val="000000" w:themeColor="text1"/>
          <w:szCs w:val="21"/>
          <w:highlight w:val="none"/>
          <w14:textFill>
            <w14:solidFill>
              <w14:schemeClr w14:val="tx1"/>
            </w14:solidFill>
          </w14:textFill>
        </w:rPr>
        <w:t>政策的，采购人、采购代理机构应当随成交结果公开成交供应商的《中小企业声明函》。</w:t>
      </w:r>
      <w:bookmarkEnd w:id="56"/>
    </w:p>
    <w:p w14:paraId="7047201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782C5F5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132D483C">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28.履约保证金</w:t>
      </w:r>
    </w:p>
    <w:p w14:paraId="1F4A89B7">
      <w:pPr>
        <w:spacing w:line="360" w:lineRule="auto"/>
        <w:ind w:firstLine="420"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详见“供应商须知前附表”</w:t>
      </w:r>
    </w:p>
    <w:p w14:paraId="3B9E1D12">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29.签订合同</w:t>
      </w:r>
    </w:p>
    <w:p w14:paraId="414DE54A">
      <w:pPr>
        <w:pStyle w:val="82"/>
        <w:snapToGrid w:val="0"/>
        <w:spacing w:before="0"/>
        <w:ind w:firstLine="420"/>
        <w:rPr>
          <w:rFonts w:hint="eastAsia" w:ascii="宋体" w:hAnsi="宋体"/>
          <w:color w:val="000000" w:themeColor="text1"/>
          <w:sz w:val="21"/>
          <w:szCs w:val="21"/>
          <w:highlight w:val="none"/>
          <w:lang w:val="zh-CN"/>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29.1</w:t>
      </w:r>
      <w:r>
        <w:rPr>
          <w:rFonts w:hint="eastAsia" w:ascii="宋体" w:hAnsi="宋体"/>
          <w:color w:val="000000" w:themeColor="text1"/>
          <w:sz w:val="21"/>
          <w:szCs w:val="21"/>
          <w:highlight w:val="none"/>
          <w14:textFill>
            <w14:solidFill>
              <w14:schemeClr w14:val="tx1"/>
            </w14:solidFill>
          </w14:textFill>
        </w:rPr>
        <w:t>采购人与成交供应商应当在</w:t>
      </w:r>
      <w:r>
        <w:rPr>
          <w:rFonts w:hint="eastAsia" w:ascii="宋体" w:hAnsi="宋体" w:cs="宋体"/>
          <w:color w:val="000000" w:themeColor="text1"/>
          <w:sz w:val="21"/>
          <w:szCs w:val="21"/>
          <w:highlight w:val="none"/>
          <w14:textFill>
            <w14:solidFill>
              <w14:schemeClr w14:val="tx1"/>
            </w14:solidFill>
          </w14:textFill>
        </w:rPr>
        <w:t>成交通知书规定的时间内</w:t>
      </w:r>
      <w:r>
        <w:rPr>
          <w:rFonts w:hint="eastAsia" w:ascii="宋体" w:hAnsi="宋体"/>
          <w:color w:val="000000" w:themeColor="text1"/>
          <w:sz w:val="21"/>
          <w:szCs w:val="21"/>
          <w:highlight w:val="none"/>
          <w14:textFill>
            <w14:solidFill>
              <w14:schemeClr w14:val="tx1"/>
            </w14:solidFill>
          </w14:textFill>
        </w:rPr>
        <w:t>，按照谈判文件确定的合同文本以及采购标的、货物技术、采购金额、采购数量、技术和货物要求等事项签订政府采购合同。</w:t>
      </w:r>
      <w:r>
        <w:rPr>
          <w:rFonts w:hint="eastAsia" w:ascii="宋体" w:hAnsi="宋体"/>
          <w:color w:val="000000" w:themeColor="text1"/>
          <w:sz w:val="21"/>
          <w:szCs w:val="21"/>
          <w:highlight w:val="none"/>
          <w:lang w:val="zh-CN"/>
          <w14:textFill>
            <w14:solidFill>
              <w14:schemeClr w14:val="tx1"/>
            </w14:solidFill>
          </w14:textFill>
        </w:rPr>
        <w:t>如成交供应商为联合体的，由联合体成员各方法定代表人或其授权代表与采购人代表签订合同。</w:t>
      </w:r>
    </w:p>
    <w:p w14:paraId="0C8A5125">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7A28B4B6">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29.3成交供应商拒绝签订政府采购合同的，</w:t>
      </w:r>
      <w:r>
        <w:rPr>
          <w:rFonts w:hint="eastAsia" w:ascii="宋体" w:hAnsi="宋体" w:cs="宋体"/>
          <w:color w:val="000000" w:themeColor="text1"/>
          <w:szCs w:val="21"/>
          <w:highlight w:val="none"/>
          <w14:textFill>
            <w14:solidFill>
              <w14:schemeClr w14:val="tx1"/>
            </w14:solidFill>
          </w14:textFill>
        </w:rPr>
        <w:t>采购人可以按照评审报告推荐的成交候选人名单排序，确定下一候选人为成交供应商</w:t>
      </w:r>
      <w:r>
        <w:rPr>
          <w:rFonts w:hint="eastAsia" w:ascii="宋体" w:hAnsi="宋体"/>
          <w:color w:val="000000" w:themeColor="text1"/>
          <w:szCs w:val="21"/>
          <w:highlight w:val="none"/>
          <w14:textFill>
            <w14:solidFill>
              <w14:schemeClr w14:val="tx1"/>
            </w14:solidFill>
          </w14:textFill>
        </w:rPr>
        <w:t>，也可以重新开展采购活动。拒绝签订政府采购合同的成交供应商不得参加对该项目重新开展的采购活动。</w:t>
      </w:r>
    </w:p>
    <w:p w14:paraId="2956AC93">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29.4如签订合同并生效后，供应商无故拒绝或延期，除按照合同条款处理外，列入不良行为记录，并给予通报。</w:t>
      </w:r>
    </w:p>
    <w:p w14:paraId="4E6374BE">
      <w:pPr>
        <w:pStyle w:val="82"/>
        <w:spacing w:before="0"/>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29.5采购合同由采购人与成交供应商根据</w:t>
      </w:r>
      <w:r>
        <w:rPr>
          <w:rFonts w:hint="eastAsia" w:ascii="宋体" w:hAnsi="宋体"/>
          <w:color w:val="000000" w:themeColor="text1"/>
          <w:sz w:val="21"/>
          <w:szCs w:val="21"/>
          <w:highlight w:val="none"/>
          <w14:textFill>
            <w14:solidFill>
              <w14:schemeClr w14:val="tx1"/>
            </w14:solidFill>
          </w14:textFill>
        </w:rPr>
        <w:t>谈判</w:t>
      </w:r>
      <w:r>
        <w:rPr>
          <w:rFonts w:hint="eastAsia" w:ascii="宋体" w:hAnsi="宋体" w:cs="仿宋_GB2312"/>
          <w:color w:val="000000" w:themeColor="text1"/>
          <w:sz w:val="21"/>
          <w:szCs w:val="21"/>
          <w:highlight w:val="none"/>
          <w14:textFill>
            <w14:solidFill>
              <w14:schemeClr w14:val="tx1"/>
            </w14:solidFill>
          </w14:textFill>
        </w:rPr>
        <w:t>文件、响应文件等内容通过政府采购电子交易平台在线签订，自动备案，在线签订须携带的材料见“供应商须</w:t>
      </w:r>
      <w:r>
        <w:rPr>
          <w:rFonts w:hint="eastAsia" w:ascii="宋体" w:hAnsi="宋体"/>
          <w:color w:val="000000" w:themeColor="text1"/>
          <w:sz w:val="21"/>
          <w:szCs w:val="21"/>
          <w:highlight w:val="none"/>
          <w14:textFill>
            <w14:solidFill>
              <w14:schemeClr w14:val="tx1"/>
            </w14:solidFill>
          </w14:textFill>
        </w:rPr>
        <w:t>知前附表</w:t>
      </w:r>
      <w:r>
        <w:rPr>
          <w:rFonts w:hint="eastAsia" w:ascii="宋体" w:hAnsi="宋体" w:cs="仿宋_GB2312"/>
          <w:color w:val="000000" w:themeColor="text1"/>
          <w:sz w:val="21"/>
          <w:szCs w:val="21"/>
          <w:highlight w:val="none"/>
          <w14:textFill>
            <w14:solidFill>
              <w14:schemeClr w14:val="tx1"/>
            </w14:solidFill>
          </w14:textFill>
        </w:rPr>
        <w:t>”。</w:t>
      </w:r>
    </w:p>
    <w:p w14:paraId="0DC1299B">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30.政府采购合同公告</w:t>
      </w:r>
    </w:p>
    <w:p w14:paraId="1B1EDDC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68125C42">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31.询问、质疑和投诉</w:t>
      </w:r>
    </w:p>
    <w:p w14:paraId="399049BB">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31.1供应商对政府采购活动事项有疑问的，可以向采购人、采购代理机构提出询问，采购人或者采购代理机构应当在3个工作日内对供应商依法提出的询问作出答复。</w:t>
      </w:r>
    </w:p>
    <w:p w14:paraId="49CC072E">
      <w:pPr>
        <w:spacing w:line="360" w:lineRule="auto"/>
        <w:ind w:firstLine="420" w:firstLineChars="200"/>
        <w:rPr>
          <w:rFonts w:hint="eastAsia" w:ascii="宋体" w:hAnsi="宋体" w:eastAsia="宋体"/>
          <w:b/>
          <w:color w:val="000000" w:themeColor="text1"/>
          <w:szCs w:val="21"/>
          <w:highlight w:val="none"/>
          <w:lang w:eastAsia="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31.2供应商认为谈判文件、采购过程或者成交结果使自己的合法权益受到损害的，应当在知道或者应知其权益受到损害之日起7个工作日内，以书面形式向采购人、采购代理机构提出质疑，</w:t>
      </w:r>
      <w:r>
        <w:rPr>
          <w:rFonts w:hint="eastAsia" w:ascii="宋体" w:hAnsi="宋体" w:cs="Arial"/>
          <w:color w:val="000000" w:themeColor="text1"/>
          <w:highlight w:val="none"/>
          <w:shd w:val="clear" w:color="auto" w:fill="FFFFFF"/>
          <w14:textFill>
            <w14:solidFill>
              <w14:schemeClr w14:val="tx1"/>
            </w14:solidFill>
          </w14:textFill>
        </w:rPr>
        <w:t>接收质疑函的方式、联系部门、联系电话和通讯地址等信息详见</w:t>
      </w:r>
      <w:r>
        <w:rPr>
          <w:rFonts w:hint="eastAsia" w:ascii="宋体" w:hAnsi="宋体" w:cs="宋体"/>
          <w:color w:val="000000" w:themeColor="text1"/>
          <w:szCs w:val="21"/>
          <w:highlight w:val="none"/>
          <w14:textFill>
            <w14:solidFill>
              <w14:schemeClr w14:val="tx1"/>
            </w14:solidFill>
          </w14:textFill>
        </w:rPr>
        <w:t>“供应商须知前附表”</w:t>
      </w:r>
      <w:r>
        <w:rPr>
          <w:rFonts w:hint="eastAsia" w:ascii="宋体" w:hAnsi="宋体" w:cs="宋体"/>
          <w:color w:val="000000" w:themeColor="text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具体质疑起算时间及处理方式如下：</w:t>
      </w:r>
    </w:p>
    <w:p w14:paraId="00CA14C4">
      <w:pPr>
        <w:spacing w:line="360" w:lineRule="auto"/>
        <w:ind w:firstLine="420" w:firstLineChars="200"/>
        <w:rPr>
          <w:rFonts w:hint="eastAsia"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1</w:t>
      </w:r>
      <w:r>
        <w:rPr>
          <w:rFonts w:hint="eastAsia" w:hAnsi="宋体"/>
          <w:bCs/>
          <w:color w:val="000000" w:themeColor="text1"/>
          <w:highlight w:val="none"/>
          <w14:textFill>
            <w14:solidFill>
              <w14:schemeClr w14:val="tx1"/>
            </w14:solidFill>
          </w14:textFill>
        </w:rPr>
        <w:t>）潜在供应商依法获取采购文件后，认为采购文件使自己的权益受到损害的，应当在竞争性谈判采购文件公告期限届满之日起</w:t>
      </w:r>
      <w:r>
        <w:rPr>
          <w:rFonts w:hAnsi="宋体"/>
          <w:bCs/>
          <w:color w:val="000000" w:themeColor="text1"/>
          <w:highlight w:val="none"/>
          <w14:textFill>
            <w14:solidFill>
              <w14:schemeClr w14:val="tx1"/>
            </w14:solidFill>
          </w14:textFill>
        </w:rPr>
        <w:t>7</w:t>
      </w:r>
      <w:r>
        <w:rPr>
          <w:rFonts w:hint="eastAsia" w:hAnsi="宋体"/>
          <w:bCs/>
          <w:color w:val="000000" w:themeColor="text1"/>
          <w:highlight w:val="none"/>
          <w14:textFill>
            <w14:solidFill>
              <w14:schemeClr w14:val="tx1"/>
            </w14:solidFill>
          </w14:textFill>
        </w:rPr>
        <w:t>个工作日内提出质疑。</w:t>
      </w:r>
      <w:r>
        <w:rPr>
          <w:rFonts w:hint="eastAsia"/>
          <w:color w:val="000000" w:themeColor="text1"/>
          <w:highlight w:val="none"/>
          <w14:textFill>
            <w14:solidFill>
              <w14:schemeClr w14:val="tx1"/>
            </w14:solidFill>
          </w14:textFill>
        </w:rPr>
        <w:t>委托代理协议无特殊约定的，</w:t>
      </w:r>
      <w:r>
        <w:rPr>
          <w:rFonts w:hint="eastAsia" w:hAnsi="宋体"/>
          <w:bCs/>
          <w:color w:val="000000" w:themeColor="text1"/>
          <w:highlight w:val="none"/>
          <w14:textFill>
            <w14:solidFill>
              <w14:schemeClr w14:val="tx1"/>
            </w14:solidFill>
          </w14:textFill>
        </w:rPr>
        <w:t>对竞争性谈判文件中采购需求（含资格要求、采购预算和评分办法）的质疑由采购人受理并负责答复；对竞争性谈判文件中的采购执行程序的质疑由采购代理机构受理并负责答复。</w:t>
      </w:r>
    </w:p>
    <w:p w14:paraId="0E8D6637">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2</w:t>
      </w:r>
      <w:r>
        <w:rPr>
          <w:rFonts w:hint="eastAsia" w:hAnsi="宋体"/>
          <w:bCs/>
          <w:color w:val="000000" w:themeColor="text1"/>
          <w:highlight w:val="none"/>
          <w14:textFill>
            <w14:solidFill>
              <w14:schemeClr w14:val="tx1"/>
            </w14:solidFill>
          </w14:textFill>
        </w:rPr>
        <w:t>）供应商认为采购过程使自己的权益受到损害的，应当在各采购程序环节结束之日起</w:t>
      </w:r>
      <w:r>
        <w:rPr>
          <w:rFonts w:hAnsi="宋体"/>
          <w:bCs/>
          <w:color w:val="000000" w:themeColor="text1"/>
          <w:highlight w:val="none"/>
          <w14:textFill>
            <w14:solidFill>
              <w14:schemeClr w14:val="tx1"/>
            </w14:solidFill>
          </w14:textFill>
        </w:rPr>
        <w:t>7</w:t>
      </w:r>
      <w:r>
        <w:rPr>
          <w:rFonts w:hint="eastAsia" w:hAnsi="宋体"/>
          <w:bCs/>
          <w:color w:val="000000" w:themeColor="text1"/>
          <w:highlight w:val="none"/>
          <w14:textFill>
            <w14:solidFill>
              <w14:schemeClr w14:val="tx1"/>
            </w14:solidFill>
          </w14:textFill>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1C8DD69B">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3</w:t>
      </w:r>
      <w:r>
        <w:rPr>
          <w:rFonts w:hint="eastAsia" w:hAnsi="宋体"/>
          <w:bCs/>
          <w:color w:val="000000" w:themeColor="text1"/>
          <w:highlight w:val="none"/>
          <w14:textFill>
            <w14:solidFill>
              <w14:schemeClr w14:val="tx1"/>
            </w14:solidFill>
          </w14:textFill>
        </w:rPr>
        <w:t>）供应商认为成交结果使自己的权益受到损害的，应当在成交结果公告期限届满之日起</w:t>
      </w:r>
      <w:r>
        <w:rPr>
          <w:rFonts w:hAnsi="宋体"/>
          <w:bCs/>
          <w:color w:val="000000" w:themeColor="text1"/>
          <w:highlight w:val="none"/>
          <w14:textFill>
            <w14:solidFill>
              <w14:schemeClr w14:val="tx1"/>
            </w14:solidFill>
          </w14:textFill>
        </w:rPr>
        <w:t>7</w:t>
      </w:r>
      <w:r>
        <w:rPr>
          <w:rFonts w:hint="eastAsia" w:hAnsi="宋体"/>
          <w:bCs/>
          <w:color w:val="000000" w:themeColor="text1"/>
          <w:highlight w:val="none"/>
          <w14:textFill>
            <w14:solidFill>
              <w14:schemeClr w14:val="tx1"/>
            </w14:solidFill>
          </w14:textFill>
        </w:rPr>
        <w:t>个工作日内提出质疑，由采购人受理并负责答复。</w:t>
      </w:r>
    </w:p>
    <w:p w14:paraId="6C522F14">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8B5882B">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31.4供应商提出质疑应当提交质疑函和必要的证明材料，针对同一采购程序环节的质疑必须在法定质疑期内一次性提出。质疑函应当包括下列内容</w:t>
      </w:r>
      <w:r>
        <w:rPr>
          <w:rFonts w:hint="eastAsia" w:hAnsi="宋体"/>
          <w:bCs/>
          <w:color w:val="000000" w:themeColor="text1"/>
          <w:highlight w:val="none"/>
          <w14:textFill>
            <w14:solidFill>
              <w14:schemeClr w14:val="tx1"/>
            </w14:solidFill>
          </w14:textFill>
        </w:rPr>
        <w:t>（质疑函格式后附）</w:t>
      </w:r>
      <w:r>
        <w:rPr>
          <w:rFonts w:hint="eastAsia" w:ascii="宋体" w:hAnsi="宋体" w:cs="宋体"/>
          <w:color w:val="000000" w:themeColor="text1"/>
          <w:highlight w:val="none"/>
          <w14:textFill>
            <w14:solidFill>
              <w14:schemeClr w14:val="tx1"/>
            </w14:solidFill>
          </w14:textFill>
        </w:rPr>
        <w:t>：</w:t>
      </w:r>
    </w:p>
    <w:p w14:paraId="53F6C6D9">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（1）供应商的姓名或者名称、地址、邮编、联系人及联系电话；</w:t>
      </w:r>
    </w:p>
    <w:p w14:paraId="267CDE24">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（2）质疑项目的名称、编号；</w:t>
      </w:r>
    </w:p>
    <w:p w14:paraId="356B6C34">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（3）具体、明确的质疑事项和与质疑事项相关的请求；</w:t>
      </w:r>
    </w:p>
    <w:p w14:paraId="5E895473">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（4）事实依据；</w:t>
      </w:r>
    </w:p>
    <w:p w14:paraId="4A74BF9D">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（5）必要的法律依据；</w:t>
      </w:r>
    </w:p>
    <w:p w14:paraId="6A0D28A1">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（6）提出质疑的日期。</w:t>
      </w:r>
    </w:p>
    <w:p w14:paraId="717869F0">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00A8D96F">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31.5采购人、采购代理机构认为供应商质疑不成立，或者成立但未对成交结果构成影响的，继续开展采购活动；认为供应商质疑成立且影响或者可能影响成交结果的，按照下列情况处理：</w:t>
      </w:r>
    </w:p>
    <w:p w14:paraId="1C249E39">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（一）对采购文件提出的质疑，依法通过澄清或者修改可以继续开展采购活动的，澄清或者修改采购文件后继续开展采购活动；否则应当修改采购文件后重新开展采购活动。</w:t>
      </w:r>
    </w:p>
    <w:p w14:paraId="562902D3">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（二）对采购过程或者成交结果提出的质疑，合格供应商符合法定数量时，可以从合格的成交候选人中另行确定成交供应商的，应当依法另行确定成交供应商；否则应当重新开展采购活动。</w:t>
      </w:r>
    </w:p>
    <w:p w14:paraId="18A450E0">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质疑答复导致成交结果改变的，采购人或者采购代理机构应当将有关情况书面报告本级财政部门。</w:t>
      </w:r>
    </w:p>
    <w:p w14:paraId="062F1962">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55EDA69E">
      <w:pPr>
        <w:pStyle w:val="4"/>
        <w:spacing w:before="0" w:after="0" w:line="360" w:lineRule="auto"/>
        <w:ind w:firstLine="643" w:firstLineChars="200"/>
        <w:rPr>
          <w:rFonts w:hint="eastAsia" w:ascii="宋体" w:hAnsi="宋体"/>
          <w:b w:val="0"/>
          <w:color w:val="000000" w:themeColor="text1"/>
          <w:highlight w:val="none"/>
          <w14:textFill>
            <w14:solidFill>
              <w14:schemeClr w14:val="tx1"/>
            </w14:solidFill>
          </w14:textFill>
        </w:rPr>
      </w:pPr>
      <w:bookmarkStart w:id="57" w:name="_Toc10317"/>
      <w:r>
        <w:rPr>
          <w:rFonts w:hint="eastAsia" w:ascii="宋体" w:hAnsi="宋体"/>
          <w:color w:val="000000" w:themeColor="text1"/>
          <w:highlight w:val="none"/>
          <w14:textFill>
            <w14:solidFill>
              <w14:schemeClr w14:val="tx1"/>
            </w14:solidFill>
          </w14:textFill>
        </w:rPr>
        <w:t>六</w:t>
      </w:r>
      <w:r>
        <w:rPr>
          <w:rFonts w:hint="eastAsia" w:ascii="宋体" w:hAnsi="宋体"/>
          <w:b w:val="0"/>
          <w:color w:val="000000" w:themeColor="text1"/>
          <w:highlight w:val="none"/>
          <w14:textFill>
            <w14:solidFill>
              <w14:schemeClr w14:val="tx1"/>
            </w14:solidFill>
          </w14:textFill>
        </w:rPr>
        <w:t>、验收</w:t>
      </w:r>
      <w:bookmarkEnd w:id="57"/>
    </w:p>
    <w:p w14:paraId="47EFB116">
      <w:pPr>
        <w:tabs>
          <w:tab w:val="left" w:pos="0"/>
        </w:tabs>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32.验收</w:t>
      </w:r>
    </w:p>
    <w:p w14:paraId="32A9A331">
      <w:pPr>
        <w:tabs>
          <w:tab w:val="left" w:pos="0"/>
        </w:tabs>
        <w:spacing w:line="360" w:lineRule="auto"/>
        <w:ind w:firstLine="420" w:firstLineChars="200"/>
        <w:rPr>
          <w:rFonts w:hint="eastAsia" w:ascii="宋体" w:hAnsi="宋体" w:cs="Helvetica"/>
          <w:color w:val="000000" w:themeColor="text1"/>
          <w:kern w:val="0"/>
          <w:szCs w:val="21"/>
          <w:highlight w:val="none"/>
          <w14:textFill>
            <w14:solidFill>
              <w14:schemeClr w14:val="tx1"/>
            </w14:solidFill>
          </w14:textFill>
        </w:rPr>
      </w:pPr>
      <w:r>
        <w:rPr>
          <w:rFonts w:hint="eastAsia" w:ascii="宋体" w:hAnsi="宋体" w:cs="Helvetica"/>
          <w:color w:val="000000" w:themeColor="text1"/>
          <w:kern w:val="0"/>
          <w:szCs w:val="21"/>
          <w:highlight w:val="none"/>
          <w14:textFill>
            <w14:solidFill>
              <w14:schemeClr w14:val="tx1"/>
            </w14:solidFill>
          </w14:textFill>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DA05591">
      <w:pPr>
        <w:tabs>
          <w:tab w:val="left" w:pos="0"/>
        </w:tabs>
        <w:spacing w:line="360" w:lineRule="auto"/>
        <w:ind w:firstLine="420" w:firstLineChars="200"/>
        <w:rPr>
          <w:rFonts w:hint="eastAsia" w:ascii="宋体" w:hAnsi="宋体" w:cs="Helvetica"/>
          <w:color w:val="000000" w:themeColor="text1"/>
          <w:kern w:val="0"/>
          <w:szCs w:val="21"/>
          <w:highlight w:val="none"/>
          <w14:textFill>
            <w14:solidFill>
              <w14:schemeClr w14:val="tx1"/>
            </w14:solidFill>
          </w14:textFill>
        </w:rPr>
      </w:pPr>
      <w:r>
        <w:rPr>
          <w:rFonts w:hint="eastAsia" w:ascii="宋体" w:hAnsi="宋体" w:cs="Helvetica"/>
          <w:color w:val="000000" w:themeColor="text1"/>
          <w:kern w:val="0"/>
          <w:szCs w:val="21"/>
          <w:highlight w:val="none"/>
          <w14:textFill>
            <w14:solidFill>
              <w14:schemeClr w14:val="tx1"/>
            </w14:solidFill>
          </w14:textFill>
        </w:rPr>
        <w:t>32.2采购人可以邀请参加本项目的其他供应商或者第三方机构参与验收。参与验收的供应商或者第三方机构的意见作为验收书的参考资料一并存档。</w:t>
      </w:r>
    </w:p>
    <w:p w14:paraId="537C8D52">
      <w:pPr>
        <w:tabs>
          <w:tab w:val="left" w:pos="0"/>
        </w:tabs>
        <w:spacing w:line="360" w:lineRule="auto"/>
        <w:ind w:firstLine="420" w:firstLineChars="200"/>
        <w:rPr>
          <w:rFonts w:hint="eastAsia" w:ascii="宋体" w:hAnsi="宋体" w:cs="Helvetica"/>
          <w:color w:val="000000" w:themeColor="text1"/>
          <w:kern w:val="0"/>
          <w:szCs w:val="21"/>
          <w:highlight w:val="none"/>
          <w14:textFill>
            <w14:solidFill>
              <w14:schemeClr w14:val="tx1"/>
            </w14:solidFill>
          </w14:textFill>
        </w:rPr>
      </w:pPr>
      <w:r>
        <w:rPr>
          <w:rFonts w:hint="eastAsia" w:ascii="宋体" w:hAnsi="宋体" w:cs="Helvetica"/>
          <w:color w:val="000000" w:themeColor="text1"/>
          <w:kern w:val="0"/>
          <w:szCs w:val="21"/>
          <w:highlight w:val="none"/>
          <w14:textFill>
            <w14:solidFill>
              <w14:schemeClr w14:val="tx1"/>
            </w14:solidFill>
          </w14:textFill>
        </w:rPr>
        <w:t>32.3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89960C9">
      <w:pPr>
        <w:tabs>
          <w:tab w:val="left" w:pos="0"/>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Helvetica"/>
          <w:color w:val="000000" w:themeColor="text1"/>
          <w:kern w:val="0"/>
          <w:szCs w:val="21"/>
          <w:highlight w:val="none"/>
          <w14:textFill>
            <w14:solidFill>
              <w14:schemeClr w14:val="tx1"/>
            </w14:solidFill>
          </w14:textFill>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01237FF9">
      <w:pPr>
        <w:pStyle w:val="4"/>
        <w:spacing w:before="0" w:after="0" w:line="360" w:lineRule="auto"/>
        <w:ind w:firstLine="640" w:firstLineChars="200"/>
        <w:rPr>
          <w:rFonts w:hint="eastAsia" w:ascii="宋体" w:hAnsi="宋体"/>
          <w:b w:val="0"/>
          <w:bCs w:val="0"/>
          <w:color w:val="000000" w:themeColor="text1"/>
          <w:highlight w:val="none"/>
          <w14:textFill>
            <w14:solidFill>
              <w14:schemeClr w14:val="tx1"/>
            </w14:solidFill>
          </w14:textFill>
        </w:rPr>
      </w:pPr>
      <w:bookmarkStart w:id="58" w:name="_Toc15281"/>
      <w:r>
        <w:rPr>
          <w:rFonts w:hint="eastAsia" w:ascii="宋体" w:hAnsi="宋体"/>
          <w:b w:val="0"/>
          <w:bCs w:val="0"/>
          <w:color w:val="000000" w:themeColor="text1"/>
          <w:highlight w:val="none"/>
          <w14:textFill>
            <w14:solidFill>
              <w14:schemeClr w14:val="tx1"/>
            </w14:solidFill>
          </w14:textFill>
        </w:rPr>
        <w:t>七、其他事项</w:t>
      </w:r>
      <w:bookmarkEnd w:id="58"/>
    </w:p>
    <w:p w14:paraId="39D6DBAA">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33.代理服务费</w:t>
      </w:r>
    </w:p>
    <w:p w14:paraId="563C022F">
      <w:pPr>
        <w:tabs>
          <w:tab w:val="left" w:pos="2835"/>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代理服务收费标准及缴费账户详见“供应商须知前附表”，供应商为联合体的，可以由联合体中的一方或者多方共同</w:t>
      </w:r>
      <w:r>
        <w:rPr>
          <w:rFonts w:hint="eastAsia" w:ascii="宋体" w:hAnsi="宋体" w:cs="宋体"/>
          <w:color w:val="000000" w:themeColor="text1"/>
          <w:szCs w:val="21"/>
          <w:highlight w:val="none"/>
          <w:lang w:val="en-US" w:eastAsia="zh-CN"/>
          <w14:textFill>
            <w14:solidFill>
              <w14:schemeClr w14:val="tx1"/>
            </w14:solidFill>
          </w14:textFill>
        </w:rPr>
        <w:t>缴纳</w:t>
      </w:r>
      <w:r>
        <w:rPr>
          <w:rFonts w:hint="eastAsia" w:ascii="宋体" w:hAnsi="宋体" w:cs="宋体"/>
          <w:color w:val="000000" w:themeColor="text1"/>
          <w:szCs w:val="21"/>
          <w:highlight w:val="none"/>
          <w14:textFill>
            <w14:solidFill>
              <w14:schemeClr w14:val="tx1"/>
            </w14:solidFill>
          </w14:textFill>
        </w:rPr>
        <w:t>代理服务费。</w:t>
      </w:r>
    </w:p>
    <w:p w14:paraId="5F842456">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34.需要补充的其他内容</w:t>
      </w:r>
    </w:p>
    <w:p w14:paraId="642326A3">
      <w:pPr>
        <w:pStyle w:val="17"/>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34.1</w:t>
      </w:r>
      <w:r>
        <w:rPr>
          <w:rFonts w:hint="eastAsia" w:hAnsi="宋体" w:cs="宋体"/>
          <w:color w:val="000000" w:themeColor="text1"/>
          <w:sz w:val="21"/>
          <w:highlight w:val="none"/>
          <w14:textFill>
            <w14:solidFill>
              <w14:schemeClr w14:val="tx1"/>
            </w14:solidFill>
          </w14:textFill>
        </w:rPr>
        <w:t>本谈判文件解释规则详见</w:t>
      </w:r>
      <w:r>
        <w:rPr>
          <w:rFonts w:hint="eastAsia" w:hAnsi="宋体"/>
          <w:color w:val="000000" w:themeColor="text1"/>
          <w:sz w:val="21"/>
          <w:highlight w:val="none"/>
          <w14:textFill>
            <w14:solidFill>
              <w14:schemeClr w14:val="tx1"/>
            </w14:solidFill>
          </w14:textFill>
        </w:rPr>
        <w:t>“供应商须知前附表”。</w:t>
      </w:r>
    </w:p>
    <w:p w14:paraId="3FCBC60F">
      <w:pPr>
        <w:spacing w:line="360" w:lineRule="auto"/>
        <w:ind w:firstLine="420" w:firstLineChars="200"/>
        <w:rPr>
          <w:rFonts w:hint="eastAsia" w:hAnsi="宋体"/>
          <w:color w:val="000000" w:themeColor="text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34.2其他事</w:t>
      </w:r>
      <w:r>
        <w:rPr>
          <w:rFonts w:hint="eastAsia" w:hAnsi="宋体"/>
          <w:color w:val="000000" w:themeColor="text1"/>
          <w:highlight w:val="none"/>
          <w14:textFill>
            <w14:solidFill>
              <w14:schemeClr w14:val="tx1"/>
            </w14:solidFill>
          </w14:textFill>
        </w:rPr>
        <w:t>项详见“供应商须知前附表”。</w:t>
      </w:r>
    </w:p>
    <w:p w14:paraId="001729B2">
      <w:pPr>
        <w:pStyle w:val="17"/>
        <w:spacing w:line="360" w:lineRule="auto"/>
        <w:ind w:firstLine="400" w:firstLineChars="200"/>
        <w:rPr>
          <w:rFonts w:hAnsi="宋体"/>
          <w:color w:val="000000" w:themeColor="text1"/>
          <w:sz w:val="2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34.3</w:t>
      </w:r>
      <w:bookmarkStart w:id="59" w:name="_Hlk65857140"/>
      <w:r>
        <w:rPr>
          <w:rFonts w:hint="eastAsia" w:hAnsi="宋体"/>
          <w:color w:val="000000" w:themeColor="text1"/>
          <w:sz w:val="21"/>
          <w:highlight w:val="none"/>
          <w14:textFill>
            <w14:solidFill>
              <w14:schemeClr w14:val="tx1"/>
            </w14:solidFill>
          </w14:textFill>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货物符合下列情形的，享受本文件规定的中小企业扶持政策：</w:t>
      </w:r>
    </w:p>
    <w:p w14:paraId="50CDA69B">
      <w:pPr>
        <w:pStyle w:val="17"/>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在货物采购项目中，货物由中小企业制造，即货物由中小企业生产且使用该中小企业商号或者注册商标，不对其中涉及的工程承建商和货物的承接商作出要求；</w:t>
      </w:r>
    </w:p>
    <w:p w14:paraId="5559635F">
      <w:pPr>
        <w:pStyle w:val="17"/>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01FF94D4">
      <w:pPr>
        <w:pStyle w:val="17"/>
        <w:spacing w:line="360" w:lineRule="auto"/>
        <w:ind w:firstLine="420" w:firstLineChars="200"/>
        <w:textAlignment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依据本文件规定享受扶持政策获得政府采购合同的，小微企业不得将合同分包给大中型企业，中型企业不得将合同分包给大型企业。</w:t>
      </w:r>
      <w:bookmarkEnd w:id="59"/>
    </w:p>
    <w:p w14:paraId="69CD962A">
      <w:pPr>
        <w:spacing w:line="360" w:lineRule="auto"/>
        <w:ind w:firstLine="480" w:firstLineChars="200"/>
        <w:rPr>
          <w:rFonts w:hint="eastAsia"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35.政采贷相关说明</w:t>
      </w:r>
    </w:p>
    <w:p w14:paraId="7A9D6BE0">
      <w:pPr>
        <w:pStyle w:val="17"/>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为优化政府采购营商环境，缓解供应商资金难题，南宁市政府采购试行政府采购信用融资制度，</w:t>
      </w:r>
      <w:r>
        <w:rPr>
          <w:rFonts w:hint="eastAsia" w:hAnsi="宋体"/>
          <w:color w:val="000000" w:themeColor="text1"/>
          <w:sz w:val="21"/>
          <w:highlight w:val="none"/>
          <w:lang w:eastAsia="zh-CN"/>
          <w14:textFill>
            <w14:solidFill>
              <w14:schemeClr w14:val="tx1"/>
            </w14:solidFill>
          </w14:textFill>
        </w:rPr>
        <w:t>成交</w:t>
      </w:r>
      <w:r>
        <w:rPr>
          <w:rFonts w:hint="eastAsia" w:hAnsi="宋体"/>
          <w:color w:val="000000" w:themeColor="text1"/>
          <w:sz w:val="21"/>
          <w:highlight w:val="none"/>
          <w14:textFill>
            <w14:solidFill>
              <w14:schemeClr w14:val="tx1"/>
            </w14:solidFill>
          </w14:textFill>
        </w:rPr>
        <w:t>供应商如有融资需求，可凭政府采购合同通过以下方式申请政府采购信用融资贷款：</w:t>
      </w:r>
    </w:p>
    <w:p w14:paraId="681ED91F">
      <w:pPr>
        <w:pStyle w:val="17"/>
        <w:numPr>
          <w:ilvl w:val="0"/>
          <w:numId w:val="0"/>
        </w:num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ascii="宋体" w:hAnsi="宋体"/>
          <w:color w:val="000000" w:themeColor="text1"/>
          <w:kern w:val="0"/>
          <w:sz w:val="21"/>
          <w:szCs w:val="21"/>
          <w:highlight w:val="none"/>
          <w:lang w:val="en-US" w:eastAsia="zh-CN" w:bidi="ar-SA"/>
          <w14:textFill>
            <w14:solidFill>
              <w14:schemeClr w14:val="tx1"/>
            </w14:solidFill>
          </w14:textFill>
        </w:rPr>
        <w:t>（1）</w:t>
      </w:r>
      <w:r>
        <w:rPr>
          <w:rFonts w:hint="eastAsia" w:hAnsi="宋体"/>
          <w:color w:val="000000" w:themeColor="text1"/>
          <w:sz w:val="21"/>
          <w:highlight w:val="none"/>
          <w14:textFill>
            <w14:solidFill>
              <w14:schemeClr w14:val="tx1"/>
            </w14:solidFill>
          </w14:textFill>
        </w:rPr>
        <w:t>线下渠道：在“南宁市公共资源交易中心”官网（网址：</w:t>
      </w:r>
      <w:r>
        <w:rPr>
          <w:rFonts w:hint="eastAsia" w:hAnsi="宋体"/>
          <w:color w:val="000000" w:themeColor="text1"/>
          <w:sz w:val="21"/>
          <w:highlight w:val="none"/>
          <w14:textFill>
            <w14:solidFill>
              <w14:schemeClr w14:val="tx1"/>
            </w14:solidFill>
          </w14:textFill>
        </w:rPr>
        <w:fldChar w:fldCharType="begin"/>
      </w:r>
      <w:r>
        <w:rPr>
          <w:rFonts w:hint="eastAsia" w:hAnsi="宋体"/>
          <w:color w:val="000000" w:themeColor="text1"/>
          <w:sz w:val="21"/>
          <w:highlight w:val="none"/>
          <w14:textFill>
            <w14:solidFill>
              <w14:schemeClr w14:val="tx1"/>
            </w14:solidFill>
          </w14:textFill>
        </w:rPr>
        <w:instrText xml:space="preserve"> HYPERLINK "http://www.nnggzy.org.cn）\“交易信息-政府采购-政府采购信用融资\”中融资银行和南宁市企业融资货物中心专栏信息申请政府采购信用融资。" </w:instrText>
      </w:r>
      <w:r>
        <w:rPr>
          <w:rFonts w:hint="eastAsia" w:hAnsi="宋体"/>
          <w:color w:val="000000" w:themeColor="text1"/>
          <w:sz w:val="21"/>
          <w:highlight w:val="none"/>
          <w14:textFill>
            <w14:solidFill>
              <w14:schemeClr w14:val="tx1"/>
            </w14:solidFill>
          </w14:textFill>
        </w:rPr>
        <w:fldChar w:fldCharType="separate"/>
      </w:r>
      <w:r>
        <w:rPr>
          <w:rStyle w:val="36"/>
          <w:rFonts w:hint="eastAsia" w:hAnsi="宋体"/>
          <w:color w:val="000000" w:themeColor="text1"/>
          <w:sz w:val="21"/>
          <w:highlight w:val="none"/>
          <w14:textFill>
            <w14:solidFill>
              <w14:schemeClr w14:val="tx1"/>
            </w14:solidFill>
          </w14:textFill>
        </w:rPr>
        <w:t>http://www.nnggzy.org.cn）“交易信息-政府采购-政府采购信用融资”中融资银行和南宁市企业融资货物中心专栏信息申请政府采购信用融资。</w:t>
      </w:r>
      <w:r>
        <w:rPr>
          <w:rFonts w:hint="eastAsia" w:hAnsi="宋体"/>
          <w:color w:val="000000" w:themeColor="text1"/>
          <w:sz w:val="21"/>
          <w:highlight w:val="none"/>
          <w14:textFill>
            <w14:solidFill>
              <w14:schemeClr w14:val="tx1"/>
            </w14:solidFill>
          </w14:textFill>
        </w:rPr>
        <w:fldChar w:fldCharType="end"/>
      </w:r>
    </w:p>
    <w:p w14:paraId="7067BD84">
      <w:pPr>
        <w:pStyle w:val="17"/>
        <w:numPr>
          <w:ilvl w:val="0"/>
          <w:numId w:val="0"/>
        </w:numPr>
        <w:spacing w:line="360" w:lineRule="auto"/>
        <w:ind w:firstLine="422" w:firstLineChars="200"/>
        <w:jc w:val="both"/>
        <w:rPr>
          <w:rFonts w:hint="eastAsia"/>
          <w:color w:val="000000" w:themeColor="text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lang w:val="en-US" w:eastAsia="zh-CN" w:bidi="ar-SA"/>
          <w14:textFill>
            <w14:solidFill>
              <w14:schemeClr w14:val="tx1"/>
            </w14:solidFill>
          </w14:textFill>
        </w:rPr>
        <w:t>（2）</w:t>
      </w:r>
      <w:r>
        <w:rPr>
          <w:rFonts w:hint="eastAsia" w:ascii="宋体" w:hAnsi="宋体" w:eastAsia="宋体" w:cs="宋体"/>
          <w:b/>
          <w:color w:val="000000" w:themeColor="text1"/>
          <w:sz w:val="21"/>
          <w:szCs w:val="21"/>
          <w:highlight w:val="none"/>
          <w14:textFill>
            <w14:solidFill>
              <w14:schemeClr w14:val="tx1"/>
            </w14:solidFill>
          </w14:textFill>
        </w:rPr>
        <w:t>线上渠道：登录中征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ascii="宋体" w:hAnsi="宋体" w:eastAsia="宋体" w:cs="宋体"/>
          <w:b/>
          <w:color w:val="000000" w:themeColor="text1"/>
          <w:sz w:val="21"/>
          <w:szCs w:val="21"/>
          <w:highlight w:val="none"/>
          <w14:textFill>
            <w14:solidFill>
              <w14:schemeClr w14:val="tx1"/>
            </w14:solidFill>
          </w14:textFill>
        </w:rPr>
        <w:br w:type="page"/>
      </w:r>
    </w:p>
    <w:p w14:paraId="38753040">
      <w:pPr>
        <w:pStyle w:val="3"/>
        <w:spacing w:before="0" w:after="0" w:line="360" w:lineRule="auto"/>
        <w:ind w:firstLine="883" w:firstLineChars="200"/>
        <w:jc w:val="center"/>
        <w:rPr>
          <w:rFonts w:hint="eastAsia" w:ascii="宋体" w:hAnsi="宋体"/>
          <w:b w:val="0"/>
          <w:color w:val="000000" w:themeColor="text1"/>
          <w:highlight w:val="none"/>
          <w14:textFill>
            <w14:solidFill>
              <w14:schemeClr w14:val="tx1"/>
            </w14:solidFill>
          </w14:textFill>
        </w:rPr>
      </w:pPr>
      <w:bookmarkStart w:id="60" w:name="_Toc25073"/>
      <w:bookmarkStart w:id="61" w:name="_Toc26905"/>
      <w:r>
        <w:rPr>
          <w:rStyle w:val="41"/>
          <w:rFonts w:hint="eastAsia"/>
          <w:b/>
          <w:bCs/>
          <w:color w:val="000000" w:themeColor="text1"/>
          <w:highlight w:val="none"/>
          <w14:textFill>
            <w14:solidFill>
              <w14:schemeClr w14:val="tx1"/>
            </w14:solidFill>
          </w14:textFill>
        </w:rPr>
        <w:t>第四章评审程序、评审方法和成交标准</w:t>
      </w:r>
      <w:bookmarkEnd w:id="60"/>
    </w:p>
    <w:p w14:paraId="7749F82D">
      <w:pPr>
        <w:pStyle w:val="3"/>
        <w:spacing w:before="0" w:after="0" w:line="360" w:lineRule="auto"/>
        <w:ind w:firstLine="640" w:firstLineChars="200"/>
        <w:jc w:val="center"/>
        <w:rPr>
          <w:rFonts w:ascii="宋体" w:hAnsi="宋体"/>
          <w:b w:val="0"/>
          <w:color w:val="000000" w:themeColor="text1"/>
          <w:highlight w:val="none"/>
          <w14:textFill>
            <w14:solidFill>
              <w14:schemeClr w14:val="tx1"/>
            </w14:solidFill>
          </w14:textFill>
        </w:rPr>
      </w:pPr>
      <w:r>
        <w:rPr>
          <w:rFonts w:hint="eastAsia" w:ascii="宋体" w:hAnsi="宋体"/>
          <w:b w:val="0"/>
          <w:color w:val="000000" w:themeColor="text1"/>
          <w:highlight w:val="none"/>
          <w14:textFill>
            <w14:solidFill>
              <w14:schemeClr w14:val="tx1"/>
            </w14:solidFill>
          </w14:textFill>
        </w:rPr>
        <w:t>第一节评审程序和评审方法</w:t>
      </w:r>
      <w:bookmarkEnd w:id="61"/>
    </w:p>
    <w:p w14:paraId="4DEDABC5">
      <w:pPr>
        <w:pageBreakBefore w:val="0"/>
        <w:kinsoku/>
        <w:wordWrap/>
        <w:overflowPunct/>
        <w:topLinePunct w:val="0"/>
        <w:autoSpaceDE/>
        <w:autoSpaceDN/>
        <w:bidi w:val="0"/>
        <w:spacing w:line="360" w:lineRule="auto"/>
        <w:ind w:firstLine="482" w:firstLineChars="200"/>
        <w:textAlignment w:val="auto"/>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1.确认谈判文件</w:t>
      </w:r>
    </w:p>
    <w:p w14:paraId="2874E623">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由谈判小组确认谈判文件。</w:t>
      </w:r>
    </w:p>
    <w:p w14:paraId="1005CC8A">
      <w:pPr>
        <w:pageBreakBefore w:val="0"/>
        <w:kinsoku/>
        <w:wordWrap/>
        <w:overflowPunct/>
        <w:topLinePunct w:val="0"/>
        <w:autoSpaceDE/>
        <w:autoSpaceDN/>
        <w:bidi w:val="0"/>
        <w:spacing w:line="360" w:lineRule="auto"/>
        <w:ind w:firstLine="482" w:firstLineChars="200"/>
        <w:textAlignment w:val="auto"/>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2.资格审查</w:t>
      </w:r>
    </w:p>
    <w:p w14:paraId="0CA9A10E">
      <w:pPr>
        <w:pageBreakBefore w:val="0"/>
        <w:kinsoku/>
        <w:wordWrap/>
        <w:overflowPunct/>
        <w:topLinePunct w:val="0"/>
        <w:autoSpaceDE/>
        <w:autoSpaceDN/>
        <w:bidi w:val="0"/>
        <w:snapToGrid w:val="0"/>
        <w:spacing w:line="360" w:lineRule="auto"/>
        <w:ind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w:t>
      </w:r>
      <w:r>
        <w:rPr>
          <w:rFonts w:hint="eastAsia" w:ascii="宋体" w:hAnsi="宋体"/>
          <w:color w:val="000000" w:themeColor="text1"/>
          <w:szCs w:val="21"/>
          <w:highlight w:val="none"/>
          <w14:textFill>
            <w14:solidFill>
              <w14:schemeClr w14:val="tx1"/>
            </w14:solidFill>
          </w14:textFill>
        </w:rPr>
        <w:t>响应文件开启后，谈判小组依法对供应商的资格证明文件进行审查。</w:t>
      </w:r>
    </w:p>
    <w:p w14:paraId="5AE57A50">
      <w:pPr>
        <w:pageBreakBefore w:val="0"/>
        <w:kinsoku/>
        <w:wordWrap/>
        <w:overflowPunct/>
        <w:topLinePunct w:val="0"/>
        <w:autoSpaceDE/>
        <w:autoSpaceDN/>
        <w:bidi w:val="0"/>
        <w:snapToGrid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注：采购人代表或者采购代理机构在资格审查结束前，对供应商进行信用查询。</w:t>
      </w:r>
    </w:p>
    <w:p w14:paraId="0798629C">
      <w:pPr>
        <w:pageBreakBefore w:val="0"/>
        <w:kinsoku/>
        <w:wordWrap/>
        <w:overflowPunct/>
        <w:topLinePunct w:val="0"/>
        <w:autoSpaceDE/>
        <w:autoSpaceDN/>
        <w:bidi w:val="0"/>
        <w:snapToGrid w:val="0"/>
        <w:spacing w:line="360" w:lineRule="auto"/>
        <w:ind w:firstLine="420" w:firstLineChars="200"/>
        <w:jc w:val="left"/>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（1）查询渠道：广西政府采购云平台“信用中国”网站(</w:t>
      </w:r>
      <w:r>
        <w:rPr>
          <w:rFonts w:ascii="宋体" w:hAnsi="宋体" w:cs="宋体"/>
          <w:color w:val="000000" w:themeColor="text1"/>
          <w:szCs w:val="21"/>
          <w:highlight w:val="none"/>
          <w14:textFill>
            <w14:solidFill>
              <w14:schemeClr w14:val="tx1"/>
            </w14:solidFill>
          </w14:textFill>
        </w:rPr>
        <w:fldChar w:fldCharType="begin"/>
      </w:r>
      <w:r>
        <w:rPr>
          <w:rFonts w:ascii="宋体" w:hAnsi="宋体" w:cs="宋体"/>
          <w:color w:val="000000" w:themeColor="text1"/>
          <w:szCs w:val="21"/>
          <w:highlight w:val="none"/>
          <w14:textFill>
            <w14:solidFill>
              <w14:schemeClr w14:val="tx1"/>
            </w14:solidFill>
          </w14:textFill>
        </w:rPr>
        <w:instrText xml:space="preserve"> HYPERLINK "http://www.creditchina.gov.cn" </w:instrText>
      </w:r>
      <w:r>
        <w:rPr>
          <w:rFonts w:ascii="宋体" w:hAnsi="宋体" w:cs="宋体"/>
          <w:color w:val="000000" w:themeColor="text1"/>
          <w:szCs w:val="21"/>
          <w:highlight w:val="none"/>
          <w14:textFill>
            <w14:solidFill>
              <w14:schemeClr w14:val="tx1"/>
            </w14:solidFill>
          </w14:textFill>
        </w:rPr>
        <w:fldChar w:fldCharType="separate"/>
      </w:r>
      <w:r>
        <w:rPr>
          <w:rStyle w:val="36"/>
          <w:rFonts w:hint="eastAsia" w:ascii="宋体" w:hAnsi="宋体" w:cs="宋体"/>
          <w:color w:val="000000" w:themeColor="text1"/>
          <w:highlight w:val="none"/>
          <w14:textFill>
            <w14:solidFill>
              <w14:schemeClr w14:val="tx1"/>
            </w14:solidFill>
          </w14:textFill>
        </w:rPr>
        <w:t>www.creditchina.gov.cn</w:t>
      </w:r>
      <w:r>
        <w:rPr>
          <w:rFonts w:ascii="宋体" w:hAnsi="宋体" w:cs="宋体"/>
          <w:color w:val="000000" w:themeColor="text1"/>
          <w:szCs w:val="21"/>
          <w:highlight w:val="none"/>
          <w14:textFill>
            <w14:solidFill>
              <w14:schemeClr w14:val="tx1"/>
            </w14:solidFill>
          </w14:textFill>
        </w:rPr>
        <w:fldChar w:fldCharType="end"/>
      </w:r>
      <w:r>
        <w:rPr>
          <w:rFonts w:hint="eastAsia" w:ascii="宋体" w:hAnsi="宋体" w:cs="宋体"/>
          <w:color w:val="000000" w:themeColor="text1"/>
          <w:szCs w:val="21"/>
          <w:highlight w:val="none"/>
          <w14:textFill>
            <w14:solidFill>
              <w14:schemeClr w14:val="tx1"/>
            </w14:solidFill>
          </w14:textFill>
        </w:rPr>
        <w:t>)、中国政府采购网(</w:t>
      </w:r>
      <w:r>
        <w:rPr>
          <w:rFonts w:ascii="宋体" w:hAnsi="宋体" w:cs="宋体"/>
          <w:color w:val="000000" w:themeColor="text1"/>
          <w:szCs w:val="21"/>
          <w:highlight w:val="none"/>
          <w14:textFill>
            <w14:solidFill>
              <w14:schemeClr w14:val="tx1"/>
            </w14:solidFill>
          </w14:textFill>
        </w:rPr>
        <w:fldChar w:fldCharType="begin"/>
      </w:r>
      <w:r>
        <w:rPr>
          <w:rFonts w:ascii="宋体" w:hAnsi="宋体" w:cs="宋体"/>
          <w:color w:val="000000" w:themeColor="text1"/>
          <w:szCs w:val="21"/>
          <w:highlight w:val="none"/>
          <w14:textFill>
            <w14:solidFill>
              <w14:schemeClr w14:val="tx1"/>
            </w14:solidFill>
          </w14:textFill>
        </w:rPr>
        <w:instrText xml:space="preserve"> HYPERLINK "http://www.ccgp.gov.cn" </w:instrText>
      </w:r>
      <w:r>
        <w:rPr>
          <w:rFonts w:ascii="宋体" w:hAnsi="宋体" w:cs="宋体"/>
          <w:color w:val="000000" w:themeColor="text1"/>
          <w:szCs w:val="21"/>
          <w:highlight w:val="none"/>
          <w14:textFill>
            <w14:solidFill>
              <w14:schemeClr w14:val="tx1"/>
            </w14:solidFill>
          </w14:textFill>
        </w:rPr>
        <w:fldChar w:fldCharType="separate"/>
      </w:r>
      <w:r>
        <w:rPr>
          <w:rStyle w:val="36"/>
          <w:rFonts w:hint="eastAsia" w:ascii="宋体" w:hAnsi="宋体" w:cs="宋体"/>
          <w:color w:val="000000" w:themeColor="text1"/>
          <w:highlight w:val="none"/>
          <w14:textFill>
            <w14:solidFill>
              <w14:schemeClr w14:val="tx1"/>
            </w14:solidFill>
          </w14:textFill>
        </w:rPr>
        <w:t>www.ccgp.gov.cn</w:t>
      </w:r>
      <w:r>
        <w:rPr>
          <w:rFonts w:ascii="宋体" w:hAnsi="宋体" w:cs="宋体"/>
          <w:color w:val="000000" w:themeColor="text1"/>
          <w:szCs w:val="21"/>
          <w:highlight w:val="none"/>
          <w14:textFill>
            <w14:solidFill>
              <w14:schemeClr w14:val="tx1"/>
            </w14:solidFill>
          </w14:textFill>
        </w:rPr>
        <w:fldChar w:fldCharType="end"/>
      </w:r>
      <w:r>
        <w:rPr>
          <w:rFonts w:hint="eastAsia" w:ascii="宋体" w:hAnsi="宋体" w:cs="宋体"/>
          <w:color w:val="000000" w:themeColor="text1"/>
          <w:szCs w:val="21"/>
          <w:highlight w:val="none"/>
          <w14:textFill>
            <w14:solidFill>
              <w14:schemeClr w14:val="tx1"/>
            </w14:solidFill>
          </w14:textFill>
        </w:rPr>
        <w:t>)链接入口。</w:t>
      </w:r>
    </w:p>
    <w:p w14:paraId="5D5C7995">
      <w:pPr>
        <w:pageBreakBefore w:val="0"/>
        <w:kinsoku/>
        <w:wordWrap/>
        <w:overflowPunct/>
        <w:topLinePunct w:val="0"/>
        <w:autoSpaceDE/>
        <w:autoSpaceDN/>
        <w:bidi w:val="0"/>
        <w:snapToGrid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（2）信用查询截止时点：资格审查结束前。</w:t>
      </w:r>
    </w:p>
    <w:p w14:paraId="7D0F38A0">
      <w:pPr>
        <w:pageBreakBefore w:val="0"/>
        <w:kinsoku/>
        <w:wordWrap/>
        <w:overflowPunct/>
        <w:topLinePunct w:val="0"/>
        <w:autoSpaceDE/>
        <w:autoSpaceDN/>
        <w:bidi w:val="0"/>
        <w:snapToGrid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查询记录和证据留存方式：在查询网站中直接打印查询记录，截图另存为电子文档作为评审资料保存。</w:t>
      </w:r>
    </w:p>
    <w:p w14:paraId="75B6AD3F">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EEBDB0D">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2.2资格审查标准为本谈判文件中载明对供应商资格要求的条件。资格审查采用合格制，凡符合谈判文件规定的供应商资格要求的响应文件均通过资格审查。</w:t>
      </w:r>
    </w:p>
    <w:p w14:paraId="30C7044D">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2.3供应商有下列情形之一的，资格审查不通过，其响应文件按无效响应处理：</w:t>
      </w:r>
    </w:p>
    <w:p w14:paraId="6B8ADA56">
      <w:pPr>
        <w:pageBreakBefore w:val="0"/>
        <w:kinsoku/>
        <w:wordWrap/>
        <w:overflowPunct/>
        <w:topLinePunct w:val="0"/>
        <w:autoSpaceDE/>
        <w:autoSpaceDN/>
        <w:bidi w:val="0"/>
        <w:snapToGrid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（1）不具备谈判文件中规定的资格要求的；</w:t>
      </w:r>
    </w:p>
    <w:p w14:paraId="5431EA4B">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（2）响应文件未提供任一项“供应商须知前附表”资格证明文件规定的“必须提供”的文件资料的；</w:t>
      </w:r>
    </w:p>
    <w:p w14:paraId="19A3BA3A">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（3）响应文件提供的资格证明文件出现任一项不符合“供应商须知前附表”资格证明文件规定的“必须提供”的文件资料要求或者无效的。</w:t>
      </w:r>
    </w:p>
    <w:p w14:paraId="5254398E">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bookmarkStart w:id="62" w:name="_Hlk68601553"/>
      <w:r>
        <w:rPr>
          <w:rFonts w:hint="eastAsia" w:ascii="宋体" w:hAnsi="宋体" w:cs="宋体"/>
          <w:color w:val="000000" w:themeColor="text1"/>
          <w:szCs w:val="21"/>
          <w:highlight w:val="none"/>
          <w14:textFill>
            <w14:solidFill>
              <w14:schemeClr w14:val="tx1"/>
            </w14:solidFill>
          </w14:textFill>
        </w:rPr>
        <w:t>（4）同一合同项下的不同供应商，单位负责人为同一人或者存在直接控股、管理关系的；为本项目提供过整体设计、规范编制或者项目管理、监理、检测等货物的。</w:t>
      </w:r>
      <w:bookmarkEnd w:id="62"/>
    </w:p>
    <w:p w14:paraId="60CF9C51">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2.4通过资格审查的合格供应商不足3家的，不得进入符合性审查环节，</w:t>
      </w:r>
      <w:r>
        <w:rPr>
          <w:rFonts w:hint="eastAsia" w:ascii="宋体" w:hAnsi="宋体"/>
          <w:color w:val="000000" w:themeColor="text1"/>
          <w:szCs w:val="21"/>
          <w:highlight w:val="none"/>
          <w14:textFill>
            <w14:solidFill>
              <w14:schemeClr w14:val="tx1"/>
            </w14:solidFill>
          </w14:textFill>
        </w:rPr>
        <w:t>采购人或者采购代理机构应当重新开展采购活动。</w:t>
      </w:r>
    </w:p>
    <w:p w14:paraId="26B84D3E">
      <w:pPr>
        <w:pageBreakBefore w:val="0"/>
        <w:kinsoku/>
        <w:wordWrap/>
        <w:overflowPunct/>
        <w:topLinePunct w:val="0"/>
        <w:autoSpaceDE/>
        <w:autoSpaceDN/>
        <w:bidi w:val="0"/>
        <w:spacing w:line="360" w:lineRule="auto"/>
        <w:ind w:firstLine="482" w:firstLineChars="200"/>
        <w:textAlignment w:val="auto"/>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3.符合性审查</w:t>
      </w:r>
    </w:p>
    <w:p w14:paraId="40F8909E">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bookmarkStart w:id="63" w:name="_Hlk42528882"/>
      <w:r>
        <w:rPr>
          <w:rFonts w:hint="eastAsia" w:ascii="宋体" w:hAnsi="宋体" w:cs="宋体"/>
          <w:color w:val="000000" w:themeColor="text1"/>
          <w:szCs w:val="21"/>
          <w:highlight w:val="none"/>
          <w14:textFill>
            <w14:solidFill>
              <w14:schemeClr w14:val="tx1"/>
            </w14:solidFill>
          </w14:textFill>
        </w:rPr>
        <w:t>3.1由谈判小组对</w:t>
      </w:r>
      <w:r>
        <w:rPr>
          <w:rFonts w:hint="eastAsia" w:ascii="宋体" w:hAnsi="宋体"/>
          <w:color w:val="000000" w:themeColor="text1"/>
          <w:szCs w:val="21"/>
          <w:highlight w:val="none"/>
          <w14:textFill>
            <w14:solidFill>
              <w14:schemeClr w14:val="tx1"/>
            </w14:solidFill>
          </w14:textFill>
        </w:rPr>
        <w:t>通过资格审查的合格供应商</w:t>
      </w:r>
      <w:r>
        <w:rPr>
          <w:rFonts w:hint="eastAsia" w:ascii="宋体" w:hAnsi="宋体" w:cs="宋体"/>
          <w:color w:val="000000" w:themeColor="text1"/>
          <w:szCs w:val="21"/>
          <w:highlight w:val="none"/>
          <w14:textFill>
            <w14:solidFill>
              <w14:schemeClr w14:val="tx1"/>
            </w14:solidFill>
          </w14:textFill>
        </w:rPr>
        <w:t>的响应文件的响应报价、商务、技术等实质性要求进行符合性审查，以确定其是否满足谈判文件的实质性要求。</w:t>
      </w:r>
    </w:p>
    <w:bookmarkEnd w:id="63"/>
    <w:p w14:paraId="1D9DE937">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D1A4E27">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pacing w:val="-6"/>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公章</w:t>
      </w:r>
      <w:r>
        <w:rPr>
          <w:rFonts w:hint="eastAsia" w:ascii="宋体" w:hAnsi="宋体" w:cs="宋体"/>
          <w:color w:val="000000" w:themeColor="text1"/>
          <w:spacing w:val="-6"/>
          <w:szCs w:val="21"/>
          <w:highlight w:val="none"/>
          <w14:textFill>
            <w14:solidFill>
              <w14:schemeClr w14:val="tx1"/>
            </w14:solidFill>
          </w14:textFill>
        </w:rPr>
        <w:t>。供应商为自然人的，必须由本人签字并附身份证明。</w:t>
      </w:r>
    </w:p>
    <w:p w14:paraId="4E106773">
      <w:pPr>
        <w:pageBreakBefore w:val="0"/>
        <w:kinsoku/>
        <w:wordWrap/>
        <w:overflowPunct/>
        <w:topLinePunct w:val="0"/>
        <w:autoSpaceDE/>
        <w:autoSpaceDN/>
        <w:bidi w:val="0"/>
        <w:spacing w:line="360" w:lineRule="auto"/>
        <w:ind w:firstLine="396" w:firstLineChars="200"/>
        <w:textAlignment w:val="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3.4</w:t>
      </w:r>
      <w:r>
        <w:rPr>
          <w:rFonts w:hint="eastAsia" w:ascii="宋体" w:hAnsi="宋体" w:cs="宋体"/>
          <w:color w:val="000000" w:themeColor="text1"/>
          <w:szCs w:val="21"/>
          <w:highlight w:val="none"/>
          <w14:textFill>
            <w14:solidFill>
              <w14:schemeClr w14:val="tx1"/>
            </w14:solidFill>
          </w14:textFill>
        </w:rPr>
        <w:t>首次响应文件报价出现前后不一致的，按照下列规定修正：</w:t>
      </w:r>
    </w:p>
    <w:p w14:paraId="238BC4AF">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（1）响应文件中报价表内容与响应文件中相应内容不一致的，以报价表为准；</w:t>
      </w:r>
    </w:p>
    <w:p w14:paraId="15648A82">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（2）大写金额和小写金额不一致的，以大写金额为准；</w:t>
      </w:r>
    </w:p>
    <w:p w14:paraId="375FD618">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（3）单价金额小数点或者百分比有明显错位的，以报价表的总价为准，并修改单价；</w:t>
      </w:r>
    </w:p>
    <w:p w14:paraId="160E9A44">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（4）总价金额与按单价汇总金额不一致的，以单价金额计算结果为准。</w:t>
      </w:r>
    </w:p>
    <w:p w14:paraId="6D78CA56">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同时出现两种以上不一致的，按照以上（1）-（4）规定的顺序逐条进行修正。修正后的报价经供应商确认后产生约束力，供应商不确认的，其响应文件按无效响应处理。</w:t>
      </w:r>
    </w:p>
    <w:p w14:paraId="792ABFDA">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3.5商务技术、报价评审</w:t>
      </w:r>
    </w:p>
    <w:p w14:paraId="60DFEFC1">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在评审时，如发现下列情形之一的，将被视为响应文件无效处理：</w:t>
      </w:r>
    </w:p>
    <w:p w14:paraId="3AFE3943">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（1）商务技术评审</w:t>
      </w:r>
    </w:p>
    <w:p w14:paraId="3AAC97BD">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1）响应文件未按谈判文件要求签署、盖章；</w:t>
      </w:r>
    </w:p>
    <w:p w14:paraId="0E89431D">
      <w:pPr>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2）委托代理人未能出具有效身份证明或者出具的身份证明与授权委托书中的信息不符；</w:t>
      </w:r>
    </w:p>
    <w:p w14:paraId="1AB99D08">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14:paraId="7CEA1CC7">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4）商务条款中标“▲”的条款发生负偏离的或者允许负偏离的条款数超过“供应商须知前附表”规定项数的或者标明实质性的要求发生负偏离；</w:t>
      </w:r>
    </w:p>
    <w:p w14:paraId="3A3F484F">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5）未对竞标有效期作出响应或者响应文件承诺的竞标有效期不满足谈判文件要求；</w:t>
      </w:r>
    </w:p>
    <w:p w14:paraId="14D83536">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6）响应文件的实质性内容未使用中文表述、使用计量单位不符合谈判文件要求；</w:t>
      </w:r>
    </w:p>
    <w:p w14:paraId="132A16B4">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7）响应文件中的文件资料因填写不齐全或者内容虚假或者出现其他情形而导致被谈判小组认定无效；</w:t>
      </w:r>
    </w:p>
    <w:p w14:paraId="096D7122">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8）响应文件含有采购人不能接受的附加条件；</w:t>
      </w:r>
    </w:p>
    <w:p w14:paraId="19C3883B">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9）属于“供应商须知正文”第7.5条情形；</w:t>
      </w:r>
    </w:p>
    <w:p w14:paraId="490C5A9B">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10）技术需求允许负偏离的条款数超过“供应商须知前附表”规定项数；</w:t>
      </w:r>
    </w:p>
    <w:p w14:paraId="7524923B">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11）虚假竞标，或者出现其他情形而导致被谈判小组认定无效；</w:t>
      </w:r>
    </w:p>
    <w:p w14:paraId="3EF1B9CE">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12）竞标技术方案不明确，谈判文件未允许</w:t>
      </w:r>
      <w:r>
        <w:rPr>
          <w:rFonts w:hint="eastAsia" w:ascii="宋体" w:hAnsi="宋体"/>
          <w:color w:val="000000" w:themeColor="text1"/>
          <w:szCs w:val="21"/>
          <w:highlight w:val="none"/>
          <w14:textFill>
            <w14:solidFill>
              <w14:schemeClr w14:val="tx1"/>
            </w14:solidFill>
          </w14:textFill>
        </w:rPr>
        <w:t>但响应文件中</w:t>
      </w:r>
      <w:r>
        <w:rPr>
          <w:rFonts w:hint="eastAsia" w:ascii="宋体" w:hAnsi="宋体" w:cs="宋体"/>
          <w:color w:val="000000" w:themeColor="text1"/>
          <w:szCs w:val="21"/>
          <w:highlight w:val="none"/>
          <w14:textFill>
            <w14:solidFill>
              <w14:schemeClr w14:val="tx1"/>
            </w14:solidFill>
          </w14:textFill>
        </w:rPr>
        <w:t>存在一个或者一个以上备选（替代）竞标方案；</w:t>
      </w:r>
    </w:p>
    <w:p w14:paraId="4E46E9BF">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13）响应文件标注的项目名称或者项目编号与竞争性谈判文件标注的项目名称或者项目编号不一致的；</w:t>
      </w:r>
    </w:p>
    <w:p w14:paraId="5F5612AF">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14）未响应谈判文件实质性要求；</w:t>
      </w:r>
    </w:p>
    <w:p w14:paraId="1435E0BB">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15）法律、法规和谈判文件规定的其他无效情形。</w:t>
      </w:r>
    </w:p>
    <w:p w14:paraId="6A0C57FA">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（2）报价评审</w:t>
      </w:r>
    </w:p>
    <w:p w14:paraId="484B9696">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1)响应文件未提供“供应商须知前附表”报价文件中规定的“响应报价表”；</w:t>
      </w:r>
    </w:p>
    <w:p w14:paraId="08CA7FE0">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2）未采用人民币报价或者未按照谈判文件标明的币种报价；</w:t>
      </w:r>
    </w:p>
    <w:p w14:paraId="2F0C90FE">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490B38B7">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4）响应报价（包含首次报价、最后报价）超过所竞标分标规定的采购预算金额或者最高限价的（如本项目公布了最高限价）；</w:t>
      </w:r>
      <w:bookmarkStart w:id="64" w:name="_Hlk42596405"/>
      <w:r>
        <w:rPr>
          <w:rFonts w:hint="eastAsia" w:ascii="宋体" w:hAnsi="宋体" w:cs="宋体"/>
          <w:color w:val="000000" w:themeColor="text1"/>
          <w:szCs w:val="21"/>
          <w:highlight w:val="none"/>
          <w14:textFill>
            <w14:solidFill>
              <w14:schemeClr w14:val="tx1"/>
            </w14:solidFill>
          </w14:textFill>
        </w:rPr>
        <w:t>响应报价（包含首次报价、最后报价）</w:t>
      </w:r>
      <w:bookmarkEnd w:id="64"/>
      <w:bookmarkStart w:id="65" w:name="_Hlk42596276"/>
      <w:r>
        <w:rPr>
          <w:rFonts w:hint="eastAsia" w:ascii="宋体" w:hAnsi="宋体" w:cs="宋体"/>
          <w:color w:val="000000" w:themeColor="text1"/>
          <w:szCs w:val="21"/>
          <w:highlight w:val="none"/>
          <w14:textFill>
            <w14:solidFill>
              <w14:schemeClr w14:val="tx1"/>
            </w14:solidFill>
          </w14:textFill>
        </w:rPr>
        <w:t>超过谈判文件分项采购预算金额或者最高限价的</w:t>
      </w:r>
      <w:bookmarkEnd w:id="65"/>
      <w:r>
        <w:rPr>
          <w:rFonts w:hint="eastAsia" w:ascii="宋体" w:hAnsi="宋体" w:cs="宋体"/>
          <w:color w:val="000000" w:themeColor="text1"/>
          <w:szCs w:val="21"/>
          <w:highlight w:val="none"/>
          <w14:textFill>
            <w14:solidFill>
              <w14:schemeClr w14:val="tx1"/>
            </w14:solidFill>
          </w14:textFill>
        </w:rPr>
        <w:t>（如本项目公布了最高限价）；</w:t>
      </w:r>
    </w:p>
    <w:p w14:paraId="14C57611">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谈判文件分项采购预算金额或者最高限价的（如本项目公布了最高限价）。</w:t>
      </w:r>
    </w:p>
    <w:p w14:paraId="38AEB62E">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响应文件响应的标的数量及单位与竞争性谈判采购文件要求实质性不一致的。</w:t>
      </w:r>
    </w:p>
    <w:p w14:paraId="5365D88B">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4F0C1ABF">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3.7通过符合性审查的合格供应商不足3家的，不得进入谈判环节，应当重新开展采购活动。</w:t>
      </w:r>
    </w:p>
    <w:p w14:paraId="452E06B2">
      <w:pPr>
        <w:pageBreakBefore w:val="0"/>
        <w:kinsoku/>
        <w:wordWrap/>
        <w:overflowPunct/>
        <w:topLinePunct w:val="0"/>
        <w:autoSpaceDE/>
        <w:autoSpaceDN/>
        <w:bidi w:val="0"/>
        <w:spacing w:line="360" w:lineRule="auto"/>
        <w:ind w:firstLine="482" w:firstLineChars="200"/>
        <w:textAlignment w:val="auto"/>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4.谈判程序</w:t>
      </w:r>
    </w:p>
    <w:p w14:paraId="43284D7B">
      <w:pPr>
        <w:pageBreakBefore w:val="0"/>
        <w:kinsoku/>
        <w:wordWrap/>
        <w:overflowPunct/>
        <w:topLinePunct w:val="0"/>
        <w:autoSpaceDE/>
        <w:autoSpaceDN/>
        <w:bidi w:val="0"/>
        <w:spacing w:line="360" w:lineRule="auto"/>
        <w:ind w:firstLine="420" w:firstLineChars="200"/>
        <w:textAlignment w:val="auto"/>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4.1谈判小组按照“供应商须知前附表”确定的</w:t>
      </w:r>
      <w:r>
        <w:rPr>
          <w:rFonts w:hint="eastAsia" w:ascii="宋体" w:hAnsi="宋体" w:cs="宋体"/>
          <w:color w:val="000000" w:themeColor="text1"/>
          <w:szCs w:val="21"/>
          <w:highlight w:val="none"/>
          <w14:textFill>
            <w14:solidFill>
              <w14:schemeClr w14:val="tx1"/>
            </w14:solidFill>
          </w14:textFill>
        </w:rPr>
        <w:t>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cs="宋体"/>
          <w:b/>
          <w:color w:val="000000" w:themeColor="text1"/>
          <w:szCs w:val="21"/>
          <w:highlight w:val="none"/>
          <w14:textFill>
            <w14:solidFill>
              <w14:schemeClr w14:val="tx1"/>
            </w14:solidFill>
          </w14:textFill>
        </w:rPr>
        <w:t>其响应文件按无效响应处理。</w:t>
      </w:r>
    </w:p>
    <w:p w14:paraId="66C1057E">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568BE7A9">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4.3对谈判文件作出的实质性变动是谈判文件的有效组成部分，由谈判小组及时以电子澄清函形式同时通知所有参加谈判的供应商。</w:t>
      </w:r>
    </w:p>
    <w:p w14:paraId="6AECF42B">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4.4供应商必须按照谈判文件的变动情况和谈判小组的要求以回函的形式重新提交响应文件，并加盖电子公章。供应商为自然人的，必须由本人签字并附身份证明。参加谈判的供应商未在规定时间内重新提交响应文件的，视同退出谈判。</w:t>
      </w:r>
    </w:p>
    <w:p w14:paraId="6CDED0F1">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4.5谈判中，</w:t>
      </w:r>
      <w:r>
        <w:rPr>
          <w:rFonts w:hint="eastAsia" w:ascii="宋体" w:hAnsi="宋体" w:cs="宋体"/>
          <w:color w:val="000000" w:themeColor="text1"/>
          <w:spacing w:val="-6"/>
          <w:szCs w:val="21"/>
          <w:highlight w:val="none"/>
          <w14:textFill>
            <w14:solidFill>
              <w14:schemeClr w14:val="tx1"/>
            </w14:solidFill>
          </w14:textFill>
        </w:rPr>
        <w:t>谈判的任何一方不得透露与谈判有关的其他供应商的技术资料、价格和其他信息。</w:t>
      </w:r>
    </w:p>
    <w:p w14:paraId="410A0D09">
      <w:pPr>
        <w:pageBreakBefore w:val="0"/>
        <w:widowControl/>
        <w:tabs>
          <w:tab w:val="left" w:pos="540"/>
        </w:tabs>
        <w:kinsoku/>
        <w:wordWrap/>
        <w:overflowPunct/>
        <w:topLinePunct w:val="0"/>
        <w:autoSpaceDE/>
        <w:autoSpaceDN/>
        <w:bidi w:val="0"/>
        <w:spacing w:line="360" w:lineRule="auto"/>
        <w:ind w:firstLine="420" w:firstLineChars="200"/>
        <w:jc w:val="left"/>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4.6谈判小组应对谈判过程和重要谈判内容进行记录，作为评标报告一部分，谈判小组在记录上签字确认。</w:t>
      </w:r>
      <w:r>
        <w:rPr>
          <w:rFonts w:hint="eastAsia" w:ascii="仿宋" w:hAnsi="仿宋" w:eastAsia="仿宋" w:cs="仿宋_GB2312"/>
          <w:b/>
          <w:color w:val="000000" w:themeColor="text1"/>
          <w:highlight w:val="none"/>
          <w14:textFill>
            <w14:solidFill>
              <w14:schemeClr w14:val="tx1"/>
            </w14:solidFill>
          </w14:textFill>
        </w:rPr>
        <w:t>主要内容包括：</w:t>
      </w:r>
    </w:p>
    <w:p w14:paraId="03940824">
      <w:pPr>
        <w:pStyle w:val="82"/>
        <w:pageBreakBefore w:val="0"/>
        <w:kinsoku/>
        <w:wordWrap/>
        <w:overflowPunct/>
        <w:topLinePunct w:val="0"/>
        <w:autoSpaceDE/>
        <w:autoSpaceDN/>
        <w:bidi w:val="0"/>
        <w:spacing w:before="0"/>
        <w:ind w:firstLine="396" w:firstLineChars="200"/>
        <w:textAlignment w:val="auto"/>
        <w:rPr>
          <w:rFonts w:hint="eastAsia" w:ascii="宋体" w:hAnsi="宋体" w:cs="宋体"/>
          <w:color w:val="000000" w:themeColor="text1"/>
          <w:spacing w:val="-6"/>
          <w:kern w:val="2"/>
          <w:sz w:val="21"/>
          <w:szCs w:val="21"/>
          <w:highlight w:val="none"/>
          <w14:textFill>
            <w14:solidFill>
              <w14:schemeClr w14:val="tx1"/>
            </w14:solidFill>
          </w14:textFill>
        </w:rPr>
      </w:pPr>
      <w:r>
        <w:rPr>
          <w:rFonts w:hint="eastAsia" w:ascii="宋体" w:hAnsi="宋体" w:cs="宋体"/>
          <w:color w:val="000000" w:themeColor="text1"/>
          <w:spacing w:val="-6"/>
          <w:kern w:val="2"/>
          <w:sz w:val="21"/>
          <w:szCs w:val="21"/>
          <w:highlight w:val="none"/>
          <w14:textFill>
            <w14:solidFill>
              <w14:schemeClr w14:val="tx1"/>
            </w14:solidFill>
          </w14:textFill>
        </w:rPr>
        <w:t>（1）按照相关规定进行公示的，公示情况说明；</w:t>
      </w:r>
    </w:p>
    <w:p w14:paraId="258C1C1D">
      <w:pPr>
        <w:pStyle w:val="82"/>
        <w:pageBreakBefore w:val="0"/>
        <w:kinsoku/>
        <w:wordWrap/>
        <w:overflowPunct/>
        <w:topLinePunct w:val="0"/>
        <w:autoSpaceDE/>
        <w:autoSpaceDN/>
        <w:bidi w:val="0"/>
        <w:spacing w:before="0"/>
        <w:ind w:firstLine="396" w:firstLineChars="200"/>
        <w:textAlignment w:val="auto"/>
        <w:rPr>
          <w:rFonts w:hint="eastAsia" w:ascii="宋体" w:hAnsi="宋体" w:cs="宋体"/>
          <w:color w:val="000000" w:themeColor="text1"/>
          <w:spacing w:val="-6"/>
          <w:kern w:val="2"/>
          <w:sz w:val="21"/>
          <w:szCs w:val="21"/>
          <w:highlight w:val="none"/>
          <w14:textFill>
            <w14:solidFill>
              <w14:schemeClr w14:val="tx1"/>
            </w14:solidFill>
          </w14:textFill>
        </w:rPr>
      </w:pPr>
      <w:r>
        <w:rPr>
          <w:rFonts w:hint="eastAsia" w:ascii="宋体" w:hAnsi="宋体" w:cs="宋体"/>
          <w:color w:val="000000" w:themeColor="text1"/>
          <w:spacing w:val="-6"/>
          <w:kern w:val="2"/>
          <w:sz w:val="21"/>
          <w:szCs w:val="21"/>
          <w:highlight w:val="none"/>
          <w14:textFill>
            <w14:solidFill>
              <w14:schemeClr w14:val="tx1"/>
            </w14:solidFill>
          </w14:textFill>
        </w:rPr>
        <w:t>（2）谈判日期和地点，谈判人员名单；</w:t>
      </w:r>
    </w:p>
    <w:p w14:paraId="54E0C752">
      <w:pPr>
        <w:pStyle w:val="82"/>
        <w:pageBreakBefore w:val="0"/>
        <w:kinsoku/>
        <w:wordWrap/>
        <w:overflowPunct/>
        <w:topLinePunct w:val="0"/>
        <w:autoSpaceDE/>
        <w:autoSpaceDN/>
        <w:bidi w:val="0"/>
        <w:spacing w:before="0"/>
        <w:ind w:firstLine="396" w:firstLineChars="200"/>
        <w:textAlignment w:val="auto"/>
        <w:rPr>
          <w:rFonts w:hint="eastAsia" w:ascii="宋体" w:hAnsi="宋体" w:cs="宋体"/>
          <w:color w:val="000000" w:themeColor="text1"/>
          <w:spacing w:val="-6"/>
          <w:kern w:val="2"/>
          <w:sz w:val="21"/>
          <w:szCs w:val="21"/>
          <w:highlight w:val="none"/>
          <w14:textFill>
            <w14:solidFill>
              <w14:schemeClr w14:val="tx1"/>
            </w14:solidFill>
          </w14:textFill>
        </w:rPr>
      </w:pPr>
      <w:r>
        <w:rPr>
          <w:rFonts w:hint="eastAsia" w:ascii="宋体" w:hAnsi="宋体" w:cs="宋体"/>
          <w:color w:val="000000" w:themeColor="text1"/>
          <w:spacing w:val="-6"/>
          <w:kern w:val="2"/>
          <w:sz w:val="21"/>
          <w:szCs w:val="21"/>
          <w:highlight w:val="none"/>
          <w14:textFill>
            <w14:solidFill>
              <w14:schemeClr w14:val="tx1"/>
            </w14:solidFill>
          </w14:textFill>
        </w:rPr>
        <w:t>（3）合同主要条款及价格商定情况。</w:t>
      </w:r>
    </w:p>
    <w:p w14:paraId="6D836FC9">
      <w:pPr>
        <w:pageBreakBefore w:val="0"/>
        <w:widowControl/>
        <w:tabs>
          <w:tab w:val="left" w:pos="540"/>
        </w:tabs>
        <w:kinsoku/>
        <w:wordWrap/>
        <w:overflowPunct/>
        <w:topLinePunct w:val="0"/>
        <w:autoSpaceDE/>
        <w:autoSpaceDN/>
        <w:bidi w:val="0"/>
        <w:spacing w:line="360" w:lineRule="auto"/>
        <w:ind w:firstLine="420" w:firstLineChars="200"/>
        <w:jc w:val="left"/>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4.7谈判过程中重新提交的响应文件，供应商可以在开启前补充、修改。</w:t>
      </w:r>
    </w:p>
    <w:p w14:paraId="79B98A25">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4.8</w:t>
      </w:r>
      <w:r>
        <w:rPr>
          <w:rFonts w:hint="eastAsia" w:ascii="宋体" w:hAnsi="宋体"/>
          <w:color w:val="000000" w:themeColor="text1"/>
          <w:szCs w:val="21"/>
          <w:highlight w:val="none"/>
          <w14:textFill>
            <w14:solidFill>
              <w14:schemeClr w14:val="tx1"/>
            </w14:solidFill>
          </w14:textFill>
        </w:rPr>
        <w:t>对谈判过程提交的响应文件进行有效性、完整性和响应程度审查，通过审查的合格供应商不足3家的，采购人或者采购代理机构应当重新开展采购活动。</w:t>
      </w:r>
    </w:p>
    <w:p w14:paraId="58B9EDFA">
      <w:pPr>
        <w:pageBreakBefore w:val="0"/>
        <w:kinsoku/>
        <w:wordWrap/>
        <w:overflowPunct/>
        <w:topLinePunct w:val="0"/>
        <w:autoSpaceDE/>
        <w:autoSpaceDN/>
        <w:bidi w:val="0"/>
        <w:spacing w:line="360" w:lineRule="auto"/>
        <w:ind w:firstLine="482"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5.最后报价</w:t>
      </w:r>
    </w:p>
    <w:p w14:paraId="5226F4AE">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5.1谈判文件能够详细列明采购标的的技术、货物要求的，谈判结束后，由谈判小组要求所有继续参加谈判的供应商在规定时间内密封提交最后报价，提交最后报价的供应商不得少于3家，否则必须重新采购。</w:t>
      </w:r>
    </w:p>
    <w:p w14:paraId="6FF5B780">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广西政府采购云平台远程不见面开标大厅响应最后报价。</w:t>
      </w:r>
    </w:p>
    <w:p w14:paraId="07C4C9B2">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5.3最后报价是供应商响应文件的有效组成部分。</w:t>
      </w:r>
    </w:p>
    <w:p w14:paraId="648D3955">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5.4已经提交响应文件的供应商，在提交最后报价之前，可以根据谈判情况退出谈判，退出谈判的供应商的响应文件按无效响应处理。</w:t>
      </w:r>
    </w:p>
    <w:p w14:paraId="6D4FE525">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5.5供应商未在规定时间内提交最后报价的</w:t>
      </w:r>
      <w:r>
        <w:rPr>
          <w:rFonts w:hint="eastAsia" w:ascii="宋体" w:hAnsi="宋体" w:cs="宋体"/>
          <w:b/>
          <w:color w:val="000000" w:themeColor="text1"/>
          <w:szCs w:val="21"/>
          <w:highlight w:val="none"/>
          <w14:textFill>
            <w14:solidFill>
              <w14:schemeClr w14:val="tx1"/>
            </w14:solidFill>
          </w14:textFill>
        </w:rPr>
        <w:t>，视同放弃报价权利退出谈判。</w:t>
      </w:r>
    </w:p>
    <w:p w14:paraId="70C5D983">
      <w:pPr>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5.6最终响应文件的报价出现前后不一致的，按照本章第3.4条的规定修正。</w:t>
      </w:r>
    </w:p>
    <w:p w14:paraId="1A942F46">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5.7修正后的最终报价出现下列情形的，按无效响应处理：</w:t>
      </w:r>
    </w:p>
    <w:p w14:paraId="58A47722">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（1）供应商不确认的（全流程电子化评标采取在线确认）；</w:t>
      </w:r>
    </w:p>
    <w:p w14:paraId="499B6EB6">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（2）经供应商确认修正后的响应报价（包含首次报价、最后报价）超过所竞标分标规定的采购预算金额或者最高限价的（如本项目公布了最高限价）（全流程电子化评标多轮报价设置了上</w:t>
      </w:r>
      <w:r>
        <w:rPr>
          <w:rFonts w:hint="eastAsia" w:ascii="宋体" w:hAnsi="宋体" w:cs="宋体"/>
          <w:color w:val="000000" w:themeColor="text1"/>
          <w:szCs w:val="21"/>
          <w:highlight w:val="none"/>
          <w:lang w:eastAsia="zh-CN"/>
          <w14:textFill>
            <w14:solidFill>
              <w14:schemeClr w14:val="tx1"/>
            </w14:solidFill>
          </w14:textFill>
        </w:rPr>
        <w:t>限</w:t>
      </w:r>
      <w:r>
        <w:rPr>
          <w:rFonts w:hint="eastAsia" w:ascii="宋体" w:hAnsi="宋体" w:cs="宋体"/>
          <w:color w:val="000000" w:themeColor="text1"/>
          <w:szCs w:val="21"/>
          <w:highlight w:val="none"/>
          <w14:textFill>
            <w14:solidFill>
              <w14:schemeClr w14:val="tx1"/>
            </w14:solidFill>
          </w14:textFill>
        </w:rPr>
        <w:t>控制价，即预算价）；</w:t>
      </w:r>
    </w:p>
    <w:p w14:paraId="6CBC1F37">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（3）经供应商确认修正后的响应报价（包含首次报价、最后报价）超过分项采购预算金额或者最高限价的（如本项目公布了最高限价）。</w:t>
      </w:r>
    </w:p>
    <w:p w14:paraId="2D88E732">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5.8经供应商确认修正后的最后报价作为评审及签订合同的依据。</w:t>
      </w:r>
    </w:p>
    <w:p w14:paraId="3B87C676">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5.9供应商出现最后报价按无效响应处理或者响应文件按无效处理时</w:t>
      </w:r>
      <w:r>
        <w:rPr>
          <w:rFonts w:hint="eastAsia" w:ascii="宋体" w:hAnsi="宋体"/>
          <w:color w:val="000000" w:themeColor="text1"/>
          <w:sz w:val="22"/>
          <w:szCs w:val="22"/>
          <w:highlight w:val="none"/>
          <w14:textFill>
            <w14:solidFill>
              <w14:schemeClr w14:val="tx1"/>
            </w14:solidFill>
          </w14:textFill>
        </w:rPr>
        <w:t>，谈判小组应当告知有关供应商</w:t>
      </w:r>
      <w:r>
        <w:rPr>
          <w:rFonts w:hint="eastAsia" w:ascii="宋体" w:hAnsi="宋体" w:cs="宋体"/>
          <w:color w:val="000000" w:themeColor="text1"/>
          <w:szCs w:val="21"/>
          <w:highlight w:val="none"/>
          <w14:textFill>
            <w14:solidFill>
              <w14:schemeClr w14:val="tx1"/>
            </w14:solidFill>
          </w14:textFill>
        </w:rPr>
        <w:t>。</w:t>
      </w:r>
    </w:p>
    <w:p w14:paraId="6633EC7C">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5.10最后报价结束后，谈判小组不得再与供应商进行任何形式的商谈。</w:t>
      </w:r>
    </w:p>
    <w:p w14:paraId="6186AE09">
      <w:pPr>
        <w:pageBreakBefore w:val="0"/>
        <w:bidi w:val="0"/>
        <w:spacing w:line="360" w:lineRule="auto"/>
        <w:ind w:firstLine="42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5.11</w:t>
      </w:r>
      <w:r>
        <w:rPr>
          <w:rFonts w:hint="eastAsia" w:ascii="宋体" w:hAnsi="宋体" w:cs="宋体"/>
          <w:b/>
          <w:bCs/>
          <w:color w:val="000000" w:themeColor="text1"/>
          <w:szCs w:val="21"/>
          <w:highlight w:val="none"/>
          <w14:textFill>
            <w14:solidFill>
              <w14:schemeClr w14:val="tx1"/>
            </w14:solidFill>
          </w14:textFill>
        </w:rPr>
        <w:t>异常低价响应审查</w:t>
      </w:r>
    </w:p>
    <w:p w14:paraId="2931DF05">
      <w:pPr>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（1）谈判小组在评审中发现下列情形之一的，应当启动异常低价响应审查程序：</w:t>
      </w:r>
    </w:p>
    <w:p w14:paraId="2A72C269">
      <w:pPr>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①响应报价低于全部通过符合性审查供应商响应报价平均值</w:t>
      </w:r>
      <w:r>
        <w:rPr>
          <w:rFonts w:hint="eastAsia" w:ascii="宋体" w:hAnsi="宋体" w:cs="宋体"/>
          <w:color w:val="000000" w:themeColor="text1"/>
          <w:szCs w:val="21"/>
          <w:highlight w:val="none"/>
          <w:u w:val="single"/>
          <w:lang w:val="en-US" w:eastAsia="zh-CN"/>
          <w14:textFill>
            <w14:solidFill>
              <w14:schemeClr w14:val="tx1"/>
            </w14:solidFill>
          </w14:textFill>
        </w:rPr>
        <w:t>65</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的，即响应报价＜全部通过符合性审查供应商响应报价平均值×</w:t>
      </w:r>
      <w:r>
        <w:rPr>
          <w:rFonts w:hint="eastAsia" w:ascii="宋体" w:hAnsi="宋体" w:cs="宋体"/>
          <w:color w:val="000000" w:themeColor="text1"/>
          <w:szCs w:val="21"/>
          <w:highlight w:val="none"/>
          <w:u w:val="single"/>
          <w:lang w:val="en-US" w:eastAsia="zh-CN"/>
          <w14:textFill>
            <w14:solidFill>
              <w14:schemeClr w14:val="tx1"/>
            </w14:solidFill>
          </w14:textFill>
        </w:rPr>
        <w:t>65</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 xml:space="preserve">； </w:t>
      </w:r>
    </w:p>
    <w:p w14:paraId="5D6E0D84">
      <w:pPr>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②响应报价低于通过符合性审查的次低报价供应商响应报价</w:t>
      </w:r>
      <w:r>
        <w:rPr>
          <w:rFonts w:hint="eastAsia" w:ascii="宋体" w:hAnsi="宋体" w:cs="宋体"/>
          <w:color w:val="000000" w:themeColor="text1"/>
          <w:szCs w:val="21"/>
          <w:highlight w:val="none"/>
          <w:u w:val="single"/>
          <w:lang w:val="en-US" w:eastAsia="zh-CN"/>
          <w14:textFill>
            <w14:solidFill>
              <w14:schemeClr w14:val="tx1"/>
            </w14:solidFill>
          </w14:textFill>
        </w:rPr>
        <w:t>65</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的，即响应报价＜通过符合性审查的次低报价供应商响应报价×</w:t>
      </w:r>
      <w:r>
        <w:rPr>
          <w:rFonts w:hint="eastAsia" w:ascii="宋体" w:hAnsi="宋体" w:cs="宋体"/>
          <w:color w:val="000000" w:themeColor="text1"/>
          <w:szCs w:val="21"/>
          <w:highlight w:val="none"/>
          <w:u w:val="single"/>
          <w:lang w:val="en-US" w:eastAsia="zh-CN"/>
          <w14:textFill>
            <w14:solidFill>
              <w14:schemeClr w14:val="tx1"/>
            </w14:solidFill>
          </w14:textFill>
        </w:rPr>
        <w:t>65</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t>
      </w:r>
    </w:p>
    <w:p w14:paraId="30F9131D">
      <w:pPr>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③响应报价低于采购项目最高限价</w:t>
      </w:r>
      <w:r>
        <w:rPr>
          <w:rFonts w:hint="eastAsia" w:ascii="宋体" w:hAnsi="宋体" w:cs="宋体"/>
          <w:color w:val="000000" w:themeColor="text1"/>
          <w:szCs w:val="21"/>
          <w:highlight w:val="none"/>
          <w:u w:val="single"/>
          <w:lang w:val="en-US" w:eastAsia="zh-CN"/>
          <w14:textFill>
            <w14:solidFill>
              <w14:schemeClr w14:val="tx1"/>
            </w14:solidFill>
          </w14:textFill>
        </w:rPr>
        <w:t>65</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的，即响应报价＜采购项目最高限价×</w:t>
      </w:r>
      <w:r>
        <w:rPr>
          <w:rFonts w:hint="eastAsia" w:ascii="宋体" w:hAnsi="宋体" w:cs="宋体"/>
          <w:color w:val="000000" w:themeColor="text1"/>
          <w:szCs w:val="21"/>
          <w:highlight w:val="none"/>
          <w:u w:val="single"/>
          <w:lang w:val="en-US" w:eastAsia="zh-CN"/>
          <w14:textFill>
            <w14:solidFill>
              <w14:schemeClr w14:val="tx1"/>
            </w14:solidFill>
          </w14:textFill>
        </w:rPr>
        <w:t>65</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t>
      </w:r>
    </w:p>
    <w:p w14:paraId="6381AE31">
      <w:pPr>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④谈判小组基于专业判断，认为供应商报价过低，有可能影响产品质量或者不能诚信履约的其他情形。</w:t>
      </w:r>
    </w:p>
    <w:p w14:paraId="6417B399">
      <w:pPr>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7083A237">
      <w:pPr>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谈判小组依据专业经验，参考同类项目中标（成交）价格、类似产品市场价格水平、行业人工费用标准、国家有关部门指导行业协会发布的行业平均成本等情况，对报价合理性进行判断。</w:t>
      </w:r>
      <w:r>
        <w:rPr>
          <w:rFonts w:hint="eastAsia" w:ascii="宋体" w:hAnsi="宋体" w:cs="宋体"/>
          <w:b/>
          <w:bCs/>
          <w:color w:val="000000" w:themeColor="text1"/>
          <w:szCs w:val="21"/>
          <w:highlight w:val="none"/>
          <w14:textFill>
            <w14:solidFill>
              <w14:schemeClr w14:val="tx1"/>
            </w14:solidFill>
          </w14:textFill>
        </w:rPr>
        <w:t>相关供应商不能提供书面说明、证明材料，或者提供的书面说明、证明材料不能证明其报价合理性的，谈判小组应当将其作为无效响应处理。</w:t>
      </w:r>
    </w:p>
    <w:p w14:paraId="0A71199F">
      <w:pPr>
        <w:pageBreakBefore w:val="0"/>
        <w:bidi w:val="0"/>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64B67A81">
      <w:pPr>
        <w:pageBreakBefore w:val="0"/>
        <w:kinsoku/>
        <w:wordWrap/>
        <w:overflowPunct/>
        <w:topLinePunct w:val="0"/>
        <w:autoSpaceDE/>
        <w:autoSpaceDN/>
        <w:bidi w:val="0"/>
        <w:spacing w:line="360" w:lineRule="auto"/>
        <w:ind w:firstLine="420" w:firstLineChars="200"/>
        <w:textAlignment w:val="auto"/>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异常低价响应审查的启动原因、审查意见和审查结果应当在评审报告中记录，并随供应商提供的相关书面说明及证明材料，以及谈判小组有关互联网浏览、查询历史一并归档。</w:t>
      </w:r>
    </w:p>
    <w:p w14:paraId="6AC004A2">
      <w:pPr>
        <w:pageBreakBefore w:val="0"/>
        <w:kinsoku/>
        <w:wordWrap/>
        <w:overflowPunct/>
        <w:topLinePunct w:val="0"/>
        <w:autoSpaceDE/>
        <w:autoSpaceDN/>
        <w:bidi w:val="0"/>
        <w:spacing w:line="360" w:lineRule="auto"/>
        <w:ind w:firstLine="482" w:firstLineChars="200"/>
        <w:textAlignment w:val="auto"/>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6.最后报价政府采购政策性扣除</w:t>
      </w:r>
    </w:p>
    <w:p w14:paraId="3C2C63E2">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6.1评审价为供应商的最后报价进行政策性扣除后的价格，评审价只是作为评审时使用。最终成交供应商的成交金额等于最后报价（如有修正，以确认修正后的最后报价为准）。</w:t>
      </w:r>
    </w:p>
    <w:p w14:paraId="59D5BCCF">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6.2</w:t>
      </w:r>
      <w:r>
        <w:rPr>
          <w:rFonts w:hint="eastAsia" w:ascii="宋体" w:hAnsi="宋体" w:cs="宋体"/>
          <w:color w:val="000000" w:themeColor="text1"/>
          <w:highlight w:val="none"/>
          <w14:textFill>
            <w14:solidFill>
              <w14:schemeClr w14:val="tx1"/>
            </w14:solidFill>
          </w14:textFill>
        </w:rPr>
        <w:t>政策性扣除计算方法。</w:t>
      </w:r>
    </w:p>
    <w:p w14:paraId="5890B021">
      <w:pPr>
        <w:pageBreakBefore w:val="0"/>
        <w:kinsoku/>
        <w:wordWrap/>
        <w:overflowPunct/>
        <w:topLinePunct w:val="0"/>
        <w:autoSpaceDE/>
        <w:autoSpaceDN/>
        <w:bidi w:val="0"/>
        <w:spacing w:line="360" w:lineRule="auto"/>
        <w:ind w:firstLine="422" w:firstLineChars="200"/>
        <w:textAlignment w:val="auto"/>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本项目专门面向</w:t>
      </w:r>
      <w:r>
        <w:rPr>
          <w:rFonts w:hint="eastAsia" w:ascii="宋体" w:hAnsi="宋体" w:cs="宋体"/>
          <w:b/>
          <w:bCs/>
          <w:color w:val="000000" w:themeColor="text1"/>
          <w:szCs w:val="21"/>
          <w:highlight w:val="none"/>
          <w:lang w:val="en-US" w:eastAsia="zh-CN"/>
          <w14:textFill>
            <w14:solidFill>
              <w14:schemeClr w14:val="tx1"/>
            </w14:solidFill>
          </w14:textFill>
        </w:rPr>
        <w:t>小微</w:t>
      </w:r>
      <w:r>
        <w:rPr>
          <w:rFonts w:hint="eastAsia" w:ascii="宋体" w:hAnsi="宋体" w:cs="宋体"/>
          <w:b/>
          <w:bCs/>
          <w:color w:val="000000" w:themeColor="text1"/>
          <w:szCs w:val="21"/>
          <w:highlight w:val="none"/>
          <w14:textFill>
            <w14:solidFill>
              <w14:schemeClr w14:val="tx1"/>
            </w14:solidFill>
          </w14:textFill>
        </w:rPr>
        <w:t>企业采购，不再额外享受小微企业价格扣减政策。</w:t>
      </w:r>
    </w:p>
    <w:p w14:paraId="59009873">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6.3本国产品政策性扣除计算方法。</w:t>
      </w:r>
    </w:p>
    <w:p w14:paraId="6F0736F8">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681A3061">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2C35C1B6">
      <w:pPr>
        <w:pageBreakBefore w:val="0"/>
        <w:kinsoku/>
        <w:wordWrap/>
        <w:overflowPunct/>
        <w:topLinePunct w:val="0"/>
        <w:autoSpaceDE/>
        <w:autoSpaceDN/>
        <w:bidi w:val="0"/>
        <w:spacing w:line="360" w:lineRule="auto"/>
        <w:ind w:firstLine="422" w:firstLineChars="200"/>
        <w:textAlignment w:val="auto"/>
        <w:rPr>
          <w:rFonts w:hint="eastAsia" w:ascii="宋体" w:hAnsi="宋体" w:cs="宋体"/>
          <w:b/>
          <w:bCs/>
          <w:color w:val="000000" w:themeColor="text1"/>
          <w:highlight w:val="none"/>
          <w:lang w:val="en-US" w:eastAsia="zh-CN"/>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如果所有参与竞争的供应商均可享受本国产品价格评审优惠，则统一不进行价格扣除。</w:t>
      </w:r>
    </w:p>
    <w:p w14:paraId="1094E47D">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供应商在其响应文件中提供《关于符合本国产品标准的声明函》或财政部会同有关部门规定的有关证明文件，出具符合要求的《声明函》或有关证明文件的，该产品视为本国产品。</w:t>
      </w:r>
    </w:p>
    <w:p w14:paraId="26F62B43">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6.4中小企业政策性折扣与本国产品政策性折扣进行叠加计算（如有），用扣除后的价格参加评审。即评审价=竞标报价-中小企业政策性折扣（如有）-本国产品政策性折扣。</w:t>
      </w:r>
    </w:p>
    <w:p w14:paraId="4FA57FD5">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6.5除上述情况外，评审价＝最后报价。</w:t>
      </w:r>
    </w:p>
    <w:p w14:paraId="627D9087">
      <w:pPr>
        <w:pageBreakBefore w:val="0"/>
        <w:kinsoku/>
        <w:wordWrap/>
        <w:overflowPunct/>
        <w:topLinePunct w:val="0"/>
        <w:autoSpaceDE/>
        <w:autoSpaceDN/>
        <w:bidi w:val="0"/>
        <w:spacing w:line="360" w:lineRule="auto"/>
        <w:ind w:firstLine="482" w:firstLineChars="200"/>
        <w:textAlignment w:val="auto"/>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7.评审复核</w:t>
      </w:r>
    </w:p>
    <w:p w14:paraId="7449129F">
      <w:pPr>
        <w:pageBreakBefore w:val="0"/>
        <w:kinsoku/>
        <w:wordWrap/>
        <w:overflowPunct/>
        <w:topLinePunct w:val="0"/>
        <w:autoSpaceDE/>
        <w:autoSpaceDN/>
        <w:bidi w:val="0"/>
        <w:spacing w:line="360" w:lineRule="auto"/>
        <w:ind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7.1评审报告签署前，评审委员会要对评审结果进行复核，复核意见要体现在评审报告中。</w:t>
      </w:r>
    </w:p>
    <w:p w14:paraId="4ABB62FF">
      <w:pPr>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7.2除资格性审查认定错误和价格计算错误外，采购人或者采购代理机构不得以任何理由组织重新评审。</w:t>
      </w:r>
    </w:p>
    <w:p w14:paraId="3FCD934F">
      <w:pPr>
        <w:pStyle w:val="3"/>
        <w:pageBreakBefore w:val="0"/>
        <w:kinsoku/>
        <w:wordWrap/>
        <w:overflowPunct/>
        <w:topLinePunct w:val="0"/>
        <w:autoSpaceDE/>
        <w:autoSpaceDN/>
        <w:bidi w:val="0"/>
        <w:spacing w:before="0" w:after="0" w:line="360" w:lineRule="auto"/>
        <w:jc w:val="center"/>
        <w:textAlignment w:val="auto"/>
        <w:rPr>
          <w:rFonts w:hint="eastAsia" w:ascii="宋体" w:hAnsi="宋体" w:cs="宋体"/>
          <w:b w:val="0"/>
          <w:color w:val="000000" w:themeColor="text1"/>
          <w:highlight w:val="none"/>
          <w14:textFill>
            <w14:solidFill>
              <w14:schemeClr w14:val="tx1"/>
            </w14:solidFill>
          </w14:textFill>
        </w:rPr>
      </w:pPr>
      <w:bookmarkStart w:id="66" w:name="_Toc21591"/>
      <w:r>
        <w:rPr>
          <w:rFonts w:hint="eastAsia" w:ascii="宋体" w:hAnsi="宋体"/>
          <w:b w:val="0"/>
          <w:color w:val="000000" w:themeColor="text1"/>
          <w:highlight w:val="none"/>
          <w14:textFill>
            <w14:solidFill>
              <w14:schemeClr w14:val="tx1"/>
            </w14:solidFill>
          </w14:textFill>
        </w:rPr>
        <w:t>第二节评审原则</w:t>
      </w:r>
      <w:bookmarkEnd w:id="66"/>
    </w:p>
    <w:p w14:paraId="2139AD2D">
      <w:pPr>
        <w:pageBreakBefore w:val="0"/>
        <w:kinsoku/>
        <w:wordWrap/>
        <w:overflowPunct/>
        <w:topLinePunct w:val="0"/>
        <w:autoSpaceDE/>
        <w:autoSpaceDN/>
        <w:bidi w:val="0"/>
        <w:spacing w:line="360" w:lineRule="auto"/>
        <w:ind w:firstLine="480" w:firstLineChars="200"/>
        <w:jc w:val="left"/>
        <w:textAlignment w:val="auto"/>
        <w:rPr>
          <w:rFonts w:hint="eastAsia" w:ascii="黑体" w:hAnsi="黑体" w:eastAsia="黑体" w:cs="宋体"/>
          <w:color w:val="000000" w:themeColor="text1"/>
          <w:sz w:val="24"/>
          <w:szCs w:val="32"/>
          <w:highlight w:val="none"/>
          <w14:textFill>
            <w14:solidFill>
              <w14:schemeClr w14:val="tx1"/>
            </w14:solidFill>
          </w14:textFill>
        </w:rPr>
      </w:pPr>
      <w:r>
        <w:rPr>
          <w:rFonts w:hint="eastAsia" w:ascii="黑体" w:hAnsi="黑体" w:eastAsia="黑体" w:cs="宋体"/>
          <w:color w:val="000000" w:themeColor="text1"/>
          <w:sz w:val="24"/>
          <w:szCs w:val="32"/>
          <w:highlight w:val="none"/>
          <w14:textFill>
            <w14:solidFill>
              <w14:schemeClr w14:val="tx1"/>
            </w14:solidFill>
          </w14:textFill>
        </w:rPr>
        <w:t>1.评审原则</w:t>
      </w:r>
    </w:p>
    <w:p w14:paraId="5322FA62">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60D2D152">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1.2根据</w:t>
      </w:r>
      <w:r>
        <w:rPr>
          <w:rFonts w:hint="eastAsia"/>
          <w:color w:val="000000" w:themeColor="text1"/>
          <w:highlight w:val="none"/>
          <w14:textFill>
            <w14:solidFill>
              <w14:schemeClr w14:val="tx1"/>
            </w14:solidFill>
          </w14:textFill>
        </w:rPr>
        <w:t>《政府采购非招标采购方式管理办法》（财政部令第</w:t>
      </w:r>
      <w:r>
        <w:rPr>
          <w:color w:val="000000" w:themeColor="text1"/>
          <w:highlight w:val="none"/>
          <w14:textFill>
            <w14:solidFill>
              <w14:schemeClr w14:val="tx1"/>
            </w14:solidFill>
          </w14:textFill>
        </w:rPr>
        <w:t>74</w:t>
      </w:r>
      <w:r>
        <w:rPr>
          <w:rFonts w:hint="eastAsia"/>
          <w:color w:val="000000" w:themeColor="text1"/>
          <w:highlight w:val="none"/>
          <w14:textFill>
            <w14:solidFill>
              <w14:schemeClr w14:val="tx1"/>
            </w14:solidFill>
          </w14:textFill>
        </w:rPr>
        <w:t>号）第二十一条</w:t>
      </w:r>
      <w:r>
        <w:rPr>
          <w:rFonts w:hint="eastAsia" w:ascii="宋体" w:hAnsi="宋体" w:cs="宋体"/>
          <w:color w:val="000000" w:themeColor="text1"/>
          <w:highlight w:val="none"/>
          <w14:textFill>
            <w14:solidFill>
              <w14:schemeClr w14:val="tx1"/>
            </w14:solidFill>
          </w14:textFill>
        </w:rPr>
        <w:t>规定，评审结果汇总完成后，采购人、采购代理机构和谈判小组均不得修改评审结果或者要求重新评审，但资格性检查认定错误、分值汇总计算错误、分项评分超出评分标准范围、客观分评分不一致、经评审委员会一致认定评分畸高、畸低的情形除外。出现上述除外情形的，谈判小组应当现场修改评审结果，并在评审报告中明确记载。</w:t>
      </w:r>
      <w:bookmarkStart w:id="67" w:name="_Toc321836413"/>
      <w:bookmarkStart w:id="68" w:name="_Toc432194885"/>
      <w:bookmarkStart w:id="69" w:name="_Toc432106535"/>
    </w:p>
    <w:bookmarkEnd w:id="67"/>
    <w:bookmarkEnd w:id="68"/>
    <w:bookmarkEnd w:id="69"/>
    <w:p w14:paraId="548EE193">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15FB5598">
      <w:pPr>
        <w:pageBreakBefore w:val="0"/>
        <w:kinsoku/>
        <w:wordWrap/>
        <w:overflowPunct/>
        <w:topLinePunct w:val="0"/>
        <w:autoSpaceDE/>
        <w:autoSpaceDN/>
        <w:bidi w:val="0"/>
        <w:spacing w:line="360" w:lineRule="auto"/>
        <w:ind w:firstLine="480" w:firstLineChars="200"/>
        <w:textAlignment w:val="auto"/>
        <w:rPr>
          <w:rFonts w:hint="eastAsia" w:ascii="黑体" w:hAnsi="黑体" w:eastAsia="黑体" w:cs="宋体"/>
          <w:color w:val="000000" w:themeColor="text1"/>
          <w:sz w:val="24"/>
          <w:szCs w:val="32"/>
          <w:highlight w:val="none"/>
          <w14:textFill>
            <w14:solidFill>
              <w14:schemeClr w14:val="tx1"/>
            </w14:solidFill>
          </w14:textFill>
        </w:rPr>
      </w:pPr>
      <w:r>
        <w:rPr>
          <w:rFonts w:hint="eastAsia" w:ascii="黑体" w:hAnsi="黑体" w:eastAsia="黑体" w:cs="宋体"/>
          <w:color w:val="000000" w:themeColor="text1"/>
          <w:sz w:val="24"/>
          <w:szCs w:val="32"/>
          <w:highlight w:val="none"/>
          <w14:textFill>
            <w14:solidFill>
              <w14:schemeClr w14:val="tx1"/>
            </w14:solidFill>
          </w14:textFill>
        </w:rPr>
        <w:t>2.终止竞争性谈判采购活动</w:t>
      </w:r>
    </w:p>
    <w:p w14:paraId="4CAD08F2">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出现下列情形之一的，采购人或者采购代理机构应当终止竞争性谈判采购活动，发布项目终止公告并说明原因，重新开展采购活动：</w:t>
      </w:r>
    </w:p>
    <w:p w14:paraId="13BF97EA">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（1）因情况变化，不再符合规定的竞争性谈判采购方式适用情形的；</w:t>
      </w:r>
    </w:p>
    <w:p w14:paraId="3A5E2D8D">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（2）出现影响采购公正的违法、违规行为的；</w:t>
      </w:r>
    </w:p>
    <w:p w14:paraId="797E4275">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（3）在采购过程中符合竞争要求的供应商或者报价未超过采购预算的供应商不足3家的，但《政府采购非招标采购方式管理办法》第二十七条第二款规定的情形除外。</w:t>
      </w:r>
    </w:p>
    <w:p w14:paraId="445443C0">
      <w:pPr>
        <w:pStyle w:val="3"/>
        <w:pageBreakBefore w:val="0"/>
        <w:kinsoku/>
        <w:wordWrap/>
        <w:overflowPunct/>
        <w:topLinePunct w:val="0"/>
        <w:autoSpaceDE/>
        <w:autoSpaceDN/>
        <w:bidi w:val="0"/>
        <w:spacing w:before="0" w:after="0" w:line="360" w:lineRule="auto"/>
        <w:jc w:val="center"/>
        <w:textAlignment w:val="auto"/>
        <w:rPr>
          <w:rFonts w:hint="eastAsia" w:ascii="宋体" w:hAnsi="宋体" w:cs="宋体"/>
          <w:b w:val="0"/>
          <w:color w:val="000000" w:themeColor="text1"/>
          <w:highlight w:val="none"/>
          <w14:textFill>
            <w14:solidFill>
              <w14:schemeClr w14:val="tx1"/>
            </w14:solidFill>
          </w14:textFill>
        </w:rPr>
      </w:pPr>
      <w:bookmarkStart w:id="70" w:name="_Toc1326"/>
      <w:r>
        <w:rPr>
          <w:rFonts w:hint="eastAsia" w:ascii="宋体" w:hAnsi="宋体"/>
          <w:b w:val="0"/>
          <w:color w:val="000000" w:themeColor="text1"/>
          <w:highlight w:val="none"/>
          <w14:textFill>
            <w14:solidFill>
              <w14:schemeClr w14:val="tx1"/>
            </w14:solidFill>
          </w14:textFill>
        </w:rPr>
        <w:t>第三节评标报告</w:t>
      </w:r>
      <w:bookmarkEnd w:id="70"/>
    </w:p>
    <w:p w14:paraId="1170E82A">
      <w:pPr>
        <w:pageBreakBefore w:val="0"/>
        <w:kinsoku/>
        <w:wordWrap/>
        <w:overflowPunct/>
        <w:topLinePunct w:val="0"/>
        <w:autoSpaceDE/>
        <w:autoSpaceDN/>
        <w:bidi w:val="0"/>
        <w:spacing w:line="360" w:lineRule="auto"/>
        <w:ind w:firstLine="480" w:firstLineChars="200"/>
        <w:textAlignment w:val="auto"/>
        <w:rPr>
          <w:rFonts w:hint="eastAsia" w:ascii="黑体" w:hAnsi="黑体" w:eastAsia="黑体" w:cs="宋体"/>
          <w:color w:val="000000" w:themeColor="text1"/>
          <w:sz w:val="24"/>
          <w:szCs w:val="32"/>
          <w:highlight w:val="none"/>
          <w14:textFill>
            <w14:solidFill>
              <w14:schemeClr w14:val="tx1"/>
            </w14:solidFill>
          </w14:textFill>
        </w:rPr>
      </w:pPr>
      <w:r>
        <w:rPr>
          <w:rFonts w:hint="eastAsia" w:ascii="黑体" w:hAnsi="黑体" w:eastAsia="黑体" w:cs="宋体"/>
          <w:color w:val="000000" w:themeColor="text1"/>
          <w:sz w:val="24"/>
          <w:szCs w:val="32"/>
          <w:highlight w:val="none"/>
          <w14:textFill>
            <w14:solidFill>
              <w14:schemeClr w14:val="tx1"/>
            </w14:solidFill>
          </w14:textFill>
        </w:rPr>
        <w:t>1.成交标准</w:t>
      </w:r>
    </w:p>
    <w:p w14:paraId="34DC90AA">
      <w:pPr>
        <w:pageBreakBefore w:val="0"/>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26.2条规定的顺序推荐）,并在线编写电子评审报告。</w:t>
      </w:r>
    </w:p>
    <w:p w14:paraId="3D1FD386">
      <w:pPr>
        <w:pageBreakBefore w:val="0"/>
        <w:kinsoku/>
        <w:wordWrap/>
        <w:overflowPunct/>
        <w:topLinePunct w:val="0"/>
        <w:autoSpaceDE/>
        <w:autoSpaceDN/>
        <w:bidi w:val="0"/>
        <w:spacing w:line="360" w:lineRule="auto"/>
        <w:ind w:firstLine="480" w:firstLineChars="200"/>
        <w:textAlignment w:val="auto"/>
        <w:rPr>
          <w:rFonts w:hint="eastAsia" w:ascii="黑体" w:hAnsi="黑体" w:eastAsia="黑体" w:cs="宋体"/>
          <w:color w:val="000000" w:themeColor="text1"/>
          <w:sz w:val="24"/>
          <w:szCs w:val="32"/>
          <w:highlight w:val="none"/>
          <w14:textFill>
            <w14:solidFill>
              <w14:schemeClr w14:val="tx1"/>
            </w14:solidFill>
          </w14:textFill>
        </w:rPr>
      </w:pPr>
      <w:r>
        <w:rPr>
          <w:rFonts w:hint="eastAsia" w:ascii="黑体" w:hAnsi="黑体" w:eastAsia="黑体" w:cs="宋体"/>
          <w:color w:val="000000" w:themeColor="text1"/>
          <w:sz w:val="24"/>
          <w:szCs w:val="32"/>
          <w:highlight w:val="none"/>
          <w14:textFill>
            <w14:solidFill>
              <w14:schemeClr w14:val="tx1"/>
            </w14:solidFill>
          </w14:textFill>
        </w:rPr>
        <w:t>2.评标争议事项处理</w:t>
      </w:r>
    </w:p>
    <w:p w14:paraId="474C6BBB">
      <w:pPr>
        <w:pStyle w:val="82"/>
        <w:pageBreakBefore w:val="0"/>
        <w:kinsoku/>
        <w:wordWrap/>
        <w:overflowPunct/>
        <w:topLinePunct w:val="0"/>
        <w:autoSpaceDE/>
        <w:autoSpaceDN/>
        <w:bidi w:val="0"/>
        <w:spacing w:before="0"/>
        <w:ind w:firstLine="420" w:firstLineChars="200"/>
        <w:textAlignment w:val="auto"/>
        <w:rPr>
          <w:rFonts w:hint="eastAsia" w:ascii="宋体" w:hAnsi="宋体" w:cs="宋体"/>
          <w:color w:val="000000" w:themeColor="text1"/>
          <w:kern w:val="2"/>
          <w:sz w:val="21"/>
          <w:szCs w:val="24"/>
          <w:highlight w:val="none"/>
          <w14:textFill>
            <w14:solidFill>
              <w14:schemeClr w14:val="tx1"/>
            </w14:solidFill>
          </w14:textFill>
        </w:rPr>
      </w:pPr>
      <w:r>
        <w:rPr>
          <w:rFonts w:hint="eastAsia" w:ascii="宋体" w:hAnsi="宋体" w:cs="宋体"/>
          <w:color w:val="000000" w:themeColor="text1"/>
          <w:kern w:val="2"/>
          <w:sz w:val="21"/>
          <w:szCs w:val="24"/>
          <w:highlight w:val="none"/>
          <w14:textFill>
            <w14:solidFill>
              <w14:schemeClr w14:val="tx1"/>
            </w14:solidFill>
          </w14:textFill>
        </w:rPr>
        <w:t>谈判小组成员对需要共同认定的事项存在争议的，应当按照少数服从多数的原则作出结论。持不同意见的谈判小组成员应当在评标报告上签署不同意见及理由，否则视为同意评标报告。</w:t>
      </w:r>
    </w:p>
    <w:p w14:paraId="0B396AE3">
      <w:pPr>
        <w:pStyle w:val="3"/>
        <w:pageBreakBefore w:val="0"/>
        <w:kinsoku/>
        <w:wordWrap/>
        <w:overflowPunct/>
        <w:topLinePunct w:val="0"/>
        <w:autoSpaceDE/>
        <w:autoSpaceDN/>
        <w:bidi w:val="0"/>
        <w:spacing w:before="0" w:after="0" w:line="360" w:lineRule="auto"/>
        <w:jc w:val="center"/>
        <w:textAlignment w:val="auto"/>
        <w:rPr>
          <w:rFonts w:hint="eastAsia" w:ascii="宋体" w:hAnsi="宋体" w:cs="宋体"/>
          <w:b w:val="0"/>
          <w:color w:val="000000" w:themeColor="text1"/>
          <w:highlight w:val="none"/>
          <w14:textFill>
            <w14:solidFill>
              <w14:schemeClr w14:val="tx1"/>
            </w14:solidFill>
          </w14:textFill>
        </w:rPr>
      </w:pPr>
      <w:bookmarkStart w:id="71" w:name="_Toc31977"/>
      <w:r>
        <w:rPr>
          <w:rFonts w:hint="eastAsia" w:ascii="宋体" w:hAnsi="宋体"/>
          <w:b w:val="0"/>
          <w:color w:val="000000" w:themeColor="text1"/>
          <w:highlight w:val="none"/>
          <w14:textFill>
            <w14:solidFill>
              <w14:schemeClr w14:val="tx1"/>
            </w14:solidFill>
          </w14:textFill>
        </w:rPr>
        <w:t>第四节评审过程的保密与录像</w:t>
      </w:r>
      <w:bookmarkEnd w:id="71"/>
    </w:p>
    <w:p w14:paraId="75559DDB">
      <w:pPr>
        <w:pageBreakBefore w:val="0"/>
        <w:kinsoku/>
        <w:wordWrap/>
        <w:overflowPunct/>
        <w:topLinePunct w:val="0"/>
        <w:autoSpaceDE/>
        <w:autoSpaceDN/>
        <w:bidi w:val="0"/>
        <w:spacing w:line="360" w:lineRule="auto"/>
        <w:ind w:firstLine="480" w:firstLineChars="200"/>
        <w:textAlignment w:val="auto"/>
        <w:rPr>
          <w:rFonts w:hint="eastAsia" w:ascii="黑体" w:hAnsi="黑体" w:eastAsia="黑体" w:cs="宋体"/>
          <w:color w:val="000000" w:themeColor="text1"/>
          <w:sz w:val="24"/>
          <w:szCs w:val="32"/>
          <w:highlight w:val="none"/>
          <w14:textFill>
            <w14:solidFill>
              <w14:schemeClr w14:val="tx1"/>
            </w14:solidFill>
          </w14:textFill>
        </w:rPr>
      </w:pPr>
      <w:r>
        <w:rPr>
          <w:rFonts w:hint="eastAsia" w:ascii="黑体" w:hAnsi="黑体" w:eastAsia="黑体" w:cs="宋体"/>
          <w:color w:val="000000" w:themeColor="text1"/>
          <w:sz w:val="24"/>
          <w:szCs w:val="32"/>
          <w:highlight w:val="none"/>
          <w14:textFill>
            <w14:solidFill>
              <w14:schemeClr w14:val="tx1"/>
            </w14:solidFill>
          </w14:textFill>
        </w:rPr>
        <w:t>1.保密。</w:t>
      </w:r>
    </w:p>
    <w:p w14:paraId="5849E25F">
      <w:pPr>
        <w:pageBreakBefore w:val="0"/>
        <w:widowControl/>
        <w:kinsoku/>
        <w:wordWrap/>
        <w:overflowPunct/>
        <w:topLinePunct w:val="0"/>
        <w:autoSpaceDE/>
        <w:autoSpaceDN/>
        <w:bidi w:val="0"/>
        <w:spacing w:line="360" w:lineRule="auto"/>
        <w:ind w:firstLine="420" w:firstLineChars="200"/>
        <w:textAlignment w:val="auto"/>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627048EE">
      <w:pPr>
        <w:pageBreakBefore w:val="0"/>
        <w:widowControl/>
        <w:kinsoku/>
        <w:wordWrap/>
        <w:overflowPunct/>
        <w:topLinePunct w:val="0"/>
        <w:autoSpaceDE/>
        <w:autoSpaceDN/>
        <w:bidi w:val="0"/>
        <w:spacing w:line="360" w:lineRule="auto"/>
        <w:ind w:firstLine="480" w:firstLineChars="200"/>
        <w:textAlignment w:val="auto"/>
        <w:rPr>
          <w:rFonts w:hint="eastAsia" w:ascii="黑体" w:hAnsi="黑体" w:eastAsia="黑体" w:cs="宋体"/>
          <w:color w:val="000000" w:themeColor="text1"/>
          <w:sz w:val="24"/>
          <w:szCs w:val="32"/>
          <w:highlight w:val="none"/>
          <w14:textFill>
            <w14:solidFill>
              <w14:schemeClr w14:val="tx1"/>
            </w14:solidFill>
          </w14:textFill>
        </w:rPr>
      </w:pPr>
      <w:r>
        <w:rPr>
          <w:rFonts w:hint="eastAsia" w:ascii="黑体" w:hAnsi="黑体" w:eastAsia="黑体" w:cs="宋体"/>
          <w:color w:val="000000" w:themeColor="text1"/>
          <w:sz w:val="24"/>
          <w:szCs w:val="32"/>
          <w:highlight w:val="none"/>
          <w14:textFill>
            <w14:solidFill>
              <w14:schemeClr w14:val="tx1"/>
            </w14:solidFill>
          </w14:textFill>
        </w:rPr>
        <w:t>2.录音录像。</w:t>
      </w:r>
    </w:p>
    <w:p w14:paraId="3C397EF6">
      <w:pPr>
        <w:pageBreakBefore w:val="0"/>
        <w:kinsoku/>
        <w:wordWrap/>
        <w:overflowPunct/>
        <w:topLinePunct w:val="0"/>
        <w:autoSpaceDE/>
        <w:autoSpaceDN/>
        <w:bidi w:val="0"/>
        <w:spacing w:line="360" w:lineRule="auto"/>
        <w:ind w:firstLine="420" w:firstLineChars="200"/>
        <w:textAlignment w:val="auto"/>
        <w:rPr>
          <w:rFonts w:hint="eastAsia"/>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采购代理机构对评审工作现场及操作屏幕进行全过程录音录像，录音录像资料作为采购项目文件随其他文件一并存档。</w:t>
      </w:r>
      <w:r>
        <w:rPr>
          <w:color w:val="000000" w:themeColor="text1"/>
          <w:highlight w:val="none"/>
          <w14:textFill>
            <w14:solidFill>
              <w14:schemeClr w14:val="tx1"/>
            </w14:solidFill>
          </w14:textFill>
        </w:rPr>
        <w:br w:type="page"/>
      </w:r>
    </w:p>
    <w:p w14:paraId="55D21D70">
      <w:pPr>
        <w:pStyle w:val="2"/>
        <w:jc w:val="center"/>
        <w:rPr>
          <w:rFonts w:hint="eastAsia"/>
          <w:color w:val="000000" w:themeColor="text1"/>
          <w:highlight w:val="none"/>
          <w14:textFill>
            <w14:solidFill>
              <w14:schemeClr w14:val="tx1"/>
            </w14:solidFill>
          </w14:textFill>
        </w:rPr>
      </w:pPr>
      <w:bookmarkStart w:id="72" w:name="_Toc4389"/>
    </w:p>
    <w:p w14:paraId="7290ACF2">
      <w:pPr>
        <w:pStyle w:val="2"/>
        <w:jc w:val="center"/>
        <w:rPr>
          <w:rFonts w:hint="eastAsia"/>
          <w:color w:val="000000" w:themeColor="text1"/>
          <w:highlight w:val="none"/>
          <w14:textFill>
            <w14:solidFill>
              <w14:schemeClr w14:val="tx1"/>
            </w14:solidFill>
          </w14:textFill>
        </w:rPr>
      </w:pPr>
    </w:p>
    <w:p w14:paraId="06B2A28F">
      <w:pPr>
        <w:pStyle w:val="2"/>
        <w:jc w:val="center"/>
        <w:rPr>
          <w:rFonts w:hint="eastAsia"/>
          <w:color w:val="000000" w:themeColor="text1"/>
          <w:highlight w:val="none"/>
          <w14:textFill>
            <w14:solidFill>
              <w14:schemeClr w14:val="tx1"/>
            </w14:solidFill>
          </w14:textFill>
        </w:rPr>
      </w:pPr>
    </w:p>
    <w:p w14:paraId="5F4B7273">
      <w:pPr>
        <w:pStyle w:val="2"/>
        <w:jc w:val="center"/>
        <w:rPr>
          <w:rFonts w:ascii="宋体" w:hAnsi="宋体"/>
          <w:b w:val="0"/>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第五章响应文件格式</w:t>
      </w:r>
      <w:r>
        <w:rPr>
          <w:color w:val="000000" w:themeColor="text1"/>
          <w:highlight w:val="none"/>
          <w14:textFill>
            <w14:solidFill>
              <w14:schemeClr w14:val="tx1"/>
            </w14:solidFill>
          </w14:textFill>
        </w:rPr>
        <w:br w:type="page"/>
      </w:r>
      <w:bookmarkEnd w:id="72"/>
      <w:bookmarkStart w:id="73" w:name="_Toc21402"/>
      <w:r>
        <w:rPr>
          <w:rFonts w:hint="eastAsia" w:ascii="宋体" w:hAnsi="宋体"/>
          <w:b w:val="0"/>
          <w:color w:val="000000" w:themeColor="text1"/>
          <w:highlight w:val="none"/>
          <w14:textFill>
            <w14:solidFill>
              <w14:schemeClr w14:val="tx1"/>
            </w14:solidFill>
          </w14:textFill>
        </w:rPr>
        <w:t>第一节封面格式</w:t>
      </w:r>
      <w:bookmarkEnd w:id="73"/>
    </w:p>
    <w:p w14:paraId="621657D6">
      <w:pPr>
        <w:keepNext w:val="0"/>
        <w:keepLines w:val="0"/>
        <w:pageBreakBefore w:val="0"/>
        <w:widowControl w:val="0"/>
        <w:kinsoku/>
        <w:wordWrap/>
        <w:overflowPunct/>
        <w:topLinePunct w:val="0"/>
        <w:autoSpaceDE/>
        <w:autoSpaceDN/>
        <w:bidi w:val="0"/>
        <w:adjustRightInd/>
        <w:snapToGrid w:val="0"/>
        <w:spacing w:before="120" w:beforeLines="50" w:after="50" w:line="960" w:lineRule="auto"/>
        <w:jc w:val="center"/>
        <w:textAlignment w:val="auto"/>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响应文件</w:t>
      </w:r>
    </w:p>
    <w:p w14:paraId="28B224DB">
      <w:pPr>
        <w:snapToGrid w:val="0"/>
        <w:spacing w:before="120" w:beforeLines="50" w:after="50" w:line="600" w:lineRule="auto"/>
        <w:ind w:firstLine="640" w:firstLineChars="200"/>
        <w:rPr>
          <w:rFonts w:hint="eastAsia" w:ascii="宋体" w:hAnsi="宋体" w:eastAsia="宋体" w:cs="仿宋_GB2312"/>
          <w:bCs/>
          <w:color w:val="000000" w:themeColor="text1"/>
          <w:sz w:val="32"/>
          <w:szCs w:val="32"/>
          <w:highlight w:val="none"/>
          <w:lang w:eastAsia="zh-CN"/>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r>
        <w:rPr>
          <w:rFonts w:hint="eastAsia" w:ascii="宋体" w:hAnsi="宋体" w:cs="仿宋_GB2312"/>
          <w:bCs/>
          <w:color w:val="000000" w:themeColor="text1"/>
          <w:sz w:val="32"/>
          <w:szCs w:val="32"/>
          <w:highlight w:val="none"/>
          <w:lang w:eastAsia="zh-CN"/>
          <w14:textFill>
            <w14:solidFill>
              <w14:schemeClr w14:val="tx1"/>
            </w14:solidFill>
          </w14:textFill>
        </w:rPr>
        <w:t>档案室库房设备采购项目</w:t>
      </w:r>
    </w:p>
    <w:p w14:paraId="7FCE2E7F">
      <w:pPr>
        <w:snapToGrid w:val="0"/>
        <w:spacing w:before="120" w:beforeLines="50" w:after="50" w:line="600" w:lineRule="auto"/>
        <w:ind w:firstLine="640" w:firstLineChars="200"/>
        <w:rPr>
          <w:rFonts w:hint="eastAsia" w:ascii="宋体" w:hAnsi="宋体" w:eastAsia="宋体" w:cs="仿宋_GB2312"/>
          <w:bCs/>
          <w:color w:val="000000" w:themeColor="text1"/>
          <w:sz w:val="32"/>
          <w:szCs w:val="32"/>
          <w:highlight w:val="none"/>
          <w:lang w:eastAsia="zh-CN"/>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r>
        <w:rPr>
          <w:rFonts w:hint="eastAsia" w:ascii="宋体" w:hAnsi="宋体" w:cs="仿宋_GB2312"/>
          <w:bCs/>
          <w:color w:val="000000" w:themeColor="text1"/>
          <w:sz w:val="32"/>
          <w:szCs w:val="32"/>
          <w:highlight w:val="none"/>
          <w:lang w:eastAsia="zh-CN"/>
          <w14:textFill>
            <w14:solidFill>
              <w14:schemeClr w14:val="tx1"/>
            </w14:solidFill>
          </w14:textFill>
        </w:rPr>
        <w:t>NNZC2026-J1-990724-GXJT</w:t>
      </w:r>
    </w:p>
    <w:p w14:paraId="27395E53">
      <w:pPr>
        <w:snapToGrid w:val="0"/>
        <w:spacing w:before="120" w:beforeLines="50" w:after="50" w:line="600" w:lineRule="auto"/>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所竞分标（如有则填写，无分标时填写“无”或者留空）：</w:t>
      </w:r>
    </w:p>
    <w:p w14:paraId="713450D9">
      <w:pPr>
        <w:snapToGrid w:val="0"/>
        <w:spacing w:before="120" w:beforeLines="50" w:after="50" w:line="600" w:lineRule="auto"/>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14:paraId="51E64B7F">
      <w:pPr>
        <w:snapToGrid w:val="0"/>
        <w:spacing w:before="120" w:beforeLines="50" w:after="50" w:line="600" w:lineRule="auto"/>
        <w:ind w:firstLine="480" w:firstLineChars="150"/>
        <w:jc w:val="center"/>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首次响应文件提交截止时间前不得解密</w:t>
      </w:r>
    </w:p>
    <w:p w14:paraId="51DE8FEF">
      <w:pPr>
        <w:snapToGrid w:val="0"/>
        <w:spacing w:before="120" w:beforeLines="50" w:after="50"/>
        <w:ind w:firstLine="5440" w:firstLineChars="1700"/>
        <w:jc w:val="center"/>
        <w:rPr>
          <w:rFonts w:hint="eastAsia" w:ascii="宋体" w:hAnsi="宋体" w:cs="仿宋_GB2312"/>
          <w:bCs/>
          <w:color w:val="000000" w:themeColor="text1"/>
          <w:sz w:val="32"/>
          <w:szCs w:val="32"/>
          <w:highlight w:val="none"/>
          <w14:textFill>
            <w14:solidFill>
              <w14:schemeClr w14:val="tx1"/>
            </w14:solidFill>
          </w14:textFill>
        </w:rPr>
      </w:pPr>
    </w:p>
    <w:p w14:paraId="11453188">
      <w:pPr>
        <w:snapToGrid w:val="0"/>
        <w:spacing w:before="120" w:beforeLines="50" w:after="50"/>
        <w:ind w:firstLine="645"/>
        <w:jc w:val="center"/>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年</w:t>
      </w:r>
      <w:r>
        <w:rPr>
          <w:rFonts w:hint="eastAsia" w:ascii="宋体" w:hAnsi="宋体" w:cs="仿宋_GB2312"/>
          <w:bCs/>
          <w:color w:val="000000" w:themeColor="text1"/>
          <w:sz w:val="32"/>
          <w:szCs w:val="32"/>
          <w:highlight w:val="none"/>
          <w:lang w:val="en-US" w:eastAsia="zh-CN"/>
          <w14:textFill>
            <w14:solidFill>
              <w14:schemeClr w14:val="tx1"/>
            </w14:solidFill>
          </w14:textFill>
        </w:rPr>
        <w:t xml:space="preserve">  </w:t>
      </w:r>
      <w:r>
        <w:rPr>
          <w:rFonts w:hint="eastAsia" w:ascii="宋体" w:hAnsi="宋体" w:cs="仿宋_GB2312"/>
          <w:bCs/>
          <w:color w:val="000000" w:themeColor="text1"/>
          <w:sz w:val="32"/>
          <w:szCs w:val="32"/>
          <w:highlight w:val="none"/>
          <w14:textFill>
            <w14:solidFill>
              <w14:schemeClr w14:val="tx1"/>
            </w14:solidFill>
          </w14:textFill>
        </w:rPr>
        <w:t>月</w:t>
      </w:r>
      <w:r>
        <w:rPr>
          <w:rFonts w:hint="eastAsia" w:ascii="宋体" w:hAnsi="宋体" w:cs="仿宋_GB2312"/>
          <w:bCs/>
          <w:color w:val="000000" w:themeColor="text1"/>
          <w:sz w:val="32"/>
          <w:szCs w:val="32"/>
          <w:highlight w:val="none"/>
          <w:lang w:val="en-US" w:eastAsia="zh-CN"/>
          <w14:textFill>
            <w14:solidFill>
              <w14:schemeClr w14:val="tx1"/>
            </w14:solidFill>
          </w14:textFill>
        </w:rPr>
        <w:t xml:space="preserve">  </w:t>
      </w:r>
      <w:r>
        <w:rPr>
          <w:rFonts w:hint="eastAsia" w:ascii="宋体" w:hAnsi="宋体" w:cs="仿宋_GB2312"/>
          <w:bCs/>
          <w:color w:val="000000" w:themeColor="text1"/>
          <w:sz w:val="32"/>
          <w:szCs w:val="32"/>
          <w:highlight w:val="none"/>
          <w14:textFill>
            <w14:solidFill>
              <w14:schemeClr w14:val="tx1"/>
            </w14:solidFill>
          </w14:textFill>
        </w:rPr>
        <w:t>日</w:t>
      </w:r>
    </w:p>
    <w:p w14:paraId="65228E2A">
      <w:pPr>
        <w:spacing w:line="240" w:lineRule="atLeast"/>
        <w:rPr>
          <w:rFonts w:hint="eastAsia" w:ascii="宋体" w:hAnsi="宋体"/>
          <w:b/>
          <w:bCs/>
          <w:color w:val="000000" w:themeColor="text1"/>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br w:type="page"/>
      </w:r>
    </w:p>
    <w:p w14:paraId="33AA8C93">
      <w:pPr>
        <w:snapToGrid w:val="0"/>
        <w:spacing w:before="120" w:beforeLines="50" w:after="50" w:line="360" w:lineRule="auto"/>
        <w:jc w:val="center"/>
        <w:outlineLvl w:val="1"/>
        <w:rPr>
          <w:rFonts w:hint="eastAsia" w:ascii="宋体" w:hAnsi="宋体"/>
          <w:bCs/>
          <w:color w:val="000000" w:themeColor="text1"/>
          <w:sz w:val="32"/>
          <w:szCs w:val="32"/>
          <w:highlight w:val="none"/>
          <w14:textFill>
            <w14:solidFill>
              <w14:schemeClr w14:val="tx1"/>
            </w14:solidFill>
          </w14:textFill>
        </w:rPr>
      </w:pPr>
      <w:bookmarkStart w:id="74" w:name="_Toc31349"/>
      <w:r>
        <w:rPr>
          <w:rFonts w:hint="eastAsia" w:ascii="宋体" w:hAnsi="宋体"/>
          <w:bCs/>
          <w:color w:val="000000" w:themeColor="text1"/>
          <w:sz w:val="32"/>
          <w:szCs w:val="32"/>
          <w:highlight w:val="none"/>
          <w14:textFill>
            <w14:solidFill>
              <w14:schemeClr w14:val="tx1"/>
            </w14:solidFill>
          </w14:textFill>
        </w:rPr>
        <w:t>第二节资格证明文件格式</w:t>
      </w:r>
      <w:bookmarkEnd w:id="74"/>
    </w:p>
    <w:p w14:paraId="0FEBB58A">
      <w:pPr>
        <w:snapToGrid w:val="0"/>
        <w:spacing w:before="120" w:beforeLines="50" w:after="50"/>
        <w:rPr>
          <w:rFonts w:hint="eastAsia" w:ascii="宋体" w:hAnsi="宋体"/>
          <w:bCs/>
          <w:color w:val="000000" w:themeColor="text1"/>
          <w:sz w:val="32"/>
          <w:szCs w:val="20"/>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全流程电子文件</w:t>
      </w:r>
    </w:p>
    <w:p w14:paraId="7F1E8AA1">
      <w:pPr>
        <w:keepNext w:val="0"/>
        <w:keepLines w:val="0"/>
        <w:pageBreakBefore w:val="0"/>
        <w:widowControl w:val="0"/>
        <w:kinsoku/>
        <w:wordWrap/>
        <w:overflowPunct/>
        <w:topLinePunct w:val="0"/>
        <w:autoSpaceDE/>
        <w:autoSpaceDN/>
        <w:bidi w:val="0"/>
        <w:adjustRightInd/>
        <w:snapToGrid w:val="0"/>
        <w:spacing w:before="0" w:beforeLines="500" w:after="1440"/>
        <w:jc w:val="center"/>
        <w:textAlignment w:val="auto"/>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资格证明文件（封面）</w:t>
      </w:r>
    </w:p>
    <w:p w14:paraId="60235EBC">
      <w:pPr>
        <w:snapToGrid w:val="0"/>
        <w:spacing w:before="120" w:beforeLines="50" w:after="50" w:line="480" w:lineRule="auto"/>
        <w:ind w:left="0" w:leftChars="0" w:firstLine="419" w:firstLineChars="131"/>
        <w:rPr>
          <w:rFonts w:hint="eastAsia" w:ascii="宋体" w:hAnsi="宋体" w:eastAsia="宋体" w:cs="仿宋_GB2312"/>
          <w:bCs/>
          <w:color w:val="000000" w:themeColor="text1"/>
          <w:sz w:val="32"/>
          <w:szCs w:val="32"/>
          <w:highlight w:val="none"/>
          <w:lang w:eastAsia="zh-CN"/>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r>
        <w:rPr>
          <w:rFonts w:hint="eastAsia" w:ascii="宋体" w:hAnsi="宋体" w:cs="仿宋_GB2312"/>
          <w:bCs/>
          <w:color w:val="000000" w:themeColor="text1"/>
          <w:sz w:val="32"/>
          <w:szCs w:val="32"/>
          <w:highlight w:val="none"/>
          <w:lang w:eastAsia="zh-CN"/>
          <w14:textFill>
            <w14:solidFill>
              <w14:schemeClr w14:val="tx1"/>
            </w14:solidFill>
          </w14:textFill>
        </w:rPr>
        <w:t>档案室库房设备采购项目</w:t>
      </w:r>
    </w:p>
    <w:p w14:paraId="15F0CEF6">
      <w:pPr>
        <w:snapToGrid w:val="0"/>
        <w:spacing w:before="120" w:beforeLines="50" w:after="50" w:line="480" w:lineRule="auto"/>
        <w:ind w:left="0" w:leftChars="0" w:firstLine="419" w:firstLineChars="131"/>
        <w:rPr>
          <w:rFonts w:hint="eastAsia" w:ascii="宋体" w:hAnsi="宋体" w:eastAsia="宋体" w:cs="仿宋_GB2312"/>
          <w:bCs/>
          <w:color w:val="000000" w:themeColor="text1"/>
          <w:sz w:val="32"/>
          <w:szCs w:val="32"/>
          <w:highlight w:val="none"/>
          <w:lang w:eastAsia="zh-CN"/>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r>
        <w:rPr>
          <w:rFonts w:hint="eastAsia" w:ascii="宋体" w:hAnsi="宋体" w:cs="仿宋_GB2312"/>
          <w:bCs/>
          <w:color w:val="000000" w:themeColor="text1"/>
          <w:sz w:val="32"/>
          <w:szCs w:val="32"/>
          <w:highlight w:val="none"/>
          <w:lang w:eastAsia="zh-CN"/>
          <w14:textFill>
            <w14:solidFill>
              <w14:schemeClr w14:val="tx1"/>
            </w14:solidFill>
          </w14:textFill>
        </w:rPr>
        <w:t>NNZC2026-J1-990724-GXJT</w:t>
      </w:r>
    </w:p>
    <w:p w14:paraId="3F9E5E2C">
      <w:pPr>
        <w:snapToGrid w:val="0"/>
        <w:spacing w:before="120" w:beforeLines="50" w:after="50" w:line="480" w:lineRule="auto"/>
        <w:ind w:left="0" w:leftChars="0" w:firstLine="419" w:firstLineChars="131"/>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所竞分标（如有则填写，无分标时填写“无”或者留空）：</w:t>
      </w:r>
    </w:p>
    <w:p w14:paraId="0601FBB2">
      <w:pPr>
        <w:pStyle w:val="7"/>
        <w:snapToGrid w:val="0"/>
        <w:spacing w:before="50" w:after="50" w:line="480" w:lineRule="auto"/>
        <w:ind w:left="0" w:leftChars="0" w:firstLine="419" w:firstLineChars="131"/>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14:paraId="1B9B5ED0">
      <w:pPr>
        <w:keepNext w:val="0"/>
        <w:keepLines w:val="0"/>
        <w:pageBreakBefore w:val="0"/>
        <w:widowControl w:val="0"/>
        <w:kinsoku/>
        <w:wordWrap/>
        <w:overflowPunct/>
        <w:topLinePunct w:val="0"/>
        <w:autoSpaceDE/>
        <w:autoSpaceDN/>
        <w:bidi w:val="0"/>
        <w:adjustRightInd/>
        <w:snapToGrid w:val="0"/>
        <w:spacing w:before="0" w:beforeLines="500" w:after="50"/>
        <w:jc w:val="center"/>
        <w:textAlignment w:val="auto"/>
        <w:rPr>
          <w:rFonts w:hint="eastAsia"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32"/>
          <w:szCs w:val="32"/>
          <w:highlight w:val="none"/>
          <w14:textFill>
            <w14:solidFill>
              <w14:schemeClr w14:val="tx1"/>
            </w14:solidFill>
          </w14:textFill>
        </w:rPr>
        <w:t>年</w:t>
      </w:r>
      <w:r>
        <w:rPr>
          <w:rFonts w:hint="eastAsia" w:ascii="宋体" w:hAnsi="宋体" w:cs="仿宋_GB2312"/>
          <w:color w:val="000000" w:themeColor="text1"/>
          <w:sz w:val="32"/>
          <w:szCs w:val="32"/>
          <w:highlight w:val="none"/>
          <w:lang w:val="en-US" w:eastAsia="zh-CN"/>
          <w14:textFill>
            <w14:solidFill>
              <w14:schemeClr w14:val="tx1"/>
            </w14:solidFill>
          </w14:textFill>
        </w:rPr>
        <w:t xml:space="preserve">  </w:t>
      </w:r>
      <w:r>
        <w:rPr>
          <w:rFonts w:hint="eastAsia" w:ascii="宋体" w:hAnsi="宋体" w:cs="仿宋_GB2312"/>
          <w:color w:val="000000" w:themeColor="text1"/>
          <w:sz w:val="32"/>
          <w:szCs w:val="32"/>
          <w:highlight w:val="none"/>
          <w14:textFill>
            <w14:solidFill>
              <w14:schemeClr w14:val="tx1"/>
            </w14:solidFill>
          </w14:textFill>
        </w:rPr>
        <w:t>月</w:t>
      </w:r>
      <w:r>
        <w:rPr>
          <w:rFonts w:hint="eastAsia" w:ascii="宋体" w:hAnsi="宋体" w:cs="仿宋_GB2312"/>
          <w:color w:val="000000" w:themeColor="text1"/>
          <w:sz w:val="32"/>
          <w:szCs w:val="32"/>
          <w:highlight w:val="none"/>
          <w:lang w:val="en-US" w:eastAsia="zh-CN"/>
          <w14:textFill>
            <w14:solidFill>
              <w14:schemeClr w14:val="tx1"/>
            </w14:solidFill>
          </w14:textFill>
        </w:rPr>
        <w:t xml:space="preserve">  </w:t>
      </w:r>
      <w:r>
        <w:rPr>
          <w:rFonts w:hint="eastAsia" w:ascii="宋体" w:hAnsi="宋体" w:cs="仿宋_GB2312"/>
          <w:color w:val="000000" w:themeColor="text1"/>
          <w:sz w:val="32"/>
          <w:szCs w:val="32"/>
          <w:highlight w:val="none"/>
          <w14:textFill>
            <w14:solidFill>
              <w14:schemeClr w14:val="tx1"/>
            </w14:solidFill>
          </w14:textFill>
        </w:rPr>
        <w:t>日</w:t>
      </w:r>
    </w:p>
    <w:p w14:paraId="45C0DDD1">
      <w:pPr>
        <w:snapToGrid w:val="0"/>
        <w:spacing w:before="120" w:beforeLines="50" w:after="50" w:line="360" w:lineRule="auto"/>
        <w:ind w:left="142" w:firstLine="480" w:firstLineChars="200"/>
        <w:jc w:val="left"/>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br w:type="page"/>
      </w:r>
      <w:r>
        <w:rPr>
          <w:rFonts w:hint="eastAsia" w:ascii="宋体" w:hAnsi="宋体"/>
          <w:b/>
          <w:bCs/>
          <w:color w:val="000000" w:themeColor="text1"/>
          <w:sz w:val="32"/>
          <w:szCs w:val="32"/>
          <w:highlight w:val="none"/>
          <w14:textFill>
            <w14:solidFill>
              <w14:schemeClr w14:val="tx1"/>
            </w14:solidFill>
          </w14:textFill>
        </w:rPr>
        <w:t>二、资格证明文件目录</w:t>
      </w:r>
    </w:p>
    <w:p w14:paraId="5DF9F526">
      <w:pPr>
        <w:keepNext w:val="0"/>
        <w:keepLines w:val="0"/>
        <w:pageBreakBefore w:val="0"/>
        <w:widowControl w:val="0"/>
        <w:kinsoku/>
        <w:wordWrap/>
        <w:overflowPunct/>
        <w:topLinePunct w:val="0"/>
        <w:autoSpaceDE/>
        <w:autoSpaceDN/>
        <w:bidi w:val="0"/>
        <w:adjustRightInd/>
        <w:snapToGrid/>
        <w:spacing w:before="0" w:beforeLines="100" w:after="0" w:afterLines="300"/>
        <w:jc w:val="center"/>
        <w:textAlignment w:val="auto"/>
        <w:rPr>
          <w:rFonts w:hint="eastAsia" w:ascii="仿宋_GB2312" w:hAnsi="仿宋" w:eastAsia="仿宋_GB2312" w:cs="仿宋_GB2312"/>
          <w:b/>
          <w:color w:val="000000" w:themeColor="text1"/>
          <w:kern w:val="0"/>
          <w:sz w:val="36"/>
          <w:szCs w:val="36"/>
          <w:highlight w:val="none"/>
          <w14:textFill>
            <w14:solidFill>
              <w14:schemeClr w14:val="tx1"/>
            </w14:solidFill>
          </w14:textFill>
        </w:rPr>
      </w:pPr>
      <w:r>
        <w:rPr>
          <w:rFonts w:hint="eastAsia" w:ascii="仿宋_GB2312" w:hAnsi="仿宋" w:eastAsia="仿宋_GB2312" w:cs="仿宋_GB2312"/>
          <w:b/>
          <w:color w:val="000000" w:themeColor="text1"/>
          <w:kern w:val="0"/>
          <w:sz w:val="36"/>
          <w:szCs w:val="36"/>
          <w:highlight w:val="none"/>
          <w14:textFill>
            <w14:solidFill>
              <w14:schemeClr w14:val="tx1"/>
            </w14:solidFill>
          </w14:textFill>
        </w:rPr>
        <w:t>资格证明文件目录</w:t>
      </w:r>
    </w:p>
    <w:p w14:paraId="5E6ECB10">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一、</w:t>
      </w:r>
      <w:r>
        <w:rPr>
          <w:rFonts w:hint="eastAsia" w:ascii="仿宋_GB2312" w:hAnsi="仿宋" w:eastAsia="仿宋_GB2312"/>
          <w:color w:val="000000" w:themeColor="text1"/>
          <w:sz w:val="24"/>
          <w:highlight w:val="none"/>
          <w14:textFill>
            <w14:solidFill>
              <w14:schemeClr w14:val="tx1"/>
            </w14:solidFill>
          </w14:textFill>
        </w:rPr>
        <w:t>营业执照(或事业法人登记证或其他工商等登记证明材料)复印件（供应商为自然人的，须提供</w:t>
      </w:r>
      <w:r>
        <w:rPr>
          <w:rFonts w:hint="eastAsia" w:ascii="仿宋_GB2312" w:hAnsi="仿宋" w:eastAsia="仿宋_GB2312" w:cs="Helvetica"/>
          <w:color w:val="000000" w:themeColor="text1"/>
          <w:kern w:val="0"/>
          <w:sz w:val="24"/>
          <w:highlight w:val="none"/>
          <w14:textFill>
            <w14:solidFill>
              <w14:schemeClr w14:val="tx1"/>
            </w14:solidFill>
          </w14:textFill>
        </w:rPr>
        <w:t>自然人的身份证明</w:t>
      </w:r>
      <w:r>
        <w:rPr>
          <w:rFonts w:hint="eastAsia" w:ascii="仿宋_GB2312" w:hAnsi="仿宋" w:eastAsia="仿宋_GB2312"/>
          <w:color w:val="000000" w:themeColor="text1"/>
          <w:sz w:val="24"/>
          <w:highlight w:val="none"/>
          <w14:textFill>
            <w14:solidFill>
              <w14:schemeClr w14:val="tx1"/>
            </w14:solidFill>
          </w14:textFill>
        </w:rPr>
        <w:t>）</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792483CE">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二、符合参与政府采购活动的资格条件依法缴纳税收、社会保障资金等方面的材料……………………………………………………………………………………（页码）</w:t>
      </w:r>
    </w:p>
    <w:p w14:paraId="680D7337">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三、财务状况报告方面的材料……………………………………………………（页码）</w:t>
      </w:r>
    </w:p>
    <w:p w14:paraId="2EE4D876">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四、供应商直接控股股东信息</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45B06DE0">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五、供应商直接关联关系信息表</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746A322A">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六、资格声明函……………………………………………………………………（页码）</w:t>
      </w:r>
    </w:p>
    <w:p w14:paraId="637ADF5A">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七、联合体协议书（</w:t>
      </w:r>
      <w:r>
        <w:rPr>
          <w:rFonts w:hint="eastAsia" w:ascii="仿宋_GB2312" w:hAnsi="仿宋" w:eastAsia="仿宋_GB2312" w:cs="仿宋_GB2312"/>
          <w:color w:val="000000" w:themeColor="text1"/>
          <w:sz w:val="24"/>
          <w:highlight w:val="none"/>
          <w14:textFill>
            <w14:solidFill>
              <w14:schemeClr w14:val="tx1"/>
            </w14:solidFill>
          </w14:textFill>
        </w:rPr>
        <w:t>以联合体形式响应的，提供联合体协议；本项目不接受联合体响应或者供应商不以联合体形式响应的，则不需要提供</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14B1852C">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八、</w:t>
      </w:r>
      <w:r>
        <w:rPr>
          <w:rFonts w:hint="eastAsia" w:ascii="仿宋_GB2312" w:hAnsi="仿宋" w:eastAsia="仿宋_GB2312" w:cs="仿宋_GB2312"/>
          <w:color w:val="000000" w:themeColor="text1"/>
          <w:sz w:val="24"/>
          <w:highlight w:val="none"/>
          <w:lang w:val="en-US" w:eastAsia="zh-CN"/>
          <w14:textFill>
            <w14:solidFill>
              <w14:schemeClr w14:val="tx1"/>
            </w14:solidFill>
          </w14:textFill>
        </w:rPr>
        <w:t>中小企业声明函或《残疾人福利性单位声明函》或由省级或以上监狱管理局、戒毒管理局（含新疆生产建设兵团）出具的属于监狱企业的证明文件</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13DAE776">
      <w:pPr>
        <w:snapToGrid w:val="0"/>
        <w:spacing w:line="360" w:lineRule="auto"/>
        <w:rPr>
          <w:rFonts w:hint="default" w:ascii="仿宋_GB2312" w:hAnsi="仿宋" w:eastAsia="仿宋_GB2312" w:cs="仿宋_GB2312"/>
          <w:color w:val="000000" w:themeColor="text1"/>
          <w:kern w:val="0"/>
          <w:sz w:val="24"/>
          <w:highlight w:val="none"/>
          <w:lang w:val="en-US" w:eastAsia="zh-CN"/>
          <w14:textFill>
            <w14:solidFill>
              <w14:schemeClr w14:val="tx1"/>
            </w14:solidFill>
          </w14:textFill>
        </w:rPr>
      </w:pP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九、除谈判文件规定必须提供以外，供应商认为需要提供的其他证明材料</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0E3A27F0">
      <w:pPr>
        <w:spacing w:line="360" w:lineRule="auto"/>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14:textFill>
            <w14:solidFill>
              <w14:schemeClr w14:val="tx1"/>
            </w14:solidFill>
          </w14:textFill>
        </w:rPr>
        <w:t>注：以上目录是编制供应商响应文件的基本格式要求，各供应商可根据自身情况进一步细化。</w:t>
      </w:r>
    </w:p>
    <w:p w14:paraId="69DCCB6E">
      <w:pPr>
        <w:widowControl/>
        <w:jc w:val="left"/>
        <w:rPr>
          <w:rFonts w:ascii="宋体" w:hAnsi="宋体"/>
          <w:color w:val="000000" w:themeColor="text1"/>
          <w:sz w:val="24"/>
          <w:szCs w:val="20"/>
          <w:highlight w:val="none"/>
          <w14:textFill>
            <w14:solidFill>
              <w14:schemeClr w14:val="tx1"/>
            </w14:solidFill>
          </w14:textFill>
        </w:rPr>
        <w:sectPr>
          <w:pgSz w:w="11910" w:h="16840"/>
          <w:pgMar w:top="1340" w:right="1500" w:bottom="280" w:left="1680" w:header="720" w:footer="720" w:gutter="0"/>
          <w:pgNumType w:fmt="decimal"/>
          <w:cols w:space="720" w:num="1"/>
        </w:sectPr>
      </w:pPr>
    </w:p>
    <w:p w14:paraId="1DE027B5">
      <w:pPr>
        <w:pStyle w:val="17"/>
        <w:spacing w:line="360" w:lineRule="auto"/>
        <w:ind w:firstLine="602" w:firstLineChars="200"/>
        <w:rPr>
          <w:rFonts w:hint="eastAsia" w:ascii="仿宋" w:hAnsi="仿宋" w:eastAsia="仿宋" w:cs="仿宋_GB2312"/>
          <w:b/>
          <w:color w:val="000000" w:themeColor="text1"/>
          <w:sz w:val="30"/>
          <w:szCs w:val="30"/>
          <w:highlight w:val="none"/>
          <w14:textFill>
            <w14:solidFill>
              <w14:schemeClr w14:val="tx1"/>
            </w14:solidFill>
          </w14:textFill>
        </w:rPr>
      </w:pPr>
      <w:r>
        <w:rPr>
          <w:rFonts w:hint="eastAsia" w:ascii="仿宋" w:hAnsi="仿宋" w:eastAsia="仿宋" w:cs="仿宋_GB2312"/>
          <w:b/>
          <w:color w:val="000000" w:themeColor="text1"/>
          <w:sz w:val="30"/>
          <w:szCs w:val="30"/>
          <w:highlight w:val="none"/>
          <w14:textFill>
            <w14:solidFill>
              <w14:schemeClr w14:val="tx1"/>
            </w14:solidFill>
          </w14:textFill>
        </w:rPr>
        <w:t>一、营业执照(或事业法人登记证或其他工商等登记证明材料)复印件（供应商为自然人的，提供自然人的身份证明）</w:t>
      </w:r>
    </w:p>
    <w:p w14:paraId="7016B9EC">
      <w:pPr>
        <w:keepNext w:val="0"/>
        <w:keepLines w:val="0"/>
        <w:pageBreakBefore w:val="0"/>
        <w:widowControl w:val="0"/>
        <w:kinsoku/>
        <w:wordWrap/>
        <w:overflowPunct/>
        <w:topLinePunct w:val="0"/>
        <w:autoSpaceDE w:val="0"/>
        <w:autoSpaceDN w:val="0"/>
        <w:bidi w:val="0"/>
        <w:adjustRightInd/>
        <w:snapToGrid/>
        <w:spacing w:before="0" w:beforeLines="200" w:line="360" w:lineRule="auto"/>
        <w:ind w:left="4365" w:leftChars="1850" w:hanging="480" w:hangingChars="200"/>
        <w:textAlignment w:val="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6C29E404">
      <w:pPr>
        <w:autoSpaceDE w:val="0"/>
        <w:autoSpaceDN w:val="0"/>
        <w:spacing w:line="360" w:lineRule="auto"/>
        <w:ind w:firstLine="6120" w:firstLineChars="2550"/>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日期：年月日</w:t>
      </w:r>
    </w:p>
    <w:p w14:paraId="61ABDC42">
      <w:pPr>
        <w:pStyle w:val="17"/>
        <w:keepNext w:val="0"/>
        <w:keepLines w:val="0"/>
        <w:pageBreakBefore w:val="0"/>
        <w:widowControl w:val="0"/>
        <w:kinsoku/>
        <w:wordWrap/>
        <w:overflowPunct/>
        <w:topLinePunct w:val="0"/>
        <w:autoSpaceDE/>
        <w:autoSpaceDN/>
        <w:bidi w:val="0"/>
        <w:adjustRightInd/>
        <w:snapToGrid/>
        <w:spacing w:before="0" w:beforeLines="100" w:line="360" w:lineRule="auto"/>
        <w:ind w:firstLine="602" w:firstLineChars="200"/>
        <w:textAlignment w:val="auto"/>
        <w:rPr>
          <w:rFonts w:hint="eastAsia" w:ascii="仿宋" w:hAnsi="仿宋" w:eastAsia="仿宋" w:cs="仿宋_GB2312"/>
          <w:b/>
          <w:color w:val="000000" w:themeColor="text1"/>
          <w:sz w:val="30"/>
          <w:szCs w:val="30"/>
          <w:highlight w:val="none"/>
          <w14:textFill>
            <w14:solidFill>
              <w14:schemeClr w14:val="tx1"/>
            </w14:solidFill>
          </w14:textFill>
        </w:rPr>
      </w:pPr>
      <w:r>
        <w:rPr>
          <w:rFonts w:hint="eastAsia" w:ascii="仿宋" w:hAnsi="仿宋" w:eastAsia="仿宋" w:cs="仿宋_GB2312"/>
          <w:b/>
          <w:color w:val="000000" w:themeColor="text1"/>
          <w:sz w:val="30"/>
          <w:szCs w:val="30"/>
          <w:highlight w:val="none"/>
          <w14:textFill>
            <w14:solidFill>
              <w14:schemeClr w14:val="tx1"/>
            </w14:solidFill>
          </w14:textFill>
        </w:rPr>
        <w:t>二、符合参与政府采购活动的资格条件依法缴纳税收、社会保障资金等方面的材料</w:t>
      </w:r>
    </w:p>
    <w:p w14:paraId="6D13A9ED">
      <w:pPr>
        <w:keepNext w:val="0"/>
        <w:keepLines w:val="0"/>
        <w:pageBreakBefore w:val="0"/>
        <w:widowControl w:val="0"/>
        <w:kinsoku/>
        <w:wordWrap/>
        <w:overflowPunct/>
        <w:topLinePunct w:val="0"/>
        <w:autoSpaceDE w:val="0"/>
        <w:autoSpaceDN w:val="0"/>
        <w:bidi w:val="0"/>
        <w:adjustRightInd/>
        <w:snapToGrid/>
        <w:spacing w:before="0" w:beforeLines="150" w:line="360" w:lineRule="auto"/>
        <w:ind w:left="4365" w:leftChars="1850" w:hanging="480" w:hangingChars="200"/>
        <w:textAlignment w:val="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63879BD8">
      <w:pPr>
        <w:autoSpaceDE w:val="0"/>
        <w:autoSpaceDN w:val="0"/>
        <w:spacing w:line="360" w:lineRule="auto"/>
        <w:ind w:firstLine="6120" w:firstLineChars="2550"/>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日期：年月日</w:t>
      </w:r>
    </w:p>
    <w:p w14:paraId="7DC9DEA9">
      <w:pPr>
        <w:keepNext w:val="0"/>
        <w:keepLines w:val="0"/>
        <w:pageBreakBefore w:val="0"/>
        <w:widowControl w:val="0"/>
        <w:kinsoku/>
        <w:wordWrap/>
        <w:overflowPunct/>
        <w:topLinePunct w:val="0"/>
        <w:autoSpaceDE/>
        <w:autoSpaceDN/>
        <w:bidi w:val="0"/>
        <w:adjustRightInd/>
        <w:snapToGrid/>
        <w:spacing w:before="0" w:beforeLines="100" w:after="0" w:afterLines="100" w:line="300" w:lineRule="auto"/>
        <w:ind w:firstLine="596" w:firstLineChars="198"/>
        <w:textAlignment w:val="auto"/>
        <w:rPr>
          <w:rFonts w:hint="eastAsia" w:ascii="仿宋" w:hAnsi="仿宋" w:eastAsia="仿宋" w:cs="仿宋_GB2312"/>
          <w:b/>
          <w:color w:val="000000" w:themeColor="text1"/>
          <w:kern w:val="0"/>
          <w:sz w:val="30"/>
          <w:szCs w:val="30"/>
          <w:highlight w:val="none"/>
          <w14:textFill>
            <w14:solidFill>
              <w14:schemeClr w14:val="tx1"/>
            </w14:solidFill>
          </w14:textFill>
        </w:rPr>
      </w:pPr>
      <w:r>
        <w:rPr>
          <w:rFonts w:hint="eastAsia" w:ascii="仿宋" w:hAnsi="仿宋" w:eastAsia="仿宋" w:cs="仿宋_GB2312"/>
          <w:b/>
          <w:color w:val="000000" w:themeColor="text1"/>
          <w:kern w:val="0"/>
          <w:sz w:val="30"/>
          <w:szCs w:val="30"/>
          <w:highlight w:val="none"/>
          <w14:textFill>
            <w14:solidFill>
              <w14:schemeClr w14:val="tx1"/>
            </w14:solidFill>
          </w14:textFill>
        </w:rPr>
        <w:t>三、财务状况报告方面的材料</w:t>
      </w:r>
    </w:p>
    <w:p w14:paraId="5500BA93">
      <w:pPr>
        <w:keepNext w:val="0"/>
        <w:keepLines w:val="0"/>
        <w:pageBreakBefore w:val="0"/>
        <w:widowControl w:val="0"/>
        <w:kinsoku/>
        <w:wordWrap/>
        <w:overflowPunct/>
        <w:topLinePunct w:val="0"/>
        <w:autoSpaceDE w:val="0"/>
        <w:autoSpaceDN w:val="0"/>
        <w:bidi w:val="0"/>
        <w:adjustRightInd/>
        <w:snapToGrid/>
        <w:spacing w:before="0" w:beforeLines="150" w:line="360" w:lineRule="auto"/>
        <w:ind w:left="4365" w:leftChars="1850" w:hanging="480" w:hangingChars="200"/>
        <w:textAlignment w:val="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1C7AE936">
      <w:pPr>
        <w:autoSpaceDE w:val="0"/>
        <w:autoSpaceDN w:val="0"/>
        <w:spacing w:line="360" w:lineRule="auto"/>
        <w:ind w:firstLine="6120" w:firstLineChars="2550"/>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日期：年月日</w:t>
      </w:r>
    </w:p>
    <w:p w14:paraId="3EACBE7C">
      <w:pPr>
        <w:rPr>
          <w:rFonts w:hint="eastAsia" w:ascii="仿宋" w:hAnsi="仿宋" w:eastAsia="仿宋" w:cs="仿宋_GB2312"/>
          <w:b/>
          <w:color w:val="000000" w:themeColor="text1"/>
          <w:kern w:val="0"/>
          <w:sz w:val="30"/>
          <w:szCs w:val="30"/>
          <w:highlight w:val="none"/>
          <w14:textFill>
            <w14:solidFill>
              <w14:schemeClr w14:val="tx1"/>
            </w14:solidFill>
          </w14:textFill>
        </w:rPr>
      </w:pPr>
      <w:r>
        <w:rPr>
          <w:rFonts w:hint="eastAsia" w:ascii="仿宋" w:hAnsi="仿宋" w:eastAsia="仿宋" w:cs="仿宋_GB2312"/>
          <w:b/>
          <w:color w:val="000000" w:themeColor="text1"/>
          <w:kern w:val="0"/>
          <w:sz w:val="30"/>
          <w:szCs w:val="30"/>
          <w:highlight w:val="none"/>
          <w14:textFill>
            <w14:solidFill>
              <w14:schemeClr w14:val="tx1"/>
            </w14:solidFill>
          </w14:textFill>
        </w:rPr>
        <w:br w:type="page"/>
      </w:r>
    </w:p>
    <w:p w14:paraId="4C812339">
      <w:pPr>
        <w:keepNext w:val="0"/>
        <w:keepLines w:val="0"/>
        <w:pageBreakBefore w:val="0"/>
        <w:widowControl w:val="0"/>
        <w:kinsoku/>
        <w:wordWrap/>
        <w:overflowPunct/>
        <w:topLinePunct w:val="0"/>
        <w:autoSpaceDE/>
        <w:autoSpaceDN/>
        <w:bidi w:val="0"/>
        <w:adjustRightInd/>
        <w:snapToGrid/>
        <w:spacing w:before="0" w:beforeLines="100" w:after="0" w:afterLines="100" w:line="360" w:lineRule="auto"/>
        <w:ind w:firstLine="596" w:firstLineChars="198"/>
        <w:textAlignment w:val="auto"/>
        <w:rPr>
          <w:rFonts w:hint="eastAsia" w:ascii="仿宋" w:hAnsi="仿宋" w:eastAsia="仿宋" w:cs="仿宋_GB2312"/>
          <w:b/>
          <w:color w:val="000000" w:themeColor="text1"/>
          <w:kern w:val="0"/>
          <w:sz w:val="30"/>
          <w:szCs w:val="30"/>
          <w:highlight w:val="none"/>
          <w14:textFill>
            <w14:solidFill>
              <w14:schemeClr w14:val="tx1"/>
            </w14:solidFill>
          </w14:textFill>
        </w:rPr>
      </w:pPr>
      <w:r>
        <w:rPr>
          <w:rFonts w:hint="eastAsia" w:ascii="仿宋" w:hAnsi="仿宋" w:eastAsia="仿宋" w:cs="仿宋_GB2312"/>
          <w:b/>
          <w:color w:val="000000" w:themeColor="text1"/>
          <w:kern w:val="0"/>
          <w:sz w:val="30"/>
          <w:szCs w:val="30"/>
          <w:highlight w:val="none"/>
          <w14:textFill>
            <w14:solidFill>
              <w14:schemeClr w14:val="tx1"/>
            </w14:solidFill>
          </w14:textFill>
        </w:rPr>
        <w:t>四、供应商直接控股股东信息</w:t>
      </w:r>
    </w:p>
    <w:tbl>
      <w:tblPr>
        <w:tblStyle w:val="29"/>
        <w:tblW w:w="9045" w:type="dxa"/>
        <w:jc w:val="center"/>
        <w:shd w:val="clear" w:color="auto" w:fill="FBFBFB"/>
        <w:tblLayout w:type="fixed"/>
        <w:tblCellMar>
          <w:top w:w="0" w:type="dxa"/>
          <w:left w:w="0" w:type="dxa"/>
          <w:bottom w:w="0" w:type="dxa"/>
          <w:right w:w="0" w:type="dxa"/>
        </w:tblCellMar>
      </w:tblPr>
      <w:tblGrid>
        <w:gridCol w:w="740"/>
        <w:gridCol w:w="2261"/>
        <w:gridCol w:w="1230"/>
        <w:gridCol w:w="4005"/>
        <w:gridCol w:w="809"/>
      </w:tblGrid>
      <w:tr w14:paraId="1B9C1D04">
        <w:tblPrEx>
          <w:tblCellMar>
            <w:top w:w="0" w:type="dxa"/>
            <w:left w:w="0" w:type="dxa"/>
            <w:bottom w:w="0" w:type="dxa"/>
            <w:right w:w="0" w:type="dxa"/>
          </w:tblCellMar>
        </w:tblPrEx>
        <w:trPr>
          <w:tblHeader/>
          <w:jc w:val="center"/>
        </w:trPr>
        <w:tc>
          <w:tcPr>
            <w:tcW w:w="74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C5339EA">
            <w:pPr>
              <w:widowControl/>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序号</w:t>
            </w:r>
          </w:p>
        </w:tc>
        <w:tc>
          <w:tcPr>
            <w:tcW w:w="226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4F8D182">
            <w:pPr>
              <w:widowControl/>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直接控股股东名称</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6A58BE4">
            <w:pPr>
              <w:widowControl/>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出资比例</w:t>
            </w:r>
          </w:p>
        </w:tc>
        <w:tc>
          <w:tcPr>
            <w:tcW w:w="4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FB26FBE">
            <w:pPr>
              <w:widowControl/>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身份证号码或者统一社会信用代码</w:t>
            </w:r>
          </w:p>
        </w:tc>
        <w:tc>
          <w:tcPr>
            <w:tcW w:w="80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130621">
            <w:pPr>
              <w:widowControl/>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备注</w:t>
            </w:r>
          </w:p>
        </w:tc>
      </w:tr>
      <w:tr w14:paraId="2A0D6FA4">
        <w:tblPrEx>
          <w:shd w:val="clear" w:color="auto" w:fill="FBFBFB"/>
          <w:tblCellMar>
            <w:top w:w="0" w:type="dxa"/>
            <w:left w:w="0" w:type="dxa"/>
            <w:bottom w:w="0" w:type="dxa"/>
            <w:right w:w="0" w:type="dxa"/>
          </w:tblCellMar>
        </w:tblPrEx>
        <w:trPr>
          <w:jc w:val="center"/>
        </w:trPr>
        <w:tc>
          <w:tcPr>
            <w:tcW w:w="74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97AD6B3">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tc>
        <w:tc>
          <w:tcPr>
            <w:tcW w:w="226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978E0BD">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1301469">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4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5A745E1">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80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5BB4214">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60BDCA2B">
        <w:tblPrEx>
          <w:shd w:val="clear" w:color="auto" w:fill="FBFBFB"/>
          <w:tblCellMar>
            <w:top w:w="0" w:type="dxa"/>
            <w:left w:w="0" w:type="dxa"/>
            <w:bottom w:w="0" w:type="dxa"/>
            <w:right w:w="0" w:type="dxa"/>
          </w:tblCellMar>
        </w:tblPrEx>
        <w:trPr>
          <w:jc w:val="center"/>
        </w:trPr>
        <w:tc>
          <w:tcPr>
            <w:tcW w:w="74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1F876E">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226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F520B2">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BF47025">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4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6CC929">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80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F8150F1">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388A1D87">
        <w:tblPrEx>
          <w:shd w:val="clear" w:color="auto" w:fill="FBFBFB"/>
          <w:tblCellMar>
            <w:top w:w="0" w:type="dxa"/>
            <w:left w:w="0" w:type="dxa"/>
            <w:bottom w:w="0" w:type="dxa"/>
            <w:right w:w="0" w:type="dxa"/>
          </w:tblCellMar>
        </w:tblPrEx>
        <w:trPr>
          <w:jc w:val="center"/>
        </w:trPr>
        <w:tc>
          <w:tcPr>
            <w:tcW w:w="74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F7FFF77">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226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B8224F3">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640D4B">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4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F30E49A">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80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926DBF">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028A0C16">
        <w:tblPrEx>
          <w:shd w:val="clear" w:color="auto" w:fill="FBFBFB"/>
          <w:tblCellMar>
            <w:top w:w="0" w:type="dxa"/>
            <w:left w:w="0" w:type="dxa"/>
            <w:bottom w:w="0" w:type="dxa"/>
            <w:right w:w="0" w:type="dxa"/>
          </w:tblCellMar>
        </w:tblPrEx>
        <w:trPr>
          <w:jc w:val="center"/>
        </w:trPr>
        <w:tc>
          <w:tcPr>
            <w:tcW w:w="74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41DE187">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tc>
        <w:tc>
          <w:tcPr>
            <w:tcW w:w="226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FEA708B">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23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2000ED7">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4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3196BC">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80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62AE4B">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bl>
    <w:p w14:paraId="43CDE83D">
      <w:pPr>
        <w:spacing w:line="360" w:lineRule="auto"/>
        <w:jc w:val="left"/>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注：</w:t>
      </w:r>
    </w:p>
    <w:p w14:paraId="159A5733">
      <w:pPr>
        <w:spacing w:line="360" w:lineRule="auto"/>
        <w:ind w:firstLine="480" w:firstLineChars="200"/>
        <w:jc w:val="left"/>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94F30A1">
      <w:pPr>
        <w:spacing w:line="360" w:lineRule="auto"/>
        <w:ind w:firstLine="480" w:firstLineChars="200"/>
        <w:jc w:val="left"/>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3D26CF6E">
      <w:pPr>
        <w:spacing w:line="360" w:lineRule="auto"/>
        <w:ind w:firstLine="480" w:firstLineChars="200"/>
        <w:jc w:val="left"/>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3.供应商不存在直接控股股东的，则填“无”。</w:t>
      </w:r>
    </w:p>
    <w:p w14:paraId="3407671B">
      <w:pPr>
        <w:keepNext w:val="0"/>
        <w:keepLines w:val="0"/>
        <w:pageBreakBefore w:val="0"/>
        <w:widowControl w:val="0"/>
        <w:kinsoku/>
        <w:wordWrap/>
        <w:overflowPunct/>
        <w:topLinePunct w:val="0"/>
        <w:autoSpaceDE w:val="0"/>
        <w:autoSpaceDN w:val="0"/>
        <w:bidi w:val="0"/>
        <w:adjustRightInd/>
        <w:snapToGrid/>
        <w:spacing w:before="0" w:beforeLines="300" w:line="360" w:lineRule="auto"/>
        <w:ind w:left="4365" w:leftChars="1850" w:hanging="480" w:hangingChars="200"/>
        <w:textAlignment w:val="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599CD999">
      <w:pPr>
        <w:autoSpaceDE w:val="0"/>
        <w:autoSpaceDN w:val="0"/>
        <w:spacing w:line="360" w:lineRule="auto"/>
        <w:ind w:firstLine="6120" w:firstLineChars="2550"/>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日期：年月日</w:t>
      </w:r>
    </w:p>
    <w:p w14:paraId="4FDF99CC">
      <w:pPr>
        <w:rPr>
          <w:rFonts w:hint="eastAsia" w:ascii="仿宋" w:hAnsi="仿宋" w:eastAsia="仿宋" w:cs="仿宋_GB2312"/>
          <w:b/>
          <w:color w:val="000000" w:themeColor="text1"/>
          <w:kern w:val="0"/>
          <w:sz w:val="30"/>
          <w:szCs w:val="30"/>
          <w:highlight w:val="none"/>
          <w14:textFill>
            <w14:solidFill>
              <w14:schemeClr w14:val="tx1"/>
            </w14:solidFill>
          </w14:textFill>
        </w:rPr>
      </w:pPr>
      <w:r>
        <w:rPr>
          <w:rFonts w:hint="eastAsia" w:ascii="仿宋" w:hAnsi="仿宋" w:eastAsia="仿宋" w:cs="仿宋_GB2312"/>
          <w:b/>
          <w:color w:val="000000" w:themeColor="text1"/>
          <w:kern w:val="0"/>
          <w:sz w:val="30"/>
          <w:szCs w:val="30"/>
          <w:highlight w:val="none"/>
          <w14:textFill>
            <w14:solidFill>
              <w14:schemeClr w14:val="tx1"/>
            </w14:solidFill>
          </w14:textFill>
        </w:rPr>
        <w:br w:type="page"/>
      </w:r>
    </w:p>
    <w:p w14:paraId="409E3DA2">
      <w:pPr>
        <w:keepNext w:val="0"/>
        <w:keepLines w:val="0"/>
        <w:pageBreakBefore w:val="0"/>
        <w:widowControl w:val="0"/>
        <w:kinsoku/>
        <w:wordWrap/>
        <w:overflowPunct/>
        <w:topLinePunct w:val="0"/>
        <w:autoSpaceDE/>
        <w:autoSpaceDN/>
        <w:bidi w:val="0"/>
        <w:adjustRightInd/>
        <w:snapToGrid w:val="0"/>
        <w:spacing w:before="0" w:beforeLines="100" w:after="0" w:afterLines="100"/>
        <w:ind w:firstLine="596" w:firstLineChars="198"/>
        <w:textAlignment w:val="auto"/>
        <w:rPr>
          <w:rFonts w:hint="eastAsia" w:ascii="仿宋" w:hAnsi="仿宋" w:eastAsia="仿宋" w:cs="仿宋_GB2312"/>
          <w:b/>
          <w:color w:val="000000" w:themeColor="text1"/>
          <w:kern w:val="0"/>
          <w:sz w:val="30"/>
          <w:szCs w:val="30"/>
          <w:highlight w:val="none"/>
          <w14:textFill>
            <w14:solidFill>
              <w14:schemeClr w14:val="tx1"/>
            </w14:solidFill>
          </w14:textFill>
        </w:rPr>
      </w:pPr>
      <w:r>
        <w:rPr>
          <w:rFonts w:hint="eastAsia" w:ascii="仿宋" w:hAnsi="仿宋" w:eastAsia="仿宋" w:cs="仿宋_GB2312"/>
          <w:b/>
          <w:color w:val="000000" w:themeColor="text1"/>
          <w:kern w:val="0"/>
          <w:sz w:val="30"/>
          <w:szCs w:val="30"/>
          <w:highlight w:val="none"/>
          <w14:textFill>
            <w14:solidFill>
              <w14:schemeClr w14:val="tx1"/>
            </w14:solidFill>
          </w14:textFill>
        </w:rPr>
        <w:t>五、供应商直接管理关系信息表</w:t>
      </w:r>
    </w:p>
    <w:tbl>
      <w:tblPr>
        <w:tblStyle w:val="29"/>
        <w:tblW w:w="8576" w:type="dxa"/>
        <w:jc w:val="center"/>
        <w:shd w:val="clear" w:color="auto" w:fill="FBFBFB"/>
        <w:tblLayout w:type="fixed"/>
        <w:tblCellMar>
          <w:top w:w="0" w:type="dxa"/>
          <w:left w:w="0" w:type="dxa"/>
          <w:bottom w:w="0" w:type="dxa"/>
          <w:right w:w="0" w:type="dxa"/>
        </w:tblCellMar>
      </w:tblPr>
      <w:tblGrid>
        <w:gridCol w:w="791"/>
        <w:gridCol w:w="2940"/>
        <w:gridCol w:w="3358"/>
        <w:gridCol w:w="1487"/>
      </w:tblGrid>
      <w:tr w14:paraId="7140540C">
        <w:tblPrEx>
          <w:tblCellMar>
            <w:top w:w="0" w:type="dxa"/>
            <w:left w:w="0" w:type="dxa"/>
            <w:bottom w:w="0" w:type="dxa"/>
            <w:right w:w="0" w:type="dxa"/>
          </w:tblCellMar>
        </w:tblPrEx>
        <w:trPr>
          <w:tblHeader/>
          <w:jc w:val="center"/>
        </w:trPr>
        <w:tc>
          <w:tcPr>
            <w:tcW w:w="79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A259369">
            <w:pPr>
              <w:widowControl/>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序号</w:t>
            </w:r>
          </w:p>
        </w:tc>
        <w:tc>
          <w:tcPr>
            <w:tcW w:w="294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CE652B2">
            <w:pPr>
              <w:widowControl/>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直接管理关系单位名称</w:t>
            </w:r>
          </w:p>
        </w:tc>
        <w:tc>
          <w:tcPr>
            <w:tcW w:w="335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4E1C27">
            <w:pPr>
              <w:widowControl/>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统一社会信用代码</w:t>
            </w:r>
          </w:p>
        </w:tc>
        <w:tc>
          <w:tcPr>
            <w:tcW w:w="14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2AB7DA">
            <w:pPr>
              <w:widowControl/>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备注</w:t>
            </w:r>
          </w:p>
        </w:tc>
      </w:tr>
      <w:tr w14:paraId="4F9BA113">
        <w:tblPrEx>
          <w:shd w:val="clear" w:color="auto" w:fill="FBFBFB"/>
          <w:tblCellMar>
            <w:top w:w="0" w:type="dxa"/>
            <w:left w:w="0" w:type="dxa"/>
            <w:bottom w:w="0" w:type="dxa"/>
            <w:right w:w="0" w:type="dxa"/>
          </w:tblCellMar>
        </w:tblPrEx>
        <w:trPr>
          <w:jc w:val="center"/>
        </w:trPr>
        <w:tc>
          <w:tcPr>
            <w:tcW w:w="79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F31575">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tc>
        <w:tc>
          <w:tcPr>
            <w:tcW w:w="294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AE295D">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35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BEF8BEF">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42852ED">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036133F9">
        <w:tblPrEx>
          <w:tblCellMar>
            <w:top w:w="0" w:type="dxa"/>
            <w:left w:w="0" w:type="dxa"/>
            <w:bottom w:w="0" w:type="dxa"/>
            <w:right w:w="0" w:type="dxa"/>
          </w:tblCellMar>
        </w:tblPrEx>
        <w:trPr>
          <w:jc w:val="center"/>
        </w:trPr>
        <w:tc>
          <w:tcPr>
            <w:tcW w:w="79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11EE416">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294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7804768">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35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6CAFC05">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BD67AAF">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735AB853">
        <w:tblPrEx>
          <w:tblCellMar>
            <w:top w:w="0" w:type="dxa"/>
            <w:left w:w="0" w:type="dxa"/>
            <w:bottom w:w="0" w:type="dxa"/>
            <w:right w:w="0" w:type="dxa"/>
          </w:tblCellMar>
        </w:tblPrEx>
        <w:trPr>
          <w:jc w:val="center"/>
        </w:trPr>
        <w:tc>
          <w:tcPr>
            <w:tcW w:w="79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B53ECE1">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294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E37A17">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35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87FC6A8">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E1AF96">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2C26AEE6">
        <w:tblPrEx>
          <w:tblCellMar>
            <w:top w:w="0" w:type="dxa"/>
            <w:left w:w="0" w:type="dxa"/>
            <w:bottom w:w="0" w:type="dxa"/>
            <w:right w:w="0" w:type="dxa"/>
          </w:tblCellMar>
        </w:tblPrEx>
        <w:trPr>
          <w:jc w:val="center"/>
        </w:trPr>
        <w:tc>
          <w:tcPr>
            <w:tcW w:w="79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7EB6618">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tc>
        <w:tc>
          <w:tcPr>
            <w:tcW w:w="294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EF616C4">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35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DB9A702">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C6A8FDC">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bl>
    <w:p w14:paraId="6A53F5AA">
      <w:pPr>
        <w:spacing w:line="360" w:lineRule="auto"/>
        <w:ind w:firstLine="480" w:firstLineChars="200"/>
        <w:jc w:val="left"/>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注：</w:t>
      </w:r>
    </w:p>
    <w:p w14:paraId="3C65EF17">
      <w:pPr>
        <w:spacing w:line="360" w:lineRule="auto"/>
        <w:ind w:firstLine="480" w:firstLineChars="200"/>
        <w:jc w:val="left"/>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05BE3E83">
      <w:pPr>
        <w:spacing w:line="360" w:lineRule="auto"/>
        <w:ind w:firstLine="480" w:firstLineChars="200"/>
        <w:jc w:val="left"/>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2.本表所指的管理关系仅限于直接管理关系，不包括间接的管理关系。</w:t>
      </w:r>
    </w:p>
    <w:p w14:paraId="7604DF12">
      <w:pPr>
        <w:spacing w:line="360" w:lineRule="auto"/>
        <w:ind w:firstLine="480" w:firstLineChars="200"/>
        <w:jc w:val="left"/>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3.供应商不存在直接管理关系的，则填“无”。</w:t>
      </w:r>
    </w:p>
    <w:p w14:paraId="7F527EA7">
      <w:pPr>
        <w:keepNext w:val="0"/>
        <w:keepLines w:val="0"/>
        <w:pageBreakBefore w:val="0"/>
        <w:widowControl w:val="0"/>
        <w:kinsoku/>
        <w:wordWrap/>
        <w:overflowPunct/>
        <w:topLinePunct w:val="0"/>
        <w:autoSpaceDE w:val="0"/>
        <w:autoSpaceDN w:val="0"/>
        <w:bidi w:val="0"/>
        <w:adjustRightInd/>
        <w:snapToGrid/>
        <w:spacing w:before="0" w:beforeLines="100" w:line="360" w:lineRule="auto"/>
        <w:ind w:left="4365" w:leftChars="1850" w:hanging="480" w:hangingChars="200"/>
        <w:textAlignment w:val="auto"/>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59E39168">
      <w:pPr>
        <w:autoSpaceDE w:val="0"/>
        <w:autoSpaceDN w:val="0"/>
        <w:spacing w:line="360" w:lineRule="auto"/>
        <w:ind w:firstLine="6120" w:firstLineChars="2550"/>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日期：年月日</w:t>
      </w:r>
    </w:p>
    <w:p w14:paraId="79351EA8">
      <w:pPr>
        <w:spacing w:line="3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br w:type="page"/>
      </w:r>
      <w:r>
        <w:rPr>
          <w:rFonts w:hint="eastAsia" w:ascii="仿宋" w:hAnsi="仿宋" w:eastAsia="仿宋" w:cs="仿宋_GB2312"/>
          <w:b/>
          <w:color w:val="000000" w:themeColor="text1"/>
          <w:kern w:val="0"/>
          <w:sz w:val="30"/>
          <w:szCs w:val="30"/>
          <w:highlight w:val="none"/>
          <w14:textFill>
            <w14:solidFill>
              <w14:schemeClr w14:val="tx1"/>
            </w14:solidFill>
          </w14:textFill>
        </w:rPr>
        <w:t>六、资格声明函</w:t>
      </w:r>
    </w:p>
    <w:p w14:paraId="29D1E080">
      <w:pPr>
        <w:keepNext w:val="0"/>
        <w:keepLines w:val="0"/>
        <w:pageBreakBefore w:val="0"/>
        <w:widowControl w:val="0"/>
        <w:kinsoku/>
        <w:wordWrap/>
        <w:overflowPunct/>
        <w:topLinePunct w:val="0"/>
        <w:autoSpaceDE/>
        <w:autoSpaceDN/>
        <w:bidi w:val="0"/>
        <w:adjustRightInd/>
        <w:snapToGrid/>
        <w:spacing w:before="0" w:beforeLines="100" w:after="0" w:afterLines="100" w:line="320" w:lineRule="exact"/>
        <w:jc w:val="center"/>
        <w:textAlignment w:val="auto"/>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资格声明函</w:t>
      </w:r>
    </w:p>
    <w:p w14:paraId="430E4D10">
      <w:pPr>
        <w:spacing w:line="360" w:lineRule="auto"/>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致：</w:t>
      </w:r>
      <w:bookmarkStart w:id="75" w:name="PO_3000001871_PM031"/>
      <w:r>
        <w:rPr>
          <w:rFonts w:hint="eastAsia" w:ascii="仿宋_GB2312" w:hAnsi="宋体" w:eastAsia="仿宋_GB2312" w:cs="宋体"/>
          <w:color w:val="000000" w:themeColor="text1"/>
          <w:sz w:val="24"/>
          <w:highlight w:val="none"/>
          <w:u w:val="single"/>
          <w:lang w:eastAsia="zh-CN"/>
          <w14:textFill>
            <w14:solidFill>
              <w14:schemeClr w14:val="tx1"/>
            </w14:solidFill>
          </w14:textFill>
        </w:rPr>
        <w:t>广西建通工程咨询有限责任公司</w:t>
      </w:r>
      <w:bookmarkEnd w:id="75"/>
      <w:r>
        <w:rPr>
          <w:rFonts w:hint="eastAsia" w:ascii="仿宋_GB2312" w:hAnsi="宋体" w:eastAsia="仿宋_GB2312" w:cs="宋体"/>
          <w:color w:val="000000" w:themeColor="text1"/>
          <w:sz w:val="24"/>
          <w:highlight w:val="none"/>
          <w14:textFill>
            <w14:solidFill>
              <w14:schemeClr w14:val="tx1"/>
            </w14:solidFill>
          </w14:textFill>
        </w:rPr>
        <w:t>：</w:t>
      </w:r>
    </w:p>
    <w:p w14:paraId="7141F666">
      <w:pPr>
        <w:spacing w:line="360" w:lineRule="auto"/>
        <w:ind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u w:val="single"/>
          <w14:textFill>
            <w14:solidFill>
              <w14:schemeClr w14:val="tx1"/>
            </w14:solidFill>
          </w14:textFill>
        </w:rPr>
        <w:t>（供应商名称）</w:t>
      </w:r>
      <w:r>
        <w:rPr>
          <w:rFonts w:hint="eastAsia" w:ascii="仿宋_GB2312" w:hAnsi="宋体" w:eastAsia="仿宋_GB2312" w:cs="宋体"/>
          <w:color w:val="000000" w:themeColor="text1"/>
          <w:sz w:val="24"/>
          <w:highlight w:val="none"/>
          <w14:textFill>
            <w14:solidFill>
              <w14:schemeClr w14:val="tx1"/>
            </w14:solidFill>
          </w14:textFill>
        </w:rPr>
        <w:t>系中华人民共和国合法供应商，经营地址</w:t>
      </w:r>
      <w:r>
        <w:rPr>
          <w:rFonts w:hint="eastAsia" w:ascii="仿宋_GB2312" w:hAnsi="宋体" w:eastAsia="仿宋_GB2312" w:cs="宋体"/>
          <w:color w:val="000000" w:themeColor="text1"/>
          <w:sz w:val="24"/>
          <w:highlight w:val="none"/>
          <w:u w:val="single"/>
          <w:lang w:val="en-US" w:eastAsia="zh-CN"/>
          <w14:textFill>
            <w14:solidFill>
              <w14:schemeClr w14:val="tx1"/>
            </w14:solidFill>
          </w14:textFill>
        </w:rPr>
        <w:t xml:space="preserve">                  </w:t>
      </w:r>
      <w:r>
        <w:rPr>
          <w:rFonts w:hint="eastAsia" w:ascii="仿宋_GB2312" w:hAnsi="宋体" w:eastAsia="仿宋_GB2312" w:cs="宋体"/>
          <w:color w:val="000000" w:themeColor="text1"/>
          <w:sz w:val="24"/>
          <w:highlight w:val="none"/>
          <w14:textFill>
            <w14:solidFill>
              <w14:schemeClr w14:val="tx1"/>
            </w14:solidFill>
          </w14:textFill>
        </w:rPr>
        <w:t>。</w:t>
      </w:r>
    </w:p>
    <w:p w14:paraId="0118427B">
      <w:pPr>
        <w:spacing w:line="360" w:lineRule="auto"/>
        <w:ind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我方愿意参加贵方组织的</w:t>
      </w:r>
      <w:r>
        <w:rPr>
          <w:rFonts w:hint="eastAsia" w:ascii="仿宋_GB2312" w:hAnsi="宋体" w:eastAsia="仿宋_GB2312" w:cs="宋体"/>
          <w:color w:val="000000" w:themeColor="text1"/>
          <w:sz w:val="24"/>
          <w:highlight w:val="none"/>
          <w:u w:val="single"/>
          <w:lang w:eastAsia="zh-CN"/>
          <w14:textFill>
            <w14:solidFill>
              <w14:schemeClr w14:val="tx1"/>
            </w14:solidFill>
          </w14:textFill>
        </w:rPr>
        <w:t>档案室库房设备采购项目</w:t>
      </w:r>
      <w:r>
        <w:rPr>
          <w:rFonts w:hint="eastAsia" w:ascii="仿宋_GB2312" w:hAnsi="宋体" w:eastAsia="仿宋_GB2312" w:cs="宋体"/>
          <w:color w:val="000000" w:themeColor="text1"/>
          <w:sz w:val="24"/>
          <w:highlight w:val="none"/>
          <w14:textFill>
            <w14:solidFill>
              <w14:schemeClr w14:val="tx1"/>
            </w14:solidFill>
          </w14:textFill>
        </w:rPr>
        <w:t>的竞标，为便于贵方公正、择优地确定成交供应商及其竞标产品和货物，我方就本次竞标有关事项郑重声明如下：</w:t>
      </w:r>
    </w:p>
    <w:p w14:paraId="370E004E">
      <w:pPr>
        <w:spacing w:line="360" w:lineRule="auto"/>
        <w:ind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1.我方向贵方提交的所有响应文件、资料都是准确的和真实的。</w:t>
      </w:r>
    </w:p>
    <w:p w14:paraId="47621C41">
      <w:pPr>
        <w:spacing w:line="360" w:lineRule="auto"/>
        <w:ind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2.我方不是采购人的附属机构；不是为本次采购项目提供整体设计、规范编制或者项目管理、监理、检测等货物的供应商；在获知本项目采购信息后，与采购人聘请的为此项目提供咨询货物的公司及其附属机构没有任何联系。</w:t>
      </w:r>
    </w:p>
    <w:p w14:paraId="74DECCB4">
      <w:pPr>
        <w:spacing w:line="360" w:lineRule="auto"/>
        <w:ind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3.在此，我方宣布同意如下：</w:t>
      </w:r>
    </w:p>
    <w:p w14:paraId="0C308635">
      <w:pPr>
        <w:spacing w:line="360" w:lineRule="auto"/>
        <w:ind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（1）将按谈判文件的约定履行合同责任和义务；</w:t>
      </w:r>
    </w:p>
    <w:p w14:paraId="2128AA11">
      <w:pPr>
        <w:spacing w:line="360" w:lineRule="auto"/>
        <w:ind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（2）已详细审查全部谈判文件，包括澄清或者更正公告（如有）；</w:t>
      </w:r>
    </w:p>
    <w:p w14:paraId="1FC69F2C">
      <w:pPr>
        <w:spacing w:line="360" w:lineRule="auto"/>
        <w:ind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（3）同意提供按照贵方可能要求的与谈判有关的一切数据或者资料；</w:t>
      </w:r>
    </w:p>
    <w:p w14:paraId="57C1B80C">
      <w:pPr>
        <w:spacing w:line="360" w:lineRule="auto"/>
        <w:ind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（4）响应谈判文件规定的竞标有效期。</w:t>
      </w:r>
    </w:p>
    <w:p w14:paraId="1737E3FC">
      <w:pPr>
        <w:spacing w:line="360" w:lineRule="auto"/>
        <w:ind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5688E51A">
      <w:pPr>
        <w:spacing w:line="360" w:lineRule="auto"/>
        <w:ind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6A8C62D2">
      <w:pPr>
        <w:spacing w:line="360" w:lineRule="auto"/>
        <w:ind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72325A1D">
      <w:pPr>
        <w:spacing w:line="360" w:lineRule="auto"/>
        <w:ind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□我方本次响应文件</w:t>
      </w:r>
      <w:r>
        <w:rPr>
          <w:rFonts w:hint="eastAsia" w:ascii="仿宋_GB2312" w:hAnsi="宋体" w:eastAsia="仿宋_GB2312" w:cs="宋体"/>
          <w:color w:val="000000" w:themeColor="text1"/>
          <w:kern w:val="0"/>
          <w:sz w:val="24"/>
          <w:highlight w:val="none"/>
          <w14:textFill>
            <w14:solidFill>
              <w14:schemeClr w14:val="tx1"/>
            </w14:solidFill>
          </w14:textFill>
        </w:rPr>
        <w:t>内容中</w:t>
      </w:r>
      <w:r>
        <w:rPr>
          <w:rFonts w:hint="eastAsia" w:ascii="仿宋_GB2312" w:hAnsi="宋体" w:eastAsia="仿宋_GB2312" w:cs="宋体"/>
          <w:color w:val="000000" w:themeColor="text1"/>
          <w:sz w:val="24"/>
          <w:highlight w:val="none"/>
          <w14:textFill>
            <w14:solidFill>
              <w14:schemeClr w14:val="tx1"/>
            </w14:solidFill>
          </w14:textFill>
        </w:rPr>
        <w:t>未</w:t>
      </w:r>
      <w:r>
        <w:rPr>
          <w:rFonts w:hint="eastAsia" w:ascii="仿宋_GB2312" w:hAnsi="宋体" w:eastAsia="仿宋_GB2312" w:cs="宋体"/>
          <w:color w:val="000000" w:themeColor="text1"/>
          <w:kern w:val="0"/>
          <w:sz w:val="24"/>
          <w:highlight w:val="none"/>
          <w14:textFill>
            <w14:solidFill>
              <w14:schemeClr w14:val="tx1"/>
            </w14:solidFill>
          </w14:textFill>
        </w:rPr>
        <w:t>涉及商业秘密；</w:t>
      </w:r>
    </w:p>
    <w:p w14:paraId="48521FFF">
      <w:pPr>
        <w:spacing w:line="360" w:lineRule="auto"/>
        <w:ind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□我方本次响应文件</w:t>
      </w:r>
      <w:r>
        <w:rPr>
          <w:rFonts w:hint="eastAsia" w:ascii="仿宋_GB2312" w:hAnsi="宋体" w:eastAsia="仿宋_GB2312" w:cs="宋体"/>
          <w:color w:val="000000" w:themeColor="text1"/>
          <w:kern w:val="0"/>
          <w:sz w:val="24"/>
          <w:highlight w:val="none"/>
          <w14:textFill>
            <w14:solidFill>
              <w14:schemeClr w14:val="tx1"/>
            </w14:solidFill>
          </w14:textFill>
        </w:rPr>
        <w:t>涉及商业秘密的内容有：；</w:t>
      </w:r>
    </w:p>
    <w:p w14:paraId="0DAFA1DC">
      <w:pPr>
        <w:pStyle w:val="17"/>
        <w:spacing w:line="360" w:lineRule="auto"/>
        <w:ind w:firstLine="480" w:firstLineChars="200"/>
        <w:rPr>
          <w:rFonts w:hint="eastAsia" w:ascii="仿宋_GB2312" w:hAnsi="宋体" w:eastAsia="仿宋_GB2312" w:cs="宋体"/>
          <w:color w:val="000000" w:themeColor="text1"/>
          <w:sz w:val="24"/>
          <w:szCs w:val="24"/>
          <w:highlight w:val="none"/>
          <w:u w:val="single"/>
          <w:lang w:eastAsia="zh-CN"/>
          <w14:textFill>
            <w14:solidFill>
              <w14:schemeClr w14:val="tx1"/>
            </w14:solidFill>
          </w14:textFill>
        </w:rPr>
      </w:pPr>
      <w:r>
        <w:rPr>
          <w:rFonts w:hint="eastAsia" w:ascii="仿宋_GB2312" w:hAnsi="宋体" w:eastAsia="仿宋_GB2312" w:cs="宋体"/>
          <w:color w:val="000000" w:themeColor="text1"/>
          <w:sz w:val="24"/>
          <w:szCs w:val="24"/>
          <w:highlight w:val="none"/>
          <w14:textFill>
            <w14:solidFill>
              <w14:schemeClr w14:val="tx1"/>
            </w14:solidFill>
          </w14:textFill>
        </w:rPr>
        <w:t>7.与本谈判有关的一切正式往来信函请寄：邮政编号：</w:t>
      </w:r>
    </w:p>
    <w:p w14:paraId="11CE77AE">
      <w:pPr>
        <w:pStyle w:val="17"/>
        <w:spacing w:line="360" w:lineRule="auto"/>
        <w:ind w:firstLine="480" w:firstLineChars="200"/>
        <w:rPr>
          <w:rFonts w:hint="eastAsia" w:ascii="仿宋_GB2312" w:hAnsi="宋体" w:eastAsia="仿宋_GB2312" w:cs="宋体"/>
          <w:color w:val="000000" w:themeColor="text1"/>
          <w:sz w:val="24"/>
          <w:szCs w:val="24"/>
          <w:highlight w:val="none"/>
          <w:lang w:eastAsia="zh-CN"/>
          <w14:textFill>
            <w14:solidFill>
              <w14:schemeClr w14:val="tx1"/>
            </w14:solidFill>
          </w14:textFill>
        </w:rPr>
      </w:pPr>
      <w:r>
        <w:rPr>
          <w:rFonts w:hint="eastAsia" w:ascii="仿宋_GB2312" w:hAnsi="宋体" w:eastAsia="仿宋_GB2312" w:cs="宋体"/>
          <w:color w:val="000000" w:themeColor="text1"/>
          <w:sz w:val="24"/>
          <w:szCs w:val="24"/>
          <w:highlight w:val="none"/>
          <w14:textFill>
            <w14:solidFill>
              <w14:schemeClr w14:val="tx1"/>
            </w14:solidFill>
          </w14:textFill>
        </w:rPr>
        <w:t>电话/传真：电子函件：</w:t>
      </w:r>
    </w:p>
    <w:p w14:paraId="054BA6E2">
      <w:pPr>
        <w:pStyle w:val="15"/>
        <w:tabs>
          <w:tab w:val="left" w:pos="939"/>
        </w:tabs>
        <w:spacing w:line="360" w:lineRule="auto"/>
        <w:ind w:left="141" w:leftChars="67" w:firstLine="360" w:firstLineChars="150"/>
        <w:rPr>
          <w:rFonts w:hint="eastAsia" w:ascii="仿宋_GB2312" w:hAnsi="宋体" w:eastAsia="仿宋_GB2312" w:cs="宋体"/>
          <w:color w:val="000000" w:themeColor="text1"/>
          <w:sz w:val="24"/>
          <w:highlight w:val="none"/>
          <w:lang w:eastAsia="zh-CN"/>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开户银行：</w:t>
      </w:r>
      <w:r>
        <w:rPr>
          <w:rFonts w:hint="eastAsia" w:ascii="仿宋_GB2312" w:hAnsi="宋体" w:eastAsia="仿宋_GB2312" w:cs="宋体"/>
          <w:color w:val="000000" w:themeColor="text1"/>
          <w:sz w:val="24"/>
          <w:highlight w:val="none"/>
          <w:lang w:val="en-US" w:eastAsia="zh-CN"/>
          <w14:textFill>
            <w14:solidFill>
              <w14:schemeClr w14:val="tx1"/>
            </w14:solidFill>
          </w14:textFill>
        </w:rPr>
        <w:t>账</w:t>
      </w:r>
      <w:r>
        <w:rPr>
          <w:rFonts w:hint="eastAsia" w:ascii="仿宋_GB2312" w:hAnsi="宋体" w:eastAsia="仿宋_GB2312" w:cs="宋体"/>
          <w:color w:val="000000" w:themeColor="text1"/>
          <w:sz w:val="24"/>
          <w:highlight w:val="none"/>
          <w14:textFill>
            <w14:solidFill>
              <w14:schemeClr w14:val="tx1"/>
            </w14:solidFill>
          </w14:textFill>
        </w:rPr>
        <w:t>号：</w:t>
      </w:r>
    </w:p>
    <w:p w14:paraId="6D4747D2">
      <w:pPr>
        <w:pStyle w:val="15"/>
        <w:tabs>
          <w:tab w:val="left" w:pos="939"/>
        </w:tabs>
        <w:spacing w:line="360" w:lineRule="auto"/>
        <w:ind w:left="0" w:leftChars="0"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8.以上事项如有虚假或者隐瞒，我方愿意承担一切后果，并不再寻求任何旨在减轻或者免除法律责任的辩解。</w:t>
      </w:r>
    </w:p>
    <w:p w14:paraId="5A09D81A">
      <w:pPr>
        <w:pStyle w:val="15"/>
        <w:tabs>
          <w:tab w:val="left" w:pos="939"/>
        </w:tabs>
        <w:spacing w:line="360" w:lineRule="auto"/>
        <w:ind w:left="141" w:leftChars="67" w:firstLine="360" w:firstLineChars="15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特此承诺。</w:t>
      </w:r>
    </w:p>
    <w:p w14:paraId="04171C42">
      <w:pPr>
        <w:pStyle w:val="15"/>
        <w:tabs>
          <w:tab w:val="left" w:pos="939"/>
        </w:tabs>
        <w:spacing w:line="360" w:lineRule="auto"/>
        <w:ind w:left="0" w:leftChars="0"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注：如为联合体竞标，盖章处须加盖联合体各方公章并由联合体各方法定代表人签署，否则其响应文件按无效响应处理。</w:t>
      </w:r>
    </w:p>
    <w:p w14:paraId="428B3F50">
      <w:pPr>
        <w:keepNext w:val="0"/>
        <w:keepLines w:val="0"/>
        <w:pageBreakBefore w:val="0"/>
        <w:widowControl w:val="0"/>
        <w:kinsoku/>
        <w:wordWrap/>
        <w:overflowPunct/>
        <w:topLinePunct w:val="0"/>
        <w:autoSpaceDE w:val="0"/>
        <w:autoSpaceDN w:val="0"/>
        <w:bidi w:val="0"/>
        <w:adjustRightInd/>
        <w:snapToGrid/>
        <w:spacing w:before="0" w:beforeLines="200" w:line="360" w:lineRule="auto"/>
        <w:ind w:left="4365" w:leftChars="1850" w:hanging="480" w:hangingChars="200"/>
        <w:textAlignment w:val="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6917367F">
      <w:pPr>
        <w:autoSpaceDE w:val="0"/>
        <w:autoSpaceDN w:val="0"/>
        <w:spacing w:line="360" w:lineRule="auto"/>
        <w:ind w:left="0" w:leftChars="0" w:firstLine="4418" w:firstLineChars="1841"/>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日期：年月日</w:t>
      </w:r>
    </w:p>
    <w:p w14:paraId="022FA81B">
      <w:pPr>
        <w:widowControl/>
        <w:spacing w:line="360" w:lineRule="auto"/>
        <w:jc w:val="left"/>
        <w:rPr>
          <w:rFonts w:ascii="仿宋_GB2312" w:hAnsi="仿宋" w:eastAsia="仿宋_GB2312" w:cs="仿宋_GB2312"/>
          <w:color w:val="000000" w:themeColor="text1"/>
          <w:kern w:val="0"/>
          <w:sz w:val="24"/>
          <w:highlight w:val="none"/>
          <w:lang w:val="zh-CN"/>
          <w14:textFill>
            <w14:solidFill>
              <w14:schemeClr w14:val="tx1"/>
            </w14:solidFill>
          </w14:textFill>
        </w:rPr>
        <w:sectPr>
          <w:pgSz w:w="11910" w:h="16840"/>
          <w:pgMar w:top="1340" w:right="1500" w:bottom="280" w:left="1680" w:header="720" w:footer="720" w:gutter="0"/>
          <w:pgNumType w:fmt="decimal"/>
          <w:cols w:space="720" w:num="1"/>
        </w:sectPr>
      </w:pPr>
    </w:p>
    <w:p w14:paraId="14FC2278">
      <w:pPr>
        <w:pStyle w:val="7"/>
        <w:overflowPunct w:val="0"/>
        <w:spacing w:line="520" w:lineRule="exact"/>
        <w:ind w:firstLine="0"/>
        <w:rPr>
          <w:rFonts w:hint="eastAsia" w:ascii="宋体" w:hAnsi="宋体"/>
          <w:b/>
          <w:bCs/>
          <w:color w:val="000000" w:themeColor="text1"/>
          <w:sz w:val="32"/>
          <w:szCs w:val="32"/>
          <w:highlight w:val="none"/>
          <w14:textFill>
            <w14:solidFill>
              <w14:schemeClr w14:val="tx1"/>
            </w14:solidFill>
          </w14:textFill>
        </w:rPr>
      </w:pPr>
      <w:r>
        <w:rPr>
          <w:rFonts w:hint="eastAsia" w:ascii="仿宋" w:hAnsi="仿宋" w:eastAsia="仿宋" w:cs="仿宋_GB2312"/>
          <w:b/>
          <w:color w:val="000000" w:themeColor="text1"/>
          <w:kern w:val="0"/>
          <w:sz w:val="30"/>
          <w:szCs w:val="30"/>
          <w:highlight w:val="none"/>
          <w14:textFill>
            <w14:solidFill>
              <w14:schemeClr w14:val="tx1"/>
            </w14:solidFill>
          </w14:textFill>
        </w:rPr>
        <w:t>七、联合体协议书（如有）</w:t>
      </w:r>
    </w:p>
    <w:p w14:paraId="69C21782">
      <w:pPr>
        <w:pStyle w:val="17"/>
        <w:keepNext w:val="0"/>
        <w:keepLines w:val="0"/>
        <w:pageBreakBefore w:val="0"/>
        <w:widowControl w:val="0"/>
        <w:kinsoku/>
        <w:wordWrap/>
        <w:overflowPunct/>
        <w:topLinePunct w:val="0"/>
        <w:autoSpaceDE/>
        <w:autoSpaceDN/>
        <w:bidi w:val="0"/>
        <w:adjustRightInd/>
        <w:snapToGrid/>
        <w:spacing w:before="0" w:beforeLines="100" w:after="0" w:afterLines="100" w:line="600" w:lineRule="exact"/>
        <w:jc w:val="center"/>
        <w:textAlignment w:val="auto"/>
        <w:rPr>
          <w:rFonts w:hint="eastAsia" w:ascii="方正小标宋简体" w:hAnsi="方正小标宋简体" w:eastAsia="方正小标宋简体" w:cs="方正小标宋简体"/>
          <w:color w:val="000000" w:themeColor="text1"/>
          <w:kern w:val="2"/>
          <w:sz w:val="32"/>
          <w:szCs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kern w:val="2"/>
          <w:sz w:val="32"/>
          <w:szCs w:val="32"/>
          <w:highlight w:val="none"/>
          <w14:textFill>
            <w14:solidFill>
              <w14:schemeClr w14:val="tx1"/>
            </w14:solidFill>
          </w14:textFill>
        </w:rPr>
        <w:t>联合体竞标协议书（格式）</w:t>
      </w:r>
    </w:p>
    <w:p w14:paraId="064496E4">
      <w:pPr>
        <w:autoSpaceDE w:val="0"/>
        <w:autoSpaceDN w:val="0"/>
        <w:adjustRightInd w:val="0"/>
        <w:spacing w:line="360" w:lineRule="auto"/>
        <w:jc w:val="left"/>
        <w:rPr>
          <w:rFonts w:hint="eastAsia" w:ascii="仿宋_GB2312" w:hAnsi="仿宋_GB2312" w:eastAsia="仿宋_GB2312" w:cs="宋体"/>
          <w:color w:val="000000" w:themeColor="text1"/>
          <w:kern w:val="0"/>
          <w:sz w:val="24"/>
          <w:highlight w:val="none"/>
          <w14:textFill>
            <w14:solidFill>
              <w14:schemeClr w14:val="tx1"/>
            </w14:solidFill>
          </w14:textFill>
        </w:rPr>
      </w:pPr>
      <w:r>
        <w:rPr>
          <w:rFonts w:hint="eastAsia" w:ascii="仿宋_GB2312" w:hAnsi="仿宋_GB2312" w:eastAsia="仿宋_GB2312" w:cs="宋体"/>
          <w:color w:val="000000" w:themeColor="text1"/>
          <w:kern w:val="0"/>
          <w:sz w:val="24"/>
          <w:highlight w:val="none"/>
          <w14:textFill>
            <w14:solidFill>
              <w14:schemeClr w14:val="tx1"/>
            </w14:solidFill>
          </w14:textFill>
        </w:rPr>
        <w:t>（所有成员单位名称）自愿组成联合体，共同参加</w:t>
      </w:r>
      <w:bookmarkStart w:id="76" w:name="PO_3000001871_PM031_4"/>
      <w:r>
        <w:rPr>
          <w:rFonts w:hint="eastAsia" w:ascii="仿宋_GB2312" w:hAnsi="仿宋_GB2312" w:eastAsia="仿宋_GB2312" w:cs="宋体"/>
          <w:color w:val="000000" w:themeColor="text1"/>
          <w:kern w:val="0"/>
          <w:sz w:val="24"/>
          <w:highlight w:val="none"/>
          <w:u w:val="single"/>
          <w:lang w:eastAsia="zh-CN"/>
          <w14:textFill>
            <w14:solidFill>
              <w14:schemeClr w14:val="tx1"/>
            </w14:solidFill>
          </w14:textFill>
        </w:rPr>
        <w:t>广西建通工程咨询有限责任公司</w:t>
      </w:r>
      <w:bookmarkEnd w:id="76"/>
      <w:r>
        <w:rPr>
          <w:rFonts w:hint="eastAsia" w:ascii="仿宋_GB2312" w:hAnsi="仿宋_GB2312" w:eastAsia="仿宋_GB2312" w:cs="宋体"/>
          <w:color w:val="000000" w:themeColor="text1"/>
          <w:kern w:val="0"/>
          <w:sz w:val="24"/>
          <w:highlight w:val="none"/>
          <w14:textFill>
            <w14:solidFill>
              <w14:schemeClr w14:val="tx1"/>
            </w14:solidFill>
          </w14:textFill>
        </w:rPr>
        <w:t>组织的</w:t>
      </w:r>
      <w:r>
        <w:rPr>
          <w:rFonts w:hint="eastAsia" w:ascii="仿宋_GB2312" w:hAnsi="仿宋_GB2312" w:eastAsia="仿宋_GB2312" w:cs="宋体"/>
          <w:color w:val="000000" w:themeColor="text1"/>
          <w:kern w:val="0"/>
          <w:sz w:val="24"/>
          <w:highlight w:val="none"/>
          <w:u w:val="single"/>
          <w:lang w:eastAsia="zh-CN"/>
          <w14:textFill>
            <w14:solidFill>
              <w14:schemeClr w14:val="tx1"/>
            </w14:solidFill>
          </w14:textFill>
        </w:rPr>
        <w:t>档案室库房设备采购项目</w:t>
      </w:r>
      <w:r>
        <w:rPr>
          <w:rFonts w:hint="eastAsia" w:ascii="仿宋_GB2312" w:hAnsi="仿宋_GB2312" w:eastAsia="仿宋_GB2312" w:cs="宋体"/>
          <w:color w:val="000000" w:themeColor="text1"/>
          <w:kern w:val="0"/>
          <w:sz w:val="24"/>
          <w:highlight w:val="none"/>
          <w14:textFill>
            <w14:solidFill>
              <w14:schemeClr w14:val="tx1"/>
            </w14:solidFill>
          </w14:textFill>
        </w:rPr>
        <w:t>（项目编号：</w:t>
      </w:r>
      <w:r>
        <w:rPr>
          <w:rFonts w:hint="eastAsia" w:ascii="仿宋_GB2312" w:hAnsi="仿宋_GB2312" w:eastAsia="仿宋_GB2312" w:cs="宋体"/>
          <w:color w:val="000000" w:themeColor="text1"/>
          <w:kern w:val="0"/>
          <w:sz w:val="24"/>
          <w:highlight w:val="none"/>
          <w:lang w:eastAsia="zh-CN"/>
          <w14:textFill>
            <w14:solidFill>
              <w14:schemeClr w14:val="tx1"/>
            </w14:solidFill>
          </w14:textFill>
        </w:rPr>
        <w:t>NNZC2026-J1-990724-GXJT</w:t>
      </w:r>
      <w:r>
        <w:rPr>
          <w:rFonts w:hint="eastAsia" w:ascii="仿宋_GB2312" w:hAnsi="仿宋_GB2312" w:eastAsia="仿宋_GB2312" w:cs="宋体"/>
          <w:color w:val="000000" w:themeColor="text1"/>
          <w:kern w:val="0"/>
          <w:sz w:val="24"/>
          <w:highlight w:val="none"/>
          <w14:textFill>
            <w14:solidFill>
              <w14:schemeClr w14:val="tx1"/>
            </w14:solidFill>
          </w14:textFill>
        </w:rPr>
        <w:t>）竞争性谈判采购。现就联合体竞标事宜订立如下协议：</w:t>
      </w:r>
    </w:p>
    <w:p w14:paraId="4AD4822A">
      <w:pPr>
        <w:autoSpaceDE w:val="0"/>
        <w:autoSpaceDN w:val="0"/>
        <w:adjustRightInd w:val="0"/>
        <w:spacing w:line="360" w:lineRule="auto"/>
        <w:ind w:firstLine="420"/>
        <w:jc w:val="left"/>
        <w:rPr>
          <w:rFonts w:hint="eastAsia" w:ascii="仿宋_GB2312" w:hAnsi="宋体" w:eastAsia="仿宋_GB2312" w:cs="宋体"/>
          <w:color w:val="000000" w:themeColor="text1"/>
          <w:kern w:val="0"/>
          <w:sz w:val="24"/>
          <w:highlight w:val="none"/>
          <w14:textFill>
            <w14:solidFill>
              <w14:schemeClr w14:val="tx1"/>
            </w14:solidFill>
          </w14:textFill>
        </w:rPr>
      </w:pPr>
      <w:r>
        <w:rPr>
          <w:rFonts w:hint="eastAsia" w:ascii="仿宋_GB2312" w:hAnsi="宋体" w:eastAsia="仿宋_GB2312" w:cs="TimesNewRomanPSMT"/>
          <w:color w:val="000000" w:themeColor="text1"/>
          <w:kern w:val="0"/>
          <w:sz w:val="24"/>
          <w:highlight w:val="none"/>
          <w14:textFill>
            <w14:solidFill>
              <w14:schemeClr w14:val="tx1"/>
            </w14:solidFill>
          </w14:textFill>
        </w:rPr>
        <w:t>1</w:t>
      </w:r>
      <w:r>
        <w:rPr>
          <w:rFonts w:hint="eastAsia" w:ascii="仿宋_GB2312" w:hAnsi="宋体" w:eastAsia="仿宋_GB2312" w:cs="宋体"/>
          <w:color w:val="000000" w:themeColor="text1"/>
          <w:kern w:val="0"/>
          <w:sz w:val="24"/>
          <w:highlight w:val="none"/>
          <w14:textFill>
            <w14:solidFill>
              <w14:schemeClr w14:val="tx1"/>
            </w14:solidFill>
          </w14:textFill>
        </w:rPr>
        <w:t>、</w:t>
      </w:r>
      <w:r>
        <w:rPr>
          <w:rFonts w:hint="eastAsia" w:ascii="仿宋_GB2312" w:hAnsi="仿宋_GB2312" w:eastAsia="仿宋_GB2312"/>
          <w:color w:val="000000" w:themeColor="text1"/>
          <w:sz w:val="24"/>
          <w:highlight w:val="none"/>
          <w14:textFill>
            <w14:solidFill>
              <w14:schemeClr w14:val="tx1"/>
            </w14:solidFill>
          </w14:textFill>
        </w:rPr>
        <w:t>________________________</w:t>
      </w:r>
      <w:r>
        <w:rPr>
          <w:rFonts w:hint="eastAsia" w:ascii="仿宋_GB2312" w:hAnsi="宋体" w:eastAsia="仿宋_GB2312" w:cs="宋体"/>
          <w:color w:val="000000" w:themeColor="text1"/>
          <w:kern w:val="0"/>
          <w:sz w:val="24"/>
          <w:highlight w:val="none"/>
          <w14:textFill>
            <w14:solidFill>
              <w14:schemeClr w14:val="tx1"/>
            </w14:solidFill>
          </w14:textFill>
        </w:rPr>
        <w:t>（某成员单位名称）为联合体名称牵头人。</w:t>
      </w:r>
    </w:p>
    <w:p w14:paraId="249B9F3A">
      <w:pPr>
        <w:autoSpaceDE w:val="0"/>
        <w:autoSpaceDN w:val="0"/>
        <w:adjustRightInd w:val="0"/>
        <w:spacing w:line="360" w:lineRule="auto"/>
        <w:ind w:firstLine="420"/>
        <w:jc w:val="left"/>
        <w:rPr>
          <w:rFonts w:hint="eastAsia" w:ascii="仿宋_GB2312" w:hAnsi="宋体" w:eastAsia="仿宋_GB2312" w:cs="宋体"/>
          <w:color w:val="000000" w:themeColor="text1"/>
          <w:kern w:val="0"/>
          <w:sz w:val="24"/>
          <w:highlight w:val="none"/>
          <w14:textFill>
            <w14:solidFill>
              <w14:schemeClr w14:val="tx1"/>
            </w14:solidFill>
          </w14:textFill>
        </w:rPr>
      </w:pPr>
      <w:r>
        <w:rPr>
          <w:rFonts w:hint="eastAsia" w:ascii="仿宋_GB2312" w:hAnsi="宋体" w:eastAsia="仿宋_GB2312" w:cs="TimesNewRomanPSMT"/>
          <w:color w:val="000000" w:themeColor="text1"/>
          <w:kern w:val="0"/>
          <w:sz w:val="24"/>
          <w:highlight w:val="none"/>
          <w14:textFill>
            <w14:solidFill>
              <w14:schemeClr w14:val="tx1"/>
            </w14:solidFill>
          </w14:textFill>
        </w:rPr>
        <w:t>2</w:t>
      </w:r>
      <w:r>
        <w:rPr>
          <w:rFonts w:hint="eastAsia" w:ascii="仿宋_GB2312" w:hAnsi="宋体" w:eastAsia="仿宋_GB2312" w:cs="宋体"/>
          <w:color w:val="000000" w:themeColor="text1"/>
          <w:kern w:val="0"/>
          <w:sz w:val="24"/>
          <w:highlight w:val="none"/>
          <w14:textFill>
            <w14:solidFill>
              <w14:schemeClr w14:val="tx1"/>
            </w14:solidFill>
          </w14:textFill>
        </w:rPr>
        <w:t>、联合体牵头人合法代表联合体各成员负责本谈判项目响应文件编制和合同谈判活动，并代表联合体提交和接收相关的资料、信息及指示，并处理与之有关的一切事务，负责合同实施阶段的主办、组织和协调工作。</w:t>
      </w:r>
    </w:p>
    <w:p w14:paraId="6912663A">
      <w:pPr>
        <w:autoSpaceDE w:val="0"/>
        <w:autoSpaceDN w:val="0"/>
        <w:adjustRightInd w:val="0"/>
        <w:spacing w:line="360" w:lineRule="auto"/>
        <w:ind w:firstLine="420"/>
        <w:jc w:val="left"/>
        <w:rPr>
          <w:rFonts w:hint="eastAsia" w:ascii="仿宋_GB2312" w:hAnsi="宋体" w:eastAsia="仿宋_GB2312" w:cs="宋体"/>
          <w:color w:val="000000" w:themeColor="text1"/>
          <w:kern w:val="0"/>
          <w:sz w:val="24"/>
          <w:highlight w:val="none"/>
          <w14:textFill>
            <w14:solidFill>
              <w14:schemeClr w14:val="tx1"/>
            </w14:solidFill>
          </w14:textFill>
        </w:rPr>
      </w:pPr>
      <w:r>
        <w:rPr>
          <w:rFonts w:hint="eastAsia" w:ascii="仿宋_GB2312" w:hAnsi="宋体" w:eastAsia="仿宋_GB2312" w:cs="宋体"/>
          <w:color w:val="000000" w:themeColor="text1"/>
          <w:kern w:val="0"/>
          <w:sz w:val="24"/>
          <w:highlight w:val="none"/>
          <w14:textFill>
            <w14:solidFill>
              <w14:schemeClr w14:val="tx1"/>
            </w14:solidFill>
          </w14:textFill>
        </w:rPr>
        <w:t>3、联合体牵头人在本项目中签署和盖章的一切文件和处理的一切事宜，联合体各成员均予以承认。联合体各成员将严格按照谈判文件、响应文件和合同的要求全面履行义务，并向采购人承担连带责任。</w:t>
      </w:r>
    </w:p>
    <w:p w14:paraId="7B36A94A">
      <w:pPr>
        <w:autoSpaceDE w:val="0"/>
        <w:autoSpaceDN w:val="0"/>
        <w:adjustRightInd w:val="0"/>
        <w:spacing w:line="360" w:lineRule="auto"/>
        <w:ind w:firstLine="420"/>
        <w:jc w:val="left"/>
        <w:rPr>
          <w:rFonts w:hint="eastAsia" w:ascii="仿宋_GB2312" w:hAnsi="宋体" w:eastAsia="仿宋_GB2312" w:cs="宋体"/>
          <w:color w:val="000000" w:themeColor="text1"/>
          <w:kern w:val="0"/>
          <w:sz w:val="24"/>
          <w:highlight w:val="none"/>
          <w14:textFill>
            <w14:solidFill>
              <w14:schemeClr w14:val="tx1"/>
            </w14:solidFill>
          </w14:textFill>
        </w:rPr>
      </w:pPr>
      <w:r>
        <w:rPr>
          <w:rFonts w:hint="eastAsia" w:ascii="仿宋_GB2312" w:hAnsi="宋体" w:eastAsia="仿宋_GB2312" w:cs="TimesNewRomanPSMT"/>
          <w:color w:val="000000" w:themeColor="text1"/>
          <w:kern w:val="0"/>
          <w:sz w:val="24"/>
          <w:highlight w:val="none"/>
          <w14:textFill>
            <w14:solidFill>
              <w14:schemeClr w14:val="tx1"/>
            </w14:solidFill>
          </w14:textFill>
        </w:rPr>
        <w:t>4</w:t>
      </w:r>
      <w:r>
        <w:rPr>
          <w:rFonts w:hint="eastAsia" w:ascii="仿宋_GB2312" w:hAnsi="宋体" w:eastAsia="仿宋_GB2312" w:cs="宋体"/>
          <w:color w:val="000000" w:themeColor="text1"/>
          <w:kern w:val="0"/>
          <w:sz w:val="24"/>
          <w:highlight w:val="none"/>
          <w14:textFill>
            <w14:solidFill>
              <w14:schemeClr w14:val="tx1"/>
            </w14:solidFill>
          </w14:textFill>
        </w:rPr>
        <w:t>、联合体各成员单位内部的职责分工如下</w:t>
      </w:r>
      <w:r>
        <w:rPr>
          <w:rFonts w:hint="eastAsia" w:ascii="仿宋_GB2312" w:hAnsi="宋体" w:eastAsia="仿宋_GB2312" w:cs="宋体"/>
          <w:color w:val="000000" w:themeColor="text1"/>
          <w:kern w:val="0"/>
          <w:sz w:val="24"/>
          <w:highlight w:val="none"/>
          <w:u w:val="single"/>
          <w14:textFill>
            <w14:solidFill>
              <w14:schemeClr w14:val="tx1"/>
            </w14:solidFill>
          </w14:textFill>
        </w:rPr>
        <w:t>：</w:t>
      </w:r>
      <w:r>
        <w:rPr>
          <w:rFonts w:hint="eastAsia" w:ascii="仿宋_GB2312" w:hAnsi="仿宋_GB2312" w:eastAsia="仿宋_GB2312"/>
          <w:color w:val="000000" w:themeColor="text1"/>
          <w:sz w:val="24"/>
          <w:highlight w:val="none"/>
          <w:u w:val="single"/>
          <w14:textFill>
            <w14:solidFill>
              <w14:schemeClr w14:val="tx1"/>
            </w14:solidFill>
          </w14:textFill>
        </w:rPr>
        <w:t>________________________________________________</w:t>
      </w:r>
      <w:r>
        <w:rPr>
          <w:rFonts w:hint="eastAsia" w:ascii="仿宋_GB2312" w:hAnsi="宋体" w:eastAsia="仿宋_GB2312" w:cs="宋体"/>
          <w:color w:val="000000" w:themeColor="text1"/>
          <w:kern w:val="0"/>
          <w:sz w:val="24"/>
          <w:highlight w:val="none"/>
          <w14:textFill>
            <w14:solidFill>
              <w14:schemeClr w14:val="tx1"/>
            </w14:solidFill>
          </w14:textFill>
        </w:rPr>
        <w:t>。</w:t>
      </w:r>
    </w:p>
    <w:p w14:paraId="074CB545">
      <w:pPr>
        <w:pStyle w:val="17"/>
        <w:spacing w:line="360" w:lineRule="auto"/>
        <w:ind w:firstLine="480" w:firstLineChars="200"/>
        <w:rPr>
          <w:rFonts w:hint="eastAsia" w:ascii="仿宋_GB2312" w:hAnsi="Times New Roman" w:eastAsia="仿宋_GB2312"/>
          <w:color w:val="000000" w:themeColor="text1"/>
          <w:sz w:val="24"/>
          <w:szCs w:val="24"/>
          <w:highlight w:val="none"/>
          <w14:textFill>
            <w14:solidFill>
              <w14:schemeClr w14:val="tx1"/>
            </w14:solidFill>
          </w14:textFill>
        </w:rPr>
      </w:pPr>
      <w:r>
        <w:rPr>
          <w:rFonts w:hint="eastAsia" w:ascii="仿宋_GB2312" w:hAnsi="宋体" w:eastAsia="仿宋_GB2312" w:cs="宋体"/>
          <w:color w:val="000000" w:themeColor="text1"/>
          <w:sz w:val="24"/>
          <w:szCs w:val="24"/>
          <w:highlight w:val="none"/>
          <w14:textFill>
            <w14:solidFill>
              <w14:schemeClr w14:val="tx1"/>
            </w14:solidFill>
          </w14:textFill>
        </w:rPr>
        <w:t>5、本联合体中</w:t>
      </w:r>
      <w:r>
        <w:rPr>
          <w:rFonts w:hint="eastAsia" w:ascii="仿宋_GB2312" w:hAnsi="宋体" w:eastAsia="仿宋_GB2312" w:cs="宋体"/>
          <w:color w:val="000000" w:themeColor="text1"/>
          <w:sz w:val="24"/>
          <w:szCs w:val="24"/>
          <w:highlight w:val="none"/>
          <w:u w:val="single"/>
          <w14:textFill>
            <w14:solidFill>
              <w14:schemeClr w14:val="tx1"/>
            </w14:solidFill>
          </w14:textFill>
        </w:rPr>
        <w:t>，</w:t>
      </w:r>
      <w:r>
        <w:rPr>
          <w:rFonts w:hint="eastAsia" w:ascii="仿宋_GB2312" w:hAnsi="仿宋_GB2312" w:eastAsia="仿宋_GB2312"/>
          <w:color w:val="000000" w:themeColor="text1"/>
          <w:sz w:val="24"/>
          <w:szCs w:val="24"/>
          <w:highlight w:val="none"/>
          <w:u w:val="single"/>
          <w14:textFill>
            <w14:solidFill>
              <w14:schemeClr w14:val="tx1"/>
            </w14:solidFill>
          </w14:textFill>
        </w:rPr>
        <w:t>________________________</w:t>
      </w:r>
      <w:r>
        <w:rPr>
          <w:rFonts w:hint="eastAsia" w:ascii="仿宋_GB2312" w:hAnsi="宋体" w:eastAsia="仿宋_GB2312" w:cs="宋体"/>
          <w:color w:val="000000" w:themeColor="text1"/>
          <w:sz w:val="24"/>
          <w:szCs w:val="24"/>
          <w:highlight w:val="none"/>
          <w:u w:val="single"/>
          <w14:textFill>
            <w14:solidFill>
              <w14:schemeClr w14:val="tx1"/>
            </w14:solidFill>
          </w14:textFill>
        </w:rPr>
        <w:t>（某成员单位名称）为</w:t>
      </w:r>
      <w:r>
        <w:rPr>
          <w:rFonts w:hint="eastAsia" w:ascii="仿宋_GB2312" w:hAnsi="仿宋_GB2312" w:eastAsia="仿宋_GB2312"/>
          <w:color w:val="000000" w:themeColor="text1"/>
          <w:sz w:val="24"/>
          <w:szCs w:val="24"/>
          <w:highlight w:val="none"/>
          <w:u w:val="single"/>
          <w14:textFill>
            <w14:solidFill>
              <w14:schemeClr w14:val="tx1"/>
            </w14:solidFill>
          </w14:textFill>
        </w:rPr>
        <w:t>______</w:t>
      </w:r>
      <w:r>
        <w:rPr>
          <w:rFonts w:hint="eastAsia" w:ascii="仿宋_GB2312" w:hAnsi="仿宋_GB2312" w:eastAsia="仿宋_GB2312"/>
          <w:color w:val="000000" w:themeColor="text1"/>
          <w:sz w:val="24"/>
          <w:szCs w:val="24"/>
          <w:highlight w:val="none"/>
          <w14:textFill>
            <w14:solidFill>
              <w14:schemeClr w14:val="tx1"/>
            </w14:solidFill>
          </w14:textFill>
        </w:rPr>
        <w:t>（请填写：中型、小型、微型）企业，其协议合同金额占联合体协议合同总金额的</w:t>
      </w:r>
      <w:r>
        <w:rPr>
          <w:rFonts w:hint="eastAsia" w:ascii="仿宋_GB2312" w:hAnsi="仿宋_GB2312" w:eastAsia="仿宋_GB2312"/>
          <w:color w:val="000000" w:themeColor="text1"/>
          <w:sz w:val="24"/>
          <w:szCs w:val="24"/>
          <w:highlight w:val="none"/>
          <w:u w:val="single"/>
          <w14:textFill>
            <w14:solidFill>
              <w14:schemeClr w14:val="tx1"/>
            </w14:solidFill>
          </w14:textFill>
        </w:rPr>
        <w:t>______</w:t>
      </w:r>
      <w:r>
        <w:rPr>
          <w:rFonts w:hint="eastAsia" w:ascii="仿宋_GB2312" w:hAnsi="仿宋_GB2312" w:eastAsia="仿宋_GB2312"/>
          <w:color w:val="000000" w:themeColor="text1"/>
          <w:sz w:val="24"/>
          <w:szCs w:val="24"/>
          <w:highlight w:val="none"/>
          <w14:textFill>
            <w14:solidFill>
              <w14:schemeClr w14:val="tx1"/>
            </w14:solidFill>
          </w14:textFill>
        </w:rPr>
        <w:t>%。【如联合体成员中有小型、微型企业的，请填写此条，否则无需填写；如联合体成员中有多个小型、微型企业的，请逐一列出。】</w:t>
      </w:r>
    </w:p>
    <w:p w14:paraId="039B5194">
      <w:pPr>
        <w:autoSpaceDE w:val="0"/>
        <w:autoSpaceDN w:val="0"/>
        <w:adjustRightInd w:val="0"/>
        <w:spacing w:line="360" w:lineRule="auto"/>
        <w:ind w:firstLine="420"/>
        <w:jc w:val="left"/>
        <w:rPr>
          <w:rFonts w:hint="eastAsia" w:ascii="仿宋_GB2312" w:hAnsi="宋体" w:eastAsia="仿宋_GB2312" w:cs="宋体"/>
          <w:color w:val="000000" w:themeColor="text1"/>
          <w:kern w:val="0"/>
          <w:sz w:val="24"/>
          <w:highlight w:val="none"/>
          <w14:textFill>
            <w14:solidFill>
              <w14:schemeClr w14:val="tx1"/>
            </w14:solidFill>
          </w14:textFill>
        </w:rPr>
      </w:pPr>
      <w:r>
        <w:rPr>
          <w:rFonts w:hint="eastAsia" w:ascii="仿宋_GB2312" w:hAnsi="宋体" w:eastAsia="仿宋_GB2312" w:cs="TimesNewRomanPSMT"/>
          <w:color w:val="000000" w:themeColor="text1"/>
          <w:kern w:val="0"/>
          <w:sz w:val="24"/>
          <w:highlight w:val="none"/>
          <w14:textFill>
            <w14:solidFill>
              <w14:schemeClr w14:val="tx1"/>
            </w14:solidFill>
          </w14:textFill>
        </w:rPr>
        <w:t>6</w:t>
      </w:r>
      <w:r>
        <w:rPr>
          <w:rFonts w:hint="eastAsia" w:ascii="仿宋_GB2312" w:hAnsi="宋体" w:eastAsia="仿宋_GB2312" w:cs="宋体"/>
          <w:color w:val="000000" w:themeColor="text1"/>
          <w:kern w:val="0"/>
          <w:sz w:val="24"/>
          <w:highlight w:val="none"/>
          <w14:textFill>
            <w14:solidFill>
              <w14:schemeClr w14:val="tx1"/>
            </w14:solidFill>
          </w14:textFill>
        </w:rPr>
        <w:t>、本协议书自签署之日起生效，合同履行完毕后自动失效。</w:t>
      </w:r>
    </w:p>
    <w:p w14:paraId="5777E021">
      <w:pPr>
        <w:autoSpaceDE w:val="0"/>
        <w:autoSpaceDN w:val="0"/>
        <w:adjustRightInd w:val="0"/>
        <w:spacing w:line="360" w:lineRule="auto"/>
        <w:ind w:firstLine="420"/>
        <w:jc w:val="left"/>
        <w:rPr>
          <w:rFonts w:hint="eastAsia" w:ascii="仿宋_GB2312" w:hAnsi="宋体" w:eastAsia="仿宋_GB2312" w:cs="宋体"/>
          <w:color w:val="000000" w:themeColor="text1"/>
          <w:kern w:val="0"/>
          <w:sz w:val="24"/>
          <w:highlight w:val="none"/>
          <w14:textFill>
            <w14:solidFill>
              <w14:schemeClr w14:val="tx1"/>
            </w14:solidFill>
          </w14:textFill>
        </w:rPr>
      </w:pPr>
      <w:r>
        <w:rPr>
          <w:rFonts w:hint="eastAsia" w:ascii="仿宋_GB2312" w:hAnsi="宋体" w:eastAsia="仿宋_GB2312" w:cs="TimesNewRomanPSMT"/>
          <w:color w:val="000000" w:themeColor="text1"/>
          <w:kern w:val="0"/>
          <w:sz w:val="24"/>
          <w:highlight w:val="none"/>
          <w14:textFill>
            <w14:solidFill>
              <w14:schemeClr w14:val="tx1"/>
            </w14:solidFill>
          </w14:textFill>
        </w:rPr>
        <w:t>7</w:t>
      </w:r>
      <w:r>
        <w:rPr>
          <w:rFonts w:hint="eastAsia" w:ascii="仿宋_GB2312" w:hAnsi="宋体" w:eastAsia="仿宋_GB2312" w:cs="宋体"/>
          <w:color w:val="000000" w:themeColor="text1"/>
          <w:kern w:val="0"/>
          <w:sz w:val="24"/>
          <w:highlight w:val="none"/>
          <w14:textFill>
            <w14:solidFill>
              <w14:schemeClr w14:val="tx1"/>
            </w14:solidFill>
          </w14:textFill>
        </w:rPr>
        <w:t>、本协议书一式份，联合体成员和采购代理机构各执一份。</w:t>
      </w:r>
    </w:p>
    <w:p w14:paraId="2C50599A">
      <w:pPr>
        <w:autoSpaceDE w:val="0"/>
        <w:autoSpaceDN w:val="0"/>
        <w:adjustRightInd w:val="0"/>
        <w:spacing w:line="360" w:lineRule="auto"/>
        <w:ind w:firstLine="420"/>
        <w:jc w:val="left"/>
        <w:rPr>
          <w:rFonts w:hint="eastAsia" w:ascii="仿宋_GB2312" w:hAnsi="仿宋_GB2312" w:eastAsia="仿宋_GB2312" w:cs="宋体"/>
          <w:color w:val="000000" w:themeColor="text1"/>
          <w:kern w:val="0"/>
          <w:sz w:val="24"/>
          <w:highlight w:val="none"/>
          <w14:textFill>
            <w14:solidFill>
              <w14:schemeClr w14:val="tx1"/>
            </w14:solidFill>
          </w14:textFill>
        </w:rPr>
      </w:pPr>
      <w:r>
        <w:rPr>
          <w:rFonts w:hint="eastAsia" w:ascii="仿宋_GB2312" w:hAnsi="仿宋_GB2312" w:eastAsia="仿宋_GB2312" w:cs="宋体"/>
          <w:color w:val="000000" w:themeColor="text1"/>
          <w:kern w:val="0"/>
          <w:sz w:val="24"/>
          <w:highlight w:val="none"/>
          <w14:textFill>
            <w14:solidFill>
              <w14:schemeClr w14:val="tx1"/>
            </w14:solidFill>
          </w14:textFill>
        </w:rPr>
        <w:t>注：本协议书由法定代表人签字的，应附法定代表人身份证明；本协议书由委托代理人签字的，应附法定代表人授权委托书。</w:t>
      </w:r>
    </w:p>
    <w:p w14:paraId="14C6E1C3">
      <w:pPr>
        <w:autoSpaceDE w:val="0"/>
        <w:autoSpaceDN w:val="0"/>
        <w:adjustRightInd w:val="0"/>
        <w:spacing w:line="360" w:lineRule="auto"/>
        <w:jc w:val="left"/>
        <w:rPr>
          <w:rFonts w:hint="eastAsia" w:ascii="仿宋_GB2312" w:hAnsi="仿宋_GB2312" w:eastAsia="仿宋_GB2312" w:cs="宋体"/>
          <w:color w:val="000000" w:themeColor="text1"/>
          <w:kern w:val="0"/>
          <w:sz w:val="24"/>
          <w:highlight w:val="none"/>
          <w14:textFill>
            <w14:solidFill>
              <w14:schemeClr w14:val="tx1"/>
            </w14:solidFill>
          </w14:textFill>
        </w:rPr>
      </w:pPr>
      <w:r>
        <w:rPr>
          <w:rFonts w:hint="eastAsia" w:ascii="仿宋_GB2312" w:hAnsi="仿宋_GB2312" w:eastAsia="仿宋_GB2312" w:cs="宋体"/>
          <w:color w:val="000000" w:themeColor="text1"/>
          <w:kern w:val="0"/>
          <w:sz w:val="24"/>
          <w:highlight w:val="none"/>
          <w14:textFill>
            <w14:solidFill>
              <w14:schemeClr w14:val="tx1"/>
            </w14:solidFill>
          </w14:textFill>
        </w:rPr>
        <w:t>牵头人名称：（盖单位公章）</w:t>
      </w:r>
    </w:p>
    <w:p w14:paraId="2922FC8C">
      <w:pPr>
        <w:autoSpaceDE w:val="0"/>
        <w:autoSpaceDN w:val="0"/>
        <w:adjustRightInd w:val="0"/>
        <w:spacing w:line="360" w:lineRule="auto"/>
        <w:jc w:val="left"/>
        <w:rPr>
          <w:rFonts w:hint="eastAsia" w:ascii="仿宋_GB2312" w:hAnsi="仿宋_GB2312" w:eastAsia="仿宋_GB2312" w:cs="宋体"/>
          <w:color w:val="000000" w:themeColor="text1"/>
          <w:kern w:val="0"/>
          <w:sz w:val="24"/>
          <w:highlight w:val="none"/>
          <w14:textFill>
            <w14:solidFill>
              <w14:schemeClr w14:val="tx1"/>
            </w14:solidFill>
          </w14:textFill>
        </w:rPr>
      </w:pPr>
      <w:r>
        <w:rPr>
          <w:rFonts w:hint="eastAsia" w:ascii="仿宋_GB2312" w:hAnsi="仿宋_GB2312" w:eastAsia="仿宋_GB2312" w:cs="宋体"/>
          <w:color w:val="000000" w:themeColor="text1"/>
          <w:kern w:val="0"/>
          <w:sz w:val="24"/>
          <w:highlight w:val="none"/>
          <w14:textFill>
            <w14:solidFill>
              <w14:schemeClr w14:val="tx1"/>
            </w14:solidFill>
          </w14:textFill>
        </w:rPr>
        <w:t>法定代表人或其委托代理人：（签字或盖章）</w:t>
      </w:r>
    </w:p>
    <w:p w14:paraId="72CFB1F9">
      <w:pPr>
        <w:autoSpaceDE w:val="0"/>
        <w:autoSpaceDN w:val="0"/>
        <w:adjustRightInd w:val="0"/>
        <w:spacing w:line="360" w:lineRule="auto"/>
        <w:jc w:val="left"/>
        <w:rPr>
          <w:rFonts w:hint="eastAsia" w:ascii="仿宋_GB2312" w:hAnsi="仿宋_GB2312" w:eastAsia="仿宋_GB2312" w:cs="宋体"/>
          <w:color w:val="000000" w:themeColor="text1"/>
          <w:kern w:val="0"/>
          <w:sz w:val="24"/>
          <w:highlight w:val="none"/>
          <w14:textFill>
            <w14:solidFill>
              <w14:schemeClr w14:val="tx1"/>
            </w14:solidFill>
          </w14:textFill>
        </w:rPr>
      </w:pPr>
      <w:r>
        <w:rPr>
          <w:rFonts w:hint="eastAsia" w:ascii="仿宋_GB2312" w:hAnsi="仿宋_GB2312" w:eastAsia="仿宋_GB2312" w:cs="宋体"/>
          <w:color w:val="000000" w:themeColor="text1"/>
          <w:kern w:val="0"/>
          <w:sz w:val="24"/>
          <w:highlight w:val="none"/>
          <w14:textFill>
            <w14:solidFill>
              <w14:schemeClr w14:val="tx1"/>
            </w14:solidFill>
          </w14:textFill>
        </w:rPr>
        <w:t>成员一名称：（盖单位公章）</w:t>
      </w:r>
    </w:p>
    <w:p w14:paraId="33A4F257">
      <w:pPr>
        <w:autoSpaceDE w:val="0"/>
        <w:autoSpaceDN w:val="0"/>
        <w:adjustRightInd w:val="0"/>
        <w:spacing w:line="360" w:lineRule="auto"/>
        <w:jc w:val="left"/>
        <w:rPr>
          <w:rFonts w:hint="eastAsia" w:ascii="宋体" w:cs="宋体"/>
          <w:color w:val="000000" w:themeColor="text1"/>
          <w:kern w:val="0"/>
          <w:szCs w:val="21"/>
          <w:highlight w:val="none"/>
          <w14:textFill>
            <w14:solidFill>
              <w14:schemeClr w14:val="tx1"/>
            </w14:solidFill>
          </w14:textFill>
        </w:rPr>
      </w:pPr>
      <w:r>
        <w:rPr>
          <w:rFonts w:hint="eastAsia" w:ascii="仿宋_GB2312" w:hAnsi="仿宋_GB2312" w:eastAsia="仿宋_GB2312" w:cs="宋体"/>
          <w:color w:val="000000" w:themeColor="text1"/>
          <w:kern w:val="0"/>
          <w:sz w:val="24"/>
          <w:highlight w:val="none"/>
          <w14:textFill>
            <w14:solidFill>
              <w14:schemeClr w14:val="tx1"/>
            </w14:solidFill>
          </w14:textFill>
        </w:rPr>
        <w:t>法定代表人或其委托代理人：（签字或盖章）</w:t>
      </w:r>
    </w:p>
    <w:p w14:paraId="3B414E93">
      <w:pPr>
        <w:autoSpaceDE w:val="0"/>
        <w:autoSpaceDN w:val="0"/>
        <w:adjustRightInd w:val="0"/>
        <w:spacing w:line="360" w:lineRule="auto"/>
        <w:jc w:val="left"/>
        <w:rPr>
          <w:rFonts w:hint="eastAsia" w:ascii="仿宋_GB2312" w:hAnsi="仿宋_GB2312" w:eastAsia="仿宋_GB2312" w:cs="宋体"/>
          <w:color w:val="000000" w:themeColor="text1"/>
          <w:kern w:val="0"/>
          <w:sz w:val="24"/>
          <w:highlight w:val="none"/>
          <w14:textFill>
            <w14:solidFill>
              <w14:schemeClr w14:val="tx1"/>
            </w14:solidFill>
          </w14:textFill>
        </w:rPr>
      </w:pPr>
      <w:r>
        <w:rPr>
          <w:rFonts w:hint="eastAsia" w:ascii="仿宋_GB2312" w:hAnsi="仿宋_GB2312" w:eastAsia="仿宋_GB2312" w:cs="宋体"/>
          <w:color w:val="000000" w:themeColor="text1"/>
          <w:kern w:val="0"/>
          <w:sz w:val="24"/>
          <w:highlight w:val="none"/>
          <w14:textFill>
            <w14:solidFill>
              <w14:schemeClr w14:val="tx1"/>
            </w14:solidFill>
          </w14:textFill>
        </w:rPr>
        <w:t>成员二名称：（盖单位公章）</w:t>
      </w:r>
    </w:p>
    <w:p w14:paraId="307397FA">
      <w:pPr>
        <w:autoSpaceDE w:val="0"/>
        <w:autoSpaceDN w:val="0"/>
        <w:adjustRightInd w:val="0"/>
        <w:spacing w:line="360" w:lineRule="auto"/>
        <w:jc w:val="left"/>
        <w:rPr>
          <w:rFonts w:hint="eastAsia" w:ascii="仿宋_GB2312" w:hAnsi="仿宋_GB2312" w:eastAsia="仿宋_GB2312" w:cs="宋体"/>
          <w:color w:val="000000" w:themeColor="text1"/>
          <w:kern w:val="0"/>
          <w:sz w:val="24"/>
          <w:highlight w:val="none"/>
          <w14:textFill>
            <w14:solidFill>
              <w14:schemeClr w14:val="tx1"/>
            </w14:solidFill>
          </w14:textFill>
        </w:rPr>
      </w:pPr>
      <w:r>
        <w:rPr>
          <w:rFonts w:hint="eastAsia" w:ascii="仿宋_GB2312" w:hAnsi="仿宋_GB2312" w:eastAsia="仿宋_GB2312" w:cs="宋体"/>
          <w:color w:val="000000" w:themeColor="text1"/>
          <w:kern w:val="0"/>
          <w:sz w:val="24"/>
          <w:highlight w:val="none"/>
          <w14:textFill>
            <w14:solidFill>
              <w14:schemeClr w14:val="tx1"/>
            </w14:solidFill>
          </w14:textFill>
        </w:rPr>
        <w:t>法定代表人或其委托代理人：（签字或盖章）</w:t>
      </w:r>
    </w:p>
    <w:p w14:paraId="2375FA04">
      <w:pPr>
        <w:autoSpaceDE w:val="0"/>
        <w:autoSpaceDN w:val="0"/>
        <w:spacing w:line="360" w:lineRule="auto"/>
        <w:ind w:left="4365" w:leftChars="1850" w:hanging="480" w:hangingChars="2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35394BEC">
      <w:pPr>
        <w:autoSpaceDE w:val="0"/>
        <w:autoSpaceDN w:val="0"/>
        <w:spacing w:line="360" w:lineRule="auto"/>
        <w:ind w:firstLine="6120" w:firstLineChars="2550"/>
        <w:rPr>
          <w:rFonts w:hint="eastAsia" w:ascii="仿宋" w:hAnsi="仿宋" w:eastAsia="仿宋" w:cs="仿宋_GB2312"/>
          <w:b/>
          <w:color w:val="000000" w:themeColor="text1"/>
          <w:sz w:val="30"/>
          <w:szCs w:val="30"/>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年</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r>
        <w:rPr>
          <w:rFonts w:hint="eastAsia" w:ascii="仿宋" w:hAnsi="仿宋" w:eastAsia="仿宋" w:cs="仿宋_GB2312"/>
          <w:b/>
          <w:color w:val="000000" w:themeColor="text1"/>
          <w:sz w:val="30"/>
          <w:szCs w:val="30"/>
          <w:highlight w:val="none"/>
          <w14:textFill>
            <w14:solidFill>
              <w14:schemeClr w14:val="tx1"/>
            </w14:solidFill>
          </w14:textFill>
        </w:rPr>
        <w:br w:type="page"/>
      </w:r>
    </w:p>
    <w:p w14:paraId="3F883FEF">
      <w:pPr>
        <w:keepNext w:val="0"/>
        <w:keepLines w:val="0"/>
        <w:pageBreakBefore w:val="0"/>
        <w:widowControl w:val="0"/>
        <w:kinsoku/>
        <w:wordWrap/>
        <w:overflowPunct/>
        <w:topLinePunct w:val="0"/>
        <w:autoSpaceDE/>
        <w:autoSpaceDN/>
        <w:bidi w:val="0"/>
        <w:adjustRightInd/>
        <w:snapToGrid w:val="0"/>
        <w:spacing w:before="0" w:beforeLines="100" w:after="0" w:afterLines="100" w:line="360" w:lineRule="auto"/>
        <w:ind w:firstLine="602" w:firstLineChars="200"/>
        <w:textAlignment w:val="auto"/>
        <w:rPr>
          <w:rFonts w:hint="eastAsia" w:ascii="仿宋" w:hAnsi="仿宋" w:eastAsia="仿宋" w:cs="仿宋_GB2312"/>
          <w:b/>
          <w:color w:val="000000" w:themeColor="text1"/>
          <w:kern w:val="0"/>
          <w:sz w:val="30"/>
          <w:szCs w:val="30"/>
          <w:highlight w:val="none"/>
          <w:lang w:val="en-US" w:eastAsia="zh-CN" w:bidi="ar-SA"/>
          <w14:textFill>
            <w14:solidFill>
              <w14:schemeClr w14:val="tx1"/>
            </w14:solidFill>
          </w14:textFill>
        </w:rPr>
      </w:pPr>
      <w:r>
        <w:rPr>
          <w:rFonts w:hint="eastAsia" w:ascii="仿宋" w:hAnsi="仿宋" w:eastAsia="仿宋" w:cs="仿宋_GB2312"/>
          <w:b/>
          <w:color w:val="000000" w:themeColor="text1"/>
          <w:sz w:val="30"/>
          <w:szCs w:val="30"/>
          <w:highlight w:val="none"/>
          <w14:textFill>
            <w14:solidFill>
              <w14:schemeClr w14:val="tx1"/>
            </w14:solidFill>
          </w14:textFill>
        </w:rPr>
        <w:t>八、</w:t>
      </w:r>
      <w:r>
        <w:rPr>
          <w:rFonts w:hint="eastAsia" w:ascii="仿宋" w:hAnsi="仿宋" w:eastAsia="仿宋" w:cs="仿宋_GB2312"/>
          <w:b/>
          <w:color w:val="000000" w:themeColor="text1"/>
          <w:sz w:val="30"/>
          <w:szCs w:val="30"/>
          <w:highlight w:val="none"/>
          <w:lang w:val="en-US" w:eastAsia="zh-CN"/>
          <w14:textFill>
            <w14:solidFill>
              <w14:schemeClr w14:val="tx1"/>
            </w14:solidFill>
          </w14:textFill>
        </w:rPr>
        <w:t>中小企业声明函或《残疾人福利性单位声明函》或由省级或以上监狱管理局、戒毒管理局（含新疆生产建设兵团）出具的属于监狱企业的证明文件</w:t>
      </w:r>
    </w:p>
    <w:p w14:paraId="507DCAC1">
      <w:pPr>
        <w:widowControl/>
        <w:spacing w:line="360" w:lineRule="auto"/>
        <w:jc w:val="left"/>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pPr>
    </w:p>
    <w:p w14:paraId="6375DE36">
      <w:pPr>
        <w:widowControl/>
        <w:spacing w:line="360" w:lineRule="auto"/>
        <w:jc w:val="left"/>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pPr>
    </w:p>
    <w:p w14:paraId="1F3FF215">
      <w:pPr>
        <w:spacing w:line="300" w:lineRule="auto"/>
        <w:ind w:firstLine="1200" w:firstLineChars="500"/>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br w:type="page"/>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中小企业声明函（货物）</w:t>
      </w:r>
    </w:p>
    <w:p w14:paraId="1D006FE3">
      <w:pPr>
        <w:pStyle w:val="13"/>
        <w:spacing w:after="0" w:line="360" w:lineRule="auto"/>
        <w:ind w:left="-426" w:right="142" w:firstLine="640"/>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本公司（联合体）郑重声明，根据《政府采购促进中小企业发展管理办法》（财库﹝2020﹞46号）的规定，本公司（联合体）参加</w:t>
      </w:r>
      <w:r>
        <w:rPr>
          <w:rFonts w:hint="eastAsia" w:ascii="宋体" w:hAnsi="宋体"/>
          <w:color w:val="000000" w:themeColor="text1"/>
          <w:sz w:val="24"/>
          <w:highlight w:val="none"/>
          <w:u w:val="single"/>
          <w:lang w:eastAsia="zh-CN"/>
          <w14:textFill>
            <w14:solidFill>
              <w14:schemeClr w14:val="tx1"/>
            </w14:solidFill>
          </w14:textFill>
        </w:rPr>
        <w:t>南宁市青秀区人民检察院</w:t>
      </w:r>
      <w:r>
        <w:rPr>
          <w:rFonts w:hint="eastAsia" w:ascii="宋体" w:hAnsi="宋体"/>
          <w:color w:val="000000" w:themeColor="text1"/>
          <w:sz w:val="24"/>
          <w:highlight w:val="none"/>
          <w14:textFill>
            <w14:solidFill>
              <w14:schemeClr w14:val="tx1"/>
            </w14:solidFill>
          </w14:textFill>
        </w:rPr>
        <w:t>的</w:t>
      </w:r>
      <w:r>
        <w:rPr>
          <w:rFonts w:hint="eastAsia" w:ascii="宋体" w:hAnsi="宋体"/>
          <w:color w:val="000000" w:themeColor="text1"/>
          <w:sz w:val="24"/>
          <w:highlight w:val="none"/>
          <w:u w:val="single"/>
          <w:lang w:eastAsia="zh-CN"/>
          <w14:textFill>
            <w14:solidFill>
              <w14:schemeClr w14:val="tx1"/>
            </w14:solidFill>
          </w14:textFill>
        </w:rPr>
        <w:t>档案室库房设备采购项目</w:t>
      </w:r>
      <w:r>
        <w:rPr>
          <w:rFonts w:hint="eastAsia" w:ascii="宋体" w:hAnsi="宋体"/>
          <w:color w:val="000000" w:themeColor="text1"/>
          <w:sz w:val="24"/>
          <w:highlight w:val="none"/>
          <w14:textFill>
            <w14:solidFill>
              <w14:schemeClr w14:val="tx1"/>
            </w14:solidFill>
          </w14:textFill>
        </w:rPr>
        <w:t>采购活动，提供的货物全部由符合政策要求的中小企业制造。相关企业（含联合体中的中小企业、签订分包意向协议的中小企业）的具体情况如下：</w:t>
      </w:r>
    </w:p>
    <w:p w14:paraId="089704E1">
      <w:pPr>
        <w:tabs>
          <w:tab w:val="left" w:pos="1384"/>
          <w:tab w:val="left" w:pos="4562"/>
          <w:tab w:val="left" w:pos="6803"/>
        </w:tabs>
        <w:spacing w:line="360" w:lineRule="auto"/>
        <w:ind w:left="-426" w:right="-58" w:firstLine="655"/>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u w:val="single"/>
          <w14:textFill>
            <w14:solidFill>
              <w14:schemeClr w14:val="tx1"/>
            </w14:solidFill>
          </w14:textFill>
        </w:rPr>
        <w:t>（标的名称）</w:t>
      </w:r>
      <w:r>
        <w:rPr>
          <w:rFonts w:hint="eastAsia" w:ascii="宋体" w:hAnsi="宋体"/>
          <w:color w:val="000000" w:themeColor="text1"/>
          <w:sz w:val="24"/>
          <w:highlight w:val="none"/>
          <w14:textFill>
            <w14:solidFill>
              <w14:schemeClr w14:val="tx1"/>
            </w14:solidFill>
          </w14:textFill>
        </w:rPr>
        <w:t>，属于</w:t>
      </w:r>
      <w:r>
        <w:rPr>
          <w:rFonts w:hint="eastAsia" w:ascii="宋体" w:hAnsi="宋体"/>
          <w:color w:val="000000" w:themeColor="text1"/>
          <w:sz w:val="24"/>
          <w:highlight w:val="none"/>
          <w:u w:val="single"/>
          <w14:textFill>
            <w14:solidFill>
              <w14:schemeClr w14:val="tx1"/>
            </w14:solidFill>
          </w14:textFill>
        </w:rPr>
        <w:t>（采购文件中明确的所属行业）</w:t>
      </w:r>
      <w:r>
        <w:rPr>
          <w:rFonts w:hint="eastAsia" w:ascii="宋体" w:hAnsi="宋体"/>
          <w:color w:val="000000" w:themeColor="text1"/>
          <w:sz w:val="24"/>
          <w:highlight w:val="none"/>
          <w14:textFill>
            <w14:solidFill>
              <w14:schemeClr w14:val="tx1"/>
            </w14:solidFill>
          </w14:textFill>
        </w:rPr>
        <w:t>行业；制造商为</w:t>
      </w:r>
      <w:r>
        <w:rPr>
          <w:rFonts w:hint="eastAsia" w:ascii="宋体" w:hAnsi="宋体"/>
          <w:color w:val="000000" w:themeColor="text1"/>
          <w:sz w:val="24"/>
          <w:highlight w:val="none"/>
          <w:u w:val="single"/>
          <w14:textFill>
            <w14:solidFill>
              <w14:schemeClr w14:val="tx1"/>
            </w14:solidFill>
          </w14:textFill>
        </w:rPr>
        <w:t>（企业名称）</w:t>
      </w:r>
      <w:r>
        <w:rPr>
          <w:rFonts w:hint="eastAsia" w:ascii="宋体" w:hAnsi="宋体"/>
          <w:color w:val="000000" w:themeColor="text1"/>
          <w:sz w:val="24"/>
          <w:highlight w:val="none"/>
          <w14:textFill>
            <w14:solidFill>
              <w14:schemeClr w14:val="tx1"/>
            </w14:solidFill>
          </w14:textFill>
        </w:rPr>
        <w:t>，从业人员</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人，营业收入为</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万元，资产总额为</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万元，属于</w:t>
      </w:r>
      <w:r>
        <w:rPr>
          <w:rFonts w:hint="eastAsia" w:ascii="宋体" w:hAnsi="宋体"/>
          <w:color w:val="000000" w:themeColor="text1"/>
          <w:sz w:val="24"/>
          <w:highlight w:val="none"/>
          <w:u w:val="single"/>
          <w14:textFill>
            <w14:solidFill>
              <w14:schemeClr w14:val="tx1"/>
            </w14:solidFill>
          </w14:textFill>
        </w:rPr>
        <w:t>（中型企业、小型企业、微型企业）</w:t>
      </w:r>
      <w:r>
        <w:rPr>
          <w:rFonts w:hint="eastAsia" w:ascii="宋体" w:hAnsi="宋体"/>
          <w:color w:val="000000" w:themeColor="text1"/>
          <w:sz w:val="24"/>
          <w:highlight w:val="none"/>
          <w14:textFill>
            <w14:solidFill>
              <w14:schemeClr w14:val="tx1"/>
            </w14:solidFill>
          </w14:textFill>
        </w:rPr>
        <w:t>；</w:t>
      </w:r>
    </w:p>
    <w:p w14:paraId="4C6A7642">
      <w:pPr>
        <w:tabs>
          <w:tab w:val="left" w:pos="1065"/>
          <w:tab w:val="left" w:pos="6477"/>
        </w:tabs>
        <w:spacing w:line="360" w:lineRule="auto"/>
        <w:ind w:left="-426" w:right="-58" w:firstLine="655"/>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u w:val="single"/>
          <w14:textFill>
            <w14:solidFill>
              <w14:schemeClr w14:val="tx1"/>
            </w14:solidFill>
          </w14:textFill>
        </w:rPr>
        <w:t>（标的名称）</w:t>
      </w:r>
      <w:r>
        <w:rPr>
          <w:rFonts w:hint="eastAsia" w:ascii="宋体" w:hAnsi="宋体"/>
          <w:color w:val="000000" w:themeColor="text1"/>
          <w:sz w:val="24"/>
          <w:highlight w:val="none"/>
          <w14:textFill>
            <w14:solidFill>
              <w14:schemeClr w14:val="tx1"/>
            </w14:solidFill>
          </w14:textFill>
        </w:rPr>
        <w:t>，属于</w:t>
      </w:r>
      <w:r>
        <w:rPr>
          <w:rFonts w:hint="eastAsia" w:ascii="宋体" w:hAnsi="宋体"/>
          <w:color w:val="000000" w:themeColor="text1"/>
          <w:sz w:val="24"/>
          <w:highlight w:val="none"/>
          <w:u w:val="single"/>
          <w14:textFill>
            <w14:solidFill>
              <w14:schemeClr w14:val="tx1"/>
            </w14:solidFill>
          </w14:textFill>
        </w:rPr>
        <w:t>（采购文件中明确的所属行业）</w:t>
      </w:r>
      <w:r>
        <w:rPr>
          <w:rFonts w:hint="eastAsia" w:ascii="宋体" w:hAnsi="宋体"/>
          <w:color w:val="000000" w:themeColor="text1"/>
          <w:sz w:val="24"/>
          <w:highlight w:val="none"/>
          <w14:textFill>
            <w14:solidFill>
              <w14:schemeClr w14:val="tx1"/>
            </w14:solidFill>
          </w14:textFill>
        </w:rPr>
        <w:t>行业；制造商为</w:t>
      </w:r>
      <w:r>
        <w:rPr>
          <w:rFonts w:hint="eastAsia" w:ascii="宋体" w:hAnsi="宋体"/>
          <w:color w:val="000000" w:themeColor="text1"/>
          <w:sz w:val="24"/>
          <w:highlight w:val="none"/>
          <w:u w:val="single"/>
          <w14:textFill>
            <w14:solidFill>
              <w14:schemeClr w14:val="tx1"/>
            </w14:solidFill>
          </w14:textFill>
        </w:rPr>
        <w:t>（企业名称）</w:t>
      </w:r>
      <w:r>
        <w:rPr>
          <w:rFonts w:hint="eastAsia" w:ascii="宋体" w:hAnsi="宋体"/>
          <w:color w:val="000000" w:themeColor="text1"/>
          <w:sz w:val="24"/>
          <w:highlight w:val="none"/>
          <w14:textFill>
            <w14:solidFill>
              <w14:schemeClr w14:val="tx1"/>
            </w14:solidFill>
          </w14:textFill>
        </w:rPr>
        <w:t>，从业人员</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人，营业收入为</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万元，资产总额为</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万元，属于</w:t>
      </w:r>
      <w:r>
        <w:rPr>
          <w:rFonts w:hint="eastAsia" w:ascii="宋体" w:hAnsi="宋体"/>
          <w:color w:val="000000" w:themeColor="text1"/>
          <w:sz w:val="24"/>
          <w:highlight w:val="none"/>
          <w:u w:val="single"/>
          <w14:textFill>
            <w14:solidFill>
              <w14:schemeClr w14:val="tx1"/>
            </w14:solidFill>
          </w14:textFill>
        </w:rPr>
        <w:t>（中型企业、小型企业、微型企业）</w:t>
      </w:r>
      <w:r>
        <w:rPr>
          <w:rFonts w:hint="eastAsia" w:ascii="宋体" w:hAnsi="宋体"/>
          <w:color w:val="000000" w:themeColor="text1"/>
          <w:sz w:val="24"/>
          <w:highlight w:val="none"/>
          <w14:textFill>
            <w14:solidFill>
              <w14:schemeClr w14:val="tx1"/>
            </w14:solidFill>
          </w14:textFill>
        </w:rPr>
        <w:t>；</w:t>
      </w:r>
    </w:p>
    <w:p w14:paraId="04984295">
      <w:pPr>
        <w:pStyle w:val="13"/>
        <w:spacing w:after="0" w:line="360" w:lineRule="auto"/>
        <w:ind w:left="142" w:right="142"/>
        <w:contextualSpacing/>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p>
    <w:p w14:paraId="3D7E15B7">
      <w:pPr>
        <w:pStyle w:val="13"/>
        <w:spacing w:after="0" w:line="360" w:lineRule="auto"/>
        <w:ind w:left="-405" w:leftChars="-193" w:right="142" w:firstLine="453" w:firstLineChars="189"/>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409C9FF1">
      <w:pPr>
        <w:pStyle w:val="13"/>
        <w:spacing w:after="0" w:line="360" w:lineRule="auto"/>
        <w:ind w:left="-426" w:right="142" w:firstLine="567"/>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本企业对上述声明内容的真实性负责。如有虚假，将依法承担相应责任。</w:t>
      </w:r>
    </w:p>
    <w:p w14:paraId="5F73A360">
      <w:pPr>
        <w:pStyle w:val="13"/>
        <w:spacing w:after="0" w:line="360" w:lineRule="auto"/>
        <w:ind w:left="3960" w:right="1808"/>
        <w:contextualSpacing/>
        <w:rPr>
          <w:rFonts w:hint="eastAsia" w:ascii="宋体" w:hAnsi="宋体"/>
          <w:color w:val="000000" w:themeColor="text1"/>
          <w:sz w:val="24"/>
          <w:highlight w:val="none"/>
          <w14:textFill>
            <w14:solidFill>
              <w14:schemeClr w14:val="tx1"/>
            </w14:solidFill>
          </w14:textFill>
        </w:rPr>
      </w:pPr>
    </w:p>
    <w:p w14:paraId="45736E6D">
      <w:pPr>
        <w:autoSpaceDE w:val="0"/>
        <w:autoSpaceDN w:val="0"/>
        <w:spacing w:line="360" w:lineRule="auto"/>
        <w:ind w:left="4335" w:leftChars="1950" w:hanging="240" w:hangingChars="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060437B9">
      <w:pPr>
        <w:autoSpaceDE w:val="0"/>
        <w:autoSpaceDN w:val="0"/>
        <w:spacing w:line="360" w:lineRule="auto"/>
        <w:ind w:firstLine="6480" w:firstLineChars="270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年</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6542D453">
      <w:pPr>
        <w:pStyle w:val="13"/>
        <w:spacing w:after="0" w:line="360" w:lineRule="auto"/>
        <w:ind w:left="3960" w:right="1808"/>
        <w:contextualSpacing/>
        <w:rPr>
          <w:rFonts w:hint="eastAsia"/>
          <w:color w:val="000000" w:themeColor="text1"/>
          <w:highlight w:val="none"/>
          <w14:textFill>
            <w14:solidFill>
              <w14:schemeClr w14:val="tx1"/>
            </w14:solidFill>
          </w14:textFill>
        </w:rPr>
      </w:pPr>
    </w:p>
    <w:p w14:paraId="4F4F393E">
      <w:pPr>
        <w:spacing w:line="360" w:lineRule="auto"/>
        <w:jc w:val="left"/>
        <w:rPr>
          <w:rFonts w:hint="eastAsia" w:ascii="宋体" w:hAnsi="宋体" w:eastAsia="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r>
        <w:rPr>
          <w:rFonts w:hint="eastAsia" w:ascii="宋体" w:hAnsi="宋体" w:cs="仿宋_GB2312"/>
          <w:color w:val="000000" w:themeColor="text1"/>
          <w:sz w:val="24"/>
          <w:highlight w:val="none"/>
          <w:lang w:eastAsia="zh-CN"/>
          <w14:textFill>
            <w14:solidFill>
              <w14:schemeClr w14:val="tx1"/>
            </w14:solidFill>
          </w14:textFill>
        </w:rPr>
        <w:t>。</w:t>
      </w:r>
    </w:p>
    <w:p w14:paraId="7E4BBC7C">
      <w:pPr>
        <w:spacing w:line="520" w:lineRule="exact"/>
        <w:rPr>
          <w:rFonts w:hint="eastAsia"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(温馨提醒：以上“标的名称”一栏中，填写具体货物名称（详见第二章采购需求），逐条明确每个货物对应的声明内容)</w:t>
      </w:r>
    </w:p>
    <w:p w14:paraId="3970D2CC">
      <w:pPr>
        <w:spacing w:line="52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p>
    <w:p w14:paraId="59572075">
      <w:pPr>
        <w:spacing w:line="52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p>
    <w:p w14:paraId="6B81B02D">
      <w:pPr>
        <w:spacing w:line="52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p>
    <w:p w14:paraId="3DE78B76">
      <w:pPr>
        <w:spacing w:line="52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p>
    <w:p w14:paraId="3F97C62E">
      <w:pPr>
        <w:spacing w:line="520" w:lineRule="exact"/>
        <w:jc w:val="center"/>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残疾人福利性单位声明函(如有)</w:t>
      </w:r>
    </w:p>
    <w:p w14:paraId="7141BF90">
      <w:pPr>
        <w:spacing w:line="52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0B93BF30">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本单位郑重声明，根据《财政部民政部中国残疾人联合会关于促进残疾人就业政府采购政策的通知》（财库〔2017〕141号）的规定，本单位为符合条件的残疾人福利性单位，且本单位参加</w:t>
      </w:r>
      <w:r>
        <w:rPr>
          <w:rFonts w:hint="eastAsia" w:ascii="宋体" w:hAnsi="宋体" w:cs="仿宋_GB2312"/>
          <w:color w:val="000000" w:themeColor="text1"/>
          <w:sz w:val="24"/>
          <w:highlight w:val="none"/>
          <w:u w:val="single"/>
          <w:lang w:eastAsia="zh-CN"/>
          <w14:textFill>
            <w14:solidFill>
              <w14:schemeClr w14:val="tx1"/>
            </w14:solidFill>
          </w14:textFill>
        </w:rPr>
        <w:t>南宁市青秀区人民检察院</w:t>
      </w:r>
      <w:r>
        <w:rPr>
          <w:rFonts w:hint="eastAsia" w:ascii="宋体" w:hAnsi="宋体" w:cs="仿宋_GB2312"/>
          <w:color w:val="000000" w:themeColor="text1"/>
          <w:sz w:val="24"/>
          <w:highlight w:val="none"/>
          <w14:textFill>
            <w14:solidFill>
              <w14:schemeClr w14:val="tx1"/>
            </w14:solidFill>
          </w14:textFill>
        </w:rPr>
        <w:t>单位的</w:t>
      </w:r>
      <w:r>
        <w:rPr>
          <w:rFonts w:hint="eastAsia" w:ascii="宋体" w:hAnsi="宋体" w:cs="仿宋_GB2312"/>
          <w:color w:val="000000" w:themeColor="text1"/>
          <w:sz w:val="24"/>
          <w:highlight w:val="none"/>
          <w:u w:val="single"/>
          <w:lang w:eastAsia="zh-CN"/>
          <w14:textFill>
            <w14:solidFill>
              <w14:schemeClr w14:val="tx1"/>
            </w14:solidFill>
          </w14:textFill>
        </w:rPr>
        <w:t>档案室库房设备采购项目</w:t>
      </w:r>
      <w:r>
        <w:rPr>
          <w:rFonts w:hint="eastAsia" w:ascii="宋体" w:hAnsi="宋体" w:cs="仿宋_GB2312"/>
          <w:color w:val="000000" w:themeColor="text1"/>
          <w:sz w:val="24"/>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77741FF1">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本单位对上述声明的真实性负责。如有虚假，将依法承担相应责任。</w:t>
      </w:r>
    </w:p>
    <w:p w14:paraId="28E1242B">
      <w:pPr>
        <w:spacing w:line="360" w:lineRule="auto"/>
        <w:rPr>
          <w:rFonts w:hint="eastAsia" w:ascii="宋体" w:hAnsi="宋体" w:cs="仿宋_GB2312"/>
          <w:color w:val="000000" w:themeColor="text1"/>
          <w:sz w:val="24"/>
          <w:highlight w:val="none"/>
          <w14:textFill>
            <w14:solidFill>
              <w14:schemeClr w14:val="tx1"/>
            </w14:solidFill>
          </w14:textFill>
        </w:rPr>
      </w:pPr>
    </w:p>
    <w:p w14:paraId="5012C907">
      <w:pPr>
        <w:spacing w:line="360" w:lineRule="auto"/>
        <w:rPr>
          <w:rFonts w:hint="eastAsia" w:ascii="宋体" w:hAnsi="宋体" w:cs="仿宋_GB2312"/>
          <w:color w:val="000000" w:themeColor="text1"/>
          <w:sz w:val="24"/>
          <w:highlight w:val="none"/>
          <w14:textFill>
            <w14:solidFill>
              <w14:schemeClr w14:val="tx1"/>
            </w14:solidFill>
          </w14:textFill>
        </w:rPr>
      </w:pPr>
    </w:p>
    <w:p w14:paraId="69AF055C">
      <w:pPr>
        <w:spacing w:line="360" w:lineRule="auto"/>
        <w:rPr>
          <w:rFonts w:hint="eastAsia" w:ascii="宋体" w:hAnsi="宋体" w:cs="仿宋_GB2312"/>
          <w:color w:val="000000" w:themeColor="text1"/>
          <w:sz w:val="24"/>
          <w:highlight w:val="none"/>
          <w14:textFill>
            <w14:solidFill>
              <w14:schemeClr w14:val="tx1"/>
            </w14:solidFill>
          </w14:textFill>
        </w:rPr>
      </w:pPr>
    </w:p>
    <w:p w14:paraId="5C23067B">
      <w:pPr>
        <w:spacing w:line="360" w:lineRule="auto"/>
        <w:ind w:firstLine="2400" w:firstLineChars="10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供应商名称（电子签章）：</w:t>
      </w:r>
    </w:p>
    <w:p w14:paraId="41D833C7">
      <w:pPr>
        <w:spacing w:line="360" w:lineRule="auto"/>
        <w:ind w:firstLine="4320" w:firstLineChars="18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年</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月</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日</w:t>
      </w:r>
    </w:p>
    <w:p w14:paraId="06E02431">
      <w:pPr>
        <w:spacing w:line="360" w:lineRule="auto"/>
        <w:rPr>
          <w:rFonts w:hint="eastAsia" w:ascii="宋体" w:hAnsi="宋体" w:cs="仿宋_GB2312"/>
          <w:color w:val="000000" w:themeColor="text1"/>
          <w:sz w:val="24"/>
          <w:highlight w:val="none"/>
          <w14:textFill>
            <w14:solidFill>
              <w14:schemeClr w14:val="tx1"/>
            </w14:solidFill>
          </w14:textFill>
        </w:rPr>
      </w:pPr>
    </w:p>
    <w:p w14:paraId="4675D114">
      <w:pPr>
        <w:spacing w:line="360" w:lineRule="auto"/>
        <w:rPr>
          <w:rFonts w:hint="eastAsia" w:ascii="宋体" w:hAnsi="宋体" w:cs="仿宋_GB2312"/>
          <w:color w:val="000000" w:themeColor="text1"/>
          <w:sz w:val="24"/>
          <w:highlight w:val="none"/>
          <w14:textFill>
            <w14:solidFill>
              <w14:schemeClr w14:val="tx1"/>
            </w14:solidFill>
          </w14:textFill>
        </w:rPr>
      </w:pPr>
    </w:p>
    <w:p w14:paraId="0C2EA30D">
      <w:pPr>
        <w:spacing w:line="360" w:lineRule="auto"/>
        <w:rPr>
          <w:rFonts w:hint="eastAsia" w:ascii="宋体" w:hAnsi="宋体" w:cs="仿宋_GB2312"/>
          <w:color w:val="000000" w:themeColor="text1"/>
          <w:sz w:val="24"/>
          <w:highlight w:val="none"/>
          <w14:textFill>
            <w14:solidFill>
              <w14:schemeClr w14:val="tx1"/>
            </w14:solidFill>
          </w14:textFill>
        </w:rPr>
      </w:pPr>
    </w:p>
    <w:p w14:paraId="03291DE6">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请根据自己的真实情况出具《残疾人福利性单位声明函》。依法享受中小企业优惠政策的，采购人或者采购代理机构在公告成交结果时，同时公告其《残疾人福利性单位声明函》，接受社会监督；根据《关于政府采购支持监狱企业发展有关问题的通知》（财库〔20</w:t>
      </w:r>
      <w:r>
        <w:rPr>
          <w:rFonts w:hint="eastAsia" w:ascii="宋体" w:hAnsi="宋体" w:cs="仿宋_GB2312"/>
          <w:color w:val="000000" w:themeColor="text1"/>
          <w:sz w:val="24"/>
          <w:highlight w:val="none"/>
          <w:lang w:val="en-US" w:eastAsia="zh-CN"/>
          <w14:textFill>
            <w14:solidFill>
              <w14:schemeClr w14:val="tx1"/>
            </w14:solidFill>
          </w14:textFill>
        </w:rPr>
        <w:t>14</w:t>
      </w:r>
      <w:r>
        <w:rPr>
          <w:rFonts w:hint="eastAsia" w:ascii="宋体" w:hAnsi="宋体" w:cs="仿宋_GB2312"/>
          <w:color w:val="000000" w:themeColor="text1"/>
          <w:sz w:val="24"/>
          <w:highlight w:val="none"/>
          <w14:textFill>
            <w14:solidFill>
              <w14:schemeClr w14:val="tx1"/>
            </w14:solidFill>
          </w14:textFill>
        </w:rPr>
        <w:t>〕68号）的规定，竞标人提供由省级以上监狱管理局、戒毒管理局（含新疆生产建设兵团）出具的属于监狱企业证明文件的，视同为小型和微型企业。</w:t>
      </w:r>
    </w:p>
    <w:p w14:paraId="05291DA4">
      <w:pPr>
        <w:spacing w:line="360" w:lineRule="auto"/>
        <w:jc w:val="left"/>
        <w:rPr>
          <w:rFonts w:ascii="宋体" w:hAnsi="宋体" w:cs="仿宋_GB2312"/>
          <w:color w:val="000000" w:themeColor="text1"/>
          <w:sz w:val="24"/>
          <w:highlight w:val="none"/>
          <w14:textFill>
            <w14:solidFill>
              <w14:schemeClr w14:val="tx1"/>
            </w14:solidFill>
          </w14:textFill>
        </w:rPr>
      </w:pPr>
    </w:p>
    <w:p w14:paraId="4EE18846">
      <w:pPr>
        <w:widowControl/>
        <w:spacing w:line="360" w:lineRule="auto"/>
        <w:jc w:val="left"/>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sectPr>
          <w:pgSz w:w="11910" w:h="16840"/>
          <w:pgMar w:top="1340" w:right="1500" w:bottom="280" w:left="1680" w:header="720" w:footer="720" w:gutter="0"/>
          <w:pgNumType w:fmt="decimal"/>
          <w:cols w:space="720" w:num="1"/>
        </w:sectPr>
      </w:pPr>
    </w:p>
    <w:p w14:paraId="50D5EFBE">
      <w:pPr>
        <w:pStyle w:val="3"/>
        <w:jc w:val="center"/>
        <w:rPr>
          <w:rFonts w:hint="eastAsia" w:ascii="宋体" w:hAnsi="宋体" w:cs="宋体"/>
          <w:b w:val="0"/>
          <w:color w:val="000000" w:themeColor="text1"/>
          <w:highlight w:val="none"/>
          <w14:textFill>
            <w14:solidFill>
              <w14:schemeClr w14:val="tx1"/>
            </w14:solidFill>
          </w14:textFill>
        </w:rPr>
      </w:pPr>
      <w:bookmarkStart w:id="77" w:name="_Toc14371"/>
      <w:r>
        <w:rPr>
          <w:rFonts w:hint="eastAsia" w:ascii="宋体" w:hAnsi="宋体"/>
          <w:b w:val="0"/>
          <w:bCs w:val="0"/>
          <w:color w:val="000000" w:themeColor="text1"/>
          <w:highlight w:val="none"/>
          <w14:textFill>
            <w14:solidFill>
              <w14:schemeClr w14:val="tx1"/>
            </w14:solidFill>
          </w14:textFill>
        </w:rPr>
        <w:t>第三节</w:t>
      </w:r>
      <w:r>
        <w:rPr>
          <w:rFonts w:hint="eastAsia" w:ascii="宋体" w:hAnsi="宋体"/>
          <w:b w:val="0"/>
          <w:color w:val="000000" w:themeColor="text1"/>
          <w:highlight w:val="none"/>
          <w14:textFill>
            <w14:solidFill>
              <w14:schemeClr w14:val="tx1"/>
            </w14:solidFill>
          </w14:textFill>
        </w:rPr>
        <w:t>商务技术文件格式</w:t>
      </w:r>
      <w:bookmarkEnd w:id="77"/>
    </w:p>
    <w:p w14:paraId="4C13F77F">
      <w:pPr>
        <w:snapToGrid w:val="0"/>
        <w:spacing w:before="120" w:beforeLines="50" w:after="50"/>
        <w:rPr>
          <w:rFonts w:hint="eastAsia" w:ascii="宋体" w:hAnsi="宋体"/>
          <w:bCs/>
          <w:color w:val="000000" w:themeColor="text1"/>
          <w:sz w:val="32"/>
          <w:szCs w:val="20"/>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全流程电子文件</w:t>
      </w:r>
    </w:p>
    <w:p w14:paraId="3C55BC1A">
      <w:pPr>
        <w:keepNext w:val="0"/>
        <w:keepLines w:val="0"/>
        <w:pageBreakBefore w:val="0"/>
        <w:widowControl w:val="0"/>
        <w:kinsoku/>
        <w:wordWrap/>
        <w:overflowPunct/>
        <w:topLinePunct w:val="0"/>
        <w:autoSpaceDE/>
        <w:autoSpaceDN/>
        <w:bidi w:val="0"/>
        <w:adjustRightInd/>
        <w:snapToGrid w:val="0"/>
        <w:spacing w:before="0" w:beforeLines="350" w:after="1440"/>
        <w:jc w:val="center"/>
        <w:textAlignment w:val="auto"/>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商务技术文件（封面）</w:t>
      </w:r>
    </w:p>
    <w:p w14:paraId="0AA1964F">
      <w:pPr>
        <w:snapToGrid w:val="0"/>
        <w:spacing w:before="120" w:beforeLines="50" w:after="50" w:line="480" w:lineRule="auto"/>
        <w:ind w:firstLine="640" w:firstLineChars="200"/>
        <w:rPr>
          <w:rFonts w:hint="eastAsia" w:ascii="宋体" w:hAnsi="宋体" w:eastAsia="宋体" w:cs="仿宋_GB2312"/>
          <w:bCs/>
          <w:color w:val="000000" w:themeColor="text1"/>
          <w:sz w:val="32"/>
          <w:szCs w:val="32"/>
          <w:highlight w:val="none"/>
          <w:lang w:eastAsia="zh-CN"/>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r>
        <w:rPr>
          <w:rFonts w:hint="eastAsia" w:ascii="宋体" w:hAnsi="宋体" w:cs="仿宋_GB2312"/>
          <w:bCs/>
          <w:color w:val="000000" w:themeColor="text1"/>
          <w:sz w:val="32"/>
          <w:szCs w:val="32"/>
          <w:highlight w:val="none"/>
          <w:lang w:eastAsia="zh-CN"/>
          <w14:textFill>
            <w14:solidFill>
              <w14:schemeClr w14:val="tx1"/>
            </w14:solidFill>
          </w14:textFill>
        </w:rPr>
        <w:t>档案室库房设备采购项目</w:t>
      </w:r>
    </w:p>
    <w:p w14:paraId="10ABB30E">
      <w:pPr>
        <w:snapToGrid w:val="0"/>
        <w:spacing w:before="120" w:beforeLines="50" w:after="50" w:line="480" w:lineRule="auto"/>
        <w:ind w:firstLine="640" w:firstLineChars="200"/>
        <w:rPr>
          <w:rFonts w:hint="eastAsia" w:ascii="宋体" w:hAnsi="宋体" w:eastAsia="宋体" w:cs="仿宋_GB2312"/>
          <w:bCs/>
          <w:color w:val="000000" w:themeColor="text1"/>
          <w:sz w:val="32"/>
          <w:szCs w:val="32"/>
          <w:highlight w:val="none"/>
          <w:lang w:eastAsia="zh-CN"/>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r>
        <w:rPr>
          <w:rFonts w:hint="eastAsia" w:ascii="宋体" w:hAnsi="宋体" w:cs="仿宋_GB2312"/>
          <w:bCs/>
          <w:color w:val="000000" w:themeColor="text1"/>
          <w:sz w:val="32"/>
          <w:szCs w:val="32"/>
          <w:highlight w:val="none"/>
          <w:lang w:eastAsia="zh-CN"/>
          <w14:textFill>
            <w14:solidFill>
              <w14:schemeClr w14:val="tx1"/>
            </w14:solidFill>
          </w14:textFill>
        </w:rPr>
        <w:t>NNZC2026-J1-990724-GXJT</w:t>
      </w:r>
    </w:p>
    <w:p w14:paraId="758292E2">
      <w:pPr>
        <w:snapToGrid w:val="0"/>
        <w:spacing w:before="120" w:beforeLines="50" w:after="50" w:line="480" w:lineRule="auto"/>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所竞分标（如有则填写，无分标时填写“无”或者留空）：</w:t>
      </w:r>
    </w:p>
    <w:p w14:paraId="1046DAA3">
      <w:pPr>
        <w:pStyle w:val="7"/>
        <w:snapToGrid w:val="0"/>
        <w:spacing w:before="50" w:after="50" w:line="480" w:lineRule="auto"/>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14:paraId="1AEB1B25">
      <w:pPr>
        <w:keepNext w:val="0"/>
        <w:keepLines w:val="0"/>
        <w:pageBreakBefore w:val="0"/>
        <w:widowControl w:val="0"/>
        <w:kinsoku/>
        <w:wordWrap/>
        <w:overflowPunct/>
        <w:topLinePunct w:val="0"/>
        <w:autoSpaceDE/>
        <w:autoSpaceDN/>
        <w:bidi w:val="0"/>
        <w:adjustRightInd/>
        <w:snapToGrid w:val="0"/>
        <w:spacing w:before="0" w:beforeLines="300" w:after="50"/>
        <w:jc w:val="center"/>
        <w:textAlignment w:val="auto"/>
        <w:rPr>
          <w:rFonts w:hint="eastAsia"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32"/>
          <w:szCs w:val="32"/>
          <w:highlight w:val="none"/>
          <w14:textFill>
            <w14:solidFill>
              <w14:schemeClr w14:val="tx1"/>
            </w14:solidFill>
          </w14:textFill>
        </w:rPr>
        <w:t>年月日</w:t>
      </w:r>
    </w:p>
    <w:p w14:paraId="57BAD7AC">
      <w:pPr>
        <w:jc w:val="center"/>
        <w:rPr>
          <w:rFonts w:hint="eastAsia" w:ascii="仿宋_GB2312" w:hAnsi="仿宋" w:eastAsia="仿宋_GB2312" w:cs="仿宋_GB2312"/>
          <w:b/>
          <w:color w:val="000000" w:themeColor="text1"/>
          <w:kern w:val="0"/>
          <w:sz w:val="28"/>
          <w:szCs w:val="28"/>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br w:type="page"/>
      </w:r>
      <w:r>
        <w:rPr>
          <w:rFonts w:hint="eastAsia" w:ascii="仿宋_GB2312" w:hAnsi="仿宋" w:eastAsia="仿宋_GB2312" w:cs="仿宋_GB2312"/>
          <w:b/>
          <w:color w:val="000000" w:themeColor="text1"/>
          <w:kern w:val="0"/>
          <w:sz w:val="28"/>
          <w:szCs w:val="28"/>
          <w:highlight w:val="none"/>
          <w14:textFill>
            <w14:solidFill>
              <w14:schemeClr w14:val="tx1"/>
            </w14:solidFill>
          </w14:textFill>
        </w:rPr>
        <w:t>商务技术文件目录</w:t>
      </w:r>
    </w:p>
    <w:p w14:paraId="5E419B0E">
      <w:pPr>
        <w:pStyle w:val="84"/>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一、无串标行为承诺函………………………………………………………（页码）</w:t>
      </w:r>
    </w:p>
    <w:p w14:paraId="0098AC3D">
      <w:pPr>
        <w:pStyle w:val="84"/>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二、法定代表人身份证明及法定代表人有效身份证正反面复印件………（页码）</w:t>
      </w:r>
    </w:p>
    <w:p w14:paraId="03D9913F">
      <w:pPr>
        <w:pStyle w:val="84"/>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三、法定代表人授权委托书（如有委托时）………………………………（页码）</w:t>
      </w:r>
    </w:p>
    <w:p w14:paraId="4FF04609">
      <w:pPr>
        <w:pStyle w:val="84"/>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四、</w:t>
      </w:r>
      <w:r>
        <w:rPr>
          <w:rFonts w:hint="eastAsia" w:cs="仿宋_GB2312"/>
          <w:color w:val="000000" w:themeColor="text1"/>
          <w:highlight w:val="none"/>
          <w:lang w:val="zh-CN"/>
          <w14:textFill>
            <w14:solidFill>
              <w14:schemeClr w14:val="tx1"/>
            </w14:solidFill>
          </w14:textFill>
        </w:rPr>
        <w:t>商务条款偏离表………………………………</w:t>
      </w:r>
      <w:r>
        <w:rPr>
          <w:rFonts w:hint="eastAsia" w:cs="仿宋_GB2312"/>
          <w:color w:val="000000" w:themeColor="text1"/>
          <w:highlight w:val="none"/>
          <w14:textFill>
            <w14:solidFill>
              <w14:schemeClr w14:val="tx1"/>
            </w14:solidFill>
          </w14:textFill>
        </w:rPr>
        <w:t>…………………………（页码）</w:t>
      </w:r>
    </w:p>
    <w:p w14:paraId="4B8F346C">
      <w:pPr>
        <w:pStyle w:val="84"/>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五、竞标人情况介绍</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373EEB78">
      <w:pPr>
        <w:pStyle w:val="84"/>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六、供应商类似业绩的证明文件（如有要求）</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15E26DD1">
      <w:pPr>
        <w:pStyle w:val="84"/>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七、货物需求偏离表…………………………………………………………（页码）</w:t>
      </w:r>
    </w:p>
    <w:p w14:paraId="5F22EDFA">
      <w:pPr>
        <w:pStyle w:val="84"/>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八、配置清单…………………………………………………………………（页码）</w:t>
      </w:r>
    </w:p>
    <w:p w14:paraId="49970BD0">
      <w:pPr>
        <w:pStyle w:val="84"/>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九、售后服务方案………………………………</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41935421">
      <w:pPr>
        <w:pStyle w:val="84"/>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十、项目实施人员一览表</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4A81090C">
      <w:pPr>
        <w:pStyle w:val="84"/>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lang w:val="en-US" w:eastAsia="zh-CN"/>
          <w14:textFill>
            <w14:solidFill>
              <w14:schemeClr w14:val="tx1"/>
            </w14:solidFill>
          </w14:textFill>
        </w:rPr>
        <w:t>十一、</w:t>
      </w:r>
      <w:r>
        <w:rPr>
          <w:rFonts w:hint="eastAsia" w:cs="仿宋_GB2312"/>
          <w:color w:val="000000" w:themeColor="text1"/>
          <w:highlight w:val="none"/>
          <w14:textFill>
            <w14:solidFill>
              <w14:schemeClr w14:val="tx1"/>
            </w14:solidFill>
          </w14:textFill>
        </w:rPr>
        <w:t>货物需求、商务条款要求提供的其他材料</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0CB838AA">
      <w:pPr>
        <w:spacing w:line="360" w:lineRule="auto"/>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b/>
          <w:bCs/>
          <w:color w:val="000000" w:themeColor="text1"/>
          <w:sz w:val="24"/>
          <w:highlight w:val="none"/>
          <w14:textFill>
            <w14:solidFill>
              <w14:schemeClr w14:val="tx1"/>
            </w14:solidFill>
          </w14:textFill>
        </w:rPr>
        <w:t>注：以上目录是基本格式要求，各供应商可根据自身情况进一步向下增加内容或细化。</w:t>
      </w:r>
    </w:p>
    <w:p w14:paraId="53BA779C">
      <w:pPr>
        <w:snapToGrid w:val="0"/>
        <w:spacing w:before="120" w:beforeLines="50" w:after="50" w:line="360" w:lineRule="auto"/>
        <w:ind w:left="142" w:firstLine="640" w:firstLineChars="200"/>
        <w:jc w:val="left"/>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69BB99B8">
      <w:pPr>
        <w:spacing w:line="520" w:lineRule="exact"/>
        <w:ind w:firstLine="880" w:firstLineChars="200"/>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br w:type="page"/>
      </w:r>
      <w:r>
        <w:rPr>
          <w:rFonts w:hint="eastAsia" w:ascii="仿宋" w:hAnsi="仿宋" w:eastAsia="仿宋" w:cs="仿宋_GB2312"/>
          <w:b/>
          <w:color w:val="000000" w:themeColor="text1"/>
          <w:sz w:val="30"/>
          <w:szCs w:val="30"/>
          <w:highlight w:val="none"/>
          <w14:textFill>
            <w14:solidFill>
              <w14:schemeClr w14:val="tx1"/>
            </w14:solidFill>
          </w14:textFill>
        </w:rPr>
        <w:t>一、无串标行为承诺函</w:t>
      </w:r>
    </w:p>
    <w:p w14:paraId="588336BB">
      <w:pPr>
        <w:keepNext w:val="0"/>
        <w:keepLines w:val="0"/>
        <w:pageBreakBefore w:val="0"/>
        <w:widowControl w:val="0"/>
        <w:kinsoku/>
        <w:wordWrap/>
        <w:overflowPunct/>
        <w:topLinePunct w:val="0"/>
        <w:autoSpaceDE/>
        <w:autoSpaceDN/>
        <w:bidi w:val="0"/>
        <w:adjustRightInd/>
        <w:snapToGrid/>
        <w:spacing w:before="0" w:beforeLines="100" w:after="0" w:afterLines="100" w:line="520" w:lineRule="exact"/>
        <w:jc w:val="center"/>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无串通竞标行为的承诺函</w:t>
      </w:r>
    </w:p>
    <w:p w14:paraId="5AA6D61E">
      <w:pPr>
        <w:spacing w:line="360" w:lineRule="auto"/>
        <w:ind w:firstLine="482" w:firstLineChars="200"/>
        <w:rPr>
          <w:rFonts w:hint="eastAsia"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一、我方承诺无下列相互串通竞标的情形：</w:t>
      </w:r>
    </w:p>
    <w:p w14:paraId="1B1C1786">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1.不同供应商的响应文件由同一单位或者个人编制；</w:t>
      </w:r>
      <w:r>
        <w:rPr>
          <w:rFonts w:hint="eastAsia" w:ascii="宋体" w:hAnsi="宋体"/>
          <w:color w:val="000000" w:themeColor="text1"/>
          <w:sz w:val="24"/>
          <w:highlight w:val="none"/>
          <w14:textFill>
            <w14:solidFill>
              <w14:schemeClr w14:val="tx1"/>
            </w14:solidFill>
          </w14:textFill>
        </w:rPr>
        <w:t>或者不同供应商报名的IP地址一致的；或者编制响应文件硬件设备CPU编号、硬盘编号、网卡地址一致的情况。</w:t>
      </w:r>
    </w:p>
    <w:p w14:paraId="4CAC6F8C">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2.不同供应商委托同一单位或者个人办理竞标事宜；</w:t>
      </w:r>
    </w:p>
    <w:p w14:paraId="622A3864">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3.不同的供应商的响应文件载明的项目管理员为同一个人；</w:t>
      </w:r>
    </w:p>
    <w:p w14:paraId="7D6B675B">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4.不</w:t>
      </w:r>
      <w:r>
        <w:rPr>
          <w:rFonts w:hint="eastAsia" w:ascii="宋体" w:hAnsi="宋体" w:cs="仿宋_GB2312"/>
          <w:color w:val="000000" w:themeColor="text1"/>
          <w:spacing w:val="-6"/>
          <w:sz w:val="24"/>
          <w:highlight w:val="none"/>
          <w14:textFill>
            <w14:solidFill>
              <w14:schemeClr w14:val="tx1"/>
            </w14:solidFill>
          </w14:textFill>
        </w:rPr>
        <w:t>同供应商的响应文件异常一致或者竞标报价呈规律性差异；</w:t>
      </w:r>
    </w:p>
    <w:p w14:paraId="5C7E4E13">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5.不同供应商的响应文件相互混装；</w:t>
      </w:r>
    </w:p>
    <w:p w14:paraId="679946C8">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6.不同供应商的竞标保证金从同一单位或者个人账户转出。</w:t>
      </w:r>
    </w:p>
    <w:p w14:paraId="2858689F">
      <w:pPr>
        <w:spacing w:line="360" w:lineRule="auto"/>
        <w:ind w:firstLine="482" w:firstLineChars="200"/>
        <w:rPr>
          <w:rFonts w:hint="eastAsia"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二、我方承诺无下列恶意串通的情形：</w:t>
      </w:r>
    </w:p>
    <w:p w14:paraId="59364758">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1.供应商直接或者间接从采购人或者采购代理机构处获得其他供应商的相关信息并修改其响应文件；</w:t>
      </w:r>
    </w:p>
    <w:p w14:paraId="0355DE8B">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2.供应商按照采购人或者采购代理机构的授意撤换、修改响应文件；</w:t>
      </w:r>
    </w:p>
    <w:p w14:paraId="71FEAAD1">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3.供</w:t>
      </w:r>
      <w:r>
        <w:rPr>
          <w:rFonts w:hint="eastAsia" w:ascii="宋体" w:hAnsi="宋体" w:cs="仿宋_GB2312"/>
          <w:color w:val="000000" w:themeColor="text1"/>
          <w:spacing w:val="-6"/>
          <w:sz w:val="24"/>
          <w:highlight w:val="none"/>
          <w14:textFill>
            <w14:solidFill>
              <w14:schemeClr w14:val="tx1"/>
            </w14:solidFill>
          </w14:textFill>
        </w:rPr>
        <w:t>应商之间协商报价、技术方案等响应文件的实质性内容；</w:t>
      </w:r>
    </w:p>
    <w:p w14:paraId="2778E736">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4.属于同一集团、协会、商会等组织成员的供应商按照该组织要求协同参加政府采购活动；</w:t>
      </w:r>
    </w:p>
    <w:p w14:paraId="386B1A25">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5.供应商之间事先约定一致抬高或者压低竞标报价,或者在竞争性谈判项目中事先约定轮流以高价位或者低价位成交,或者事先约定由某一特定供应商成交,然后再参加竞标；</w:t>
      </w:r>
    </w:p>
    <w:p w14:paraId="20096C5D">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6.供应商之间商定部分供应商放弃参加政府采购活动或者放弃成交；</w:t>
      </w:r>
    </w:p>
    <w:p w14:paraId="2F92E677">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7.供应商与采购人或者采购代理机构之间、供应商相互之间，为</w:t>
      </w:r>
      <w:r>
        <w:rPr>
          <w:rFonts w:hint="eastAsia" w:ascii="宋体" w:hAnsi="宋体" w:cs="仿宋_GB2312"/>
          <w:color w:val="000000" w:themeColor="text1"/>
          <w:spacing w:val="-6"/>
          <w:sz w:val="24"/>
          <w:highlight w:val="none"/>
          <w14:textFill>
            <w14:solidFill>
              <w14:schemeClr w14:val="tx1"/>
            </w14:solidFill>
          </w14:textFill>
        </w:rPr>
        <w:t>谋求特定供应商成交或者排斥其他供应商的其他串通行为。</w:t>
      </w:r>
    </w:p>
    <w:p w14:paraId="6027E7E2">
      <w:pPr>
        <w:spacing w:line="360" w:lineRule="auto"/>
        <w:ind w:firstLine="482" w:firstLineChars="200"/>
        <w:rPr>
          <w:rFonts w:hint="eastAsia"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以上情形一经核查属实，接受政府采购监管部门对我方认定存在围标串标行为，我方愿意承担一切后果，并不再寻求任何旨在减轻或者免除法律责任的辩解。</w:t>
      </w:r>
    </w:p>
    <w:p w14:paraId="523DCE06">
      <w:pPr>
        <w:autoSpaceDE w:val="0"/>
        <w:autoSpaceDN w:val="0"/>
        <w:spacing w:line="360" w:lineRule="auto"/>
        <w:ind w:left="4335" w:leftChars="1950" w:hanging="240" w:hangingChars="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759DC01E">
      <w:pPr>
        <w:spacing w:line="520" w:lineRule="exact"/>
        <w:ind w:firstLine="6360" w:firstLineChars="2650"/>
        <w:jc w:val="left"/>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年</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r>
        <w:rPr>
          <w:rFonts w:hint="eastAsia" w:ascii="宋体" w:hAnsi="宋体"/>
          <w:b/>
          <w:bCs/>
          <w:color w:val="000000" w:themeColor="text1"/>
          <w:sz w:val="32"/>
          <w:szCs w:val="32"/>
          <w:highlight w:val="none"/>
          <w14:textFill>
            <w14:solidFill>
              <w14:schemeClr w14:val="tx1"/>
            </w14:solidFill>
          </w14:textFill>
        </w:rPr>
        <w:br w:type="page"/>
      </w:r>
      <w:r>
        <w:rPr>
          <w:rFonts w:hint="eastAsia" w:ascii="仿宋" w:hAnsi="仿宋" w:eastAsia="仿宋" w:cs="仿宋_GB2312"/>
          <w:b/>
          <w:color w:val="000000" w:themeColor="text1"/>
          <w:sz w:val="30"/>
          <w:szCs w:val="30"/>
          <w:highlight w:val="none"/>
          <w14:textFill>
            <w14:solidFill>
              <w14:schemeClr w14:val="tx1"/>
            </w14:solidFill>
          </w14:textFill>
        </w:rPr>
        <w:t>二、法定代表人身份证明及法定代表人有效身份证正反面复印件</w:t>
      </w:r>
    </w:p>
    <w:p w14:paraId="23FB665A">
      <w:pPr>
        <w:keepNext w:val="0"/>
        <w:keepLines w:val="0"/>
        <w:pageBreakBefore w:val="0"/>
        <w:widowControl w:val="0"/>
        <w:kinsoku/>
        <w:wordWrap/>
        <w:overflowPunct/>
        <w:topLinePunct w:val="0"/>
        <w:autoSpaceDE/>
        <w:autoSpaceDN/>
        <w:bidi w:val="0"/>
        <w:adjustRightInd/>
        <w:snapToGrid/>
        <w:spacing w:before="0" w:beforeLines="100" w:after="0" w:afterLines="100" w:line="520" w:lineRule="exact"/>
        <w:jc w:val="center"/>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法定代表人证明书</w:t>
      </w:r>
    </w:p>
    <w:p w14:paraId="750A6619">
      <w:pPr>
        <w:spacing w:line="360" w:lineRule="auto"/>
        <w:ind w:left="540"/>
        <w:contextualSpacing/>
        <w:rPr>
          <w:rFonts w:hint="eastAsia" w:ascii="宋体" w:hAnsi="宋体" w:eastAsia="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供应商名称：</w:t>
      </w:r>
    </w:p>
    <w:p w14:paraId="3311B5CD">
      <w:pPr>
        <w:spacing w:line="360" w:lineRule="auto"/>
        <w:ind w:left="540"/>
        <w:contextualSpacing/>
        <w:rPr>
          <w:rFonts w:hint="eastAsia" w:ascii="宋体" w:hAnsi="宋体" w:eastAsia="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地址：</w:t>
      </w:r>
    </w:p>
    <w:p w14:paraId="4C9A83B3">
      <w:pPr>
        <w:spacing w:line="360" w:lineRule="auto"/>
        <w:ind w:left="540"/>
        <w:contextualSpacing/>
        <w:rPr>
          <w:rFonts w:hint="eastAsia" w:ascii="宋体" w:hAnsi="宋体" w:eastAsia="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姓名：</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性别：</w:t>
      </w:r>
    </w:p>
    <w:p w14:paraId="4DE978B1">
      <w:pPr>
        <w:spacing w:line="360" w:lineRule="auto"/>
        <w:ind w:left="540"/>
        <w:contextualSpacing/>
        <w:rPr>
          <w:rFonts w:hint="eastAsia" w:ascii="宋体" w:hAnsi="宋体" w:eastAsia="宋体" w:cs="仿宋_GB2312"/>
          <w:color w:val="000000" w:themeColor="text1"/>
          <w:sz w:val="24"/>
          <w:highlight w:val="none"/>
          <w:u w:val="single"/>
          <w:lang w:eastAsia="zh-CN"/>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年龄：</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职务：</w:t>
      </w:r>
    </w:p>
    <w:p w14:paraId="5EB76224">
      <w:pPr>
        <w:spacing w:line="360" w:lineRule="auto"/>
        <w:ind w:left="540"/>
        <w:contextualSpacing/>
        <w:rPr>
          <w:rFonts w:hint="eastAsia" w:ascii="宋体" w:hAnsi="宋体" w:eastAsia="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身份证号码：</w:t>
      </w:r>
    </w:p>
    <w:p w14:paraId="66EF64ED">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系</w:t>
      </w:r>
      <w:r>
        <w:rPr>
          <w:rFonts w:hint="eastAsia" w:ascii="宋体" w:hAnsi="宋体" w:cs="仿宋_GB2312"/>
          <w:color w:val="000000" w:themeColor="text1"/>
          <w:sz w:val="24"/>
          <w:highlight w:val="none"/>
          <w:u w:val="single"/>
          <w14:textFill>
            <w14:solidFill>
              <w14:schemeClr w14:val="tx1"/>
            </w14:solidFill>
          </w14:textFill>
        </w:rPr>
        <w:t>（供应商名称）</w:t>
      </w:r>
      <w:r>
        <w:rPr>
          <w:rFonts w:hint="eastAsia" w:ascii="宋体" w:hAnsi="宋体" w:cs="仿宋_GB2312"/>
          <w:color w:val="000000" w:themeColor="text1"/>
          <w:sz w:val="24"/>
          <w:highlight w:val="none"/>
          <w14:textFill>
            <w14:solidFill>
              <w14:schemeClr w14:val="tx1"/>
            </w14:solidFill>
          </w14:textFill>
        </w:rPr>
        <w:t>的法定代表人。</w:t>
      </w:r>
    </w:p>
    <w:p w14:paraId="00D75E3D">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特此证明。</w:t>
      </w:r>
    </w:p>
    <w:p w14:paraId="405A5719">
      <w:pPr>
        <w:keepNext w:val="0"/>
        <w:keepLines w:val="0"/>
        <w:pageBreakBefore w:val="0"/>
        <w:widowControl w:val="0"/>
        <w:kinsoku/>
        <w:wordWrap/>
        <w:overflowPunct/>
        <w:topLinePunct w:val="0"/>
        <w:autoSpaceDE/>
        <w:autoSpaceDN/>
        <w:bidi w:val="0"/>
        <w:adjustRightInd/>
        <w:snapToGrid/>
        <w:spacing w:before="0" w:beforeLines="300" w:after="0" w:afterLines="100" w:line="360" w:lineRule="auto"/>
        <w:ind w:left="539"/>
        <w:contextualSpacing/>
        <w:textAlignment w:val="auto"/>
        <w:rPr>
          <w:rFonts w:hint="eastAsia" w:ascii="宋体" w:hAnsi="宋体" w:cs="仿宋_GB2312"/>
          <w:color w:val="000000" w:themeColor="text1"/>
          <w:sz w:val="24"/>
          <w:highlight w:val="none"/>
          <w14:textFill>
            <w14:solidFill>
              <w14:schemeClr w14:val="tx1"/>
            </w14:solidFill>
          </w14:textFill>
        </w:rPr>
      </w:pPr>
    </w:p>
    <w:p w14:paraId="1E2C5030">
      <w:pPr>
        <w:keepNext w:val="0"/>
        <w:keepLines w:val="0"/>
        <w:pageBreakBefore w:val="0"/>
        <w:widowControl w:val="0"/>
        <w:kinsoku/>
        <w:wordWrap/>
        <w:overflowPunct/>
        <w:topLinePunct w:val="0"/>
        <w:autoSpaceDE/>
        <w:autoSpaceDN/>
        <w:bidi w:val="0"/>
        <w:adjustRightInd/>
        <w:snapToGrid/>
        <w:spacing w:before="0" w:beforeLines="300" w:after="0" w:afterLines="100" w:line="360" w:lineRule="auto"/>
        <w:ind w:left="539"/>
        <w:contextualSpacing/>
        <w:textAlignment w:val="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附件：法定代表人有效身份证正反面复印件</w:t>
      </w:r>
    </w:p>
    <w:p w14:paraId="3A62E324">
      <w:pPr>
        <w:autoSpaceDE w:val="0"/>
        <w:autoSpaceDN w:val="0"/>
        <w:spacing w:line="360" w:lineRule="auto"/>
        <w:ind w:left="0" w:leftChars="0"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p>
    <w:p w14:paraId="334B4F81">
      <w:pPr>
        <w:autoSpaceDE w:val="0"/>
        <w:autoSpaceDN w:val="0"/>
        <w:spacing w:line="360" w:lineRule="auto"/>
        <w:ind w:left="0" w:leftChars="0"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p>
    <w:p w14:paraId="78017637">
      <w:pPr>
        <w:autoSpaceDE w:val="0"/>
        <w:autoSpaceDN w:val="0"/>
        <w:spacing w:line="360" w:lineRule="auto"/>
        <w:ind w:left="0" w:leftChars="0"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p>
    <w:p w14:paraId="288D154F">
      <w:pPr>
        <w:autoSpaceDE w:val="0"/>
        <w:autoSpaceDN w:val="0"/>
        <w:spacing w:line="360" w:lineRule="auto"/>
        <w:ind w:left="0" w:leftChars="0" w:firstLine="5040" w:firstLineChars="2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75BE4722">
      <w:pPr>
        <w:spacing w:line="360" w:lineRule="auto"/>
        <w:ind w:left="0" w:leftChars="0" w:firstLine="5040" w:firstLineChars="2100"/>
        <w:jc w:val="both"/>
        <w:rPr>
          <w:rFonts w:hint="eastAsia" w:ascii="宋体" w:hAnsi="宋体" w:cs="仿宋_GB2312"/>
          <w:b/>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年</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68FC687D">
      <w:pPr>
        <w:spacing w:line="360" w:lineRule="auto"/>
        <w:jc w:val="left"/>
        <w:rPr>
          <w:rFonts w:hint="eastAsia" w:ascii="宋体" w:hAnsi="宋体" w:cs="仿宋_GB2312"/>
          <w:color w:val="000000" w:themeColor="text1"/>
          <w:sz w:val="24"/>
          <w:highlight w:val="none"/>
          <w14:textFill>
            <w14:solidFill>
              <w14:schemeClr w14:val="tx1"/>
            </w14:solidFill>
          </w14:textFill>
        </w:rPr>
      </w:pPr>
    </w:p>
    <w:p w14:paraId="3E227B44">
      <w:pPr>
        <w:spacing w:line="360" w:lineRule="auto"/>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注：1.自然人竞标的无需提供，联合体竞标的只需牵头人出具。</w:t>
      </w:r>
    </w:p>
    <w:p w14:paraId="759CC8AD">
      <w:pPr>
        <w:spacing w:line="360" w:lineRule="auto"/>
        <w:ind w:firstLine="480" w:firstLineChars="200"/>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66599409">
      <w:pPr>
        <w:widowControl/>
        <w:spacing w:line="360" w:lineRule="auto"/>
        <w:jc w:val="left"/>
        <w:rPr>
          <w:rFonts w:ascii="宋体" w:hAnsi="宋体" w:cs="仿宋_GB2312"/>
          <w:color w:val="000000" w:themeColor="text1"/>
          <w:sz w:val="24"/>
          <w:highlight w:val="none"/>
          <w14:textFill>
            <w14:solidFill>
              <w14:schemeClr w14:val="tx1"/>
            </w14:solidFill>
          </w14:textFill>
        </w:rPr>
        <w:sectPr>
          <w:pgSz w:w="11910" w:h="16840"/>
          <w:pgMar w:top="1340" w:right="1500" w:bottom="280" w:left="1680" w:header="720" w:footer="720" w:gutter="0"/>
          <w:pgNumType w:fmt="decimal"/>
          <w:cols w:space="720" w:num="1"/>
        </w:sectPr>
      </w:pPr>
    </w:p>
    <w:tbl>
      <w:tblPr>
        <w:tblStyle w:val="29"/>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2FE5B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noWrap w:val="0"/>
            <w:vAlign w:val="top"/>
          </w:tcPr>
          <w:p w14:paraId="749F518B">
            <w:pPr>
              <w:spacing w:line="360" w:lineRule="auto"/>
              <w:rPr>
                <w:rFonts w:hint="eastAsia" w:ascii="宋体"/>
                <w:b/>
                <w:color w:val="000000" w:themeColor="text1"/>
                <w:sz w:val="24"/>
                <w:highlight w:val="none"/>
                <w14:textFill>
                  <w14:solidFill>
                    <w14:schemeClr w14:val="tx1"/>
                  </w14:solidFill>
                </w14:textFill>
              </w:rPr>
            </w:pPr>
          </w:p>
          <w:p w14:paraId="621AAF48">
            <w:pPr>
              <w:spacing w:line="360" w:lineRule="auto"/>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法定代表身份证复印件粘贴处（正、反面）</w:t>
            </w:r>
          </w:p>
        </w:tc>
      </w:tr>
    </w:tbl>
    <w:p w14:paraId="7A442427">
      <w:pPr>
        <w:spacing w:line="360" w:lineRule="auto"/>
        <w:ind w:firstLine="482" w:firstLineChars="200"/>
        <w:jc w:val="left"/>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hAnsi="宋体"/>
          <w:b/>
          <w:color w:val="000000" w:themeColor="text1"/>
          <w:sz w:val="24"/>
          <w:highlight w:val="none"/>
          <w14:textFill>
            <w14:solidFill>
              <w14:schemeClr w14:val="tx1"/>
            </w14:solidFill>
          </w14:textFill>
        </w:rPr>
        <w:t>附件：</w:t>
      </w:r>
    </w:p>
    <w:p w14:paraId="2D8F01BD">
      <w:pPr>
        <w:adjustRightInd w:val="0"/>
        <w:snapToGrid w:val="0"/>
        <w:spacing w:line="300" w:lineRule="auto"/>
        <w:jc w:val="left"/>
        <w:rPr>
          <w:rFonts w:hint="eastAsia" w:ascii="宋体" w:hAnsi="宋体"/>
          <w:b/>
          <w:color w:val="000000" w:themeColor="text1"/>
          <w:szCs w:val="21"/>
          <w:highlight w:val="none"/>
          <w14:textFill>
            <w14:solidFill>
              <w14:schemeClr w14:val="tx1"/>
            </w14:solidFill>
          </w14:textFill>
        </w:rPr>
      </w:pPr>
    </w:p>
    <w:p w14:paraId="6E457B48">
      <w:pPr>
        <w:snapToGrid w:val="0"/>
        <w:spacing w:line="360" w:lineRule="auto"/>
        <w:ind w:firstLine="880" w:firstLineChars="200"/>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br w:type="page"/>
      </w:r>
      <w:r>
        <w:rPr>
          <w:rFonts w:hint="eastAsia" w:ascii="仿宋" w:hAnsi="仿宋" w:eastAsia="仿宋" w:cs="仿宋_GB2312"/>
          <w:b/>
          <w:color w:val="000000" w:themeColor="text1"/>
          <w:sz w:val="30"/>
          <w:szCs w:val="30"/>
          <w:highlight w:val="none"/>
          <w14:textFill>
            <w14:solidFill>
              <w14:schemeClr w14:val="tx1"/>
            </w14:solidFill>
          </w14:textFill>
        </w:rPr>
        <w:t>三、法定代表人授权委托书</w:t>
      </w:r>
    </w:p>
    <w:p w14:paraId="77FC058B">
      <w:pPr>
        <w:spacing w:line="50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p>
    <w:p w14:paraId="4134F78E">
      <w:pPr>
        <w:spacing w:line="52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授权委托书（非联合体竞标格式）</w:t>
      </w:r>
    </w:p>
    <w:p w14:paraId="23F9B4BA">
      <w:pPr>
        <w:spacing w:line="52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（如有委托时）</w:t>
      </w:r>
    </w:p>
    <w:p w14:paraId="79B33439">
      <w:pPr>
        <w:spacing w:line="52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73200A01">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致：</w:t>
      </w:r>
      <w:bookmarkStart w:id="78" w:name="PO_3000001871_PM031_7"/>
      <w:r>
        <w:rPr>
          <w:rFonts w:hint="eastAsia" w:ascii="宋体" w:hAnsi="宋体" w:cs="仿宋_GB2312"/>
          <w:color w:val="000000" w:themeColor="text1"/>
          <w:sz w:val="24"/>
          <w:highlight w:val="none"/>
          <w:u w:val="single"/>
          <w:lang w:eastAsia="zh-CN"/>
          <w14:textFill>
            <w14:solidFill>
              <w14:schemeClr w14:val="tx1"/>
            </w14:solidFill>
          </w14:textFill>
        </w:rPr>
        <w:t>广西建通工程咨询有限责任公司</w:t>
      </w:r>
      <w:bookmarkEnd w:id="78"/>
      <w:r>
        <w:rPr>
          <w:rFonts w:hint="eastAsia" w:ascii="宋体" w:hAnsi="宋体" w:cs="仿宋_GB2312"/>
          <w:color w:val="000000" w:themeColor="text1"/>
          <w:sz w:val="24"/>
          <w:highlight w:val="none"/>
          <w14:textFill>
            <w14:solidFill>
              <w14:schemeClr w14:val="tx1"/>
            </w14:solidFill>
          </w14:textFill>
        </w:rPr>
        <w:t>：</w:t>
      </w:r>
    </w:p>
    <w:p w14:paraId="00CE9094">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我</w:t>
      </w:r>
      <w:r>
        <w:rPr>
          <w:rFonts w:hint="eastAsia" w:ascii="宋体" w:hAnsi="宋体" w:cs="仿宋_GB2312"/>
          <w:color w:val="000000" w:themeColor="text1"/>
          <w:sz w:val="24"/>
          <w:highlight w:val="none"/>
          <w:u w:val="single"/>
          <w14:textFill>
            <w14:solidFill>
              <w14:schemeClr w14:val="tx1"/>
            </w14:solidFill>
          </w14:textFill>
        </w:rPr>
        <w:t>（姓名）</w:t>
      </w:r>
      <w:r>
        <w:rPr>
          <w:rFonts w:hint="eastAsia" w:ascii="宋体" w:hAnsi="宋体" w:cs="仿宋_GB2312"/>
          <w:color w:val="000000" w:themeColor="text1"/>
          <w:sz w:val="24"/>
          <w:highlight w:val="none"/>
          <w14:textFill>
            <w14:solidFill>
              <w14:schemeClr w14:val="tx1"/>
            </w14:solidFill>
          </w14:textFill>
        </w:rPr>
        <w:t>系</w:t>
      </w:r>
      <w:r>
        <w:rPr>
          <w:rFonts w:hint="eastAsia" w:ascii="宋体" w:hAnsi="宋体" w:cs="仿宋_GB2312"/>
          <w:color w:val="000000" w:themeColor="text1"/>
          <w:sz w:val="24"/>
          <w:highlight w:val="none"/>
          <w:u w:val="single"/>
          <w14:textFill>
            <w14:solidFill>
              <w14:schemeClr w14:val="tx1"/>
            </w14:solidFill>
          </w14:textFill>
        </w:rPr>
        <w:t>（供应商名称）</w:t>
      </w:r>
      <w:r>
        <w:rPr>
          <w:rFonts w:hint="eastAsia" w:ascii="宋体" w:hAnsi="宋体" w:cs="仿宋_GB2312"/>
          <w:color w:val="000000" w:themeColor="text1"/>
          <w:sz w:val="24"/>
          <w:highlight w:val="none"/>
          <w14:textFill>
            <w14:solidFill>
              <w14:schemeClr w14:val="tx1"/>
            </w14:solidFill>
          </w14:textFill>
        </w:rPr>
        <w:t>的（</w:t>
      </w:r>
      <w:r>
        <w:rPr>
          <w:rFonts w:hint="eastAsia" w:ascii="宋体" w:hAnsi="宋体" w:cs="仿宋_GB2312"/>
          <w:color w:val="000000" w:themeColor="text1"/>
          <w:sz w:val="24"/>
          <w:highlight w:val="none"/>
          <w:u w:val="single"/>
          <w14:textFill>
            <w14:solidFill>
              <w14:schemeClr w14:val="tx1"/>
            </w14:solidFill>
          </w14:textFill>
        </w:rPr>
        <w:t>□法定代表人/□负责人/□自然人本人</w:t>
      </w:r>
      <w:r>
        <w:rPr>
          <w:rFonts w:hint="eastAsia" w:ascii="宋体" w:hAnsi="宋体" w:cs="仿宋_GB2312"/>
          <w:color w:val="000000" w:themeColor="text1"/>
          <w:sz w:val="24"/>
          <w:highlight w:val="none"/>
          <w14:textFill>
            <w14:solidFill>
              <w14:schemeClr w14:val="tx1"/>
            </w14:solidFill>
          </w14:textFill>
        </w:rPr>
        <w:t>），现授权</w:t>
      </w:r>
      <w:r>
        <w:rPr>
          <w:rFonts w:hint="eastAsia" w:ascii="宋体" w:hAnsi="宋体" w:cs="仿宋_GB2312"/>
          <w:color w:val="000000" w:themeColor="text1"/>
          <w:sz w:val="24"/>
          <w:highlight w:val="none"/>
          <w:u w:val="single"/>
          <w14:textFill>
            <w14:solidFill>
              <w14:schemeClr w14:val="tx1"/>
            </w14:solidFill>
          </w14:textFill>
        </w:rPr>
        <w:t>（姓名）</w:t>
      </w:r>
      <w:r>
        <w:rPr>
          <w:rFonts w:hint="eastAsia" w:ascii="宋体" w:hAnsi="宋体" w:cs="仿宋_GB2312"/>
          <w:color w:val="000000" w:themeColor="text1"/>
          <w:sz w:val="24"/>
          <w:highlight w:val="none"/>
          <w14:textFill>
            <w14:solidFill>
              <w14:schemeClr w14:val="tx1"/>
            </w14:solidFill>
          </w14:textFill>
        </w:rPr>
        <w:t>以我方的名义参加</w:t>
      </w:r>
      <w:r>
        <w:rPr>
          <w:rFonts w:hint="eastAsia" w:ascii="宋体" w:hAnsi="宋体" w:cs="仿宋_GB2312"/>
          <w:color w:val="000000" w:themeColor="text1"/>
          <w:sz w:val="24"/>
          <w:highlight w:val="none"/>
          <w:u w:val="single"/>
          <w:lang w:eastAsia="zh-CN"/>
          <w14:textFill>
            <w14:solidFill>
              <w14:schemeClr w14:val="tx1"/>
            </w14:solidFill>
          </w14:textFill>
        </w:rPr>
        <w:t>档案室库房设备采购项目</w:t>
      </w:r>
      <w:r>
        <w:rPr>
          <w:rFonts w:hint="eastAsia" w:ascii="宋体" w:hAnsi="宋体" w:cs="仿宋_GB2312"/>
          <w:color w:val="000000" w:themeColor="text1"/>
          <w:sz w:val="24"/>
          <w:highlight w:val="none"/>
          <w14:textFill>
            <w14:solidFill>
              <w14:schemeClr w14:val="tx1"/>
            </w14:solidFill>
          </w14:textFill>
        </w:rPr>
        <w:t>项目的竞标活动，并代表我方全权办理针对上述项目的所有采购程序和环节的具体事务和签署相关文件。</w:t>
      </w:r>
    </w:p>
    <w:p w14:paraId="648C8F5E">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我方对委托代理人的签字事项负全部责任。</w:t>
      </w:r>
    </w:p>
    <w:p w14:paraId="63C6CADE">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20A40AC2">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委托代理人无转委托权，特此委托。</w:t>
      </w:r>
    </w:p>
    <w:p w14:paraId="3EBAA89C">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附：法定代表人身份证明书及委托代理人有效身份证正反面复印件</w:t>
      </w:r>
    </w:p>
    <w:p w14:paraId="238511FF">
      <w:pPr>
        <w:spacing w:line="360" w:lineRule="auto"/>
        <w:rPr>
          <w:rFonts w:hint="eastAsia" w:ascii="宋体" w:hAnsi="宋体" w:cs="仿宋_GB2312"/>
          <w:color w:val="000000" w:themeColor="text1"/>
          <w:sz w:val="24"/>
          <w:highlight w:val="none"/>
          <w14:textFill>
            <w14:solidFill>
              <w14:schemeClr w14:val="tx1"/>
            </w14:solidFill>
          </w14:textFill>
        </w:rPr>
      </w:pPr>
    </w:p>
    <w:p w14:paraId="74627F93">
      <w:pPr>
        <w:spacing w:line="360" w:lineRule="auto"/>
        <w:rPr>
          <w:rFonts w:hint="eastAsia" w:ascii="宋体" w:hAnsi="宋体" w:eastAsia="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委托代理人（签字）：</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法定代表人（签字）：</w:t>
      </w:r>
    </w:p>
    <w:p w14:paraId="6E844614">
      <w:pPr>
        <w:spacing w:line="360" w:lineRule="auto"/>
        <w:rPr>
          <w:rFonts w:hint="eastAsia" w:ascii="宋体" w:hAnsi="宋体" w:eastAsia="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委托代理人身份证号码：</w:t>
      </w:r>
    </w:p>
    <w:p w14:paraId="6106B4B9">
      <w:pPr>
        <w:spacing w:line="360" w:lineRule="auto"/>
        <w:rPr>
          <w:rFonts w:hint="eastAsia" w:ascii="宋体" w:hAnsi="宋体" w:eastAsia="宋体" w:cs="仿宋_GB2312"/>
          <w:color w:val="000000" w:themeColor="text1"/>
          <w:sz w:val="24"/>
          <w:highlight w:val="none"/>
          <w:lang w:eastAsia="zh-CN"/>
          <w14:textFill>
            <w14:solidFill>
              <w14:schemeClr w14:val="tx1"/>
            </w14:solidFill>
          </w14:textFill>
        </w:rPr>
      </w:pPr>
    </w:p>
    <w:p w14:paraId="58705D48">
      <w:pPr>
        <w:spacing w:line="360" w:lineRule="auto"/>
        <w:ind w:firstLine="4080" w:firstLineChars="1700"/>
        <w:rPr>
          <w:rFonts w:hint="eastAsia" w:ascii="宋体" w:hAnsi="宋体"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5BA1C608">
      <w:pPr>
        <w:spacing w:line="360" w:lineRule="auto"/>
        <w:jc w:val="center"/>
        <w:rPr>
          <w:rFonts w:hint="eastAsia" w:ascii="宋体" w:hAnsi="宋体" w:cs="仿宋_GB2312"/>
          <w:b/>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年</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57494851">
      <w:pPr>
        <w:spacing w:line="360" w:lineRule="auto"/>
        <w:rPr>
          <w:rFonts w:hint="eastAsia" w:ascii="宋体" w:hAnsi="宋体" w:cs="仿宋_GB2312"/>
          <w:color w:val="000000" w:themeColor="text1"/>
          <w:sz w:val="24"/>
          <w:highlight w:val="none"/>
          <w14:textFill>
            <w14:solidFill>
              <w14:schemeClr w14:val="tx1"/>
            </w14:solidFill>
          </w14:textFill>
        </w:rPr>
      </w:pPr>
    </w:p>
    <w:p w14:paraId="48D9C7C3">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注：1.法定代表人必须在授权委托书上亲笔签字，委托代理人必须在授权委托书上亲笔签字，</w:t>
      </w:r>
      <w:r>
        <w:rPr>
          <w:rFonts w:hint="eastAsia" w:ascii="宋体" w:hAnsi="宋体" w:cs="仿宋_GB2312"/>
          <w:b/>
          <w:color w:val="000000" w:themeColor="text1"/>
          <w:sz w:val="24"/>
          <w:highlight w:val="none"/>
          <w14:textFill>
            <w14:solidFill>
              <w14:schemeClr w14:val="tx1"/>
            </w14:solidFill>
          </w14:textFill>
        </w:rPr>
        <w:t>否则其响应文件按无效响应处理。</w:t>
      </w:r>
    </w:p>
    <w:p w14:paraId="56231E45">
      <w:pPr>
        <w:spacing w:line="360" w:lineRule="auto"/>
        <w:ind w:firstLine="480" w:firstLineChars="200"/>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205AC580">
      <w:pPr>
        <w:spacing w:line="360" w:lineRule="auto"/>
        <w:ind w:firstLine="480" w:firstLineChars="200"/>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3.法人、其他组织竞标时“我方”是指“我单位”，自然人竞标时“我方”是指“本人”。</w:t>
      </w:r>
    </w:p>
    <w:p w14:paraId="27F1A8B4">
      <w:pPr>
        <w:spacing w:line="360" w:lineRule="auto"/>
        <w:ind w:firstLine="420" w:firstLineChars="200"/>
        <w:jc w:val="left"/>
        <w:rPr>
          <w:rFonts w:hint="eastAsia" w:ascii="仿宋_GB2312" w:hAnsi="仿宋_GB2312" w:eastAsia="仿宋_GB2312" w:cs="仿宋_GB2312"/>
          <w:color w:val="000000" w:themeColor="text1"/>
          <w:szCs w:val="21"/>
          <w:highlight w:val="none"/>
          <w14:textFill>
            <w14:solidFill>
              <w14:schemeClr w14:val="tx1"/>
            </w14:solidFill>
          </w14:textFill>
        </w:rPr>
      </w:pPr>
    </w:p>
    <w:p w14:paraId="65B8DE3C">
      <w:pPr>
        <w:spacing w:line="50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授权委托书（联合体竞标格式）</w:t>
      </w:r>
    </w:p>
    <w:p w14:paraId="260A8158">
      <w:pPr>
        <w:spacing w:line="50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（如有委托时）</w:t>
      </w:r>
    </w:p>
    <w:p w14:paraId="76D54DD6">
      <w:pPr>
        <w:spacing w:line="50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p>
    <w:p w14:paraId="33A9B77F">
      <w:pPr>
        <w:spacing w:line="500" w:lineRule="exact"/>
        <w:jc w:val="center"/>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4034DD0A">
      <w:pPr>
        <w:spacing w:line="360" w:lineRule="auto"/>
        <w:ind w:firstLine="480" w:firstLineChars="200"/>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0D786BC7">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我方对委托代理人的签字事项负全部责任。</w:t>
      </w:r>
    </w:p>
    <w:p w14:paraId="3AA997F5">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0138C91E">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委托代理人无转委托权，特此委托。</w:t>
      </w:r>
    </w:p>
    <w:p w14:paraId="281298DB">
      <w:pPr>
        <w:spacing w:line="360" w:lineRule="auto"/>
        <w:rPr>
          <w:rFonts w:hint="eastAsia" w:ascii="宋体" w:hAnsi="宋体" w:eastAsia="宋体" w:cs="仿宋_GB2312"/>
          <w:color w:val="000000" w:themeColor="text1"/>
          <w:sz w:val="24"/>
          <w:highlight w:val="none"/>
          <w:lang w:eastAsia="zh-CN"/>
          <w14:textFill>
            <w14:solidFill>
              <w14:schemeClr w14:val="tx1"/>
            </w14:solidFill>
          </w14:textFill>
        </w:rPr>
      </w:pPr>
    </w:p>
    <w:p w14:paraId="22950A73">
      <w:pPr>
        <w:spacing w:line="360" w:lineRule="auto"/>
        <w:ind w:firstLine="1560" w:firstLineChars="65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牵头人法定代表人（签字）：</w:t>
      </w:r>
    </w:p>
    <w:p w14:paraId="19A3079E">
      <w:pPr>
        <w:spacing w:line="360" w:lineRule="auto"/>
        <w:ind w:firstLine="3000" w:firstLineChars="125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牵头人（电子签章）：</w:t>
      </w:r>
    </w:p>
    <w:p w14:paraId="76A37726">
      <w:pPr>
        <w:spacing w:line="360" w:lineRule="auto"/>
        <w:ind w:firstLine="3840" w:firstLineChars="16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年</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月</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日</w:t>
      </w:r>
    </w:p>
    <w:p w14:paraId="106FB2A8">
      <w:pPr>
        <w:spacing w:line="360" w:lineRule="auto"/>
        <w:rPr>
          <w:rFonts w:hint="eastAsia" w:ascii="宋体" w:hAnsi="宋体" w:cs="仿宋_GB2312"/>
          <w:color w:val="000000" w:themeColor="text1"/>
          <w:sz w:val="24"/>
          <w:highlight w:val="none"/>
          <w14:textFill>
            <w14:solidFill>
              <w14:schemeClr w14:val="tx1"/>
            </w14:solidFill>
          </w14:textFill>
        </w:rPr>
      </w:pPr>
    </w:p>
    <w:p w14:paraId="1D8A226E">
      <w:pPr>
        <w:spacing w:line="360" w:lineRule="auto"/>
        <w:ind w:firstLine="3120" w:firstLineChars="13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被授权人（签字）：</w:t>
      </w:r>
    </w:p>
    <w:p w14:paraId="0FF418B1">
      <w:pPr>
        <w:spacing w:line="360" w:lineRule="auto"/>
        <w:ind w:firstLine="3840" w:firstLineChars="16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年</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月</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日</w:t>
      </w:r>
    </w:p>
    <w:p w14:paraId="4A392B1B">
      <w:pPr>
        <w:spacing w:line="360" w:lineRule="auto"/>
        <w:rPr>
          <w:rFonts w:hint="eastAsia" w:ascii="宋体" w:hAnsi="宋体" w:cs="仿宋_GB2312"/>
          <w:color w:val="000000" w:themeColor="text1"/>
          <w:sz w:val="24"/>
          <w:highlight w:val="none"/>
          <w14:textFill>
            <w14:solidFill>
              <w14:schemeClr w14:val="tx1"/>
            </w14:solidFill>
          </w14:textFill>
        </w:rPr>
      </w:pPr>
    </w:p>
    <w:p w14:paraId="070B1661">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w:t>
      </w:r>
    </w:p>
    <w:p w14:paraId="09CE5F6A">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1.法定代表人必须在授权委托书上亲笔签字，委托代理人必须在授权委托书上亲笔签字，</w:t>
      </w:r>
      <w:r>
        <w:rPr>
          <w:rFonts w:hint="eastAsia" w:ascii="宋体" w:hAnsi="宋体" w:cs="仿宋_GB2312"/>
          <w:b/>
          <w:color w:val="000000" w:themeColor="text1"/>
          <w:sz w:val="24"/>
          <w:highlight w:val="none"/>
          <w14:textFill>
            <w14:solidFill>
              <w14:schemeClr w14:val="tx1"/>
            </w14:solidFill>
          </w14:textFill>
        </w:rPr>
        <w:t>否则其响应文件按无效响应处理。</w:t>
      </w:r>
    </w:p>
    <w:p w14:paraId="3D206584">
      <w:pPr>
        <w:spacing w:line="360" w:lineRule="auto"/>
        <w:ind w:firstLine="480" w:firstLineChars="200"/>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2.本授权委托书应由联合体牵头人的法定代表人按上述规定签署。</w:t>
      </w:r>
    </w:p>
    <w:p w14:paraId="548E6113">
      <w:pPr>
        <w:spacing w:line="360" w:lineRule="auto"/>
        <w:ind w:firstLine="480" w:firstLineChars="200"/>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322240E8">
      <w:pPr>
        <w:spacing w:line="360" w:lineRule="auto"/>
        <w:ind w:firstLine="480" w:firstLineChars="200"/>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4.法人、其他组织竞标时“我方”是指“我单位”，自然人竞标时“我方”是指“本人”。</w:t>
      </w:r>
    </w:p>
    <w:p w14:paraId="491E34A4">
      <w:pPr>
        <w:snapToGrid w:val="0"/>
        <w:spacing w:line="360" w:lineRule="auto"/>
        <w:ind w:firstLine="640" w:firstLineChars="200"/>
        <w:rPr>
          <w:rFonts w:hint="eastAsia" w:ascii="宋体" w:hAnsi="宋体"/>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br w:type="page"/>
      </w:r>
      <w:r>
        <w:rPr>
          <w:rFonts w:hint="eastAsia" w:ascii="仿宋" w:hAnsi="仿宋" w:eastAsia="仿宋" w:cs="仿宋_GB2312"/>
          <w:b/>
          <w:color w:val="000000" w:themeColor="text1"/>
          <w:sz w:val="30"/>
          <w:szCs w:val="30"/>
          <w:highlight w:val="none"/>
          <w14:textFill>
            <w14:solidFill>
              <w14:schemeClr w14:val="tx1"/>
            </w14:solidFill>
          </w14:textFill>
        </w:rPr>
        <w:t>四、商务条款偏离表</w:t>
      </w:r>
    </w:p>
    <w:p w14:paraId="00079CCE">
      <w:pPr>
        <w:spacing w:line="500" w:lineRule="exact"/>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商务条款偏离表（格式）</w:t>
      </w:r>
    </w:p>
    <w:p w14:paraId="255F8C4A">
      <w:pPr>
        <w:spacing w:line="360" w:lineRule="auto"/>
        <w:rPr>
          <w:rFonts w:hint="eastAsia" w:ascii="宋体" w:hAnsi="宋体" w:eastAsia="宋体" w:cs="仿宋_GB2312"/>
          <w:color w:val="000000" w:themeColor="text1"/>
          <w:sz w:val="24"/>
          <w:highlight w:val="none"/>
          <w:u w:val="single"/>
          <w:lang w:eastAsia="zh-CN"/>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分标号</w:t>
      </w:r>
      <w:r>
        <w:rPr>
          <w:rFonts w:hint="eastAsia" w:ascii="宋体" w:hAnsi="宋体"/>
          <w:color w:val="000000" w:themeColor="text1"/>
          <w:szCs w:val="21"/>
          <w:highlight w:val="none"/>
          <w14:textFill>
            <w14:solidFill>
              <w14:schemeClr w14:val="tx1"/>
            </w14:solidFill>
          </w14:textFill>
        </w:rPr>
        <w:t>（此处有分标时填写具体分标号，无分标时填写“无”）</w:t>
      </w:r>
      <w:r>
        <w:rPr>
          <w:rFonts w:hint="eastAsia" w:ascii="宋体" w:hAnsi="宋体" w:cs="仿宋_GB2312"/>
          <w:color w:val="000000" w:themeColor="text1"/>
          <w:sz w:val="24"/>
          <w:highlight w:val="none"/>
          <w14:textFill>
            <w14:solidFill>
              <w14:schemeClr w14:val="tx1"/>
            </w14:solidFill>
          </w14:textFill>
        </w:rPr>
        <w:t>：</w:t>
      </w:r>
    </w:p>
    <w:tbl>
      <w:tblPr>
        <w:tblStyle w:val="29"/>
        <w:tblpPr w:leftFromText="180" w:rightFromText="180" w:vertAnchor="text" w:horzAnchor="margin" w:tblpXSpec="center" w:tblpY="94"/>
        <w:tblW w:w="87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212"/>
        <w:gridCol w:w="2700"/>
        <w:gridCol w:w="2175"/>
      </w:tblGrid>
      <w:tr w14:paraId="5D5FB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vAlign w:val="top"/>
          </w:tcPr>
          <w:p w14:paraId="56217B6A">
            <w:pPr>
              <w:spacing w:line="3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项号</w:t>
            </w:r>
          </w:p>
        </w:tc>
        <w:tc>
          <w:tcPr>
            <w:tcW w:w="3212" w:type="dxa"/>
            <w:tcBorders>
              <w:top w:val="single" w:color="auto" w:sz="4" w:space="0"/>
              <w:left w:val="single" w:color="auto" w:sz="4" w:space="0"/>
              <w:bottom w:val="single" w:color="auto" w:sz="4" w:space="0"/>
              <w:right w:val="single" w:color="auto" w:sz="4" w:space="0"/>
            </w:tcBorders>
            <w:noWrap/>
            <w:vAlign w:val="top"/>
          </w:tcPr>
          <w:p w14:paraId="4013C92B">
            <w:pPr>
              <w:spacing w:line="3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竞争性谈判采购文件的商务需求</w:t>
            </w:r>
          </w:p>
        </w:tc>
        <w:tc>
          <w:tcPr>
            <w:tcW w:w="2700" w:type="dxa"/>
            <w:tcBorders>
              <w:top w:val="single" w:color="auto" w:sz="4" w:space="0"/>
              <w:left w:val="single" w:color="auto" w:sz="4" w:space="0"/>
              <w:right w:val="single" w:color="auto" w:sz="4" w:space="0"/>
            </w:tcBorders>
            <w:noWrap w:val="0"/>
            <w:vAlign w:val="top"/>
          </w:tcPr>
          <w:p w14:paraId="25A127AB">
            <w:pPr>
              <w:spacing w:line="3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响应文件承诺的商务条款</w:t>
            </w:r>
          </w:p>
        </w:tc>
        <w:tc>
          <w:tcPr>
            <w:tcW w:w="2175" w:type="dxa"/>
            <w:tcBorders>
              <w:top w:val="single" w:color="auto" w:sz="4" w:space="0"/>
              <w:left w:val="single" w:color="auto" w:sz="4" w:space="0"/>
              <w:right w:val="single" w:color="auto" w:sz="4" w:space="0"/>
            </w:tcBorders>
            <w:noWrap w:val="0"/>
            <w:vAlign w:val="top"/>
          </w:tcPr>
          <w:p w14:paraId="37B12EE4">
            <w:pPr>
              <w:spacing w:line="3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偏离说明</w:t>
            </w:r>
          </w:p>
        </w:tc>
      </w:tr>
      <w:tr w14:paraId="27F51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25CDF5D0">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w:t>
            </w:r>
          </w:p>
        </w:tc>
        <w:tc>
          <w:tcPr>
            <w:tcW w:w="3212" w:type="dxa"/>
            <w:tcBorders>
              <w:top w:val="single" w:color="auto" w:sz="4" w:space="0"/>
              <w:left w:val="single" w:color="auto" w:sz="4" w:space="0"/>
              <w:bottom w:val="single" w:color="auto" w:sz="4" w:space="0"/>
              <w:right w:val="single" w:color="auto" w:sz="4" w:space="0"/>
            </w:tcBorders>
            <w:noWrap/>
            <w:vAlign w:val="top"/>
          </w:tcPr>
          <w:p w14:paraId="54ADBF07">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2700" w:type="dxa"/>
            <w:tcBorders>
              <w:top w:val="single" w:color="auto" w:sz="4" w:space="0"/>
              <w:left w:val="single" w:color="auto" w:sz="4" w:space="0"/>
              <w:right w:val="single" w:color="auto" w:sz="4" w:space="0"/>
            </w:tcBorders>
            <w:noWrap w:val="0"/>
            <w:vAlign w:val="top"/>
          </w:tcPr>
          <w:p w14:paraId="1F00C145">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2175" w:type="dxa"/>
            <w:tcBorders>
              <w:top w:val="single" w:color="auto" w:sz="4" w:space="0"/>
              <w:left w:val="single" w:color="auto" w:sz="4" w:space="0"/>
              <w:right w:val="single" w:color="auto" w:sz="4" w:space="0"/>
            </w:tcBorders>
            <w:noWrap w:val="0"/>
            <w:vAlign w:val="top"/>
          </w:tcPr>
          <w:p w14:paraId="4C9E5EBF">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6DC4C6F1">
            <w:pPr>
              <w:spacing w:line="300" w:lineRule="exact"/>
              <w:rPr>
                <w:rFonts w:ascii="宋体" w:hAnsi="宋体"/>
                <w:color w:val="000000" w:themeColor="text1"/>
                <w:szCs w:val="21"/>
                <w:highlight w:val="none"/>
                <w14:textFill>
                  <w14:solidFill>
                    <w14:schemeClr w14:val="tx1"/>
                  </w14:solidFill>
                </w14:textFill>
              </w:rPr>
            </w:pPr>
          </w:p>
        </w:tc>
      </w:tr>
      <w:tr w14:paraId="67763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10513406">
            <w:pPr>
              <w:spacing w:line="340" w:lineRule="exact"/>
              <w:rPr>
                <w:rFonts w:ascii="宋体" w:hAnsi="宋体"/>
                <w:color w:val="000000" w:themeColor="text1"/>
                <w:szCs w:val="21"/>
                <w:highlight w:val="none"/>
                <w14:textFill>
                  <w14:solidFill>
                    <w14:schemeClr w14:val="tx1"/>
                  </w14:solidFill>
                </w14:textFill>
              </w:rPr>
            </w:pPr>
          </w:p>
        </w:tc>
        <w:tc>
          <w:tcPr>
            <w:tcW w:w="3212" w:type="dxa"/>
            <w:tcBorders>
              <w:top w:val="single" w:color="auto" w:sz="4" w:space="0"/>
              <w:left w:val="single" w:color="auto" w:sz="4" w:space="0"/>
              <w:bottom w:val="single" w:color="auto" w:sz="4" w:space="0"/>
              <w:right w:val="single" w:color="auto" w:sz="4" w:space="0"/>
            </w:tcBorders>
            <w:noWrap/>
            <w:vAlign w:val="top"/>
          </w:tcPr>
          <w:p w14:paraId="020122A8">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p w14:paraId="40E4D77F">
            <w:pPr>
              <w:spacing w:line="340" w:lineRule="exact"/>
              <w:rPr>
                <w:rFonts w:ascii="宋体" w:hAnsi="宋体"/>
                <w:color w:val="000000" w:themeColor="text1"/>
                <w:szCs w:val="21"/>
                <w:highlight w:val="none"/>
                <w14:textFill>
                  <w14:solidFill>
                    <w14:schemeClr w14:val="tx1"/>
                  </w14:solidFill>
                </w14:textFill>
              </w:rPr>
            </w:pPr>
          </w:p>
        </w:tc>
        <w:tc>
          <w:tcPr>
            <w:tcW w:w="2700" w:type="dxa"/>
            <w:tcBorders>
              <w:left w:val="single" w:color="auto" w:sz="4" w:space="0"/>
              <w:right w:val="single" w:color="auto" w:sz="4" w:space="0"/>
            </w:tcBorders>
            <w:noWrap w:val="0"/>
            <w:vAlign w:val="top"/>
          </w:tcPr>
          <w:p w14:paraId="06C0A391">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p w14:paraId="05DDD467">
            <w:pPr>
              <w:spacing w:line="300" w:lineRule="exact"/>
              <w:rPr>
                <w:rFonts w:ascii="宋体" w:hAnsi="宋体"/>
                <w:color w:val="000000" w:themeColor="text1"/>
                <w:szCs w:val="21"/>
                <w:highlight w:val="none"/>
                <w14:textFill>
                  <w14:solidFill>
                    <w14:schemeClr w14:val="tx1"/>
                  </w14:solidFill>
                </w14:textFill>
              </w:rPr>
            </w:pPr>
          </w:p>
        </w:tc>
        <w:tc>
          <w:tcPr>
            <w:tcW w:w="2175" w:type="dxa"/>
            <w:tcBorders>
              <w:left w:val="single" w:color="auto" w:sz="4" w:space="0"/>
              <w:right w:val="single" w:color="auto" w:sz="4" w:space="0"/>
            </w:tcBorders>
            <w:noWrap w:val="0"/>
            <w:vAlign w:val="top"/>
          </w:tcPr>
          <w:p w14:paraId="43DBD1AB">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27596167">
            <w:pPr>
              <w:spacing w:line="300" w:lineRule="exact"/>
              <w:rPr>
                <w:rFonts w:ascii="宋体" w:hAnsi="宋体"/>
                <w:color w:val="000000" w:themeColor="text1"/>
                <w:szCs w:val="21"/>
                <w:highlight w:val="none"/>
                <w14:textFill>
                  <w14:solidFill>
                    <w14:schemeClr w14:val="tx1"/>
                  </w14:solidFill>
                </w14:textFill>
              </w:rPr>
            </w:pPr>
          </w:p>
        </w:tc>
      </w:tr>
      <w:tr w14:paraId="1CAB5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3CE5E511">
            <w:pPr>
              <w:spacing w:line="340" w:lineRule="exact"/>
              <w:rPr>
                <w:rFonts w:ascii="宋体" w:hAnsi="宋体"/>
                <w:color w:val="000000" w:themeColor="text1"/>
                <w:szCs w:val="21"/>
                <w:highlight w:val="none"/>
                <w14:textFill>
                  <w14:solidFill>
                    <w14:schemeClr w14:val="tx1"/>
                  </w14:solidFill>
                </w14:textFill>
              </w:rPr>
            </w:pPr>
          </w:p>
        </w:tc>
        <w:tc>
          <w:tcPr>
            <w:tcW w:w="3212" w:type="dxa"/>
            <w:tcBorders>
              <w:top w:val="single" w:color="auto" w:sz="4" w:space="0"/>
              <w:left w:val="single" w:color="auto" w:sz="4" w:space="0"/>
              <w:bottom w:val="single" w:color="auto" w:sz="4" w:space="0"/>
              <w:right w:val="single" w:color="auto" w:sz="4" w:space="0"/>
            </w:tcBorders>
            <w:noWrap/>
            <w:vAlign w:val="top"/>
          </w:tcPr>
          <w:p w14:paraId="6D55E635">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p w14:paraId="6D29B162">
            <w:pPr>
              <w:spacing w:line="340" w:lineRule="exact"/>
              <w:rPr>
                <w:rFonts w:ascii="宋体" w:hAnsi="宋体"/>
                <w:color w:val="000000" w:themeColor="text1"/>
                <w:szCs w:val="21"/>
                <w:highlight w:val="none"/>
                <w14:textFill>
                  <w14:solidFill>
                    <w14:schemeClr w14:val="tx1"/>
                  </w14:solidFill>
                </w14:textFill>
              </w:rPr>
            </w:pPr>
          </w:p>
        </w:tc>
        <w:tc>
          <w:tcPr>
            <w:tcW w:w="2700" w:type="dxa"/>
            <w:tcBorders>
              <w:left w:val="single" w:color="auto" w:sz="4" w:space="0"/>
              <w:right w:val="single" w:color="auto" w:sz="4" w:space="0"/>
            </w:tcBorders>
            <w:noWrap w:val="0"/>
            <w:vAlign w:val="top"/>
          </w:tcPr>
          <w:p w14:paraId="71E8520B">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p w14:paraId="01FA9DCE">
            <w:pPr>
              <w:spacing w:line="300" w:lineRule="exact"/>
              <w:rPr>
                <w:rFonts w:ascii="宋体" w:hAnsi="宋体"/>
                <w:color w:val="000000" w:themeColor="text1"/>
                <w:szCs w:val="21"/>
                <w:highlight w:val="none"/>
                <w14:textFill>
                  <w14:solidFill>
                    <w14:schemeClr w14:val="tx1"/>
                  </w14:solidFill>
                </w14:textFill>
              </w:rPr>
            </w:pPr>
          </w:p>
        </w:tc>
        <w:tc>
          <w:tcPr>
            <w:tcW w:w="2175" w:type="dxa"/>
            <w:tcBorders>
              <w:left w:val="single" w:color="auto" w:sz="4" w:space="0"/>
              <w:right w:val="single" w:color="auto" w:sz="4" w:space="0"/>
            </w:tcBorders>
            <w:noWrap w:val="0"/>
            <w:vAlign w:val="top"/>
          </w:tcPr>
          <w:p w14:paraId="7276399D">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3A567287">
            <w:pPr>
              <w:spacing w:line="300" w:lineRule="exact"/>
              <w:rPr>
                <w:rFonts w:ascii="宋体" w:hAnsi="宋体"/>
                <w:color w:val="000000" w:themeColor="text1"/>
                <w:szCs w:val="21"/>
                <w:highlight w:val="none"/>
                <w14:textFill>
                  <w14:solidFill>
                    <w14:schemeClr w14:val="tx1"/>
                  </w14:solidFill>
                </w14:textFill>
              </w:rPr>
            </w:pPr>
          </w:p>
        </w:tc>
      </w:tr>
      <w:tr w14:paraId="5CC4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16B79C26">
            <w:pPr>
              <w:spacing w:line="340" w:lineRule="exact"/>
              <w:rPr>
                <w:rFonts w:ascii="宋体" w:hAnsi="宋体"/>
                <w:color w:val="000000" w:themeColor="text1"/>
                <w:szCs w:val="21"/>
                <w:highlight w:val="none"/>
                <w14:textFill>
                  <w14:solidFill>
                    <w14:schemeClr w14:val="tx1"/>
                  </w14:solidFill>
                </w14:textFill>
              </w:rPr>
            </w:pPr>
          </w:p>
        </w:tc>
        <w:tc>
          <w:tcPr>
            <w:tcW w:w="3212" w:type="dxa"/>
            <w:tcBorders>
              <w:top w:val="single" w:color="auto" w:sz="4" w:space="0"/>
              <w:left w:val="single" w:color="auto" w:sz="4" w:space="0"/>
              <w:bottom w:val="single" w:color="auto" w:sz="4" w:space="0"/>
              <w:right w:val="single" w:color="auto" w:sz="4" w:space="0"/>
            </w:tcBorders>
            <w:noWrap/>
            <w:vAlign w:val="top"/>
          </w:tcPr>
          <w:p w14:paraId="03FAEA0C">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700" w:type="dxa"/>
            <w:tcBorders>
              <w:left w:val="single" w:color="auto" w:sz="4" w:space="0"/>
              <w:bottom w:val="single" w:color="auto" w:sz="4" w:space="0"/>
              <w:right w:val="single" w:color="auto" w:sz="4" w:space="0"/>
            </w:tcBorders>
            <w:noWrap w:val="0"/>
            <w:vAlign w:val="top"/>
          </w:tcPr>
          <w:p w14:paraId="3D0F081F">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175" w:type="dxa"/>
            <w:tcBorders>
              <w:left w:val="single" w:color="auto" w:sz="4" w:space="0"/>
              <w:bottom w:val="single" w:color="auto" w:sz="4" w:space="0"/>
              <w:right w:val="single" w:color="auto" w:sz="4" w:space="0"/>
            </w:tcBorders>
            <w:noWrap w:val="0"/>
            <w:vAlign w:val="top"/>
          </w:tcPr>
          <w:p w14:paraId="5D532AE7">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774564B8">
            <w:pPr>
              <w:spacing w:line="300" w:lineRule="exact"/>
              <w:rPr>
                <w:rFonts w:ascii="宋体" w:hAnsi="宋体"/>
                <w:color w:val="000000" w:themeColor="text1"/>
                <w:szCs w:val="21"/>
                <w:highlight w:val="none"/>
                <w14:textFill>
                  <w14:solidFill>
                    <w14:schemeClr w14:val="tx1"/>
                  </w14:solidFill>
                </w14:textFill>
              </w:rPr>
            </w:pPr>
          </w:p>
        </w:tc>
      </w:tr>
      <w:tr w14:paraId="676D2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26347957">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w:t>
            </w:r>
          </w:p>
        </w:tc>
        <w:tc>
          <w:tcPr>
            <w:tcW w:w="3212" w:type="dxa"/>
            <w:tcBorders>
              <w:top w:val="single" w:color="auto" w:sz="4" w:space="0"/>
              <w:left w:val="single" w:color="auto" w:sz="4" w:space="0"/>
              <w:bottom w:val="single" w:color="auto" w:sz="4" w:space="0"/>
              <w:right w:val="single" w:color="auto" w:sz="4" w:space="0"/>
            </w:tcBorders>
            <w:noWrap/>
            <w:vAlign w:val="top"/>
          </w:tcPr>
          <w:p w14:paraId="57649E14">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2700" w:type="dxa"/>
            <w:tcBorders>
              <w:top w:val="single" w:color="auto" w:sz="4" w:space="0"/>
              <w:left w:val="single" w:color="auto" w:sz="4" w:space="0"/>
              <w:right w:val="single" w:color="auto" w:sz="4" w:space="0"/>
            </w:tcBorders>
            <w:noWrap w:val="0"/>
            <w:vAlign w:val="top"/>
          </w:tcPr>
          <w:p w14:paraId="20048A98">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2175" w:type="dxa"/>
            <w:tcBorders>
              <w:top w:val="single" w:color="auto" w:sz="4" w:space="0"/>
              <w:left w:val="single" w:color="auto" w:sz="4" w:space="0"/>
              <w:right w:val="single" w:color="auto" w:sz="4" w:space="0"/>
            </w:tcBorders>
            <w:noWrap w:val="0"/>
            <w:vAlign w:val="top"/>
          </w:tcPr>
          <w:p w14:paraId="6B7F9CAC">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4AF9EC70">
            <w:pPr>
              <w:spacing w:line="300" w:lineRule="exact"/>
              <w:rPr>
                <w:rFonts w:ascii="宋体" w:hAnsi="宋体"/>
                <w:color w:val="000000" w:themeColor="text1"/>
                <w:szCs w:val="21"/>
                <w:highlight w:val="none"/>
                <w14:textFill>
                  <w14:solidFill>
                    <w14:schemeClr w14:val="tx1"/>
                  </w14:solidFill>
                </w14:textFill>
              </w:rPr>
            </w:pPr>
          </w:p>
        </w:tc>
      </w:tr>
      <w:tr w14:paraId="70DD1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07F32D64">
            <w:pPr>
              <w:spacing w:line="340" w:lineRule="exact"/>
              <w:rPr>
                <w:rFonts w:ascii="宋体" w:hAnsi="宋体"/>
                <w:color w:val="000000" w:themeColor="text1"/>
                <w:szCs w:val="21"/>
                <w:highlight w:val="none"/>
                <w14:textFill>
                  <w14:solidFill>
                    <w14:schemeClr w14:val="tx1"/>
                  </w14:solidFill>
                </w14:textFill>
              </w:rPr>
            </w:pPr>
          </w:p>
        </w:tc>
        <w:tc>
          <w:tcPr>
            <w:tcW w:w="3212" w:type="dxa"/>
            <w:tcBorders>
              <w:top w:val="single" w:color="auto" w:sz="4" w:space="0"/>
              <w:left w:val="single" w:color="auto" w:sz="4" w:space="0"/>
              <w:bottom w:val="single" w:color="auto" w:sz="4" w:space="0"/>
              <w:right w:val="single" w:color="auto" w:sz="4" w:space="0"/>
            </w:tcBorders>
            <w:noWrap/>
            <w:vAlign w:val="top"/>
          </w:tcPr>
          <w:p w14:paraId="7E0C9148">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p w14:paraId="551A429C">
            <w:pPr>
              <w:spacing w:line="340" w:lineRule="exact"/>
              <w:rPr>
                <w:rFonts w:ascii="宋体" w:hAnsi="宋体"/>
                <w:color w:val="000000" w:themeColor="text1"/>
                <w:szCs w:val="21"/>
                <w:highlight w:val="none"/>
                <w14:textFill>
                  <w14:solidFill>
                    <w14:schemeClr w14:val="tx1"/>
                  </w14:solidFill>
                </w14:textFill>
              </w:rPr>
            </w:pPr>
          </w:p>
        </w:tc>
        <w:tc>
          <w:tcPr>
            <w:tcW w:w="2700" w:type="dxa"/>
            <w:tcBorders>
              <w:left w:val="single" w:color="auto" w:sz="4" w:space="0"/>
              <w:right w:val="single" w:color="auto" w:sz="4" w:space="0"/>
            </w:tcBorders>
            <w:noWrap w:val="0"/>
            <w:vAlign w:val="top"/>
          </w:tcPr>
          <w:p w14:paraId="493FB997">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p w14:paraId="0ACED97E">
            <w:pPr>
              <w:spacing w:line="300" w:lineRule="exact"/>
              <w:rPr>
                <w:rFonts w:ascii="宋体" w:hAnsi="宋体"/>
                <w:color w:val="000000" w:themeColor="text1"/>
                <w:szCs w:val="21"/>
                <w:highlight w:val="none"/>
                <w14:textFill>
                  <w14:solidFill>
                    <w14:schemeClr w14:val="tx1"/>
                  </w14:solidFill>
                </w14:textFill>
              </w:rPr>
            </w:pPr>
          </w:p>
        </w:tc>
        <w:tc>
          <w:tcPr>
            <w:tcW w:w="2175" w:type="dxa"/>
            <w:tcBorders>
              <w:left w:val="single" w:color="auto" w:sz="4" w:space="0"/>
              <w:right w:val="single" w:color="auto" w:sz="4" w:space="0"/>
            </w:tcBorders>
            <w:noWrap w:val="0"/>
            <w:vAlign w:val="top"/>
          </w:tcPr>
          <w:p w14:paraId="75B306C2">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4420CB64">
            <w:pPr>
              <w:spacing w:line="300" w:lineRule="exact"/>
              <w:rPr>
                <w:rFonts w:ascii="宋体" w:hAnsi="宋体"/>
                <w:color w:val="000000" w:themeColor="text1"/>
                <w:szCs w:val="21"/>
                <w:highlight w:val="none"/>
                <w14:textFill>
                  <w14:solidFill>
                    <w14:schemeClr w14:val="tx1"/>
                  </w14:solidFill>
                </w14:textFill>
              </w:rPr>
            </w:pPr>
          </w:p>
        </w:tc>
      </w:tr>
      <w:tr w14:paraId="2D298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3636E705">
            <w:pPr>
              <w:spacing w:line="340" w:lineRule="exact"/>
              <w:rPr>
                <w:rFonts w:ascii="宋体" w:hAnsi="宋体"/>
                <w:color w:val="000000" w:themeColor="text1"/>
                <w:szCs w:val="21"/>
                <w:highlight w:val="none"/>
                <w14:textFill>
                  <w14:solidFill>
                    <w14:schemeClr w14:val="tx1"/>
                  </w14:solidFill>
                </w14:textFill>
              </w:rPr>
            </w:pPr>
          </w:p>
        </w:tc>
        <w:tc>
          <w:tcPr>
            <w:tcW w:w="3212" w:type="dxa"/>
            <w:tcBorders>
              <w:top w:val="single" w:color="auto" w:sz="4" w:space="0"/>
              <w:left w:val="single" w:color="auto" w:sz="4" w:space="0"/>
              <w:bottom w:val="single" w:color="auto" w:sz="4" w:space="0"/>
              <w:right w:val="single" w:color="auto" w:sz="4" w:space="0"/>
            </w:tcBorders>
            <w:noWrap/>
            <w:vAlign w:val="top"/>
          </w:tcPr>
          <w:p w14:paraId="0089846C">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p w14:paraId="0CB82F9A">
            <w:pPr>
              <w:spacing w:line="340" w:lineRule="exact"/>
              <w:rPr>
                <w:rFonts w:ascii="宋体" w:hAnsi="宋体"/>
                <w:color w:val="000000" w:themeColor="text1"/>
                <w:szCs w:val="21"/>
                <w:highlight w:val="none"/>
                <w14:textFill>
                  <w14:solidFill>
                    <w14:schemeClr w14:val="tx1"/>
                  </w14:solidFill>
                </w14:textFill>
              </w:rPr>
            </w:pPr>
          </w:p>
        </w:tc>
        <w:tc>
          <w:tcPr>
            <w:tcW w:w="2700" w:type="dxa"/>
            <w:tcBorders>
              <w:left w:val="single" w:color="auto" w:sz="4" w:space="0"/>
              <w:right w:val="single" w:color="auto" w:sz="4" w:space="0"/>
            </w:tcBorders>
            <w:noWrap w:val="0"/>
            <w:vAlign w:val="top"/>
          </w:tcPr>
          <w:p w14:paraId="66E98534">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p w14:paraId="5FDF4232">
            <w:pPr>
              <w:spacing w:line="300" w:lineRule="exact"/>
              <w:rPr>
                <w:rFonts w:ascii="宋体" w:hAnsi="宋体"/>
                <w:color w:val="000000" w:themeColor="text1"/>
                <w:szCs w:val="21"/>
                <w:highlight w:val="none"/>
                <w14:textFill>
                  <w14:solidFill>
                    <w14:schemeClr w14:val="tx1"/>
                  </w14:solidFill>
                </w14:textFill>
              </w:rPr>
            </w:pPr>
          </w:p>
        </w:tc>
        <w:tc>
          <w:tcPr>
            <w:tcW w:w="2175" w:type="dxa"/>
            <w:tcBorders>
              <w:left w:val="single" w:color="auto" w:sz="4" w:space="0"/>
              <w:right w:val="single" w:color="auto" w:sz="4" w:space="0"/>
            </w:tcBorders>
            <w:noWrap w:val="0"/>
            <w:vAlign w:val="top"/>
          </w:tcPr>
          <w:p w14:paraId="62DF6E6A">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7485B29D">
            <w:pPr>
              <w:spacing w:line="300" w:lineRule="exact"/>
              <w:rPr>
                <w:rFonts w:ascii="宋体" w:hAnsi="宋体"/>
                <w:color w:val="000000" w:themeColor="text1"/>
                <w:szCs w:val="21"/>
                <w:highlight w:val="none"/>
                <w14:textFill>
                  <w14:solidFill>
                    <w14:schemeClr w14:val="tx1"/>
                  </w14:solidFill>
                </w14:textFill>
              </w:rPr>
            </w:pPr>
          </w:p>
        </w:tc>
      </w:tr>
      <w:tr w14:paraId="35A48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2B9B052C">
            <w:pPr>
              <w:spacing w:line="340" w:lineRule="exact"/>
              <w:rPr>
                <w:rFonts w:ascii="宋体" w:hAnsi="宋体"/>
                <w:color w:val="000000" w:themeColor="text1"/>
                <w:szCs w:val="21"/>
                <w:highlight w:val="none"/>
                <w14:textFill>
                  <w14:solidFill>
                    <w14:schemeClr w14:val="tx1"/>
                  </w14:solidFill>
                </w14:textFill>
              </w:rPr>
            </w:pPr>
          </w:p>
        </w:tc>
        <w:tc>
          <w:tcPr>
            <w:tcW w:w="3212" w:type="dxa"/>
            <w:tcBorders>
              <w:top w:val="single" w:color="auto" w:sz="4" w:space="0"/>
              <w:left w:val="single" w:color="auto" w:sz="4" w:space="0"/>
              <w:bottom w:val="single" w:color="auto" w:sz="4" w:space="0"/>
              <w:right w:val="single" w:color="auto" w:sz="4" w:space="0"/>
            </w:tcBorders>
            <w:noWrap/>
            <w:vAlign w:val="top"/>
          </w:tcPr>
          <w:p w14:paraId="45850612">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700" w:type="dxa"/>
            <w:tcBorders>
              <w:left w:val="single" w:color="auto" w:sz="4" w:space="0"/>
              <w:bottom w:val="single" w:color="auto" w:sz="4" w:space="0"/>
              <w:right w:val="single" w:color="auto" w:sz="4" w:space="0"/>
            </w:tcBorders>
            <w:noWrap w:val="0"/>
            <w:vAlign w:val="top"/>
          </w:tcPr>
          <w:p w14:paraId="46CBAC00">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175" w:type="dxa"/>
            <w:tcBorders>
              <w:left w:val="single" w:color="auto" w:sz="4" w:space="0"/>
              <w:bottom w:val="single" w:color="auto" w:sz="4" w:space="0"/>
              <w:right w:val="single" w:color="auto" w:sz="4" w:space="0"/>
            </w:tcBorders>
            <w:noWrap w:val="0"/>
            <w:vAlign w:val="top"/>
          </w:tcPr>
          <w:p w14:paraId="1786C258">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3E24613C">
            <w:pPr>
              <w:spacing w:line="300" w:lineRule="exact"/>
              <w:rPr>
                <w:rFonts w:ascii="宋体" w:hAnsi="宋体"/>
                <w:color w:val="000000" w:themeColor="text1"/>
                <w:szCs w:val="21"/>
                <w:highlight w:val="none"/>
                <w14:textFill>
                  <w14:solidFill>
                    <w14:schemeClr w14:val="tx1"/>
                  </w14:solidFill>
                </w14:textFill>
              </w:rPr>
            </w:pPr>
          </w:p>
        </w:tc>
      </w:tr>
      <w:tr w14:paraId="7E9DB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vAlign w:val="top"/>
          </w:tcPr>
          <w:p w14:paraId="6C00065A">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3212" w:type="dxa"/>
            <w:tcBorders>
              <w:top w:val="single" w:color="auto" w:sz="4" w:space="0"/>
              <w:left w:val="single" w:color="auto" w:sz="4" w:space="0"/>
              <w:bottom w:val="single" w:color="auto" w:sz="4" w:space="0"/>
              <w:right w:val="single" w:color="auto" w:sz="4" w:space="0"/>
            </w:tcBorders>
            <w:noWrap/>
            <w:vAlign w:val="top"/>
          </w:tcPr>
          <w:p w14:paraId="09463E74">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2700" w:type="dxa"/>
            <w:tcBorders>
              <w:top w:val="single" w:color="auto" w:sz="4" w:space="0"/>
              <w:left w:val="single" w:color="auto" w:sz="4" w:space="0"/>
              <w:right w:val="single" w:color="auto" w:sz="4" w:space="0"/>
            </w:tcBorders>
            <w:noWrap w:val="0"/>
            <w:vAlign w:val="top"/>
          </w:tcPr>
          <w:p w14:paraId="1CF2F76D">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2175" w:type="dxa"/>
            <w:tcBorders>
              <w:top w:val="single" w:color="auto" w:sz="4" w:space="0"/>
              <w:left w:val="single" w:color="auto" w:sz="4" w:space="0"/>
              <w:right w:val="single" w:color="auto" w:sz="4" w:space="0"/>
            </w:tcBorders>
            <w:noWrap w:val="0"/>
            <w:vAlign w:val="top"/>
          </w:tcPr>
          <w:p w14:paraId="60F0BACC">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5D6427A3">
            <w:pPr>
              <w:spacing w:line="300" w:lineRule="exact"/>
              <w:rPr>
                <w:rFonts w:ascii="宋体" w:hAnsi="宋体"/>
                <w:color w:val="000000" w:themeColor="text1"/>
                <w:szCs w:val="21"/>
                <w:highlight w:val="none"/>
                <w14:textFill>
                  <w14:solidFill>
                    <w14:schemeClr w14:val="tx1"/>
                  </w14:solidFill>
                </w14:textFill>
              </w:rPr>
            </w:pPr>
          </w:p>
        </w:tc>
      </w:tr>
      <w:tr w14:paraId="3372C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6FFDBCC8">
            <w:pPr>
              <w:spacing w:line="340" w:lineRule="exact"/>
              <w:rPr>
                <w:rFonts w:ascii="宋体" w:hAnsi="宋体"/>
                <w:color w:val="000000" w:themeColor="text1"/>
                <w:szCs w:val="21"/>
                <w:highlight w:val="none"/>
                <w14:textFill>
                  <w14:solidFill>
                    <w14:schemeClr w14:val="tx1"/>
                  </w14:solidFill>
                </w14:textFill>
              </w:rPr>
            </w:pPr>
          </w:p>
        </w:tc>
        <w:tc>
          <w:tcPr>
            <w:tcW w:w="3212" w:type="dxa"/>
            <w:tcBorders>
              <w:top w:val="single" w:color="auto" w:sz="4" w:space="0"/>
              <w:left w:val="single" w:color="auto" w:sz="4" w:space="0"/>
              <w:bottom w:val="single" w:color="auto" w:sz="4" w:space="0"/>
              <w:right w:val="single" w:color="auto" w:sz="4" w:space="0"/>
            </w:tcBorders>
            <w:noWrap/>
            <w:vAlign w:val="top"/>
          </w:tcPr>
          <w:p w14:paraId="194A3E4A">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p w14:paraId="1E032297">
            <w:pPr>
              <w:spacing w:line="340" w:lineRule="exact"/>
              <w:rPr>
                <w:rFonts w:ascii="宋体" w:hAnsi="宋体"/>
                <w:color w:val="000000" w:themeColor="text1"/>
                <w:szCs w:val="21"/>
                <w:highlight w:val="none"/>
                <w14:textFill>
                  <w14:solidFill>
                    <w14:schemeClr w14:val="tx1"/>
                  </w14:solidFill>
                </w14:textFill>
              </w:rPr>
            </w:pPr>
          </w:p>
        </w:tc>
        <w:tc>
          <w:tcPr>
            <w:tcW w:w="2700" w:type="dxa"/>
            <w:tcBorders>
              <w:left w:val="single" w:color="auto" w:sz="4" w:space="0"/>
              <w:right w:val="single" w:color="auto" w:sz="4" w:space="0"/>
            </w:tcBorders>
            <w:noWrap w:val="0"/>
            <w:vAlign w:val="top"/>
          </w:tcPr>
          <w:p w14:paraId="3F62C61B">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p w14:paraId="41B593C5">
            <w:pPr>
              <w:spacing w:line="300" w:lineRule="exact"/>
              <w:rPr>
                <w:rFonts w:ascii="宋体" w:hAnsi="宋体"/>
                <w:color w:val="000000" w:themeColor="text1"/>
                <w:szCs w:val="21"/>
                <w:highlight w:val="none"/>
                <w14:textFill>
                  <w14:solidFill>
                    <w14:schemeClr w14:val="tx1"/>
                  </w14:solidFill>
                </w14:textFill>
              </w:rPr>
            </w:pPr>
          </w:p>
        </w:tc>
        <w:tc>
          <w:tcPr>
            <w:tcW w:w="2175" w:type="dxa"/>
            <w:tcBorders>
              <w:left w:val="single" w:color="auto" w:sz="4" w:space="0"/>
              <w:right w:val="single" w:color="auto" w:sz="4" w:space="0"/>
            </w:tcBorders>
            <w:noWrap w:val="0"/>
            <w:vAlign w:val="top"/>
          </w:tcPr>
          <w:p w14:paraId="3E9AF56C">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06C25F10">
            <w:pPr>
              <w:spacing w:line="300" w:lineRule="exact"/>
              <w:rPr>
                <w:rFonts w:ascii="宋体" w:hAnsi="宋体"/>
                <w:color w:val="000000" w:themeColor="text1"/>
                <w:szCs w:val="21"/>
                <w:highlight w:val="none"/>
                <w14:textFill>
                  <w14:solidFill>
                    <w14:schemeClr w14:val="tx1"/>
                  </w14:solidFill>
                </w14:textFill>
              </w:rPr>
            </w:pPr>
          </w:p>
        </w:tc>
      </w:tr>
      <w:tr w14:paraId="0B226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vAlign w:val="top"/>
          </w:tcPr>
          <w:p w14:paraId="746D5117">
            <w:pPr>
              <w:spacing w:line="340" w:lineRule="exact"/>
              <w:rPr>
                <w:rFonts w:ascii="宋体" w:hAnsi="宋体"/>
                <w:color w:val="000000" w:themeColor="text1"/>
                <w:szCs w:val="21"/>
                <w:highlight w:val="none"/>
                <w14:textFill>
                  <w14:solidFill>
                    <w14:schemeClr w14:val="tx1"/>
                  </w14:solidFill>
                </w14:textFill>
              </w:rPr>
            </w:pPr>
          </w:p>
        </w:tc>
        <w:tc>
          <w:tcPr>
            <w:tcW w:w="3212" w:type="dxa"/>
            <w:tcBorders>
              <w:top w:val="single" w:color="auto" w:sz="4" w:space="0"/>
              <w:left w:val="single" w:color="auto" w:sz="4" w:space="0"/>
              <w:bottom w:val="single" w:color="auto" w:sz="4" w:space="0"/>
              <w:right w:val="single" w:color="auto" w:sz="4" w:space="0"/>
            </w:tcBorders>
            <w:noWrap/>
            <w:vAlign w:val="top"/>
          </w:tcPr>
          <w:p w14:paraId="2C1F8EF5">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p w14:paraId="64A35676">
            <w:pPr>
              <w:spacing w:line="340" w:lineRule="exact"/>
              <w:rPr>
                <w:rFonts w:ascii="宋体" w:hAnsi="宋体"/>
                <w:color w:val="000000" w:themeColor="text1"/>
                <w:szCs w:val="21"/>
                <w:highlight w:val="none"/>
                <w14:textFill>
                  <w14:solidFill>
                    <w14:schemeClr w14:val="tx1"/>
                  </w14:solidFill>
                </w14:textFill>
              </w:rPr>
            </w:pPr>
          </w:p>
        </w:tc>
        <w:tc>
          <w:tcPr>
            <w:tcW w:w="2700" w:type="dxa"/>
            <w:tcBorders>
              <w:left w:val="single" w:color="auto" w:sz="4" w:space="0"/>
              <w:right w:val="single" w:color="auto" w:sz="4" w:space="0"/>
            </w:tcBorders>
            <w:noWrap w:val="0"/>
            <w:vAlign w:val="top"/>
          </w:tcPr>
          <w:p w14:paraId="134F7EDC">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p w14:paraId="211B2991">
            <w:pPr>
              <w:spacing w:line="300" w:lineRule="exact"/>
              <w:rPr>
                <w:rFonts w:ascii="宋体" w:hAnsi="宋体"/>
                <w:color w:val="000000" w:themeColor="text1"/>
                <w:szCs w:val="21"/>
                <w:highlight w:val="none"/>
                <w14:textFill>
                  <w14:solidFill>
                    <w14:schemeClr w14:val="tx1"/>
                  </w14:solidFill>
                </w14:textFill>
              </w:rPr>
            </w:pPr>
          </w:p>
        </w:tc>
        <w:tc>
          <w:tcPr>
            <w:tcW w:w="2175" w:type="dxa"/>
            <w:tcBorders>
              <w:left w:val="single" w:color="auto" w:sz="4" w:space="0"/>
              <w:right w:val="single" w:color="auto" w:sz="4" w:space="0"/>
            </w:tcBorders>
            <w:noWrap w:val="0"/>
            <w:vAlign w:val="top"/>
          </w:tcPr>
          <w:p w14:paraId="03163D98">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17902714">
            <w:pPr>
              <w:spacing w:line="300" w:lineRule="exact"/>
              <w:rPr>
                <w:rFonts w:ascii="宋体" w:hAnsi="宋体"/>
                <w:color w:val="000000" w:themeColor="text1"/>
                <w:szCs w:val="21"/>
                <w:highlight w:val="none"/>
                <w14:textFill>
                  <w14:solidFill>
                    <w14:schemeClr w14:val="tx1"/>
                  </w14:solidFill>
                </w14:textFill>
              </w:rPr>
            </w:pPr>
          </w:p>
        </w:tc>
      </w:tr>
      <w:tr w14:paraId="4464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vAlign w:val="top"/>
          </w:tcPr>
          <w:p w14:paraId="3EF08DC7">
            <w:pPr>
              <w:spacing w:line="340" w:lineRule="exact"/>
              <w:rPr>
                <w:rFonts w:ascii="宋体" w:hAnsi="宋体"/>
                <w:color w:val="000000" w:themeColor="text1"/>
                <w:szCs w:val="21"/>
                <w:highlight w:val="none"/>
                <w14:textFill>
                  <w14:solidFill>
                    <w14:schemeClr w14:val="tx1"/>
                  </w14:solidFill>
                </w14:textFill>
              </w:rPr>
            </w:pPr>
          </w:p>
        </w:tc>
        <w:tc>
          <w:tcPr>
            <w:tcW w:w="3212" w:type="dxa"/>
            <w:tcBorders>
              <w:top w:val="single" w:color="auto" w:sz="4" w:space="0"/>
              <w:left w:val="single" w:color="auto" w:sz="4" w:space="0"/>
              <w:bottom w:val="single" w:color="auto" w:sz="4" w:space="0"/>
              <w:right w:val="single" w:color="auto" w:sz="4" w:space="0"/>
            </w:tcBorders>
            <w:noWrap/>
            <w:vAlign w:val="top"/>
          </w:tcPr>
          <w:p w14:paraId="2D83BB8A">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700" w:type="dxa"/>
            <w:tcBorders>
              <w:left w:val="single" w:color="auto" w:sz="4" w:space="0"/>
              <w:bottom w:val="single" w:color="auto" w:sz="4" w:space="0"/>
              <w:right w:val="single" w:color="auto" w:sz="4" w:space="0"/>
            </w:tcBorders>
            <w:noWrap w:val="0"/>
            <w:vAlign w:val="top"/>
          </w:tcPr>
          <w:p w14:paraId="2A84F6FA">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175" w:type="dxa"/>
            <w:tcBorders>
              <w:left w:val="single" w:color="auto" w:sz="4" w:space="0"/>
              <w:bottom w:val="single" w:color="auto" w:sz="4" w:space="0"/>
              <w:right w:val="single" w:color="auto" w:sz="4" w:space="0"/>
            </w:tcBorders>
            <w:noWrap w:val="0"/>
            <w:vAlign w:val="top"/>
          </w:tcPr>
          <w:p w14:paraId="23189B3B">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2AA81C40">
            <w:pPr>
              <w:spacing w:line="300" w:lineRule="exact"/>
              <w:rPr>
                <w:rFonts w:ascii="宋体" w:hAnsi="宋体"/>
                <w:color w:val="000000" w:themeColor="text1"/>
                <w:szCs w:val="21"/>
                <w:highlight w:val="none"/>
                <w14:textFill>
                  <w14:solidFill>
                    <w14:schemeClr w14:val="tx1"/>
                  </w14:solidFill>
                </w14:textFill>
              </w:rPr>
            </w:pPr>
          </w:p>
        </w:tc>
      </w:tr>
      <w:tr w14:paraId="279F2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8778" w:type="dxa"/>
            <w:gridSpan w:val="4"/>
            <w:tcBorders>
              <w:top w:val="single" w:color="auto" w:sz="4" w:space="0"/>
              <w:left w:val="single" w:color="auto" w:sz="4" w:space="0"/>
              <w:bottom w:val="single" w:color="auto" w:sz="4" w:space="0"/>
              <w:right w:val="single" w:color="auto" w:sz="4" w:space="0"/>
            </w:tcBorders>
            <w:noWrap/>
            <w:vAlign w:val="top"/>
          </w:tcPr>
          <w:p w14:paraId="473DF91D">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w:t>
            </w:r>
            <w:r>
              <w:rPr>
                <w:rFonts w:hint="eastAsia" w:ascii="宋体" w:hAnsi="宋体"/>
                <w:color w:val="000000" w:themeColor="text1"/>
                <w:szCs w:val="21"/>
                <w:highlight w:val="none"/>
                <w14:textFill>
                  <w14:solidFill>
                    <w14:schemeClr w14:val="tx1"/>
                  </w14:solidFill>
                </w14:textFill>
              </w:rPr>
              <w:t>分标（此处有分标时填写具体分标号，无分标时填写“无”）</w:t>
            </w:r>
          </w:p>
        </w:tc>
      </w:tr>
    </w:tbl>
    <w:p w14:paraId="1E59568C">
      <w:pPr>
        <w:pStyle w:val="14"/>
        <w:spacing w:line="400" w:lineRule="exact"/>
        <w:ind w:firstLine="0" w:firstLineChars="0"/>
        <w:rPr>
          <w:rFonts w:hint="eastAsia" w:ascii="宋体" w:hAnsi="宋体" w:eastAsia="宋体" w:cs="仿宋_GB2312"/>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注：</w:t>
      </w:r>
    </w:p>
    <w:p w14:paraId="3ABF1FBF">
      <w:pPr>
        <w:pStyle w:val="14"/>
        <w:spacing w:line="400" w:lineRule="exact"/>
        <w:ind w:firstLine="480" w:firstLineChars="200"/>
        <w:rPr>
          <w:rFonts w:hint="eastAsia" w:ascii="宋体" w:hAnsi="宋体" w:eastAsia="宋体" w:cs="仿宋_GB2312"/>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1.说明：应对照谈判文件“第二章采购需求”中的商务条款逐条作出明确响应，并作出偏离说明。</w:t>
      </w:r>
    </w:p>
    <w:p w14:paraId="16FF3E9A">
      <w:pPr>
        <w:pStyle w:val="14"/>
        <w:spacing w:line="400" w:lineRule="exact"/>
        <w:ind w:firstLine="480" w:firstLineChars="200"/>
        <w:rPr>
          <w:rFonts w:hint="eastAsia" w:ascii="宋体" w:hAnsi="宋体" w:eastAsia="宋体" w:cs="仿宋_GB2312"/>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2.供应商应根据自身的承诺，对照谈判文件要求，在“偏离说明”中注明“正偏离”、“负偏离”或者“无偏离”。既不属于“正偏离”也不属于“负偏离”即为“无偏离”。</w:t>
      </w:r>
      <w:r>
        <w:rPr>
          <w:rFonts w:hint="eastAsia" w:ascii="宋体" w:hAnsi="宋体" w:cs="仿宋_GB2312"/>
          <w:color w:val="000000" w:themeColor="text1"/>
          <w:sz w:val="24"/>
          <w:szCs w:val="24"/>
          <w:highlight w:val="none"/>
          <w14:textFill>
            <w14:solidFill>
              <w14:schemeClr w14:val="tx1"/>
            </w14:solidFill>
          </w14:textFill>
        </w:rPr>
        <w:t>当响应文件的</w:t>
      </w:r>
      <w:r>
        <w:rPr>
          <w:rFonts w:hint="eastAsia" w:ascii="宋体" w:hAnsi="宋体" w:eastAsia="宋体" w:cs="仿宋_GB2312"/>
          <w:color w:val="000000" w:themeColor="text1"/>
          <w:sz w:val="24"/>
          <w:szCs w:val="24"/>
          <w:highlight w:val="none"/>
          <w14:textFill>
            <w14:solidFill>
              <w14:schemeClr w14:val="tx1"/>
            </w14:solidFill>
          </w14:textFill>
        </w:rPr>
        <w:t>商务内容低于竞争性谈判采购文件要求时，竞标人应当如实写明“负偏离”，否则视为虚假应标</w:t>
      </w:r>
    </w:p>
    <w:p w14:paraId="70AAFFF4">
      <w:pPr>
        <w:spacing w:line="400" w:lineRule="exact"/>
        <w:ind w:firstLine="480" w:firstLineChars="200"/>
        <w:rPr>
          <w:rFonts w:hint="eastAsia" w:ascii="宋体" w:hAnsi="宋体" w:cs="仿宋_GB2312"/>
          <w:color w:val="000000" w:themeColor="text1"/>
          <w:kern w:val="0"/>
          <w:sz w:val="24"/>
          <w:highlight w:val="none"/>
          <w14:textFill>
            <w14:solidFill>
              <w14:schemeClr w14:val="tx1"/>
            </w14:solidFill>
          </w14:textFill>
        </w:rPr>
      </w:pPr>
      <w:r>
        <w:rPr>
          <w:rFonts w:hint="eastAsia" w:ascii="宋体" w:hAnsi="宋体" w:cs="仿宋_GB2312"/>
          <w:color w:val="000000" w:themeColor="text1"/>
          <w:kern w:val="0"/>
          <w:sz w:val="24"/>
          <w:highlight w:val="none"/>
          <w14:textFill>
            <w14:solidFill>
              <w14:schemeClr w14:val="tx1"/>
            </w14:solidFill>
          </w14:textFill>
        </w:rPr>
        <w:t>3.表格内容均需按要求填写并盖章，不得留空，否则按竞标无效处理。</w:t>
      </w:r>
    </w:p>
    <w:p w14:paraId="388894CF">
      <w:pPr>
        <w:pStyle w:val="17"/>
        <w:spacing w:line="400" w:lineRule="exact"/>
        <w:ind w:firstLine="480"/>
        <w:rPr>
          <w:rFonts w:hint="eastAsia" w:hAnsi="宋体" w:cs="仿宋_GB2312"/>
          <w:color w:val="000000" w:themeColor="text1"/>
          <w:sz w:val="24"/>
          <w:szCs w:val="24"/>
          <w:highlight w:val="none"/>
          <w14:textFill>
            <w14:solidFill>
              <w14:schemeClr w14:val="tx1"/>
            </w14:solidFill>
          </w14:textFill>
        </w:rPr>
      </w:pPr>
      <w:r>
        <w:rPr>
          <w:rFonts w:hint="eastAsia" w:hAnsi="宋体" w:cs="仿宋_GB2312"/>
          <w:color w:val="000000" w:themeColor="text1"/>
          <w:sz w:val="24"/>
          <w:szCs w:val="24"/>
          <w:highlight w:val="none"/>
          <w14:textFill>
            <w14:solidFill>
              <w14:schemeClr w14:val="tx1"/>
            </w14:solidFill>
          </w14:textFill>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7401A98E">
      <w:pPr>
        <w:spacing w:line="360" w:lineRule="auto"/>
        <w:ind w:right="-817" w:rightChars="-389"/>
        <w:contextualSpacing/>
        <w:rPr>
          <w:rFonts w:hint="eastAsia" w:ascii="宋体" w:hAnsi="宋体" w:cs="仿宋_GB2312"/>
          <w:color w:val="000000" w:themeColor="text1"/>
          <w:sz w:val="24"/>
          <w:highlight w:val="none"/>
          <w14:textFill>
            <w14:solidFill>
              <w14:schemeClr w14:val="tx1"/>
            </w14:solidFill>
          </w14:textFill>
        </w:rPr>
      </w:pPr>
    </w:p>
    <w:p w14:paraId="2A2F37BC">
      <w:pPr>
        <w:spacing w:line="360" w:lineRule="auto"/>
        <w:ind w:firstLine="3840" w:firstLineChars="1600"/>
        <w:rPr>
          <w:rFonts w:hint="eastAsia" w:ascii="宋体" w:hAnsi="宋体"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35D219C1">
      <w:pPr>
        <w:spacing w:line="360" w:lineRule="auto"/>
        <w:jc w:val="center"/>
        <w:rPr>
          <w:rFonts w:hint="eastAsia" w:ascii="宋体" w:hAnsi="宋体" w:cs="仿宋_GB2312"/>
          <w:b/>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年</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2C7ACE00">
      <w:pPr>
        <w:snapToGrid w:val="0"/>
        <w:spacing w:line="360" w:lineRule="auto"/>
        <w:ind w:firstLine="602" w:firstLineChars="200"/>
        <w:rPr>
          <w:rFonts w:hint="eastAsia" w:ascii="仿宋" w:hAnsi="仿宋" w:eastAsia="仿宋" w:cs="仿宋_GB2312"/>
          <w:b/>
          <w:color w:val="000000" w:themeColor="text1"/>
          <w:sz w:val="30"/>
          <w:szCs w:val="30"/>
          <w:highlight w:val="none"/>
          <w14:textFill>
            <w14:solidFill>
              <w14:schemeClr w14:val="tx1"/>
            </w14:solidFill>
          </w14:textFill>
        </w:rPr>
      </w:pPr>
    </w:p>
    <w:p w14:paraId="3C405EB9">
      <w:pPr>
        <w:snapToGrid w:val="0"/>
        <w:spacing w:line="360" w:lineRule="auto"/>
        <w:ind w:firstLine="602" w:firstLineChars="200"/>
        <w:rPr>
          <w:rFonts w:hint="eastAsia" w:ascii="仿宋" w:hAnsi="仿宋" w:eastAsia="仿宋" w:cs="仿宋_GB2312"/>
          <w:b/>
          <w:color w:val="000000" w:themeColor="text1"/>
          <w:sz w:val="30"/>
          <w:szCs w:val="30"/>
          <w:highlight w:val="none"/>
          <w14:textFill>
            <w14:solidFill>
              <w14:schemeClr w14:val="tx1"/>
            </w14:solidFill>
          </w14:textFill>
        </w:rPr>
      </w:pPr>
    </w:p>
    <w:p w14:paraId="4B5B6E83">
      <w:pPr>
        <w:rPr>
          <w:rFonts w:hint="eastAsia" w:ascii="仿宋" w:hAnsi="仿宋" w:eastAsia="仿宋" w:cs="仿宋_GB2312"/>
          <w:b/>
          <w:color w:val="000000" w:themeColor="text1"/>
          <w:sz w:val="30"/>
          <w:szCs w:val="30"/>
          <w:highlight w:val="none"/>
          <w14:textFill>
            <w14:solidFill>
              <w14:schemeClr w14:val="tx1"/>
            </w14:solidFill>
          </w14:textFill>
        </w:rPr>
      </w:pPr>
      <w:r>
        <w:rPr>
          <w:rFonts w:hint="eastAsia" w:ascii="仿宋" w:hAnsi="仿宋" w:eastAsia="仿宋" w:cs="仿宋_GB2312"/>
          <w:b/>
          <w:color w:val="000000" w:themeColor="text1"/>
          <w:sz w:val="30"/>
          <w:szCs w:val="30"/>
          <w:highlight w:val="none"/>
          <w14:textFill>
            <w14:solidFill>
              <w14:schemeClr w14:val="tx1"/>
            </w14:solidFill>
          </w14:textFill>
        </w:rPr>
        <w:br w:type="page"/>
      </w:r>
    </w:p>
    <w:p w14:paraId="7FAB4393">
      <w:pPr>
        <w:snapToGrid w:val="0"/>
        <w:spacing w:line="360" w:lineRule="auto"/>
        <w:ind w:firstLine="602" w:firstLineChars="200"/>
        <w:rPr>
          <w:rFonts w:hint="eastAsia" w:ascii="仿宋" w:hAnsi="仿宋" w:eastAsia="仿宋" w:cs="仿宋_GB2312"/>
          <w:b/>
          <w:color w:val="000000" w:themeColor="text1"/>
          <w:sz w:val="30"/>
          <w:szCs w:val="30"/>
          <w:highlight w:val="none"/>
          <w14:textFill>
            <w14:solidFill>
              <w14:schemeClr w14:val="tx1"/>
            </w14:solidFill>
          </w14:textFill>
        </w:rPr>
      </w:pPr>
      <w:r>
        <w:rPr>
          <w:rFonts w:hint="eastAsia" w:ascii="仿宋" w:hAnsi="仿宋" w:eastAsia="仿宋" w:cs="仿宋_GB2312"/>
          <w:b/>
          <w:color w:val="000000" w:themeColor="text1"/>
          <w:sz w:val="30"/>
          <w:szCs w:val="30"/>
          <w:highlight w:val="none"/>
          <w14:textFill>
            <w14:solidFill>
              <w14:schemeClr w14:val="tx1"/>
            </w14:solidFill>
          </w14:textFill>
        </w:rPr>
        <w:t>五、竞标人情况介绍</w:t>
      </w:r>
    </w:p>
    <w:p w14:paraId="09C0DE49">
      <w:pPr>
        <w:snapToGrid w:val="0"/>
        <w:spacing w:line="360" w:lineRule="auto"/>
        <w:ind w:firstLine="602" w:firstLineChars="200"/>
        <w:rPr>
          <w:rFonts w:hint="eastAsia" w:ascii="仿宋" w:hAnsi="仿宋" w:eastAsia="仿宋" w:cs="仿宋_GB2312"/>
          <w:b/>
          <w:color w:val="000000" w:themeColor="text1"/>
          <w:sz w:val="30"/>
          <w:szCs w:val="30"/>
          <w:highlight w:val="none"/>
          <w14:textFill>
            <w14:solidFill>
              <w14:schemeClr w14:val="tx1"/>
            </w14:solidFill>
          </w14:textFill>
        </w:rPr>
      </w:pPr>
    </w:p>
    <w:p w14:paraId="2B338D8D">
      <w:pPr>
        <w:autoSpaceDE w:val="0"/>
        <w:autoSpaceDN w:val="0"/>
        <w:spacing w:line="360" w:lineRule="auto"/>
        <w:ind w:left="4335" w:leftChars="1950" w:hanging="240" w:hangingChars="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249B0204">
      <w:pPr>
        <w:autoSpaceDE w:val="0"/>
        <w:autoSpaceDN w:val="0"/>
        <w:spacing w:line="360" w:lineRule="auto"/>
        <w:ind w:firstLine="6480" w:firstLineChars="2700"/>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年</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3B7C1F00">
      <w:pPr>
        <w:snapToGrid w:val="0"/>
        <w:spacing w:before="120" w:beforeLines="50" w:after="50"/>
        <w:ind w:firstLine="602" w:firstLineChars="200"/>
        <w:rPr>
          <w:rFonts w:hint="eastAsia" w:ascii="仿宋" w:hAnsi="仿宋" w:eastAsia="仿宋" w:cs="仿宋_GB2312"/>
          <w:b/>
          <w:color w:val="000000" w:themeColor="text1"/>
          <w:sz w:val="30"/>
          <w:szCs w:val="30"/>
          <w:highlight w:val="none"/>
          <w14:textFill>
            <w14:solidFill>
              <w14:schemeClr w14:val="tx1"/>
            </w14:solidFill>
          </w14:textFill>
        </w:rPr>
      </w:pPr>
      <w:r>
        <w:rPr>
          <w:rFonts w:hint="eastAsia" w:ascii="仿宋" w:hAnsi="仿宋" w:eastAsia="仿宋" w:cs="仿宋_GB2312"/>
          <w:b/>
          <w:color w:val="000000" w:themeColor="text1"/>
          <w:sz w:val="30"/>
          <w:szCs w:val="30"/>
          <w:highlight w:val="none"/>
          <w14:textFill>
            <w14:solidFill>
              <w14:schemeClr w14:val="tx1"/>
            </w14:solidFill>
          </w14:textFill>
        </w:rPr>
        <w:t>六、供应商类似的业绩证明文件</w:t>
      </w:r>
    </w:p>
    <w:p w14:paraId="60AC2089">
      <w:pPr>
        <w:pStyle w:val="23"/>
        <w:snapToGrid w:val="0"/>
        <w:ind w:left="480" w:hanging="480"/>
        <w:rPr>
          <w:rFonts w:hint="eastAsia" w:ascii="宋体" w:hAnsi="宋体"/>
          <w:color w:val="000000" w:themeColor="text1"/>
          <w:sz w:val="24"/>
          <w:highlight w:val="none"/>
          <w14:textFill>
            <w14:solidFill>
              <w14:schemeClr w14:val="tx1"/>
            </w14:solidFill>
          </w14:textFill>
        </w:rPr>
      </w:pPr>
    </w:p>
    <w:tbl>
      <w:tblPr>
        <w:tblStyle w:val="29"/>
        <w:tblpPr w:leftFromText="180" w:rightFromText="180" w:vertAnchor="text" w:horzAnchor="page" w:tblpX="1647" w:tblpY="779"/>
        <w:tblOverlap w:val="never"/>
        <w:tblW w:w="903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06"/>
        <w:gridCol w:w="1230"/>
        <w:gridCol w:w="1125"/>
        <w:gridCol w:w="1080"/>
        <w:gridCol w:w="1755"/>
        <w:gridCol w:w="1440"/>
        <w:gridCol w:w="1395"/>
      </w:tblGrid>
      <w:tr w14:paraId="4FEAF5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006" w:type="dxa"/>
            <w:vMerge w:val="restart"/>
            <w:tcBorders>
              <w:top w:val="single" w:color="auto" w:sz="4" w:space="0"/>
              <w:left w:val="single" w:color="auto" w:sz="4" w:space="0"/>
              <w:bottom w:val="single" w:color="auto" w:sz="4" w:space="0"/>
              <w:right w:val="single" w:color="auto" w:sz="4" w:space="0"/>
            </w:tcBorders>
            <w:noWrap w:val="0"/>
            <w:vAlign w:val="center"/>
          </w:tcPr>
          <w:p w14:paraId="4EBC73BB">
            <w:pPr>
              <w:snapToGrid w:val="0"/>
              <w:spacing w:line="240" w:lineRule="auto"/>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采购人名称</w:t>
            </w:r>
          </w:p>
        </w:tc>
        <w:tc>
          <w:tcPr>
            <w:tcW w:w="1230" w:type="dxa"/>
            <w:vMerge w:val="restart"/>
            <w:tcBorders>
              <w:top w:val="single" w:color="auto" w:sz="4" w:space="0"/>
              <w:left w:val="single" w:color="auto" w:sz="4" w:space="0"/>
              <w:bottom w:val="single" w:color="auto" w:sz="4" w:space="0"/>
              <w:right w:val="single" w:color="auto" w:sz="4" w:space="0"/>
            </w:tcBorders>
            <w:noWrap w:val="0"/>
            <w:vAlign w:val="center"/>
          </w:tcPr>
          <w:p w14:paraId="6264A4E5">
            <w:pPr>
              <w:snapToGrid w:val="0"/>
              <w:spacing w:line="240" w:lineRule="auto"/>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p>
        </w:tc>
        <w:tc>
          <w:tcPr>
            <w:tcW w:w="1125" w:type="dxa"/>
            <w:vMerge w:val="restart"/>
            <w:tcBorders>
              <w:top w:val="single" w:color="auto" w:sz="4" w:space="0"/>
              <w:left w:val="single" w:color="auto" w:sz="4" w:space="0"/>
              <w:bottom w:val="single" w:color="auto" w:sz="4" w:space="0"/>
              <w:right w:val="single" w:color="auto" w:sz="4" w:space="0"/>
            </w:tcBorders>
            <w:noWrap w:val="0"/>
            <w:vAlign w:val="center"/>
          </w:tcPr>
          <w:p w14:paraId="49A094FC">
            <w:pPr>
              <w:snapToGrid w:val="0"/>
              <w:spacing w:line="240" w:lineRule="auto"/>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合同</w:t>
            </w:r>
          </w:p>
          <w:p w14:paraId="1244783F">
            <w:pPr>
              <w:snapToGrid w:val="0"/>
              <w:spacing w:line="240" w:lineRule="auto"/>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金额</w:t>
            </w:r>
          </w:p>
          <w:p w14:paraId="13C82902">
            <w:pPr>
              <w:snapToGrid w:val="0"/>
              <w:spacing w:line="240" w:lineRule="auto"/>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（万元）</w:t>
            </w:r>
          </w:p>
        </w:tc>
        <w:tc>
          <w:tcPr>
            <w:tcW w:w="4275" w:type="dxa"/>
            <w:gridSpan w:val="3"/>
            <w:tcBorders>
              <w:top w:val="single" w:color="auto" w:sz="4" w:space="0"/>
              <w:left w:val="single" w:color="auto" w:sz="4" w:space="0"/>
              <w:bottom w:val="single" w:color="auto" w:sz="4" w:space="0"/>
              <w:right w:val="single" w:color="auto" w:sz="4" w:space="0"/>
            </w:tcBorders>
            <w:noWrap w:val="0"/>
            <w:vAlign w:val="center"/>
          </w:tcPr>
          <w:p w14:paraId="564EFAB4">
            <w:pPr>
              <w:snapToGrid w:val="0"/>
              <w:spacing w:line="240" w:lineRule="auto"/>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附件在响应文件中页码</w:t>
            </w:r>
          </w:p>
        </w:tc>
        <w:tc>
          <w:tcPr>
            <w:tcW w:w="1395" w:type="dxa"/>
            <w:vMerge w:val="restart"/>
            <w:tcBorders>
              <w:top w:val="single" w:color="auto" w:sz="4" w:space="0"/>
              <w:left w:val="single" w:color="auto" w:sz="4" w:space="0"/>
              <w:bottom w:val="single" w:color="auto" w:sz="4" w:space="0"/>
              <w:right w:val="single" w:color="auto" w:sz="4" w:space="0"/>
            </w:tcBorders>
            <w:noWrap w:val="0"/>
            <w:vAlign w:val="center"/>
          </w:tcPr>
          <w:p w14:paraId="3A4AA1F9">
            <w:pPr>
              <w:snapToGrid w:val="0"/>
              <w:spacing w:line="240" w:lineRule="auto"/>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采购人联系人及联系电话</w:t>
            </w:r>
          </w:p>
        </w:tc>
      </w:tr>
      <w:tr w14:paraId="6241D2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006" w:type="dxa"/>
            <w:vMerge w:val="continue"/>
            <w:tcBorders>
              <w:top w:val="single" w:color="auto" w:sz="4" w:space="0"/>
              <w:left w:val="single" w:color="auto" w:sz="4" w:space="0"/>
              <w:bottom w:val="single" w:color="auto" w:sz="4" w:space="0"/>
              <w:right w:val="single" w:color="auto" w:sz="4" w:space="0"/>
            </w:tcBorders>
            <w:noWrap w:val="0"/>
            <w:vAlign w:val="center"/>
          </w:tcPr>
          <w:p w14:paraId="18A66E8B">
            <w:pPr>
              <w:widowControl/>
              <w:spacing w:line="240" w:lineRule="auto"/>
              <w:jc w:val="left"/>
              <w:rPr>
                <w:rFonts w:ascii="宋体" w:hAnsi="宋体"/>
                <w:color w:val="000000" w:themeColor="text1"/>
                <w:sz w:val="24"/>
                <w:highlight w:val="none"/>
                <w14:textFill>
                  <w14:solidFill>
                    <w14:schemeClr w14:val="tx1"/>
                  </w14:solidFill>
                </w14:textFill>
              </w:rPr>
            </w:pPr>
          </w:p>
        </w:tc>
        <w:tc>
          <w:tcPr>
            <w:tcW w:w="1230" w:type="dxa"/>
            <w:vMerge w:val="continue"/>
            <w:tcBorders>
              <w:top w:val="single" w:color="auto" w:sz="4" w:space="0"/>
              <w:left w:val="single" w:color="auto" w:sz="4" w:space="0"/>
              <w:bottom w:val="single" w:color="auto" w:sz="4" w:space="0"/>
              <w:right w:val="single" w:color="auto" w:sz="4" w:space="0"/>
            </w:tcBorders>
            <w:noWrap w:val="0"/>
            <w:vAlign w:val="center"/>
          </w:tcPr>
          <w:p w14:paraId="5BB9B041">
            <w:pPr>
              <w:widowControl/>
              <w:spacing w:line="240" w:lineRule="auto"/>
              <w:jc w:val="left"/>
              <w:rPr>
                <w:rFonts w:ascii="宋体" w:hAnsi="宋体"/>
                <w:color w:val="000000" w:themeColor="text1"/>
                <w:sz w:val="24"/>
                <w:highlight w:val="none"/>
                <w14:textFill>
                  <w14:solidFill>
                    <w14:schemeClr w14:val="tx1"/>
                  </w14:solidFill>
                </w14:textFill>
              </w:rPr>
            </w:pPr>
          </w:p>
        </w:tc>
        <w:tc>
          <w:tcPr>
            <w:tcW w:w="1125" w:type="dxa"/>
            <w:vMerge w:val="continue"/>
            <w:tcBorders>
              <w:top w:val="single" w:color="auto" w:sz="4" w:space="0"/>
              <w:left w:val="single" w:color="auto" w:sz="4" w:space="0"/>
              <w:bottom w:val="single" w:color="auto" w:sz="4" w:space="0"/>
              <w:right w:val="single" w:color="auto" w:sz="4" w:space="0"/>
            </w:tcBorders>
            <w:noWrap w:val="0"/>
            <w:vAlign w:val="center"/>
          </w:tcPr>
          <w:p w14:paraId="450E8050">
            <w:pPr>
              <w:widowControl/>
              <w:spacing w:line="240" w:lineRule="auto"/>
              <w:jc w:val="left"/>
              <w:rPr>
                <w:rFonts w:ascii="宋体" w:hAnsi="宋体"/>
                <w:color w:val="000000" w:themeColor="text1"/>
                <w:sz w:val="24"/>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771393E">
            <w:pPr>
              <w:snapToGrid w:val="0"/>
              <w:spacing w:line="240" w:lineRule="auto"/>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合同</w:t>
            </w:r>
          </w:p>
        </w:tc>
        <w:tc>
          <w:tcPr>
            <w:tcW w:w="1755" w:type="dxa"/>
            <w:tcBorders>
              <w:top w:val="single" w:color="auto" w:sz="4" w:space="0"/>
              <w:left w:val="single" w:color="auto" w:sz="4" w:space="0"/>
              <w:bottom w:val="single" w:color="auto" w:sz="4" w:space="0"/>
              <w:right w:val="single" w:color="auto" w:sz="4" w:space="0"/>
            </w:tcBorders>
            <w:noWrap w:val="0"/>
            <w:vAlign w:val="center"/>
          </w:tcPr>
          <w:p w14:paraId="597C8C74">
            <w:pPr>
              <w:snapToGrid w:val="0"/>
              <w:spacing w:line="240" w:lineRule="auto"/>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中标（成交）通知书</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2A48A99">
            <w:pPr>
              <w:snapToGrid w:val="0"/>
              <w:spacing w:line="240" w:lineRule="auto"/>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用户评价</w:t>
            </w: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14:paraId="62900CF8">
            <w:pPr>
              <w:widowControl/>
              <w:jc w:val="left"/>
              <w:rPr>
                <w:rFonts w:ascii="宋体" w:hAnsi="宋体"/>
                <w:color w:val="000000" w:themeColor="text1"/>
                <w:sz w:val="24"/>
                <w:highlight w:val="none"/>
                <w14:textFill>
                  <w14:solidFill>
                    <w14:schemeClr w14:val="tx1"/>
                  </w14:solidFill>
                </w14:textFill>
              </w:rPr>
            </w:pPr>
          </w:p>
        </w:tc>
      </w:tr>
      <w:tr w14:paraId="7802C1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006" w:type="dxa"/>
            <w:tcBorders>
              <w:top w:val="single" w:color="auto" w:sz="4" w:space="0"/>
              <w:left w:val="single" w:color="auto" w:sz="4" w:space="0"/>
              <w:bottom w:val="single" w:color="auto" w:sz="4" w:space="0"/>
              <w:right w:val="single" w:color="auto" w:sz="4" w:space="0"/>
            </w:tcBorders>
            <w:noWrap w:val="0"/>
            <w:vAlign w:val="top"/>
          </w:tcPr>
          <w:p w14:paraId="2AA442B3">
            <w:pPr>
              <w:snapToGrid w:val="0"/>
              <w:spacing w:line="240" w:lineRule="auto"/>
              <w:jc w:val="left"/>
              <w:rPr>
                <w:rFonts w:hint="eastAsia" w:ascii="宋体" w:hAnsi="宋体"/>
                <w:color w:val="000000" w:themeColor="text1"/>
                <w:sz w:val="24"/>
                <w:highlight w:val="none"/>
                <w14:textFill>
                  <w14:solidFill>
                    <w14:schemeClr w14:val="tx1"/>
                  </w14:solidFill>
                </w14:textFill>
              </w:rPr>
            </w:pPr>
          </w:p>
        </w:tc>
        <w:tc>
          <w:tcPr>
            <w:tcW w:w="1230" w:type="dxa"/>
            <w:tcBorders>
              <w:top w:val="single" w:color="auto" w:sz="4" w:space="0"/>
              <w:left w:val="single" w:color="auto" w:sz="4" w:space="0"/>
              <w:bottom w:val="single" w:color="auto" w:sz="4" w:space="0"/>
              <w:right w:val="single" w:color="auto" w:sz="4" w:space="0"/>
            </w:tcBorders>
            <w:noWrap w:val="0"/>
            <w:vAlign w:val="top"/>
          </w:tcPr>
          <w:p w14:paraId="75D8FA1D">
            <w:pPr>
              <w:snapToGrid w:val="0"/>
              <w:spacing w:line="240" w:lineRule="auto"/>
              <w:jc w:val="left"/>
              <w:rPr>
                <w:rFonts w:hint="eastAsia" w:ascii="宋体" w:hAnsi="宋体"/>
                <w:color w:val="000000" w:themeColor="text1"/>
                <w:sz w:val="24"/>
                <w:highlight w:val="none"/>
                <w14:textFill>
                  <w14:solidFill>
                    <w14:schemeClr w14:val="tx1"/>
                  </w14:solidFill>
                </w14:textFill>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24B3BD12">
            <w:pPr>
              <w:snapToGrid w:val="0"/>
              <w:spacing w:line="240" w:lineRule="auto"/>
              <w:jc w:val="left"/>
              <w:rPr>
                <w:rFonts w:hint="eastAsia" w:ascii="宋体" w:hAnsi="宋体"/>
                <w:color w:val="000000" w:themeColor="text1"/>
                <w:sz w:val="24"/>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16FF1694">
            <w:pPr>
              <w:snapToGrid w:val="0"/>
              <w:spacing w:line="240" w:lineRule="auto"/>
              <w:jc w:val="left"/>
              <w:rPr>
                <w:rFonts w:hint="eastAsia" w:ascii="宋体" w:hAnsi="宋体"/>
                <w:color w:val="000000" w:themeColor="text1"/>
                <w:sz w:val="24"/>
                <w:highlight w:val="none"/>
                <w14:textFill>
                  <w14:solidFill>
                    <w14:schemeClr w14:val="tx1"/>
                  </w14:solidFill>
                </w14:textFill>
              </w:rPr>
            </w:pPr>
          </w:p>
        </w:tc>
        <w:tc>
          <w:tcPr>
            <w:tcW w:w="1755" w:type="dxa"/>
            <w:tcBorders>
              <w:top w:val="single" w:color="auto" w:sz="4" w:space="0"/>
              <w:left w:val="single" w:color="auto" w:sz="4" w:space="0"/>
              <w:bottom w:val="single" w:color="auto" w:sz="4" w:space="0"/>
              <w:right w:val="single" w:color="auto" w:sz="4" w:space="0"/>
            </w:tcBorders>
            <w:noWrap w:val="0"/>
            <w:vAlign w:val="top"/>
          </w:tcPr>
          <w:p w14:paraId="4406A187">
            <w:pPr>
              <w:snapToGrid w:val="0"/>
              <w:spacing w:line="240" w:lineRule="auto"/>
              <w:jc w:val="left"/>
              <w:rPr>
                <w:rFonts w:hint="eastAsia" w:ascii="宋体" w:hAnsi="宋体"/>
                <w:color w:val="000000" w:themeColor="text1"/>
                <w:sz w:val="24"/>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7616EA2">
            <w:pPr>
              <w:snapToGrid w:val="0"/>
              <w:spacing w:line="240" w:lineRule="auto"/>
              <w:jc w:val="left"/>
              <w:rPr>
                <w:rFonts w:hint="eastAsia" w:ascii="宋体" w:hAnsi="宋体"/>
                <w:color w:val="000000" w:themeColor="text1"/>
                <w:sz w:val="24"/>
                <w:highlight w:val="none"/>
                <w14:textFill>
                  <w14:solidFill>
                    <w14:schemeClr w14:val="tx1"/>
                  </w14:solidFill>
                </w14:textFill>
              </w:rPr>
            </w:pPr>
          </w:p>
        </w:tc>
        <w:tc>
          <w:tcPr>
            <w:tcW w:w="1395" w:type="dxa"/>
            <w:tcBorders>
              <w:top w:val="single" w:color="auto" w:sz="4" w:space="0"/>
              <w:left w:val="single" w:color="auto" w:sz="4" w:space="0"/>
              <w:bottom w:val="single" w:color="auto" w:sz="4" w:space="0"/>
              <w:right w:val="single" w:color="auto" w:sz="4" w:space="0"/>
            </w:tcBorders>
            <w:noWrap w:val="0"/>
            <w:vAlign w:val="top"/>
          </w:tcPr>
          <w:p w14:paraId="1FCECBAC">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r>
      <w:tr w14:paraId="35F07B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6" w:type="dxa"/>
            <w:tcBorders>
              <w:top w:val="single" w:color="auto" w:sz="4" w:space="0"/>
              <w:left w:val="single" w:color="auto" w:sz="4" w:space="0"/>
              <w:bottom w:val="single" w:color="auto" w:sz="4" w:space="0"/>
              <w:right w:val="single" w:color="auto" w:sz="4" w:space="0"/>
            </w:tcBorders>
            <w:noWrap w:val="0"/>
            <w:vAlign w:val="top"/>
          </w:tcPr>
          <w:p w14:paraId="586796B8">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230" w:type="dxa"/>
            <w:tcBorders>
              <w:top w:val="single" w:color="auto" w:sz="4" w:space="0"/>
              <w:left w:val="single" w:color="auto" w:sz="4" w:space="0"/>
              <w:bottom w:val="single" w:color="auto" w:sz="4" w:space="0"/>
              <w:right w:val="single" w:color="auto" w:sz="4" w:space="0"/>
            </w:tcBorders>
            <w:noWrap w:val="0"/>
            <w:vAlign w:val="top"/>
          </w:tcPr>
          <w:p w14:paraId="25BE86D8">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3B133505">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2DE8FB47">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755" w:type="dxa"/>
            <w:tcBorders>
              <w:top w:val="single" w:color="auto" w:sz="4" w:space="0"/>
              <w:left w:val="single" w:color="auto" w:sz="4" w:space="0"/>
              <w:bottom w:val="single" w:color="auto" w:sz="4" w:space="0"/>
              <w:right w:val="single" w:color="auto" w:sz="4" w:space="0"/>
            </w:tcBorders>
            <w:noWrap w:val="0"/>
            <w:vAlign w:val="top"/>
          </w:tcPr>
          <w:p w14:paraId="3E4529C0">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70C64ADB">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395" w:type="dxa"/>
            <w:tcBorders>
              <w:top w:val="single" w:color="auto" w:sz="4" w:space="0"/>
              <w:left w:val="single" w:color="auto" w:sz="4" w:space="0"/>
              <w:bottom w:val="single" w:color="auto" w:sz="4" w:space="0"/>
              <w:right w:val="single" w:color="auto" w:sz="4" w:space="0"/>
            </w:tcBorders>
            <w:noWrap w:val="0"/>
            <w:vAlign w:val="top"/>
          </w:tcPr>
          <w:p w14:paraId="6CB1FC4F">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r>
      <w:tr w14:paraId="243CA1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006" w:type="dxa"/>
            <w:tcBorders>
              <w:top w:val="single" w:color="auto" w:sz="4" w:space="0"/>
              <w:left w:val="single" w:color="auto" w:sz="4" w:space="0"/>
              <w:bottom w:val="single" w:color="auto" w:sz="4" w:space="0"/>
              <w:right w:val="single" w:color="auto" w:sz="4" w:space="0"/>
            </w:tcBorders>
            <w:noWrap w:val="0"/>
            <w:vAlign w:val="top"/>
          </w:tcPr>
          <w:p w14:paraId="428A5F8E">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230" w:type="dxa"/>
            <w:tcBorders>
              <w:top w:val="single" w:color="auto" w:sz="4" w:space="0"/>
              <w:left w:val="single" w:color="auto" w:sz="4" w:space="0"/>
              <w:bottom w:val="single" w:color="auto" w:sz="4" w:space="0"/>
              <w:right w:val="single" w:color="auto" w:sz="4" w:space="0"/>
            </w:tcBorders>
            <w:noWrap w:val="0"/>
            <w:vAlign w:val="top"/>
          </w:tcPr>
          <w:p w14:paraId="35D077A6">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1D5703B9">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02A7ED95">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755" w:type="dxa"/>
            <w:tcBorders>
              <w:top w:val="single" w:color="auto" w:sz="4" w:space="0"/>
              <w:left w:val="single" w:color="auto" w:sz="4" w:space="0"/>
              <w:bottom w:val="single" w:color="auto" w:sz="4" w:space="0"/>
              <w:right w:val="single" w:color="auto" w:sz="4" w:space="0"/>
            </w:tcBorders>
            <w:noWrap w:val="0"/>
            <w:vAlign w:val="top"/>
          </w:tcPr>
          <w:p w14:paraId="0C91723E">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19E29926">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395" w:type="dxa"/>
            <w:tcBorders>
              <w:top w:val="single" w:color="auto" w:sz="4" w:space="0"/>
              <w:left w:val="single" w:color="auto" w:sz="4" w:space="0"/>
              <w:bottom w:val="single" w:color="auto" w:sz="4" w:space="0"/>
              <w:right w:val="single" w:color="auto" w:sz="4" w:space="0"/>
            </w:tcBorders>
            <w:noWrap w:val="0"/>
            <w:vAlign w:val="top"/>
          </w:tcPr>
          <w:p w14:paraId="126E4F48">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r>
      <w:tr w14:paraId="301FA9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6" w:type="dxa"/>
            <w:tcBorders>
              <w:top w:val="single" w:color="auto" w:sz="4" w:space="0"/>
              <w:left w:val="single" w:color="auto" w:sz="4" w:space="0"/>
              <w:bottom w:val="single" w:color="auto" w:sz="4" w:space="0"/>
              <w:right w:val="single" w:color="auto" w:sz="4" w:space="0"/>
            </w:tcBorders>
            <w:noWrap w:val="0"/>
            <w:vAlign w:val="top"/>
          </w:tcPr>
          <w:p w14:paraId="64F92E54">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230" w:type="dxa"/>
            <w:tcBorders>
              <w:top w:val="single" w:color="auto" w:sz="4" w:space="0"/>
              <w:left w:val="single" w:color="auto" w:sz="4" w:space="0"/>
              <w:bottom w:val="single" w:color="auto" w:sz="4" w:space="0"/>
              <w:right w:val="single" w:color="auto" w:sz="4" w:space="0"/>
            </w:tcBorders>
            <w:noWrap w:val="0"/>
            <w:vAlign w:val="top"/>
          </w:tcPr>
          <w:p w14:paraId="52065B0B">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60EE22AA">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03CE4262">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755" w:type="dxa"/>
            <w:tcBorders>
              <w:top w:val="single" w:color="auto" w:sz="4" w:space="0"/>
              <w:left w:val="single" w:color="auto" w:sz="4" w:space="0"/>
              <w:bottom w:val="single" w:color="auto" w:sz="4" w:space="0"/>
              <w:right w:val="single" w:color="auto" w:sz="4" w:space="0"/>
            </w:tcBorders>
            <w:noWrap w:val="0"/>
            <w:vAlign w:val="top"/>
          </w:tcPr>
          <w:p w14:paraId="5F25C3FF">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1954D3CF">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395" w:type="dxa"/>
            <w:tcBorders>
              <w:top w:val="single" w:color="auto" w:sz="4" w:space="0"/>
              <w:left w:val="single" w:color="auto" w:sz="4" w:space="0"/>
              <w:bottom w:val="single" w:color="auto" w:sz="4" w:space="0"/>
              <w:right w:val="single" w:color="auto" w:sz="4" w:space="0"/>
            </w:tcBorders>
            <w:noWrap w:val="0"/>
            <w:vAlign w:val="top"/>
          </w:tcPr>
          <w:p w14:paraId="1B1237AF">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r>
      <w:tr w14:paraId="2775B4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6" w:type="dxa"/>
            <w:tcBorders>
              <w:top w:val="single" w:color="auto" w:sz="4" w:space="0"/>
              <w:left w:val="single" w:color="auto" w:sz="4" w:space="0"/>
              <w:bottom w:val="single" w:color="auto" w:sz="4" w:space="0"/>
              <w:right w:val="single" w:color="auto" w:sz="4" w:space="0"/>
            </w:tcBorders>
            <w:noWrap w:val="0"/>
            <w:vAlign w:val="top"/>
          </w:tcPr>
          <w:p w14:paraId="5785B930">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230" w:type="dxa"/>
            <w:tcBorders>
              <w:top w:val="single" w:color="auto" w:sz="4" w:space="0"/>
              <w:left w:val="single" w:color="auto" w:sz="4" w:space="0"/>
              <w:bottom w:val="single" w:color="auto" w:sz="4" w:space="0"/>
              <w:right w:val="single" w:color="auto" w:sz="4" w:space="0"/>
            </w:tcBorders>
            <w:noWrap w:val="0"/>
            <w:vAlign w:val="top"/>
          </w:tcPr>
          <w:p w14:paraId="27668E41">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56BD410D">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6511B5F5">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755" w:type="dxa"/>
            <w:tcBorders>
              <w:top w:val="single" w:color="auto" w:sz="4" w:space="0"/>
              <w:left w:val="single" w:color="auto" w:sz="4" w:space="0"/>
              <w:bottom w:val="single" w:color="auto" w:sz="4" w:space="0"/>
              <w:right w:val="single" w:color="auto" w:sz="4" w:space="0"/>
            </w:tcBorders>
            <w:noWrap w:val="0"/>
            <w:vAlign w:val="top"/>
          </w:tcPr>
          <w:p w14:paraId="6CFC4246">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8B75EED">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395" w:type="dxa"/>
            <w:tcBorders>
              <w:top w:val="single" w:color="auto" w:sz="4" w:space="0"/>
              <w:left w:val="single" w:color="auto" w:sz="4" w:space="0"/>
              <w:bottom w:val="single" w:color="auto" w:sz="4" w:space="0"/>
              <w:right w:val="single" w:color="auto" w:sz="4" w:space="0"/>
            </w:tcBorders>
            <w:noWrap w:val="0"/>
            <w:vAlign w:val="top"/>
          </w:tcPr>
          <w:p w14:paraId="700DE436">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r>
    </w:tbl>
    <w:p w14:paraId="10E5ACEE">
      <w:pPr>
        <w:autoSpaceDE w:val="0"/>
        <w:autoSpaceDN w:val="0"/>
        <w:spacing w:line="360" w:lineRule="auto"/>
        <w:ind w:firstLine="120"/>
        <w:rPr>
          <w:rFonts w:hint="eastAsia" w:ascii="宋体" w:hAnsi="宋体"/>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附表:相关项目业绩一览表（供应商同类项目合同复印件或中标（成交）通知书）</w:t>
      </w:r>
    </w:p>
    <w:p w14:paraId="37FC63FC">
      <w:pPr>
        <w:pStyle w:val="23"/>
        <w:snapToGrid w:val="0"/>
        <w:ind w:left="480" w:hanging="480"/>
        <w:rPr>
          <w:rFonts w:hint="eastAsia" w:ascii="宋体" w:hAnsi="宋体"/>
          <w:color w:val="000000" w:themeColor="text1"/>
          <w:sz w:val="24"/>
          <w:highlight w:val="none"/>
          <w14:textFill>
            <w14:solidFill>
              <w14:schemeClr w14:val="tx1"/>
            </w14:solidFill>
          </w14:textFill>
        </w:rPr>
      </w:pPr>
    </w:p>
    <w:p w14:paraId="435DE26E">
      <w:pPr>
        <w:pStyle w:val="23"/>
        <w:snapToGrid w:val="0"/>
        <w:ind w:left="480" w:hanging="480"/>
        <w:rPr>
          <w:rFonts w:hint="eastAsia" w:ascii="宋体" w:hAnsi="宋体"/>
          <w:color w:val="000000" w:themeColor="text1"/>
          <w:sz w:val="24"/>
          <w:highlight w:val="none"/>
          <w14:textFill>
            <w14:solidFill>
              <w14:schemeClr w14:val="tx1"/>
            </w14:solidFill>
          </w14:textFill>
        </w:rPr>
      </w:pPr>
    </w:p>
    <w:p w14:paraId="79F08F61">
      <w:pPr>
        <w:pStyle w:val="17"/>
        <w:spacing w:line="360" w:lineRule="auto"/>
        <w:ind w:left="420"/>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注：供应商可按上述的格式自行编制，须随表提交相应的合同复印件和用户单位验收证明并注明所在供应商商务技术文件页码。</w:t>
      </w:r>
    </w:p>
    <w:p w14:paraId="6EE05102">
      <w:pPr>
        <w:snapToGrid w:val="0"/>
        <w:spacing w:line="360" w:lineRule="auto"/>
        <w:ind w:firstLine="4935" w:firstLineChars="2350"/>
        <w:rPr>
          <w:rFonts w:hint="eastAsia" w:hAnsi="宋体" w:eastAsia="宋体"/>
          <w:color w:val="000000" w:themeColor="text1"/>
          <w:szCs w:val="21"/>
          <w:highlight w:val="none"/>
          <w:lang w:eastAsia="zh-CN"/>
          <w14:textFill>
            <w14:solidFill>
              <w14:schemeClr w14:val="tx1"/>
            </w14:solidFill>
          </w14:textFill>
        </w:rPr>
      </w:pPr>
    </w:p>
    <w:p w14:paraId="4DEA0044">
      <w:pPr>
        <w:snapToGrid w:val="0"/>
        <w:spacing w:line="360" w:lineRule="auto"/>
        <w:ind w:firstLine="4935" w:firstLineChars="2350"/>
        <w:rPr>
          <w:rFonts w:hAnsi="宋体"/>
          <w:color w:val="000000" w:themeColor="text1"/>
          <w:szCs w:val="21"/>
          <w:highlight w:val="none"/>
          <w14:textFill>
            <w14:solidFill>
              <w14:schemeClr w14:val="tx1"/>
            </w14:solidFill>
          </w14:textFill>
        </w:rPr>
      </w:pPr>
    </w:p>
    <w:p w14:paraId="54AD9067">
      <w:pPr>
        <w:snapToGrid w:val="0"/>
        <w:spacing w:line="360" w:lineRule="auto"/>
        <w:ind w:left="4410" w:leftChars="2100" w:firstLine="6480" w:firstLineChars="2700"/>
        <w:rPr>
          <w:rFonts w:hint="eastAsia" w:ascii="仿宋_GB2312" w:hAnsi="仿宋" w:eastAsia="仿宋_GB2312" w:cs="仿宋_GB2312"/>
          <w:color w:val="000000" w:themeColor="text1"/>
          <w:kern w:val="0"/>
          <w:sz w:val="24"/>
          <w:highlight w:val="none"/>
          <w:lang w:val="zh-CN"/>
          <w14:textFill>
            <w14:solidFill>
              <w14:schemeClr w14:val="tx1"/>
            </w14:solidFill>
          </w14:textFill>
        </w:rPr>
      </w:pPr>
    </w:p>
    <w:p w14:paraId="323F90CD">
      <w:pPr>
        <w:snapToGrid w:val="0"/>
        <w:spacing w:line="360" w:lineRule="auto"/>
        <w:ind w:firstLine="3600" w:firstLineChars="1500"/>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供应商名称(电子签章)：</w:t>
      </w:r>
    </w:p>
    <w:p w14:paraId="5F221488">
      <w:pPr>
        <w:spacing w:line="500" w:lineRule="exact"/>
        <w:jc w:val="center"/>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14:textFill>
            <w14:solidFill>
              <w14:schemeClr w14:val="tx1"/>
            </w14:solidFill>
          </w14:textFill>
        </w:rPr>
        <w:t>年</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66C3C349">
      <w:pPr>
        <w:widowControl/>
        <w:jc w:val="left"/>
        <w:rPr>
          <w:rFonts w:ascii="仿宋_GB2312" w:hAnsi="仿宋_GB2312" w:eastAsia="仿宋_GB2312" w:cs="仿宋_GB2312"/>
          <w:color w:val="000000" w:themeColor="text1"/>
          <w:sz w:val="32"/>
          <w:szCs w:val="32"/>
          <w:highlight w:val="none"/>
          <w14:textFill>
            <w14:solidFill>
              <w14:schemeClr w14:val="tx1"/>
            </w14:solidFill>
          </w14:textFill>
        </w:rPr>
        <w:sectPr>
          <w:pgSz w:w="11910" w:h="16840"/>
          <w:pgMar w:top="1340" w:right="1500" w:bottom="280" w:left="1680" w:header="720" w:footer="720" w:gutter="0"/>
          <w:pgNumType w:fmt="decimal"/>
          <w:cols w:space="720" w:num="1"/>
        </w:sectPr>
      </w:pPr>
    </w:p>
    <w:p w14:paraId="02C2C1D1">
      <w:pPr>
        <w:snapToGrid w:val="0"/>
        <w:spacing w:line="360" w:lineRule="auto"/>
        <w:rPr>
          <w:rFonts w:hint="eastAsia" w:ascii="仿宋" w:hAnsi="仿宋" w:eastAsia="仿宋" w:cs="仿宋_GB2312"/>
          <w:b/>
          <w:color w:val="000000" w:themeColor="text1"/>
          <w:sz w:val="30"/>
          <w:szCs w:val="30"/>
          <w:highlight w:val="none"/>
          <w14:textFill>
            <w14:solidFill>
              <w14:schemeClr w14:val="tx1"/>
            </w14:solidFill>
          </w14:textFill>
        </w:rPr>
      </w:pPr>
      <w:r>
        <w:rPr>
          <w:rFonts w:hint="eastAsia" w:ascii="仿宋" w:hAnsi="仿宋" w:eastAsia="仿宋" w:cs="仿宋_GB2312"/>
          <w:b/>
          <w:color w:val="000000" w:themeColor="text1"/>
          <w:sz w:val="30"/>
          <w:szCs w:val="30"/>
          <w:highlight w:val="none"/>
          <w14:textFill>
            <w14:solidFill>
              <w14:schemeClr w14:val="tx1"/>
            </w14:solidFill>
          </w14:textFill>
        </w:rPr>
        <w:t>七、货物需求偏离表</w:t>
      </w:r>
    </w:p>
    <w:p w14:paraId="5BE7239D">
      <w:pPr>
        <w:spacing w:line="500" w:lineRule="exact"/>
        <w:jc w:val="center"/>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58017551">
      <w:pPr>
        <w:spacing w:line="500" w:lineRule="exact"/>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货物需求偏离表</w:t>
      </w:r>
    </w:p>
    <w:p w14:paraId="42C7C5AF">
      <w:pPr>
        <w:pStyle w:val="17"/>
        <w:spacing w:line="360" w:lineRule="auto"/>
        <w:ind w:firstLine="480"/>
        <w:rPr>
          <w:rFonts w:hint="eastAsia" w:hAnsi="宋体" w:eastAsia="宋体" w:cs="仿宋_GB2312"/>
          <w:color w:val="000000" w:themeColor="text1"/>
          <w:sz w:val="24"/>
          <w:szCs w:val="24"/>
          <w:highlight w:val="none"/>
          <w:lang w:eastAsia="zh-CN"/>
          <w14:textFill>
            <w14:solidFill>
              <w14:schemeClr w14:val="tx1"/>
            </w14:solidFill>
          </w14:textFill>
        </w:rPr>
      </w:pPr>
      <w:r>
        <w:rPr>
          <w:rFonts w:hint="eastAsia" w:hAnsi="宋体" w:cs="仿宋_GB2312"/>
          <w:color w:val="000000" w:themeColor="text1"/>
          <w:sz w:val="24"/>
          <w:szCs w:val="24"/>
          <w:highlight w:val="none"/>
          <w14:textFill>
            <w14:solidFill>
              <w14:schemeClr w14:val="tx1"/>
            </w14:solidFill>
          </w14:textFill>
        </w:rPr>
        <w:t>所竞分标：</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14:paraId="79D09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noWrap w:val="0"/>
            <w:vAlign w:val="center"/>
          </w:tcPr>
          <w:p w14:paraId="12CE9885">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项号</w:t>
            </w:r>
          </w:p>
        </w:tc>
        <w:tc>
          <w:tcPr>
            <w:tcW w:w="3454" w:type="dxa"/>
            <w:gridSpan w:val="3"/>
            <w:tcBorders>
              <w:top w:val="single" w:color="auto" w:sz="4" w:space="0"/>
              <w:left w:val="single" w:color="auto" w:sz="4" w:space="0"/>
              <w:bottom w:val="single" w:color="auto" w:sz="4" w:space="0"/>
              <w:right w:val="single" w:color="auto" w:sz="4" w:space="0"/>
            </w:tcBorders>
            <w:noWrap w:val="0"/>
            <w:vAlign w:val="center"/>
          </w:tcPr>
          <w:p w14:paraId="5BAF66C1">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竞争性谈判采购文件需求</w:t>
            </w:r>
          </w:p>
        </w:tc>
        <w:tc>
          <w:tcPr>
            <w:tcW w:w="2944" w:type="dxa"/>
            <w:gridSpan w:val="3"/>
            <w:tcBorders>
              <w:top w:val="single" w:color="auto" w:sz="4" w:space="0"/>
              <w:left w:val="single" w:color="auto" w:sz="4" w:space="0"/>
              <w:bottom w:val="single" w:color="auto" w:sz="4" w:space="0"/>
              <w:right w:val="single" w:color="auto" w:sz="4" w:space="0"/>
            </w:tcBorders>
            <w:noWrap w:val="0"/>
            <w:vAlign w:val="center"/>
          </w:tcPr>
          <w:p w14:paraId="6ED39434">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响应文件承诺</w:t>
            </w:r>
          </w:p>
        </w:tc>
        <w:tc>
          <w:tcPr>
            <w:tcW w:w="1095" w:type="dxa"/>
            <w:vMerge w:val="restart"/>
            <w:tcBorders>
              <w:top w:val="single" w:color="auto" w:sz="4" w:space="0"/>
              <w:left w:val="single" w:color="auto" w:sz="4" w:space="0"/>
              <w:bottom w:val="single" w:color="auto" w:sz="4" w:space="0"/>
              <w:right w:val="single" w:color="auto" w:sz="4" w:space="0"/>
            </w:tcBorders>
            <w:noWrap w:val="0"/>
            <w:vAlign w:val="center"/>
          </w:tcPr>
          <w:p w14:paraId="0C5A4259">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偏离说明</w:t>
            </w:r>
          </w:p>
        </w:tc>
      </w:tr>
      <w:tr w14:paraId="0C403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noWrap w:val="0"/>
            <w:vAlign w:val="center"/>
          </w:tcPr>
          <w:p w14:paraId="19BD3D05">
            <w:pPr>
              <w:widowControl/>
              <w:jc w:val="left"/>
              <w:rPr>
                <w:rFonts w:ascii="宋体" w:hAnsi="宋体"/>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noWrap w:val="0"/>
            <w:vAlign w:val="center"/>
          </w:tcPr>
          <w:p w14:paraId="7C093CFC">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货物名称</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1F86299B">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数量</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0CAD5EFA">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货物参数要求</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A0C1348">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货物名称</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6988FE24">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数量</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334A4D58">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货物参数</w:t>
            </w:r>
          </w:p>
        </w:tc>
        <w:tc>
          <w:tcPr>
            <w:tcW w:w="1095" w:type="dxa"/>
            <w:vMerge w:val="continue"/>
            <w:tcBorders>
              <w:top w:val="single" w:color="auto" w:sz="4" w:space="0"/>
              <w:left w:val="single" w:color="auto" w:sz="4" w:space="0"/>
              <w:bottom w:val="single" w:color="auto" w:sz="4" w:space="0"/>
              <w:right w:val="single" w:color="auto" w:sz="4" w:space="0"/>
            </w:tcBorders>
            <w:noWrap w:val="0"/>
            <w:vAlign w:val="center"/>
          </w:tcPr>
          <w:p w14:paraId="01CD59B3">
            <w:pPr>
              <w:widowControl/>
              <w:jc w:val="left"/>
              <w:rPr>
                <w:rFonts w:ascii="宋体" w:hAnsi="宋体"/>
                <w:color w:val="000000" w:themeColor="text1"/>
                <w:szCs w:val="21"/>
                <w:highlight w:val="none"/>
                <w14:textFill>
                  <w14:solidFill>
                    <w14:schemeClr w14:val="tx1"/>
                  </w14:solidFill>
                </w14:textFill>
              </w:rPr>
            </w:pPr>
          </w:p>
        </w:tc>
      </w:tr>
      <w:tr w14:paraId="11F1E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2FE8CA5C">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04DB66B8">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05BA184F">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279ED6BB">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p w14:paraId="3865F600">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p w14:paraId="22E3E47E">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p w14:paraId="0B897BE2">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FC7CFA9">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157E40CF">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0D9C7AD4">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p w14:paraId="7017D636">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p w14:paraId="4DDA6D57">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p w14:paraId="30A163DE">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23AC4D78">
            <w:pPr>
              <w:rPr>
                <w:rFonts w:hint="eastAsia" w:ascii="宋体" w:hAnsi="宋体"/>
                <w:color w:val="000000" w:themeColor="text1"/>
                <w:szCs w:val="21"/>
                <w:highlight w:val="none"/>
                <w14:textFill>
                  <w14:solidFill>
                    <w14:schemeClr w14:val="tx1"/>
                  </w14:solidFill>
                </w14:textFill>
              </w:rPr>
            </w:pPr>
          </w:p>
        </w:tc>
      </w:tr>
      <w:tr w14:paraId="3AAAE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01E25783">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51573C8E">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395001AE">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56014A68">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p w14:paraId="57BA9991">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p w14:paraId="200099EE">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p w14:paraId="45A2CBA5">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1D31526F">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7211AB89">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46F35D1B">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p w14:paraId="162E26CD">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p w14:paraId="326D3F95">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p w14:paraId="6C8C63A4">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5673A0A">
            <w:pPr>
              <w:rPr>
                <w:rFonts w:hint="eastAsia" w:ascii="宋体" w:hAnsi="宋体"/>
                <w:color w:val="000000" w:themeColor="text1"/>
                <w:szCs w:val="21"/>
                <w:highlight w:val="none"/>
                <w14:textFill>
                  <w14:solidFill>
                    <w14:schemeClr w14:val="tx1"/>
                  </w14:solidFill>
                </w14:textFill>
              </w:rPr>
            </w:pPr>
          </w:p>
        </w:tc>
      </w:tr>
      <w:tr w14:paraId="5F75E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206A08FE">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12F2ADF7">
            <w:pPr>
              <w:rPr>
                <w:rFonts w:hint="eastAsia" w:ascii="宋体" w:hAnsi="宋体"/>
                <w:color w:val="000000" w:themeColor="text1"/>
                <w:szCs w:val="21"/>
                <w:highlight w:val="none"/>
                <w14:textFill>
                  <w14:solidFill>
                    <w14:schemeClr w14:val="tx1"/>
                  </w14:solidFill>
                </w14:textFill>
              </w:rPr>
            </w:pPr>
          </w:p>
        </w:tc>
        <w:tc>
          <w:tcPr>
            <w:tcW w:w="736" w:type="dxa"/>
            <w:tcBorders>
              <w:top w:val="single" w:color="auto" w:sz="4" w:space="0"/>
              <w:left w:val="single" w:color="auto" w:sz="4" w:space="0"/>
              <w:bottom w:val="single" w:color="auto" w:sz="4" w:space="0"/>
              <w:right w:val="single" w:color="auto" w:sz="4" w:space="0"/>
            </w:tcBorders>
            <w:noWrap w:val="0"/>
            <w:vAlign w:val="center"/>
          </w:tcPr>
          <w:p w14:paraId="2372C13C">
            <w:pPr>
              <w:rPr>
                <w:rFonts w:hint="eastAsia" w:ascii="宋体" w:hAnsi="宋体"/>
                <w:color w:val="000000" w:themeColor="text1"/>
                <w:szCs w:val="21"/>
                <w:highlight w:val="none"/>
                <w14:textFill>
                  <w14:solidFill>
                    <w14:schemeClr w14:val="tx1"/>
                  </w14:solidFill>
                </w14:textFill>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1ABC0A94">
            <w:pPr>
              <w:rPr>
                <w:rFonts w:hint="eastAsia" w:ascii="宋体" w:hAnsi="宋体"/>
                <w:color w:val="000000" w:themeColor="text1"/>
                <w:szCs w:val="21"/>
                <w:highlight w:val="none"/>
                <w14:textFill>
                  <w14:solidFill>
                    <w14:schemeClr w14:val="tx1"/>
                  </w14:solidFill>
                </w14:textFill>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45A416F6">
            <w:pPr>
              <w:rPr>
                <w:rFonts w:hint="eastAsia" w:ascii="宋体" w:hAnsi="宋体"/>
                <w:color w:val="000000" w:themeColor="text1"/>
                <w:szCs w:val="21"/>
                <w:highlight w:val="none"/>
                <w14:textFill>
                  <w14:solidFill>
                    <w14:schemeClr w14:val="tx1"/>
                  </w14:solidFill>
                </w14:textFill>
              </w:rPr>
            </w:pPr>
          </w:p>
        </w:tc>
        <w:tc>
          <w:tcPr>
            <w:tcW w:w="658" w:type="dxa"/>
            <w:tcBorders>
              <w:top w:val="single" w:color="auto" w:sz="4" w:space="0"/>
              <w:left w:val="single" w:color="auto" w:sz="4" w:space="0"/>
              <w:bottom w:val="single" w:color="auto" w:sz="4" w:space="0"/>
              <w:right w:val="single" w:color="auto" w:sz="4" w:space="0"/>
            </w:tcBorders>
            <w:noWrap w:val="0"/>
            <w:vAlign w:val="center"/>
          </w:tcPr>
          <w:p w14:paraId="473BBE30">
            <w:pPr>
              <w:rPr>
                <w:rFonts w:hint="eastAsia" w:ascii="宋体" w:hAnsi="宋体"/>
                <w:color w:val="000000" w:themeColor="text1"/>
                <w:szCs w:val="21"/>
                <w:highlight w:val="none"/>
                <w14:textFill>
                  <w14:solidFill>
                    <w14:schemeClr w14:val="tx1"/>
                  </w14:solidFill>
                </w14:textFill>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5AD4050E">
            <w:pPr>
              <w:rPr>
                <w:rFonts w:hint="eastAsia" w:ascii="宋体" w:hAnsi="宋体"/>
                <w:color w:val="000000" w:themeColor="text1"/>
                <w:szCs w:val="21"/>
                <w:highlight w:val="none"/>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EC509F3">
            <w:pPr>
              <w:rPr>
                <w:rFonts w:hint="eastAsia" w:ascii="宋体" w:hAnsi="宋体"/>
                <w:color w:val="000000" w:themeColor="text1"/>
                <w:szCs w:val="21"/>
                <w:highlight w:val="none"/>
                <w14:textFill>
                  <w14:solidFill>
                    <w14:schemeClr w14:val="tx1"/>
                  </w14:solidFill>
                </w14:textFill>
              </w:rPr>
            </w:pPr>
          </w:p>
        </w:tc>
      </w:tr>
    </w:tbl>
    <w:p w14:paraId="0E6F3DA5">
      <w:pPr>
        <w:pStyle w:val="12"/>
        <w:spacing w:after="0" w:line="360" w:lineRule="auto"/>
        <w:contextualSpacing/>
        <w:rPr>
          <w:rFonts w:hint="eastAsia" w:ascii="宋体" w:hAnsi="宋体"/>
          <w:color w:val="000000" w:themeColor="text1"/>
          <w:kern w:val="0"/>
          <w:sz w:val="21"/>
          <w:szCs w:val="21"/>
          <w:highlight w:val="none"/>
          <w14:textFill>
            <w14:solidFill>
              <w14:schemeClr w14:val="tx1"/>
            </w14:solidFill>
          </w14:textFill>
        </w:rPr>
      </w:pPr>
      <w:r>
        <w:rPr>
          <w:rFonts w:hint="eastAsia" w:ascii="宋体" w:hAnsi="宋体"/>
          <w:color w:val="000000" w:themeColor="text1"/>
          <w:kern w:val="0"/>
          <w:sz w:val="21"/>
          <w:szCs w:val="21"/>
          <w:highlight w:val="none"/>
          <w14:textFill>
            <w14:solidFill>
              <w14:schemeClr w14:val="tx1"/>
            </w14:solidFill>
          </w14:textFill>
        </w:rPr>
        <w:t>注：</w:t>
      </w:r>
    </w:p>
    <w:p w14:paraId="00F0A822">
      <w:pPr>
        <w:pStyle w:val="12"/>
        <w:spacing w:after="0" w:line="360" w:lineRule="auto"/>
        <w:contextualSpacing/>
        <w:rPr>
          <w:rFonts w:hint="eastAsia" w:ascii="宋体" w:hAnsi="宋体" w:cs="仿宋_GB2312"/>
          <w:color w:val="000000" w:themeColor="text1"/>
          <w:kern w:val="0"/>
          <w:sz w:val="21"/>
          <w:szCs w:val="21"/>
          <w:highlight w:val="none"/>
          <w14:textFill>
            <w14:solidFill>
              <w14:schemeClr w14:val="tx1"/>
            </w14:solidFill>
          </w14:textFill>
        </w:rPr>
      </w:pPr>
      <w:r>
        <w:rPr>
          <w:rFonts w:hint="eastAsia" w:ascii="宋体" w:hAnsi="宋体" w:cs="仿宋_GB2312"/>
          <w:color w:val="000000" w:themeColor="text1"/>
          <w:kern w:val="0"/>
          <w:sz w:val="21"/>
          <w:szCs w:val="21"/>
          <w:highlight w:val="none"/>
          <w14:textFill>
            <w14:solidFill>
              <w14:schemeClr w14:val="tx1"/>
            </w14:solidFill>
          </w14:textFill>
        </w:rPr>
        <w:t>1.说明：应对照谈判文件“第二章”中“货物需求一览表”的货物技术参数要求条款逐条作出明确响应，并作出偏离说明。</w:t>
      </w:r>
    </w:p>
    <w:p w14:paraId="56533E4B">
      <w:pPr>
        <w:pStyle w:val="14"/>
        <w:spacing w:line="400" w:lineRule="exact"/>
        <w:ind w:firstLine="0" w:firstLineChars="0"/>
        <w:rPr>
          <w:rFonts w:hint="eastAsia" w:ascii="宋体" w:hAnsi="宋体" w:eastAsia="宋体" w:cs="仿宋_GB2312"/>
          <w:color w:val="000000" w:themeColor="text1"/>
          <w:sz w:val="21"/>
          <w:szCs w:val="21"/>
          <w:highlight w:val="none"/>
          <w14:textFill>
            <w14:solidFill>
              <w14:schemeClr w14:val="tx1"/>
            </w14:solidFill>
          </w14:textFill>
        </w:rPr>
      </w:pPr>
      <w:r>
        <w:rPr>
          <w:rFonts w:hint="eastAsia" w:ascii="宋体" w:hAnsi="宋体" w:eastAsia="宋体" w:cs="仿宋_GB2312"/>
          <w:color w:val="000000" w:themeColor="text1"/>
          <w:sz w:val="21"/>
          <w:szCs w:val="21"/>
          <w:highlight w:val="none"/>
          <w14:textFill>
            <w14:solidFill>
              <w14:schemeClr w14:val="tx1"/>
            </w14:solidFill>
          </w14:textFill>
        </w:rPr>
        <w:t>2.供应商应根据自身的承诺，对照谈判文件要求，在“偏离说明”中注明“正偏离”、“负偏离”或者“无偏离”。既不属于“正偏离”也不属于“负偏离”即为“无偏离”。当响应文件的商务内容低于竞争性谈判采购文件要求时，竞标人应当如实写明“负偏离”，否则视为虚假应标</w:t>
      </w:r>
    </w:p>
    <w:p w14:paraId="406966D1">
      <w:pPr>
        <w:spacing w:line="400" w:lineRule="exact"/>
        <w:rPr>
          <w:rFonts w:hint="eastAsia"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3.表格内容均需按要求填写并盖章，不得留空，否则按竞标无效处理。</w:t>
      </w:r>
    </w:p>
    <w:p w14:paraId="075CFDBF">
      <w:pPr>
        <w:pStyle w:val="17"/>
        <w:spacing w:line="400" w:lineRule="exact"/>
        <w:rPr>
          <w:rFonts w:hint="eastAsia" w:hAnsi="宋体" w:cs="仿宋_GB2312"/>
          <w:color w:val="000000" w:themeColor="text1"/>
          <w:sz w:val="21"/>
          <w:highlight w:val="none"/>
          <w14:textFill>
            <w14:solidFill>
              <w14:schemeClr w14:val="tx1"/>
            </w14:solidFill>
          </w14:textFill>
        </w:rPr>
      </w:pPr>
      <w:r>
        <w:rPr>
          <w:rFonts w:hint="eastAsia" w:hAnsi="宋体" w:cs="仿宋_GB2312"/>
          <w:color w:val="000000" w:themeColor="text1"/>
          <w:sz w:val="21"/>
          <w:highlight w:val="none"/>
          <w14:textFill>
            <w14:solidFill>
              <w14:schemeClr w14:val="tx1"/>
            </w14:solidFill>
          </w14:textFill>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7C029516">
      <w:pPr>
        <w:pStyle w:val="14"/>
        <w:spacing w:line="360" w:lineRule="auto"/>
        <w:ind w:firstLine="0" w:firstLineChars="0"/>
        <w:rPr>
          <w:rFonts w:hint="eastAsia" w:ascii="宋体" w:hAnsi="宋体" w:cs="仿宋_GB2312"/>
          <w:color w:val="000000" w:themeColor="text1"/>
          <w:sz w:val="24"/>
          <w:highlight w:val="none"/>
          <w14:textFill>
            <w14:solidFill>
              <w14:schemeClr w14:val="tx1"/>
            </w14:solidFill>
          </w14:textFill>
        </w:rPr>
      </w:pPr>
      <w:r>
        <w:rPr>
          <w:rFonts w:hint="eastAsia" w:ascii="宋体" w:hAnsi="宋体" w:eastAsia="宋体" w:cs="仿宋_GB2312"/>
          <w:color w:val="000000" w:themeColor="text1"/>
          <w:sz w:val="21"/>
          <w:szCs w:val="21"/>
          <w:highlight w:val="none"/>
          <w14:textFill>
            <w14:solidFill>
              <w14:schemeClr w14:val="tx1"/>
            </w14:solidFill>
          </w14:textFill>
        </w:rPr>
        <w:t>5.如技术偏离表中的竞标响应与佐证材料不一致的，以佐证材料为准。</w:t>
      </w:r>
    </w:p>
    <w:p w14:paraId="563BC96C">
      <w:pPr>
        <w:snapToGrid w:val="0"/>
        <w:spacing w:line="360" w:lineRule="auto"/>
        <w:ind w:firstLine="602" w:firstLineChars="200"/>
        <w:rPr>
          <w:rFonts w:hint="eastAsia" w:ascii="仿宋" w:hAnsi="仿宋" w:eastAsia="仿宋" w:cs="仿宋_GB2312"/>
          <w:b/>
          <w:color w:val="000000" w:themeColor="text1"/>
          <w:sz w:val="30"/>
          <w:szCs w:val="30"/>
          <w:highlight w:val="none"/>
          <w14:textFill>
            <w14:solidFill>
              <w14:schemeClr w14:val="tx1"/>
            </w14:solidFill>
          </w14:textFill>
        </w:rPr>
      </w:pPr>
    </w:p>
    <w:p w14:paraId="4D6E551E">
      <w:pPr>
        <w:autoSpaceDE w:val="0"/>
        <w:autoSpaceDN w:val="0"/>
        <w:spacing w:line="360" w:lineRule="auto"/>
        <w:ind w:left="4335" w:leftChars="1950" w:hanging="240" w:hangingChars="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2229588D">
      <w:pPr>
        <w:autoSpaceDE w:val="0"/>
        <w:autoSpaceDN w:val="0"/>
        <w:spacing w:line="360" w:lineRule="auto"/>
        <w:ind w:firstLine="6480" w:firstLineChars="2700"/>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年</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5E02E542">
      <w:pPr>
        <w:widowControl/>
        <w:jc w:val="left"/>
        <w:rPr>
          <w:rFonts w:ascii="仿宋_GB2312" w:hAnsi="仿宋_GB2312" w:eastAsia="仿宋_GB2312" w:cs="仿宋_GB2312"/>
          <w:color w:val="000000" w:themeColor="text1"/>
          <w:sz w:val="32"/>
          <w:szCs w:val="32"/>
          <w:highlight w:val="none"/>
          <w14:textFill>
            <w14:solidFill>
              <w14:schemeClr w14:val="tx1"/>
            </w14:solidFill>
          </w14:textFill>
        </w:rPr>
        <w:sectPr>
          <w:pgSz w:w="11910" w:h="16840"/>
          <w:pgMar w:top="1340" w:right="1500" w:bottom="280" w:left="1680" w:header="720" w:footer="720" w:gutter="0"/>
          <w:pgNumType w:fmt="decimal"/>
          <w:cols w:space="720" w:num="1"/>
        </w:sectPr>
      </w:pPr>
    </w:p>
    <w:p w14:paraId="6EA852B5">
      <w:pPr>
        <w:snapToGrid w:val="0"/>
        <w:spacing w:line="360" w:lineRule="auto"/>
        <w:ind w:firstLine="602" w:firstLineChars="200"/>
        <w:rPr>
          <w:rFonts w:hint="eastAsia" w:ascii="仿宋" w:hAnsi="仿宋" w:eastAsia="仿宋" w:cs="仿宋_GB2312"/>
          <w:b/>
          <w:color w:val="000000" w:themeColor="text1"/>
          <w:sz w:val="30"/>
          <w:szCs w:val="30"/>
          <w:highlight w:val="none"/>
          <w14:textFill>
            <w14:solidFill>
              <w14:schemeClr w14:val="tx1"/>
            </w14:solidFill>
          </w14:textFill>
        </w:rPr>
      </w:pPr>
      <w:r>
        <w:rPr>
          <w:rFonts w:hint="eastAsia" w:ascii="仿宋" w:hAnsi="仿宋" w:eastAsia="仿宋" w:cs="仿宋_GB2312"/>
          <w:b/>
          <w:color w:val="000000" w:themeColor="text1"/>
          <w:sz w:val="30"/>
          <w:szCs w:val="30"/>
          <w:highlight w:val="none"/>
          <w14:textFill>
            <w14:solidFill>
              <w14:schemeClr w14:val="tx1"/>
            </w14:solidFill>
          </w14:textFill>
        </w:rPr>
        <w:t>八、配置清单</w:t>
      </w:r>
    </w:p>
    <w:p w14:paraId="386A7B05">
      <w:pPr>
        <w:spacing w:line="500" w:lineRule="exact"/>
        <w:jc w:val="center"/>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1E642DF1">
      <w:pPr>
        <w:adjustRightInd w:val="0"/>
        <w:snapToGrid w:val="0"/>
        <w:spacing w:line="520" w:lineRule="exact"/>
        <w:jc w:val="center"/>
        <w:rPr>
          <w:rFonts w:hint="eastAsia" w:ascii="宋体" w:hAnsi="宋体"/>
          <w:b/>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货物配置清单</w:t>
      </w:r>
    </w:p>
    <w:p w14:paraId="318DF2D7">
      <w:pPr>
        <w:spacing w:line="300" w:lineRule="auto"/>
        <w:rPr>
          <w:rFonts w:hint="eastAsia" w:ascii="宋体" w:hAnsi="宋体"/>
          <w:color w:val="000000" w:themeColor="text1"/>
          <w:szCs w:val="21"/>
          <w:highlight w:val="none"/>
          <w14:textFill>
            <w14:solidFill>
              <w14:schemeClr w14:val="tx1"/>
            </w14:solidFill>
          </w14:textFill>
        </w:rPr>
      </w:pPr>
    </w:p>
    <w:p w14:paraId="58454C26">
      <w:pPr>
        <w:spacing w:line="360" w:lineRule="auto"/>
        <w:rPr>
          <w:rFonts w:hint="eastAsia" w:ascii="宋体" w:hAnsi="宋体" w:eastAsia="宋体" w:cs="仿宋_GB2312"/>
          <w:color w:val="000000" w:themeColor="text1"/>
          <w:sz w:val="24"/>
          <w:highlight w:val="none"/>
          <w:u w:val="single"/>
          <w:lang w:eastAsia="zh-CN"/>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所竞分标：</w:t>
      </w:r>
    </w:p>
    <w:tbl>
      <w:tblPr>
        <w:tblStyle w:val="29"/>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39"/>
        <w:gridCol w:w="1245"/>
        <w:gridCol w:w="803"/>
        <w:gridCol w:w="895"/>
        <w:gridCol w:w="1786"/>
        <w:gridCol w:w="1245"/>
        <w:gridCol w:w="737"/>
        <w:gridCol w:w="1496"/>
      </w:tblGrid>
      <w:tr w14:paraId="58A8EB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1291AC63">
            <w:pPr>
              <w:snapToGrid w:val="0"/>
              <w:spacing w:before="50" w:after="50"/>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序号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222160F5">
            <w:pPr>
              <w:snapToGrid w:val="0"/>
              <w:spacing w:before="50" w:after="50"/>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货物名称</w:t>
            </w:r>
          </w:p>
        </w:tc>
        <w:tc>
          <w:tcPr>
            <w:tcW w:w="449" w:type="pct"/>
            <w:tcBorders>
              <w:top w:val="single" w:color="auto" w:sz="4" w:space="0"/>
              <w:left w:val="single" w:color="auto" w:sz="4" w:space="0"/>
              <w:bottom w:val="single" w:color="auto" w:sz="4" w:space="0"/>
              <w:right w:val="single" w:color="auto" w:sz="4" w:space="0"/>
            </w:tcBorders>
            <w:noWrap w:val="0"/>
            <w:vAlign w:val="center"/>
          </w:tcPr>
          <w:p w14:paraId="4A8C03E9">
            <w:pPr>
              <w:snapToGrid w:val="0"/>
              <w:spacing w:before="50" w:after="50"/>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数量及单位</w:t>
            </w:r>
          </w:p>
        </w:tc>
        <w:tc>
          <w:tcPr>
            <w:tcW w:w="500" w:type="pct"/>
            <w:tcBorders>
              <w:top w:val="single" w:color="auto" w:sz="4" w:space="0"/>
              <w:left w:val="single" w:color="auto" w:sz="4" w:space="0"/>
              <w:bottom w:val="single" w:color="auto" w:sz="4" w:space="0"/>
              <w:right w:val="single" w:color="auto" w:sz="4" w:space="0"/>
            </w:tcBorders>
            <w:noWrap w:val="0"/>
            <w:vAlign w:val="center"/>
          </w:tcPr>
          <w:p w14:paraId="22E36CF5">
            <w:pPr>
              <w:snapToGrid w:val="0"/>
              <w:spacing w:before="50" w:after="50"/>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品牌</w:t>
            </w:r>
          </w:p>
        </w:tc>
        <w:tc>
          <w:tcPr>
            <w:tcW w:w="998" w:type="pct"/>
            <w:tcBorders>
              <w:top w:val="single" w:color="auto" w:sz="4" w:space="0"/>
              <w:left w:val="single" w:color="auto" w:sz="4" w:space="0"/>
              <w:bottom w:val="single" w:color="auto" w:sz="4" w:space="0"/>
              <w:right w:val="single" w:color="auto" w:sz="4" w:space="0"/>
            </w:tcBorders>
            <w:noWrap w:val="0"/>
            <w:vAlign w:val="top"/>
          </w:tcPr>
          <w:p w14:paraId="4883B177">
            <w:pPr>
              <w:snapToGrid w:val="0"/>
              <w:spacing w:before="50" w:after="50"/>
              <w:jc w:val="center"/>
              <w:rPr>
                <w:rFonts w:hint="eastAsia" w:ascii="宋体" w:hAnsi="宋体"/>
                <w:color w:val="000000" w:themeColor="text1"/>
                <w:sz w:val="24"/>
                <w:highlight w:val="none"/>
                <w14:textFill>
                  <w14:solidFill>
                    <w14:schemeClr w14:val="tx1"/>
                  </w14:solidFill>
                </w14:textFill>
              </w:rPr>
            </w:pPr>
          </w:p>
          <w:p w14:paraId="7C22B04E">
            <w:pPr>
              <w:snapToGrid w:val="0"/>
              <w:spacing w:before="50" w:after="50"/>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规格型号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6588F0EC">
            <w:pPr>
              <w:snapToGrid w:val="0"/>
              <w:spacing w:before="50" w:after="50"/>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制造商</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4CEF6E72">
            <w:pPr>
              <w:snapToGrid w:val="0"/>
              <w:spacing w:before="50" w:after="50"/>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原产地</w:t>
            </w:r>
          </w:p>
        </w:tc>
        <w:tc>
          <w:tcPr>
            <w:tcW w:w="836" w:type="pct"/>
            <w:tcBorders>
              <w:top w:val="single" w:color="auto" w:sz="4" w:space="0"/>
              <w:left w:val="single" w:color="auto" w:sz="4" w:space="0"/>
              <w:bottom w:val="single" w:color="auto" w:sz="4" w:space="0"/>
              <w:right w:val="single" w:color="auto" w:sz="4" w:space="0"/>
            </w:tcBorders>
            <w:noWrap w:val="0"/>
            <w:vAlign w:val="center"/>
          </w:tcPr>
          <w:p w14:paraId="3EE4BAF8">
            <w:pPr>
              <w:snapToGrid w:val="0"/>
              <w:spacing w:before="50" w:after="50"/>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参数性能、指标及配置</w:t>
            </w:r>
          </w:p>
        </w:tc>
      </w:tr>
      <w:tr w14:paraId="026565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2672F092">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2C3E1557">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3E72D830">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079087E5">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194BBFAD">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083C4C6F">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19EF4D3E">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38AC5429">
            <w:pPr>
              <w:snapToGrid w:val="0"/>
              <w:spacing w:before="50" w:after="50"/>
              <w:jc w:val="center"/>
              <w:rPr>
                <w:rFonts w:hint="eastAsia" w:ascii="宋体" w:hAnsi="宋体"/>
                <w:color w:val="000000" w:themeColor="text1"/>
                <w:sz w:val="24"/>
                <w:highlight w:val="none"/>
                <w14:textFill>
                  <w14:solidFill>
                    <w14:schemeClr w14:val="tx1"/>
                  </w14:solidFill>
                </w14:textFill>
              </w:rPr>
            </w:pPr>
          </w:p>
        </w:tc>
      </w:tr>
      <w:tr w14:paraId="3304C8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4C85ED93">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7DF348B3">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6B184DE3">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35F6F189">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3C042C04">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61F24849">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3E51F22E">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21D45A79">
            <w:pPr>
              <w:snapToGrid w:val="0"/>
              <w:spacing w:before="50" w:after="50"/>
              <w:jc w:val="center"/>
              <w:rPr>
                <w:rFonts w:hint="eastAsia" w:ascii="宋体" w:hAnsi="宋体"/>
                <w:color w:val="000000" w:themeColor="text1"/>
                <w:sz w:val="24"/>
                <w:highlight w:val="none"/>
                <w14:textFill>
                  <w14:solidFill>
                    <w14:schemeClr w14:val="tx1"/>
                  </w14:solidFill>
                </w14:textFill>
              </w:rPr>
            </w:pPr>
          </w:p>
        </w:tc>
      </w:tr>
      <w:tr w14:paraId="6EF3EF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2C7CACFC">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35C9F32B">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0B945F94">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37FF5F17">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308F395D">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452738AD">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114DA50A">
            <w:pPr>
              <w:snapToGrid w:val="0"/>
              <w:spacing w:before="50" w:after="50"/>
              <w:jc w:val="center"/>
              <w:rPr>
                <w:rFonts w:hint="eastAsia" w:ascii="宋体" w:hAnsi="宋体"/>
                <w:color w:val="000000" w:themeColor="text1"/>
                <w:sz w:val="24"/>
                <w:highlight w:val="none"/>
                <w14:textFill>
                  <w14:solidFill>
                    <w14:schemeClr w14:val="tx1"/>
                  </w14:solidFill>
                </w14:textFill>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46C5C8A0">
            <w:pPr>
              <w:snapToGrid w:val="0"/>
              <w:spacing w:before="50" w:after="50"/>
              <w:jc w:val="center"/>
              <w:rPr>
                <w:rFonts w:hint="eastAsia" w:ascii="宋体" w:hAnsi="宋体"/>
                <w:color w:val="000000" w:themeColor="text1"/>
                <w:sz w:val="24"/>
                <w:highlight w:val="none"/>
                <w14:textFill>
                  <w14:solidFill>
                    <w14:schemeClr w14:val="tx1"/>
                  </w14:solidFill>
                </w14:textFill>
              </w:rPr>
            </w:pPr>
          </w:p>
        </w:tc>
      </w:tr>
    </w:tbl>
    <w:p w14:paraId="4E711B51">
      <w:pPr>
        <w:spacing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备注：</w:t>
      </w:r>
    </w:p>
    <w:p w14:paraId="4A944BED">
      <w:pPr>
        <w:tabs>
          <w:tab w:val="left" w:pos="1065"/>
        </w:tabs>
        <w:adjustRightInd w:val="0"/>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以上性能配置清单中“货物名称、数量及单位、品牌、规格型号、制造商、原产地、参数性能、指标及配置”必须如实填写完整，品牌、规格型号没有则填无，填写有缺漏的，响应文件作无效处理</w:t>
      </w:r>
      <w:r>
        <w:rPr>
          <w:rFonts w:hint="eastAsia" w:ascii="宋体" w:hAnsi="宋体"/>
          <w:b/>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货物名称、数量及单位、品牌必须与“货物需求一览表”一致，</w:t>
      </w:r>
      <w:r>
        <w:rPr>
          <w:rFonts w:hint="eastAsia" w:ascii="宋体" w:hAnsi="宋体"/>
          <w:bCs/>
          <w:color w:val="000000" w:themeColor="text1"/>
          <w:sz w:val="24"/>
          <w:highlight w:val="none"/>
          <w14:textFill>
            <w14:solidFill>
              <w14:schemeClr w14:val="tx1"/>
            </w14:solidFill>
          </w14:textFill>
        </w:rPr>
        <w:t>否则响应文件作无效处理</w:t>
      </w:r>
      <w:r>
        <w:rPr>
          <w:rFonts w:hint="eastAsia" w:ascii="宋体" w:hAnsi="宋体"/>
          <w:b/>
          <w:color w:val="000000" w:themeColor="text1"/>
          <w:sz w:val="24"/>
          <w:highlight w:val="none"/>
          <w14:textFill>
            <w14:solidFill>
              <w14:schemeClr w14:val="tx1"/>
            </w14:solidFill>
          </w14:textFill>
        </w:rPr>
        <w:t>。</w:t>
      </w:r>
      <w:r>
        <w:rPr>
          <w:rFonts w:hint="eastAsia" w:ascii="宋体" w:hAnsi="宋体" w:cs="仿宋_GB2312"/>
          <w:color w:val="000000" w:themeColor="text1"/>
          <w:sz w:val="24"/>
          <w:highlight w:val="none"/>
          <w14:textFill>
            <w14:solidFill>
              <w14:schemeClr w14:val="tx1"/>
            </w14:solidFill>
          </w14:textFill>
        </w:rPr>
        <w:tab/>
      </w:r>
    </w:p>
    <w:p w14:paraId="0840CADD">
      <w:pPr>
        <w:adjustRightInd w:val="0"/>
        <w:spacing w:line="360" w:lineRule="auto"/>
        <w:jc w:val="left"/>
        <w:rPr>
          <w:rFonts w:hint="eastAsia" w:ascii="宋体" w:hAnsi="宋体" w:cs="仿宋_GB2312"/>
          <w:color w:val="000000" w:themeColor="text1"/>
          <w:sz w:val="24"/>
          <w:highlight w:val="none"/>
          <w14:textFill>
            <w14:solidFill>
              <w14:schemeClr w14:val="tx1"/>
            </w14:solidFill>
          </w14:textFill>
        </w:rPr>
      </w:pPr>
    </w:p>
    <w:p w14:paraId="1119AF38">
      <w:pPr>
        <w:autoSpaceDE w:val="0"/>
        <w:autoSpaceDN w:val="0"/>
        <w:spacing w:line="360" w:lineRule="auto"/>
        <w:ind w:left="4335" w:leftChars="1950" w:hanging="240" w:hangingChars="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3A82CD3A">
      <w:pPr>
        <w:autoSpaceDE w:val="0"/>
        <w:autoSpaceDN w:val="0"/>
        <w:spacing w:line="360" w:lineRule="auto"/>
        <w:ind w:firstLine="6480" w:firstLineChars="2700"/>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年</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32188290">
      <w:pPr>
        <w:spacing w:line="50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3FFC9BDC">
      <w:pPr>
        <w:rPr>
          <w:rFonts w:hint="eastAsia" w:ascii="仿宋" w:hAnsi="仿宋" w:eastAsia="仿宋" w:cs="仿宋_GB2312"/>
          <w:b/>
          <w:color w:val="000000" w:themeColor="text1"/>
          <w:sz w:val="30"/>
          <w:szCs w:val="30"/>
          <w:highlight w:val="none"/>
          <w14:textFill>
            <w14:solidFill>
              <w14:schemeClr w14:val="tx1"/>
            </w14:solidFill>
          </w14:textFill>
        </w:rPr>
      </w:pPr>
      <w:r>
        <w:rPr>
          <w:rFonts w:hint="eastAsia" w:ascii="仿宋" w:hAnsi="仿宋" w:eastAsia="仿宋" w:cs="仿宋_GB2312"/>
          <w:b/>
          <w:color w:val="000000" w:themeColor="text1"/>
          <w:sz w:val="30"/>
          <w:szCs w:val="30"/>
          <w:highlight w:val="none"/>
          <w14:textFill>
            <w14:solidFill>
              <w14:schemeClr w14:val="tx1"/>
            </w14:solidFill>
          </w14:textFill>
        </w:rPr>
        <w:br w:type="page"/>
      </w:r>
    </w:p>
    <w:p w14:paraId="647C29C2">
      <w:pPr>
        <w:snapToGrid w:val="0"/>
        <w:spacing w:before="120" w:beforeLines="50" w:after="50"/>
        <w:ind w:left="143" w:leftChars="68" w:firstLine="596" w:firstLineChars="198"/>
        <w:rPr>
          <w:rFonts w:hint="eastAsia" w:ascii="仿宋" w:hAnsi="仿宋" w:eastAsia="仿宋" w:cs="仿宋_GB2312"/>
          <w:b/>
          <w:color w:val="000000" w:themeColor="text1"/>
          <w:sz w:val="30"/>
          <w:szCs w:val="30"/>
          <w:highlight w:val="none"/>
          <w14:textFill>
            <w14:solidFill>
              <w14:schemeClr w14:val="tx1"/>
            </w14:solidFill>
          </w14:textFill>
        </w:rPr>
      </w:pPr>
      <w:r>
        <w:rPr>
          <w:rFonts w:hint="eastAsia" w:ascii="仿宋" w:hAnsi="仿宋" w:eastAsia="仿宋" w:cs="仿宋_GB2312"/>
          <w:b/>
          <w:color w:val="000000" w:themeColor="text1"/>
          <w:sz w:val="30"/>
          <w:szCs w:val="30"/>
          <w:highlight w:val="none"/>
          <w14:textFill>
            <w14:solidFill>
              <w14:schemeClr w14:val="tx1"/>
            </w14:solidFill>
          </w14:textFill>
        </w:rPr>
        <w:t>九、售后服务方案</w:t>
      </w:r>
    </w:p>
    <w:p w14:paraId="2E1482B7">
      <w:pPr>
        <w:snapToGrid w:val="0"/>
        <w:spacing w:before="120" w:beforeLines="50" w:after="50"/>
        <w:ind w:left="143" w:leftChars="68" w:firstLine="420" w:firstLineChars="200"/>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由竞标人按本项目竞争性谈判采购文件第二章“货物需求一览表”中商务条款部分的售后服务要求自行填写，其中要包含售后服务承诺书。</w:t>
      </w:r>
    </w:p>
    <w:p w14:paraId="05773CDB">
      <w:pPr>
        <w:snapToGrid w:val="0"/>
        <w:spacing w:before="120" w:beforeLines="50" w:after="50"/>
        <w:ind w:left="142"/>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1</w:t>
      </w:r>
      <w:r>
        <w:rPr>
          <w:rFonts w:hint="eastAsia" w:ascii="宋体" w:hAnsi="宋体"/>
          <w:b/>
          <w:color w:val="000000" w:themeColor="text1"/>
          <w:sz w:val="32"/>
          <w:szCs w:val="32"/>
          <w:highlight w:val="none"/>
          <w:lang w:val="en-US" w:eastAsia="zh-CN"/>
          <w14:textFill>
            <w14:solidFill>
              <w14:schemeClr w14:val="tx1"/>
            </w14:solidFill>
          </w14:textFill>
        </w:rPr>
        <w:t>.</w:t>
      </w:r>
      <w:r>
        <w:rPr>
          <w:rFonts w:hint="eastAsia" w:ascii="宋体" w:hAnsi="宋体"/>
          <w:b/>
          <w:color w:val="000000" w:themeColor="text1"/>
          <w:sz w:val="32"/>
          <w:szCs w:val="32"/>
          <w:highlight w:val="none"/>
          <w14:textFill>
            <w14:solidFill>
              <w14:schemeClr w14:val="tx1"/>
            </w14:solidFill>
          </w14:textFill>
        </w:rPr>
        <w:t>售后服务承诺</w:t>
      </w:r>
    </w:p>
    <w:p w14:paraId="4EE77053">
      <w:pPr>
        <w:autoSpaceDE w:val="0"/>
        <w:autoSpaceDN w:val="0"/>
        <w:spacing w:line="360" w:lineRule="auto"/>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 w:eastAsia="仿宋_GB2312" w:cs="仿宋_GB2312"/>
          <w:color w:val="000000" w:themeColor="text1"/>
          <w:sz w:val="24"/>
          <w:highlight w:val="none"/>
          <w14:textFill>
            <w14:solidFill>
              <w14:schemeClr w14:val="tx1"/>
            </w14:solidFill>
          </w14:textFill>
        </w:rPr>
        <w:t>（按此格式自制）</w:t>
      </w:r>
    </w:p>
    <w:tbl>
      <w:tblPr>
        <w:tblStyle w:val="29"/>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648"/>
        <w:gridCol w:w="1450"/>
        <w:gridCol w:w="1267"/>
        <w:gridCol w:w="2295"/>
        <w:gridCol w:w="1260"/>
      </w:tblGrid>
      <w:tr w14:paraId="38D4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665D531E">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序号</w:t>
            </w:r>
          </w:p>
        </w:tc>
        <w:tc>
          <w:tcPr>
            <w:tcW w:w="1648" w:type="dxa"/>
            <w:tcBorders>
              <w:top w:val="single" w:color="auto" w:sz="4" w:space="0"/>
              <w:left w:val="single" w:color="auto" w:sz="4" w:space="0"/>
              <w:bottom w:val="single" w:color="auto" w:sz="4" w:space="0"/>
              <w:right w:val="single" w:color="auto" w:sz="4" w:space="0"/>
            </w:tcBorders>
            <w:noWrap w:val="0"/>
            <w:vAlign w:val="top"/>
          </w:tcPr>
          <w:p w14:paraId="5D18D727">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机构名称</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7ED7934D">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机构性质</w:t>
            </w:r>
          </w:p>
        </w:tc>
        <w:tc>
          <w:tcPr>
            <w:tcW w:w="1267" w:type="dxa"/>
            <w:tcBorders>
              <w:top w:val="single" w:color="auto" w:sz="4" w:space="0"/>
              <w:left w:val="single" w:color="auto" w:sz="4" w:space="0"/>
              <w:bottom w:val="single" w:color="auto" w:sz="4" w:space="0"/>
              <w:right w:val="single" w:color="auto" w:sz="4" w:space="0"/>
            </w:tcBorders>
            <w:noWrap w:val="0"/>
            <w:vAlign w:val="top"/>
          </w:tcPr>
          <w:p w14:paraId="68E5E7CA">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注册地址</w:t>
            </w:r>
          </w:p>
        </w:tc>
        <w:tc>
          <w:tcPr>
            <w:tcW w:w="2295" w:type="dxa"/>
            <w:tcBorders>
              <w:top w:val="single" w:color="auto" w:sz="4" w:space="0"/>
              <w:left w:val="single" w:color="auto" w:sz="4" w:space="0"/>
              <w:bottom w:val="single" w:color="auto" w:sz="4" w:space="0"/>
              <w:right w:val="single" w:color="auto" w:sz="4" w:space="0"/>
            </w:tcBorders>
            <w:noWrap w:val="0"/>
            <w:vAlign w:val="top"/>
          </w:tcPr>
          <w:p w14:paraId="78DADA73">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货物技术人员数量</w:t>
            </w:r>
          </w:p>
        </w:tc>
        <w:tc>
          <w:tcPr>
            <w:tcW w:w="1260" w:type="dxa"/>
            <w:tcBorders>
              <w:top w:val="single" w:color="auto" w:sz="4" w:space="0"/>
              <w:left w:val="single" w:color="auto" w:sz="4" w:space="0"/>
              <w:bottom w:val="single" w:color="auto" w:sz="4" w:space="0"/>
              <w:right w:val="single" w:color="auto" w:sz="4" w:space="0"/>
            </w:tcBorders>
            <w:noWrap w:val="0"/>
            <w:vAlign w:val="top"/>
          </w:tcPr>
          <w:p w14:paraId="75438260">
            <w:pPr>
              <w:autoSpaceDE w:val="0"/>
              <w:autoSpaceDN w:val="0"/>
              <w:spacing w:line="360" w:lineRule="auto"/>
              <w:jc w:val="center"/>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联系电话</w:t>
            </w:r>
          </w:p>
        </w:tc>
      </w:tr>
      <w:tr w14:paraId="5381A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14907D35">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648" w:type="dxa"/>
            <w:tcBorders>
              <w:top w:val="single" w:color="auto" w:sz="4" w:space="0"/>
              <w:left w:val="single" w:color="auto" w:sz="4" w:space="0"/>
              <w:bottom w:val="single" w:color="auto" w:sz="4" w:space="0"/>
              <w:right w:val="single" w:color="auto" w:sz="4" w:space="0"/>
            </w:tcBorders>
            <w:noWrap w:val="0"/>
            <w:vAlign w:val="top"/>
          </w:tcPr>
          <w:p w14:paraId="264D786F">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450" w:type="dxa"/>
            <w:tcBorders>
              <w:top w:val="single" w:color="auto" w:sz="4" w:space="0"/>
              <w:left w:val="single" w:color="auto" w:sz="4" w:space="0"/>
              <w:bottom w:val="single" w:color="auto" w:sz="4" w:space="0"/>
              <w:right w:val="single" w:color="auto" w:sz="4" w:space="0"/>
            </w:tcBorders>
            <w:noWrap w:val="0"/>
            <w:vAlign w:val="top"/>
          </w:tcPr>
          <w:p w14:paraId="7DD77AB5">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7" w:type="dxa"/>
            <w:tcBorders>
              <w:top w:val="single" w:color="auto" w:sz="4" w:space="0"/>
              <w:left w:val="single" w:color="auto" w:sz="4" w:space="0"/>
              <w:bottom w:val="single" w:color="auto" w:sz="4" w:space="0"/>
              <w:right w:val="single" w:color="auto" w:sz="4" w:space="0"/>
            </w:tcBorders>
            <w:noWrap w:val="0"/>
            <w:vAlign w:val="top"/>
          </w:tcPr>
          <w:p w14:paraId="774FC8A7">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2295" w:type="dxa"/>
            <w:tcBorders>
              <w:top w:val="single" w:color="auto" w:sz="4" w:space="0"/>
              <w:left w:val="single" w:color="auto" w:sz="4" w:space="0"/>
              <w:bottom w:val="single" w:color="auto" w:sz="4" w:space="0"/>
              <w:right w:val="single" w:color="auto" w:sz="4" w:space="0"/>
            </w:tcBorders>
            <w:noWrap w:val="0"/>
            <w:vAlign w:val="top"/>
          </w:tcPr>
          <w:p w14:paraId="6DD90208">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680FBB0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r>
      <w:tr w14:paraId="7C607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1AEE5030">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648" w:type="dxa"/>
            <w:tcBorders>
              <w:top w:val="single" w:color="auto" w:sz="4" w:space="0"/>
              <w:left w:val="single" w:color="auto" w:sz="4" w:space="0"/>
              <w:bottom w:val="single" w:color="auto" w:sz="4" w:space="0"/>
              <w:right w:val="single" w:color="auto" w:sz="4" w:space="0"/>
            </w:tcBorders>
            <w:noWrap w:val="0"/>
            <w:vAlign w:val="top"/>
          </w:tcPr>
          <w:p w14:paraId="5D0960FB">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450" w:type="dxa"/>
            <w:tcBorders>
              <w:top w:val="single" w:color="auto" w:sz="4" w:space="0"/>
              <w:left w:val="single" w:color="auto" w:sz="4" w:space="0"/>
              <w:bottom w:val="single" w:color="auto" w:sz="4" w:space="0"/>
              <w:right w:val="single" w:color="auto" w:sz="4" w:space="0"/>
            </w:tcBorders>
            <w:noWrap w:val="0"/>
            <w:vAlign w:val="top"/>
          </w:tcPr>
          <w:p w14:paraId="32672346">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7" w:type="dxa"/>
            <w:tcBorders>
              <w:top w:val="single" w:color="auto" w:sz="4" w:space="0"/>
              <w:left w:val="single" w:color="auto" w:sz="4" w:space="0"/>
              <w:bottom w:val="single" w:color="auto" w:sz="4" w:space="0"/>
              <w:right w:val="single" w:color="auto" w:sz="4" w:space="0"/>
            </w:tcBorders>
            <w:noWrap w:val="0"/>
            <w:vAlign w:val="top"/>
          </w:tcPr>
          <w:p w14:paraId="6D84B611">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2295" w:type="dxa"/>
            <w:tcBorders>
              <w:top w:val="single" w:color="auto" w:sz="4" w:space="0"/>
              <w:left w:val="single" w:color="auto" w:sz="4" w:space="0"/>
              <w:bottom w:val="single" w:color="auto" w:sz="4" w:space="0"/>
              <w:right w:val="single" w:color="auto" w:sz="4" w:space="0"/>
            </w:tcBorders>
            <w:noWrap w:val="0"/>
            <w:vAlign w:val="top"/>
          </w:tcPr>
          <w:p w14:paraId="6EC0E18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3C59DDEF">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r>
      <w:tr w14:paraId="51C51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7C4DD4F0">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648" w:type="dxa"/>
            <w:tcBorders>
              <w:top w:val="single" w:color="auto" w:sz="4" w:space="0"/>
              <w:left w:val="single" w:color="auto" w:sz="4" w:space="0"/>
              <w:bottom w:val="single" w:color="auto" w:sz="4" w:space="0"/>
              <w:right w:val="single" w:color="auto" w:sz="4" w:space="0"/>
            </w:tcBorders>
            <w:noWrap w:val="0"/>
            <w:vAlign w:val="top"/>
          </w:tcPr>
          <w:p w14:paraId="0BBD6650">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450" w:type="dxa"/>
            <w:tcBorders>
              <w:top w:val="single" w:color="auto" w:sz="4" w:space="0"/>
              <w:left w:val="single" w:color="auto" w:sz="4" w:space="0"/>
              <w:bottom w:val="single" w:color="auto" w:sz="4" w:space="0"/>
              <w:right w:val="single" w:color="auto" w:sz="4" w:space="0"/>
            </w:tcBorders>
            <w:noWrap w:val="0"/>
            <w:vAlign w:val="top"/>
          </w:tcPr>
          <w:p w14:paraId="6B319985">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7" w:type="dxa"/>
            <w:tcBorders>
              <w:top w:val="single" w:color="auto" w:sz="4" w:space="0"/>
              <w:left w:val="single" w:color="auto" w:sz="4" w:space="0"/>
              <w:bottom w:val="single" w:color="auto" w:sz="4" w:space="0"/>
              <w:right w:val="single" w:color="auto" w:sz="4" w:space="0"/>
            </w:tcBorders>
            <w:noWrap w:val="0"/>
            <w:vAlign w:val="top"/>
          </w:tcPr>
          <w:p w14:paraId="2121E046">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2295" w:type="dxa"/>
            <w:tcBorders>
              <w:top w:val="single" w:color="auto" w:sz="4" w:space="0"/>
              <w:left w:val="single" w:color="auto" w:sz="4" w:space="0"/>
              <w:bottom w:val="single" w:color="auto" w:sz="4" w:space="0"/>
              <w:right w:val="single" w:color="auto" w:sz="4" w:space="0"/>
            </w:tcBorders>
            <w:noWrap w:val="0"/>
            <w:vAlign w:val="top"/>
          </w:tcPr>
          <w:p w14:paraId="5B0D187D">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3C275C4D">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r>
    </w:tbl>
    <w:p w14:paraId="325883AB">
      <w:pPr>
        <w:autoSpaceDE w:val="0"/>
        <w:autoSpaceDN w:val="0"/>
        <w:spacing w:line="360" w:lineRule="auto"/>
        <w:rPr>
          <w:rFonts w:hint="eastAsia"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注：关于项目涉及的所有售后服务机构均在本表注明，包括供应商本单位和符合条件的第三方货物机构；</w:t>
      </w:r>
    </w:p>
    <w:p w14:paraId="7748E2B9">
      <w:pPr>
        <w:autoSpaceDE w:val="0"/>
        <w:autoSpaceDN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p>
    <w:p w14:paraId="157B3C6E">
      <w:pPr>
        <w:autoSpaceDE w:val="0"/>
        <w:autoSpaceDN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 w:eastAsia="仿宋_GB2312" w:cs="仿宋_GB2312"/>
          <w:color w:val="000000" w:themeColor="text1"/>
          <w:sz w:val="24"/>
          <w:highlight w:val="none"/>
          <w14:textFill>
            <w14:solidFill>
              <w14:schemeClr w14:val="tx1"/>
            </w14:solidFill>
          </w14:textFill>
        </w:rPr>
        <w:t>（按此格式自制）</w:t>
      </w:r>
    </w:p>
    <w:tbl>
      <w:tblPr>
        <w:tblStyle w:val="29"/>
        <w:tblW w:w="8901" w:type="dxa"/>
        <w:jc w:val="center"/>
        <w:tblLayout w:type="fixed"/>
        <w:tblCellMar>
          <w:top w:w="0" w:type="dxa"/>
          <w:left w:w="108" w:type="dxa"/>
          <w:bottom w:w="0" w:type="dxa"/>
          <w:right w:w="108" w:type="dxa"/>
        </w:tblCellMar>
      </w:tblPr>
      <w:tblGrid>
        <w:gridCol w:w="646"/>
        <w:gridCol w:w="746"/>
        <w:gridCol w:w="787"/>
        <w:gridCol w:w="412"/>
        <w:gridCol w:w="790"/>
        <w:gridCol w:w="765"/>
        <w:gridCol w:w="735"/>
        <w:gridCol w:w="765"/>
        <w:gridCol w:w="1230"/>
        <w:gridCol w:w="900"/>
        <w:gridCol w:w="1125"/>
      </w:tblGrid>
      <w:tr w14:paraId="69DFF2D5">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noWrap w:val="0"/>
            <w:vAlign w:val="center"/>
          </w:tcPr>
          <w:p w14:paraId="35A7EFDE">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序号</w:t>
            </w:r>
          </w:p>
          <w:p w14:paraId="26A99879">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noWrap w:val="0"/>
            <w:vAlign w:val="center"/>
          </w:tcPr>
          <w:p w14:paraId="5FF42E09">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3178F8CF">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7B6C495E">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性别</w:t>
            </w:r>
          </w:p>
        </w:tc>
        <w:tc>
          <w:tcPr>
            <w:tcW w:w="790" w:type="dxa"/>
            <w:tcBorders>
              <w:top w:val="single" w:color="auto" w:sz="6" w:space="0"/>
              <w:left w:val="single" w:color="auto" w:sz="6" w:space="0"/>
              <w:bottom w:val="single" w:color="auto" w:sz="6" w:space="0"/>
              <w:right w:val="single" w:color="auto" w:sz="6" w:space="0"/>
            </w:tcBorders>
            <w:noWrap w:val="0"/>
            <w:vAlign w:val="center"/>
          </w:tcPr>
          <w:p w14:paraId="04E59140">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年龄</w:t>
            </w:r>
          </w:p>
        </w:tc>
        <w:tc>
          <w:tcPr>
            <w:tcW w:w="765" w:type="dxa"/>
            <w:tcBorders>
              <w:top w:val="single" w:color="auto" w:sz="6" w:space="0"/>
              <w:left w:val="single" w:color="auto" w:sz="6" w:space="0"/>
              <w:bottom w:val="single" w:color="auto" w:sz="6" w:space="0"/>
              <w:right w:val="single" w:color="auto" w:sz="6" w:space="0"/>
            </w:tcBorders>
            <w:noWrap w:val="0"/>
            <w:vAlign w:val="center"/>
          </w:tcPr>
          <w:p w14:paraId="1D46497F">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学历</w:t>
            </w:r>
          </w:p>
        </w:tc>
        <w:tc>
          <w:tcPr>
            <w:tcW w:w="735" w:type="dxa"/>
            <w:tcBorders>
              <w:top w:val="single" w:color="auto" w:sz="6" w:space="0"/>
              <w:left w:val="single" w:color="auto" w:sz="6" w:space="0"/>
              <w:bottom w:val="single" w:color="auto" w:sz="6" w:space="0"/>
              <w:right w:val="single" w:color="auto" w:sz="6" w:space="0"/>
            </w:tcBorders>
            <w:noWrap w:val="0"/>
            <w:vAlign w:val="center"/>
          </w:tcPr>
          <w:p w14:paraId="0E315F1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专业</w:t>
            </w:r>
          </w:p>
        </w:tc>
        <w:tc>
          <w:tcPr>
            <w:tcW w:w="765" w:type="dxa"/>
            <w:tcBorders>
              <w:top w:val="single" w:color="auto" w:sz="6" w:space="0"/>
              <w:left w:val="single" w:color="auto" w:sz="6" w:space="0"/>
              <w:bottom w:val="single" w:color="auto" w:sz="6" w:space="0"/>
              <w:right w:val="single" w:color="auto" w:sz="6" w:space="0"/>
            </w:tcBorders>
            <w:noWrap w:val="0"/>
            <w:vAlign w:val="center"/>
          </w:tcPr>
          <w:p w14:paraId="2AD1DFD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职称</w:t>
            </w:r>
          </w:p>
        </w:tc>
        <w:tc>
          <w:tcPr>
            <w:tcW w:w="1230" w:type="dxa"/>
            <w:tcBorders>
              <w:top w:val="single" w:color="auto" w:sz="6" w:space="0"/>
              <w:left w:val="single" w:color="auto" w:sz="6" w:space="0"/>
              <w:bottom w:val="single" w:color="auto" w:sz="6" w:space="0"/>
              <w:right w:val="single" w:color="auto" w:sz="6" w:space="0"/>
            </w:tcBorders>
            <w:noWrap w:val="0"/>
            <w:vAlign w:val="center"/>
          </w:tcPr>
          <w:p w14:paraId="6FA5603A">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42CAF0E6">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响应时间</w:t>
            </w:r>
          </w:p>
        </w:tc>
        <w:tc>
          <w:tcPr>
            <w:tcW w:w="1125" w:type="dxa"/>
            <w:tcBorders>
              <w:top w:val="single" w:color="auto" w:sz="6" w:space="0"/>
              <w:left w:val="single" w:color="auto" w:sz="6" w:space="0"/>
              <w:bottom w:val="single" w:color="auto" w:sz="6" w:space="0"/>
              <w:right w:val="single" w:color="auto" w:sz="6" w:space="0"/>
            </w:tcBorders>
            <w:noWrap w:val="0"/>
            <w:vAlign w:val="center"/>
          </w:tcPr>
          <w:p w14:paraId="7CDDA08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到达现场时间</w:t>
            </w:r>
          </w:p>
        </w:tc>
      </w:tr>
      <w:tr w14:paraId="77C1C386">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178D1B12">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153A1CC0">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noWrap w:val="0"/>
            <w:vAlign w:val="top"/>
          </w:tcPr>
          <w:p w14:paraId="7F668FA1">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1CB40A58">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790" w:type="dxa"/>
            <w:tcBorders>
              <w:top w:val="single" w:color="auto" w:sz="6" w:space="0"/>
              <w:left w:val="single" w:color="auto" w:sz="6" w:space="0"/>
              <w:bottom w:val="single" w:color="auto" w:sz="6" w:space="0"/>
              <w:right w:val="single" w:color="auto" w:sz="6" w:space="0"/>
            </w:tcBorders>
            <w:noWrap w:val="0"/>
            <w:vAlign w:val="top"/>
          </w:tcPr>
          <w:p w14:paraId="181D97C4">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765" w:type="dxa"/>
            <w:tcBorders>
              <w:top w:val="single" w:color="auto" w:sz="6" w:space="0"/>
              <w:left w:val="single" w:color="auto" w:sz="6" w:space="0"/>
              <w:bottom w:val="single" w:color="auto" w:sz="6" w:space="0"/>
              <w:right w:val="single" w:color="auto" w:sz="6" w:space="0"/>
            </w:tcBorders>
            <w:noWrap w:val="0"/>
            <w:vAlign w:val="top"/>
          </w:tcPr>
          <w:p w14:paraId="6B34AD49">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735" w:type="dxa"/>
            <w:tcBorders>
              <w:top w:val="single" w:color="auto" w:sz="6" w:space="0"/>
              <w:left w:val="single" w:color="auto" w:sz="6" w:space="0"/>
              <w:bottom w:val="single" w:color="auto" w:sz="6" w:space="0"/>
              <w:right w:val="single" w:color="auto" w:sz="6" w:space="0"/>
            </w:tcBorders>
            <w:noWrap w:val="0"/>
            <w:vAlign w:val="top"/>
          </w:tcPr>
          <w:p w14:paraId="5144F178">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765" w:type="dxa"/>
            <w:tcBorders>
              <w:top w:val="single" w:color="auto" w:sz="6" w:space="0"/>
              <w:left w:val="single" w:color="auto" w:sz="6" w:space="0"/>
              <w:bottom w:val="single" w:color="auto" w:sz="6" w:space="0"/>
              <w:right w:val="single" w:color="auto" w:sz="6" w:space="0"/>
            </w:tcBorders>
            <w:noWrap w:val="0"/>
            <w:vAlign w:val="top"/>
          </w:tcPr>
          <w:p w14:paraId="32B2F97A">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30" w:type="dxa"/>
            <w:tcBorders>
              <w:top w:val="single" w:color="auto" w:sz="6" w:space="0"/>
              <w:left w:val="single" w:color="auto" w:sz="6" w:space="0"/>
              <w:bottom w:val="single" w:color="auto" w:sz="6" w:space="0"/>
              <w:right w:val="single" w:color="auto" w:sz="6" w:space="0"/>
            </w:tcBorders>
            <w:noWrap w:val="0"/>
            <w:vAlign w:val="top"/>
          </w:tcPr>
          <w:p w14:paraId="597A2570">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0723E261">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125" w:type="dxa"/>
            <w:tcBorders>
              <w:top w:val="single" w:color="auto" w:sz="6" w:space="0"/>
              <w:left w:val="single" w:color="auto" w:sz="6" w:space="0"/>
              <w:bottom w:val="single" w:color="auto" w:sz="6" w:space="0"/>
              <w:right w:val="single" w:color="auto" w:sz="6" w:space="0"/>
            </w:tcBorders>
            <w:noWrap w:val="0"/>
            <w:vAlign w:val="top"/>
          </w:tcPr>
          <w:p w14:paraId="30B27704">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7768506C">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5F0C3414">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044E5E39">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noWrap w:val="0"/>
            <w:vAlign w:val="top"/>
          </w:tcPr>
          <w:p w14:paraId="665FF66E">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2445E0E4">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790" w:type="dxa"/>
            <w:tcBorders>
              <w:top w:val="single" w:color="auto" w:sz="6" w:space="0"/>
              <w:left w:val="single" w:color="auto" w:sz="6" w:space="0"/>
              <w:bottom w:val="single" w:color="auto" w:sz="6" w:space="0"/>
              <w:right w:val="single" w:color="auto" w:sz="6" w:space="0"/>
            </w:tcBorders>
            <w:noWrap w:val="0"/>
            <w:vAlign w:val="top"/>
          </w:tcPr>
          <w:p w14:paraId="32B5E850">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765" w:type="dxa"/>
            <w:tcBorders>
              <w:top w:val="single" w:color="auto" w:sz="6" w:space="0"/>
              <w:left w:val="single" w:color="auto" w:sz="6" w:space="0"/>
              <w:bottom w:val="single" w:color="auto" w:sz="6" w:space="0"/>
              <w:right w:val="single" w:color="auto" w:sz="6" w:space="0"/>
            </w:tcBorders>
            <w:noWrap w:val="0"/>
            <w:vAlign w:val="top"/>
          </w:tcPr>
          <w:p w14:paraId="2DC5FA49">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735" w:type="dxa"/>
            <w:tcBorders>
              <w:top w:val="single" w:color="auto" w:sz="6" w:space="0"/>
              <w:left w:val="single" w:color="auto" w:sz="6" w:space="0"/>
              <w:bottom w:val="single" w:color="auto" w:sz="6" w:space="0"/>
              <w:right w:val="single" w:color="auto" w:sz="6" w:space="0"/>
            </w:tcBorders>
            <w:noWrap w:val="0"/>
            <w:vAlign w:val="top"/>
          </w:tcPr>
          <w:p w14:paraId="3AC9B4C1">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765" w:type="dxa"/>
            <w:tcBorders>
              <w:top w:val="single" w:color="auto" w:sz="6" w:space="0"/>
              <w:left w:val="single" w:color="auto" w:sz="6" w:space="0"/>
              <w:bottom w:val="single" w:color="auto" w:sz="6" w:space="0"/>
              <w:right w:val="single" w:color="auto" w:sz="6" w:space="0"/>
            </w:tcBorders>
            <w:noWrap w:val="0"/>
            <w:vAlign w:val="top"/>
          </w:tcPr>
          <w:p w14:paraId="3F875366">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30" w:type="dxa"/>
            <w:tcBorders>
              <w:top w:val="single" w:color="auto" w:sz="6" w:space="0"/>
              <w:left w:val="single" w:color="auto" w:sz="6" w:space="0"/>
              <w:bottom w:val="single" w:color="auto" w:sz="6" w:space="0"/>
              <w:right w:val="single" w:color="auto" w:sz="6" w:space="0"/>
            </w:tcBorders>
            <w:noWrap w:val="0"/>
            <w:vAlign w:val="top"/>
          </w:tcPr>
          <w:p w14:paraId="38DD2D51">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E291968">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125" w:type="dxa"/>
            <w:tcBorders>
              <w:top w:val="single" w:color="auto" w:sz="6" w:space="0"/>
              <w:left w:val="single" w:color="auto" w:sz="6" w:space="0"/>
              <w:bottom w:val="single" w:color="auto" w:sz="6" w:space="0"/>
              <w:right w:val="single" w:color="auto" w:sz="6" w:space="0"/>
            </w:tcBorders>
            <w:noWrap w:val="0"/>
            <w:vAlign w:val="top"/>
          </w:tcPr>
          <w:p w14:paraId="605F766F">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546C1A0B">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705B094F">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743D4BEA">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5821E981">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4CC91291">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790" w:type="dxa"/>
            <w:tcBorders>
              <w:top w:val="single" w:color="auto" w:sz="6" w:space="0"/>
              <w:left w:val="single" w:color="auto" w:sz="6" w:space="0"/>
              <w:bottom w:val="single" w:color="auto" w:sz="6" w:space="0"/>
              <w:right w:val="single" w:color="auto" w:sz="6" w:space="0"/>
            </w:tcBorders>
            <w:noWrap w:val="0"/>
            <w:vAlign w:val="top"/>
          </w:tcPr>
          <w:p w14:paraId="31510D30">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765" w:type="dxa"/>
            <w:tcBorders>
              <w:top w:val="single" w:color="auto" w:sz="6" w:space="0"/>
              <w:left w:val="single" w:color="auto" w:sz="6" w:space="0"/>
              <w:bottom w:val="single" w:color="auto" w:sz="6" w:space="0"/>
              <w:right w:val="single" w:color="auto" w:sz="6" w:space="0"/>
            </w:tcBorders>
            <w:noWrap w:val="0"/>
            <w:vAlign w:val="top"/>
          </w:tcPr>
          <w:p w14:paraId="41DA6ED6">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735" w:type="dxa"/>
            <w:tcBorders>
              <w:top w:val="single" w:color="auto" w:sz="6" w:space="0"/>
              <w:left w:val="single" w:color="auto" w:sz="6" w:space="0"/>
              <w:bottom w:val="single" w:color="auto" w:sz="6" w:space="0"/>
              <w:right w:val="single" w:color="auto" w:sz="6" w:space="0"/>
            </w:tcBorders>
            <w:noWrap w:val="0"/>
            <w:vAlign w:val="top"/>
          </w:tcPr>
          <w:p w14:paraId="110BFC72">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765" w:type="dxa"/>
            <w:tcBorders>
              <w:top w:val="single" w:color="auto" w:sz="6" w:space="0"/>
              <w:left w:val="single" w:color="auto" w:sz="6" w:space="0"/>
              <w:bottom w:val="single" w:color="auto" w:sz="6" w:space="0"/>
              <w:right w:val="single" w:color="auto" w:sz="6" w:space="0"/>
            </w:tcBorders>
            <w:noWrap w:val="0"/>
            <w:vAlign w:val="top"/>
          </w:tcPr>
          <w:p w14:paraId="5FA903B4">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30" w:type="dxa"/>
            <w:tcBorders>
              <w:top w:val="single" w:color="auto" w:sz="6" w:space="0"/>
              <w:left w:val="single" w:color="auto" w:sz="6" w:space="0"/>
              <w:bottom w:val="single" w:color="auto" w:sz="6" w:space="0"/>
              <w:right w:val="single" w:color="auto" w:sz="6" w:space="0"/>
            </w:tcBorders>
            <w:noWrap w:val="0"/>
            <w:vAlign w:val="top"/>
          </w:tcPr>
          <w:p w14:paraId="76161C95">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0C04B4E7">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125" w:type="dxa"/>
            <w:tcBorders>
              <w:top w:val="single" w:color="auto" w:sz="6" w:space="0"/>
              <w:left w:val="single" w:color="auto" w:sz="6" w:space="0"/>
              <w:bottom w:val="single" w:color="auto" w:sz="6" w:space="0"/>
              <w:right w:val="single" w:color="auto" w:sz="6" w:space="0"/>
            </w:tcBorders>
            <w:noWrap w:val="0"/>
            <w:vAlign w:val="top"/>
          </w:tcPr>
          <w:p w14:paraId="6ECE8BF1">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r w14:paraId="34B6077B">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64B2940E">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16AFB761">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642E5512">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375A92A2">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790" w:type="dxa"/>
            <w:tcBorders>
              <w:top w:val="single" w:color="auto" w:sz="6" w:space="0"/>
              <w:left w:val="single" w:color="auto" w:sz="6" w:space="0"/>
              <w:bottom w:val="single" w:color="auto" w:sz="6" w:space="0"/>
              <w:right w:val="single" w:color="auto" w:sz="6" w:space="0"/>
            </w:tcBorders>
            <w:noWrap w:val="0"/>
            <w:vAlign w:val="top"/>
          </w:tcPr>
          <w:p w14:paraId="126F3617">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765" w:type="dxa"/>
            <w:tcBorders>
              <w:top w:val="single" w:color="auto" w:sz="6" w:space="0"/>
              <w:left w:val="single" w:color="auto" w:sz="6" w:space="0"/>
              <w:bottom w:val="single" w:color="auto" w:sz="6" w:space="0"/>
              <w:right w:val="single" w:color="auto" w:sz="6" w:space="0"/>
            </w:tcBorders>
            <w:noWrap w:val="0"/>
            <w:vAlign w:val="top"/>
          </w:tcPr>
          <w:p w14:paraId="72166092">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735" w:type="dxa"/>
            <w:tcBorders>
              <w:top w:val="single" w:color="auto" w:sz="6" w:space="0"/>
              <w:left w:val="single" w:color="auto" w:sz="6" w:space="0"/>
              <w:bottom w:val="single" w:color="auto" w:sz="6" w:space="0"/>
              <w:right w:val="single" w:color="auto" w:sz="6" w:space="0"/>
            </w:tcBorders>
            <w:noWrap w:val="0"/>
            <w:vAlign w:val="top"/>
          </w:tcPr>
          <w:p w14:paraId="784A9276">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765" w:type="dxa"/>
            <w:tcBorders>
              <w:top w:val="single" w:color="auto" w:sz="6" w:space="0"/>
              <w:left w:val="single" w:color="auto" w:sz="6" w:space="0"/>
              <w:bottom w:val="single" w:color="auto" w:sz="6" w:space="0"/>
              <w:right w:val="single" w:color="auto" w:sz="6" w:space="0"/>
            </w:tcBorders>
            <w:noWrap w:val="0"/>
            <w:vAlign w:val="top"/>
          </w:tcPr>
          <w:p w14:paraId="6C3B03C7">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230" w:type="dxa"/>
            <w:tcBorders>
              <w:top w:val="single" w:color="auto" w:sz="6" w:space="0"/>
              <w:left w:val="single" w:color="auto" w:sz="6" w:space="0"/>
              <w:bottom w:val="single" w:color="auto" w:sz="6" w:space="0"/>
              <w:right w:val="single" w:color="auto" w:sz="6" w:space="0"/>
            </w:tcBorders>
            <w:noWrap w:val="0"/>
            <w:vAlign w:val="top"/>
          </w:tcPr>
          <w:p w14:paraId="6E37A641">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0F6E0575">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c>
          <w:tcPr>
            <w:tcW w:w="1125" w:type="dxa"/>
            <w:tcBorders>
              <w:top w:val="single" w:color="auto" w:sz="6" w:space="0"/>
              <w:left w:val="single" w:color="auto" w:sz="6" w:space="0"/>
              <w:bottom w:val="single" w:color="auto" w:sz="6" w:space="0"/>
              <w:right w:val="single" w:color="auto" w:sz="6" w:space="0"/>
            </w:tcBorders>
            <w:noWrap w:val="0"/>
            <w:vAlign w:val="top"/>
          </w:tcPr>
          <w:p w14:paraId="3CEB7653">
            <w:pPr>
              <w:autoSpaceDE w:val="0"/>
              <w:autoSpaceDN w:val="0"/>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tc>
      </w:tr>
    </w:tbl>
    <w:p w14:paraId="34153415">
      <w:pPr>
        <w:pStyle w:val="17"/>
        <w:spacing w:line="440" w:lineRule="exact"/>
        <w:ind w:firstLine="396" w:firstLineChars="198"/>
        <w:rPr>
          <w:rFonts w:hint="eastAsia" w:hAnsi="宋体"/>
          <w:color w:val="000000" w:themeColor="text1"/>
          <w:highlight w:val="none"/>
          <w14:textFill>
            <w14:solidFill>
              <w14:schemeClr w14:val="tx1"/>
            </w14:solidFill>
          </w14:textFill>
        </w:rPr>
      </w:pPr>
    </w:p>
    <w:p w14:paraId="2BA6495A">
      <w:pPr>
        <w:spacing w:line="50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465250BC">
      <w:pPr>
        <w:autoSpaceDE w:val="0"/>
        <w:autoSpaceDN w:val="0"/>
        <w:spacing w:line="360" w:lineRule="auto"/>
        <w:ind w:left="4335" w:leftChars="1950" w:hanging="240" w:hangingChars="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57E2CDDA">
      <w:pPr>
        <w:autoSpaceDE w:val="0"/>
        <w:autoSpaceDN w:val="0"/>
        <w:spacing w:line="360" w:lineRule="auto"/>
        <w:ind w:firstLine="6480" w:firstLineChars="270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年</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04EBC7EA">
      <w:pPr>
        <w:rPr>
          <w:rFonts w:hint="eastAsia" w:ascii="仿宋" w:hAnsi="仿宋" w:eastAsia="仿宋" w:cs="仿宋_GB2312"/>
          <w:b/>
          <w:color w:val="000000" w:themeColor="text1"/>
          <w:sz w:val="30"/>
          <w:szCs w:val="30"/>
          <w:highlight w:val="none"/>
          <w14:textFill>
            <w14:solidFill>
              <w14:schemeClr w14:val="tx1"/>
            </w14:solidFill>
          </w14:textFill>
        </w:rPr>
      </w:pPr>
      <w:r>
        <w:rPr>
          <w:rFonts w:hint="eastAsia" w:ascii="仿宋" w:hAnsi="仿宋" w:eastAsia="仿宋" w:cs="仿宋_GB2312"/>
          <w:b/>
          <w:color w:val="000000" w:themeColor="text1"/>
          <w:sz w:val="30"/>
          <w:szCs w:val="30"/>
          <w:highlight w:val="none"/>
          <w14:textFill>
            <w14:solidFill>
              <w14:schemeClr w14:val="tx1"/>
            </w14:solidFill>
          </w14:textFill>
        </w:rPr>
        <w:br w:type="page"/>
      </w:r>
    </w:p>
    <w:p w14:paraId="7704E363">
      <w:pPr>
        <w:snapToGrid w:val="0"/>
        <w:spacing w:line="360" w:lineRule="auto"/>
        <w:ind w:firstLine="602" w:firstLineChars="200"/>
        <w:rPr>
          <w:rFonts w:hint="eastAsia" w:ascii="仿宋" w:hAnsi="仿宋" w:eastAsia="仿宋" w:cs="仿宋_GB2312"/>
          <w:b/>
          <w:color w:val="000000" w:themeColor="text1"/>
          <w:sz w:val="30"/>
          <w:szCs w:val="30"/>
          <w:highlight w:val="none"/>
          <w14:textFill>
            <w14:solidFill>
              <w14:schemeClr w14:val="tx1"/>
            </w14:solidFill>
          </w14:textFill>
        </w:rPr>
      </w:pPr>
      <w:r>
        <w:rPr>
          <w:rFonts w:hint="eastAsia" w:ascii="仿宋" w:hAnsi="仿宋" w:eastAsia="仿宋" w:cs="仿宋_GB2312"/>
          <w:b/>
          <w:color w:val="000000" w:themeColor="text1"/>
          <w:sz w:val="30"/>
          <w:szCs w:val="30"/>
          <w:highlight w:val="none"/>
          <w:lang w:val="en-US" w:eastAsia="zh-CN"/>
          <w14:textFill>
            <w14:solidFill>
              <w14:schemeClr w14:val="tx1"/>
            </w14:solidFill>
          </w14:textFill>
        </w:rPr>
        <w:t>十、</w:t>
      </w:r>
      <w:r>
        <w:rPr>
          <w:rFonts w:hint="eastAsia" w:ascii="仿宋" w:hAnsi="仿宋" w:eastAsia="仿宋" w:cs="仿宋_GB2312"/>
          <w:b/>
          <w:color w:val="000000" w:themeColor="text1"/>
          <w:sz w:val="30"/>
          <w:szCs w:val="30"/>
          <w:highlight w:val="none"/>
          <w14:textFill>
            <w14:solidFill>
              <w14:schemeClr w14:val="tx1"/>
            </w14:solidFill>
          </w14:textFill>
        </w:rPr>
        <w:t>项目实施人员一览表</w:t>
      </w:r>
    </w:p>
    <w:p w14:paraId="12CF4482">
      <w:pPr>
        <w:spacing w:line="360" w:lineRule="auto"/>
        <w:jc w:val="center"/>
        <w:rPr>
          <w:rFonts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（以下格式仅供参考，供应商可根据采购需求及采购文件要求自行编制）</w:t>
      </w:r>
    </w:p>
    <w:p w14:paraId="0EBD7C5E">
      <w:pPr>
        <w:keepNext/>
        <w:spacing w:line="360" w:lineRule="auto"/>
        <w:ind w:firstLine="477"/>
        <w:rPr>
          <w:rFonts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附表A:本项目的项目经理情况表</w:t>
      </w:r>
    </w:p>
    <w:tbl>
      <w:tblPr>
        <w:tblStyle w:val="29"/>
        <w:tblW w:w="0" w:type="auto"/>
        <w:tblInd w:w="8" w:type="dxa"/>
        <w:tblLayout w:type="fixed"/>
        <w:tblCellMar>
          <w:top w:w="0" w:type="dxa"/>
          <w:left w:w="108" w:type="dxa"/>
          <w:bottom w:w="0" w:type="dxa"/>
          <w:right w:w="108" w:type="dxa"/>
        </w:tblCellMar>
      </w:tblPr>
      <w:tblGrid>
        <w:gridCol w:w="2061"/>
        <w:gridCol w:w="1287"/>
        <w:gridCol w:w="1260"/>
        <w:gridCol w:w="4147"/>
      </w:tblGrid>
      <w:tr w14:paraId="4860F1A9">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27E92C70">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noWrap/>
            <w:vAlign w:val="center"/>
          </w:tcPr>
          <w:p w14:paraId="2C611AED">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420081BE">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noWrap/>
            <w:vAlign w:val="center"/>
          </w:tcPr>
          <w:p w14:paraId="02601763">
            <w:pPr>
              <w:spacing w:line="360" w:lineRule="auto"/>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响应截止时间前三年业绩及承担的主要工作情况，曾担任项目经理的项目应列明细</w:t>
            </w:r>
          </w:p>
        </w:tc>
      </w:tr>
      <w:tr w14:paraId="6A9E3394">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4239B588">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noWrap/>
            <w:vAlign w:val="center"/>
          </w:tcPr>
          <w:p w14:paraId="69794F70">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62EA709A">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noWrap/>
            <w:vAlign w:val="center"/>
          </w:tcPr>
          <w:p w14:paraId="38D1DEFF">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r>
      <w:tr w14:paraId="7EB09197">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1412C5CA">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noWrap/>
            <w:vAlign w:val="center"/>
          </w:tcPr>
          <w:p w14:paraId="74831A67">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495B47FE">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71F8E84">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r w14:paraId="1ED675D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1EE04AD2">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noWrap/>
            <w:vAlign w:val="center"/>
          </w:tcPr>
          <w:p w14:paraId="7F440B19">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36C674F0">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76511FE5">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r w14:paraId="7F32697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1004F9DC">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noWrap/>
            <w:vAlign w:val="center"/>
          </w:tcPr>
          <w:p w14:paraId="3023EF53">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4A15A54E">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AF11C62">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r w14:paraId="7437EFDF">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0695C1EA">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noWrap/>
            <w:vAlign w:val="center"/>
          </w:tcPr>
          <w:p w14:paraId="75A2016A">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70301856">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71EA31B6">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r w14:paraId="633F95C0">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79643719">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noWrap/>
            <w:vAlign w:val="center"/>
          </w:tcPr>
          <w:p w14:paraId="3EDF37AB">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63FD8C28">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6864B9E">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r w14:paraId="078C12CD">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3DB3851E">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noWrap/>
            <w:vAlign w:val="center"/>
          </w:tcPr>
          <w:p w14:paraId="7884BE55">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19EFAD39">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CCF6137">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r w14:paraId="0CF90E98">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5FBD1131">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noWrap/>
            <w:vAlign w:val="center"/>
          </w:tcPr>
          <w:p w14:paraId="2B23C78D">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381D1C56">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4D69FE4">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r w14:paraId="55BB944D">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41A6AB5E">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noWrap/>
            <w:vAlign w:val="center"/>
          </w:tcPr>
          <w:p w14:paraId="61042EDD">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3E77571D">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73F0A11">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bl>
    <w:p w14:paraId="76C6ED12">
      <w:pPr>
        <w:spacing w:line="360" w:lineRule="auto"/>
        <w:rPr>
          <w:rFonts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注：随表提交相应的证书复印件并注明所在响应技术文件页码。</w:t>
      </w:r>
    </w:p>
    <w:p w14:paraId="5E3698EA">
      <w:pPr>
        <w:spacing w:line="360" w:lineRule="auto"/>
        <w:rPr>
          <w:rFonts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 w:eastAsia="仿宋_GB2312" w:cs="仿宋_GB2312"/>
          <w:color w:val="000000" w:themeColor="text1"/>
          <w:sz w:val="24"/>
          <w:highlight w:val="none"/>
          <w14:textFill>
            <w14:solidFill>
              <w14:schemeClr w14:val="tx1"/>
            </w14:solidFill>
          </w14:textFill>
        </w:rPr>
        <w:t>（按此格式自制）</w:t>
      </w:r>
    </w:p>
    <w:tbl>
      <w:tblPr>
        <w:tblStyle w:val="29"/>
        <w:tblW w:w="0" w:type="auto"/>
        <w:tblInd w:w="0"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3885A84A">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ign w:val="center"/>
          </w:tcPr>
          <w:p w14:paraId="77E8CD29">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noWrap/>
            <w:vAlign w:val="center"/>
          </w:tcPr>
          <w:p w14:paraId="17B403FA">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noWrap/>
            <w:vAlign w:val="center"/>
          </w:tcPr>
          <w:p w14:paraId="4D610BD4">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noWrap/>
            <w:vAlign w:val="center"/>
          </w:tcPr>
          <w:p w14:paraId="5D82D4A4">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noWrap/>
            <w:vAlign w:val="center"/>
          </w:tcPr>
          <w:p w14:paraId="256DCC2F">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学历</w:t>
            </w:r>
          </w:p>
          <w:p w14:paraId="42FE3CE7">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noWrap/>
            <w:vAlign w:val="center"/>
          </w:tcPr>
          <w:p w14:paraId="3C76F8D6">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专业</w:t>
            </w:r>
          </w:p>
          <w:p w14:paraId="7F2416A4">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noWrap/>
            <w:vAlign w:val="center"/>
          </w:tcPr>
          <w:p w14:paraId="3A4B105E">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职称</w:t>
            </w:r>
          </w:p>
          <w:p w14:paraId="384A052D">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noWrap/>
            <w:vAlign w:val="center"/>
          </w:tcPr>
          <w:p w14:paraId="19E64FFB">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noWrap/>
            <w:vAlign w:val="center"/>
          </w:tcPr>
          <w:p w14:paraId="69D56575">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noWrap/>
            <w:vAlign w:val="center"/>
          </w:tcPr>
          <w:p w14:paraId="0DCE763C">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参与本项目的到位情况</w:t>
            </w:r>
          </w:p>
        </w:tc>
      </w:tr>
      <w:tr w14:paraId="35DAC1D4">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tcPr>
          <w:p w14:paraId="47753628">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noWrap/>
          </w:tcPr>
          <w:p w14:paraId="6F427200">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tcPr>
          <w:p w14:paraId="74FE898A">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noWrap/>
          </w:tcPr>
          <w:p w14:paraId="7E4DE641">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noWrap/>
          </w:tcPr>
          <w:p w14:paraId="11F28E0C">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6BE1B66F">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20C5F81B">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tcPr>
          <w:p w14:paraId="408A0356">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tcPr>
          <w:p w14:paraId="25ACE4D0">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noWrap/>
          </w:tcPr>
          <w:p w14:paraId="3C0EC355">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r>
      <w:tr w14:paraId="32D66F92">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tcPr>
          <w:p w14:paraId="174CB269">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noWrap/>
          </w:tcPr>
          <w:p w14:paraId="3B7EE172">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tcPr>
          <w:p w14:paraId="65C9B21C">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noWrap/>
          </w:tcPr>
          <w:p w14:paraId="7623518A">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noWrap/>
          </w:tcPr>
          <w:p w14:paraId="6530AECD">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6C8BC063">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269D58BC">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tcPr>
          <w:p w14:paraId="23B56142">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tcPr>
          <w:p w14:paraId="0D4C9C6F">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noWrap/>
          </w:tcPr>
          <w:p w14:paraId="4DD54FC0">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r>
    </w:tbl>
    <w:p w14:paraId="029E524E">
      <w:pPr>
        <w:spacing w:line="360" w:lineRule="auto"/>
        <w:rPr>
          <w:rFonts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注：供应商可按上述的格式自行编制，须随表提交相应的证书复印件并注明所在响应技术文件页码（如有）。</w:t>
      </w:r>
    </w:p>
    <w:p w14:paraId="011D8282">
      <w:pPr>
        <w:autoSpaceDE w:val="0"/>
        <w:autoSpaceDN w:val="0"/>
        <w:spacing w:line="360" w:lineRule="auto"/>
        <w:ind w:left="4335" w:leftChars="1950" w:hanging="240" w:hangingChars="100"/>
        <w:rPr>
          <w:rFonts w:hint="eastAsia" w:ascii="仿宋_GB2312" w:hAnsi="仿宋" w:eastAsia="仿宋_GB2312" w:cs="仿宋_GB2312"/>
          <w:color w:val="000000" w:themeColor="text1"/>
          <w:kern w:val="0"/>
          <w:sz w:val="24"/>
          <w:highlight w:val="none"/>
          <w14:textFill>
            <w14:solidFill>
              <w14:schemeClr w14:val="tx1"/>
            </w14:solidFill>
          </w14:textFill>
        </w:rPr>
      </w:pPr>
    </w:p>
    <w:p w14:paraId="588FC6FB">
      <w:pPr>
        <w:autoSpaceDE w:val="0"/>
        <w:autoSpaceDN w:val="0"/>
        <w:spacing w:line="360" w:lineRule="auto"/>
        <w:ind w:left="4335" w:leftChars="1950" w:hanging="240" w:hangingChars="100"/>
        <w:rPr>
          <w:rFonts w:hint="eastAsia" w:ascii="仿宋_GB2312" w:hAnsi="仿宋" w:eastAsia="仿宋_GB2312" w:cs="仿宋_GB2312"/>
          <w:color w:val="000000" w:themeColor="text1"/>
          <w:kern w:val="0"/>
          <w:sz w:val="24"/>
          <w:highlight w:val="none"/>
          <w14:textFill>
            <w14:solidFill>
              <w14:schemeClr w14:val="tx1"/>
            </w14:solidFill>
          </w14:textFill>
        </w:rPr>
      </w:pPr>
    </w:p>
    <w:p w14:paraId="2339A6BD">
      <w:pPr>
        <w:autoSpaceDE w:val="0"/>
        <w:autoSpaceDN w:val="0"/>
        <w:spacing w:line="360" w:lineRule="auto"/>
        <w:ind w:left="4335" w:leftChars="1950" w:hanging="240" w:hangingChars="100"/>
        <w:rPr>
          <w:rFonts w:hint="eastAsia" w:ascii="仿宋_GB2312" w:hAnsi="仿宋" w:eastAsia="仿宋_GB2312" w:cs="仿宋_GB2312"/>
          <w:color w:val="000000" w:themeColor="text1"/>
          <w:kern w:val="0"/>
          <w:sz w:val="24"/>
          <w:highlight w:val="none"/>
          <w14:textFill>
            <w14:solidFill>
              <w14:schemeClr w14:val="tx1"/>
            </w14:solidFill>
          </w14:textFill>
        </w:rPr>
      </w:pPr>
    </w:p>
    <w:p w14:paraId="59A7F7F8">
      <w:pPr>
        <w:autoSpaceDE w:val="0"/>
        <w:autoSpaceDN w:val="0"/>
        <w:spacing w:line="360" w:lineRule="auto"/>
        <w:ind w:left="4335" w:leftChars="1950" w:hanging="240" w:hangingChars="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6E8EBF49">
      <w:pPr>
        <w:autoSpaceDE w:val="0"/>
        <w:autoSpaceDN w:val="0"/>
        <w:spacing w:line="360" w:lineRule="auto"/>
        <w:ind w:firstLine="6480" w:firstLineChars="2700"/>
        <w:rPr>
          <w:rFonts w:hint="eastAsia" w:ascii="仿宋" w:hAnsi="仿宋" w:eastAsia="仿宋" w:cs="仿宋_GB2312"/>
          <w:b/>
          <w:color w:val="000000" w:themeColor="text1"/>
          <w:sz w:val="30"/>
          <w:szCs w:val="30"/>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年</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3A9A8011">
      <w:pPr>
        <w:numPr>
          <w:ilvl w:val="0"/>
          <w:numId w:val="0"/>
        </w:numPr>
        <w:snapToGrid w:val="0"/>
        <w:spacing w:line="360" w:lineRule="auto"/>
        <w:rPr>
          <w:rFonts w:hint="eastAsia" w:ascii="宋体" w:hAnsi="宋体" w:eastAsia="宋体" w:cs="宋体"/>
          <w:color w:val="000000" w:themeColor="text1"/>
          <w:sz w:val="21"/>
          <w:szCs w:val="21"/>
          <w:highlight w:val="none"/>
          <w14:textFill>
            <w14:solidFill>
              <w14:schemeClr w14:val="tx1"/>
            </w14:solidFill>
          </w14:textFill>
        </w:rPr>
      </w:pPr>
    </w:p>
    <w:p w14:paraId="49F1ABCC">
      <w:pPr>
        <w:numPr>
          <w:ilvl w:val="0"/>
          <w:numId w:val="0"/>
        </w:numPr>
        <w:snapToGrid w:val="0"/>
        <w:spacing w:line="360" w:lineRule="auto"/>
        <w:rPr>
          <w:rFonts w:hint="eastAsia" w:ascii="宋体" w:hAnsi="宋体" w:eastAsia="宋体" w:cs="宋体"/>
          <w:color w:val="000000" w:themeColor="text1"/>
          <w:sz w:val="21"/>
          <w:szCs w:val="21"/>
          <w:highlight w:val="none"/>
          <w14:textFill>
            <w14:solidFill>
              <w14:schemeClr w14:val="tx1"/>
            </w14:solidFill>
          </w14:textFill>
        </w:rPr>
      </w:pPr>
    </w:p>
    <w:p w14:paraId="4BAC750B">
      <w:pPr>
        <w:numPr>
          <w:ilvl w:val="0"/>
          <w:numId w:val="0"/>
        </w:numPr>
        <w:snapToGrid w:val="0"/>
        <w:spacing w:line="360" w:lineRule="auto"/>
        <w:rPr>
          <w:rFonts w:hint="eastAsia" w:ascii="宋体" w:hAnsi="宋体" w:eastAsia="宋体" w:cs="宋体"/>
          <w:color w:val="000000" w:themeColor="text1"/>
          <w:sz w:val="21"/>
          <w:szCs w:val="21"/>
          <w:highlight w:val="none"/>
          <w14:textFill>
            <w14:solidFill>
              <w14:schemeClr w14:val="tx1"/>
            </w14:solidFill>
          </w14:textFill>
        </w:rPr>
      </w:pPr>
    </w:p>
    <w:p w14:paraId="11F074A1">
      <w:pPr>
        <w:rPr>
          <w:rFonts w:hint="eastAsia" w:ascii="仿宋" w:hAnsi="仿宋" w:eastAsia="仿宋" w:cs="仿宋_GB2312"/>
          <w:b/>
          <w:color w:val="000000" w:themeColor="text1"/>
          <w:sz w:val="30"/>
          <w:szCs w:val="30"/>
          <w:highlight w:val="none"/>
          <w14:textFill>
            <w14:solidFill>
              <w14:schemeClr w14:val="tx1"/>
            </w14:solidFill>
          </w14:textFill>
        </w:rPr>
      </w:pPr>
    </w:p>
    <w:p w14:paraId="0048F324">
      <w:pPr>
        <w:rPr>
          <w:rFonts w:hint="eastAsia" w:ascii="仿宋" w:hAnsi="仿宋" w:eastAsia="仿宋" w:cs="仿宋_GB2312"/>
          <w:b/>
          <w:color w:val="000000" w:themeColor="text1"/>
          <w:sz w:val="30"/>
          <w:szCs w:val="30"/>
          <w:highlight w:val="none"/>
          <w14:textFill>
            <w14:solidFill>
              <w14:schemeClr w14:val="tx1"/>
            </w14:solidFill>
          </w14:textFill>
        </w:rPr>
      </w:pPr>
    </w:p>
    <w:p w14:paraId="65F9C597">
      <w:pPr>
        <w:rPr>
          <w:rFonts w:hint="eastAsia" w:ascii="仿宋" w:hAnsi="仿宋" w:eastAsia="仿宋" w:cs="仿宋_GB2312"/>
          <w:b/>
          <w:color w:val="000000" w:themeColor="text1"/>
          <w:sz w:val="30"/>
          <w:szCs w:val="30"/>
          <w:highlight w:val="none"/>
          <w14:textFill>
            <w14:solidFill>
              <w14:schemeClr w14:val="tx1"/>
            </w14:solidFill>
          </w14:textFill>
        </w:rPr>
      </w:pPr>
      <w:r>
        <w:rPr>
          <w:rFonts w:hint="eastAsia" w:ascii="仿宋" w:hAnsi="仿宋" w:eastAsia="仿宋" w:cs="仿宋_GB2312"/>
          <w:b/>
          <w:color w:val="000000" w:themeColor="text1"/>
          <w:sz w:val="30"/>
          <w:szCs w:val="30"/>
          <w:highlight w:val="none"/>
          <w14:textFill>
            <w14:solidFill>
              <w14:schemeClr w14:val="tx1"/>
            </w14:solidFill>
          </w14:textFill>
        </w:rPr>
        <w:t>十</w:t>
      </w:r>
      <w:r>
        <w:rPr>
          <w:rFonts w:hint="eastAsia" w:ascii="仿宋" w:hAnsi="仿宋" w:eastAsia="仿宋" w:cs="仿宋_GB2312"/>
          <w:b/>
          <w:color w:val="000000" w:themeColor="text1"/>
          <w:sz w:val="30"/>
          <w:szCs w:val="30"/>
          <w:highlight w:val="none"/>
          <w:lang w:val="en-US" w:eastAsia="zh-CN"/>
          <w14:textFill>
            <w14:solidFill>
              <w14:schemeClr w14:val="tx1"/>
            </w14:solidFill>
          </w14:textFill>
        </w:rPr>
        <w:t>一</w:t>
      </w:r>
      <w:r>
        <w:rPr>
          <w:rFonts w:hint="eastAsia" w:ascii="仿宋" w:hAnsi="仿宋" w:eastAsia="仿宋" w:cs="仿宋_GB2312"/>
          <w:b/>
          <w:color w:val="000000" w:themeColor="text1"/>
          <w:sz w:val="30"/>
          <w:szCs w:val="30"/>
          <w:highlight w:val="none"/>
          <w14:textFill>
            <w14:solidFill>
              <w14:schemeClr w14:val="tx1"/>
            </w14:solidFill>
          </w14:textFill>
        </w:rPr>
        <w:t>、货物需求、商务条款要求提供的其他材料</w:t>
      </w:r>
    </w:p>
    <w:p w14:paraId="6D7C90CB">
      <w:pPr>
        <w:autoSpaceDE w:val="0"/>
        <w:autoSpaceDN w:val="0"/>
        <w:spacing w:line="360" w:lineRule="auto"/>
        <w:ind w:left="4335" w:leftChars="1950" w:hanging="240" w:hangingChars="100"/>
        <w:rPr>
          <w:rFonts w:hint="eastAsia" w:ascii="仿宋_GB2312" w:hAnsi="仿宋" w:eastAsia="仿宋_GB2312" w:cs="仿宋_GB2312"/>
          <w:color w:val="000000" w:themeColor="text1"/>
          <w:kern w:val="0"/>
          <w:sz w:val="24"/>
          <w:highlight w:val="none"/>
          <w14:textFill>
            <w14:solidFill>
              <w14:schemeClr w14:val="tx1"/>
            </w14:solidFill>
          </w14:textFill>
        </w:rPr>
      </w:pPr>
    </w:p>
    <w:p w14:paraId="6FBA7160">
      <w:pPr>
        <w:autoSpaceDE w:val="0"/>
        <w:autoSpaceDN w:val="0"/>
        <w:spacing w:line="360" w:lineRule="auto"/>
        <w:ind w:left="4335" w:leftChars="1950" w:hanging="240" w:hangingChars="100"/>
        <w:rPr>
          <w:rFonts w:hint="eastAsia" w:ascii="仿宋_GB2312" w:hAnsi="仿宋" w:eastAsia="仿宋_GB2312" w:cs="仿宋_GB2312"/>
          <w:color w:val="000000" w:themeColor="text1"/>
          <w:kern w:val="0"/>
          <w:sz w:val="24"/>
          <w:highlight w:val="none"/>
          <w14:textFill>
            <w14:solidFill>
              <w14:schemeClr w14:val="tx1"/>
            </w14:solidFill>
          </w14:textFill>
        </w:rPr>
      </w:pPr>
    </w:p>
    <w:p w14:paraId="03C937EC">
      <w:pPr>
        <w:autoSpaceDE w:val="0"/>
        <w:autoSpaceDN w:val="0"/>
        <w:spacing w:line="360" w:lineRule="auto"/>
        <w:ind w:left="4335" w:leftChars="1950" w:hanging="240" w:hangingChars="100"/>
        <w:rPr>
          <w:rFonts w:hint="eastAsia" w:ascii="仿宋_GB2312" w:hAnsi="仿宋" w:eastAsia="仿宋_GB2312" w:cs="仿宋_GB2312"/>
          <w:color w:val="000000" w:themeColor="text1"/>
          <w:kern w:val="0"/>
          <w:sz w:val="24"/>
          <w:highlight w:val="none"/>
          <w14:textFill>
            <w14:solidFill>
              <w14:schemeClr w14:val="tx1"/>
            </w14:solidFill>
          </w14:textFill>
        </w:rPr>
      </w:pPr>
    </w:p>
    <w:p w14:paraId="2AB1D343">
      <w:pPr>
        <w:autoSpaceDE w:val="0"/>
        <w:autoSpaceDN w:val="0"/>
        <w:spacing w:line="360" w:lineRule="auto"/>
        <w:ind w:left="4335" w:leftChars="1950" w:hanging="240" w:hangingChars="100"/>
        <w:rPr>
          <w:rFonts w:hint="eastAsia" w:ascii="仿宋_GB2312" w:hAnsi="仿宋" w:eastAsia="仿宋_GB2312" w:cs="仿宋_GB2312"/>
          <w:color w:val="000000" w:themeColor="text1"/>
          <w:kern w:val="0"/>
          <w:sz w:val="24"/>
          <w:highlight w:val="none"/>
          <w14:textFill>
            <w14:solidFill>
              <w14:schemeClr w14:val="tx1"/>
            </w14:solidFill>
          </w14:textFill>
        </w:rPr>
      </w:pPr>
    </w:p>
    <w:p w14:paraId="63B1B039">
      <w:pPr>
        <w:autoSpaceDE w:val="0"/>
        <w:autoSpaceDN w:val="0"/>
        <w:spacing w:line="360" w:lineRule="auto"/>
        <w:ind w:left="4335" w:leftChars="1950" w:hanging="240" w:hangingChars="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398D8F56">
      <w:pPr>
        <w:autoSpaceDE w:val="0"/>
        <w:autoSpaceDN w:val="0"/>
        <w:spacing w:line="360" w:lineRule="auto"/>
        <w:ind w:firstLine="6480" w:firstLineChars="2700"/>
        <w:rPr>
          <w:rFonts w:hint="eastAsia" w:ascii="仿宋" w:hAnsi="仿宋" w:eastAsia="仿宋" w:cs="仿宋_GB2312"/>
          <w:b/>
          <w:color w:val="000000" w:themeColor="text1"/>
          <w:sz w:val="30"/>
          <w:szCs w:val="30"/>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年</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55F8C0F1">
      <w:pPr>
        <w:widowControl/>
        <w:jc w:val="left"/>
        <w:rPr>
          <w:rFonts w:ascii="仿宋_GB2312" w:hAnsi="仿宋_GB2312" w:eastAsia="仿宋_GB2312" w:cs="仿宋_GB2312"/>
          <w:color w:val="000000" w:themeColor="text1"/>
          <w:sz w:val="32"/>
          <w:szCs w:val="32"/>
          <w:highlight w:val="none"/>
          <w14:textFill>
            <w14:solidFill>
              <w14:schemeClr w14:val="tx1"/>
            </w14:solidFill>
          </w14:textFill>
        </w:rPr>
        <w:sectPr>
          <w:pgSz w:w="11910" w:h="16840"/>
          <w:pgMar w:top="1340" w:right="1500" w:bottom="280" w:left="1680" w:header="720" w:footer="720" w:gutter="0"/>
          <w:pgNumType w:fmt="decimal"/>
          <w:cols w:space="720" w:num="1"/>
        </w:sectPr>
      </w:pPr>
    </w:p>
    <w:p w14:paraId="55FCB6C4">
      <w:pPr>
        <w:adjustRightInd w:val="0"/>
        <w:snapToGrid w:val="0"/>
        <w:spacing w:line="300" w:lineRule="auto"/>
        <w:rPr>
          <w:rFonts w:hint="eastAsia" w:ascii="宋体" w:hAnsi="宋体"/>
          <w:color w:val="000000" w:themeColor="text1"/>
          <w:szCs w:val="21"/>
          <w:highlight w:val="none"/>
          <w:u w:val="single"/>
          <w14:textFill>
            <w14:solidFill>
              <w14:schemeClr w14:val="tx1"/>
            </w14:solidFill>
          </w14:textFill>
        </w:rPr>
      </w:pPr>
    </w:p>
    <w:p w14:paraId="0B50D813">
      <w:pPr>
        <w:pStyle w:val="3"/>
        <w:jc w:val="center"/>
        <w:rPr>
          <w:rFonts w:hint="eastAsia" w:ascii="宋体" w:hAnsi="宋体"/>
          <w:color w:val="000000" w:themeColor="text1"/>
          <w:highlight w:val="none"/>
          <w14:textFill>
            <w14:solidFill>
              <w14:schemeClr w14:val="tx1"/>
            </w14:solidFill>
          </w14:textFill>
        </w:rPr>
      </w:pPr>
      <w:bookmarkStart w:id="79" w:name="_Toc12680"/>
      <w:r>
        <w:rPr>
          <w:rFonts w:hint="eastAsia" w:ascii="宋体" w:hAnsi="宋体"/>
          <w:color w:val="000000" w:themeColor="text1"/>
          <w:highlight w:val="none"/>
          <w14:textFill>
            <w14:solidFill>
              <w14:schemeClr w14:val="tx1"/>
            </w14:solidFill>
          </w14:textFill>
        </w:rPr>
        <w:t>第四节报价文件格式</w:t>
      </w:r>
      <w:bookmarkEnd w:id="79"/>
    </w:p>
    <w:p w14:paraId="6B1EF620">
      <w:pPr>
        <w:snapToGrid w:val="0"/>
        <w:spacing w:before="165" w:beforeLines="50" w:after="50"/>
        <w:rPr>
          <w:rFonts w:hint="eastAsia" w:ascii="宋体" w:hAnsi="宋体"/>
          <w:bCs/>
          <w:color w:val="000000" w:themeColor="text1"/>
          <w:sz w:val="32"/>
          <w:szCs w:val="20"/>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全流程电子文件</w:t>
      </w:r>
    </w:p>
    <w:p w14:paraId="5129322A">
      <w:pPr>
        <w:snapToGrid w:val="0"/>
        <w:spacing w:before="165" w:beforeLines="50" w:after="50"/>
        <w:rPr>
          <w:rFonts w:hint="eastAsia" w:ascii="宋体" w:hAnsi="宋体"/>
          <w:color w:val="000000" w:themeColor="text1"/>
          <w:sz w:val="24"/>
          <w:szCs w:val="20"/>
          <w:highlight w:val="none"/>
          <w14:textFill>
            <w14:solidFill>
              <w14:schemeClr w14:val="tx1"/>
            </w14:solidFill>
          </w14:textFill>
        </w:rPr>
      </w:pPr>
    </w:p>
    <w:p w14:paraId="32A95BE1">
      <w:pPr>
        <w:snapToGrid w:val="0"/>
        <w:spacing w:before="165" w:beforeLines="50" w:after="50"/>
        <w:rPr>
          <w:rFonts w:hint="eastAsia" w:ascii="宋体" w:hAnsi="宋体"/>
          <w:color w:val="000000" w:themeColor="text1"/>
          <w:sz w:val="24"/>
          <w:szCs w:val="20"/>
          <w:highlight w:val="none"/>
          <w14:textFill>
            <w14:solidFill>
              <w14:schemeClr w14:val="tx1"/>
            </w14:solidFill>
          </w14:textFill>
        </w:rPr>
      </w:pPr>
    </w:p>
    <w:p w14:paraId="2027973D">
      <w:pPr>
        <w:snapToGrid w:val="0"/>
        <w:spacing w:before="165" w:beforeLines="50" w:after="50"/>
        <w:rPr>
          <w:rFonts w:hint="eastAsia" w:ascii="宋体" w:hAnsi="宋体"/>
          <w:color w:val="000000" w:themeColor="text1"/>
          <w:sz w:val="24"/>
          <w:szCs w:val="20"/>
          <w:highlight w:val="none"/>
          <w14:textFill>
            <w14:solidFill>
              <w14:schemeClr w14:val="tx1"/>
            </w14:solidFill>
          </w14:textFill>
        </w:rPr>
      </w:pPr>
    </w:p>
    <w:p w14:paraId="3492B583">
      <w:pPr>
        <w:snapToGrid w:val="0"/>
        <w:spacing w:before="165" w:beforeLines="50" w:after="50"/>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报价文件（封面）</w:t>
      </w:r>
    </w:p>
    <w:p w14:paraId="2979A80A">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2D684D34">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4172DD0E">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477F19C7">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686C95DB">
      <w:pPr>
        <w:snapToGrid w:val="0"/>
        <w:spacing w:before="165" w:beforeLines="50" w:after="50"/>
        <w:rPr>
          <w:rFonts w:hint="eastAsia" w:ascii="宋体" w:hAnsi="宋体"/>
          <w:bCs/>
          <w:color w:val="000000" w:themeColor="text1"/>
          <w:sz w:val="24"/>
          <w:szCs w:val="20"/>
          <w:highlight w:val="none"/>
          <w14:textFill>
            <w14:solidFill>
              <w14:schemeClr w14:val="tx1"/>
            </w14:solidFill>
          </w14:textFill>
        </w:rPr>
      </w:pPr>
    </w:p>
    <w:p w14:paraId="508D4BAE">
      <w:pPr>
        <w:snapToGrid w:val="0"/>
        <w:spacing w:before="165" w:beforeLines="50" w:after="50"/>
        <w:ind w:firstLine="640" w:firstLineChars="200"/>
        <w:rPr>
          <w:rFonts w:hint="eastAsia" w:ascii="宋体" w:hAnsi="宋体" w:eastAsia="宋体" w:cs="仿宋_GB2312"/>
          <w:bCs/>
          <w:color w:val="000000" w:themeColor="text1"/>
          <w:sz w:val="32"/>
          <w:szCs w:val="32"/>
          <w:highlight w:val="none"/>
          <w:lang w:eastAsia="zh-CN"/>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r>
        <w:rPr>
          <w:rFonts w:hint="eastAsia" w:ascii="宋体" w:hAnsi="宋体" w:cs="仿宋_GB2312"/>
          <w:bCs/>
          <w:color w:val="000000" w:themeColor="text1"/>
          <w:sz w:val="32"/>
          <w:szCs w:val="32"/>
          <w:highlight w:val="none"/>
          <w:lang w:eastAsia="zh-CN"/>
          <w14:textFill>
            <w14:solidFill>
              <w14:schemeClr w14:val="tx1"/>
            </w14:solidFill>
          </w14:textFill>
        </w:rPr>
        <w:t>档案室库房设备采购项目</w:t>
      </w:r>
    </w:p>
    <w:p w14:paraId="017D8B31">
      <w:pPr>
        <w:snapToGrid w:val="0"/>
        <w:spacing w:before="165" w:beforeLines="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554DD263">
      <w:pPr>
        <w:snapToGrid w:val="0"/>
        <w:spacing w:before="165" w:beforeLines="50" w:after="50"/>
        <w:ind w:firstLine="640" w:firstLineChars="200"/>
        <w:rPr>
          <w:rFonts w:hint="eastAsia" w:ascii="宋体" w:hAnsi="宋体" w:eastAsia="宋体" w:cs="仿宋_GB2312"/>
          <w:bCs/>
          <w:color w:val="000000" w:themeColor="text1"/>
          <w:sz w:val="32"/>
          <w:szCs w:val="32"/>
          <w:highlight w:val="none"/>
          <w:lang w:eastAsia="zh-CN"/>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r>
        <w:rPr>
          <w:rFonts w:hint="eastAsia" w:ascii="宋体" w:hAnsi="宋体" w:cs="仿宋_GB2312"/>
          <w:bCs/>
          <w:color w:val="000000" w:themeColor="text1"/>
          <w:sz w:val="32"/>
          <w:szCs w:val="32"/>
          <w:highlight w:val="none"/>
          <w:lang w:eastAsia="zh-CN"/>
          <w14:textFill>
            <w14:solidFill>
              <w14:schemeClr w14:val="tx1"/>
            </w14:solidFill>
          </w14:textFill>
        </w:rPr>
        <w:t>NNZC2026-J1-990724-GXJT</w:t>
      </w:r>
    </w:p>
    <w:p w14:paraId="6C972E3B">
      <w:pPr>
        <w:snapToGrid w:val="0"/>
        <w:spacing w:before="165" w:beforeLines="50" w:after="50"/>
        <w:ind w:firstLine="720" w:firstLineChars="225"/>
        <w:rPr>
          <w:rFonts w:hint="eastAsia" w:ascii="宋体" w:hAnsi="宋体" w:eastAsia="宋体" w:cs="仿宋_GB2312"/>
          <w:bCs/>
          <w:color w:val="000000" w:themeColor="text1"/>
          <w:sz w:val="32"/>
          <w:szCs w:val="32"/>
          <w:highlight w:val="none"/>
          <w:lang w:eastAsia="zh-CN"/>
          <w14:textFill>
            <w14:solidFill>
              <w14:schemeClr w14:val="tx1"/>
            </w14:solidFill>
          </w14:textFill>
        </w:rPr>
      </w:pPr>
    </w:p>
    <w:p w14:paraId="76F4785B">
      <w:pPr>
        <w:snapToGrid w:val="0"/>
        <w:spacing w:before="165" w:beforeLines="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所竞分标（如有则填写，无分标时填写“无”或者留空）：</w:t>
      </w:r>
    </w:p>
    <w:p w14:paraId="2D8AF365">
      <w:pPr>
        <w:snapToGrid w:val="0"/>
        <w:spacing w:before="165" w:beforeLines="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01E223B5">
      <w:pPr>
        <w:pStyle w:val="7"/>
        <w:snapToGrid w:val="0"/>
        <w:spacing w:before="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14:paraId="58E5446C">
      <w:pPr>
        <w:pStyle w:val="7"/>
        <w:snapToGrid w:val="0"/>
        <w:spacing w:before="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236EA6B1">
      <w:pPr>
        <w:pStyle w:val="7"/>
        <w:snapToGrid w:val="0"/>
        <w:spacing w:before="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05541628">
      <w:pPr>
        <w:pStyle w:val="7"/>
        <w:snapToGrid w:val="0"/>
        <w:spacing w:before="50" w:after="50"/>
        <w:ind w:firstLine="1280" w:firstLineChars="400"/>
        <w:rPr>
          <w:rFonts w:hint="eastAsia" w:ascii="宋体" w:hAnsi="宋体" w:cs="仿宋_GB2312"/>
          <w:bCs/>
          <w:color w:val="000000" w:themeColor="text1"/>
          <w:sz w:val="32"/>
          <w:szCs w:val="32"/>
          <w:highlight w:val="none"/>
          <w14:textFill>
            <w14:solidFill>
              <w14:schemeClr w14:val="tx1"/>
            </w14:solidFill>
          </w14:textFill>
        </w:rPr>
      </w:pPr>
    </w:p>
    <w:p w14:paraId="054DF04F">
      <w:pPr>
        <w:snapToGrid w:val="0"/>
        <w:spacing w:before="165" w:beforeLines="50" w:after="50"/>
        <w:jc w:val="center"/>
        <w:rPr>
          <w:rFonts w:hint="eastAsia"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32"/>
          <w:szCs w:val="32"/>
          <w:highlight w:val="none"/>
          <w14:textFill>
            <w14:solidFill>
              <w14:schemeClr w14:val="tx1"/>
            </w14:solidFill>
          </w14:textFill>
        </w:rPr>
        <w:t>年</w:t>
      </w:r>
      <w:r>
        <w:rPr>
          <w:rFonts w:hint="eastAsia" w:ascii="宋体" w:hAnsi="宋体" w:cs="仿宋_GB2312"/>
          <w:color w:val="000000" w:themeColor="text1"/>
          <w:sz w:val="32"/>
          <w:szCs w:val="32"/>
          <w:highlight w:val="none"/>
          <w:lang w:val="en-US" w:eastAsia="zh-CN"/>
          <w14:textFill>
            <w14:solidFill>
              <w14:schemeClr w14:val="tx1"/>
            </w14:solidFill>
          </w14:textFill>
        </w:rPr>
        <w:t xml:space="preserve">  </w:t>
      </w:r>
      <w:r>
        <w:rPr>
          <w:rFonts w:hint="eastAsia" w:ascii="宋体" w:hAnsi="宋体" w:cs="仿宋_GB2312"/>
          <w:color w:val="000000" w:themeColor="text1"/>
          <w:sz w:val="32"/>
          <w:szCs w:val="32"/>
          <w:highlight w:val="none"/>
          <w14:textFill>
            <w14:solidFill>
              <w14:schemeClr w14:val="tx1"/>
            </w14:solidFill>
          </w14:textFill>
        </w:rPr>
        <w:t>月</w:t>
      </w:r>
      <w:r>
        <w:rPr>
          <w:rFonts w:hint="eastAsia" w:ascii="宋体" w:hAnsi="宋体" w:cs="仿宋_GB2312"/>
          <w:color w:val="000000" w:themeColor="text1"/>
          <w:sz w:val="32"/>
          <w:szCs w:val="32"/>
          <w:highlight w:val="none"/>
          <w:lang w:val="en-US" w:eastAsia="zh-CN"/>
          <w14:textFill>
            <w14:solidFill>
              <w14:schemeClr w14:val="tx1"/>
            </w14:solidFill>
          </w14:textFill>
        </w:rPr>
        <w:t xml:space="preserve">  </w:t>
      </w:r>
      <w:r>
        <w:rPr>
          <w:rFonts w:hint="eastAsia" w:ascii="宋体" w:hAnsi="宋体" w:cs="仿宋_GB2312"/>
          <w:color w:val="000000" w:themeColor="text1"/>
          <w:sz w:val="32"/>
          <w:szCs w:val="32"/>
          <w:highlight w:val="none"/>
          <w14:textFill>
            <w14:solidFill>
              <w14:schemeClr w14:val="tx1"/>
            </w14:solidFill>
          </w14:textFill>
        </w:rPr>
        <w:t>日</w:t>
      </w:r>
    </w:p>
    <w:p w14:paraId="3A3627A5">
      <w:pPr>
        <w:snapToGrid w:val="0"/>
        <w:spacing w:before="165" w:beforeLines="50" w:after="50" w:line="400" w:lineRule="exact"/>
        <w:jc w:val="center"/>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br w:type="page"/>
      </w:r>
      <w:r>
        <w:rPr>
          <w:rFonts w:hint="eastAsia" w:ascii="宋体" w:hAnsi="宋体"/>
          <w:b/>
          <w:bCs/>
          <w:color w:val="000000" w:themeColor="text1"/>
          <w:sz w:val="32"/>
          <w:szCs w:val="32"/>
          <w:highlight w:val="none"/>
          <w14:textFill>
            <w14:solidFill>
              <w14:schemeClr w14:val="tx1"/>
            </w14:solidFill>
          </w14:textFill>
        </w:rPr>
        <w:t>报价文件目录</w:t>
      </w:r>
    </w:p>
    <w:p w14:paraId="32D0D8BA">
      <w:pPr>
        <w:rPr>
          <w:rFonts w:hint="eastAsia" w:ascii="宋体" w:hAnsi="宋体" w:cs="宋体"/>
          <w:color w:val="000000" w:themeColor="text1"/>
          <w:highlight w:val="none"/>
          <w14:textFill>
            <w14:solidFill>
              <w14:schemeClr w14:val="tx1"/>
            </w14:solidFill>
          </w14:textFill>
        </w:rPr>
      </w:pPr>
    </w:p>
    <w:p w14:paraId="2C067D36">
      <w:pPr>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一、响应函………………………………………………………（页码）</w:t>
      </w:r>
    </w:p>
    <w:p w14:paraId="6E0DF739">
      <w:pPr>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二、响应报价表…………………………………………………（页码）</w:t>
      </w:r>
    </w:p>
    <w:p w14:paraId="5BB47D9F">
      <w:pPr>
        <w:pStyle w:val="28"/>
        <w:ind w:left="0" w:leftChars="0" w:firstLine="0" w:firstLineChars="0"/>
        <w:rPr>
          <w:rFonts w:hint="eastAsia"/>
          <w:color w:val="000000" w:themeColor="text1"/>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eastAsia="zh-CN"/>
          <w14:textFill>
            <w14:solidFill>
              <w14:schemeClr w14:val="tx1"/>
            </w14:solidFill>
          </w14:textFill>
        </w:rPr>
        <w:t>三、</w:t>
      </w:r>
      <w:r>
        <w:rPr>
          <w:rFonts w:hint="eastAsia" w:ascii="仿宋_GB2312" w:hAnsi="仿宋" w:eastAsia="仿宋_GB2312" w:cs="仿宋_GB2312"/>
          <w:color w:val="000000" w:themeColor="text1"/>
          <w:kern w:val="0"/>
          <w:sz w:val="24"/>
          <w:highlight w:val="none"/>
          <w14:textFill>
            <w14:solidFill>
              <w14:schemeClr w14:val="tx1"/>
            </w14:solidFill>
          </w14:textFill>
        </w:rPr>
        <w:t>关于符合本国产品标准的声明函或财政部会同有关部门规定的有关证明文件（如有）……………………………………………………………………………………（页码）</w:t>
      </w:r>
    </w:p>
    <w:p w14:paraId="51F0D147">
      <w:pPr>
        <w:snapToGrid w:val="0"/>
        <w:spacing w:before="165" w:beforeLines="50" w:after="50" w:line="360" w:lineRule="auto"/>
        <w:ind w:left="142" w:firstLine="640" w:firstLineChars="200"/>
        <w:jc w:val="left"/>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3E7843C7">
      <w:pPr>
        <w:pStyle w:val="17"/>
        <w:spacing w:line="500" w:lineRule="exact"/>
        <w:ind w:firstLine="480" w:firstLineChars="200"/>
        <w:rPr>
          <w:rFonts w:hint="eastAsia" w:hAnsi="宋体" w:cs="仿宋_GB2312"/>
          <w:color w:val="000000" w:themeColor="text1"/>
          <w:sz w:val="24"/>
          <w:highlight w:val="none"/>
          <w14:textFill>
            <w14:solidFill>
              <w14:schemeClr w14:val="tx1"/>
            </w14:solidFill>
          </w14:textFill>
        </w:rPr>
      </w:pPr>
      <w:r>
        <w:rPr>
          <w:rFonts w:hint="eastAsia" w:hAnsi="宋体" w:cs="仿宋_GB2312"/>
          <w:color w:val="000000" w:themeColor="text1"/>
          <w:sz w:val="24"/>
          <w:highlight w:val="none"/>
          <w14:textFill>
            <w14:solidFill>
              <w14:schemeClr w14:val="tx1"/>
            </w14:solidFill>
          </w14:textFill>
        </w:rPr>
        <w:br w:type="page"/>
      </w:r>
      <w:r>
        <w:rPr>
          <w:rFonts w:hint="eastAsia" w:ascii="仿宋" w:hAnsi="仿宋" w:eastAsia="仿宋" w:cs="仿宋_GB2312"/>
          <w:b/>
          <w:color w:val="000000" w:themeColor="text1"/>
          <w:kern w:val="2"/>
          <w:sz w:val="30"/>
          <w:szCs w:val="30"/>
          <w:highlight w:val="none"/>
          <w14:textFill>
            <w14:solidFill>
              <w14:schemeClr w14:val="tx1"/>
            </w14:solidFill>
          </w14:textFill>
        </w:rPr>
        <w:t>一、响应函</w:t>
      </w:r>
    </w:p>
    <w:p w14:paraId="7C8E2E65">
      <w:pPr>
        <w:pStyle w:val="17"/>
        <w:spacing w:line="500" w:lineRule="exact"/>
        <w:ind w:firstLine="602"/>
        <w:jc w:val="center"/>
        <w:rPr>
          <w:rFonts w:hint="eastAsia" w:ascii="Times New Roman" w:hAnsi="Times New Roman"/>
          <w:b/>
          <w:bCs/>
          <w:color w:val="000000" w:themeColor="text1"/>
          <w:sz w:val="30"/>
          <w:szCs w:val="30"/>
          <w:highlight w:val="none"/>
          <w14:textFill>
            <w14:solidFill>
              <w14:schemeClr w14:val="tx1"/>
            </w14:solidFill>
          </w14:textFill>
        </w:rPr>
      </w:pPr>
      <w:r>
        <w:rPr>
          <w:rFonts w:hint="eastAsia" w:ascii="Times New Roman" w:hAnsi="Times New Roman"/>
          <w:b/>
          <w:bCs/>
          <w:color w:val="000000" w:themeColor="text1"/>
          <w:sz w:val="30"/>
          <w:szCs w:val="30"/>
          <w:highlight w:val="none"/>
          <w14:textFill>
            <w14:solidFill>
              <w14:schemeClr w14:val="tx1"/>
            </w14:solidFill>
          </w14:textFill>
        </w:rPr>
        <w:t>响应函</w:t>
      </w:r>
    </w:p>
    <w:p w14:paraId="4AB887BD">
      <w:pPr>
        <w:pStyle w:val="17"/>
        <w:spacing w:line="360" w:lineRule="auto"/>
        <w:rPr>
          <w:rFonts w:ascii="Times New Roman" w:hAnsi="Times New Roman"/>
          <w:color w:val="000000" w:themeColor="text1"/>
          <w:sz w:val="21"/>
          <w:szCs w:val="21"/>
          <w:highlight w:val="none"/>
          <w14:textFill>
            <w14:solidFill>
              <w14:schemeClr w14:val="tx1"/>
            </w14:solidFill>
          </w14:textFill>
        </w:rPr>
      </w:pPr>
      <w:r>
        <w:rPr>
          <w:rFonts w:hint="eastAsia" w:ascii="Times New Roman" w:hAnsi="Times New Roman"/>
          <w:color w:val="000000" w:themeColor="text1"/>
          <w:sz w:val="21"/>
          <w:szCs w:val="21"/>
          <w:highlight w:val="none"/>
          <w14:textFill>
            <w14:solidFill>
              <w14:schemeClr w14:val="tx1"/>
            </w14:solidFill>
          </w14:textFill>
        </w:rPr>
        <w:t>致：</w:t>
      </w:r>
      <w:bookmarkStart w:id="80" w:name="PO_3000001871_PM031_6"/>
      <w:r>
        <w:rPr>
          <w:rFonts w:hint="eastAsia" w:ascii="Times New Roman" w:hAnsi="Times New Roman"/>
          <w:color w:val="000000" w:themeColor="text1"/>
          <w:sz w:val="21"/>
          <w:szCs w:val="21"/>
          <w:highlight w:val="none"/>
          <w:u w:val="single"/>
          <w:lang w:eastAsia="zh-CN"/>
          <w14:textFill>
            <w14:solidFill>
              <w14:schemeClr w14:val="tx1"/>
            </w14:solidFill>
          </w14:textFill>
        </w:rPr>
        <w:t>广西建通工程咨询有限责任公司</w:t>
      </w:r>
      <w:bookmarkEnd w:id="80"/>
    </w:p>
    <w:p w14:paraId="3DA7C8F3">
      <w:pPr>
        <w:pStyle w:val="17"/>
        <w:spacing w:line="360" w:lineRule="auto"/>
        <w:ind w:firstLine="420" w:firstLineChars="200"/>
        <w:rPr>
          <w:rFonts w:hint="eastAsia" w:ascii="Times New Roman" w:hAnsi="Times New Roman"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我方已仔细阅读了贵方组织的</w:t>
      </w:r>
      <w:r>
        <w:rPr>
          <w:rFonts w:hint="eastAsia"/>
          <w:color w:val="000000" w:themeColor="text1"/>
          <w:sz w:val="21"/>
          <w:szCs w:val="21"/>
          <w:highlight w:val="none"/>
          <w:u w:val="single"/>
          <w:lang w:eastAsia="zh-CN"/>
          <w14:textFill>
            <w14:solidFill>
              <w14:schemeClr w14:val="tx1"/>
            </w14:solidFill>
          </w14:textFill>
        </w:rPr>
        <w:t>档案室库房设备采购项目</w:t>
      </w:r>
      <w:r>
        <w:rPr>
          <w:rFonts w:hint="eastAsia"/>
          <w:color w:val="000000" w:themeColor="text1"/>
          <w:sz w:val="21"/>
          <w:szCs w:val="21"/>
          <w:highlight w:val="none"/>
          <w14:textFill>
            <w14:solidFill>
              <w14:schemeClr w14:val="tx1"/>
            </w14:solidFill>
          </w14:textFill>
        </w:rPr>
        <w:t>项目（项目编号：</w:t>
      </w:r>
      <w:r>
        <w:rPr>
          <w:rFonts w:hint="eastAsia"/>
          <w:color w:val="000000" w:themeColor="text1"/>
          <w:sz w:val="21"/>
          <w:szCs w:val="21"/>
          <w:highlight w:val="none"/>
          <w:lang w:eastAsia="zh-CN"/>
          <w14:textFill>
            <w14:solidFill>
              <w14:schemeClr w14:val="tx1"/>
            </w14:solidFill>
          </w14:textFill>
        </w:rPr>
        <w:t>NNZC2026-J1-990724-GXJT</w:t>
      </w:r>
      <w:r>
        <w:rPr>
          <w:rFonts w:hint="eastAsia"/>
          <w:color w:val="000000" w:themeColor="text1"/>
          <w:sz w:val="21"/>
          <w:szCs w:val="21"/>
          <w:highlight w:val="none"/>
          <w14:textFill>
            <w14:solidFill>
              <w14:schemeClr w14:val="tx1"/>
            </w14:solidFill>
          </w14:textFill>
        </w:rPr>
        <w:t>）的竞争性谈判采购文件的全部内容，现正式递交下述文件参加贵方组织的本次政府采购活动：</w:t>
      </w:r>
    </w:p>
    <w:p w14:paraId="140B07DC">
      <w:pPr>
        <w:pStyle w:val="17"/>
        <w:spacing w:line="360" w:lineRule="auto"/>
        <w:ind w:firstLine="420" w:firstLineChars="200"/>
        <w:rPr>
          <w:rFonts w:ascii="Times New Roman" w:hAnsi="Times New Roman"/>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一、首次报价文件电子版</w:t>
      </w:r>
      <w:r>
        <w:rPr>
          <w:rFonts w:hint="eastAsia"/>
          <w:color w:val="000000" w:themeColor="text1"/>
          <w:sz w:val="21"/>
          <w:szCs w:val="21"/>
          <w:highlight w:val="none"/>
          <w:u w:val="single"/>
          <w:lang w:val="en-US" w:eastAsia="zh-CN"/>
          <w14:textFill>
            <w14:solidFill>
              <w14:schemeClr w14:val="tx1"/>
            </w14:solidFill>
          </w14:textFill>
        </w:rPr>
        <w:t xml:space="preserve">   </w:t>
      </w:r>
      <w:r>
        <w:rPr>
          <w:rFonts w:hint="eastAsia"/>
          <w:color w:val="000000" w:themeColor="text1"/>
          <w:sz w:val="21"/>
          <w:szCs w:val="21"/>
          <w:highlight w:val="none"/>
          <w14:textFill>
            <w14:solidFill>
              <w14:schemeClr w14:val="tx1"/>
            </w14:solidFill>
          </w14:textFill>
        </w:rPr>
        <w:t>份（包含按“第三章供应商须知”提交的全部文件）；</w:t>
      </w:r>
    </w:p>
    <w:p w14:paraId="5BCC6E99">
      <w:pPr>
        <w:pStyle w:val="17"/>
        <w:spacing w:line="360" w:lineRule="auto"/>
        <w:ind w:firstLine="420" w:firstLineChars="20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二、</w:t>
      </w:r>
      <w:r>
        <w:rPr>
          <w:rFonts w:hint="eastAsia" w:hAnsi="宋体"/>
          <w:color w:val="000000" w:themeColor="text1"/>
          <w:sz w:val="21"/>
          <w:szCs w:val="21"/>
          <w:highlight w:val="none"/>
          <w14:textFill>
            <w14:solidFill>
              <w14:schemeClr w14:val="tx1"/>
            </w14:solidFill>
          </w14:textFill>
        </w:rPr>
        <w:t>技术</w:t>
      </w:r>
      <w:r>
        <w:rPr>
          <w:rFonts w:hint="eastAsia"/>
          <w:color w:val="000000" w:themeColor="text1"/>
          <w:sz w:val="21"/>
          <w:szCs w:val="21"/>
          <w:highlight w:val="none"/>
          <w14:textFill>
            <w14:solidFill>
              <w14:schemeClr w14:val="tx1"/>
            </w14:solidFill>
          </w14:textFill>
        </w:rPr>
        <w:t>文件电子版</w:t>
      </w:r>
      <w:r>
        <w:rPr>
          <w:rFonts w:hint="eastAsia"/>
          <w:color w:val="000000" w:themeColor="text1"/>
          <w:sz w:val="21"/>
          <w:szCs w:val="21"/>
          <w:highlight w:val="none"/>
          <w:u w:val="single"/>
          <w:lang w:val="en-US" w:eastAsia="zh-CN"/>
          <w14:textFill>
            <w14:solidFill>
              <w14:schemeClr w14:val="tx1"/>
            </w14:solidFill>
          </w14:textFill>
        </w:rPr>
        <w:t xml:space="preserve">   </w:t>
      </w:r>
      <w:r>
        <w:rPr>
          <w:rFonts w:hint="eastAsia"/>
          <w:color w:val="000000" w:themeColor="text1"/>
          <w:sz w:val="21"/>
          <w:szCs w:val="21"/>
          <w:highlight w:val="none"/>
          <w14:textFill>
            <w14:solidFill>
              <w14:schemeClr w14:val="tx1"/>
            </w14:solidFill>
          </w14:textFill>
        </w:rPr>
        <w:t>份（包含按“第三章供应商须知”提交的全部文件）；商务</w:t>
      </w:r>
      <w:r>
        <w:rPr>
          <w:rFonts w:hint="eastAsia" w:hAnsi="宋体"/>
          <w:color w:val="000000" w:themeColor="text1"/>
          <w:sz w:val="21"/>
          <w:szCs w:val="21"/>
          <w:highlight w:val="none"/>
          <w14:textFill>
            <w14:solidFill>
              <w14:schemeClr w14:val="tx1"/>
            </w14:solidFill>
          </w14:textFill>
        </w:rPr>
        <w:t>文件</w:t>
      </w:r>
      <w:r>
        <w:rPr>
          <w:rFonts w:hint="eastAsia"/>
          <w:color w:val="000000" w:themeColor="text1"/>
          <w:sz w:val="21"/>
          <w:szCs w:val="21"/>
          <w:highlight w:val="none"/>
          <w14:textFill>
            <w14:solidFill>
              <w14:schemeClr w14:val="tx1"/>
            </w14:solidFill>
          </w14:textFill>
        </w:rPr>
        <w:t>电子版份（包含按“第三章供应商须知”提交的全部文件）；（商务技术文件已合并装订成册）</w:t>
      </w:r>
    </w:p>
    <w:p w14:paraId="514A3873">
      <w:pPr>
        <w:pStyle w:val="17"/>
        <w:spacing w:line="360" w:lineRule="auto"/>
        <w:ind w:firstLine="420" w:firstLineChars="20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三、资格证明文件电子版（包含按“第三章供应商须知”提交的全部文件）；</w:t>
      </w:r>
    </w:p>
    <w:p w14:paraId="2C99456D">
      <w:pPr>
        <w:pStyle w:val="17"/>
        <w:spacing w:line="360" w:lineRule="auto"/>
        <w:ind w:firstLine="420" w:firstLineChars="200"/>
        <w:rPr>
          <w:rFonts w:ascii="Times New Roman" w:hAnsi="Times New Roman"/>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据此函，签字人兹宣布：</w:t>
      </w:r>
    </w:p>
    <w:p w14:paraId="5C385D48">
      <w:pPr>
        <w:pStyle w:val="17"/>
        <w:spacing w:line="360" w:lineRule="auto"/>
        <w:ind w:firstLine="420"/>
        <w:rPr>
          <w:rFonts w:ascii="Times New Roman" w:hAnsi="Times New Roman"/>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olor w:val="000000" w:themeColor="text1"/>
          <w:sz w:val="21"/>
          <w:szCs w:val="21"/>
          <w:highlight w:val="none"/>
          <w:lang w:val="en-US"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我方愿意以（大写）人民币</w:t>
      </w:r>
      <w:r>
        <w:rPr>
          <w:rFonts w:hint="eastAsia"/>
          <w:color w:val="000000" w:themeColor="text1"/>
          <w:sz w:val="21"/>
          <w:szCs w:val="21"/>
          <w:highlight w:val="none"/>
          <w:u w:val="single"/>
          <w:lang w:val="en-US" w:eastAsia="zh-CN"/>
          <w14:textFill>
            <w14:solidFill>
              <w14:schemeClr w14:val="tx1"/>
            </w14:solidFill>
          </w14:textFill>
        </w:rPr>
        <w:t xml:space="preserve">     </w:t>
      </w:r>
      <w:r>
        <w:rPr>
          <w:rFonts w:hint="eastAsia"/>
          <w:color w:val="000000" w:themeColor="text1"/>
          <w:sz w:val="21"/>
          <w:szCs w:val="21"/>
          <w:highlight w:val="none"/>
          <w14:textFill>
            <w14:solidFill>
              <w14:schemeClr w14:val="tx1"/>
            </w14:solidFill>
          </w14:textFill>
        </w:rPr>
        <w:t>（￥</w:t>
      </w:r>
      <w:r>
        <w:rPr>
          <w:rFonts w:hint="eastAsia"/>
          <w:color w:val="000000" w:themeColor="text1"/>
          <w:sz w:val="21"/>
          <w:szCs w:val="21"/>
          <w:highlight w:val="none"/>
          <w:u w:val="single"/>
          <w:lang w:val="en-US" w:eastAsia="zh-CN"/>
          <w14:textFill>
            <w14:solidFill>
              <w14:schemeClr w14:val="tx1"/>
            </w14:solidFill>
          </w14:textFill>
        </w:rPr>
        <w:t xml:space="preserve">     </w:t>
      </w:r>
      <w:r>
        <w:rPr>
          <w:rFonts w:hint="eastAsia"/>
          <w:color w:val="000000" w:themeColor="text1"/>
          <w:sz w:val="21"/>
          <w:szCs w:val="21"/>
          <w:highlight w:val="none"/>
          <w14:textFill>
            <w14:solidFill>
              <w14:schemeClr w14:val="tx1"/>
            </w14:solidFill>
          </w14:textFill>
        </w:rPr>
        <w:t>元)的竞标总报价，交货期（无分标时填写）：</w:t>
      </w:r>
      <w:r>
        <w:rPr>
          <w:rFonts w:hint="eastAsia"/>
          <w:color w:val="000000" w:themeColor="text1"/>
          <w:sz w:val="21"/>
          <w:szCs w:val="21"/>
          <w:highlight w:val="none"/>
          <w:u w:val="single"/>
          <w:lang w:val="en-US" w:eastAsia="zh-CN"/>
          <w14:textFill>
            <w14:solidFill>
              <w14:schemeClr w14:val="tx1"/>
            </w14:solidFill>
          </w14:textFill>
        </w:rPr>
        <w:t xml:space="preserve">      </w:t>
      </w:r>
      <w:r>
        <w:rPr>
          <w:rFonts w:hint="eastAsia"/>
          <w:color w:val="000000" w:themeColor="text1"/>
          <w:sz w:val="21"/>
          <w:szCs w:val="21"/>
          <w:highlight w:val="none"/>
          <w14:textFill>
            <w14:solidFill>
              <w14:schemeClr w14:val="tx1"/>
            </w14:solidFill>
          </w14:textFill>
        </w:rPr>
        <w:t>，提供本项目竞争性谈判采购文件第二章“服务需求一览表”中相应的采购内容。</w:t>
      </w:r>
    </w:p>
    <w:p w14:paraId="3DECB98C">
      <w:pPr>
        <w:pStyle w:val="17"/>
        <w:spacing w:line="360" w:lineRule="auto"/>
        <w:ind w:firstLine="420"/>
        <w:rPr>
          <w:rFonts w:ascii="Times New Roman" w:hAnsi="Times New Roman"/>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其中（有分标时填写）：</w:t>
      </w:r>
    </w:p>
    <w:p w14:paraId="6FC9C07F">
      <w:pPr>
        <w:pStyle w:val="17"/>
        <w:spacing w:line="360" w:lineRule="auto"/>
        <w:ind w:firstLine="420"/>
        <w:rPr>
          <w:rFonts w:ascii="Times New Roman" w:hAnsi="Times New Roman"/>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分标报价为（大写）</w:t>
      </w:r>
      <w:r>
        <w:rPr>
          <w:rFonts w:hint="eastAsia"/>
          <w:color w:val="000000" w:themeColor="text1"/>
          <w:sz w:val="21"/>
          <w:szCs w:val="21"/>
          <w:highlight w:val="none"/>
          <w:u w:val="single"/>
          <w:lang w:val="en-US" w:eastAsia="zh-CN"/>
          <w14:textFill>
            <w14:solidFill>
              <w14:schemeClr w14:val="tx1"/>
            </w14:solidFill>
          </w14:textFill>
        </w:rPr>
        <w:t xml:space="preserve">        </w:t>
      </w:r>
      <w:r>
        <w:rPr>
          <w:rFonts w:hint="eastAsia"/>
          <w:color w:val="000000" w:themeColor="text1"/>
          <w:sz w:val="21"/>
          <w:szCs w:val="21"/>
          <w:highlight w:val="none"/>
          <w14:textFill>
            <w14:solidFill>
              <w14:schemeClr w14:val="tx1"/>
            </w14:solidFill>
          </w14:textFill>
        </w:rPr>
        <w:t>人民币(￥</w:t>
      </w:r>
      <w:r>
        <w:rPr>
          <w:rFonts w:hint="eastAsia"/>
          <w:color w:val="000000" w:themeColor="text1"/>
          <w:sz w:val="21"/>
          <w:szCs w:val="21"/>
          <w:highlight w:val="none"/>
          <w:u w:val="single"/>
          <w:lang w:val="en-US" w:eastAsia="zh-CN"/>
          <w14:textFill>
            <w14:solidFill>
              <w14:schemeClr w14:val="tx1"/>
            </w14:solidFill>
          </w14:textFill>
        </w:rPr>
        <w:t xml:space="preserve">         </w:t>
      </w:r>
      <w:r>
        <w:rPr>
          <w:rFonts w:hint="eastAsia"/>
          <w:color w:val="000000" w:themeColor="text1"/>
          <w:sz w:val="21"/>
          <w:szCs w:val="21"/>
          <w:highlight w:val="none"/>
          <w14:textFill>
            <w14:solidFill>
              <w14:schemeClr w14:val="tx1"/>
            </w14:solidFill>
          </w14:textFill>
        </w:rPr>
        <w:t>元)，交货期：</w:t>
      </w:r>
      <w:r>
        <w:rPr>
          <w:rFonts w:hint="eastAsia"/>
          <w:color w:val="000000" w:themeColor="text1"/>
          <w:sz w:val="21"/>
          <w:szCs w:val="21"/>
          <w:highlight w:val="none"/>
          <w:u w:val="single"/>
          <w:lang w:val="en-US" w:eastAsia="zh-CN"/>
          <w14:textFill>
            <w14:solidFill>
              <w14:schemeClr w14:val="tx1"/>
            </w14:solidFill>
          </w14:textFill>
        </w:rPr>
        <w:t xml:space="preserve">      </w:t>
      </w:r>
      <w:r>
        <w:rPr>
          <w:rFonts w:hint="eastAsia"/>
          <w:color w:val="000000" w:themeColor="text1"/>
          <w:sz w:val="21"/>
          <w:szCs w:val="21"/>
          <w:highlight w:val="none"/>
          <w14:textFill>
            <w14:solidFill>
              <w14:schemeClr w14:val="tx1"/>
            </w14:solidFill>
          </w14:textFill>
        </w:rPr>
        <w:t>；</w:t>
      </w:r>
    </w:p>
    <w:p w14:paraId="0034C7F1">
      <w:pPr>
        <w:pStyle w:val="17"/>
        <w:spacing w:line="360" w:lineRule="auto"/>
        <w:ind w:firstLine="420"/>
        <w:rPr>
          <w:rFonts w:ascii="Times New Roman" w:hAnsi="Times New Roman"/>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分标报价为（大写）</w:t>
      </w:r>
      <w:r>
        <w:rPr>
          <w:rFonts w:hint="eastAsia"/>
          <w:color w:val="000000" w:themeColor="text1"/>
          <w:sz w:val="21"/>
          <w:szCs w:val="21"/>
          <w:highlight w:val="none"/>
          <w:u w:val="single"/>
          <w:lang w:val="en-US" w:eastAsia="zh-CN"/>
          <w14:textFill>
            <w14:solidFill>
              <w14:schemeClr w14:val="tx1"/>
            </w14:solidFill>
          </w14:textFill>
        </w:rPr>
        <w:t xml:space="preserve">        </w:t>
      </w:r>
      <w:r>
        <w:rPr>
          <w:rFonts w:hint="eastAsia"/>
          <w:color w:val="000000" w:themeColor="text1"/>
          <w:sz w:val="21"/>
          <w:szCs w:val="21"/>
          <w:highlight w:val="none"/>
          <w14:textFill>
            <w14:solidFill>
              <w14:schemeClr w14:val="tx1"/>
            </w14:solidFill>
          </w14:textFill>
        </w:rPr>
        <w:t>人民币(￥</w:t>
      </w:r>
      <w:r>
        <w:rPr>
          <w:rFonts w:hint="eastAsia"/>
          <w:color w:val="000000" w:themeColor="text1"/>
          <w:sz w:val="21"/>
          <w:szCs w:val="21"/>
          <w:highlight w:val="none"/>
          <w:u w:val="single"/>
          <w:lang w:val="en-US" w:eastAsia="zh-CN"/>
          <w14:textFill>
            <w14:solidFill>
              <w14:schemeClr w14:val="tx1"/>
            </w14:solidFill>
          </w14:textFill>
        </w:rPr>
        <w:t xml:space="preserve">         </w:t>
      </w:r>
      <w:r>
        <w:rPr>
          <w:rFonts w:hint="eastAsia"/>
          <w:color w:val="000000" w:themeColor="text1"/>
          <w:sz w:val="21"/>
          <w:szCs w:val="21"/>
          <w:highlight w:val="none"/>
          <w14:textFill>
            <w14:solidFill>
              <w14:schemeClr w14:val="tx1"/>
            </w14:solidFill>
          </w14:textFill>
        </w:rPr>
        <w:t>元)，交货期：</w:t>
      </w:r>
      <w:r>
        <w:rPr>
          <w:rFonts w:hint="eastAsia"/>
          <w:color w:val="000000" w:themeColor="text1"/>
          <w:sz w:val="21"/>
          <w:szCs w:val="21"/>
          <w:highlight w:val="none"/>
          <w:u w:val="single"/>
          <w:lang w:val="en-US" w:eastAsia="zh-CN"/>
          <w14:textFill>
            <w14:solidFill>
              <w14:schemeClr w14:val="tx1"/>
            </w14:solidFill>
          </w14:textFill>
        </w:rPr>
        <w:t xml:space="preserve">      </w:t>
      </w:r>
      <w:r>
        <w:rPr>
          <w:rFonts w:hint="eastAsia"/>
          <w:color w:val="000000" w:themeColor="text1"/>
          <w:sz w:val="21"/>
          <w:szCs w:val="21"/>
          <w:highlight w:val="none"/>
          <w14:textFill>
            <w14:solidFill>
              <w14:schemeClr w14:val="tx1"/>
            </w14:solidFill>
          </w14:textFill>
        </w:rPr>
        <w:t>；</w:t>
      </w:r>
    </w:p>
    <w:p w14:paraId="1B72D142">
      <w:pPr>
        <w:pStyle w:val="17"/>
        <w:spacing w:line="360" w:lineRule="auto"/>
        <w:ind w:firstLine="420"/>
        <w:rPr>
          <w:rFonts w:ascii="Times New Roman" w:hAnsi="Times New Roman"/>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p>
    <w:p w14:paraId="126A9505">
      <w:pPr>
        <w:pStyle w:val="17"/>
        <w:spacing w:line="360" w:lineRule="auto"/>
        <w:ind w:firstLine="42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w:t>
      </w:r>
      <w:r>
        <w:rPr>
          <w:rFonts w:hint="eastAsia"/>
          <w:color w:val="000000" w:themeColor="text1"/>
          <w:sz w:val="21"/>
          <w:szCs w:val="21"/>
          <w:highlight w:val="none"/>
          <w:lang w:val="en-US"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我方同意自本项目竞争性谈判采购文件采购公告规定的递交响应文件截止时间起遵循</w:t>
      </w:r>
      <w:r>
        <w:rPr>
          <w:rFonts w:hint="eastAsia" w:hAnsi="宋体"/>
          <w:color w:val="000000" w:themeColor="text1"/>
          <w:sz w:val="21"/>
          <w:szCs w:val="21"/>
          <w:highlight w:val="none"/>
          <w14:textFill>
            <w14:solidFill>
              <w14:schemeClr w14:val="tx1"/>
            </w14:solidFill>
          </w14:textFill>
        </w:rPr>
        <w:t>本响应函</w:t>
      </w:r>
      <w:r>
        <w:rPr>
          <w:rFonts w:hint="eastAsia"/>
          <w:color w:val="000000" w:themeColor="text1"/>
          <w:sz w:val="21"/>
          <w:szCs w:val="21"/>
          <w:highlight w:val="none"/>
          <w14:textFill>
            <w14:solidFill>
              <w14:schemeClr w14:val="tx1"/>
            </w14:solidFill>
          </w14:textFill>
        </w:rPr>
        <w:t>，并承诺在“第三章供应商须知”规定的响应有效期内不修改、撤销响应文件。</w:t>
      </w:r>
    </w:p>
    <w:p w14:paraId="701C9A0B">
      <w:pPr>
        <w:pStyle w:val="17"/>
        <w:spacing w:line="360" w:lineRule="auto"/>
        <w:ind w:firstLine="42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w:t>
      </w:r>
      <w:r>
        <w:rPr>
          <w:rFonts w:hint="eastAsia"/>
          <w:color w:val="000000" w:themeColor="text1"/>
          <w:sz w:val="21"/>
          <w:szCs w:val="21"/>
          <w:highlight w:val="none"/>
          <w:lang w:val="en-US"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我方在此声明，所递交的响应文件及有关资料内容完整、真实和准确。</w:t>
      </w:r>
    </w:p>
    <w:p w14:paraId="2128FDF8">
      <w:pPr>
        <w:pStyle w:val="17"/>
        <w:spacing w:line="360" w:lineRule="auto"/>
        <w:ind w:firstLine="42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w:t>
      </w:r>
      <w:r>
        <w:rPr>
          <w:rFonts w:hint="eastAsia"/>
          <w:color w:val="000000" w:themeColor="text1"/>
          <w:sz w:val="21"/>
          <w:szCs w:val="21"/>
          <w:highlight w:val="none"/>
          <w:lang w:val="en-US"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如本项目采购内容涉及须符合国家强制规定的，我方承诺我方本次竞标均符合国家有关强制规定。</w:t>
      </w:r>
    </w:p>
    <w:p w14:paraId="0DDD362A">
      <w:pPr>
        <w:pStyle w:val="17"/>
        <w:spacing w:line="360" w:lineRule="auto"/>
        <w:ind w:firstLine="42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5</w:t>
      </w:r>
      <w:r>
        <w:rPr>
          <w:rFonts w:hint="eastAsia"/>
          <w:color w:val="000000" w:themeColor="text1"/>
          <w:sz w:val="21"/>
          <w:szCs w:val="21"/>
          <w:highlight w:val="none"/>
          <w:lang w:val="en-US"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如我方成交，我方承诺在收到成交通知书后，在成交通知书规定的期限内，</w:t>
      </w:r>
      <w:r>
        <w:rPr>
          <w:rFonts w:hint="eastAsia" w:hAnsi="宋体"/>
          <w:color w:val="000000" w:themeColor="text1"/>
          <w:sz w:val="21"/>
          <w:szCs w:val="21"/>
          <w:highlight w:val="none"/>
          <w14:textFill>
            <w14:solidFill>
              <w14:schemeClr w14:val="tx1"/>
            </w14:solidFill>
          </w14:textFill>
        </w:rPr>
        <w:t>根据竞争性谈判采购文件、我方的响应文件及有关澄清承诺书的要求按第六章“合同文本”与采购人订立书面合同，并按照合同约定</w:t>
      </w:r>
      <w:r>
        <w:rPr>
          <w:rFonts w:hint="eastAsia"/>
          <w:color w:val="000000" w:themeColor="text1"/>
          <w:sz w:val="21"/>
          <w:szCs w:val="21"/>
          <w:highlight w:val="none"/>
          <w14:textFill>
            <w14:solidFill>
              <w14:schemeClr w14:val="tx1"/>
            </w14:solidFill>
          </w14:textFill>
        </w:rPr>
        <w:t>承担完成合同的责任和义务。</w:t>
      </w:r>
    </w:p>
    <w:p w14:paraId="4DF5AF0F">
      <w:pPr>
        <w:pStyle w:val="17"/>
        <w:spacing w:line="360" w:lineRule="auto"/>
        <w:ind w:firstLine="42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6</w:t>
      </w:r>
      <w:r>
        <w:rPr>
          <w:rFonts w:hint="eastAsia"/>
          <w:color w:val="000000" w:themeColor="text1"/>
          <w:sz w:val="21"/>
          <w:szCs w:val="21"/>
          <w:highlight w:val="none"/>
          <w:lang w:val="en-US"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我方已详细审核竞争性谈判采购文件，我方知道必须放弃提出含糊不清或误解问题的权利。</w:t>
      </w:r>
    </w:p>
    <w:p w14:paraId="19602237">
      <w:pPr>
        <w:pStyle w:val="17"/>
        <w:spacing w:line="360" w:lineRule="auto"/>
        <w:ind w:firstLine="42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7</w:t>
      </w:r>
      <w:r>
        <w:rPr>
          <w:rFonts w:hint="eastAsia"/>
          <w:color w:val="000000" w:themeColor="text1"/>
          <w:sz w:val="21"/>
          <w:szCs w:val="21"/>
          <w:highlight w:val="none"/>
          <w:lang w:val="en-US"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我方承诺满足竞争性谈判采购文件</w:t>
      </w:r>
      <w:r>
        <w:rPr>
          <w:rFonts w:hint="eastAsia" w:hAnsi="宋体"/>
          <w:color w:val="000000" w:themeColor="text1"/>
          <w:sz w:val="21"/>
          <w:szCs w:val="21"/>
          <w:highlight w:val="none"/>
          <w14:textFill>
            <w14:solidFill>
              <w14:schemeClr w14:val="tx1"/>
            </w14:solidFill>
          </w14:textFill>
        </w:rPr>
        <w:t>第六章“合同文本”</w:t>
      </w:r>
      <w:r>
        <w:rPr>
          <w:rFonts w:hint="eastAsia"/>
          <w:color w:val="000000" w:themeColor="text1"/>
          <w:sz w:val="21"/>
          <w:szCs w:val="21"/>
          <w:highlight w:val="none"/>
          <w14:textFill>
            <w14:solidFill>
              <w14:schemeClr w14:val="tx1"/>
            </w14:solidFill>
          </w14:textFill>
        </w:rPr>
        <w:t>的条款，承担完成合同的责任和义务。</w:t>
      </w:r>
    </w:p>
    <w:p w14:paraId="1C01648D">
      <w:pPr>
        <w:pStyle w:val="17"/>
        <w:spacing w:line="360" w:lineRule="auto"/>
        <w:ind w:firstLine="42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8</w:t>
      </w:r>
      <w:r>
        <w:rPr>
          <w:rFonts w:hint="eastAsia"/>
          <w:color w:val="000000" w:themeColor="text1"/>
          <w:sz w:val="21"/>
          <w:szCs w:val="21"/>
          <w:highlight w:val="none"/>
          <w:lang w:val="en-US"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我方同意应贵方要求提供与本竞标有关的任何数据或资料。若贵方需要，我方愿意提供我方作出的一切承诺的证明材料。</w:t>
      </w:r>
    </w:p>
    <w:p w14:paraId="55B0AF29">
      <w:pPr>
        <w:pStyle w:val="17"/>
        <w:spacing w:line="360" w:lineRule="auto"/>
        <w:ind w:firstLine="42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9</w:t>
      </w:r>
      <w:r>
        <w:rPr>
          <w:rFonts w:hint="eastAsia"/>
          <w:color w:val="000000" w:themeColor="text1"/>
          <w:sz w:val="21"/>
          <w:szCs w:val="21"/>
          <w:highlight w:val="none"/>
          <w:lang w:val="en-US"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我方完全理解贵方不一定接受响应报价最低的竞标人为成交供应商的行为。</w:t>
      </w:r>
    </w:p>
    <w:p w14:paraId="09E5FB2E">
      <w:pPr>
        <w:pStyle w:val="17"/>
        <w:spacing w:line="360" w:lineRule="auto"/>
        <w:ind w:firstLine="42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10</w:t>
      </w:r>
      <w:r>
        <w:rPr>
          <w:rFonts w:hint="eastAsia"/>
          <w:color w:val="000000" w:themeColor="text1"/>
          <w:sz w:val="21"/>
          <w:szCs w:val="21"/>
          <w:highlight w:val="none"/>
          <w:lang w:val="en-US" w:eastAsia="zh-CN"/>
          <w14:textFill>
            <w14:solidFill>
              <w14:schemeClr w14:val="tx1"/>
            </w14:solidFill>
          </w14:textFill>
        </w:rPr>
        <w:t>.</w:t>
      </w:r>
      <w:r>
        <w:rPr>
          <w:rFonts w:hint="eastAsia"/>
          <w:color w:val="000000" w:themeColor="text1"/>
          <w:sz w:val="21"/>
          <w:szCs w:val="21"/>
          <w:highlight w:val="none"/>
          <w14:textFill>
            <w14:solidFill>
              <w14:schemeClr w14:val="tx1"/>
            </w14:solidFill>
          </w14:textFill>
        </w:rPr>
        <w:t>我方将严格遵守《中华人民共和国政府采购法》第七十七条的规定，即供应商有下列情形之一的，处以采购金额千分之五以上千分之十</w:t>
      </w:r>
      <w:r>
        <w:rPr>
          <w:rFonts w:hint="eastAsia" w:hAnsi="宋体"/>
          <w:color w:val="000000" w:themeColor="text1"/>
          <w:sz w:val="21"/>
          <w:szCs w:val="21"/>
          <w:highlight w:val="none"/>
          <w14:textFill>
            <w14:solidFill>
              <w14:schemeClr w14:val="tx1"/>
            </w14:solidFill>
          </w14:textFill>
        </w:rPr>
        <w:t>以下的罚款，列入不良行为记录名单，在一至三年内禁止参加政府采购活动，有违法所得的，并处没收违法所得，情节严重的，由工商行政管理机关吊销营业执照；构成犯罪的，依法追究刑事责任：</w:t>
      </w:r>
    </w:p>
    <w:p w14:paraId="64974E4B">
      <w:pPr>
        <w:pStyle w:val="17"/>
        <w:numPr>
          <w:ilvl w:val="0"/>
          <w:numId w:val="0"/>
        </w:numPr>
        <w:tabs>
          <w:tab w:val="left" w:pos="945"/>
        </w:tabs>
        <w:spacing w:line="360" w:lineRule="auto"/>
        <w:ind w:left="1140" w:leftChars="0" w:firstLine="420" w:firstLineChars="0"/>
        <w:rPr>
          <w:rFonts w:hint="eastAsia" w:hAnsi="宋体"/>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kern w:val="0"/>
          <w:sz w:val="21"/>
          <w:szCs w:val="21"/>
          <w:highlight w:val="none"/>
          <w:lang w:val="en-US" w:eastAsia="zh-CN" w:bidi="ar-SA"/>
          <w14:textFill>
            <w14:solidFill>
              <w14:schemeClr w14:val="tx1"/>
            </w14:solidFill>
          </w14:textFill>
        </w:rPr>
        <w:t>（1）</w:t>
      </w:r>
      <w:r>
        <w:rPr>
          <w:rFonts w:hint="eastAsia" w:hAnsi="宋体"/>
          <w:color w:val="000000" w:themeColor="text1"/>
          <w:sz w:val="21"/>
          <w:szCs w:val="21"/>
          <w:highlight w:val="none"/>
          <w14:textFill>
            <w14:solidFill>
              <w14:schemeClr w14:val="tx1"/>
            </w14:solidFill>
          </w14:textFill>
        </w:rPr>
        <w:t>提供虚假材料谋取中标、成交的；</w:t>
      </w:r>
    </w:p>
    <w:p w14:paraId="1B86A2FC">
      <w:pPr>
        <w:pStyle w:val="17"/>
        <w:numPr>
          <w:ilvl w:val="0"/>
          <w:numId w:val="0"/>
        </w:numPr>
        <w:tabs>
          <w:tab w:val="left" w:pos="945"/>
        </w:tabs>
        <w:spacing w:line="360" w:lineRule="auto"/>
        <w:ind w:left="1140" w:leftChars="0" w:firstLine="420" w:firstLineChars="0"/>
        <w:rPr>
          <w:rFonts w:hint="eastAsia" w:hAnsi="宋体"/>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kern w:val="0"/>
          <w:sz w:val="21"/>
          <w:szCs w:val="21"/>
          <w:highlight w:val="none"/>
          <w:lang w:val="en-US" w:eastAsia="zh-CN" w:bidi="ar-SA"/>
          <w14:textFill>
            <w14:solidFill>
              <w14:schemeClr w14:val="tx1"/>
            </w14:solidFill>
          </w14:textFill>
        </w:rPr>
        <w:t>（2）</w:t>
      </w:r>
      <w:r>
        <w:rPr>
          <w:rFonts w:hint="eastAsia" w:hAnsi="宋体"/>
          <w:color w:val="000000" w:themeColor="text1"/>
          <w:sz w:val="21"/>
          <w:szCs w:val="21"/>
          <w:highlight w:val="none"/>
          <w14:textFill>
            <w14:solidFill>
              <w14:schemeClr w14:val="tx1"/>
            </w14:solidFill>
          </w14:textFill>
        </w:rPr>
        <w:t>采取不正当手段诋毁、排挤其他供应商的；</w:t>
      </w:r>
    </w:p>
    <w:p w14:paraId="00E70B9E">
      <w:pPr>
        <w:pStyle w:val="17"/>
        <w:numPr>
          <w:ilvl w:val="0"/>
          <w:numId w:val="0"/>
        </w:numPr>
        <w:tabs>
          <w:tab w:val="left" w:pos="945"/>
        </w:tabs>
        <w:spacing w:line="360" w:lineRule="auto"/>
        <w:ind w:left="1140" w:leftChars="0" w:firstLine="420" w:firstLineChars="0"/>
        <w:rPr>
          <w:rFonts w:hint="eastAsia"/>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kern w:val="0"/>
          <w:sz w:val="21"/>
          <w:szCs w:val="21"/>
          <w:highlight w:val="none"/>
          <w:lang w:val="en-US" w:eastAsia="zh-CN" w:bidi="ar-SA"/>
          <w14:textFill>
            <w14:solidFill>
              <w14:schemeClr w14:val="tx1"/>
            </w14:solidFill>
          </w14:textFill>
        </w:rPr>
        <w:t>（3）</w:t>
      </w:r>
      <w:r>
        <w:rPr>
          <w:rFonts w:hint="eastAsia" w:hAnsi="宋体"/>
          <w:color w:val="000000" w:themeColor="text1"/>
          <w:sz w:val="21"/>
          <w:szCs w:val="21"/>
          <w:highlight w:val="none"/>
          <w14:textFill>
            <w14:solidFill>
              <w14:schemeClr w14:val="tx1"/>
            </w14:solidFill>
          </w14:textFill>
        </w:rPr>
        <w:t>与采购人、其他供应商或者采购代理机构恶意串通的；</w:t>
      </w:r>
    </w:p>
    <w:p w14:paraId="4012AB13">
      <w:pPr>
        <w:pStyle w:val="17"/>
        <w:numPr>
          <w:ilvl w:val="0"/>
          <w:numId w:val="0"/>
        </w:numPr>
        <w:tabs>
          <w:tab w:val="left" w:pos="945"/>
        </w:tabs>
        <w:spacing w:line="360" w:lineRule="auto"/>
        <w:ind w:left="1140" w:leftChars="0" w:firstLine="420" w:firstLineChars="0"/>
        <w:rPr>
          <w:rFonts w:hint="eastAsia"/>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kern w:val="0"/>
          <w:sz w:val="21"/>
          <w:szCs w:val="21"/>
          <w:highlight w:val="none"/>
          <w:lang w:val="en-US" w:eastAsia="zh-CN" w:bidi="ar-SA"/>
          <w14:textFill>
            <w14:solidFill>
              <w14:schemeClr w14:val="tx1"/>
            </w14:solidFill>
          </w14:textFill>
        </w:rPr>
        <w:t>（4）</w:t>
      </w:r>
      <w:r>
        <w:rPr>
          <w:rFonts w:hint="eastAsia" w:hAnsi="宋体"/>
          <w:color w:val="000000" w:themeColor="text1"/>
          <w:sz w:val="21"/>
          <w:szCs w:val="21"/>
          <w:highlight w:val="none"/>
          <w14:textFill>
            <w14:solidFill>
              <w14:schemeClr w14:val="tx1"/>
            </w14:solidFill>
          </w14:textFill>
        </w:rPr>
        <w:t>向采购人、采购代理机构行贿或者提供其他不正当利益的；</w:t>
      </w:r>
    </w:p>
    <w:p w14:paraId="46B0D1CE">
      <w:pPr>
        <w:pStyle w:val="17"/>
        <w:numPr>
          <w:ilvl w:val="0"/>
          <w:numId w:val="0"/>
        </w:numPr>
        <w:tabs>
          <w:tab w:val="left" w:pos="945"/>
        </w:tabs>
        <w:spacing w:line="360" w:lineRule="auto"/>
        <w:ind w:left="1140" w:leftChars="0" w:firstLine="420" w:firstLineChars="0"/>
        <w:rPr>
          <w:rFonts w:hint="eastAsia"/>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kern w:val="0"/>
          <w:sz w:val="21"/>
          <w:szCs w:val="21"/>
          <w:highlight w:val="none"/>
          <w:lang w:val="en-US" w:eastAsia="zh-CN" w:bidi="ar-SA"/>
          <w14:textFill>
            <w14:solidFill>
              <w14:schemeClr w14:val="tx1"/>
            </w14:solidFill>
          </w14:textFill>
        </w:rPr>
        <w:t>（5）</w:t>
      </w:r>
      <w:r>
        <w:rPr>
          <w:rFonts w:hint="eastAsia" w:hAnsi="宋体"/>
          <w:color w:val="000000" w:themeColor="text1"/>
          <w:sz w:val="21"/>
          <w:szCs w:val="21"/>
          <w:highlight w:val="none"/>
          <w14:textFill>
            <w14:solidFill>
              <w14:schemeClr w14:val="tx1"/>
            </w14:solidFill>
          </w14:textFill>
        </w:rPr>
        <w:t>在采购过程中与采购人进行协商谈判的；</w:t>
      </w:r>
    </w:p>
    <w:p w14:paraId="6178238A">
      <w:pPr>
        <w:pStyle w:val="17"/>
        <w:numPr>
          <w:ilvl w:val="0"/>
          <w:numId w:val="0"/>
        </w:numPr>
        <w:tabs>
          <w:tab w:val="left" w:pos="945"/>
        </w:tabs>
        <w:spacing w:line="360" w:lineRule="auto"/>
        <w:ind w:left="1140" w:leftChars="0" w:firstLine="420" w:firstLineChars="0"/>
        <w:rPr>
          <w:rFonts w:hint="eastAsia"/>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kern w:val="0"/>
          <w:sz w:val="21"/>
          <w:szCs w:val="21"/>
          <w:highlight w:val="none"/>
          <w:lang w:val="en-US" w:eastAsia="zh-CN" w:bidi="ar-SA"/>
          <w14:textFill>
            <w14:solidFill>
              <w14:schemeClr w14:val="tx1"/>
            </w14:solidFill>
          </w14:textFill>
        </w:rPr>
        <w:t>（6）</w:t>
      </w:r>
      <w:r>
        <w:rPr>
          <w:rFonts w:hint="eastAsia" w:hAnsi="宋体"/>
          <w:color w:val="000000" w:themeColor="text1"/>
          <w:sz w:val="21"/>
          <w:szCs w:val="21"/>
          <w:highlight w:val="none"/>
          <w14:textFill>
            <w14:solidFill>
              <w14:schemeClr w14:val="tx1"/>
            </w14:solidFill>
          </w14:textFill>
        </w:rPr>
        <w:t>拒绝有关部门监督检查或提供虚假情况的。</w:t>
      </w:r>
    </w:p>
    <w:p w14:paraId="3D00BFF3">
      <w:pPr>
        <w:pStyle w:val="17"/>
        <w:spacing w:line="360" w:lineRule="auto"/>
        <w:ind w:firstLine="420"/>
        <w:rPr>
          <w:rFonts w:hint="eastAsia" w:eastAsia="宋体"/>
          <w:color w:val="000000" w:themeColor="text1"/>
          <w:sz w:val="21"/>
          <w:szCs w:val="21"/>
          <w:highlight w:val="none"/>
          <w:lang w:eastAsia="zh-CN"/>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11.与本谈判有关的一切正式往来信函请寄</w:t>
      </w:r>
      <w:r>
        <w:rPr>
          <w:rFonts w:hint="eastAsia"/>
          <w:color w:val="000000" w:themeColor="text1"/>
          <w:sz w:val="21"/>
          <w:szCs w:val="21"/>
          <w:highlight w:val="none"/>
          <w14:textFill>
            <w14:solidFill>
              <w14:schemeClr w14:val="tx1"/>
            </w14:solidFill>
          </w14:textFill>
        </w:rPr>
        <w:t>：</w:t>
      </w:r>
    </w:p>
    <w:p w14:paraId="1A3C6148">
      <w:pPr>
        <w:pStyle w:val="17"/>
        <w:spacing w:line="360" w:lineRule="auto"/>
        <w:ind w:firstLine="420"/>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地址：</w:t>
      </w:r>
      <w:r>
        <w:rPr>
          <w:rFonts w:hint="eastAsia"/>
          <w:color w:val="000000" w:themeColor="text1"/>
          <w:sz w:val="21"/>
          <w:szCs w:val="21"/>
          <w:highlight w:val="none"/>
          <w:u w:val="single"/>
          <w14:textFill>
            <w14:solidFill>
              <w14:schemeClr w14:val="tx1"/>
            </w14:solidFill>
          </w14:textFill>
        </w:rPr>
        <w:t>　　　　　　　　　　　　　　　　　　　　　　　　　　　　</w:t>
      </w:r>
    </w:p>
    <w:p w14:paraId="66D5C909">
      <w:pPr>
        <w:pStyle w:val="17"/>
        <w:spacing w:line="360" w:lineRule="auto"/>
        <w:ind w:firstLine="420"/>
        <w:rPr>
          <w:rFonts w:hint="eastAsia"/>
          <w:color w:val="000000" w:themeColor="text1"/>
          <w:sz w:val="21"/>
          <w:szCs w:val="21"/>
          <w:highlight w:val="none"/>
          <w:u w:val="single"/>
          <w14:textFill>
            <w14:solidFill>
              <w14:schemeClr w14:val="tx1"/>
            </w14:solidFill>
          </w14:textFill>
        </w:rPr>
      </w:pPr>
      <w:r>
        <w:rPr>
          <w:rFonts w:hint="eastAsia"/>
          <w:color w:val="000000" w:themeColor="text1"/>
          <w:sz w:val="21"/>
          <w:szCs w:val="21"/>
          <w:highlight w:val="none"/>
          <w14:textFill>
            <w14:solidFill>
              <w14:schemeClr w14:val="tx1"/>
            </w14:solidFill>
          </w14:textFill>
        </w:rPr>
        <w:t>电话：</w:t>
      </w:r>
      <w:r>
        <w:rPr>
          <w:rFonts w:hint="eastAsia"/>
          <w:color w:val="000000" w:themeColor="text1"/>
          <w:sz w:val="21"/>
          <w:szCs w:val="21"/>
          <w:highlight w:val="none"/>
          <w:u w:val="single"/>
          <w14:textFill>
            <w14:solidFill>
              <w14:schemeClr w14:val="tx1"/>
            </w14:solidFill>
          </w14:textFill>
        </w:rPr>
        <w:t>　　　　　　　　　　　　　　　　　　　　　　　　　　　　</w:t>
      </w:r>
    </w:p>
    <w:p w14:paraId="045F5EF9">
      <w:pPr>
        <w:pStyle w:val="17"/>
        <w:spacing w:line="360" w:lineRule="auto"/>
        <w:ind w:firstLine="420"/>
        <w:rPr>
          <w:rFonts w:hint="eastAsia"/>
          <w:color w:val="000000" w:themeColor="text1"/>
          <w:sz w:val="21"/>
          <w:szCs w:val="21"/>
          <w:highlight w:val="none"/>
          <w:u w:val="single"/>
          <w14:textFill>
            <w14:solidFill>
              <w14:schemeClr w14:val="tx1"/>
            </w14:solidFill>
          </w14:textFill>
        </w:rPr>
      </w:pPr>
      <w:r>
        <w:rPr>
          <w:rFonts w:hint="eastAsia"/>
          <w:color w:val="000000" w:themeColor="text1"/>
          <w:sz w:val="21"/>
          <w:szCs w:val="21"/>
          <w:highlight w:val="none"/>
          <w14:textFill>
            <w14:solidFill>
              <w14:schemeClr w14:val="tx1"/>
            </w14:solidFill>
          </w14:textFill>
        </w:rPr>
        <w:t>传真：</w:t>
      </w:r>
      <w:r>
        <w:rPr>
          <w:rFonts w:hint="eastAsia"/>
          <w:color w:val="000000" w:themeColor="text1"/>
          <w:sz w:val="21"/>
          <w:szCs w:val="21"/>
          <w:highlight w:val="none"/>
          <w:u w:val="single"/>
          <w14:textFill>
            <w14:solidFill>
              <w14:schemeClr w14:val="tx1"/>
            </w14:solidFill>
          </w14:textFill>
        </w:rPr>
        <w:t>　　　　　　　　　　　　　　　　　　　　　　　　　　　　</w:t>
      </w:r>
    </w:p>
    <w:p w14:paraId="678B1131">
      <w:pPr>
        <w:pStyle w:val="17"/>
        <w:spacing w:line="360" w:lineRule="auto"/>
        <w:ind w:firstLine="420"/>
        <w:rPr>
          <w:rFonts w:hint="eastAsia" w:eastAsia="宋体"/>
          <w:color w:val="000000" w:themeColor="text1"/>
          <w:sz w:val="21"/>
          <w:szCs w:val="21"/>
          <w:highlight w:val="none"/>
          <w:lang w:eastAsia="zh-CN"/>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电子邮箱：</w:t>
      </w:r>
      <w:r>
        <w:rPr>
          <w:rFonts w:hint="eastAsia"/>
          <w:color w:val="000000" w:themeColor="text1"/>
          <w:sz w:val="21"/>
          <w:szCs w:val="21"/>
          <w:highlight w:val="none"/>
          <w:u w:val="single"/>
          <w14:textFill>
            <w14:solidFill>
              <w14:schemeClr w14:val="tx1"/>
            </w14:solidFill>
          </w14:textFill>
        </w:rPr>
        <w:t>　　　　　　　　　　　　　　　　　　　　　　　　　　　　</w:t>
      </w:r>
    </w:p>
    <w:p w14:paraId="241088BB">
      <w:pPr>
        <w:pStyle w:val="17"/>
        <w:spacing w:line="360" w:lineRule="auto"/>
        <w:ind w:firstLine="420"/>
        <w:rPr>
          <w:rFonts w:hint="eastAsia" w:eastAsia="宋体"/>
          <w:color w:val="000000" w:themeColor="text1"/>
          <w:sz w:val="21"/>
          <w:szCs w:val="21"/>
          <w:highlight w:val="none"/>
          <w:u w:val="single"/>
          <w:lang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邮政编码：</w:t>
      </w:r>
      <w:r>
        <w:rPr>
          <w:rFonts w:hint="eastAsia"/>
          <w:color w:val="000000" w:themeColor="text1"/>
          <w:sz w:val="21"/>
          <w:szCs w:val="21"/>
          <w:highlight w:val="none"/>
          <w:u w:val="single"/>
          <w14:textFill>
            <w14:solidFill>
              <w14:schemeClr w14:val="tx1"/>
            </w14:solidFill>
          </w14:textFill>
        </w:rPr>
        <w:t>　　　　　　　　　　　　　　　　　　　　　　　　　　　　</w:t>
      </w:r>
    </w:p>
    <w:p w14:paraId="6097FFF5">
      <w:pPr>
        <w:pStyle w:val="17"/>
        <w:spacing w:line="360" w:lineRule="auto"/>
        <w:ind w:firstLine="420"/>
        <w:rPr>
          <w:rFonts w:hint="eastAsia" w:eastAsia="宋体"/>
          <w:color w:val="000000" w:themeColor="text1"/>
          <w:sz w:val="21"/>
          <w:szCs w:val="21"/>
          <w:highlight w:val="none"/>
          <w:u w:val="single"/>
          <w:lang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开户名称：</w:t>
      </w:r>
      <w:r>
        <w:rPr>
          <w:rFonts w:hint="eastAsia"/>
          <w:color w:val="000000" w:themeColor="text1"/>
          <w:sz w:val="21"/>
          <w:szCs w:val="21"/>
          <w:highlight w:val="none"/>
          <w:u w:val="single"/>
          <w14:textFill>
            <w14:solidFill>
              <w14:schemeClr w14:val="tx1"/>
            </w14:solidFill>
          </w14:textFill>
        </w:rPr>
        <w:t>　　　　　　　　　　　　　　　　　　　　　　　　　　　　</w:t>
      </w:r>
    </w:p>
    <w:p w14:paraId="7D9AE031">
      <w:pPr>
        <w:pStyle w:val="17"/>
        <w:spacing w:line="360" w:lineRule="auto"/>
        <w:ind w:firstLine="420"/>
        <w:rPr>
          <w:rFonts w:hint="eastAsia" w:eastAsia="宋体"/>
          <w:color w:val="000000" w:themeColor="text1"/>
          <w:sz w:val="21"/>
          <w:szCs w:val="21"/>
          <w:highlight w:val="none"/>
          <w:u w:val="single"/>
          <w:lang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开户银行：</w:t>
      </w:r>
      <w:r>
        <w:rPr>
          <w:rFonts w:hint="eastAsia"/>
          <w:color w:val="000000" w:themeColor="text1"/>
          <w:sz w:val="21"/>
          <w:szCs w:val="21"/>
          <w:highlight w:val="none"/>
          <w:u w:val="single"/>
          <w14:textFill>
            <w14:solidFill>
              <w14:schemeClr w14:val="tx1"/>
            </w14:solidFill>
          </w14:textFill>
        </w:rPr>
        <w:t>　　　　　　　　　　　　　　　　　　　　　　　　　　　　</w:t>
      </w:r>
    </w:p>
    <w:p w14:paraId="02682828">
      <w:pPr>
        <w:pStyle w:val="17"/>
        <w:spacing w:line="360" w:lineRule="auto"/>
        <w:ind w:firstLine="420"/>
        <w:rPr>
          <w:rFonts w:hint="eastAsia" w:eastAsia="宋体"/>
          <w:color w:val="000000" w:themeColor="text1"/>
          <w:sz w:val="21"/>
          <w:szCs w:val="21"/>
          <w:highlight w:val="none"/>
          <w:u w:val="single"/>
          <w:lang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银行账号：</w:t>
      </w:r>
      <w:r>
        <w:rPr>
          <w:rFonts w:hint="eastAsia"/>
          <w:color w:val="000000" w:themeColor="text1"/>
          <w:sz w:val="21"/>
          <w:szCs w:val="21"/>
          <w:highlight w:val="none"/>
          <w:u w:val="single"/>
          <w14:textFill>
            <w14:solidFill>
              <w14:schemeClr w14:val="tx1"/>
            </w14:solidFill>
          </w14:textFill>
        </w:rPr>
        <w:t>　　　　　　　　　　　　　　　　　　　　　　　　　　　　</w:t>
      </w:r>
    </w:p>
    <w:p w14:paraId="1A78B239">
      <w:pPr>
        <w:pStyle w:val="15"/>
        <w:tabs>
          <w:tab w:val="left" w:pos="939"/>
        </w:tabs>
        <w:spacing w:line="360" w:lineRule="auto"/>
        <w:ind w:left="141" w:leftChars="67" w:firstLine="315" w:firstLineChars="15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特此承诺。</w:t>
      </w:r>
    </w:p>
    <w:p w14:paraId="2CC26F1B">
      <w:pPr>
        <w:autoSpaceDE w:val="0"/>
        <w:autoSpaceDN w:val="0"/>
        <w:spacing w:line="360" w:lineRule="auto"/>
        <w:ind w:left="4335" w:leftChars="1950" w:hanging="240" w:hangingChars="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2D0EDC3F">
      <w:pPr>
        <w:ind w:firstLine="6000" w:firstLineChars="250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年</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42A6A933">
      <w:pPr>
        <w:widowControl/>
        <w:jc w:val="left"/>
        <w:rPr>
          <w:rFonts w:ascii="仿宋_GB2312" w:hAnsi="仿宋" w:eastAsia="仿宋_GB2312" w:cs="仿宋_GB2312"/>
          <w:color w:val="000000" w:themeColor="text1"/>
          <w:kern w:val="0"/>
          <w:sz w:val="24"/>
          <w:highlight w:val="none"/>
          <w:lang w:val="zh-CN"/>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6D46A613">
      <w:pPr>
        <w:ind w:firstLine="5250" w:firstLineChars="2500"/>
        <w:rPr>
          <w:rFonts w:hint="eastAsia"/>
          <w:color w:val="000000" w:themeColor="text1"/>
          <w:highlight w:val="none"/>
          <w14:textFill>
            <w14:solidFill>
              <w14:schemeClr w14:val="tx1"/>
            </w14:solidFill>
          </w14:textFill>
        </w:rPr>
      </w:pPr>
    </w:p>
    <w:p w14:paraId="50E4107B">
      <w:pPr>
        <w:pStyle w:val="17"/>
        <w:spacing w:line="500" w:lineRule="exact"/>
        <w:ind w:firstLine="602" w:firstLineChars="200"/>
        <w:jc w:val="center"/>
        <w:rPr>
          <w:rFonts w:hint="eastAsia" w:ascii="仿宋" w:hAnsi="仿宋" w:eastAsia="仿宋" w:cs="仿宋_GB2312"/>
          <w:b/>
          <w:color w:val="000000" w:themeColor="text1"/>
          <w:kern w:val="2"/>
          <w:sz w:val="30"/>
          <w:szCs w:val="30"/>
          <w:highlight w:val="none"/>
          <w:lang w:eastAsia="zh-CN"/>
          <w14:textFill>
            <w14:solidFill>
              <w14:schemeClr w14:val="tx1"/>
            </w14:solidFill>
          </w14:textFill>
        </w:rPr>
      </w:pPr>
      <w:r>
        <w:rPr>
          <w:rFonts w:hint="eastAsia" w:ascii="仿宋" w:hAnsi="仿宋" w:eastAsia="仿宋" w:cs="仿宋_GB2312"/>
          <w:b/>
          <w:color w:val="000000" w:themeColor="text1"/>
          <w:kern w:val="2"/>
          <w:sz w:val="30"/>
          <w:szCs w:val="30"/>
          <w:highlight w:val="none"/>
          <w14:textFill>
            <w14:solidFill>
              <w14:schemeClr w14:val="tx1"/>
            </w14:solidFill>
          </w14:textFill>
        </w:rPr>
        <w:t>二、响应报价表</w:t>
      </w:r>
    </w:p>
    <w:p w14:paraId="164ACAD1">
      <w:pPr>
        <w:snapToGrid w:val="0"/>
        <w:spacing w:before="50" w:after="50" w:line="360" w:lineRule="auto"/>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r>
        <w:rPr>
          <w:rFonts w:hint="eastAsia" w:ascii="宋体" w:hAnsi="宋体" w:cs="仿宋_GB2312"/>
          <w:color w:val="000000" w:themeColor="text1"/>
          <w:sz w:val="24"/>
          <w:highlight w:val="none"/>
          <w:u w:val="single"/>
          <w:lang w:eastAsia="zh-CN"/>
          <w14:textFill>
            <w14:solidFill>
              <w14:schemeClr w14:val="tx1"/>
            </w14:solidFill>
          </w14:textFill>
        </w:rPr>
        <w:t>档案室库房设备采购项目</w:t>
      </w:r>
      <w:r>
        <w:rPr>
          <w:rFonts w:hint="eastAsia" w:ascii="宋体" w:hAnsi="宋体" w:cs="仿宋_GB2312"/>
          <w:color w:val="000000" w:themeColor="text1"/>
          <w:sz w:val="24"/>
          <w:highlight w:val="none"/>
          <w:u w:val="non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项目编号：</w:t>
      </w:r>
      <w:r>
        <w:rPr>
          <w:rFonts w:hint="eastAsia" w:ascii="宋体" w:hAnsi="宋体"/>
          <w:color w:val="000000" w:themeColor="text1"/>
          <w:sz w:val="24"/>
          <w:highlight w:val="none"/>
          <w:u w:val="single"/>
          <w:lang w:eastAsia="zh-CN"/>
          <w14:textFill>
            <w14:solidFill>
              <w14:schemeClr w14:val="tx1"/>
            </w14:solidFill>
          </w14:textFill>
        </w:rPr>
        <w:t>NNZC2026-J1-990724-GXJT</w:t>
      </w:r>
    </w:p>
    <w:p w14:paraId="119BB936">
      <w:pPr>
        <w:snapToGrid w:val="0"/>
        <w:spacing w:before="50" w:after="50" w:line="360" w:lineRule="auto"/>
        <w:rPr>
          <w:rFonts w:hint="eastAsia" w:ascii="宋体" w:hAnsi="宋体" w:eastAsia="宋体"/>
          <w:color w:val="000000" w:themeColor="text1"/>
          <w:sz w:val="24"/>
          <w:highlight w:val="none"/>
          <w:u w:val="single"/>
          <w:lang w:eastAsia="zh-CN"/>
          <w14:textFill>
            <w14:solidFill>
              <w14:schemeClr w14:val="tx1"/>
            </w14:solidFill>
          </w14:textFill>
        </w:rPr>
      </w:pPr>
      <w:r>
        <w:rPr>
          <w:rFonts w:hint="eastAsia" w:hAnsi="宋体"/>
          <w:color w:val="000000" w:themeColor="text1"/>
          <w:sz w:val="24"/>
          <w:highlight w:val="none"/>
          <w14:textFill>
            <w14:solidFill>
              <w14:schemeClr w14:val="tx1"/>
            </w14:solidFill>
          </w14:textFill>
        </w:rPr>
        <w:t>供应商名称：</w:t>
      </w:r>
    </w:p>
    <w:tbl>
      <w:tblPr>
        <w:tblStyle w:val="29"/>
        <w:tblpPr w:leftFromText="180" w:rightFromText="180" w:vertAnchor="text" w:horzAnchor="page" w:tblpX="1137" w:tblpY="196"/>
        <w:tblOverlap w:val="never"/>
        <w:tblW w:w="98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1383"/>
        <w:gridCol w:w="1927"/>
        <w:gridCol w:w="1216"/>
        <w:gridCol w:w="1080"/>
        <w:gridCol w:w="954"/>
        <w:gridCol w:w="1570"/>
        <w:gridCol w:w="1085"/>
      </w:tblGrid>
      <w:tr w14:paraId="3D826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5F5EF2A8">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序号</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521F0D70">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货物名称</w:t>
            </w:r>
          </w:p>
        </w:tc>
        <w:tc>
          <w:tcPr>
            <w:tcW w:w="1927" w:type="dxa"/>
            <w:tcBorders>
              <w:top w:val="single" w:color="auto" w:sz="4" w:space="0"/>
              <w:left w:val="single" w:color="auto" w:sz="4" w:space="0"/>
              <w:bottom w:val="single" w:color="auto" w:sz="4" w:space="0"/>
              <w:right w:val="single" w:color="auto" w:sz="4" w:space="0"/>
            </w:tcBorders>
            <w:noWrap w:val="0"/>
            <w:vAlign w:val="center"/>
          </w:tcPr>
          <w:p w14:paraId="4D4BA068">
            <w:pPr>
              <w:jc w:val="cente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货物规格型号</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756219F8">
            <w:pPr>
              <w:jc w:val="center"/>
              <w:rPr>
                <w:rFonts w:ascii="宋体" w:hAnsi="宋体"/>
                <w:color w:val="000000" w:themeColor="text1"/>
                <w:szCs w:val="22"/>
                <w:highlight w:val="none"/>
                <w14:textFill>
                  <w14:solidFill>
                    <w14:schemeClr w14:val="tx1"/>
                  </w14:solidFill>
                </w14:textFill>
              </w:rPr>
            </w:pPr>
            <w:r>
              <w:rPr>
                <w:rFonts w:ascii="宋体" w:hAnsi="宋体"/>
                <w:color w:val="000000" w:themeColor="text1"/>
                <w:szCs w:val="22"/>
                <w:highlight w:val="none"/>
                <w14:textFill>
                  <w14:solidFill>
                    <w14:schemeClr w14:val="tx1"/>
                  </w14:solidFill>
                </w14:textFill>
              </w:rPr>
              <w:t>品牌</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C682808">
            <w:pPr>
              <w:jc w:val="cente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数量①</w:t>
            </w:r>
          </w:p>
        </w:tc>
        <w:tc>
          <w:tcPr>
            <w:tcW w:w="954" w:type="dxa"/>
            <w:tcBorders>
              <w:top w:val="single" w:color="auto" w:sz="4" w:space="0"/>
              <w:left w:val="single" w:color="auto" w:sz="4" w:space="0"/>
              <w:bottom w:val="single" w:color="auto" w:sz="4" w:space="0"/>
              <w:right w:val="single" w:color="auto" w:sz="4" w:space="0"/>
            </w:tcBorders>
            <w:noWrap w:val="0"/>
            <w:vAlign w:val="center"/>
          </w:tcPr>
          <w:p w14:paraId="54D1BE1A">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单价(元)②</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3EF4CEF3">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单项合价（元）</w:t>
            </w:r>
          </w:p>
          <w:p w14:paraId="457112D7">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③＝①×②</w:t>
            </w:r>
          </w:p>
        </w:tc>
        <w:tc>
          <w:tcPr>
            <w:tcW w:w="1085" w:type="dxa"/>
            <w:tcBorders>
              <w:top w:val="single" w:color="auto" w:sz="4" w:space="0"/>
              <w:left w:val="single" w:color="auto" w:sz="4" w:space="0"/>
              <w:bottom w:val="single" w:color="auto" w:sz="4" w:space="0"/>
              <w:right w:val="single" w:color="auto" w:sz="4" w:space="0"/>
            </w:tcBorders>
            <w:noWrap w:val="0"/>
            <w:vAlign w:val="center"/>
          </w:tcPr>
          <w:p w14:paraId="628A9138">
            <w:pPr>
              <w:jc w:val="cente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备注</w:t>
            </w:r>
          </w:p>
        </w:tc>
      </w:tr>
      <w:tr w14:paraId="5C851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22976826">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1</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6D2B174C">
            <w:pPr>
              <w:rPr>
                <w:rFonts w:hint="eastAsia" w:ascii="宋体" w:hAnsi="宋体"/>
                <w:color w:val="000000" w:themeColor="text1"/>
                <w:szCs w:val="22"/>
                <w:highlight w:val="none"/>
                <w14:textFill>
                  <w14:solidFill>
                    <w14:schemeClr w14:val="tx1"/>
                  </w14:solidFill>
                </w14:textFill>
              </w:rPr>
            </w:pPr>
          </w:p>
        </w:tc>
        <w:tc>
          <w:tcPr>
            <w:tcW w:w="1927" w:type="dxa"/>
            <w:tcBorders>
              <w:top w:val="single" w:color="auto" w:sz="4" w:space="0"/>
              <w:left w:val="single" w:color="auto" w:sz="4" w:space="0"/>
              <w:bottom w:val="single" w:color="auto" w:sz="4" w:space="0"/>
              <w:right w:val="single" w:color="auto" w:sz="4" w:space="0"/>
            </w:tcBorders>
            <w:noWrap w:val="0"/>
            <w:vAlign w:val="center"/>
          </w:tcPr>
          <w:p w14:paraId="2FD220AD">
            <w:pPr>
              <w:rPr>
                <w:rFonts w:hint="eastAsia" w:ascii="宋体" w:hAnsi="宋体"/>
                <w:color w:val="000000" w:themeColor="text1"/>
                <w:szCs w:val="22"/>
                <w:highlight w:val="none"/>
                <w14:textFill>
                  <w14:solidFill>
                    <w14:schemeClr w14:val="tx1"/>
                  </w14:solidFill>
                </w14:textFill>
              </w:rPr>
            </w:pPr>
          </w:p>
        </w:tc>
        <w:tc>
          <w:tcPr>
            <w:tcW w:w="1216" w:type="dxa"/>
            <w:tcBorders>
              <w:top w:val="single" w:color="auto" w:sz="4" w:space="0"/>
              <w:left w:val="single" w:color="auto" w:sz="4" w:space="0"/>
              <w:bottom w:val="single" w:color="auto" w:sz="4" w:space="0"/>
              <w:right w:val="single" w:color="auto" w:sz="4" w:space="0"/>
            </w:tcBorders>
            <w:noWrap w:val="0"/>
            <w:vAlign w:val="center"/>
          </w:tcPr>
          <w:p w14:paraId="1C833133">
            <w:pPr>
              <w:rPr>
                <w:rFonts w:hint="eastAsia" w:ascii="宋体" w:hAnsi="宋体"/>
                <w:color w:val="000000" w:themeColor="text1"/>
                <w:szCs w:val="22"/>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A180E80">
            <w:pPr>
              <w:rPr>
                <w:rFonts w:hint="eastAsia" w:ascii="宋体" w:hAnsi="宋体"/>
                <w:color w:val="000000" w:themeColor="text1"/>
                <w:szCs w:val="22"/>
                <w:highlight w:val="none"/>
                <w14:textFill>
                  <w14:solidFill>
                    <w14:schemeClr w14:val="tx1"/>
                  </w14:solidFill>
                </w14:textFill>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0C015AED">
            <w:pPr>
              <w:rPr>
                <w:rFonts w:hint="eastAsia" w:ascii="宋体" w:hAnsi="宋体"/>
                <w:color w:val="000000" w:themeColor="text1"/>
                <w:szCs w:val="22"/>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14:paraId="66A914A8">
            <w:pPr>
              <w:rPr>
                <w:rFonts w:hint="eastAsia" w:ascii="宋体" w:hAnsi="宋体"/>
                <w:color w:val="000000" w:themeColor="text1"/>
                <w:szCs w:val="22"/>
                <w:highlight w:val="none"/>
                <w14:textFill>
                  <w14:solidFill>
                    <w14:schemeClr w14:val="tx1"/>
                  </w14:solidFill>
                </w14:textFill>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1D6569A4">
            <w:pPr>
              <w:rPr>
                <w:rFonts w:hint="eastAsia" w:ascii="宋体" w:hAnsi="宋体"/>
                <w:color w:val="000000" w:themeColor="text1"/>
                <w:szCs w:val="22"/>
                <w:highlight w:val="none"/>
                <w14:textFill>
                  <w14:solidFill>
                    <w14:schemeClr w14:val="tx1"/>
                  </w14:solidFill>
                </w14:textFill>
              </w:rPr>
            </w:pPr>
          </w:p>
        </w:tc>
      </w:tr>
      <w:tr w14:paraId="12F35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7B8AB19D">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2</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2F2F28C6">
            <w:pPr>
              <w:rPr>
                <w:rFonts w:hint="eastAsia" w:ascii="宋体" w:hAnsi="宋体"/>
                <w:color w:val="000000" w:themeColor="text1"/>
                <w:szCs w:val="22"/>
                <w:highlight w:val="none"/>
                <w14:textFill>
                  <w14:solidFill>
                    <w14:schemeClr w14:val="tx1"/>
                  </w14:solidFill>
                </w14:textFill>
              </w:rPr>
            </w:pPr>
          </w:p>
        </w:tc>
        <w:tc>
          <w:tcPr>
            <w:tcW w:w="1927" w:type="dxa"/>
            <w:tcBorders>
              <w:top w:val="single" w:color="auto" w:sz="4" w:space="0"/>
              <w:left w:val="single" w:color="auto" w:sz="4" w:space="0"/>
              <w:bottom w:val="single" w:color="auto" w:sz="4" w:space="0"/>
              <w:right w:val="single" w:color="auto" w:sz="4" w:space="0"/>
            </w:tcBorders>
            <w:noWrap w:val="0"/>
            <w:vAlign w:val="center"/>
          </w:tcPr>
          <w:p w14:paraId="4672CD18">
            <w:pPr>
              <w:rPr>
                <w:rFonts w:hint="eastAsia" w:ascii="宋体" w:hAnsi="宋体"/>
                <w:color w:val="000000" w:themeColor="text1"/>
                <w:szCs w:val="22"/>
                <w:highlight w:val="none"/>
                <w14:textFill>
                  <w14:solidFill>
                    <w14:schemeClr w14:val="tx1"/>
                  </w14:solidFill>
                </w14:textFill>
              </w:rPr>
            </w:pPr>
          </w:p>
        </w:tc>
        <w:tc>
          <w:tcPr>
            <w:tcW w:w="1216" w:type="dxa"/>
            <w:tcBorders>
              <w:top w:val="single" w:color="auto" w:sz="4" w:space="0"/>
              <w:left w:val="single" w:color="auto" w:sz="4" w:space="0"/>
              <w:bottom w:val="single" w:color="auto" w:sz="4" w:space="0"/>
              <w:right w:val="single" w:color="auto" w:sz="4" w:space="0"/>
            </w:tcBorders>
            <w:noWrap w:val="0"/>
            <w:vAlign w:val="center"/>
          </w:tcPr>
          <w:p w14:paraId="629C5A14">
            <w:pPr>
              <w:rPr>
                <w:rFonts w:hint="eastAsia" w:ascii="宋体" w:hAnsi="宋体"/>
                <w:color w:val="000000" w:themeColor="text1"/>
                <w:szCs w:val="22"/>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C769F2A">
            <w:pPr>
              <w:rPr>
                <w:rFonts w:hint="eastAsia" w:ascii="宋体" w:hAnsi="宋体"/>
                <w:color w:val="000000" w:themeColor="text1"/>
                <w:szCs w:val="22"/>
                <w:highlight w:val="none"/>
                <w14:textFill>
                  <w14:solidFill>
                    <w14:schemeClr w14:val="tx1"/>
                  </w14:solidFill>
                </w14:textFill>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43926D3E">
            <w:pPr>
              <w:rPr>
                <w:rFonts w:hint="eastAsia" w:ascii="宋体" w:hAnsi="宋体"/>
                <w:color w:val="000000" w:themeColor="text1"/>
                <w:szCs w:val="22"/>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14:paraId="5F06E605">
            <w:pPr>
              <w:rPr>
                <w:rFonts w:hint="eastAsia" w:ascii="宋体" w:hAnsi="宋体"/>
                <w:color w:val="000000" w:themeColor="text1"/>
                <w:szCs w:val="22"/>
                <w:highlight w:val="none"/>
                <w14:textFill>
                  <w14:solidFill>
                    <w14:schemeClr w14:val="tx1"/>
                  </w14:solidFill>
                </w14:textFill>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3AA0E774">
            <w:pPr>
              <w:rPr>
                <w:rFonts w:hint="eastAsia" w:ascii="宋体" w:hAnsi="宋体"/>
                <w:color w:val="000000" w:themeColor="text1"/>
                <w:szCs w:val="22"/>
                <w:highlight w:val="none"/>
                <w14:textFill>
                  <w14:solidFill>
                    <w14:schemeClr w14:val="tx1"/>
                  </w14:solidFill>
                </w14:textFill>
              </w:rPr>
            </w:pPr>
          </w:p>
        </w:tc>
      </w:tr>
      <w:tr w14:paraId="17F6F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1E25C54B">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5AF4D966">
            <w:pPr>
              <w:rPr>
                <w:rFonts w:hint="eastAsia" w:ascii="宋体" w:hAnsi="宋体"/>
                <w:color w:val="000000" w:themeColor="text1"/>
                <w:szCs w:val="22"/>
                <w:highlight w:val="none"/>
                <w14:textFill>
                  <w14:solidFill>
                    <w14:schemeClr w14:val="tx1"/>
                  </w14:solidFill>
                </w14:textFill>
              </w:rPr>
            </w:pPr>
          </w:p>
        </w:tc>
        <w:tc>
          <w:tcPr>
            <w:tcW w:w="1927" w:type="dxa"/>
            <w:tcBorders>
              <w:top w:val="single" w:color="auto" w:sz="4" w:space="0"/>
              <w:left w:val="single" w:color="auto" w:sz="4" w:space="0"/>
              <w:bottom w:val="single" w:color="auto" w:sz="4" w:space="0"/>
              <w:right w:val="single" w:color="auto" w:sz="4" w:space="0"/>
            </w:tcBorders>
            <w:noWrap w:val="0"/>
            <w:vAlign w:val="center"/>
          </w:tcPr>
          <w:p w14:paraId="4AAFCD01">
            <w:pPr>
              <w:rPr>
                <w:rFonts w:hint="eastAsia" w:ascii="宋体" w:hAnsi="宋体"/>
                <w:color w:val="000000" w:themeColor="text1"/>
                <w:szCs w:val="22"/>
                <w:highlight w:val="none"/>
                <w14:textFill>
                  <w14:solidFill>
                    <w14:schemeClr w14:val="tx1"/>
                  </w14:solidFill>
                </w14:textFill>
              </w:rPr>
            </w:pPr>
          </w:p>
        </w:tc>
        <w:tc>
          <w:tcPr>
            <w:tcW w:w="1216" w:type="dxa"/>
            <w:tcBorders>
              <w:top w:val="single" w:color="auto" w:sz="4" w:space="0"/>
              <w:left w:val="single" w:color="auto" w:sz="4" w:space="0"/>
              <w:bottom w:val="single" w:color="auto" w:sz="4" w:space="0"/>
              <w:right w:val="single" w:color="auto" w:sz="4" w:space="0"/>
            </w:tcBorders>
            <w:noWrap w:val="0"/>
            <w:vAlign w:val="center"/>
          </w:tcPr>
          <w:p w14:paraId="4827520A">
            <w:pPr>
              <w:rPr>
                <w:rFonts w:hint="eastAsia" w:ascii="宋体" w:hAnsi="宋体"/>
                <w:color w:val="000000" w:themeColor="text1"/>
                <w:szCs w:val="22"/>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210D6F6">
            <w:pPr>
              <w:rPr>
                <w:rFonts w:hint="eastAsia" w:ascii="宋体" w:hAnsi="宋体"/>
                <w:color w:val="000000" w:themeColor="text1"/>
                <w:szCs w:val="22"/>
                <w:highlight w:val="none"/>
                <w14:textFill>
                  <w14:solidFill>
                    <w14:schemeClr w14:val="tx1"/>
                  </w14:solidFill>
                </w14:textFill>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423FAABB">
            <w:pPr>
              <w:rPr>
                <w:rFonts w:hint="eastAsia" w:ascii="宋体" w:hAnsi="宋体"/>
                <w:color w:val="000000" w:themeColor="text1"/>
                <w:szCs w:val="22"/>
                <w:highlight w:val="none"/>
                <w14:textFill>
                  <w14:solidFill>
                    <w14:schemeClr w14:val="tx1"/>
                  </w14:solidFill>
                </w14:textFill>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14:paraId="03475788">
            <w:pPr>
              <w:rPr>
                <w:rFonts w:hint="eastAsia" w:ascii="宋体" w:hAnsi="宋体"/>
                <w:color w:val="000000" w:themeColor="text1"/>
                <w:szCs w:val="22"/>
                <w:highlight w:val="none"/>
                <w14:textFill>
                  <w14:solidFill>
                    <w14:schemeClr w14:val="tx1"/>
                  </w14:solidFill>
                </w14:textFill>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70742349">
            <w:pPr>
              <w:rPr>
                <w:rFonts w:hint="eastAsia" w:ascii="宋体" w:hAnsi="宋体"/>
                <w:color w:val="000000" w:themeColor="text1"/>
                <w:szCs w:val="22"/>
                <w:highlight w:val="none"/>
                <w14:textFill>
                  <w14:solidFill>
                    <w14:schemeClr w14:val="tx1"/>
                  </w14:solidFill>
                </w14:textFill>
              </w:rPr>
            </w:pPr>
          </w:p>
        </w:tc>
      </w:tr>
      <w:tr w14:paraId="47852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noWrap w:val="0"/>
            <w:vAlign w:val="top"/>
          </w:tcPr>
          <w:p w14:paraId="36C9E6B7">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报价合计（包含税费等所有费用）：（大写）人民币（￥元）</w:t>
            </w:r>
          </w:p>
        </w:tc>
      </w:tr>
      <w:tr w14:paraId="28471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noWrap w:val="0"/>
            <w:vAlign w:val="top"/>
          </w:tcPr>
          <w:p w14:paraId="6A3FDD61">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w:t>
            </w:r>
            <w:r>
              <w:rPr>
                <w:rFonts w:hint="eastAsia" w:ascii="宋体" w:hAnsi="宋体"/>
                <w:color w:val="000000" w:themeColor="text1"/>
                <w:szCs w:val="21"/>
                <w:highlight w:val="none"/>
                <w14:textFill>
                  <w14:solidFill>
                    <w14:schemeClr w14:val="tx1"/>
                  </w14:solidFill>
                </w14:textFill>
              </w:rPr>
              <w:t>分标（此处有分标时填写具体分标号，无分标时填写“无”）</w:t>
            </w:r>
          </w:p>
        </w:tc>
      </w:tr>
      <w:tr w14:paraId="0F419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7" w:hRule="atLeast"/>
        </w:trPr>
        <w:tc>
          <w:tcPr>
            <w:tcW w:w="9810" w:type="dxa"/>
            <w:gridSpan w:val="8"/>
            <w:tcBorders>
              <w:top w:val="single" w:color="auto" w:sz="4" w:space="0"/>
              <w:left w:val="single" w:color="auto" w:sz="4" w:space="0"/>
              <w:bottom w:val="single" w:color="auto" w:sz="4" w:space="0"/>
              <w:right w:val="single" w:color="auto" w:sz="4" w:space="0"/>
            </w:tcBorders>
            <w:noWrap w:val="0"/>
            <w:vAlign w:val="top"/>
          </w:tcPr>
          <w:p w14:paraId="1BAF4C4B">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验收标准：</w:t>
            </w:r>
          </w:p>
        </w:tc>
      </w:tr>
      <w:tr w14:paraId="75E22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trPr>
        <w:tc>
          <w:tcPr>
            <w:tcW w:w="9810" w:type="dxa"/>
            <w:gridSpan w:val="8"/>
            <w:tcBorders>
              <w:top w:val="single" w:color="auto" w:sz="4" w:space="0"/>
              <w:left w:val="single" w:color="auto" w:sz="4" w:space="0"/>
              <w:bottom w:val="single" w:color="auto" w:sz="4" w:space="0"/>
              <w:right w:val="single" w:color="auto" w:sz="4" w:space="0"/>
            </w:tcBorders>
            <w:noWrap w:val="0"/>
            <w:vAlign w:val="top"/>
          </w:tcPr>
          <w:p w14:paraId="2426A021">
            <w:pPr>
              <w:rPr>
                <w:rFonts w:hint="eastAsia" w:ascii="宋体" w:hAnsi="宋体"/>
                <w:color w:val="000000" w:themeColor="text1"/>
                <w:szCs w:val="22"/>
                <w:highlight w:val="none"/>
                <w14:textFill>
                  <w14:solidFill>
                    <w14:schemeClr w14:val="tx1"/>
                  </w14:solidFill>
                </w14:textFill>
              </w:rPr>
            </w:pPr>
            <w:r>
              <w:rPr>
                <w:rFonts w:hint="eastAsia" w:ascii="宋体" w:hAnsi="宋体"/>
                <w:color w:val="000000" w:themeColor="text1"/>
                <w:szCs w:val="22"/>
                <w:highlight w:val="none"/>
                <w14:textFill>
                  <w14:solidFill>
                    <w14:schemeClr w14:val="tx1"/>
                  </w14:solidFill>
                </w14:textFill>
              </w:rPr>
              <w:t>优惠及其它：</w:t>
            </w:r>
          </w:p>
        </w:tc>
      </w:tr>
      <w:tr w14:paraId="00170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trPr>
        <w:tc>
          <w:tcPr>
            <w:tcW w:w="9810" w:type="dxa"/>
            <w:gridSpan w:val="8"/>
            <w:tcBorders>
              <w:top w:val="single" w:color="auto" w:sz="4" w:space="0"/>
              <w:left w:val="single" w:color="auto" w:sz="4" w:space="0"/>
              <w:bottom w:val="single" w:color="auto" w:sz="4" w:space="0"/>
              <w:right w:val="single" w:color="auto" w:sz="4" w:space="0"/>
            </w:tcBorders>
            <w:noWrap w:val="0"/>
            <w:vAlign w:val="top"/>
          </w:tcPr>
          <w:p w14:paraId="29921DC8">
            <w:pPr>
              <w:rPr>
                <w:rFonts w:hint="eastAsia" w:ascii="宋体" w:hAnsi="宋体"/>
                <w:color w:val="000000" w:themeColor="text1"/>
                <w:szCs w:val="22"/>
                <w:highlight w:val="none"/>
                <w14:textFill>
                  <w14:solidFill>
                    <w14:schemeClr w14:val="tx1"/>
                  </w14:solidFill>
                </w14:textFill>
              </w:rPr>
            </w:pPr>
            <w:r>
              <w:rPr>
                <w:rFonts w:hint="eastAsia" w:ascii="宋体" w:hAnsi="宋体"/>
                <w:b/>
                <w:bCs/>
                <w:color w:val="000000" w:themeColor="text1"/>
                <w:szCs w:val="22"/>
                <w:highlight w:val="none"/>
                <w14:textFill>
                  <w14:solidFill>
                    <w14:schemeClr w14:val="tx1"/>
                  </w14:solidFill>
                </w14:textFill>
              </w:rPr>
              <w:t>响应产品中，属于本国产品总值为¥</w:t>
            </w:r>
            <w:r>
              <w:rPr>
                <w:rFonts w:hint="eastAsia" w:ascii="宋体" w:hAnsi="宋体"/>
                <w:b/>
                <w:bCs/>
                <w:color w:val="000000" w:themeColor="text1"/>
                <w:szCs w:val="22"/>
                <w:highlight w:val="none"/>
                <w:u w:val="single"/>
                <w:lang w:val="en-US" w:eastAsia="zh-CN"/>
                <w14:textFill>
                  <w14:solidFill>
                    <w14:schemeClr w14:val="tx1"/>
                  </w14:solidFill>
                </w14:textFill>
              </w:rPr>
              <w:t xml:space="preserve">       </w:t>
            </w:r>
            <w:r>
              <w:rPr>
                <w:rFonts w:hint="eastAsia" w:ascii="宋体" w:hAnsi="宋体"/>
                <w:b/>
                <w:bCs/>
                <w:color w:val="000000" w:themeColor="text1"/>
                <w:szCs w:val="22"/>
                <w:highlight w:val="none"/>
                <w14:textFill>
                  <w14:solidFill>
                    <w14:schemeClr w14:val="tx1"/>
                  </w14:solidFill>
                </w14:textFill>
              </w:rPr>
              <w:t>（具体明细详见附表，附表格式自拟），占响应产品的比例为</w:t>
            </w:r>
            <w:r>
              <w:rPr>
                <w:rFonts w:hint="eastAsia" w:ascii="宋体" w:hAnsi="Courier New"/>
                <w:b/>
                <w:bCs/>
                <w:color w:val="000000" w:themeColor="text1"/>
                <w:sz w:val="22"/>
                <w:szCs w:val="21"/>
                <w:highlight w:val="none"/>
                <w:u w:val="single"/>
                <w14:textFill>
                  <w14:solidFill>
                    <w14:schemeClr w14:val="tx1"/>
                  </w14:solidFill>
                </w14:textFill>
              </w:rPr>
              <w:t>　　　　　</w:t>
            </w:r>
            <w:r>
              <w:rPr>
                <w:rFonts w:hint="eastAsia" w:ascii="宋体" w:hAnsi="宋体"/>
                <w:b/>
                <w:bCs/>
                <w:color w:val="000000" w:themeColor="text1"/>
                <w:szCs w:val="22"/>
                <w:highlight w:val="none"/>
                <w14:textFill>
                  <w14:solidFill>
                    <w14:schemeClr w14:val="tx1"/>
                  </w14:solidFill>
                </w14:textFill>
              </w:rPr>
              <w:t>%。</w:t>
            </w:r>
          </w:p>
        </w:tc>
      </w:tr>
    </w:tbl>
    <w:p w14:paraId="2A70FA40">
      <w:pPr>
        <w:snapToGrid w:val="0"/>
        <w:spacing w:before="50" w:after="50" w:line="360" w:lineRule="auto"/>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注：</w:t>
      </w:r>
    </w:p>
    <w:p w14:paraId="3DF8E4BF">
      <w:pPr>
        <w:snapToGrid w:val="0"/>
        <w:spacing w:before="50" w:after="50" w:line="360" w:lineRule="auto"/>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1</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供应商需按本表格式填写，不得自行更改，也不得留空,如有多分标，按分标分别提供响应报价表</w:t>
      </w:r>
      <w:r>
        <w:rPr>
          <w:rFonts w:hint="eastAsia" w:ascii="仿宋_GB2312" w:hAnsi="仿宋" w:eastAsia="仿宋_GB2312" w:cs="仿宋_GB2312"/>
          <w:b/>
          <w:color w:val="000000" w:themeColor="text1"/>
          <w:kern w:val="0"/>
          <w:sz w:val="24"/>
          <w:highlight w:val="none"/>
          <w:lang w:val="zh-CN"/>
          <w14:textFill>
            <w14:solidFill>
              <w14:schemeClr w14:val="tx1"/>
            </w14:solidFill>
          </w14:textFill>
        </w:rPr>
        <w:t>。</w:t>
      </w:r>
    </w:p>
    <w:p w14:paraId="67732FCF">
      <w:pPr>
        <w:snapToGrid w:val="0"/>
        <w:spacing w:before="50" w:after="50" w:line="360" w:lineRule="auto"/>
        <w:ind w:firstLine="480" w:firstLineChars="200"/>
        <w:jc w:val="left"/>
        <w:rPr>
          <w:rFonts w:hint="eastAsia" w:ascii="仿宋_GB2312" w:hAnsi="仿宋" w:eastAsia="仿宋_GB2312" w:cs="仿宋_GB2312"/>
          <w:b/>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2</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如为联合体响应的，“供应商名称”处必须列明联合体各方名称，并标注联合体牵头人名称，且盖章处须加盖联合体各方公章，</w:t>
      </w:r>
      <w:r>
        <w:rPr>
          <w:rFonts w:hint="eastAsia" w:ascii="仿宋_GB2312" w:hAnsi="仿宋" w:eastAsia="仿宋_GB2312" w:cs="仿宋_GB2312"/>
          <w:b/>
          <w:color w:val="000000" w:themeColor="text1"/>
          <w:kern w:val="0"/>
          <w:sz w:val="24"/>
          <w:highlight w:val="none"/>
          <w:lang w:val="zh-CN"/>
          <w14:textFill>
            <w14:solidFill>
              <w14:schemeClr w14:val="tx1"/>
            </w14:solidFill>
          </w14:textFill>
        </w:rPr>
        <w:t>否则其响应作无效响应处理。</w:t>
      </w:r>
    </w:p>
    <w:p w14:paraId="02B55CC6">
      <w:pPr>
        <w:snapToGrid w:val="0"/>
        <w:spacing w:before="50" w:after="50" w:line="360" w:lineRule="auto"/>
        <w:ind w:firstLine="480" w:firstLineChars="200"/>
        <w:jc w:val="left"/>
        <w:rPr>
          <w:rFonts w:hint="eastAsia" w:ascii="仿宋_GB2312" w:hAnsi="仿宋" w:eastAsia="仿宋_GB2312" w:cs="仿宋_GB2312"/>
          <w:b/>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3</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以上表格要求细分项目及报价，在“货物名称”一栏中，填写具体货物，</w:t>
      </w:r>
      <w:r>
        <w:rPr>
          <w:rFonts w:hint="eastAsia" w:ascii="仿宋_GB2312" w:hAnsi="仿宋" w:eastAsia="仿宋_GB2312" w:cs="仿宋_GB2312"/>
          <w:b/>
          <w:color w:val="000000" w:themeColor="text1"/>
          <w:kern w:val="0"/>
          <w:sz w:val="24"/>
          <w:highlight w:val="none"/>
          <w:lang w:val="zh-CN"/>
          <w14:textFill>
            <w14:solidFill>
              <w14:schemeClr w14:val="tx1"/>
            </w14:solidFill>
          </w14:textFill>
        </w:rPr>
        <w:t>否则其响应作无效响应处理。</w:t>
      </w:r>
    </w:p>
    <w:p w14:paraId="352B4741">
      <w:pPr>
        <w:snapToGrid w:val="0"/>
        <w:spacing w:line="360" w:lineRule="auto"/>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4</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特别提示：采购机构将对项目名称和项目编号，成交供应商名称、地址和成交金额，主要成交标的的名称、规格型号、数量、单价、货物要求等予以公示。</w:t>
      </w:r>
    </w:p>
    <w:p w14:paraId="6661297F">
      <w:pPr>
        <w:snapToGrid w:val="0"/>
        <w:spacing w:line="360" w:lineRule="auto"/>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szCs w:val="22"/>
          <w:highlight w:val="none"/>
          <w:lang w:val="zh-CN"/>
          <w14:textFill>
            <w14:solidFill>
              <w14:schemeClr w14:val="tx1"/>
            </w14:solidFill>
          </w14:textFill>
        </w:rPr>
        <w:t>5</w:t>
      </w:r>
      <w:r>
        <w:rPr>
          <w:rFonts w:hint="eastAsia" w:ascii="仿宋_GB2312" w:hAnsi="仿宋" w:eastAsia="仿宋_GB2312" w:cs="仿宋_GB2312"/>
          <w:color w:val="000000" w:themeColor="text1"/>
          <w:kern w:val="0"/>
          <w:sz w:val="24"/>
          <w:szCs w:val="22"/>
          <w:highlight w:val="none"/>
          <w:lang w:val="en-US" w:eastAsia="zh-CN"/>
          <w14:textFill>
            <w14:solidFill>
              <w14:schemeClr w14:val="tx1"/>
            </w14:solidFill>
          </w14:textFill>
        </w:rPr>
        <w:t>.</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51BDB1A2">
      <w:pPr>
        <w:autoSpaceDE w:val="0"/>
        <w:autoSpaceDN w:val="0"/>
        <w:spacing w:line="360" w:lineRule="auto"/>
        <w:ind w:left="4334" w:leftChars="2064" w:firstLine="1543" w:firstLineChars="643"/>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67FBBB63">
      <w:pPr>
        <w:bidi w:val="0"/>
        <w:rPr>
          <w:rFonts w:hint="eastAsia" w:ascii="宋体" w:hAnsi="宋体"/>
          <w:b w:val="0"/>
          <w:bCs w:val="0"/>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b w:val="0"/>
          <w:bCs w:val="0"/>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b w:val="0"/>
          <w:bCs w:val="0"/>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b w:val="0"/>
          <w:bCs w:val="0"/>
          <w:color w:val="000000" w:themeColor="text1"/>
          <w:kern w:val="0"/>
          <w:sz w:val="24"/>
          <w:highlight w:val="none"/>
          <w:lang w:val="zh-CN"/>
          <w14:textFill>
            <w14:solidFill>
              <w14:schemeClr w14:val="tx1"/>
            </w14:solidFill>
          </w14:textFill>
        </w:rPr>
        <w:t>年</w:t>
      </w:r>
      <w:r>
        <w:rPr>
          <w:rFonts w:hint="eastAsia" w:ascii="仿宋_GB2312" w:hAnsi="仿宋" w:eastAsia="仿宋_GB2312" w:cs="仿宋_GB2312"/>
          <w:b w:val="0"/>
          <w:bCs w:val="0"/>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b w:val="0"/>
          <w:bCs w:val="0"/>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b w:val="0"/>
          <w:bCs w:val="0"/>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b w:val="0"/>
          <w:bCs w:val="0"/>
          <w:color w:val="000000" w:themeColor="text1"/>
          <w:kern w:val="0"/>
          <w:sz w:val="24"/>
          <w:highlight w:val="none"/>
          <w:lang w:val="zh-CN"/>
          <w14:textFill>
            <w14:solidFill>
              <w14:schemeClr w14:val="tx1"/>
            </w14:solidFill>
          </w14:textFill>
        </w:rPr>
        <w:t>日</w:t>
      </w:r>
      <w:r>
        <w:rPr>
          <w:rFonts w:hint="eastAsia" w:ascii="宋体" w:hAnsi="宋体"/>
          <w:b w:val="0"/>
          <w:bCs w:val="0"/>
          <w:color w:val="000000" w:themeColor="text1"/>
          <w:sz w:val="24"/>
          <w:highlight w:val="none"/>
          <w14:textFill>
            <w14:solidFill>
              <w14:schemeClr w14:val="tx1"/>
            </w14:solidFill>
          </w14:textFill>
        </w:rPr>
        <w:br w:type="page"/>
      </w:r>
      <w:bookmarkStart w:id="81" w:name="_Toc4733"/>
    </w:p>
    <w:p w14:paraId="0DC4D0E8">
      <w:pPr>
        <w:pStyle w:val="17"/>
        <w:jc w:val="center"/>
        <w:rPr>
          <w:rFonts w:ascii="Times New Roman" w:hAnsi="Times New Roman"/>
          <w:b/>
          <w:color w:val="000000" w:themeColor="text1"/>
          <w:sz w:val="30"/>
          <w:szCs w:val="30"/>
          <w:highlight w:val="none"/>
          <w14:textFill>
            <w14:solidFill>
              <w14:schemeClr w14:val="tx1"/>
            </w14:solidFill>
          </w14:textFill>
        </w:rPr>
      </w:pPr>
      <w:r>
        <w:rPr>
          <w:rFonts w:hint="eastAsia" w:ascii="Times New Roman" w:hAnsi="Times New Roman"/>
          <w:b/>
          <w:color w:val="000000" w:themeColor="text1"/>
          <w:sz w:val="30"/>
          <w:szCs w:val="30"/>
          <w:highlight w:val="none"/>
          <w14:textFill>
            <w14:solidFill>
              <w14:schemeClr w14:val="tx1"/>
            </w14:solidFill>
          </w14:textFill>
        </w:rPr>
        <w:t>三、</w:t>
      </w:r>
      <w:r>
        <w:rPr>
          <w:rFonts w:hint="eastAsia"/>
          <w:b/>
          <w:color w:val="000000" w:themeColor="text1"/>
          <w:sz w:val="30"/>
          <w:szCs w:val="30"/>
          <w:highlight w:val="none"/>
          <w14:textFill>
            <w14:solidFill>
              <w14:schemeClr w14:val="tx1"/>
            </w14:solidFill>
          </w14:textFill>
        </w:rPr>
        <w:t>关于符合本国产品标准的声明函</w:t>
      </w:r>
    </w:p>
    <w:p w14:paraId="528F0F79">
      <w:pPr>
        <w:widowControl/>
        <w:shd w:val="clear" w:color="auto" w:fill="FFFFFF"/>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Courier New"/>
          <w:b/>
          <w:color w:val="000000" w:themeColor="text1"/>
          <w:sz w:val="30"/>
          <w:szCs w:val="30"/>
          <w:highlight w:val="none"/>
          <w14:textFill>
            <w14:solidFill>
              <w14:schemeClr w14:val="tx1"/>
            </w14:solidFill>
          </w14:textFill>
        </w:rPr>
        <w:t>关于符合本国产品标准的声明函（如有）</w:t>
      </w:r>
    </w:p>
    <w:p w14:paraId="555181D4">
      <w:pPr>
        <w:widowControl/>
        <w:shd w:val="clear" w:color="auto" w:fill="FFFFFF"/>
        <w:spacing w:line="360" w:lineRule="auto"/>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32EE78EF">
      <w:pPr>
        <w:widowControl/>
        <w:shd w:val="clear" w:color="auto" w:fill="FFFFFF"/>
        <w:spacing w:line="360" w:lineRule="auto"/>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1.（产品名称1）</w:t>
      </w:r>
      <w:r>
        <w:rPr>
          <w:rFonts w:hint="eastAsia" w:ascii="宋体" w:hAnsi="宋体" w:cs="宋体"/>
          <w:color w:val="000000" w:themeColor="text1"/>
          <w:kern w:val="0"/>
          <w:sz w:val="28"/>
          <w:szCs w:val="28"/>
          <w:highlight w:val="none"/>
          <w:vertAlign w:val="superscript"/>
          <w14:textFill>
            <w14:solidFill>
              <w14:schemeClr w14:val="tx1"/>
            </w14:solidFill>
          </w14:textFill>
        </w:rPr>
        <w:t>1</w:t>
      </w:r>
      <w:r>
        <w:rPr>
          <w:rFonts w:hint="eastAsia" w:ascii="宋体" w:hAnsi="宋体" w:cs="宋体"/>
          <w:color w:val="000000" w:themeColor="text1"/>
          <w:kern w:val="0"/>
          <w:sz w:val="24"/>
          <w:highlight w:val="none"/>
          <w14:textFill>
            <w14:solidFill>
              <w14:schemeClr w14:val="tx1"/>
            </w14:solidFill>
          </w14:textFill>
        </w:rPr>
        <w:t>，生产厂为（厂名）</w:t>
      </w:r>
      <w:r>
        <w:rPr>
          <w:rFonts w:hint="eastAsia" w:ascii="宋体" w:hAnsi="宋体" w:cs="宋体"/>
          <w:color w:val="000000" w:themeColor="text1"/>
          <w:kern w:val="0"/>
          <w:sz w:val="28"/>
          <w:szCs w:val="28"/>
          <w:highlight w:val="none"/>
          <w:vertAlign w:val="superscript"/>
          <w14:textFill>
            <w14:solidFill>
              <w14:schemeClr w14:val="tx1"/>
            </w14:solidFill>
          </w14:textFill>
        </w:rPr>
        <w:t>2</w:t>
      </w:r>
      <w:r>
        <w:rPr>
          <w:rFonts w:hint="eastAsia" w:ascii="宋体" w:hAnsi="宋体" w:cs="宋体"/>
          <w:color w:val="000000" w:themeColor="text1"/>
          <w:kern w:val="0"/>
          <w:sz w:val="24"/>
          <w:highlight w:val="none"/>
          <w14:textFill>
            <w14:solidFill>
              <w14:schemeClr w14:val="tx1"/>
            </w14:solidFill>
          </w14:textFill>
        </w:rPr>
        <w:t>，厂址为（生产厂址）。（产品名称1）的中国境内生产的组件成本占比≥（规定比例）</w:t>
      </w:r>
      <w:r>
        <w:rPr>
          <w:rFonts w:hint="eastAsia" w:ascii="宋体" w:hAnsi="宋体" w:cs="宋体"/>
          <w:color w:val="000000" w:themeColor="text1"/>
          <w:kern w:val="0"/>
          <w:sz w:val="28"/>
          <w:szCs w:val="28"/>
          <w:highlight w:val="none"/>
          <w:vertAlign w:val="superscript"/>
          <w14:textFill>
            <w14:solidFill>
              <w14:schemeClr w14:val="tx1"/>
            </w14:solidFill>
          </w14:textFill>
        </w:rPr>
        <w:t>3</w:t>
      </w:r>
      <w:r>
        <w:rPr>
          <w:rFonts w:hint="eastAsia" w:ascii="宋体" w:hAnsi="宋体" w:cs="宋体"/>
          <w:color w:val="000000" w:themeColor="text1"/>
          <w:kern w:val="0"/>
          <w:sz w:val="24"/>
          <w:highlight w:val="none"/>
          <w14:textFill>
            <w14:solidFill>
              <w14:schemeClr w14:val="tx1"/>
            </w14:solidFill>
          </w14:textFill>
        </w:rPr>
        <w:t>。（产品名称1）的（关键组件）</w:t>
      </w:r>
      <w:r>
        <w:rPr>
          <w:rFonts w:hint="eastAsia" w:ascii="宋体" w:hAnsi="宋体" w:cs="宋体"/>
          <w:color w:val="000000" w:themeColor="text1"/>
          <w:kern w:val="0"/>
          <w:sz w:val="28"/>
          <w:szCs w:val="28"/>
          <w:highlight w:val="none"/>
          <w:vertAlign w:val="superscript"/>
          <w14:textFill>
            <w14:solidFill>
              <w14:schemeClr w14:val="tx1"/>
            </w14:solidFill>
          </w14:textFill>
        </w:rPr>
        <w:t>4</w:t>
      </w:r>
      <w:r>
        <w:rPr>
          <w:rFonts w:hint="eastAsia" w:ascii="宋体" w:hAnsi="宋体" w:cs="宋体"/>
          <w:color w:val="000000" w:themeColor="text1"/>
          <w:kern w:val="0"/>
          <w:sz w:val="24"/>
          <w:highlight w:val="none"/>
          <w14:textFill>
            <w14:solidFill>
              <w14:schemeClr w14:val="tx1"/>
            </w14:solidFill>
          </w14:textFill>
        </w:rPr>
        <w:t>在中国境内生产。（产品名称1）的（关键工序）</w:t>
      </w:r>
      <w:r>
        <w:rPr>
          <w:rFonts w:hint="eastAsia" w:ascii="宋体" w:hAnsi="宋体" w:cs="宋体"/>
          <w:color w:val="000000" w:themeColor="text1"/>
          <w:kern w:val="0"/>
          <w:sz w:val="28"/>
          <w:szCs w:val="28"/>
          <w:highlight w:val="none"/>
          <w:vertAlign w:val="superscript"/>
          <w14:textFill>
            <w14:solidFill>
              <w14:schemeClr w14:val="tx1"/>
            </w14:solidFill>
          </w14:textFill>
        </w:rPr>
        <w:t>5</w:t>
      </w:r>
      <w:r>
        <w:rPr>
          <w:rFonts w:hint="eastAsia" w:ascii="宋体" w:hAnsi="宋体" w:cs="宋体"/>
          <w:color w:val="000000" w:themeColor="text1"/>
          <w:kern w:val="0"/>
          <w:sz w:val="24"/>
          <w:highlight w:val="none"/>
          <w14:textFill>
            <w14:solidFill>
              <w14:schemeClr w14:val="tx1"/>
            </w14:solidFill>
          </w14:textFill>
        </w:rPr>
        <w:t>在中国境内完成。</w:t>
      </w:r>
    </w:p>
    <w:p w14:paraId="01A23747">
      <w:pPr>
        <w:widowControl/>
        <w:shd w:val="clear" w:color="auto" w:fill="FFFFFF"/>
        <w:spacing w:line="360" w:lineRule="auto"/>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产品名称2），生产厂为（厂名），厂址为（生产厂址）。（产品名称2）的中国境内生产的组件成本占比≥（规定比例）。（产品名称2）的（关键组件）在中国境内生产。（产品名称2）的（关键工序）在中国境内完成。</w:t>
      </w:r>
    </w:p>
    <w:p w14:paraId="472F5916">
      <w:pPr>
        <w:widowControl/>
        <w:shd w:val="clear" w:color="auto" w:fill="FFFFFF"/>
        <w:spacing w:line="360" w:lineRule="auto"/>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p w14:paraId="7E7986F8">
      <w:pPr>
        <w:widowControl/>
        <w:shd w:val="clear" w:color="auto" w:fill="FFFFFF"/>
        <w:spacing w:line="360" w:lineRule="auto"/>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本公司（单位）对上述声明内容的真实性负责。如有虚假，愿承担相应法律责任。</w:t>
      </w:r>
    </w:p>
    <w:p w14:paraId="173BC591">
      <w:pPr>
        <w:widowControl/>
        <w:shd w:val="clear" w:color="auto" w:fill="FFFFFF"/>
        <w:spacing w:before="30" w:after="30"/>
        <w:rPr>
          <w:rFonts w:hint="eastAsia" w:ascii="宋体" w:hAnsi="宋体" w:cs="宋体"/>
          <w:color w:val="000000" w:themeColor="text1"/>
          <w:kern w:val="0"/>
          <w:sz w:val="24"/>
          <w:highlight w:val="none"/>
          <w14:textFill>
            <w14:solidFill>
              <w14:schemeClr w14:val="tx1"/>
            </w14:solidFill>
          </w14:textFill>
        </w:rPr>
      </w:pPr>
    </w:p>
    <w:p w14:paraId="6B170DAF">
      <w:pPr>
        <w:widowControl/>
        <w:shd w:val="clear" w:color="auto" w:fill="FFFFFF"/>
        <w:spacing w:before="30" w:after="30"/>
        <w:ind w:firstLine="3998" w:firstLineChars="1666"/>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公司（单位）名称（盖章）：</w:t>
      </w:r>
    </w:p>
    <w:p w14:paraId="6E74F3C0">
      <w:pPr>
        <w:widowControl/>
        <w:shd w:val="clear" w:color="auto" w:fill="FFFFFF"/>
        <w:ind w:firstLine="3998" w:firstLineChars="1666"/>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日期：   年    月    日</w:t>
      </w:r>
    </w:p>
    <w:p w14:paraId="17B7EC49">
      <w:pPr>
        <w:widowControl/>
        <w:shd w:val="clear" w:color="auto" w:fill="FFFFFF"/>
        <w:spacing w:before="30" w:after="3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______________________________________________________________________________</w:t>
      </w:r>
    </w:p>
    <w:p w14:paraId="05F076C7">
      <w:pPr>
        <w:widowControl/>
        <w:shd w:val="clear" w:color="auto" w:fill="FFFFFF"/>
        <w:spacing w:line="360" w:lineRule="auto"/>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1.产品如有型号，请在“产品名称”栏一并填写。</w:t>
      </w:r>
    </w:p>
    <w:p w14:paraId="750963FE">
      <w:pPr>
        <w:widowControl/>
        <w:shd w:val="clear" w:color="auto" w:fill="FFFFFF"/>
        <w:spacing w:line="360" w:lineRule="auto"/>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2.生产厂名与厂址应与生产厂营业执照载明的相关信息保持一致。</w:t>
      </w:r>
    </w:p>
    <w:p w14:paraId="044DEDDB">
      <w:pPr>
        <w:widowControl/>
        <w:shd w:val="clear" w:color="auto" w:fill="FFFFFF"/>
        <w:spacing w:line="360" w:lineRule="auto"/>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3.该产品的中国境内生产的组件成本占比相关要求实施前，“规定比例”栏可不填，下同。</w:t>
      </w:r>
    </w:p>
    <w:p w14:paraId="6DA3B808">
      <w:pPr>
        <w:widowControl/>
        <w:shd w:val="clear" w:color="auto" w:fill="FFFFFF"/>
        <w:spacing w:line="360" w:lineRule="auto"/>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4.该产品的关键组件要求实施前，“关键组件”栏可不填，下同。</w:t>
      </w:r>
    </w:p>
    <w:p w14:paraId="43B1AF13">
      <w:pPr>
        <w:widowControl/>
        <w:shd w:val="clear" w:color="auto" w:fill="FFFFFF"/>
        <w:spacing w:line="360" w:lineRule="auto"/>
        <w:ind w:firstLine="480"/>
        <w:jc w:val="left"/>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5.该产品的关键工序要求实施前，“关键工序”栏可不填，下同。</w:t>
      </w:r>
    </w:p>
    <w:p w14:paraId="60B1341F">
      <w:pPr>
        <w:pStyle w:val="28"/>
        <w:rPr>
          <w:rFonts w:hint="eastAsia" w:ascii="宋体" w:hAnsi="宋体" w:cs="宋体"/>
          <w:color w:val="000000" w:themeColor="text1"/>
          <w:kern w:val="0"/>
          <w:sz w:val="24"/>
          <w:highlight w:val="none"/>
          <w14:textFill>
            <w14:solidFill>
              <w14:schemeClr w14:val="tx1"/>
            </w14:solidFill>
          </w14:textFill>
        </w:rPr>
      </w:pPr>
    </w:p>
    <w:p w14:paraId="2C1BF3D0">
      <w:pPr>
        <w:pStyle w:val="28"/>
        <w:rPr>
          <w:rFonts w:hint="eastAsia" w:ascii="宋体" w:hAnsi="宋体" w:cs="宋体"/>
          <w:color w:val="000000" w:themeColor="text1"/>
          <w:kern w:val="0"/>
          <w:sz w:val="24"/>
          <w:highlight w:val="none"/>
          <w14:textFill>
            <w14:solidFill>
              <w14:schemeClr w14:val="tx1"/>
            </w14:solidFill>
          </w14:textFill>
        </w:rPr>
      </w:pPr>
    </w:p>
    <w:p w14:paraId="631EE4C7">
      <w:pPr>
        <w:pStyle w:val="28"/>
        <w:rPr>
          <w:rFonts w:hint="eastAsia" w:ascii="宋体" w:hAnsi="宋体" w:cs="宋体"/>
          <w:color w:val="000000" w:themeColor="text1"/>
          <w:kern w:val="0"/>
          <w:sz w:val="24"/>
          <w:highlight w:val="none"/>
          <w14:textFill>
            <w14:solidFill>
              <w14:schemeClr w14:val="tx1"/>
            </w14:solidFill>
          </w14:textFill>
        </w:rPr>
      </w:pPr>
    </w:p>
    <w:p w14:paraId="798DC93B">
      <w:pPr>
        <w:pStyle w:val="28"/>
        <w:rPr>
          <w:rFonts w:hint="eastAsia" w:ascii="宋体" w:hAnsi="宋体" w:cs="宋体"/>
          <w:color w:val="000000" w:themeColor="text1"/>
          <w:kern w:val="0"/>
          <w:sz w:val="24"/>
          <w:highlight w:val="none"/>
          <w14:textFill>
            <w14:solidFill>
              <w14:schemeClr w14:val="tx1"/>
            </w14:solidFill>
          </w14:textFill>
        </w:rPr>
      </w:pPr>
    </w:p>
    <w:p w14:paraId="5BE83F83">
      <w:pPr>
        <w:pStyle w:val="28"/>
        <w:rPr>
          <w:rFonts w:hint="eastAsia" w:ascii="宋体" w:hAnsi="宋体" w:cs="宋体"/>
          <w:color w:val="000000" w:themeColor="text1"/>
          <w:kern w:val="0"/>
          <w:sz w:val="24"/>
          <w:highlight w:val="none"/>
          <w14:textFill>
            <w14:solidFill>
              <w14:schemeClr w14:val="tx1"/>
            </w14:solidFill>
          </w14:textFill>
        </w:rPr>
      </w:pPr>
    </w:p>
    <w:p w14:paraId="1F5D0323">
      <w:pPr>
        <w:pStyle w:val="28"/>
        <w:rPr>
          <w:rFonts w:hint="eastAsia" w:ascii="宋体" w:hAnsi="宋体" w:cs="宋体"/>
          <w:color w:val="000000" w:themeColor="text1"/>
          <w:kern w:val="0"/>
          <w:sz w:val="24"/>
          <w:highlight w:val="none"/>
          <w14:textFill>
            <w14:solidFill>
              <w14:schemeClr w14:val="tx1"/>
            </w14:solidFill>
          </w14:textFill>
        </w:rPr>
      </w:pPr>
    </w:p>
    <w:p w14:paraId="77610AC1">
      <w:pPr>
        <w:pStyle w:val="3"/>
        <w:jc w:val="center"/>
        <w:rPr>
          <w:rFonts w:hint="eastAsia" w:ascii="宋体" w:hAnsi="宋体" w:cs="宋体"/>
          <w:b w:val="0"/>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第五节其他文书、文件格式</w:t>
      </w:r>
      <w:bookmarkEnd w:id="81"/>
    </w:p>
    <w:p w14:paraId="35CE952A">
      <w:pPr>
        <w:jc w:val="center"/>
        <w:rPr>
          <w:rFonts w:hint="eastAsia" w:ascii="宋体" w:hAnsi="宋体" w:cs="宋体"/>
          <w:b/>
          <w:bCs/>
          <w:color w:val="000000" w:themeColor="text1"/>
          <w:sz w:val="32"/>
          <w:szCs w:val="32"/>
          <w:highlight w:val="none"/>
          <w:lang w:val="en"/>
          <w14:textFill>
            <w14:solidFill>
              <w14:schemeClr w14:val="tx1"/>
            </w14:solidFill>
          </w14:textFill>
        </w:rPr>
      </w:pPr>
      <w:r>
        <w:rPr>
          <w:rFonts w:hint="eastAsia" w:ascii="宋体" w:hAnsi="宋体" w:cs="宋体"/>
          <w:b/>
          <w:bCs/>
          <w:color w:val="000000" w:themeColor="text1"/>
          <w:sz w:val="32"/>
          <w:szCs w:val="32"/>
          <w:highlight w:val="none"/>
          <w:lang w:val="en"/>
          <w14:textFill>
            <w14:solidFill>
              <w14:schemeClr w14:val="tx1"/>
            </w14:solidFill>
          </w14:textFill>
        </w:rPr>
        <w:t>知识产权合规性声明</w:t>
      </w:r>
    </w:p>
    <w:p w14:paraId="3CD74A04">
      <w:pPr>
        <w:ind w:firstLine="600" w:firstLineChars="200"/>
        <w:rPr>
          <w:rFonts w:hint="eastAsia" w:ascii="仿宋_GB2312" w:hAnsi="仿宋_GB2312" w:eastAsia="仿宋_GB2312" w:cs="仿宋_GB2312"/>
          <w:color w:val="000000" w:themeColor="text1"/>
          <w:sz w:val="30"/>
          <w:szCs w:val="30"/>
          <w:highlight w:val="none"/>
          <w14:textFill>
            <w14:solidFill>
              <w14:schemeClr w14:val="tx1"/>
            </w14:solidFill>
          </w14:textFill>
        </w:rPr>
      </w:pPr>
    </w:p>
    <w:p w14:paraId="72D8BE62">
      <w:pPr>
        <w:ind w:firstLine="600" w:firstLineChars="200"/>
        <w:rPr>
          <w:rFonts w:hint="eastAsia" w:ascii="仿宋_GB2312" w:hAnsi="仿宋_GB2312" w:eastAsia="仿宋_GB2312" w:cs="仿宋_GB2312"/>
          <w:color w:val="000000" w:themeColor="text1"/>
          <w:sz w:val="30"/>
          <w:szCs w:val="30"/>
          <w:highlight w:val="none"/>
          <w:lang w:val="en"/>
          <w14:textFill>
            <w14:solidFill>
              <w14:schemeClr w14:val="tx1"/>
            </w14:solidFill>
          </w14:textFill>
        </w:rPr>
      </w:pPr>
      <w:r>
        <w:rPr>
          <w:rFonts w:hint="eastAsia" w:ascii="仿宋_GB2312" w:hAnsi="仿宋_GB2312" w:eastAsia="仿宋_GB2312" w:cs="仿宋_GB2312"/>
          <w:color w:val="000000" w:themeColor="text1"/>
          <w:sz w:val="30"/>
          <w:szCs w:val="30"/>
          <w:highlight w:val="none"/>
          <w14:textFill>
            <w14:solidFill>
              <w14:schemeClr w14:val="tx1"/>
            </w14:solidFill>
          </w14:textFill>
        </w:rPr>
        <w:t>本</w:t>
      </w:r>
      <w:r>
        <w:rPr>
          <w:rFonts w:hint="eastAsia" w:ascii="仿宋_GB2312" w:hAnsi="仿宋_GB2312" w:eastAsia="仿宋_GB2312" w:cs="仿宋_GB2312"/>
          <w:color w:val="000000" w:themeColor="text1"/>
          <w:sz w:val="30"/>
          <w:szCs w:val="30"/>
          <w:highlight w:val="none"/>
          <w:lang w:val="en"/>
          <w14:textFill>
            <w14:solidFill>
              <w14:schemeClr w14:val="tx1"/>
            </w14:solidFill>
          </w14:textFill>
        </w:rPr>
        <w:t>企业（单位）自愿参与政府投资政府采购的</w:t>
      </w:r>
      <w:r>
        <w:rPr>
          <w:rFonts w:hint="eastAsia" w:ascii="仿宋_GB2312" w:hAnsi="仿宋_GB2312" w:eastAsia="仿宋_GB2312" w:cs="仿宋_GB2312"/>
          <w:color w:val="000000" w:themeColor="text1"/>
          <w:sz w:val="30"/>
          <w:szCs w:val="30"/>
          <w:highlight w:val="none"/>
          <w:u w:val="single"/>
          <w:lang w:val="en" w:eastAsia="zh-CN"/>
          <w14:textFill>
            <w14:solidFill>
              <w14:schemeClr w14:val="tx1"/>
            </w14:solidFill>
          </w14:textFill>
        </w:rPr>
        <w:t>档案室库房设备采购项目</w:t>
      </w:r>
      <w:r>
        <w:rPr>
          <w:rFonts w:hint="eastAsia" w:ascii="仿宋_GB2312" w:hAnsi="仿宋_GB2312" w:eastAsia="仿宋_GB2312" w:cs="仿宋_GB2312"/>
          <w:color w:val="000000" w:themeColor="text1"/>
          <w:sz w:val="30"/>
          <w:szCs w:val="30"/>
          <w:highlight w:val="none"/>
          <w:lang w:val="en"/>
          <w14:textFill>
            <w14:solidFill>
              <w14:schemeClr w14:val="tx1"/>
            </w14:solidFill>
          </w14:textFill>
        </w:rPr>
        <w:t>，</w:t>
      </w:r>
      <w:r>
        <w:rPr>
          <w:rFonts w:hint="eastAsia" w:ascii="仿宋_GB2312" w:hAnsi="仿宋_GB2312" w:eastAsia="仿宋_GB2312" w:cs="仿宋_GB2312"/>
          <w:b/>
          <w:bCs/>
          <w:color w:val="000000" w:themeColor="text1"/>
          <w:sz w:val="30"/>
          <w:szCs w:val="30"/>
          <w:highlight w:val="none"/>
          <w:lang w:val="en"/>
          <w14:textFill>
            <w14:solidFill>
              <w14:schemeClr w14:val="tx1"/>
            </w14:solidFill>
          </w14:textFill>
        </w:rPr>
        <w:t>在此郑重承诺：</w:t>
      </w:r>
      <w:r>
        <w:rPr>
          <w:rFonts w:hint="eastAsia" w:ascii="仿宋_GB2312" w:hAnsi="仿宋_GB2312" w:eastAsia="仿宋_GB2312" w:cs="仿宋_GB2312"/>
          <w:color w:val="000000" w:themeColor="text1"/>
          <w:sz w:val="30"/>
          <w:szCs w:val="30"/>
          <w:highlight w:val="none"/>
          <w:lang w:val="en"/>
          <w14:textFill>
            <w14:solidFill>
              <w14:schemeClr w14:val="tx1"/>
            </w14:solidFill>
          </w14:textFill>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w:t>
      </w:r>
      <w:r>
        <w:rPr>
          <w:rFonts w:hint="eastAsia" w:ascii="仿宋_GB2312" w:hAnsi="仿宋_GB2312" w:eastAsia="仿宋_GB2312" w:cs="仿宋_GB2312"/>
          <w:color w:val="000000" w:themeColor="text1"/>
          <w:sz w:val="30"/>
          <w:szCs w:val="30"/>
          <w:highlight w:val="none"/>
          <w14:textFill>
            <w14:solidFill>
              <w14:schemeClr w14:val="tx1"/>
            </w14:solidFill>
          </w14:textFill>
        </w:rPr>
        <w:t>单位</w:t>
      </w:r>
      <w:r>
        <w:rPr>
          <w:rFonts w:hint="eastAsia" w:ascii="仿宋_GB2312" w:hAnsi="仿宋_GB2312" w:eastAsia="仿宋_GB2312" w:cs="仿宋_GB2312"/>
          <w:color w:val="000000" w:themeColor="text1"/>
          <w:sz w:val="30"/>
          <w:szCs w:val="30"/>
          <w:highlight w:val="none"/>
          <w:lang w:val="en"/>
          <w14:textFill>
            <w14:solidFill>
              <w14:schemeClr w14:val="tx1"/>
            </w14:solidFill>
          </w14:textFill>
        </w:rPr>
        <w:t>）将承担由此产生的全部责任。</w:t>
      </w:r>
    </w:p>
    <w:p w14:paraId="52AABFF0">
      <w:pPr>
        <w:snapToGrid w:val="0"/>
        <w:spacing w:line="360" w:lineRule="auto"/>
        <w:ind w:left="5137" w:leftChars="1736" w:hanging="1491" w:hangingChars="825"/>
        <w:rPr>
          <w:rFonts w:hint="eastAsia" w:eastAsia="宋体"/>
          <w:b/>
          <w:color w:val="000000" w:themeColor="text1"/>
          <w:sz w:val="18"/>
          <w:szCs w:val="18"/>
          <w:highlight w:val="none"/>
          <w:lang w:eastAsia="zh-CN"/>
          <w14:textFill>
            <w14:solidFill>
              <w14:schemeClr w14:val="tx1"/>
            </w14:solidFill>
          </w14:textFill>
        </w:rPr>
      </w:pPr>
    </w:p>
    <w:p w14:paraId="3EE327EB">
      <w:pPr>
        <w:snapToGrid w:val="0"/>
        <w:spacing w:line="360" w:lineRule="auto"/>
        <w:ind w:left="5137" w:leftChars="1736" w:hanging="1491" w:hangingChars="825"/>
        <w:rPr>
          <w:b/>
          <w:color w:val="000000" w:themeColor="text1"/>
          <w:sz w:val="18"/>
          <w:szCs w:val="18"/>
          <w:highlight w:val="none"/>
          <w14:textFill>
            <w14:solidFill>
              <w14:schemeClr w14:val="tx1"/>
            </w14:solidFill>
          </w14:textFill>
        </w:rPr>
      </w:pPr>
    </w:p>
    <w:p w14:paraId="39110C6F">
      <w:pPr>
        <w:snapToGrid w:val="0"/>
        <w:spacing w:line="360" w:lineRule="auto"/>
        <w:ind w:left="5137" w:leftChars="1736" w:hanging="1491" w:hangingChars="825"/>
        <w:rPr>
          <w:b/>
          <w:color w:val="000000" w:themeColor="text1"/>
          <w:sz w:val="18"/>
          <w:szCs w:val="18"/>
          <w:highlight w:val="none"/>
          <w14:textFill>
            <w14:solidFill>
              <w14:schemeClr w14:val="tx1"/>
            </w14:solidFill>
          </w14:textFill>
        </w:rPr>
      </w:pPr>
    </w:p>
    <w:p w14:paraId="36324C05">
      <w:pPr>
        <w:snapToGrid w:val="0"/>
        <w:spacing w:line="360" w:lineRule="auto"/>
        <w:ind w:left="5137" w:leftChars="1736" w:hanging="1491" w:hangingChars="825"/>
        <w:rPr>
          <w:b/>
          <w:color w:val="000000" w:themeColor="text1"/>
          <w:sz w:val="18"/>
          <w:szCs w:val="18"/>
          <w:highlight w:val="none"/>
          <w14:textFill>
            <w14:solidFill>
              <w14:schemeClr w14:val="tx1"/>
            </w14:solidFill>
          </w14:textFill>
        </w:rPr>
      </w:pPr>
    </w:p>
    <w:p w14:paraId="7A0B2A6E">
      <w:pPr>
        <w:snapToGrid w:val="0"/>
        <w:spacing w:line="360" w:lineRule="auto"/>
        <w:ind w:left="5626" w:leftChars="1736" w:hanging="1980" w:hangingChars="825"/>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(电子签章)：</w:t>
      </w:r>
    </w:p>
    <w:p w14:paraId="2992279C">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14:textFill>
            <w14:solidFill>
              <w14:schemeClr w14:val="tx1"/>
            </w14:solidFill>
          </w14:textFill>
        </w:rPr>
        <w:t>年</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lang w:val="en-US" w:eastAsia="zh-CN"/>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5867BF99">
      <w:pPr>
        <w:widowControl/>
        <w:jc w:val="left"/>
        <w:rPr>
          <w:rFonts w:ascii="宋体" w:hAnsi="宋体" w:cs="仿宋_GB2312"/>
          <w:color w:val="000000" w:themeColor="text1"/>
          <w:sz w:val="24"/>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0A70B433">
      <w:pPr>
        <w:spacing w:line="520" w:lineRule="exact"/>
        <w:jc w:val="center"/>
        <w:rPr>
          <w:rFonts w:hint="eastAsia" w:ascii="宋体" w:hAnsi="宋体"/>
          <w:color w:val="000000" w:themeColor="text1"/>
          <w:sz w:val="24"/>
          <w:highlight w:val="none"/>
          <w14:textFill>
            <w14:solidFill>
              <w14:schemeClr w14:val="tx1"/>
            </w14:solidFill>
          </w14:textFill>
        </w:rPr>
      </w:pPr>
    </w:p>
    <w:p w14:paraId="3F651B1D">
      <w:pPr>
        <w:spacing w:line="520" w:lineRule="exact"/>
        <w:jc w:val="center"/>
        <w:rPr>
          <w:rFonts w:hint="eastAsia" w:ascii="宋体" w:hAnsi="宋体"/>
          <w:color w:val="000000" w:themeColor="text1"/>
          <w:sz w:val="24"/>
          <w:highlight w:val="none"/>
          <w14:textFill>
            <w14:solidFill>
              <w14:schemeClr w14:val="tx1"/>
            </w14:solidFill>
          </w14:textFill>
        </w:rPr>
      </w:pPr>
    </w:p>
    <w:p w14:paraId="150D4FA7">
      <w:pPr>
        <w:spacing w:line="520" w:lineRule="exact"/>
        <w:jc w:val="center"/>
        <w:rPr>
          <w:rFonts w:hint="eastAsia" w:ascii="宋体" w:hAnsi="宋体"/>
          <w:color w:val="000000" w:themeColor="text1"/>
          <w:sz w:val="24"/>
          <w:highlight w:val="none"/>
          <w14:textFill>
            <w14:solidFill>
              <w14:schemeClr w14:val="tx1"/>
            </w14:solidFill>
          </w14:textFill>
        </w:rPr>
      </w:pPr>
    </w:p>
    <w:p w14:paraId="3BF34E6B">
      <w:pPr>
        <w:spacing w:line="520" w:lineRule="exact"/>
        <w:jc w:val="center"/>
        <w:rPr>
          <w:rFonts w:hint="eastAsia" w:ascii="宋体" w:hAnsi="宋体"/>
          <w:color w:val="000000" w:themeColor="text1"/>
          <w:sz w:val="24"/>
          <w:highlight w:val="none"/>
          <w14:textFill>
            <w14:solidFill>
              <w14:schemeClr w14:val="tx1"/>
            </w14:solidFill>
          </w14:textFill>
        </w:rPr>
      </w:pPr>
    </w:p>
    <w:p w14:paraId="3BE3B184">
      <w:pPr>
        <w:spacing w:line="360" w:lineRule="auto"/>
        <w:jc w:val="center"/>
        <w:rPr>
          <w:rFonts w:hint="eastAsia" w:ascii="宋体" w:hAnsi="宋体"/>
          <w:b/>
          <w:bCs/>
          <w:color w:val="000000" w:themeColor="text1"/>
          <w:sz w:val="44"/>
          <w:szCs w:val="44"/>
          <w:highlight w:val="none"/>
          <w14:textFill>
            <w14:solidFill>
              <w14:schemeClr w14:val="tx1"/>
            </w14:solidFill>
          </w14:textFill>
        </w:rPr>
      </w:pPr>
    </w:p>
    <w:p w14:paraId="051E091D">
      <w:pPr>
        <w:spacing w:line="360" w:lineRule="auto"/>
        <w:jc w:val="center"/>
        <w:rPr>
          <w:rFonts w:hint="eastAsia" w:ascii="宋体" w:hAnsi="宋体"/>
          <w:b/>
          <w:bCs/>
          <w:color w:val="000000" w:themeColor="text1"/>
          <w:sz w:val="44"/>
          <w:szCs w:val="44"/>
          <w:highlight w:val="none"/>
          <w14:textFill>
            <w14:solidFill>
              <w14:schemeClr w14:val="tx1"/>
            </w14:solidFill>
          </w14:textFill>
        </w:rPr>
      </w:pPr>
    </w:p>
    <w:p w14:paraId="17FD9C0F">
      <w:pPr>
        <w:spacing w:line="360" w:lineRule="auto"/>
        <w:jc w:val="center"/>
        <w:rPr>
          <w:rFonts w:hint="eastAsia" w:ascii="宋体" w:hAnsi="宋体"/>
          <w:b/>
          <w:bCs/>
          <w:color w:val="000000" w:themeColor="text1"/>
          <w:sz w:val="44"/>
          <w:szCs w:val="44"/>
          <w:highlight w:val="none"/>
          <w14:textFill>
            <w14:solidFill>
              <w14:schemeClr w14:val="tx1"/>
            </w14:solidFill>
          </w14:textFill>
        </w:rPr>
      </w:pPr>
    </w:p>
    <w:p w14:paraId="16C1E40C">
      <w:pPr>
        <w:spacing w:line="360" w:lineRule="auto"/>
        <w:jc w:val="center"/>
        <w:rPr>
          <w:rFonts w:hint="eastAsia" w:ascii="宋体" w:hAnsi="宋体"/>
          <w:b/>
          <w:bCs/>
          <w:color w:val="000000" w:themeColor="text1"/>
          <w:sz w:val="44"/>
          <w:szCs w:val="44"/>
          <w:highlight w:val="none"/>
          <w14:textFill>
            <w14:solidFill>
              <w14:schemeClr w14:val="tx1"/>
            </w14:solidFill>
          </w14:textFill>
        </w:rPr>
      </w:pPr>
    </w:p>
    <w:p w14:paraId="6D14564A">
      <w:pPr>
        <w:spacing w:line="360" w:lineRule="auto"/>
        <w:jc w:val="center"/>
        <w:rPr>
          <w:rFonts w:hint="eastAsia" w:ascii="宋体" w:hAnsi="宋体"/>
          <w:b/>
          <w:bCs/>
          <w:color w:val="000000" w:themeColor="text1"/>
          <w:sz w:val="44"/>
          <w:szCs w:val="44"/>
          <w:highlight w:val="none"/>
          <w14:textFill>
            <w14:solidFill>
              <w14:schemeClr w14:val="tx1"/>
            </w14:solidFill>
          </w14:textFill>
        </w:rPr>
      </w:pPr>
    </w:p>
    <w:p w14:paraId="491155B6">
      <w:pPr>
        <w:spacing w:line="360" w:lineRule="auto"/>
        <w:jc w:val="center"/>
        <w:rPr>
          <w:rFonts w:hint="eastAsia" w:ascii="宋体" w:hAnsi="宋体"/>
          <w:b/>
          <w:bCs/>
          <w:color w:val="000000" w:themeColor="text1"/>
          <w:sz w:val="44"/>
          <w:szCs w:val="44"/>
          <w:highlight w:val="none"/>
          <w14:textFill>
            <w14:solidFill>
              <w14:schemeClr w14:val="tx1"/>
            </w14:solidFill>
          </w14:textFill>
        </w:rPr>
      </w:pPr>
    </w:p>
    <w:p w14:paraId="49C9C901">
      <w:pPr>
        <w:pStyle w:val="2"/>
        <w:jc w:val="center"/>
        <w:rPr>
          <w:rFonts w:hint="eastAsia" w:ascii="仿宋_GB2312" w:hAnsi="楷体" w:eastAsia="仿宋_GB2312"/>
          <w:color w:val="000000" w:themeColor="text1"/>
          <w:sz w:val="24"/>
          <w:highlight w:val="none"/>
          <w:u w:val="single"/>
          <w14:textFill>
            <w14:solidFill>
              <w14:schemeClr w14:val="tx1"/>
            </w14:solidFill>
          </w14:textFill>
        </w:rPr>
      </w:pPr>
      <w:bookmarkStart w:id="82" w:name="_Toc6879"/>
      <w:r>
        <w:rPr>
          <w:rFonts w:hint="eastAsia" w:ascii="宋体" w:hAnsi="宋体"/>
          <w:b w:val="0"/>
          <w:bCs w:val="0"/>
          <w:color w:val="000000" w:themeColor="text1"/>
          <w:highlight w:val="none"/>
          <w14:textFill>
            <w14:solidFill>
              <w14:schemeClr w14:val="tx1"/>
            </w14:solidFill>
          </w14:textFill>
        </w:rPr>
        <w:t>第六章合同文本</w:t>
      </w:r>
      <w:r>
        <w:rPr>
          <w:rFonts w:hint="eastAsia" w:ascii="宋体" w:hAnsi="宋体"/>
          <w:b w:val="0"/>
          <w:bCs w:val="0"/>
          <w:color w:val="000000" w:themeColor="text1"/>
          <w:highlight w:val="none"/>
          <w14:textFill>
            <w14:solidFill>
              <w14:schemeClr w14:val="tx1"/>
            </w14:solidFill>
          </w14:textFill>
        </w:rPr>
        <w:br w:type="page"/>
      </w:r>
      <w:bookmarkEnd w:id="82"/>
    </w:p>
    <w:p w14:paraId="0827B631">
      <w:pPr>
        <w:spacing w:line="360" w:lineRule="auto"/>
        <w:rPr>
          <w:rFonts w:hint="eastAsia" w:ascii="宋体" w:hAnsi="宋体"/>
          <w:b/>
          <w:bCs/>
          <w:color w:val="000000" w:themeColor="text1"/>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广西政府采购云平台合同编号：</w:t>
      </w:r>
    </w:p>
    <w:p w14:paraId="6EEBDE32">
      <w:pPr>
        <w:spacing w:line="360" w:lineRule="auto"/>
        <w:jc w:val="center"/>
        <w:rPr>
          <w:rFonts w:hint="eastAsia" w:ascii="宋体"/>
          <w:b/>
          <w:bCs/>
          <w:color w:val="000000" w:themeColor="text1"/>
          <w:sz w:val="52"/>
          <w:highlight w:val="none"/>
          <w14:textFill>
            <w14:solidFill>
              <w14:schemeClr w14:val="tx1"/>
            </w14:solidFill>
          </w14:textFill>
        </w:rPr>
      </w:pPr>
      <w:r>
        <w:rPr>
          <w:rFonts w:hint="eastAsia" w:ascii="宋体"/>
          <w:b/>
          <w:bCs/>
          <w:color w:val="000000" w:themeColor="text1"/>
          <w:sz w:val="52"/>
          <w:highlight w:val="none"/>
          <w14:textFill>
            <w14:solidFill>
              <w14:schemeClr w14:val="tx1"/>
            </w14:solidFill>
          </w14:textFill>
        </w:rPr>
        <w:t>南宁市政府采购</w:t>
      </w:r>
    </w:p>
    <w:p w14:paraId="15217D7E">
      <w:pPr>
        <w:spacing w:line="360" w:lineRule="auto"/>
        <w:ind w:firstLine="420" w:firstLineChars="200"/>
        <w:rPr>
          <w:rFonts w:hint="eastAsia" w:ascii="宋体"/>
          <w:color w:val="000000" w:themeColor="text1"/>
          <w:highlight w:val="none"/>
          <w14:textFill>
            <w14:solidFill>
              <w14:schemeClr w14:val="tx1"/>
            </w14:solidFill>
          </w14:textFill>
        </w:rPr>
      </w:pPr>
    </w:p>
    <w:p w14:paraId="7F73737B">
      <w:pPr>
        <w:spacing w:line="360" w:lineRule="auto"/>
        <w:ind w:firstLine="420" w:firstLineChars="200"/>
        <w:rPr>
          <w:rFonts w:hint="eastAsia" w:ascii="宋体" w:eastAsia="宋体"/>
          <w:color w:val="000000" w:themeColor="text1"/>
          <w:highlight w:val="none"/>
          <w:lang w:eastAsia="zh-CN"/>
          <w14:textFill>
            <w14:solidFill>
              <w14:schemeClr w14:val="tx1"/>
            </w14:solidFill>
          </w14:textFill>
        </w:rPr>
      </w:pPr>
    </w:p>
    <w:p w14:paraId="39B6FB1C">
      <w:pPr>
        <w:spacing w:line="360" w:lineRule="auto"/>
        <w:jc w:val="center"/>
        <w:rPr>
          <w:rFonts w:hint="eastAsia" w:ascii="宋体"/>
          <w:b/>
          <w:bCs/>
          <w:color w:val="000000" w:themeColor="text1"/>
          <w:sz w:val="44"/>
          <w:highlight w:val="none"/>
          <w14:textFill>
            <w14:solidFill>
              <w14:schemeClr w14:val="tx1"/>
            </w14:solidFill>
          </w14:textFill>
        </w:rPr>
      </w:pPr>
      <w:r>
        <w:rPr>
          <w:rFonts w:hint="eastAsia" w:ascii="宋体"/>
          <w:b/>
          <w:bCs/>
          <w:color w:val="000000" w:themeColor="text1"/>
          <w:sz w:val="44"/>
          <w:highlight w:val="none"/>
          <w:u w:val="single"/>
          <w:lang w:eastAsia="zh-CN"/>
          <w14:textFill>
            <w14:solidFill>
              <w14:schemeClr w14:val="tx1"/>
            </w14:solidFill>
          </w14:textFill>
        </w:rPr>
        <w:t>档案室库房设备采购项目</w:t>
      </w:r>
      <w:r>
        <w:rPr>
          <w:rFonts w:hint="eastAsia" w:ascii="宋体"/>
          <w:b/>
          <w:bCs/>
          <w:color w:val="000000" w:themeColor="text1"/>
          <w:sz w:val="44"/>
          <w:highlight w:val="none"/>
          <w14:textFill>
            <w14:solidFill>
              <w14:schemeClr w14:val="tx1"/>
            </w14:solidFill>
          </w14:textFill>
        </w:rPr>
        <w:t>合同</w:t>
      </w:r>
    </w:p>
    <w:p w14:paraId="670B1A7E">
      <w:pPr>
        <w:spacing w:line="360" w:lineRule="auto"/>
        <w:jc w:val="center"/>
        <w:rPr>
          <w:rFonts w:hint="eastAsia" w:ascii="宋体"/>
          <w:b/>
          <w:bCs/>
          <w:color w:val="000000" w:themeColor="text1"/>
          <w:sz w:val="44"/>
          <w:highlight w:val="none"/>
          <w14:textFill>
            <w14:solidFill>
              <w14:schemeClr w14:val="tx1"/>
            </w14:solidFill>
          </w14:textFill>
        </w:rPr>
      </w:pPr>
    </w:p>
    <w:p w14:paraId="17DA7860">
      <w:pPr>
        <w:spacing w:line="360" w:lineRule="auto"/>
        <w:ind w:firstLine="3507" w:firstLineChars="794"/>
        <w:rPr>
          <w:rFonts w:hint="eastAsia" w:ascii="宋体"/>
          <w:b/>
          <w:bCs/>
          <w:color w:val="000000" w:themeColor="text1"/>
          <w:sz w:val="44"/>
          <w:highlight w:val="none"/>
          <w14:textFill>
            <w14:solidFill>
              <w14:schemeClr w14:val="tx1"/>
            </w14:solidFill>
          </w14:textFill>
        </w:rPr>
      </w:pPr>
    </w:p>
    <w:p w14:paraId="0BFFDA1C">
      <w:pPr>
        <w:spacing w:line="360" w:lineRule="auto"/>
        <w:ind w:firstLine="3507" w:firstLineChars="794"/>
        <w:rPr>
          <w:rFonts w:hint="eastAsia" w:ascii="宋体"/>
          <w:b/>
          <w:bCs/>
          <w:color w:val="000000" w:themeColor="text1"/>
          <w:sz w:val="44"/>
          <w:highlight w:val="none"/>
          <w14:textFill>
            <w14:solidFill>
              <w14:schemeClr w14:val="tx1"/>
            </w14:solidFill>
          </w14:textFill>
        </w:rPr>
      </w:pPr>
    </w:p>
    <w:p w14:paraId="16234187">
      <w:pPr>
        <w:ind w:firstLine="1995" w:firstLineChars="552"/>
        <w:rPr>
          <w:rFonts w:hint="eastAsia" w:ascii="宋体" w:hAnsi="宋体" w:eastAsia="宋体"/>
          <w:b/>
          <w:color w:val="000000" w:themeColor="text1"/>
          <w:sz w:val="36"/>
          <w:szCs w:val="36"/>
          <w:highlight w:val="none"/>
          <w:lang w:eastAsia="zh-CN"/>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采购项目编号：</w:t>
      </w:r>
      <w:r>
        <w:rPr>
          <w:rFonts w:hint="eastAsia" w:ascii="宋体" w:hAnsi="宋体" w:cs="Times New Roman"/>
          <w:b/>
          <w:color w:val="000000" w:themeColor="text1"/>
          <w:sz w:val="36"/>
          <w:szCs w:val="36"/>
          <w:highlight w:val="none"/>
          <w:lang w:eastAsia="zh-CN"/>
          <w14:textFill>
            <w14:solidFill>
              <w14:schemeClr w14:val="tx1"/>
            </w14:solidFill>
          </w14:textFill>
        </w:rPr>
        <w:t>NNZC2026-J1-990724-GXJT</w:t>
      </w:r>
    </w:p>
    <w:p w14:paraId="7A9936B5">
      <w:pPr>
        <w:ind w:firstLine="1995" w:firstLineChars="552"/>
        <w:rPr>
          <w:rFonts w:hint="eastAsia" w:ascii="宋体" w:hAnsi="宋体" w:eastAsia="宋体"/>
          <w:b/>
          <w:color w:val="000000" w:themeColor="text1"/>
          <w:sz w:val="36"/>
          <w:szCs w:val="36"/>
          <w:highlight w:val="none"/>
          <w:lang w:eastAsia="zh-CN"/>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采购计划</w:t>
      </w:r>
      <w:r>
        <w:rPr>
          <w:rFonts w:hint="eastAsia" w:ascii="宋体" w:hAnsi="宋体"/>
          <w:b/>
          <w:color w:val="000000" w:themeColor="text1"/>
          <w:sz w:val="36"/>
          <w:szCs w:val="36"/>
          <w:highlight w:val="none"/>
          <w:lang w:val="en-US" w:eastAsia="zh-CN"/>
          <w14:textFill>
            <w14:solidFill>
              <w14:schemeClr w14:val="tx1"/>
            </w14:solidFill>
          </w14:textFill>
        </w:rPr>
        <w:t>文号</w:t>
      </w:r>
      <w:r>
        <w:rPr>
          <w:rFonts w:hint="eastAsia" w:ascii="宋体" w:hAnsi="宋体"/>
          <w:b/>
          <w:color w:val="000000" w:themeColor="text1"/>
          <w:sz w:val="36"/>
          <w:szCs w:val="36"/>
          <w:highlight w:val="none"/>
          <w14:textFill>
            <w14:solidFill>
              <w14:schemeClr w14:val="tx1"/>
            </w14:solidFill>
          </w14:textFill>
        </w:rPr>
        <w:t>：</w:t>
      </w:r>
      <w:r>
        <w:rPr>
          <w:rFonts w:hint="eastAsia" w:ascii="宋体" w:hAnsi="宋体"/>
          <w:b/>
          <w:color w:val="000000" w:themeColor="text1"/>
          <w:sz w:val="36"/>
          <w:szCs w:val="36"/>
          <w:highlight w:val="none"/>
          <w:lang w:eastAsia="zh-CN"/>
          <w14:textFill>
            <w14:solidFill>
              <w14:schemeClr w14:val="tx1"/>
            </w14:solidFill>
          </w14:textFill>
        </w:rPr>
        <w:t>NNZC[2026]4299号</w:t>
      </w:r>
    </w:p>
    <w:p w14:paraId="5C39C246">
      <w:pPr>
        <w:ind w:firstLine="1308" w:firstLineChars="545"/>
        <w:rPr>
          <w:rFonts w:hint="eastAsia" w:ascii="宋体" w:hAnsi="宋体" w:cs="宋体"/>
          <w:color w:val="000000" w:themeColor="text1"/>
          <w:sz w:val="24"/>
          <w:highlight w:val="none"/>
          <w14:textFill>
            <w14:solidFill>
              <w14:schemeClr w14:val="tx1"/>
            </w14:solidFill>
          </w14:textFill>
        </w:rPr>
      </w:pPr>
    </w:p>
    <w:p w14:paraId="109DF1DF">
      <w:pPr>
        <w:ind w:firstLine="1995" w:firstLineChars="552"/>
        <w:rPr>
          <w:rFonts w:hint="eastAsia" w:ascii="宋体" w:hAnsi="宋体"/>
          <w:b/>
          <w:color w:val="000000" w:themeColor="text1"/>
          <w:sz w:val="36"/>
          <w:szCs w:val="36"/>
          <w:highlight w:val="none"/>
          <w:u w:val="single"/>
          <w14:textFill>
            <w14:solidFill>
              <w14:schemeClr w14:val="tx1"/>
            </w14:solidFill>
          </w14:textFill>
        </w:rPr>
      </w:pPr>
    </w:p>
    <w:p w14:paraId="3325C587">
      <w:pPr>
        <w:ind w:firstLine="1995" w:firstLineChars="552"/>
        <w:rPr>
          <w:rFonts w:hint="eastAsia" w:ascii="宋体" w:hAnsi="宋体"/>
          <w:b/>
          <w:color w:val="000000" w:themeColor="text1"/>
          <w:sz w:val="36"/>
          <w:szCs w:val="36"/>
          <w:highlight w:val="none"/>
          <w:u w:val="single"/>
          <w14:textFill>
            <w14:solidFill>
              <w14:schemeClr w14:val="tx1"/>
            </w14:solidFill>
          </w14:textFill>
        </w:rPr>
      </w:pPr>
    </w:p>
    <w:p w14:paraId="7AC43CC1">
      <w:pPr>
        <w:tabs>
          <w:tab w:val="left" w:pos="7200"/>
        </w:tabs>
        <w:spacing w:line="360" w:lineRule="auto"/>
        <w:ind w:firstLine="1995" w:firstLineChars="552"/>
        <w:rPr>
          <w:rFonts w:hint="eastAsia" w:ascii="宋体" w:hAnsi="宋体" w:eastAsia="宋体"/>
          <w:b/>
          <w:color w:val="000000" w:themeColor="text1"/>
          <w:sz w:val="36"/>
          <w:szCs w:val="36"/>
          <w:highlight w:val="none"/>
          <w:u w:val="single"/>
          <w:lang w:eastAsia="zh-CN"/>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采购人：</w:t>
      </w:r>
      <w:r>
        <w:rPr>
          <w:rFonts w:hint="eastAsia" w:ascii="宋体" w:hAnsi="宋体"/>
          <w:b/>
          <w:color w:val="000000" w:themeColor="text1"/>
          <w:sz w:val="36"/>
          <w:szCs w:val="36"/>
          <w:highlight w:val="none"/>
          <w:u w:val="single"/>
          <w:lang w:eastAsia="zh-CN"/>
          <w14:textFill>
            <w14:solidFill>
              <w14:schemeClr w14:val="tx1"/>
            </w14:solidFill>
          </w14:textFill>
        </w:rPr>
        <w:t>南宁市青秀区人民检察院</w:t>
      </w:r>
    </w:p>
    <w:p w14:paraId="7E395881">
      <w:pPr>
        <w:tabs>
          <w:tab w:val="left" w:pos="7380"/>
        </w:tabs>
        <w:spacing w:line="360" w:lineRule="auto"/>
        <w:ind w:firstLine="1995" w:firstLineChars="552"/>
        <w:rPr>
          <w:rFonts w:hint="default" w:ascii="宋体" w:eastAsia="宋体"/>
          <w:b/>
          <w:bCs/>
          <w:color w:val="000000" w:themeColor="text1"/>
          <w:sz w:val="44"/>
          <w:highlight w:val="none"/>
          <w:u w:val="single"/>
          <w:lang w:val="en-US" w:eastAsia="zh-CN"/>
          <w14:textFill>
            <w14:solidFill>
              <w14:schemeClr w14:val="tx1"/>
            </w14:solidFill>
          </w14:textFill>
        </w:rPr>
      </w:pPr>
      <w:r>
        <w:rPr>
          <w:rFonts w:hint="eastAsia" w:ascii="宋体" w:hAnsi="宋体"/>
          <w:b/>
          <w:color w:val="000000" w:themeColor="text1"/>
          <w:sz w:val="36"/>
          <w:szCs w:val="36"/>
          <w:highlight w:val="none"/>
          <w:lang w:val="en-US" w:eastAsia="zh-CN"/>
          <w14:textFill>
            <w14:solidFill>
              <w14:schemeClr w14:val="tx1"/>
            </w14:solidFill>
          </w14:textFill>
        </w:rPr>
        <w:t>成交</w:t>
      </w:r>
      <w:r>
        <w:rPr>
          <w:rFonts w:hint="eastAsia" w:ascii="宋体" w:hAnsi="宋体"/>
          <w:b/>
          <w:color w:val="000000" w:themeColor="text1"/>
          <w:sz w:val="36"/>
          <w:szCs w:val="36"/>
          <w:highlight w:val="none"/>
          <w14:textFill>
            <w14:solidFill>
              <w14:schemeClr w14:val="tx1"/>
            </w14:solidFill>
          </w14:textFill>
        </w:rPr>
        <w:t>供应商：</w:t>
      </w:r>
      <w:r>
        <w:rPr>
          <w:rFonts w:hint="eastAsia" w:ascii="宋体" w:hAnsi="宋体"/>
          <w:b/>
          <w:color w:val="000000" w:themeColor="text1"/>
          <w:sz w:val="36"/>
          <w:szCs w:val="36"/>
          <w:highlight w:val="none"/>
          <w:u w:val="single"/>
          <w:lang w:val="en-US" w:eastAsia="zh-CN"/>
          <w14:textFill>
            <w14:solidFill>
              <w14:schemeClr w14:val="tx1"/>
            </w14:solidFill>
          </w14:textFill>
        </w:rPr>
        <w:t xml:space="preserve">                  </w:t>
      </w:r>
    </w:p>
    <w:p w14:paraId="68DB9239">
      <w:pPr>
        <w:tabs>
          <w:tab w:val="left" w:pos="7380"/>
        </w:tabs>
        <w:spacing w:line="360" w:lineRule="auto"/>
        <w:rPr>
          <w:rFonts w:hint="eastAsia" w:ascii="宋体"/>
          <w:b/>
          <w:bCs/>
          <w:color w:val="000000" w:themeColor="text1"/>
          <w:sz w:val="44"/>
          <w:highlight w:val="none"/>
          <w14:textFill>
            <w14:solidFill>
              <w14:schemeClr w14:val="tx1"/>
            </w14:solidFill>
          </w14:textFill>
        </w:rPr>
      </w:pPr>
    </w:p>
    <w:p w14:paraId="746554B8">
      <w:pPr>
        <w:tabs>
          <w:tab w:val="left" w:pos="7380"/>
        </w:tabs>
        <w:spacing w:line="360" w:lineRule="auto"/>
        <w:ind w:firstLine="3360" w:firstLineChars="14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签订时间：</w:t>
      </w:r>
      <w:r>
        <w:rPr>
          <w:rFonts w:hint="eastAsia" w:ascii="仿宋_GB2312" w:hAnsi="楷体" w:eastAsia="仿宋_GB2312"/>
          <w:color w:val="000000" w:themeColor="text1"/>
          <w:sz w:val="24"/>
          <w:highlight w:val="non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年</w:t>
      </w:r>
      <w:r>
        <w:rPr>
          <w:rFonts w:hint="eastAsia" w:ascii="仿宋_GB2312" w:hAnsi="楷体" w:eastAsia="仿宋_GB2312"/>
          <w:color w:val="000000" w:themeColor="text1"/>
          <w:sz w:val="24"/>
          <w:highlight w:val="non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月</w:t>
      </w:r>
      <w:r>
        <w:rPr>
          <w:rFonts w:hint="eastAsia" w:ascii="仿宋_GB2312" w:hAnsi="楷体" w:eastAsia="仿宋_GB2312"/>
          <w:color w:val="000000" w:themeColor="text1"/>
          <w:sz w:val="24"/>
          <w:highlight w:val="non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日</w:t>
      </w:r>
    </w:p>
    <w:p w14:paraId="34DE4E70">
      <w:pPr>
        <w:snapToGrid w:val="0"/>
        <w:spacing w:line="360" w:lineRule="auto"/>
        <w:jc w:val="center"/>
        <w:rPr>
          <w:rFonts w:hint="eastAsia" w:ascii="仿宋_GB2312" w:hAnsi="楷体" w:eastAsia="仿宋_GB2312"/>
          <w:b/>
          <w:color w:val="000000" w:themeColor="text1"/>
          <w:sz w:val="24"/>
          <w:highlight w:val="none"/>
          <w14:textFill>
            <w14:solidFill>
              <w14:schemeClr w14:val="tx1"/>
            </w14:solidFill>
          </w14:textFill>
        </w:rPr>
      </w:pPr>
      <w:r>
        <w:rPr>
          <w:rFonts w:hint="eastAsia" w:ascii="宋体"/>
          <w:b/>
          <w:bCs/>
          <w:color w:val="000000" w:themeColor="text1"/>
          <w:sz w:val="44"/>
          <w:highlight w:val="none"/>
          <w14:textFill>
            <w14:solidFill>
              <w14:schemeClr w14:val="tx1"/>
            </w14:solidFill>
          </w14:textFill>
        </w:rPr>
        <w:br w:type="page"/>
      </w:r>
      <w:r>
        <w:rPr>
          <w:rFonts w:hint="eastAsia" w:ascii="仿宋_GB2312" w:hAnsi="楷体" w:eastAsia="仿宋_GB2312"/>
          <w:b/>
          <w:color w:val="000000" w:themeColor="text1"/>
          <w:sz w:val="24"/>
          <w:highlight w:val="none"/>
          <w14:textFill>
            <w14:solidFill>
              <w14:schemeClr w14:val="tx1"/>
            </w14:solidFill>
          </w14:textFill>
        </w:rPr>
        <w:t>合同目录</w:t>
      </w:r>
    </w:p>
    <w:p w14:paraId="3B034E50">
      <w:pPr>
        <w:snapToGrid w:val="0"/>
        <w:spacing w:line="360" w:lineRule="auto"/>
        <w:jc w:val="center"/>
        <w:rPr>
          <w:rFonts w:hint="eastAsia" w:ascii="宋体"/>
          <w:b/>
          <w:bCs/>
          <w:color w:val="000000" w:themeColor="text1"/>
          <w:sz w:val="44"/>
          <w:highlight w:val="none"/>
          <w14:textFill>
            <w14:solidFill>
              <w14:schemeClr w14:val="tx1"/>
            </w14:solidFill>
          </w14:textFill>
        </w:rPr>
      </w:pPr>
    </w:p>
    <w:p w14:paraId="4812BAD4">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一、</w:t>
      </w:r>
      <w:r>
        <w:rPr>
          <w:rFonts w:hint="eastAsia" w:ascii="仿宋_GB2312" w:hAnsi="仿宋" w:eastAsia="仿宋_GB2312"/>
          <w:color w:val="000000" w:themeColor="text1"/>
          <w:sz w:val="24"/>
          <w:highlight w:val="none"/>
          <w14:textFill>
            <w14:solidFill>
              <w14:schemeClr w14:val="tx1"/>
            </w14:solidFill>
          </w14:textFill>
        </w:rPr>
        <w:t>第一部分合同书</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4F119AAD">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二、第二部分合同一般条款……………………………………………………（页码）</w:t>
      </w:r>
    </w:p>
    <w:p w14:paraId="0B8F521F">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三、第三部分合同专用条款……………………………………………………（页码）</w:t>
      </w:r>
    </w:p>
    <w:p w14:paraId="237FDC0B">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四、</w:t>
      </w:r>
      <w:r>
        <w:rPr>
          <w:rFonts w:hint="eastAsia" w:ascii="仿宋_GB2312" w:hAnsi="仿宋" w:eastAsia="仿宋_GB2312"/>
          <w:color w:val="000000" w:themeColor="text1"/>
          <w:sz w:val="24"/>
          <w:highlight w:val="none"/>
          <w14:textFill>
            <w14:solidFill>
              <w14:schemeClr w14:val="tx1"/>
            </w14:solidFill>
          </w14:textFill>
        </w:rPr>
        <w:t>第四部分合同附件</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60AAA4A4">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4.1成交通知书…………………………………………………………………（页码）</w:t>
      </w:r>
    </w:p>
    <w:p w14:paraId="78EA30AD">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4.2采购文件货物需求一览表…………………………………………………（页码）</w:t>
      </w:r>
    </w:p>
    <w:p w14:paraId="31E8646F">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4.3采购文件的更改通知（如有）……………………………………………（页码）</w:t>
      </w:r>
    </w:p>
    <w:p w14:paraId="5C7F6B07">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4.4响应函………………………………………………………………………（页码）</w:t>
      </w:r>
    </w:p>
    <w:p w14:paraId="4DE43A6C">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4.5响应报价表…………………………………………………………………（页码）</w:t>
      </w:r>
    </w:p>
    <w:p w14:paraId="5ECCEC8E">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4.6响应货物技术资料表………………………………………………………（页码）</w:t>
      </w:r>
    </w:p>
    <w:p w14:paraId="259515EA">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4.7商务条款偏离表……………………………………………………………（页码）</w:t>
      </w:r>
    </w:p>
    <w:p w14:paraId="211CBE34">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4.8成交供应商澄清函（如有请提供）………………………………………（页码）</w:t>
      </w:r>
    </w:p>
    <w:p w14:paraId="2B5E742C">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4.9其他与本合同相关的资料（如有请提供）………………………………（页码）</w:t>
      </w:r>
    </w:p>
    <w:p w14:paraId="51E6B371">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p>
    <w:p w14:paraId="3F8F0412">
      <w:pPr>
        <w:widowControl/>
        <w:jc w:val="left"/>
        <w:rPr>
          <w:rFonts w:ascii="仿宋_GB2312" w:eastAsia="仿宋_GB2312"/>
          <w:color w:val="000000" w:themeColor="text1"/>
          <w:kern w:val="0"/>
          <w:sz w:val="32"/>
          <w:szCs w:val="20"/>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480A1AA3">
      <w:pPr>
        <w:pStyle w:val="85"/>
        <w:ind w:left="0" w:leftChars="0" w:firstLine="0" w:firstLineChars="0"/>
        <w:jc w:val="center"/>
        <w:outlineLvl w:val="1"/>
        <w:rPr>
          <w:rFonts w:hint="eastAsia" w:ascii="仿宋_GB2312" w:hAnsi="楷体" w:eastAsia="仿宋_GB2312"/>
          <w:b/>
          <w:color w:val="000000" w:themeColor="text1"/>
          <w:sz w:val="28"/>
          <w:szCs w:val="28"/>
          <w:highlight w:val="none"/>
          <w14:textFill>
            <w14:solidFill>
              <w14:schemeClr w14:val="tx1"/>
            </w14:solidFill>
          </w14:textFill>
        </w:rPr>
      </w:pPr>
      <w:bookmarkStart w:id="83" w:name="_Toc2021"/>
      <w:r>
        <w:rPr>
          <w:rFonts w:hint="eastAsia" w:ascii="仿宋_GB2312" w:hAnsi="楷体" w:eastAsia="仿宋_GB2312"/>
          <w:b/>
          <w:color w:val="000000" w:themeColor="text1"/>
          <w:sz w:val="28"/>
          <w:szCs w:val="28"/>
          <w:highlight w:val="none"/>
          <w14:textFill>
            <w14:solidFill>
              <w14:schemeClr w14:val="tx1"/>
            </w14:solidFill>
          </w14:textFill>
        </w:rPr>
        <w:t>第一部分合同书</w:t>
      </w:r>
      <w:bookmarkEnd w:id="83"/>
    </w:p>
    <w:p w14:paraId="4B9290DD">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年</w:t>
      </w:r>
      <w:r>
        <w:rPr>
          <w:rFonts w:hint="eastAsia" w:ascii="仿宋_GB2312" w:hAnsi="楷体" w:eastAsia="仿宋_GB2312"/>
          <w:color w:val="000000" w:themeColor="text1"/>
          <w:sz w:val="24"/>
          <w:highlight w:val="non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月</w:t>
      </w:r>
      <w:r>
        <w:rPr>
          <w:rFonts w:hint="eastAsia" w:ascii="仿宋_GB2312" w:hAnsi="楷体" w:eastAsia="仿宋_GB2312"/>
          <w:color w:val="000000" w:themeColor="text1"/>
          <w:sz w:val="24"/>
          <w:highlight w:val="non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日</w:t>
      </w:r>
      <w:r>
        <w:rPr>
          <w:rFonts w:hint="eastAsia" w:ascii="仿宋_GB2312" w:hAnsi="楷体" w:eastAsia="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u w:val="single"/>
          <w:lang w:eastAsia="zh-CN"/>
          <w14:textFill>
            <w14:solidFill>
              <w14:schemeClr w14:val="tx1"/>
            </w14:solidFill>
          </w14:textFill>
        </w:rPr>
        <w:t>南宁市青秀区人民检察院</w:t>
      </w:r>
      <w:r>
        <w:rPr>
          <w:rFonts w:hint="eastAsia" w:ascii="仿宋_GB2312" w:hAnsi="仿宋" w:eastAsia="仿宋_GB2312"/>
          <w:color w:val="000000" w:themeColor="text1"/>
          <w:sz w:val="24"/>
          <w:highlight w:val="none"/>
          <w14:textFill>
            <w14:solidFill>
              <w14:schemeClr w14:val="tx1"/>
            </w14:solidFill>
          </w14:textFill>
        </w:rPr>
        <w:t>以</w:t>
      </w:r>
      <w:r>
        <w:rPr>
          <w:rFonts w:hint="eastAsia" w:ascii="仿宋_GB2312" w:hAnsi="仿宋" w:eastAsia="仿宋_GB2312"/>
          <w:color w:val="000000" w:themeColor="text1"/>
          <w:sz w:val="24"/>
          <w:highlight w:val="none"/>
          <w:u w:val="single"/>
          <w14:textFill>
            <w14:solidFill>
              <w14:schemeClr w14:val="tx1"/>
            </w14:solidFill>
          </w14:textFill>
        </w:rPr>
        <w:t>竞争性谈判方式</w:t>
      </w:r>
      <w:r>
        <w:rPr>
          <w:rFonts w:hint="eastAsia" w:ascii="仿宋_GB2312" w:hAnsi="仿宋" w:eastAsia="仿宋_GB2312"/>
          <w:color w:val="000000" w:themeColor="text1"/>
          <w:sz w:val="24"/>
          <w:highlight w:val="none"/>
          <w14:textFill>
            <w14:solidFill>
              <w14:schemeClr w14:val="tx1"/>
            </w14:solidFill>
          </w14:textFill>
        </w:rPr>
        <w:t>对</w:t>
      </w:r>
      <w:r>
        <w:rPr>
          <w:rFonts w:hint="eastAsia" w:ascii="仿宋_GB2312" w:hAnsi="仿宋" w:eastAsia="仿宋_GB2312"/>
          <w:color w:val="000000" w:themeColor="text1"/>
          <w:sz w:val="24"/>
          <w:highlight w:val="none"/>
          <w:u w:val="single"/>
          <w:lang w:val="en-US" w:eastAsia="zh-CN"/>
          <w14:textFill>
            <w14:solidFill>
              <w14:schemeClr w14:val="tx1"/>
            </w14:solidFill>
          </w14:textFill>
        </w:rPr>
        <w:t>档案室库房设备采购项目</w:t>
      </w:r>
      <w:r>
        <w:rPr>
          <w:rFonts w:hint="eastAsia" w:ascii="仿宋_GB2312" w:hAnsi="楷体" w:eastAsia="仿宋_GB2312"/>
          <w:color w:val="000000" w:themeColor="text1"/>
          <w:sz w:val="24"/>
          <w:highlight w:val="none"/>
          <w14:textFill>
            <w14:solidFill>
              <w14:schemeClr w14:val="tx1"/>
            </w14:solidFill>
          </w14:textFill>
        </w:rPr>
        <w:t>项目进行了采购。经</w:t>
      </w:r>
      <w:r>
        <w:rPr>
          <w:rFonts w:hint="eastAsia" w:ascii="仿宋_GB2312" w:hAnsi="楷体" w:eastAsia="仿宋_GB2312"/>
          <w:color w:val="000000" w:themeColor="text1"/>
          <w:sz w:val="24"/>
          <w:highlight w:val="none"/>
          <w:u w:val="single"/>
          <w14:textFill>
            <w14:solidFill>
              <w14:schemeClr w14:val="tx1"/>
            </w14:solidFill>
          </w14:textFill>
        </w:rPr>
        <w:t>（相关评定主体名称）</w:t>
      </w:r>
      <w:r>
        <w:rPr>
          <w:rFonts w:hint="eastAsia" w:ascii="仿宋_GB2312" w:hAnsi="楷体" w:eastAsia="仿宋_GB2312"/>
          <w:color w:val="000000" w:themeColor="text1"/>
          <w:sz w:val="24"/>
          <w:highlight w:val="none"/>
          <w14:textFill>
            <w14:solidFill>
              <w14:schemeClr w14:val="tx1"/>
            </w14:solidFill>
          </w14:textFill>
        </w:rPr>
        <w:t>评定，</w:t>
      </w:r>
      <w:r>
        <w:rPr>
          <w:rFonts w:hint="eastAsia" w:ascii="仿宋_GB2312" w:hAnsi="楷体" w:eastAsia="仿宋_GB2312"/>
          <w:color w:val="000000" w:themeColor="text1"/>
          <w:sz w:val="24"/>
          <w:highlight w:val="none"/>
          <w:u w:val="single"/>
          <w14:textFill>
            <w14:solidFill>
              <w14:schemeClr w14:val="tx1"/>
            </w14:solidFill>
          </w14:textFill>
        </w:rPr>
        <w:t>（供应商名称）</w:t>
      </w:r>
      <w:r>
        <w:rPr>
          <w:rFonts w:hint="eastAsia" w:ascii="仿宋_GB2312" w:hAnsi="楷体" w:eastAsia="仿宋_GB2312"/>
          <w:color w:val="000000" w:themeColor="text1"/>
          <w:sz w:val="24"/>
          <w:highlight w:val="none"/>
          <w14:textFill>
            <w14:solidFill>
              <w14:schemeClr w14:val="tx1"/>
            </w14:solidFill>
          </w14:textFill>
        </w:rPr>
        <w:t>为该项目成交供应商。现于成交通知书发出之日起</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25</w:t>
      </w:r>
      <w:r>
        <w:rPr>
          <w:rFonts w:hint="eastAsia" w:ascii="仿宋_GB2312" w:hAnsi="楷体" w:eastAsia="仿宋_GB2312"/>
          <w:color w:val="000000" w:themeColor="text1"/>
          <w:sz w:val="24"/>
          <w:highlight w:val="none"/>
          <w14:textFill>
            <w14:solidFill>
              <w14:schemeClr w14:val="tx1"/>
            </w14:solidFill>
          </w14:textFill>
        </w:rPr>
        <w:t>日内，按照采购文件确定的事项签订本合同。</w:t>
      </w:r>
    </w:p>
    <w:p w14:paraId="6437CC73">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_GB2312" w:hAnsi="楷体" w:eastAsia="仿宋_GB2312"/>
          <w:color w:val="000000" w:themeColor="text1"/>
          <w:sz w:val="24"/>
          <w:highlight w:val="none"/>
          <w:u w:val="single"/>
          <w:lang w:eastAsia="zh-CN"/>
          <w14:textFill>
            <w14:solidFill>
              <w14:schemeClr w14:val="tx1"/>
            </w14:solidFill>
          </w14:textFill>
        </w:rPr>
        <w:t>南宁市青秀区人民检察院</w:t>
      </w:r>
      <w:r>
        <w:rPr>
          <w:rFonts w:hint="eastAsia" w:ascii="仿宋_GB2312" w:hAnsi="楷体" w:eastAsia="仿宋_GB2312"/>
          <w:color w:val="000000" w:themeColor="text1"/>
          <w:sz w:val="24"/>
          <w:highlight w:val="none"/>
          <w:lang w:val="zh-CN"/>
          <w14:textFill>
            <w14:solidFill>
              <w14:schemeClr w14:val="tx1"/>
            </w14:solidFill>
          </w14:textFill>
        </w:rPr>
        <w:t>(以下简称：甲方)和</w:t>
      </w:r>
      <w:r>
        <w:rPr>
          <w:rFonts w:hint="eastAsia" w:ascii="仿宋_GB2312" w:hAnsi="楷体" w:eastAsia="仿宋_GB2312"/>
          <w:color w:val="000000" w:themeColor="text1"/>
          <w:sz w:val="24"/>
          <w:highlight w:val="none"/>
          <w:u w:val="single"/>
          <w14:textFill>
            <w14:solidFill>
              <w14:schemeClr w14:val="tx1"/>
            </w14:solidFill>
          </w14:textFill>
        </w:rPr>
        <w:t>（</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成交</w:t>
      </w:r>
      <w:r>
        <w:rPr>
          <w:rFonts w:hint="eastAsia" w:ascii="仿宋_GB2312" w:hAnsi="楷体" w:eastAsia="仿宋_GB2312"/>
          <w:color w:val="000000" w:themeColor="text1"/>
          <w:sz w:val="24"/>
          <w:highlight w:val="none"/>
          <w:u w:val="single"/>
          <w14:textFill>
            <w14:solidFill>
              <w14:schemeClr w14:val="tx1"/>
            </w14:solidFill>
          </w14:textFill>
        </w:rPr>
        <w:t>人名称）</w:t>
      </w:r>
      <w:r>
        <w:rPr>
          <w:rFonts w:hint="eastAsia" w:ascii="仿宋_GB2312" w:hAnsi="楷体" w:eastAsia="仿宋_GB2312"/>
          <w:color w:val="000000" w:themeColor="text1"/>
          <w:sz w:val="24"/>
          <w:highlight w:val="none"/>
          <w:lang w:val="zh-CN"/>
          <w14:textFill>
            <w14:solidFill>
              <w14:schemeClr w14:val="tx1"/>
            </w14:solidFill>
          </w14:textFill>
        </w:rPr>
        <w:t>(以下简称：乙方)协商一致，约定以下合同</w:t>
      </w:r>
      <w:r>
        <w:rPr>
          <w:rFonts w:hint="eastAsia" w:ascii="仿宋_GB2312" w:hAnsi="楷体" w:eastAsia="仿宋_GB2312"/>
          <w:color w:val="000000" w:themeColor="text1"/>
          <w:sz w:val="24"/>
          <w:highlight w:val="none"/>
          <w14:textFill>
            <w14:solidFill>
              <w14:schemeClr w14:val="tx1"/>
            </w14:solidFill>
          </w14:textFill>
        </w:rPr>
        <w:t>条款，以兹共同遵守、全面履行。</w:t>
      </w:r>
    </w:p>
    <w:p w14:paraId="2440E12A">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84" w:name="_Toc24059"/>
      <w:bookmarkStart w:id="85" w:name="_Toc3029"/>
      <w:bookmarkStart w:id="86" w:name="_Toc2232"/>
      <w:r>
        <w:rPr>
          <w:rFonts w:hint="eastAsia" w:ascii="仿宋_GB2312" w:hAnsi="楷体" w:eastAsia="仿宋_GB2312"/>
          <w:b/>
          <w:color w:val="000000" w:themeColor="text1"/>
          <w:sz w:val="24"/>
          <w:highlight w:val="none"/>
          <w14:textFill>
            <w14:solidFill>
              <w14:schemeClr w14:val="tx1"/>
            </w14:solidFill>
          </w14:textFill>
        </w:rPr>
        <w:t>1.1合同组成部分</w:t>
      </w:r>
      <w:bookmarkEnd w:id="84"/>
      <w:bookmarkEnd w:id="85"/>
      <w:bookmarkEnd w:id="86"/>
    </w:p>
    <w:p w14:paraId="689D85C9">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下列文件为本合同的组成部分，并构成一个整体，需综合解释、相互补充。如果下列文件内容出现不一致的情形，在保证按照采购文件确定的事项的前提下，组成本合同的多个文件的优先适用顺序如下：</w:t>
      </w:r>
    </w:p>
    <w:p w14:paraId="34AFD7A1">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1.1.1本合同及其补充合同、变更协议；</w:t>
      </w:r>
    </w:p>
    <w:p w14:paraId="31909952">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1.1.2成交通知书；</w:t>
      </w:r>
    </w:p>
    <w:p w14:paraId="687B5541">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1.1.3采购文件及“响应报价”（含澄清或者说明文件）；</w:t>
      </w:r>
    </w:p>
    <w:p w14:paraId="371B4521">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1.1.4采购文件（含澄清或者修改文件）；</w:t>
      </w:r>
    </w:p>
    <w:p w14:paraId="369A4984">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1.1.5其他相关采购文件。</w:t>
      </w:r>
    </w:p>
    <w:p w14:paraId="009CD848">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87" w:name="_Toc27126"/>
      <w:bookmarkStart w:id="88" w:name="_Toc21295"/>
      <w:bookmarkStart w:id="89" w:name="_Toc24300"/>
      <w:r>
        <w:rPr>
          <w:rFonts w:hint="eastAsia" w:ascii="仿宋_GB2312" w:hAnsi="楷体" w:eastAsia="仿宋_GB2312"/>
          <w:b/>
          <w:color w:val="000000" w:themeColor="text1"/>
          <w:sz w:val="24"/>
          <w:highlight w:val="none"/>
          <w14:textFill>
            <w14:solidFill>
              <w14:schemeClr w14:val="tx1"/>
            </w14:solidFill>
          </w14:textFill>
        </w:rPr>
        <w:t>1.2标的物</w:t>
      </w:r>
      <w:bookmarkEnd w:id="87"/>
      <w:bookmarkEnd w:id="88"/>
      <w:bookmarkEnd w:id="89"/>
    </w:p>
    <w:p w14:paraId="562D2D69">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1.2.1标的物1信息</w:t>
      </w:r>
    </w:p>
    <w:p w14:paraId="4BBD4565">
      <w:pPr>
        <w:spacing w:line="360" w:lineRule="auto"/>
        <w:ind w:firstLine="480" w:firstLineChars="200"/>
        <w:rPr>
          <w:rFonts w:hint="eastAsia"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1.2.1.1名称：</w:t>
      </w:r>
      <w:r>
        <w:rPr>
          <w:rFonts w:hint="eastAsia" w:ascii="仿宋_GB2312" w:hAnsi="楷体" w:eastAsia="仿宋_GB2312" w:cs="Times New Roman"/>
          <w:color w:val="000000" w:themeColor="text1"/>
          <w:sz w:val="24"/>
          <w:highlight w:val="none"/>
          <w:u w:val="singl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6EA9C202">
      <w:pPr>
        <w:spacing w:line="360" w:lineRule="auto"/>
        <w:ind w:firstLine="480" w:firstLineChars="200"/>
        <w:rPr>
          <w:rFonts w:hint="eastAsia"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1.2.1.2数量：</w:t>
      </w:r>
      <w:r>
        <w:rPr>
          <w:rFonts w:hint="eastAsia" w:ascii="仿宋_GB2312" w:hAnsi="楷体" w:eastAsia="仿宋_GB2312" w:cs="Times New Roman"/>
          <w:color w:val="000000" w:themeColor="text1"/>
          <w:sz w:val="24"/>
          <w:highlight w:val="none"/>
          <w:u w:val="singl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4A879D6A">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1.2.1.3质量：</w:t>
      </w:r>
      <w:r>
        <w:rPr>
          <w:rFonts w:hint="eastAsia" w:ascii="仿宋_GB2312" w:hAnsi="楷体" w:eastAsia="仿宋_GB2312" w:cs="Times New Roman"/>
          <w:color w:val="000000" w:themeColor="text1"/>
          <w:sz w:val="24"/>
          <w:highlight w:val="none"/>
          <w:u w:val="singl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2B75A95A">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w:t>
      </w:r>
    </w:p>
    <w:p w14:paraId="3AF03362">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90" w:name="_Toc21631"/>
      <w:bookmarkStart w:id="91" w:name="_Toc21551"/>
      <w:bookmarkStart w:id="92" w:name="_Toc23292"/>
      <w:r>
        <w:rPr>
          <w:rFonts w:hint="eastAsia" w:ascii="仿宋_GB2312" w:hAnsi="楷体" w:eastAsia="仿宋_GB2312"/>
          <w:b/>
          <w:color w:val="000000" w:themeColor="text1"/>
          <w:sz w:val="24"/>
          <w:highlight w:val="none"/>
          <w14:textFill>
            <w14:solidFill>
              <w14:schemeClr w14:val="tx1"/>
            </w14:solidFill>
          </w14:textFill>
        </w:rPr>
        <w:t>1.3价款</w:t>
      </w:r>
      <w:bookmarkEnd w:id="90"/>
      <w:bookmarkEnd w:id="91"/>
      <w:bookmarkEnd w:id="92"/>
    </w:p>
    <w:p w14:paraId="557307B8">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本合同总价为：人民币元（大写：元人民币，含税）。</w:t>
      </w:r>
    </w:p>
    <w:p w14:paraId="09F24000">
      <w:pPr>
        <w:spacing w:line="360" w:lineRule="auto"/>
        <w:ind w:firstLine="480" w:firstLineChars="200"/>
        <w:rPr>
          <w:rFonts w:hint="eastAsia"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分项价格：</w:t>
      </w:r>
    </w:p>
    <w:tbl>
      <w:tblPr>
        <w:tblStyle w:val="29"/>
        <w:tblW w:w="8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425"/>
        <w:gridCol w:w="1853"/>
        <w:gridCol w:w="1146"/>
        <w:gridCol w:w="870"/>
        <w:gridCol w:w="1335"/>
        <w:gridCol w:w="1345"/>
      </w:tblGrid>
      <w:tr w14:paraId="6BBA5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83" w:type="dxa"/>
            <w:tcBorders>
              <w:top w:val="single" w:color="auto" w:sz="4" w:space="0"/>
              <w:left w:val="single" w:color="auto" w:sz="4" w:space="0"/>
              <w:bottom w:val="single" w:color="auto" w:sz="4" w:space="0"/>
              <w:right w:val="single" w:color="auto" w:sz="4" w:space="0"/>
            </w:tcBorders>
            <w:noWrap w:val="0"/>
            <w:vAlign w:val="center"/>
          </w:tcPr>
          <w:p w14:paraId="20242CC2">
            <w:pPr>
              <w:spacing w:line="360" w:lineRule="auto"/>
              <w:ind w:left="0" w:leftChars="0" w:firstLine="0" w:firstLineChars="0"/>
              <w:jc w:val="center"/>
              <w:rPr>
                <w:rFonts w:hint="eastAsia" w:ascii="宋体" w:hAnsi="宋体" w:eastAsia="宋体" w:cs="宋体"/>
                <w:color w:val="000000" w:themeColor="text1"/>
                <w:sz w:val="24"/>
                <w:highlight w:val="none"/>
                <w14:textFill>
                  <w14:solidFill>
                    <w14:schemeClr w14:val="tx1"/>
                  </w14:solidFill>
                </w14:textFill>
              </w:rPr>
            </w:pPr>
            <w:bookmarkStart w:id="93" w:name="_Toc10340"/>
            <w:bookmarkStart w:id="94" w:name="_Toc1814"/>
            <w:bookmarkStart w:id="95" w:name="_Toc22618"/>
            <w:r>
              <w:rPr>
                <w:rFonts w:hint="eastAsia" w:ascii="宋体" w:hAnsi="宋体" w:eastAsia="宋体" w:cs="宋体"/>
                <w:color w:val="000000" w:themeColor="text1"/>
                <w:sz w:val="24"/>
                <w:highlight w:val="none"/>
                <w14:textFill>
                  <w14:solidFill>
                    <w14:schemeClr w14:val="tx1"/>
                  </w14:solidFill>
                </w14:textFill>
              </w:rPr>
              <w:t>序号</w:t>
            </w:r>
          </w:p>
        </w:tc>
        <w:tc>
          <w:tcPr>
            <w:tcW w:w="1425" w:type="dxa"/>
            <w:tcBorders>
              <w:top w:val="single" w:color="auto" w:sz="4" w:space="0"/>
              <w:left w:val="single" w:color="auto" w:sz="4" w:space="0"/>
              <w:bottom w:val="single" w:color="auto" w:sz="4" w:space="0"/>
              <w:right w:val="single" w:color="auto" w:sz="4" w:space="0"/>
            </w:tcBorders>
            <w:noWrap w:val="0"/>
            <w:vAlign w:val="center"/>
          </w:tcPr>
          <w:p w14:paraId="702A9BED">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分项名称</w:t>
            </w:r>
          </w:p>
        </w:tc>
        <w:tc>
          <w:tcPr>
            <w:tcW w:w="1853" w:type="dxa"/>
            <w:tcBorders>
              <w:top w:val="single" w:color="auto" w:sz="4" w:space="0"/>
              <w:left w:val="single" w:color="auto" w:sz="4" w:space="0"/>
              <w:bottom w:val="single" w:color="auto" w:sz="4" w:space="0"/>
              <w:right w:val="single" w:color="auto" w:sz="4" w:space="0"/>
            </w:tcBorders>
            <w:noWrap w:val="0"/>
            <w:vAlign w:val="center"/>
          </w:tcPr>
          <w:p w14:paraId="353EFBF4">
            <w:pPr>
              <w:spacing w:line="360" w:lineRule="auto"/>
              <w:ind w:left="0" w:leftChars="0" w:firstLine="0" w:firstLineChars="0"/>
              <w:jc w:val="center"/>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厂家</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093CC9EC">
            <w:pPr>
              <w:spacing w:line="360" w:lineRule="auto"/>
              <w:ind w:left="0" w:leftChars="0" w:firstLine="0" w:firstLineChars="0"/>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型号</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596B2ACA">
            <w:pPr>
              <w:spacing w:line="360" w:lineRule="auto"/>
              <w:ind w:left="0" w:leftChars="0" w:firstLine="0" w:firstLineChars="0"/>
              <w:jc w:val="center"/>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数量</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13720246">
            <w:pPr>
              <w:spacing w:line="360" w:lineRule="auto"/>
              <w:ind w:left="0" w:leftChars="0" w:firstLine="0" w:firstLineChars="0"/>
              <w:jc w:val="center"/>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单价</w:t>
            </w:r>
            <w:r>
              <w:rPr>
                <w:rFonts w:hint="eastAsia" w:ascii="宋体" w:hAnsi="宋体" w:eastAsia="宋体" w:cs="宋体"/>
                <w:color w:val="000000" w:themeColor="text1"/>
                <w:sz w:val="24"/>
                <w:highlight w:val="none"/>
                <w14:textFill>
                  <w14:solidFill>
                    <w14:schemeClr w14:val="tx1"/>
                  </w14:solidFill>
                </w14:textFill>
              </w:rPr>
              <w:t>（元）</w:t>
            </w:r>
          </w:p>
        </w:tc>
        <w:tc>
          <w:tcPr>
            <w:tcW w:w="1345" w:type="dxa"/>
            <w:tcBorders>
              <w:top w:val="single" w:color="auto" w:sz="4" w:space="0"/>
              <w:left w:val="single" w:color="auto" w:sz="4" w:space="0"/>
              <w:bottom w:val="single" w:color="auto" w:sz="4" w:space="0"/>
              <w:right w:val="single" w:color="auto" w:sz="4" w:space="0"/>
            </w:tcBorders>
            <w:noWrap w:val="0"/>
            <w:vAlign w:val="center"/>
          </w:tcPr>
          <w:p w14:paraId="421278EE">
            <w:pPr>
              <w:spacing w:line="360" w:lineRule="auto"/>
              <w:ind w:left="0" w:leftChars="0" w:firstLine="0" w:firstLineChars="0"/>
              <w:jc w:val="center"/>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合价（元）</w:t>
            </w:r>
          </w:p>
        </w:tc>
      </w:tr>
      <w:tr w14:paraId="31B16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83" w:type="dxa"/>
            <w:tcBorders>
              <w:top w:val="single" w:color="auto" w:sz="4" w:space="0"/>
              <w:left w:val="single" w:color="auto" w:sz="4" w:space="0"/>
              <w:bottom w:val="single" w:color="auto" w:sz="4" w:space="0"/>
              <w:right w:val="single" w:color="auto" w:sz="4" w:space="0"/>
            </w:tcBorders>
            <w:noWrap w:val="0"/>
            <w:vAlign w:val="center"/>
          </w:tcPr>
          <w:p w14:paraId="0F65D7D9">
            <w:pPr>
              <w:spacing w:line="360" w:lineRule="auto"/>
              <w:ind w:left="0" w:leftChars="0" w:firstLine="0" w:firstLineChars="0"/>
              <w:jc w:val="center"/>
              <w:rPr>
                <w:rFonts w:hint="eastAsia" w:ascii="宋体" w:hAnsi="宋体" w:eastAsia="宋体" w:cs="宋体"/>
                <w:color w:val="000000" w:themeColor="text1"/>
                <w:sz w:val="24"/>
                <w:highlight w:val="none"/>
                <w14:textFill>
                  <w14:solidFill>
                    <w14:schemeClr w14:val="tx1"/>
                  </w14:solidFill>
                </w14:textFill>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14:paraId="22CBBDE0">
            <w:pPr>
              <w:spacing w:line="360" w:lineRule="auto"/>
              <w:jc w:val="center"/>
              <w:rPr>
                <w:rFonts w:hint="default" w:ascii="宋体" w:hAnsi="宋体" w:eastAsia="宋体" w:cs="宋体"/>
                <w:color w:val="000000" w:themeColor="text1"/>
                <w:sz w:val="24"/>
                <w:highlight w:val="none"/>
                <w:lang w:val="en-US" w:eastAsia="zh-CN"/>
                <w14:textFill>
                  <w14:solidFill>
                    <w14:schemeClr w14:val="tx1"/>
                  </w14:solidFill>
                </w14:textFill>
              </w:rPr>
            </w:pPr>
          </w:p>
        </w:tc>
        <w:tc>
          <w:tcPr>
            <w:tcW w:w="1853" w:type="dxa"/>
            <w:tcBorders>
              <w:top w:val="single" w:color="auto" w:sz="4" w:space="0"/>
              <w:left w:val="single" w:color="auto" w:sz="4" w:space="0"/>
              <w:bottom w:val="single" w:color="auto" w:sz="4" w:space="0"/>
              <w:right w:val="single" w:color="auto" w:sz="4" w:space="0"/>
            </w:tcBorders>
            <w:noWrap w:val="0"/>
            <w:vAlign w:val="center"/>
          </w:tcPr>
          <w:p w14:paraId="0BBA8ABF">
            <w:pPr>
              <w:spacing w:line="360" w:lineRule="auto"/>
              <w:ind w:left="0" w:leftChars="0" w:firstLine="0" w:firstLineChars="0"/>
              <w:jc w:val="center"/>
              <w:rPr>
                <w:rFonts w:hint="default" w:ascii="宋体" w:hAnsi="宋体" w:eastAsia="宋体" w:cs="宋体"/>
                <w:color w:val="000000" w:themeColor="text1"/>
                <w:sz w:val="24"/>
                <w:highlight w:val="none"/>
                <w:lang w:val="en-US" w:eastAsia="zh-CN"/>
                <w14:textFill>
                  <w14:solidFill>
                    <w14:schemeClr w14:val="tx1"/>
                  </w14:solidFill>
                </w14:textFill>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7E30F672">
            <w:pPr>
              <w:spacing w:line="360" w:lineRule="auto"/>
              <w:ind w:left="0" w:leftChars="0" w:firstLine="0" w:firstLineChars="0"/>
              <w:jc w:val="center"/>
              <w:rPr>
                <w:rFonts w:hint="default" w:ascii="宋体" w:hAnsi="宋体" w:eastAsia="宋体" w:cs="宋体"/>
                <w:color w:val="000000" w:themeColor="text1"/>
                <w:sz w:val="24"/>
                <w:highlight w:val="none"/>
                <w:lang w:val="en-US" w:eastAsia="zh-CN"/>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31314A85">
            <w:pPr>
              <w:spacing w:line="360" w:lineRule="auto"/>
              <w:ind w:left="0" w:leftChars="0" w:firstLine="0" w:firstLineChars="0"/>
              <w:jc w:val="center"/>
              <w:rPr>
                <w:rFonts w:hint="eastAsia" w:ascii="宋体" w:hAnsi="宋体" w:eastAsia="宋体" w:cs="宋体"/>
                <w:color w:val="000000" w:themeColor="text1"/>
                <w:sz w:val="24"/>
                <w:highlight w:val="none"/>
                <w:lang w:val="en-US" w:eastAsia="zh-CN"/>
                <w14:textFill>
                  <w14:solidFill>
                    <w14:schemeClr w14:val="tx1"/>
                  </w14:solidFill>
                </w14:textFill>
              </w:rPr>
            </w:pPr>
          </w:p>
        </w:tc>
        <w:tc>
          <w:tcPr>
            <w:tcW w:w="1335" w:type="dxa"/>
            <w:tcBorders>
              <w:top w:val="single" w:color="auto" w:sz="4" w:space="0"/>
              <w:left w:val="single" w:color="auto" w:sz="4" w:space="0"/>
              <w:bottom w:val="single" w:color="auto" w:sz="4" w:space="0"/>
              <w:right w:val="single" w:color="auto" w:sz="4" w:space="0"/>
            </w:tcBorders>
            <w:noWrap w:val="0"/>
            <w:vAlign w:val="center"/>
          </w:tcPr>
          <w:p w14:paraId="5AB9B952">
            <w:pPr>
              <w:spacing w:line="360" w:lineRule="auto"/>
              <w:ind w:left="0" w:leftChars="0" w:firstLine="0" w:firstLineChars="0"/>
              <w:jc w:val="center"/>
              <w:rPr>
                <w:rFonts w:hint="eastAsia" w:ascii="宋体" w:hAnsi="宋体" w:eastAsia="宋体" w:cs="宋体"/>
                <w:color w:val="000000" w:themeColor="text1"/>
                <w:sz w:val="24"/>
                <w:highlight w:val="none"/>
                <w:lang w:val="en-US" w:eastAsia="zh-CN"/>
                <w14:textFill>
                  <w14:solidFill>
                    <w14:schemeClr w14:val="tx1"/>
                  </w14:solidFill>
                </w14:textFill>
              </w:rPr>
            </w:pPr>
          </w:p>
        </w:tc>
        <w:tc>
          <w:tcPr>
            <w:tcW w:w="1345" w:type="dxa"/>
            <w:tcBorders>
              <w:top w:val="single" w:color="auto" w:sz="4" w:space="0"/>
              <w:left w:val="single" w:color="auto" w:sz="4" w:space="0"/>
              <w:bottom w:val="single" w:color="auto" w:sz="4" w:space="0"/>
              <w:right w:val="single" w:color="auto" w:sz="4" w:space="0"/>
            </w:tcBorders>
            <w:noWrap w:val="0"/>
            <w:vAlign w:val="center"/>
          </w:tcPr>
          <w:p w14:paraId="29C271D5">
            <w:pPr>
              <w:spacing w:line="360" w:lineRule="auto"/>
              <w:ind w:left="0" w:leftChars="0" w:firstLine="0" w:firstLineChars="0"/>
              <w:jc w:val="center"/>
              <w:rPr>
                <w:rFonts w:hint="eastAsia" w:ascii="宋体" w:hAnsi="宋体" w:eastAsia="宋体" w:cs="宋体"/>
                <w:color w:val="000000" w:themeColor="text1"/>
                <w:sz w:val="24"/>
                <w:highlight w:val="none"/>
                <w:lang w:val="en-US" w:eastAsia="zh-CN"/>
                <w14:textFill>
                  <w14:solidFill>
                    <w14:schemeClr w14:val="tx1"/>
                  </w14:solidFill>
                </w14:textFill>
              </w:rPr>
            </w:pPr>
          </w:p>
        </w:tc>
      </w:tr>
      <w:tr w14:paraId="0F8D7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83" w:type="dxa"/>
            <w:tcBorders>
              <w:top w:val="single" w:color="auto" w:sz="4" w:space="0"/>
              <w:left w:val="single" w:color="auto" w:sz="4" w:space="0"/>
              <w:bottom w:val="single" w:color="auto" w:sz="4" w:space="0"/>
              <w:right w:val="single" w:color="auto" w:sz="4" w:space="0"/>
            </w:tcBorders>
            <w:noWrap w:val="0"/>
            <w:vAlign w:val="center"/>
          </w:tcPr>
          <w:p w14:paraId="4A1E8835">
            <w:pPr>
              <w:spacing w:line="360" w:lineRule="auto"/>
              <w:ind w:left="0" w:leftChars="0" w:firstLine="0" w:firstLineChars="0"/>
              <w:jc w:val="center"/>
              <w:rPr>
                <w:rFonts w:hint="eastAsia" w:ascii="宋体" w:hAnsi="宋体" w:eastAsia="宋体" w:cs="宋体"/>
                <w:color w:val="000000" w:themeColor="text1"/>
                <w:sz w:val="24"/>
                <w:highlight w:val="none"/>
                <w:lang w:val="en-US" w:eastAsia="zh-CN"/>
                <w14:textFill>
                  <w14:solidFill>
                    <w14:schemeClr w14:val="tx1"/>
                  </w14:solidFill>
                </w14:textFill>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14:paraId="5B5CF02A">
            <w:pPr>
              <w:spacing w:line="360" w:lineRule="auto"/>
              <w:jc w:val="center"/>
              <w:rPr>
                <w:rFonts w:hint="eastAsia" w:ascii="宋体" w:hAnsi="宋体" w:cs="宋体"/>
                <w:color w:val="000000" w:themeColor="text1"/>
                <w:sz w:val="24"/>
                <w:highlight w:val="none"/>
                <w:u w:val="none"/>
                <w:lang w:val="en-US" w:eastAsia="zh-CN"/>
                <w14:textFill>
                  <w14:solidFill>
                    <w14:schemeClr w14:val="tx1"/>
                  </w14:solidFill>
                </w14:textFill>
              </w:rPr>
            </w:pPr>
          </w:p>
        </w:tc>
        <w:tc>
          <w:tcPr>
            <w:tcW w:w="1853" w:type="dxa"/>
            <w:tcBorders>
              <w:top w:val="single" w:color="auto" w:sz="4" w:space="0"/>
              <w:left w:val="single" w:color="auto" w:sz="4" w:space="0"/>
              <w:bottom w:val="single" w:color="auto" w:sz="4" w:space="0"/>
              <w:right w:val="single" w:color="auto" w:sz="4" w:space="0"/>
            </w:tcBorders>
            <w:noWrap w:val="0"/>
            <w:vAlign w:val="center"/>
          </w:tcPr>
          <w:p w14:paraId="4FF2CB12">
            <w:pPr>
              <w:spacing w:line="360" w:lineRule="auto"/>
              <w:ind w:left="0" w:leftChars="0" w:firstLine="0" w:firstLineChars="0"/>
              <w:jc w:val="center"/>
              <w:rPr>
                <w:rFonts w:hint="eastAsia" w:ascii="宋体" w:hAnsi="宋体" w:cs="宋体"/>
                <w:color w:val="000000" w:themeColor="text1"/>
                <w:sz w:val="24"/>
                <w:highlight w:val="none"/>
                <w:lang w:val="en-US" w:eastAsia="zh-CN"/>
                <w14:textFill>
                  <w14:solidFill>
                    <w14:schemeClr w14:val="tx1"/>
                  </w14:solidFill>
                </w14:textFill>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10461D81">
            <w:pPr>
              <w:spacing w:line="360" w:lineRule="auto"/>
              <w:ind w:left="0" w:leftChars="0" w:firstLine="0" w:firstLineChars="0"/>
              <w:jc w:val="center"/>
              <w:rPr>
                <w:rFonts w:hint="default" w:ascii="宋体" w:hAnsi="宋体" w:eastAsia="宋体" w:cs="宋体"/>
                <w:color w:val="000000" w:themeColor="text1"/>
                <w:sz w:val="24"/>
                <w:highlight w:val="none"/>
                <w:lang w:val="en-US" w:eastAsia="zh-CN"/>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31D662F1">
            <w:pPr>
              <w:spacing w:line="360" w:lineRule="auto"/>
              <w:ind w:left="0" w:leftChars="0" w:firstLine="0" w:firstLineChars="0"/>
              <w:jc w:val="center"/>
              <w:rPr>
                <w:rFonts w:hint="eastAsia" w:ascii="宋体" w:hAnsi="宋体" w:eastAsia="宋体" w:cs="宋体"/>
                <w:color w:val="000000" w:themeColor="text1"/>
                <w:sz w:val="24"/>
                <w:highlight w:val="none"/>
                <w:lang w:val="en-US" w:eastAsia="zh-CN"/>
                <w14:textFill>
                  <w14:solidFill>
                    <w14:schemeClr w14:val="tx1"/>
                  </w14:solidFill>
                </w14:textFill>
              </w:rPr>
            </w:pPr>
          </w:p>
        </w:tc>
        <w:tc>
          <w:tcPr>
            <w:tcW w:w="1335" w:type="dxa"/>
            <w:tcBorders>
              <w:top w:val="single" w:color="auto" w:sz="4" w:space="0"/>
              <w:left w:val="single" w:color="auto" w:sz="4" w:space="0"/>
              <w:bottom w:val="single" w:color="auto" w:sz="4" w:space="0"/>
              <w:right w:val="single" w:color="auto" w:sz="4" w:space="0"/>
            </w:tcBorders>
            <w:noWrap w:val="0"/>
            <w:vAlign w:val="center"/>
          </w:tcPr>
          <w:p w14:paraId="1B99317D">
            <w:pPr>
              <w:spacing w:line="360" w:lineRule="auto"/>
              <w:ind w:left="0" w:leftChars="0" w:firstLine="0" w:firstLineChars="0"/>
              <w:jc w:val="center"/>
              <w:rPr>
                <w:rFonts w:hint="eastAsia" w:ascii="宋体" w:hAnsi="宋体" w:eastAsia="宋体" w:cs="宋体"/>
                <w:color w:val="000000" w:themeColor="text1"/>
                <w:sz w:val="24"/>
                <w:highlight w:val="none"/>
                <w:lang w:val="en-US" w:eastAsia="zh-CN"/>
                <w14:textFill>
                  <w14:solidFill>
                    <w14:schemeClr w14:val="tx1"/>
                  </w14:solidFill>
                </w14:textFill>
              </w:rPr>
            </w:pPr>
          </w:p>
        </w:tc>
        <w:tc>
          <w:tcPr>
            <w:tcW w:w="1345" w:type="dxa"/>
            <w:tcBorders>
              <w:top w:val="single" w:color="auto" w:sz="4" w:space="0"/>
              <w:left w:val="single" w:color="auto" w:sz="4" w:space="0"/>
              <w:bottom w:val="single" w:color="auto" w:sz="4" w:space="0"/>
              <w:right w:val="single" w:color="auto" w:sz="4" w:space="0"/>
            </w:tcBorders>
            <w:noWrap w:val="0"/>
            <w:vAlign w:val="center"/>
          </w:tcPr>
          <w:p w14:paraId="15D975D5">
            <w:pPr>
              <w:spacing w:line="360" w:lineRule="auto"/>
              <w:ind w:left="0" w:leftChars="0" w:firstLine="0" w:firstLineChars="0"/>
              <w:jc w:val="center"/>
              <w:rPr>
                <w:rFonts w:hint="eastAsia" w:ascii="宋体" w:hAnsi="宋体" w:eastAsia="宋体" w:cs="宋体"/>
                <w:color w:val="000000" w:themeColor="text1"/>
                <w:sz w:val="24"/>
                <w:highlight w:val="none"/>
                <w:lang w:val="en-US" w:eastAsia="zh-CN"/>
                <w14:textFill>
                  <w14:solidFill>
                    <w14:schemeClr w14:val="tx1"/>
                  </w14:solidFill>
                </w14:textFill>
              </w:rPr>
            </w:pPr>
          </w:p>
        </w:tc>
      </w:tr>
      <w:tr w14:paraId="1E2AF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83" w:type="dxa"/>
            <w:tcBorders>
              <w:top w:val="single" w:color="auto" w:sz="4" w:space="0"/>
              <w:left w:val="single" w:color="auto" w:sz="4" w:space="0"/>
              <w:bottom w:val="single" w:color="auto" w:sz="4" w:space="0"/>
              <w:right w:val="single" w:color="auto" w:sz="4" w:space="0"/>
            </w:tcBorders>
            <w:noWrap w:val="0"/>
            <w:vAlign w:val="center"/>
          </w:tcPr>
          <w:p w14:paraId="1A4A5761">
            <w:pPr>
              <w:spacing w:line="360" w:lineRule="auto"/>
              <w:ind w:left="0" w:leftChars="0" w:firstLine="0" w:firstLineChars="0"/>
              <w:jc w:val="center"/>
              <w:rPr>
                <w:rFonts w:hint="default" w:ascii="宋体" w:hAnsi="宋体" w:cs="宋体"/>
                <w:color w:val="000000" w:themeColor="text1"/>
                <w:sz w:val="24"/>
                <w:highlight w:val="none"/>
                <w:lang w:val="en-US" w:eastAsia="zh-CN"/>
                <w14:textFill>
                  <w14:solidFill>
                    <w14:schemeClr w14:val="tx1"/>
                  </w14:solidFill>
                </w14:textFill>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14:paraId="604B5BEC">
            <w:pPr>
              <w:spacing w:line="360" w:lineRule="auto"/>
              <w:jc w:val="center"/>
              <w:rPr>
                <w:rFonts w:hint="eastAsia" w:ascii="宋体" w:hAnsi="宋体" w:cs="宋体"/>
                <w:color w:val="000000" w:themeColor="text1"/>
                <w:sz w:val="24"/>
                <w:highlight w:val="none"/>
                <w:u w:val="none"/>
                <w:lang w:val="en-US" w:eastAsia="zh-CN"/>
                <w14:textFill>
                  <w14:solidFill>
                    <w14:schemeClr w14:val="tx1"/>
                  </w14:solidFill>
                </w14:textFill>
              </w:rPr>
            </w:pPr>
          </w:p>
        </w:tc>
        <w:tc>
          <w:tcPr>
            <w:tcW w:w="1853" w:type="dxa"/>
            <w:tcBorders>
              <w:top w:val="single" w:color="auto" w:sz="4" w:space="0"/>
              <w:left w:val="single" w:color="auto" w:sz="4" w:space="0"/>
              <w:bottom w:val="single" w:color="auto" w:sz="4" w:space="0"/>
              <w:right w:val="single" w:color="auto" w:sz="4" w:space="0"/>
            </w:tcBorders>
            <w:noWrap w:val="0"/>
            <w:vAlign w:val="center"/>
          </w:tcPr>
          <w:p w14:paraId="4F2992F6">
            <w:pPr>
              <w:spacing w:line="360" w:lineRule="auto"/>
              <w:ind w:left="0" w:leftChars="0" w:firstLine="0" w:firstLineChars="0"/>
              <w:jc w:val="center"/>
              <w:rPr>
                <w:rFonts w:hint="eastAsia" w:ascii="宋体" w:hAnsi="宋体" w:cs="宋体"/>
                <w:color w:val="000000" w:themeColor="text1"/>
                <w:sz w:val="24"/>
                <w:highlight w:val="none"/>
                <w:lang w:val="en-US" w:eastAsia="zh-CN"/>
                <w14:textFill>
                  <w14:solidFill>
                    <w14:schemeClr w14:val="tx1"/>
                  </w14:solidFill>
                </w14:textFill>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3F94D920">
            <w:pPr>
              <w:spacing w:line="360" w:lineRule="auto"/>
              <w:ind w:left="0" w:leftChars="0" w:firstLine="0" w:firstLineChars="0"/>
              <w:jc w:val="center"/>
              <w:rPr>
                <w:rFonts w:hint="default" w:ascii="宋体" w:hAnsi="宋体" w:eastAsia="宋体" w:cs="宋体"/>
                <w:i w:val="0"/>
                <w:iCs w:val="0"/>
                <w:caps w:val="0"/>
                <w:color w:val="000000" w:themeColor="text1"/>
                <w:spacing w:val="0"/>
                <w:sz w:val="24"/>
                <w:szCs w:val="24"/>
                <w:highlight w:val="none"/>
                <w:lang w:val="en-US" w:eastAsia="zh-CN"/>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746500ED">
            <w:pPr>
              <w:spacing w:line="360" w:lineRule="auto"/>
              <w:ind w:left="0" w:leftChars="0" w:firstLine="0" w:firstLineChars="0"/>
              <w:jc w:val="center"/>
              <w:rPr>
                <w:rFonts w:hint="eastAsia" w:ascii="宋体" w:hAnsi="宋体" w:cs="宋体"/>
                <w:color w:val="000000" w:themeColor="text1"/>
                <w:sz w:val="24"/>
                <w:highlight w:val="none"/>
                <w:lang w:val="en-US" w:eastAsia="zh-CN"/>
                <w14:textFill>
                  <w14:solidFill>
                    <w14:schemeClr w14:val="tx1"/>
                  </w14:solidFill>
                </w14:textFill>
              </w:rPr>
            </w:pPr>
          </w:p>
        </w:tc>
        <w:tc>
          <w:tcPr>
            <w:tcW w:w="1335" w:type="dxa"/>
            <w:tcBorders>
              <w:top w:val="single" w:color="auto" w:sz="4" w:space="0"/>
              <w:left w:val="single" w:color="auto" w:sz="4" w:space="0"/>
              <w:bottom w:val="single" w:color="auto" w:sz="4" w:space="0"/>
              <w:right w:val="single" w:color="auto" w:sz="4" w:space="0"/>
            </w:tcBorders>
            <w:noWrap w:val="0"/>
            <w:vAlign w:val="center"/>
          </w:tcPr>
          <w:p w14:paraId="25F2FF50">
            <w:pPr>
              <w:spacing w:line="360" w:lineRule="auto"/>
              <w:ind w:left="0" w:leftChars="0" w:firstLine="0" w:firstLineChars="0"/>
              <w:jc w:val="center"/>
              <w:rPr>
                <w:rFonts w:hint="eastAsia" w:ascii="宋体" w:hAnsi="宋体" w:cs="宋体"/>
                <w:color w:val="000000" w:themeColor="text1"/>
                <w:sz w:val="24"/>
                <w:highlight w:val="none"/>
                <w:lang w:val="en-US" w:eastAsia="zh-CN"/>
                <w14:textFill>
                  <w14:solidFill>
                    <w14:schemeClr w14:val="tx1"/>
                  </w14:solidFill>
                </w14:textFill>
              </w:rPr>
            </w:pPr>
          </w:p>
        </w:tc>
        <w:tc>
          <w:tcPr>
            <w:tcW w:w="1345" w:type="dxa"/>
            <w:tcBorders>
              <w:top w:val="single" w:color="auto" w:sz="4" w:space="0"/>
              <w:left w:val="single" w:color="auto" w:sz="4" w:space="0"/>
              <w:bottom w:val="single" w:color="auto" w:sz="4" w:space="0"/>
              <w:right w:val="single" w:color="auto" w:sz="4" w:space="0"/>
            </w:tcBorders>
            <w:noWrap w:val="0"/>
            <w:vAlign w:val="center"/>
          </w:tcPr>
          <w:p w14:paraId="2424A8DF">
            <w:pPr>
              <w:spacing w:line="360" w:lineRule="auto"/>
              <w:ind w:left="0" w:leftChars="0" w:firstLine="0" w:firstLineChars="0"/>
              <w:jc w:val="center"/>
              <w:rPr>
                <w:rFonts w:hint="eastAsia" w:ascii="宋体" w:hAnsi="宋体" w:cs="宋体"/>
                <w:color w:val="000000" w:themeColor="text1"/>
                <w:sz w:val="24"/>
                <w:highlight w:val="none"/>
                <w:lang w:val="en-US" w:eastAsia="zh-CN"/>
                <w14:textFill>
                  <w14:solidFill>
                    <w14:schemeClr w14:val="tx1"/>
                  </w14:solidFill>
                </w14:textFill>
              </w:rPr>
            </w:pPr>
          </w:p>
        </w:tc>
      </w:tr>
      <w:tr w14:paraId="78075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207" w:type="dxa"/>
            <w:gridSpan w:val="4"/>
            <w:tcBorders>
              <w:top w:val="single" w:color="auto" w:sz="4" w:space="0"/>
              <w:left w:val="single" w:color="auto" w:sz="4" w:space="0"/>
              <w:bottom w:val="single" w:color="auto" w:sz="4" w:space="0"/>
              <w:right w:val="single" w:color="auto" w:sz="4" w:space="0"/>
            </w:tcBorders>
            <w:noWrap w:val="0"/>
            <w:vAlign w:val="center"/>
          </w:tcPr>
          <w:p w14:paraId="18549DEC">
            <w:pPr>
              <w:spacing w:line="360" w:lineRule="auto"/>
              <w:ind w:firstLine="480" w:firstLineChars="200"/>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总价</w:t>
            </w:r>
          </w:p>
        </w:tc>
        <w:tc>
          <w:tcPr>
            <w:tcW w:w="3550" w:type="dxa"/>
            <w:gridSpan w:val="3"/>
            <w:tcBorders>
              <w:top w:val="single" w:color="auto" w:sz="4" w:space="0"/>
              <w:left w:val="single" w:color="auto" w:sz="4" w:space="0"/>
              <w:bottom w:val="single" w:color="auto" w:sz="4" w:space="0"/>
              <w:right w:val="single" w:color="auto" w:sz="4" w:space="0"/>
            </w:tcBorders>
            <w:noWrap w:val="0"/>
            <w:vAlign w:val="center"/>
          </w:tcPr>
          <w:p w14:paraId="204E51A2">
            <w:pPr>
              <w:spacing w:line="360" w:lineRule="auto"/>
              <w:ind w:left="0" w:leftChars="0" w:firstLine="0" w:firstLineChars="0"/>
              <w:jc w:val="center"/>
              <w:rPr>
                <w:rFonts w:hint="eastAsia" w:ascii="宋体" w:hAnsi="宋体" w:eastAsia="宋体" w:cs="宋体"/>
                <w:color w:val="000000" w:themeColor="text1"/>
                <w:sz w:val="24"/>
                <w:highlight w:val="none"/>
                <w:lang w:val="en-US" w:eastAsia="zh-CN"/>
                <w14:textFill>
                  <w14:solidFill>
                    <w14:schemeClr w14:val="tx1"/>
                  </w14:solidFill>
                </w14:textFill>
              </w:rPr>
            </w:pPr>
          </w:p>
        </w:tc>
      </w:tr>
    </w:tbl>
    <w:p w14:paraId="49DEBA47">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1.4付款方式和发票开具方式</w:t>
      </w:r>
      <w:bookmarkEnd w:id="93"/>
      <w:bookmarkEnd w:id="94"/>
      <w:bookmarkEnd w:id="95"/>
    </w:p>
    <w:p w14:paraId="17734A12">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1.4.1付款方式：</w:t>
      </w:r>
      <w:r>
        <w:rPr>
          <w:rFonts w:hint="eastAsia" w:ascii="仿宋_GB2312" w:hAnsi="楷体" w:eastAsia="仿宋_GB2312" w:cs="Times New Roman"/>
          <w:color w:val="000000" w:themeColor="text1"/>
          <w:sz w:val="24"/>
          <w:highlight w:val="none"/>
          <w:u w:val="single"/>
          <w:lang w:val="en-US" w:eastAsia="zh-CN"/>
          <w14:textFill>
            <w14:solidFill>
              <w14:schemeClr w14:val="tx1"/>
            </w14:solidFill>
          </w14:textFill>
        </w:rPr>
        <w:t>本项目无预付款，甲方收到乙方设备，安装调试完毕并验收合格，甲方凭乙方提交的请款函、开具的全额发票在验收合格之日起30个工作日内向双方合同约定的银行账户支付款项。乙方应于验收开始前提交请款函和发票，如因乙方未及时提交请款函和发票导致付款延期的，由乙方承担相应责任</w:t>
      </w:r>
      <w:r>
        <w:rPr>
          <w:rFonts w:hint="eastAsia" w:ascii="仿宋_GB2312" w:hAnsi="楷体" w:eastAsia="仿宋_GB2312"/>
          <w:color w:val="000000" w:themeColor="text1"/>
          <w:sz w:val="24"/>
          <w:highlight w:val="none"/>
          <w14:textFill>
            <w14:solidFill>
              <w14:schemeClr w14:val="tx1"/>
            </w14:solidFill>
          </w14:textFill>
        </w:rPr>
        <w:t>；</w:t>
      </w:r>
    </w:p>
    <w:p w14:paraId="0F52B826">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1.4.2发票开具方式：</w:t>
      </w:r>
      <w:r>
        <w:rPr>
          <w:rFonts w:hint="eastAsia" w:ascii="仿宋_GB2312" w:hAnsi="楷体" w:eastAsia="仿宋_GB2312" w:cs="Times New Roman"/>
          <w:color w:val="000000" w:themeColor="text1"/>
          <w:sz w:val="24"/>
          <w:highlight w:val="none"/>
          <w:u w:val="singl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024E2B98">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96" w:name="_Toc19304"/>
      <w:bookmarkStart w:id="97" w:name="_Toc2846"/>
      <w:bookmarkStart w:id="98" w:name="_Toc32071"/>
      <w:r>
        <w:rPr>
          <w:rFonts w:hint="eastAsia" w:ascii="仿宋_GB2312" w:hAnsi="楷体" w:eastAsia="仿宋_GB2312"/>
          <w:b/>
          <w:color w:val="000000" w:themeColor="text1"/>
          <w:sz w:val="24"/>
          <w:highlight w:val="none"/>
          <w14:textFill>
            <w14:solidFill>
              <w14:schemeClr w14:val="tx1"/>
            </w14:solidFill>
          </w14:textFill>
        </w:rPr>
        <w:t>1.5标的物交货期、地点、方式</w:t>
      </w:r>
      <w:bookmarkEnd w:id="96"/>
      <w:bookmarkEnd w:id="97"/>
      <w:bookmarkEnd w:id="98"/>
      <w:r>
        <w:rPr>
          <w:rFonts w:hint="eastAsia" w:ascii="仿宋_GB2312" w:hAnsi="楷体" w:eastAsia="仿宋_GB2312"/>
          <w:b/>
          <w:color w:val="000000" w:themeColor="text1"/>
          <w:sz w:val="24"/>
          <w:highlight w:val="none"/>
          <w14:textFill>
            <w14:solidFill>
              <w14:schemeClr w14:val="tx1"/>
            </w14:solidFill>
          </w14:textFill>
        </w:rPr>
        <w:t>和质保期限</w:t>
      </w:r>
    </w:p>
    <w:p w14:paraId="5E1C9C09">
      <w:pPr>
        <w:spacing w:line="360" w:lineRule="auto"/>
        <w:ind w:firstLine="480" w:firstLineChars="200"/>
        <w:rPr>
          <w:rFonts w:hint="eastAsia"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1.5.1交货期：</w:t>
      </w:r>
      <w:r>
        <w:rPr>
          <w:rFonts w:hint="eastAsia" w:ascii="仿宋_GB2312" w:hAnsi="楷体" w:eastAsia="仿宋_GB2312" w:cs="Times New Roman"/>
          <w:color w:val="000000" w:themeColor="text1"/>
          <w:sz w:val="24"/>
          <w:highlight w:val="none"/>
          <w:u w:val="singl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u w:val="single"/>
          <w14:textFill>
            <w14:solidFill>
              <w14:schemeClr w14:val="tx1"/>
            </w14:solidFill>
          </w14:textFill>
        </w:rPr>
        <w:t>；</w:t>
      </w:r>
    </w:p>
    <w:p w14:paraId="5A4CBE2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1.5.2交货地点：</w:t>
      </w:r>
      <w:r>
        <w:rPr>
          <w:rFonts w:hint="eastAsia" w:ascii="仿宋_GB2312" w:hAnsi="楷体" w:eastAsia="仿宋_GB2312" w:cs="Times New Roman"/>
          <w:color w:val="000000" w:themeColor="text1"/>
          <w:sz w:val="24"/>
          <w:highlight w:val="none"/>
          <w:u w:val="singl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260CCBB6">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1.5.3交货方式：</w:t>
      </w:r>
      <w:r>
        <w:rPr>
          <w:rFonts w:hint="eastAsia" w:ascii="仿宋_GB2312" w:hAnsi="楷体" w:eastAsia="仿宋_GB2312" w:cs="Times New Roman"/>
          <w:color w:val="000000" w:themeColor="text1"/>
          <w:sz w:val="24"/>
          <w:highlight w:val="none"/>
          <w:u w:val="singl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4ABA1D2D">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1.5.4货物及质保期限：</w:t>
      </w:r>
      <w:r>
        <w:rPr>
          <w:rFonts w:hint="eastAsia" w:ascii="仿宋_GB2312" w:hAnsi="楷体" w:eastAsia="仿宋_GB2312" w:cs="Times New Roman"/>
          <w:color w:val="000000" w:themeColor="text1"/>
          <w:sz w:val="24"/>
          <w:highlight w:val="none"/>
          <w:u w:val="singl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681C2D3C">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99" w:name="_Toc19554"/>
      <w:bookmarkStart w:id="100" w:name="_Toc21423"/>
      <w:bookmarkStart w:id="101" w:name="_Toc27250"/>
      <w:r>
        <w:rPr>
          <w:rFonts w:hint="eastAsia" w:ascii="仿宋_GB2312" w:hAnsi="楷体" w:eastAsia="仿宋_GB2312"/>
          <w:b/>
          <w:color w:val="000000" w:themeColor="text1"/>
          <w:sz w:val="24"/>
          <w:highlight w:val="none"/>
          <w14:textFill>
            <w14:solidFill>
              <w14:schemeClr w14:val="tx1"/>
            </w14:solidFill>
          </w14:textFill>
        </w:rPr>
        <w:t>1.6违约责任</w:t>
      </w:r>
      <w:bookmarkEnd w:id="99"/>
      <w:bookmarkEnd w:id="100"/>
      <w:bookmarkEnd w:id="101"/>
    </w:p>
    <w:p w14:paraId="43F1E06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1.6.1除不可抗力外，如果乙方没有按照本合同约定的期限、地点和方式交付标的物，乙方应当向甲方支付违约金，违约金按每迟延交付标的物一日的应交付而未交付标的物价格的</w:t>
      </w:r>
      <w:r>
        <w:rPr>
          <w:rFonts w:hint="eastAsia" w:ascii="仿宋_GB2312" w:hAnsi="楷体" w:eastAsia="仿宋_GB2312"/>
          <w:color w:val="000000" w:themeColor="text1"/>
          <w:sz w:val="24"/>
          <w:highlight w:val="none"/>
          <w:u w:val="single"/>
          <w14:textFill>
            <w14:solidFill>
              <w14:schemeClr w14:val="tx1"/>
            </w14:solidFill>
          </w14:textFill>
        </w:rPr>
        <w:t>万分之五</w:t>
      </w:r>
      <w:r>
        <w:rPr>
          <w:rFonts w:hint="eastAsia" w:ascii="仿宋_GB2312" w:hAnsi="楷体" w:eastAsia="仿宋_GB2312"/>
          <w:color w:val="000000" w:themeColor="text1"/>
          <w:sz w:val="24"/>
          <w:highlight w:val="none"/>
          <w14:textFill>
            <w14:solidFill>
              <w14:schemeClr w14:val="tx1"/>
            </w14:solidFill>
          </w14:textFill>
        </w:rPr>
        <w:t>（根据项目实际填写，一般为万分之五）计算，最高限额为本合同总价的</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 xml:space="preserve"> 20 </w:t>
      </w:r>
      <w:r>
        <w:rPr>
          <w:rFonts w:hint="eastAsia" w:ascii="仿宋_GB2312" w:hAnsi="楷体" w:eastAsia="仿宋_GB2312"/>
          <w:color w:val="000000" w:themeColor="text1"/>
          <w:sz w:val="24"/>
          <w:highlight w:val="none"/>
          <w14:textFill>
            <w14:solidFill>
              <w14:schemeClr w14:val="tx1"/>
            </w14:solidFill>
          </w14:textFill>
        </w:rPr>
        <w:t>%（根据项目实际填写，一般为20%）；迟延超过【</w:t>
      </w:r>
      <w:r>
        <w:rPr>
          <w:rFonts w:hint="eastAsia" w:ascii="仿宋_GB2312" w:hAnsi="楷体" w:eastAsia="仿宋_GB2312"/>
          <w:color w:val="000000" w:themeColor="text1"/>
          <w:sz w:val="24"/>
          <w:highlight w:val="none"/>
          <w:lang w:val="en-US" w:eastAsia="zh-CN"/>
          <w14:textFill>
            <w14:solidFill>
              <w14:schemeClr w14:val="tx1"/>
            </w14:solidFill>
          </w14:textFill>
        </w:rPr>
        <w:t>30</w:t>
      </w:r>
      <w:r>
        <w:rPr>
          <w:rFonts w:hint="eastAsia" w:ascii="仿宋_GB2312" w:hAnsi="楷体" w:eastAsia="仿宋_GB2312"/>
          <w:color w:val="000000" w:themeColor="text1"/>
          <w:sz w:val="24"/>
          <w:highlight w:val="none"/>
          <w14:textFill>
            <w14:solidFill>
              <w14:schemeClr w14:val="tx1"/>
            </w14:solidFill>
          </w14:textFill>
        </w:rPr>
        <w:t>】日的，甲方有权在要求乙方支付违约金的同时，书面通知乙方解除本合同，乙方应退回全部已收取的合同价款并按合同总金额的</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 xml:space="preserve"> 20 </w:t>
      </w:r>
      <w:r>
        <w:rPr>
          <w:rFonts w:hint="eastAsia" w:ascii="仿宋_GB2312" w:hAnsi="楷体" w:eastAsia="仿宋_GB2312"/>
          <w:color w:val="000000" w:themeColor="text1"/>
          <w:sz w:val="24"/>
          <w:highlight w:val="none"/>
          <w14:textFill>
            <w14:solidFill>
              <w14:schemeClr w14:val="tx1"/>
            </w14:solidFill>
          </w14:textFill>
        </w:rPr>
        <w:t>%（根据项目实际填写，一般为20%）向甲方支付违约金；</w:t>
      </w:r>
    </w:p>
    <w:p w14:paraId="2C7062AD">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1.6.2除不可抗力外，如果甲方没有按照本合同约定的付款方式付款，乙方可要求甲方支付违约金，违约金按每迟延付款一日的应付而未付款的</w:t>
      </w:r>
      <w:r>
        <w:rPr>
          <w:rFonts w:hint="eastAsia" w:ascii="仿宋_GB2312" w:hAnsi="楷体" w:eastAsia="仿宋_GB2312"/>
          <w:color w:val="000000" w:themeColor="text1"/>
          <w:sz w:val="24"/>
          <w:highlight w:val="none"/>
          <w:u w:val="single"/>
          <w14:textFill>
            <w14:solidFill>
              <w14:schemeClr w14:val="tx1"/>
            </w14:solidFill>
          </w14:textFill>
        </w:rPr>
        <w:t>万分之五</w:t>
      </w:r>
      <w:r>
        <w:rPr>
          <w:rFonts w:hint="eastAsia" w:ascii="仿宋_GB2312" w:hAnsi="楷体" w:eastAsia="仿宋_GB2312"/>
          <w:color w:val="000000" w:themeColor="text1"/>
          <w:sz w:val="24"/>
          <w:highlight w:val="none"/>
          <w14:textFill>
            <w14:solidFill>
              <w14:schemeClr w14:val="tx1"/>
            </w14:solidFill>
          </w14:textFill>
        </w:rPr>
        <w:t>（根据项目实际填写，一般为万分之五）计算，最高限额为欠付金额的</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 xml:space="preserve"> 20 </w:t>
      </w:r>
      <w:r>
        <w:rPr>
          <w:rFonts w:hint="eastAsia" w:ascii="仿宋_GB2312" w:hAnsi="楷体" w:eastAsia="仿宋_GB2312"/>
          <w:color w:val="000000" w:themeColor="text1"/>
          <w:sz w:val="24"/>
          <w:highlight w:val="none"/>
          <w14:textFill>
            <w14:solidFill>
              <w14:schemeClr w14:val="tx1"/>
            </w14:solidFill>
          </w14:textFill>
        </w:rPr>
        <w:t>%（根据项目实际填写，一般为20%）；迟延付款的违约金计算数额达到前述最高限额之日起，乙方有权在要求甲方支付违约金的同时，书面通知甲方解除本合同；</w:t>
      </w:r>
    </w:p>
    <w:p w14:paraId="2EBDFE3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326E2402">
      <w:pPr>
        <w:spacing w:line="360" w:lineRule="auto"/>
        <w:ind w:firstLine="240" w:firstLineChars="100"/>
        <w:rPr>
          <w:rFonts w:hint="eastAsia" w:ascii="仿宋" w:hAnsi="仿宋" w:eastAsia="仿宋" w:cs="仿宋"/>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1.6.4</w:t>
      </w:r>
      <w:r>
        <w:rPr>
          <w:rFonts w:hint="eastAsia" w:ascii="仿宋" w:hAnsi="仿宋" w:eastAsia="仿宋" w:cs="仿宋"/>
          <w:color w:val="000000" w:themeColor="text1"/>
          <w:sz w:val="24"/>
          <w:highlight w:val="none"/>
          <w14:textFill>
            <w14:solidFill>
              <w14:schemeClr w14:val="tx1"/>
            </w14:solidFill>
          </w14:textFill>
        </w:rPr>
        <w:t>乙方在质保期内未按承诺提供售后等货物的，每发生一次向甲方支付</w:t>
      </w:r>
      <w:r>
        <w:rPr>
          <w:rFonts w:hint="eastAsia" w:ascii="仿宋_GB2312" w:hAnsi="楷体" w:eastAsia="仿宋_GB2312"/>
          <w:color w:val="000000" w:themeColor="text1"/>
          <w:sz w:val="24"/>
          <w:highlight w:val="none"/>
          <w:u w:val="single"/>
          <w14:textFill>
            <w14:solidFill>
              <w14:schemeClr w14:val="tx1"/>
            </w14:solidFill>
          </w14:textFill>
        </w:rPr>
        <w:t>2000</w:t>
      </w:r>
      <w:r>
        <w:rPr>
          <w:rFonts w:hint="eastAsia" w:ascii="仿宋" w:hAnsi="仿宋" w:eastAsia="仿宋" w:cs="仿宋"/>
          <w:color w:val="000000" w:themeColor="text1"/>
          <w:sz w:val="24"/>
          <w:highlight w:val="none"/>
          <w:u w:val="single"/>
          <w14:textFill>
            <w14:solidFill>
              <w14:schemeClr w14:val="tx1"/>
            </w14:solidFill>
          </w14:textFill>
        </w:rPr>
        <w:t>元</w:t>
      </w:r>
      <w:r>
        <w:rPr>
          <w:rFonts w:hint="eastAsia" w:ascii="仿宋_GB2312" w:hAnsi="楷体" w:eastAsia="仿宋_GB2312"/>
          <w:color w:val="000000" w:themeColor="text1"/>
          <w:sz w:val="24"/>
          <w:highlight w:val="none"/>
          <w14:textFill>
            <w14:solidFill>
              <w14:schemeClr w14:val="tx1"/>
            </w14:solidFill>
          </w14:textFill>
        </w:rPr>
        <w:t>（根据项目实际填写，一般为2000元）</w:t>
      </w:r>
      <w:r>
        <w:rPr>
          <w:rFonts w:hint="eastAsia" w:ascii="仿宋" w:hAnsi="仿宋" w:eastAsia="仿宋" w:cs="仿宋"/>
          <w:color w:val="000000" w:themeColor="text1"/>
          <w:sz w:val="24"/>
          <w:highlight w:val="none"/>
          <w14:textFill>
            <w14:solidFill>
              <w14:schemeClr w14:val="tx1"/>
            </w14:solidFill>
          </w14:textFill>
        </w:rPr>
        <w:t>的违约金。</w:t>
      </w:r>
    </w:p>
    <w:p w14:paraId="24535A36">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1.6.5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3953994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1.6.6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6D00AF4F">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1.6.7如果出现政府采购监督管理部门在处理投诉事项期间，书面通知甲方暂停采购活动的情形，或者询问或质疑事项可能影响</w:t>
      </w:r>
      <w:r>
        <w:rPr>
          <w:rFonts w:hint="eastAsia" w:ascii="仿宋_GB2312" w:hAnsi="楷体" w:eastAsia="仿宋_GB2312"/>
          <w:color w:val="000000" w:themeColor="text1"/>
          <w:sz w:val="24"/>
          <w:highlight w:val="none"/>
          <w:lang w:eastAsia="zh-CN"/>
          <w14:textFill>
            <w14:solidFill>
              <w14:schemeClr w14:val="tx1"/>
            </w14:solidFill>
          </w14:textFill>
        </w:rPr>
        <w:t>成交</w:t>
      </w:r>
      <w:r>
        <w:rPr>
          <w:rFonts w:hint="eastAsia" w:ascii="仿宋_GB2312" w:hAnsi="楷体" w:eastAsia="仿宋_GB2312"/>
          <w:color w:val="000000" w:themeColor="text1"/>
          <w:sz w:val="24"/>
          <w:highlight w:val="none"/>
          <w14:textFill>
            <w14:solidFill>
              <w14:schemeClr w14:val="tx1"/>
            </w14:solidFill>
          </w14:textFill>
        </w:rPr>
        <w:t>结果的，导致甲方中止履行合同的情形，均不视为甲方违约。</w:t>
      </w:r>
    </w:p>
    <w:p w14:paraId="1FED6663">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02" w:name="_Toc16021"/>
      <w:bookmarkStart w:id="103" w:name="_Toc28375"/>
      <w:bookmarkStart w:id="104" w:name="_Toc15583"/>
      <w:r>
        <w:rPr>
          <w:rFonts w:hint="eastAsia" w:ascii="仿宋_GB2312" w:hAnsi="楷体" w:eastAsia="仿宋_GB2312"/>
          <w:b/>
          <w:color w:val="000000" w:themeColor="text1"/>
          <w:sz w:val="24"/>
          <w:highlight w:val="none"/>
          <w14:textFill>
            <w14:solidFill>
              <w14:schemeClr w14:val="tx1"/>
            </w14:solidFill>
          </w14:textFill>
        </w:rPr>
        <w:t>1.7合同争议的解决</w:t>
      </w:r>
      <w:bookmarkEnd w:id="102"/>
      <w:bookmarkEnd w:id="103"/>
      <w:bookmarkEnd w:id="104"/>
    </w:p>
    <w:p w14:paraId="3327D035">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本合同履行过程中发生的任何争议，双方当事人均可通过和解或者调解解决；不愿和解、调解或者和解、调解不成的，可以选择下列第</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2</w:t>
      </w:r>
      <w:r>
        <w:rPr>
          <w:rFonts w:hint="eastAsia" w:ascii="仿宋_GB2312" w:hAnsi="楷体" w:eastAsia="仿宋_GB2312"/>
          <w:color w:val="000000" w:themeColor="text1"/>
          <w:sz w:val="24"/>
          <w:highlight w:val="none"/>
          <w14:textFill>
            <w14:solidFill>
              <w14:schemeClr w14:val="tx1"/>
            </w14:solidFill>
          </w14:textFill>
        </w:rPr>
        <w:t>种方式解决：</w:t>
      </w:r>
    </w:p>
    <w:p w14:paraId="3ABEAF6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1.7.1将争议提交</w:t>
      </w:r>
      <w:r>
        <w:rPr>
          <w:rFonts w:hint="eastAsia" w:ascii="仿宋_GB2312" w:hAnsi="楷体" w:eastAsia="仿宋_GB2312"/>
          <w:color w:val="000000" w:themeColor="text1"/>
          <w:sz w:val="24"/>
          <w:highlight w:val="none"/>
          <w:u w:val="single"/>
          <w14:textFill>
            <w14:solidFill>
              <w14:schemeClr w14:val="tx1"/>
            </w14:solidFill>
          </w14:textFill>
        </w:rPr>
        <w:t>南宁</w:t>
      </w:r>
      <w:r>
        <w:rPr>
          <w:rFonts w:hint="eastAsia" w:ascii="仿宋_GB2312" w:hAnsi="楷体" w:eastAsia="仿宋_GB2312"/>
          <w:color w:val="000000" w:themeColor="text1"/>
          <w:sz w:val="24"/>
          <w:highlight w:val="none"/>
          <w14:textFill>
            <w14:solidFill>
              <w14:schemeClr w14:val="tx1"/>
            </w14:solidFill>
          </w14:textFill>
        </w:rPr>
        <w:t>仲裁委员会依申请仲裁时其现行有效的仲裁规则裁决；</w:t>
      </w:r>
    </w:p>
    <w:p w14:paraId="77BFB2C1">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1.7.2向</w:t>
      </w:r>
      <w:r>
        <w:rPr>
          <w:rFonts w:hint="eastAsia" w:ascii="仿宋_GB2312" w:hAnsi="楷体" w:eastAsia="仿宋_GB2312"/>
          <w:color w:val="000000" w:themeColor="text1"/>
          <w:sz w:val="24"/>
          <w:highlight w:val="none"/>
          <w:u w:val="single"/>
          <w14:textFill>
            <w14:solidFill>
              <w14:schemeClr w14:val="tx1"/>
            </w14:solidFill>
          </w14:textFill>
        </w:rPr>
        <w:t>甲方所在地</w:t>
      </w:r>
      <w:r>
        <w:rPr>
          <w:rFonts w:hint="eastAsia" w:ascii="仿宋_GB2312" w:hAnsi="楷体" w:eastAsia="仿宋_GB2312"/>
          <w:color w:val="000000" w:themeColor="text1"/>
          <w:sz w:val="24"/>
          <w:highlight w:val="none"/>
          <w14:textFill>
            <w14:solidFill>
              <w14:schemeClr w14:val="tx1"/>
            </w14:solidFill>
          </w14:textFill>
        </w:rPr>
        <w:t>人民法院起诉。</w:t>
      </w:r>
    </w:p>
    <w:p w14:paraId="732567D7">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05" w:name="_Toc7245"/>
      <w:bookmarkStart w:id="106" w:name="_Toc15322"/>
      <w:bookmarkStart w:id="107" w:name="_Toc11173"/>
      <w:r>
        <w:rPr>
          <w:rFonts w:hint="eastAsia" w:ascii="仿宋_GB2312" w:hAnsi="楷体" w:eastAsia="仿宋_GB2312"/>
          <w:b/>
          <w:color w:val="000000" w:themeColor="text1"/>
          <w:sz w:val="24"/>
          <w:highlight w:val="none"/>
          <w14:textFill>
            <w14:solidFill>
              <w14:schemeClr w14:val="tx1"/>
            </w14:solidFill>
          </w14:textFill>
        </w:rPr>
        <w:t>1.8合同生效</w:t>
      </w:r>
      <w:bookmarkEnd w:id="105"/>
      <w:bookmarkEnd w:id="106"/>
      <w:bookmarkEnd w:id="107"/>
    </w:p>
    <w:p w14:paraId="2D1CF2C6">
      <w:pPr>
        <w:spacing w:line="360" w:lineRule="auto"/>
        <w:ind w:firstLine="480"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本合同自双方当事人加盖有效公章、法定代表人或授权代表人签字时生效。</w:t>
      </w:r>
    </w:p>
    <w:p w14:paraId="5750A6FD">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甲方：</w:t>
      </w:r>
      <w:r>
        <w:rPr>
          <w:rFonts w:hint="eastAsia" w:ascii="仿宋_GB2312" w:hAnsi="楷体" w:eastAsia="仿宋_GB2312"/>
          <w:color w:val="000000" w:themeColor="text1"/>
          <w:sz w:val="24"/>
          <w:highlight w:val="non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乙方：</w:t>
      </w:r>
    </w:p>
    <w:p w14:paraId="0A82C2D2">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统一社会信用代码：</w:t>
      </w:r>
      <w:r>
        <w:rPr>
          <w:rFonts w:hint="eastAsia" w:ascii="仿宋_GB2312" w:hAnsi="楷体" w:eastAsia="仿宋_GB2312"/>
          <w:color w:val="000000" w:themeColor="text1"/>
          <w:sz w:val="24"/>
          <w:highlight w:val="non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统一社会信用代码或身份证号码：</w:t>
      </w:r>
    </w:p>
    <w:p w14:paraId="75DFA38F">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p>
    <w:p w14:paraId="2F82623D">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住所：</w:t>
      </w:r>
      <w:r>
        <w:rPr>
          <w:rFonts w:hint="eastAsia" w:ascii="仿宋_GB2312" w:hAnsi="楷体" w:eastAsia="仿宋_GB2312"/>
          <w:color w:val="000000" w:themeColor="text1"/>
          <w:sz w:val="24"/>
          <w:highlight w:val="non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住所：</w:t>
      </w:r>
    </w:p>
    <w:p w14:paraId="38C31248">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法定代表人或</w:t>
      </w:r>
      <w:r>
        <w:rPr>
          <w:rFonts w:hint="eastAsia" w:ascii="仿宋_GB2312" w:hAnsi="楷体" w:eastAsia="仿宋_GB2312"/>
          <w:color w:val="000000" w:themeColor="text1"/>
          <w:sz w:val="24"/>
          <w:highlight w:val="non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法定代表人</w:t>
      </w:r>
    </w:p>
    <w:p w14:paraId="17E86BFD">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授权代表（签字）：</w:t>
      </w:r>
      <w:r>
        <w:rPr>
          <w:rFonts w:hint="eastAsia" w:ascii="仿宋_GB2312" w:hAnsi="楷体" w:eastAsia="仿宋_GB2312"/>
          <w:color w:val="000000" w:themeColor="text1"/>
          <w:sz w:val="24"/>
          <w:highlight w:val="non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或授权代表（签字）：</w:t>
      </w:r>
    </w:p>
    <w:p w14:paraId="559CBAB3">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联系人：</w:t>
      </w:r>
      <w:r>
        <w:rPr>
          <w:rFonts w:hint="eastAsia" w:ascii="仿宋_GB2312" w:hAnsi="楷体" w:eastAsia="仿宋_GB2312"/>
          <w:color w:val="000000" w:themeColor="text1"/>
          <w:sz w:val="24"/>
          <w:highlight w:val="non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联系人：</w:t>
      </w:r>
    </w:p>
    <w:p w14:paraId="1A119F1C">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约定送达地址：</w:t>
      </w:r>
      <w:r>
        <w:rPr>
          <w:rFonts w:hint="eastAsia" w:ascii="仿宋_GB2312" w:hAnsi="楷体" w:eastAsia="仿宋_GB2312"/>
          <w:color w:val="000000" w:themeColor="text1"/>
          <w:sz w:val="24"/>
          <w:highlight w:val="non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约定送达地址：</w:t>
      </w:r>
    </w:p>
    <w:p w14:paraId="421BB58A">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邮政编码：</w:t>
      </w:r>
      <w:r>
        <w:rPr>
          <w:rFonts w:hint="eastAsia" w:ascii="仿宋_GB2312" w:hAnsi="楷体" w:eastAsia="仿宋_GB2312"/>
          <w:color w:val="000000" w:themeColor="text1"/>
          <w:sz w:val="24"/>
          <w:highlight w:val="non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邮政编码：</w:t>
      </w:r>
    </w:p>
    <w:p w14:paraId="4C8A0818">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电话:</w:t>
      </w:r>
      <w:r>
        <w:rPr>
          <w:rFonts w:hint="eastAsia" w:ascii="仿宋_GB2312" w:hAnsi="楷体" w:eastAsia="仿宋_GB2312"/>
          <w:color w:val="000000" w:themeColor="text1"/>
          <w:sz w:val="24"/>
          <w:highlight w:val="non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电话:</w:t>
      </w:r>
    </w:p>
    <w:p w14:paraId="04085BFA">
      <w:pPr>
        <w:spacing w:line="360" w:lineRule="auto"/>
        <w:ind w:firstLine="200"/>
        <w:rPr>
          <w:rFonts w:hint="eastAsia" w:ascii="仿宋_GB2312" w:hAnsi="楷体" w:eastAsia="仿宋_GB2312"/>
          <w:color w:val="000000" w:themeColor="text1"/>
          <w:sz w:val="24"/>
          <w:highlight w:val="none"/>
          <w:lang w:val="zh-CN"/>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传真:</w:t>
      </w:r>
      <w:r>
        <w:rPr>
          <w:rFonts w:hint="eastAsia" w:ascii="仿宋_GB2312" w:hAnsi="楷体" w:eastAsia="仿宋_GB2312"/>
          <w:color w:val="000000" w:themeColor="text1"/>
          <w:sz w:val="24"/>
          <w:highlight w:val="non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传真:</w:t>
      </w:r>
    </w:p>
    <w:p w14:paraId="34673739">
      <w:pPr>
        <w:spacing w:line="360" w:lineRule="auto"/>
        <w:ind w:firstLine="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电子邮箱：</w:t>
      </w:r>
      <w:r>
        <w:rPr>
          <w:rFonts w:hint="eastAsia" w:ascii="仿宋_GB2312" w:hAnsi="楷体" w:eastAsia="仿宋_GB2312"/>
          <w:color w:val="000000" w:themeColor="text1"/>
          <w:sz w:val="24"/>
          <w:highlight w:val="non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电子邮箱：</w:t>
      </w:r>
    </w:p>
    <w:p w14:paraId="1639B223">
      <w:pPr>
        <w:spacing w:line="360" w:lineRule="auto"/>
        <w:ind w:firstLine="200"/>
        <w:rPr>
          <w:rFonts w:hint="eastAsia" w:ascii="仿宋_GB2312" w:hAnsi="楷体" w:eastAsia="仿宋_GB2312"/>
          <w:color w:val="000000" w:themeColor="text1"/>
          <w:sz w:val="24"/>
          <w:highlight w:val="none"/>
          <w:lang w:eastAsia="zh-CN"/>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开户银行：</w:t>
      </w:r>
      <w:r>
        <w:rPr>
          <w:rFonts w:hint="eastAsia" w:ascii="仿宋_GB2312" w:hAnsi="楷体" w:eastAsia="仿宋_GB2312"/>
          <w:color w:val="000000" w:themeColor="text1"/>
          <w:sz w:val="24"/>
          <w:highlight w:val="non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开户银行：</w:t>
      </w:r>
    </w:p>
    <w:p w14:paraId="6FE959C4">
      <w:pPr>
        <w:spacing w:line="360" w:lineRule="auto"/>
        <w:ind w:firstLine="200"/>
        <w:rPr>
          <w:rFonts w:hint="eastAsia" w:ascii="仿宋_GB2312" w:hAnsi="楷体" w:eastAsia="仿宋_GB2312"/>
          <w:color w:val="000000" w:themeColor="text1"/>
          <w:sz w:val="24"/>
          <w:highlight w:val="none"/>
          <w:lang w:eastAsia="zh-CN"/>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开户名称：</w:t>
      </w:r>
      <w:r>
        <w:rPr>
          <w:rFonts w:hint="eastAsia" w:ascii="仿宋_GB2312" w:hAnsi="楷体" w:eastAsia="仿宋_GB2312"/>
          <w:color w:val="000000" w:themeColor="text1"/>
          <w:sz w:val="24"/>
          <w:highlight w:val="non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开户名称：</w:t>
      </w:r>
    </w:p>
    <w:p w14:paraId="0D898F82">
      <w:pPr>
        <w:spacing w:line="360" w:lineRule="auto"/>
        <w:ind w:firstLine="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开户账号：</w:t>
      </w:r>
      <w:r>
        <w:rPr>
          <w:rFonts w:hint="eastAsia" w:ascii="仿宋_GB2312" w:hAnsi="楷体" w:eastAsia="仿宋_GB2312"/>
          <w:color w:val="000000" w:themeColor="text1"/>
          <w:sz w:val="24"/>
          <w:highlight w:val="none"/>
          <w:lang w:val="en-US" w:eastAsia="zh-CN"/>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开户账号：</w:t>
      </w:r>
    </w:p>
    <w:p w14:paraId="2C0A5547">
      <w:pPr>
        <w:pStyle w:val="85"/>
        <w:ind w:left="0" w:leftChars="0" w:firstLine="0" w:firstLineChars="0"/>
        <w:jc w:val="center"/>
        <w:outlineLvl w:val="1"/>
        <w:rPr>
          <w:rFonts w:hint="eastAsia" w:ascii="仿宋_GB2312" w:hAnsi="楷体" w:eastAsia="仿宋_GB2312"/>
          <w:b/>
          <w:color w:val="000000" w:themeColor="text1"/>
          <w:sz w:val="28"/>
          <w:szCs w:val="28"/>
          <w:highlight w:val="none"/>
          <w14:textFill>
            <w14:solidFill>
              <w14:schemeClr w14:val="tx1"/>
            </w14:solidFill>
          </w14:textFill>
        </w:rPr>
      </w:pPr>
      <w:r>
        <w:rPr>
          <w:rFonts w:hint="eastAsia" w:ascii="仿宋_GB2312" w:hAnsi="楷体" w:eastAsia="仿宋_GB2312"/>
          <w:b/>
          <w:color w:val="000000" w:themeColor="text1"/>
          <w:highlight w:val="none"/>
          <w14:textFill>
            <w14:solidFill>
              <w14:schemeClr w14:val="tx1"/>
            </w14:solidFill>
          </w14:textFill>
        </w:rPr>
        <w:br w:type="page"/>
      </w:r>
      <w:bookmarkStart w:id="108" w:name="_Toc331685783"/>
      <w:bookmarkStart w:id="109" w:name="_Toc22143"/>
      <w:r>
        <w:rPr>
          <w:rFonts w:hint="eastAsia" w:ascii="仿宋_GB2312" w:hAnsi="楷体" w:eastAsia="仿宋_GB2312"/>
          <w:b/>
          <w:color w:val="000000" w:themeColor="text1"/>
          <w:sz w:val="28"/>
          <w:szCs w:val="28"/>
          <w:highlight w:val="none"/>
          <w14:textFill>
            <w14:solidFill>
              <w14:schemeClr w14:val="tx1"/>
            </w14:solidFill>
          </w14:textFill>
        </w:rPr>
        <w:t>第二部分合同一般条款</w:t>
      </w:r>
      <w:bookmarkEnd w:id="108"/>
      <w:bookmarkEnd w:id="109"/>
    </w:p>
    <w:p w14:paraId="0E780EBF">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10" w:name="_Ref467379101"/>
      <w:bookmarkStart w:id="111" w:name="_Ref467379214"/>
      <w:bookmarkStart w:id="112" w:name="_Ref467378463"/>
      <w:bookmarkStart w:id="113" w:name="_Toc19614"/>
      <w:bookmarkStart w:id="114" w:name="_Ref467379205"/>
      <w:bookmarkStart w:id="115" w:name="_Ref467379225"/>
      <w:bookmarkStart w:id="116" w:name="_Ref467378404"/>
      <w:bookmarkStart w:id="117" w:name="_Toc259093669"/>
      <w:bookmarkStart w:id="118" w:name="_Toc28763"/>
      <w:bookmarkStart w:id="119" w:name="_Ref467378499"/>
      <w:bookmarkStart w:id="120" w:name="_Ref467379094"/>
      <w:bookmarkStart w:id="121" w:name="_Ref467379109"/>
      <w:bookmarkStart w:id="122" w:name="_Toc16917"/>
      <w:bookmarkStart w:id="123" w:name="_Ref467379195"/>
      <w:bookmarkStart w:id="124" w:name="_Toc487900349"/>
      <w:bookmarkStart w:id="125" w:name="_Toc279701240"/>
      <w:r>
        <w:rPr>
          <w:rFonts w:hint="eastAsia" w:ascii="仿宋_GB2312" w:hAnsi="楷体" w:eastAsia="仿宋_GB2312"/>
          <w:b/>
          <w:color w:val="000000" w:themeColor="text1"/>
          <w:sz w:val="24"/>
          <w:highlight w:val="none"/>
          <w14:textFill>
            <w14:solidFill>
              <w14:schemeClr w14:val="tx1"/>
            </w14:solidFill>
          </w14:textFill>
        </w:rPr>
        <w:t>2.1定义</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0DD23625">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本合同中的下列词语应按以下内容进行解释：</w:t>
      </w:r>
    </w:p>
    <w:p w14:paraId="192CBFC1">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2.1.1“合同”系指采购人和</w:t>
      </w:r>
      <w:r>
        <w:rPr>
          <w:rFonts w:hint="eastAsia" w:ascii="仿宋_GB2312" w:hAnsi="楷体" w:eastAsia="仿宋_GB2312"/>
          <w:color w:val="000000" w:themeColor="text1"/>
          <w:sz w:val="24"/>
          <w:highlight w:val="none"/>
          <w:lang w:eastAsia="zh-CN"/>
          <w14:textFill>
            <w14:solidFill>
              <w14:schemeClr w14:val="tx1"/>
            </w14:solidFill>
          </w14:textFill>
        </w:rPr>
        <w:t>成交</w:t>
      </w:r>
      <w:r>
        <w:rPr>
          <w:rFonts w:hint="eastAsia" w:ascii="仿宋_GB2312" w:hAnsi="楷体" w:eastAsia="仿宋_GB2312"/>
          <w:color w:val="000000" w:themeColor="text1"/>
          <w:sz w:val="24"/>
          <w:highlight w:val="none"/>
          <w14:textFill>
            <w14:solidFill>
              <w14:schemeClr w14:val="tx1"/>
            </w14:solidFill>
          </w14:textFill>
        </w:rPr>
        <w:t>人签订的载明双方当事人所达成的协议，并包括所有的附件、附录和构成合同的其他文件。</w:t>
      </w:r>
    </w:p>
    <w:p w14:paraId="3B3EC241">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2.1.2“合同价”系指根据合同约定，</w:t>
      </w:r>
      <w:r>
        <w:rPr>
          <w:rFonts w:hint="eastAsia" w:ascii="仿宋_GB2312" w:hAnsi="楷体" w:eastAsia="仿宋_GB2312"/>
          <w:color w:val="000000" w:themeColor="text1"/>
          <w:sz w:val="24"/>
          <w:highlight w:val="none"/>
          <w:lang w:eastAsia="zh-CN"/>
          <w14:textFill>
            <w14:solidFill>
              <w14:schemeClr w14:val="tx1"/>
            </w14:solidFill>
          </w14:textFill>
        </w:rPr>
        <w:t>成交</w:t>
      </w:r>
      <w:r>
        <w:rPr>
          <w:rFonts w:hint="eastAsia" w:ascii="仿宋_GB2312" w:hAnsi="楷体" w:eastAsia="仿宋_GB2312"/>
          <w:color w:val="000000" w:themeColor="text1"/>
          <w:sz w:val="24"/>
          <w:highlight w:val="none"/>
          <w14:textFill>
            <w14:solidFill>
              <w14:schemeClr w14:val="tx1"/>
            </w14:solidFill>
          </w14:textFill>
        </w:rPr>
        <w:t>人在完全履行合同义务后，采购人应支付给成交人的价格。</w:t>
      </w:r>
    </w:p>
    <w:p w14:paraId="3AFB398C">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2.1.3“标的物”系指</w:t>
      </w:r>
      <w:r>
        <w:rPr>
          <w:rFonts w:hint="eastAsia" w:ascii="仿宋_GB2312" w:hAnsi="楷体" w:eastAsia="仿宋_GB2312"/>
          <w:color w:val="000000" w:themeColor="text1"/>
          <w:sz w:val="24"/>
          <w:highlight w:val="none"/>
          <w:lang w:eastAsia="zh-CN"/>
          <w14:textFill>
            <w14:solidFill>
              <w14:schemeClr w14:val="tx1"/>
            </w14:solidFill>
          </w14:textFill>
        </w:rPr>
        <w:t>成交</w:t>
      </w:r>
      <w:r>
        <w:rPr>
          <w:rFonts w:hint="eastAsia" w:ascii="仿宋_GB2312" w:hAnsi="楷体" w:eastAsia="仿宋_GB2312"/>
          <w:color w:val="000000" w:themeColor="text1"/>
          <w:sz w:val="24"/>
          <w:highlight w:val="none"/>
          <w14:textFill>
            <w14:solidFill>
              <w14:schemeClr w14:val="tx1"/>
            </w14:solidFill>
          </w14:textFill>
        </w:rPr>
        <w:t>人根据合同约定应向采购人交付的一切各种形态和种类的货物、货物和工程，包括但不限于原材料、燃料、设备、机械、仪表、备件、计算机软件、信息化系统、信息化维保、物业货物、产品等，并包括工具、手册等其他相关资料。</w:t>
      </w:r>
    </w:p>
    <w:p w14:paraId="57BF9548">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bookmarkStart w:id="126" w:name="_Ref467378840"/>
      <w:r>
        <w:rPr>
          <w:rFonts w:hint="eastAsia" w:ascii="仿宋_GB2312" w:hAnsi="楷体" w:eastAsia="仿宋_GB2312"/>
          <w:color w:val="000000" w:themeColor="text1"/>
          <w:sz w:val="24"/>
          <w:highlight w:val="none"/>
          <w14:textFill>
            <w14:solidFill>
              <w14:schemeClr w14:val="tx1"/>
            </w14:solidFill>
          </w14:textFill>
        </w:rPr>
        <w:t>2.1.4“甲方”系指与</w:t>
      </w:r>
      <w:r>
        <w:rPr>
          <w:rFonts w:hint="eastAsia" w:ascii="仿宋_GB2312" w:hAnsi="楷体" w:eastAsia="仿宋_GB2312"/>
          <w:color w:val="000000" w:themeColor="text1"/>
          <w:sz w:val="24"/>
          <w:highlight w:val="none"/>
          <w:lang w:eastAsia="zh-CN"/>
          <w14:textFill>
            <w14:solidFill>
              <w14:schemeClr w14:val="tx1"/>
            </w14:solidFill>
          </w14:textFill>
        </w:rPr>
        <w:t>成交</w:t>
      </w:r>
      <w:r>
        <w:rPr>
          <w:rFonts w:hint="eastAsia" w:ascii="仿宋_GB2312" w:hAnsi="楷体" w:eastAsia="仿宋_GB2312"/>
          <w:color w:val="000000" w:themeColor="text1"/>
          <w:sz w:val="24"/>
          <w:highlight w:val="none"/>
          <w14:textFill>
            <w14:solidFill>
              <w14:schemeClr w14:val="tx1"/>
            </w14:solidFill>
          </w14:textFill>
        </w:rPr>
        <w:t>人签署合同的采购人</w:t>
      </w:r>
      <w:bookmarkEnd w:id="126"/>
      <w:r>
        <w:rPr>
          <w:rFonts w:hint="eastAsia" w:ascii="仿宋_GB2312" w:hAnsi="楷体" w:eastAsia="仿宋_GB2312"/>
          <w:color w:val="000000" w:themeColor="text1"/>
          <w:sz w:val="24"/>
          <w:highlight w:val="none"/>
          <w14:textFill>
            <w14:solidFill>
              <w14:schemeClr w14:val="tx1"/>
            </w14:solidFill>
          </w14:textFill>
        </w:rPr>
        <w:t>；采购人委托采购机构代表其与乙方签订合同的，采购人的授权委托书作为合同附件。</w:t>
      </w:r>
    </w:p>
    <w:p w14:paraId="7078143A">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bookmarkStart w:id="127" w:name="_Ref467379400"/>
      <w:r>
        <w:rPr>
          <w:rFonts w:hint="eastAsia" w:ascii="仿宋_GB2312" w:hAnsi="楷体" w:eastAsia="仿宋_GB2312"/>
          <w:color w:val="000000" w:themeColor="text1"/>
          <w:sz w:val="24"/>
          <w:highlight w:val="none"/>
          <w14:textFill>
            <w14:solidFill>
              <w14:schemeClr w14:val="tx1"/>
            </w14:solidFill>
          </w14:textFill>
        </w:rPr>
        <w:t>2.1.5“乙方”系指根据合同约定交付标的物的</w:t>
      </w:r>
      <w:bookmarkEnd w:id="127"/>
      <w:r>
        <w:rPr>
          <w:rFonts w:hint="eastAsia" w:ascii="仿宋_GB2312" w:hAnsi="楷体" w:eastAsia="仿宋_GB2312"/>
          <w:color w:val="000000" w:themeColor="text1"/>
          <w:sz w:val="24"/>
          <w:highlight w:val="none"/>
          <w:lang w:eastAsia="zh-CN"/>
          <w14:textFill>
            <w14:solidFill>
              <w14:schemeClr w14:val="tx1"/>
            </w14:solidFill>
          </w14:textFill>
        </w:rPr>
        <w:t>成交</w:t>
      </w:r>
      <w:r>
        <w:rPr>
          <w:rFonts w:hint="eastAsia" w:ascii="仿宋_GB2312" w:hAnsi="楷体" w:eastAsia="仿宋_GB2312"/>
          <w:color w:val="000000" w:themeColor="text1"/>
          <w:sz w:val="24"/>
          <w:highlight w:val="none"/>
          <w14:textFill>
            <w14:solidFill>
              <w14:schemeClr w14:val="tx1"/>
            </w14:solidFill>
          </w14:textFill>
        </w:rPr>
        <w:t>人；两个以上的自然人、法人或者其他组织组成一个联合体，以一个供应商的身份共同参加政府采购的，联合体各方均应为乙方或者与乙方相同地位的合同当事人，并就合同约定的事项对甲方承担连带责任。</w:t>
      </w:r>
    </w:p>
    <w:p w14:paraId="7CF22D76">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bookmarkStart w:id="128" w:name="_Ref467379436"/>
      <w:r>
        <w:rPr>
          <w:rFonts w:hint="eastAsia" w:ascii="仿宋_GB2312" w:hAnsi="楷体" w:eastAsia="仿宋_GB2312"/>
          <w:color w:val="000000" w:themeColor="text1"/>
          <w:sz w:val="24"/>
          <w:highlight w:val="none"/>
          <w14:textFill>
            <w14:solidFill>
              <w14:schemeClr w14:val="tx1"/>
            </w14:solidFill>
          </w14:textFill>
        </w:rPr>
        <w:t>2.1.6“现场”系指合同约定标的物将要运至或者实施或者安装的地点。</w:t>
      </w:r>
      <w:bookmarkEnd w:id="128"/>
    </w:p>
    <w:p w14:paraId="66357981">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29" w:name="_Toc13336"/>
      <w:bookmarkStart w:id="130" w:name="_Toc27635"/>
      <w:bookmarkStart w:id="131" w:name="_Toc32504"/>
      <w:bookmarkStart w:id="132" w:name="_Toc259093670"/>
      <w:bookmarkStart w:id="133" w:name="_Toc487900350"/>
      <w:bookmarkStart w:id="134" w:name="_Toc279701241"/>
      <w:r>
        <w:rPr>
          <w:rFonts w:hint="eastAsia" w:ascii="仿宋_GB2312" w:hAnsi="楷体" w:eastAsia="仿宋_GB2312"/>
          <w:b/>
          <w:color w:val="000000" w:themeColor="text1"/>
          <w:sz w:val="24"/>
          <w:highlight w:val="none"/>
          <w14:textFill>
            <w14:solidFill>
              <w14:schemeClr w14:val="tx1"/>
            </w14:solidFill>
          </w14:textFill>
        </w:rPr>
        <w:t>2.2技术规范</w:t>
      </w:r>
      <w:bookmarkEnd w:id="129"/>
      <w:bookmarkEnd w:id="130"/>
      <w:bookmarkEnd w:id="131"/>
      <w:bookmarkEnd w:id="132"/>
      <w:bookmarkEnd w:id="133"/>
      <w:bookmarkEnd w:id="134"/>
    </w:p>
    <w:p w14:paraId="4E2649BD">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6AFF862B">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35" w:name="_Toc487900351"/>
      <w:bookmarkStart w:id="136" w:name="_Toc259093671"/>
      <w:bookmarkStart w:id="137" w:name="_Toc9829"/>
      <w:bookmarkStart w:id="138" w:name="_Toc279701242"/>
      <w:bookmarkStart w:id="139" w:name="_Toc31634"/>
      <w:bookmarkStart w:id="140" w:name="_Toc27853"/>
      <w:r>
        <w:rPr>
          <w:rFonts w:hint="eastAsia" w:ascii="仿宋_GB2312" w:hAnsi="楷体" w:eastAsia="仿宋_GB2312"/>
          <w:b/>
          <w:color w:val="000000" w:themeColor="text1"/>
          <w:sz w:val="24"/>
          <w:highlight w:val="none"/>
          <w14:textFill>
            <w14:solidFill>
              <w14:schemeClr w14:val="tx1"/>
            </w14:solidFill>
          </w14:textFill>
        </w:rPr>
        <w:t>2.3知识产权</w:t>
      </w:r>
      <w:bookmarkEnd w:id="135"/>
      <w:bookmarkEnd w:id="136"/>
      <w:bookmarkEnd w:id="137"/>
      <w:bookmarkEnd w:id="138"/>
      <w:bookmarkEnd w:id="139"/>
      <w:bookmarkEnd w:id="140"/>
    </w:p>
    <w:p w14:paraId="7D4F0703">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2.3.1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1C69F539">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2.3.2具有知识产权的计算机软件等标的物的知识产权归属，详见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w:t>
      </w:r>
    </w:p>
    <w:p w14:paraId="7FCCF122">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41" w:name="_Toc4194"/>
      <w:bookmarkStart w:id="142" w:name="_Toc29149"/>
      <w:bookmarkStart w:id="143" w:name="_Toc11932"/>
      <w:r>
        <w:rPr>
          <w:rFonts w:hint="eastAsia" w:ascii="仿宋_GB2312" w:hAnsi="楷体" w:eastAsia="仿宋_GB2312"/>
          <w:b/>
          <w:color w:val="000000" w:themeColor="text1"/>
          <w:sz w:val="24"/>
          <w:highlight w:val="none"/>
          <w14:textFill>
            <w14:solidFill>
              <w14:schemeClr w14:val="tx1"/>
            </w14:solidFill>
          </w14:textFill>
        </w:rPr>
        <w:t>2.4包装和装运</w:t>
      </w:r>
      <w:bookmarkEnd w:id="141"/>
      <w:bookmarkEnd w:id="142"/>
      <w:bookmarkEnd w:id="143"/>
    </w:p>
    <w:p w14:paraId="0E5FD0B9">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2.4.1除</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0EB822D7">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2.4.2装运标的物的要求和通知，详见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w:t>
      </w:r>
    </w:p>
    <w:p w14:paraId="26C30174">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44" w:name="_Toc259093674"/>
      <w:bookmarkStart w:id="145" w:name="_Toc487900354"/>
      <w:bookmarkStart w:id="146" w:name="_Toc279701245"/>
      <w:bookmarkStart w:id="147" w:name="_Ref467379542"/>
      <w:bookmarkStart w:id="148" w:name="_Ref467378591"/>
      <w:bookmarkStart w:id="149" w:name="_Ref467378541"/>
      <w:bookmarkStart w:id="150" w:name="_Ref467379536"/>
      <w:bookmarkStart w:id="151" w:name="_Ref467379527"/>
      <w:bookmarkStart w:id="152" w:name="_Toc30272"/>
      <w:bookmarkStart w:id="153" w:name="_Toc26182"/>
      <w:bookmarkStart w:id="154" w:name="_Toc19074"/>
      <w:r>
        <w:rPr>
          <w:rFonts w:hint="eastAsia" w:ascii="仿宋_GB2312" w:hAnsi="楷体" w:eastAsia="仿宋_GB2312"/>
          <w:b/>
          <w:color w:val="000000" w:themeColor="text1"/>
          <w:sz w:val="24"/>
          <w:highlight w:val="none"/>
          <w14:textFill>
            <w14:solidFill>
              <w14:schemeClr w14:val="tx1"/>
            </w14:solidFill>
          </w14:textFill>
        </w:rPr>
        <w:t>2.</w:t>
      </w:r>
      <w:bookmarkEnd w:id="144"/>
      <w:bookmarkEnd w:id="145"/>
      <w:bookmarkEnd w:id="146"/>
      <w:bookmarkEnd w:id="147"/>
      <w:bookmarkEnd w:id="148"/>
      <w:bookmarkEnd w:id="149"/>
      <w:bookmarkEnd w:id="150"/>
      <w:bookmarkEnd w:id="151"/>
      <w:r>
        <w:rPr>
          <w:rFonts w:hint="eastAsia" w:ascii="仿宋_GB2312" w:hAnsi="楷体" w:eastAsia="仿宋_GB2312"/>
          <w:b/>
          <w:color w:val="000000" w:themeColor="text1"/>
          <w:sz w:val="24"/>
          <w:highlight w:val="none"/>
          <w14:textFill>
            <w14:solidFill>
              <w14:schemeClr w14:val="tx1"/>
            </w14:solidFill>
          </w14:textFill>
        </w:rPr>
        <w:t>5履约检查和问题反馈</w:t>
      </w:r>
      <w:bookmarkEnd w:id="152"/>
      <w:bookmarkEnd w:id="153"/>
      <w:bookmarkEnd w:id="154"/>
    </w:p>
    <w:p w14:paraId="4CD51F0A">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bookmarkStart w:id="155" w:name="_Ref467379657"/>
      <w:r>
        <w:rPr>
          <w:rFonts w:hint="eastAsia" w:ascii="仿宋_GB2312" w:hAnsi="楷体" w:eastAsia="仿宋_GB2312"/>
          <w:color w:val="000000" w:themeColor="text1"/>
          <w:sz w:val="24"/>
          <w:highlight w:val="none"/>
          <w14:textFill>
            <w14:solidFill>
              <w14:schemeClr w14:val="tx1"/>
            </w14:solidFill>
          </w14:textFill>
        </w:rPr>
        <w:t>2.5.1</w:t>
      </w:r>
      <w:bookmarkEnd w:id="155"/>
      <w:bookmarkStart w:id="156" w:name="_Toc186431854"/>
      <w:bookmarkStart w:id="157" w:name="_Ref467379807"/>
      <w:bookmarkStart w:id="158" w:name="_Toc279701247"/>
      <w:bookmarkStart w:id="159" w:name="_Toc259093676"/>
      <w:bookmarkStart w:id="160" w:name="_Toc487900357"/>
      <w:bookmarkStart w:id="161" w:name="_Ref467379793"/>
      <w:r>
        <w:rPr>
          <w:rFonts w:hint="eastAsia" w:ascii="仿宋_GB2312" w:hAnsi="楷体" w:eastAsia="仿宋_GB2312"/>
          <w:color w:val="000000" w:themeColor="text1"/>
          <w:sz w:val="24"/>
          <w:highlight w:val="none"/>
          <w14:textFill>
            <w14:solidFill>
              <w14:schemeClr w14:val="tx1"/>
            </w14:solidFill>
          </w14:textFill>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13935EF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2.5.2合同履行期间，甲方有权将履行过程中出现的问题反馈给乙方，双方当事人应以书面形式约定需要完善和改进的内容</w:t>
      </w:r>
      <w:bookmarkEnd w:id="156"/>
      <w:bookmarkStart w:id="162" w:name="_Toc186431855"/>
      <w:r>
        <w:rPr>
          <w:rFonts w:hint="eastAsia" w:ascii="仿宋_GB2312" w:hAnsi="楷体" w:eastAsia="仿宋_GB2312"/>
          <w:color w:val="000000" w:themeColor="text1"/>
          <w:sz w:val="24"/>
          <w:highlight w:val="none"/>
          <w14:textFill>
            <w14:solidFill>
              <w14:schemeClr w14:val="tx1"/>
            </w14:solidFill>
          </w14:textFill>
        </w:rPr>
        <w:t>。</w:t>
      </w:r>
    </w:p>
    <w:bookmarkEnd w:id="162"/>
    <w:p w14:paraId="3C6AF63E">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63" w:name="_Toc28451"/>
      <w:bookmarkStart w:id="164" w:name="_Toc7836"/>
      <w:bookmarkStart w:id="165" w:name="_Toc19219"/>
      <w:r>
        <w:rPr>
          <w:rFonts w:hint="eastAsia" w:ascii="仿宋_GB2312" w:hAnsi="楷体" w:eastAsia="仿宋_GB2312"/>
          <w:b/>
          <w:color w:val="000000" w:themeColor="text1"/>
          <w:sz w:val="24"/>
          <w:highlight w:val="none"/>
          <w14:textFill>
            <w14:solidFill>
              <w14:schemeClr w14:val="tx1"/>
            </w14:solidFill>
          </w14:textFill>
        </w:rPr>
        <w:t>2.6结算方式和付款条件</w:t>
      </w:r>
      <w:bookmarkEnd w:id="157"/>
      <w:bookmarkEnd w:id="158"/>
      <w:bookmarkEnd w:id="159"/>
      <w:bookmarkEnd w:id="160"/>
      <w:bookmarkEnd w:id="161"/>
      <w:bookmarkEnd w:id="163"/>
      <w:bookmarkEnd w:id="164"/>
      <w:bookmarkEnd w:id="165"/>
    </w:p>
    <w:p w14:paraId="6EB81D4C">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w:t>
      </w:r>
    </w:p>
    <w:p w14:paraId="01BC90A8">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66" w:name="_Toc259093677"/>
      <w:bookmarkStart w:id="167" w:name="_Toc279701248"/>
      <w:bookmarkStart w:id="168" w:name="_Toc487900358"/>
      <w:bookmarkStart w:id="169" w:name="_Ref467379852"/>
      <w:bookmarkStart w:id="170" w:name="_Ref467379863"/>
      <w:bookmarkStart w:id="171" w:name="_Ref467379923"/>
      <w:bookmarkStart w:id="172" w:name="_Toc774"/>
      <w:bookmarkStart w:id="173" w:name="_Toc3225"/>
      <w:bookmarkStart w:id="174" w:name="_Toc16110"/>
      <w:r>
        <w:rPr>
          <w:rFonts w:hint="eastAsia" w:ascii="仿宋_GB2312" w:hAnsi="楷体" w:eastAsia="仿宋_GB2312"/>
          <w:b/>
          <w:color w:val="000000" w:themeColor="text1"/>
          <w:sz w:val="24"/>
          <w:highlight w:val="none"/>
          <w14:textFill>
            <w14:solidFill>
              <w14:schemeClr w14:val="tx1"/>
            </w14:solidFill>
          </w14:textFill>
        </w:rPr>
        <w:t>2.7技术资料</w:t>
      </w:r>
      <w:bookmarkEnd w:id="166"/>
      <w:bookmarkEnd w:id="167"/>
      <w:bookmarkEnd w:id="168"/>
      <w:bookmarkEnd w:id="169"/>
      <w:bookmarkEnd w:id="170"/>
      <w:bookmarkEnd w:id="171"/>
      <w:r>
        <w:rPr>
          <w:rFonts w:hint="eastAsia" w:ascii="仿宋_GB2312" w:hAnsi="楷体" w:eastAsia="仿宋_GB2312"/>
          <w:b/>
          <w:color w:val="000000" w:themeColor="text1"/>
          <w:sz w:val="24"/>
          <w:highlight w:val="none"/>
          <w14:textFill>
            <w14:solidFill>
              <w14:schemeClr w14:val="tx1"/>
            </w14:solidFill>
          </w14:textFill>
        </w:rPr>
        <w:t>和保密义务</w:t>
      </w:r>
      <w:bookmarkEnd w:id="172"/>
      <w:bookmarkEnd w:id="173"/>
      <w:bookmarkEnd w:id="174"/>
    </w:p>
    <w:p w14:paraId="329B123A">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2.7.1乙方有权依据合同约定和项目需要，向甲方了解有关情况，调阅有关资料等，甲方应予积极配合；</w:t>
      </w:r>
    </w:p>
    <w:p w14:paraId="7E9C4F07">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2.7.2乙方有义务妥善保管和保护由甲方提供的前款信息和资料等；</w:t>
      </w:r>
    </w:p>
    <w:p w14:paraId="443993F6">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2.7.3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781F0337">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75" w:name="_Toc7860"/>
      <w:r>
        <w:rPr>
          <w:rFonts w:hint="eastAsia" w:ascii="仿宋_GB2312" w:hAnsi="楷体" w:eastAsia="仿宋_GB2312"/>
          <w:b/>
          <w:color w:val="000000" w:themeColor="text1"/>
          <w:sz w:val="24"/>
          <w:highlight w:val="none"/>
          <w14:textFill>
            <w14:solidFill>
              <w14:schemeClr w14:val="tx1"/>
            </w14:solidFill>
          </w14:textFill>
        </w:rPr>
        <w:t>2.8质量保证</w:t>
      </w:r>
      <w:bookmarkEnd w:id="175"/>
    </w:p>
    <w:p w14:paraId="4C67EA1A">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2.8.1乙方应建立和完善履行合同的内部质量保证体系，并提供相关内部规章制度给甲方，以便甲方进行监督检查；</w:t>
      </w:r>
    </w:p>
    <w:p w14:paraId="70133BE0">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2.8.2乙方应保证履行合同的人员数量和素质、软件和硬件设备的配置、场地、环境和设施等满足全面履行合同的要求，并应接受甲方的监督检查。</w:t>
      </w:r>
    </w:p>
    <w:p w14:paraId="5931A579">
      <w:pPr>
        <w:spacing w:line="360" w:lineRule="auto"/>
        <w:ind w:firstLine="480" w:firstLineChars="2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olor w:val="000000" w:themeColor="text1"/>
          <w:sz w:val="24"/>
          <w:highlight w:val="none"/>
          <w14:textFill>
            <w14:solidFill>
              <w14:schemeClr w14:val="tx1"/>
            </w14:solidFill>
          </w14:textFill>
        </w:rPr>
        <w:t>2.8.3乙方应确保项目技术人员的数量和水平与</w:t>
      </w:r>
      <w:r>
        <w:rPr>
          <w:rFonts w:hint="eastAsia" w:ascii="仿宋_GB2312" w:hAnsi="仿宋" w:eastAsia="仿宋_GB2312"/>
          <w:color w:val="000000" w:themeColor="text1"/>
          <w:sz w:val="24"/>
          <w:highlight w:val="none"/>
          <w:lang w:eastAsia="zh-CN"/>
          <w14:textFill>
            <w14:solidFill>
              <w14:schemeClr w14:val="tx1"/>
            </w14:solidFill>
          </w14:textFill>
        </w:rPr>
        <w:t>响应</w:t>
      </w:r>
      <w:r>
        <w:rPr>
          <w:rFonts w:hint="eastAsia" w:ascii="仿宋_GB2312" w:hAnsi="仿宋" w:eastAsia="仿宋_GB2312"/>
          <w:color w:val="000000" w:themeColor="text1"/>
          <w:sz w:val="24"/>
          <w:highlight w:val="none"/>
          <w14:textFill>
            <w14:solidFill>
              <w14:schemeClr w14:val="tx1"/>
            </w14:solidFill>
          </w14:textFill>
        </w:rPr>
        <w:t>文件一致。未经甲方书面同意，乙方不得擅自更换</w:t>
      </w:r>
      <w:r>
        <w:rPr>
          <w:rFonts w:hint="eastAsia" w:ascii="仿宋_GB2312" w:hAnsi="仿宋" w:eastAsia="仿宋_GB2312"/>
          <w:color w:val="000000" w:themeColor="text1"/>
          <w:sz w:val="24"/>
          <w:highlight w:val="none"/>
          <w:lang w:eastAsia="zh-CN"/>
          <w14:textFill>
            <w14:solidFill>
              <w14:schemeClr w14:val="tx1"/>
            </w14:solidFill>
          </w14:textFill>
        </w:rPr>
        <w:t>响应</w:t>
      </w:r>
      <w:r>
        <w:rPr>
          <w:rFonts w:hint="eastAsia" w:ascii="仿宋_GB2312" w:hAnsi="仿宋" w:eastAsia="仿宋_GB2312"/>
          <w:color w:val="000000" w:themeColor="text1"/>
          <w:sz w:val="24"/>
          <w:highlight w:val="none"/>
          <w14:textFill>
            <w14:solidFill>
              <w14:schemeClr w14:val="tx1"/>
            </w14:solidFill>
          </w14:textFill>
        </w:rPr>
        <w:t>文件中注明的项目经理和技术负责人。否则</w:t>
      </w:r>
      <w:r>
        <w:rPr>
          <w:rFonts w:hint="eastAsia" w:ascii="仿宋_GB2312" w:hAnsi="仿宋" w:eastAsia="仿宋_GB2312" w:cs="仿宋_GB2312"/>
          <w:color w:val="000000" w:themeColor="text1"/>
          <w:kern w:val="0"/>
          <w:sz w:val="24"/>
          <w:highlight w:val="none"/>
          <w14:textFill>
            <w14:solidFill>
              <w14:schemeClr w14:val="tx1"/>
            </w14:solidFill>
          </w14:textFill>
        </w:rPr>
        <w:t>甲方有权放弃或终止合同。</w:t>
      </w:r>
    </w:p>
    <w:p w14:paraId="20E0471F">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仿宋" w:eastAsia="仿宋_GB2312"/>
          <w:color w:val="000000" w:themeColor="text1"/>
          <w:sz w:val="24"/>
          <w:highlight w:val="none"/>
          <w14:textFill>
            <w14:solidFill>
              <w14:schemeClr w14:val="tx1"/>
            </w14:solidFill>
          </w14:textFill>
        </w:rPr>
        <w:t>2.8.4因乙方原因造成甲方其他系统不能正常运行，酿成重大事故（工作日系统中断一天以上）的，乙方应承担全部法律责任，并赔偿经济损失，赔偿金额为项目总价的</w:t>
      </w:r>
      <w:r>
        <w:rPr>
          <w:rFonts w:hint="eastAsia" w:ascii="仿宋_GB2312" w:hAnsi="仿宋" w:eastAsia="仿宋_GB2312"/>
          <w:color w:val="000000" w:themeColor="text1"/>
          <w:sz w:val="24"/>
          <w:highlight w:val="none"/>
          <w:u w:val="single"/>
          <w14:textFill>
            <w14:solidFill>
              <w14:schemeClr w14:val="tx1"/>
            </w14:solidFill>
          </w14:textFill>
        </w:rPr>
        <w:t>30%</w:t>
      </w:r>
      <w:r>
        <w:rPr>
          <w:rFonts w:hint="eastAsia" w:ascii="仿宋_GB2312" w:hAnsi="仿宋" w:eastAsia="仿宋_GB2312"/>
          <w:color w:val="000000" w:themeColor="text1"/>
          <w:sz w:val="24"/>
          <w:highlight w:val="none"/>
          <w14:textFill>
            <w14:solidFill>
              <w14:schemeClr w14:val="tx1"/>
            </w14:solidFill>
          </w14:textFill>
        </w:rPr>
        <w:t>（根据项目实际情况填写，一般为30%）。</w:t>
      </w:r>
    </w:p>
    <w:p w14:paraId="3FEA8990">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76" w:name="_Toc17244"/>
      <w:bookmarkStart w:id="177" w:name="_Toc487900362"/>
      <w:bookmarkStart w:id="178" w:name="_Toc259093681"/>
      <w:bookmarkStart w:id="179" w:name="_Toc279701252"/>
      <w:r>
        <w:rPr>
          <w:rFonts w:hint="eastAsia" w:ascii="仿宋_GB2312" w:hAnsi="楷体" w:eastAsia="仿宋_GB2312"/>
          <w:b/>
          <w:color w:val="000000" w:themeColor="text1"/>
          <w:sz w:val="24"/>
          <w:highlight w:val="none"/>
          <w14:textFill>
            <w14:solidFill>
              <w14:schemeClr w14:val="tx1"/>
            </w14:solidFill>
          </w14:textFill>
        </w:rPr>
        <w:t>2.9标的物的风险负担</w:t>
      </w:r>
      <w:bookmarkEnd w:id="176"/>
    </w:p>
    <w:p w14:paraId="507F188D">
      <w:pPr>
        <w:spacing w:line="360" w:lineRule="auto"/>
        <w:ind w:firstLine="480"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标的物或者在途标的物或者交付给第一承运人后的标的物毁损、灭失的风险负担详见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w:t>
      </w:r>
    </w:p>
    <w:p w14:paraId="5483471F">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80" w:name="_Toc14055"/>
      <w:r>
        <w:rPr>
          <w:rFonts w:hint="eastAsia" w:ascii="仿宋_GB2312" w:hAnsi="楷体" w:eastAsia="仿宋_GB2312"/>
          <w:b/>
          <w:color w:val="000000" w:themeColor="text1"/>
          <w:sz w:val="24"/>
          <w:highlight w:val="none"/>
          <w14:textFill>
            <w14:solidFill>
              <w14:schemeClr w14:val="tx1"/>
            </w14:solidFill>
          </w14:textFill>
        </w:rPr>
        <w:t>2.10延迟交货</w:t>
      </w:r>
      <w:bookmarkEnd w:id="177"/>
      <w:bookmarkEnd w:id="178"/>
      <w:bookmarkEnd w:id="179"/>
      <w:bookmarkEnd w:id="180"/>
      <w:r>
        <w:rPr>
          <w:rFonts w:hint="eastAsia" w:ascii="仿宋_GB2312" w:hAnsi="楷体" w:eastAsia="仿宋_GB2312"/>
          <w:b/>
          <w:color w:val="000000" w:themeColor="text1"/>
          <w:sz w:val="24"/>
          <w:highlight w:val="none"/>
          <w14:textFill>
            <w14:solidFill>
              <w14:schemeClr w14:val="tx1"/>
            </w14:solidFill>
          </w14:textFill>
        </w:rPr>
        <w:t>/交付</w:t>
      </w:r>
    </w:p>
    <w:p w14:paraId="3AF1DC81">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58FC09F2">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81" w:name="_Toc7502"/>
      <w:bookmarkStart w:id="182" w:name="_Toc279701254"/>
      <w:bookmarkStart w:id="183" w:name="_Toc487900364"/>
      <w:bookmarkStart w:id="184" w:name="_Toc259093683"/>
      <w:bookmarkStart w:id="185" w:name="_Ref467378121"/>
      <w:r>
        <w:rPr>
          <w:rFonts w:hint="eastAsia" w:ascii="仿宋_GB2312" w:hAnsi="楷体" w:eastAsia="仿宋_GB2312"/>
          <w:b/>
          <w:color w:val="000000" w:themeColor="text1"/>
          <w:sz w:val="24"/>
          <w:highlight w:val="none"/>
          <w14:textFill>
            <w14:solidFill>
              <w14:schemeClr w14:val="tx1"/>
            </w14:solidFill>
          </w14:textFill>
        </w:rPr>
        <w:t>2.11合同变更</w:t>
      </w:r>
      <w:bookmarkEnd w:id="181"/>
    </w:p>
    <w:p w14:paraId="6BC59935">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1DA4DF81">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2.11.2合同继续履行将损害国家利益和社会公共利益的，双方当事人应当以书面形式变更合同。有过错的一方应当承担赔偿责任，双方当事人都有过错的，各自承担相应的责任。</w:t>
      </w:r>
      <w:bookmarkStart w:id="186" w:name="_Toc487900369"/>
      <w:bookmarkStart w:id="187" w:name="_Toc279701259"/>
      <w:bookmarkStart w:id="188" w:name="_Toc259093688"/>
    </w:p>
    <w:p w14:paraId="26D211D7">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89" w:name="_Toc22955"/>
      <w:bookmarkStart w:id="190" w:name="_Toc15237"/>
      <w:bookmarkStart w:id="191" w:name="_Toc10366"/>
      <w:r>
        <w:rPr>
          <w:rFonts w:hint="eastAsia" w:ascii="仿宋_GB2312" w:hAnsi="楷体" w:eastAsia="仿宋_GB2312"/>
          <w:b/>
          <w:color w:val="000000" w:themeColor="text1"/>
          <w:sz w:val="24"/>
          <w:highlight w:val="none"/>
          <w14:textFill>
            <w14:solidFill>
              <w14:schemeClr w14:val="tx1"/>
            </w14:solidFill>
          </w14:textFill>
        </w:rPr>
        <w:t>2.12合同转让</w:t>
      </w:r>
      <w:bookmarkEnd w:id="186"/>
      <w:bookmarkEnd w:id="187"/>
      <w:bookmarkEnd w:id="188"/>
      <w:r>
        <w:rPr>
          <w:rFonts w:hint="eastAsia" w:ascii="仿宋_GB2312" w:hAnsi="楷体" w:eastAsia="仿宋_GB2312"/>
          <w:b/>
          <w:color w:val="000000" w:themeColor="text1"/>
          <w:sz w:val="24"/>
          <w:highlight w:val="none"/>
          <w14:textFill>
            <w14:solidFill>
              <w14:schemeClr w14:val="tx1"/>
            </w14:solidFill>
          </w14:textFill>
        </w:rPr>
        <w:t>和分包</w:t>
      </w:r>
      <w:bookmarkEnd w:id="189"/>
      <w:bookmarkEnd w:id="190"/>
      <w:bookmarkEnd w:id="191"/>
    </w:p>
    <w:p w14:paraId="2106FE50">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5C33FAFF">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92" w:name="_Toc14066"/>
      <w:bookmarkStart w:id="193" w:name="_Toc16508"/>
      <w:bookmarkStart w:id="194" w:name="_Toc13566"/>
      <w:r>
        <w:rPr>
          <w:rFonts w:hint="eastAsia" w:ascii="仿宋_GB2312" w:hAnsi="楷体" w:eastAsia="仿宋_GB2312"/>
          <w:b/>
          <w:color w:val="000000" w:themeColor="text1"/>
          <w:sz w:val="24"/>
          <w:highlight w:val="none"/>
          <w14:textFill>
            <w14:solidFill>
              <w14:schemeClr w14:val="tx1"/>
            </w14:solidFill>
          </w14:textFill>
        </w:rPr>
        <w:t>2.13不可抗力</w:t>
      </w:r>
      <w:bookmarkEnd w:id="192"/>
      <w:bookmarkEnd w:id="193"/>
      <w:bookmarkEnd w:id="194"/>
    </w:p>
    <w:p w14:paraId="15681E50">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2.13.1如果任何一方遭遇法律规定的不可抗力，致使合同履行受阻时，履行合同的期限应予延长，延长的期限应相当于不可抗力所影响的时间；</w:t>
      </w:r>
    </w:p>
    <w:p w14:paraId="3F72ABE2">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2.13.2受不可抗力影响的一方在不可抗力发生后，应在</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约定时间内以书面形式通知对方当事人，并在</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约定时间内，将有关部门出具的证明文件送达对方当事人。</w:t>
      </w:r>
    </w:p>
    <w:p w14:paraId="1C32957F">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2.13.3因不可抗力致使不能实现合同目的的，当事人可以解除合同；</w:t>
      </w:r>
    </w:p>
    <w:p w14:paraId="203AF89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2.13.4因不可抗力致使合同有变更必要的，双方当事人应在</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约定时间内以书面形式变更合同；</w:t>
      </w:r>
    </w:p>
    <w:p w14:paraId="0A8E5EC1">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195" w:name="_Toc279701255"/>
      <w:bookmarkStart w:id="196" w:name="_Toc6969"/>
      <w:bookmarkStart w:id="197" w:name="_Toc30676"/>
      <w:bookmarkStart w:id="198" w:name="_Toc259093684"/>
      <w:bookmarkStart w:id="199" w:name="_Toc487900365"/>
      <w:bookmarkStart w:id="200" w:name="_Toc689"/>
      <w:r>
        <w:rPr>
          <w:rFonts w:hint="eastAsia" w:ascii="仿宋_GB2312" w:hAnsi="楷体" w:eastAsia="仿宋_GB2312"/>
          <w:b/>
          <w:color w:val="000000" w:themeColor="text1"/>
          <w:sz w:val="24"/>
          <w:highlight w:val="none"/>
          <w14:textFill>
            <w14:solidFill>
              <w14:schemeClr w14:val="tx1"/>
            </w14:solidFill>
          </w14:textFill>
        </w:rPr>
        <w:t>2.14税费</w:t>
      </w:r>
      <w:bookmarkEnd w:id="195"/>
      <w:bookmarkEnd w:id="196"/>
      <w:bookmarkEnd w:id="197"/>
      <w:bookmarkEnd w:id="198"/>
      <w:bookmarkEnd w:id="199"/>
      <w:bookmarkEnd w:id="200"/>
    </w:p>
    <w:p w14:paraId="0E3871FD">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与合同有关的一切税费，均按照中华人民共和国法律的相关规定执行。</w:t>
      </w:r>
    </w:p>
    <w:p w14:paraId="4717342A">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01" w:name="_Toc8298"/>
      <w:bookmarkStart w:id="202" w:name="_Toc7102"/>
      <w:bookmarkStart w:id="203" w:name="_Toc259093687"/>
      <w:bookmarkStart w:id="204" w:name="_Toc16959"/>
      <w:bookmarkStart w:id="205" w:name="_Toc279701258"/>
      <w:bookmarkStart w:id="206" w:name="_Toc487900368"/>
      <w:r>
        <w:rPr>
          <w:rFonts w:hint="eastAsia" w:ascii="仿宋_GB2312" w:hAnsi="楷体" w:eastAsia="仿宋_GB2312"/>
          <w:b/>
          <w:color w:val="000000" w:themeColor="text1"/>
          <w:sz w:val="24"/>
          <w:highlight w:val="none"/>
          <w14:textFill>
            <w14:solidFill>
              <w14:schemeClr w14:val="tx1"/>
            </w14:solidFill>
          </w14:textFill>
        </w:rPr>
        <w:t>2.15乙方破产</w:t>
      </w:r>
      <w:bookmarkEnd w:id="201"/>
      <w:bookmarkEnd w:id="202"/>
      <w:bookmarkEnd w:id="203"/>
      <w:bookmarkEnd w:id="204"/>
      <w:bookmarkEnd w:id="205"/>
      <w:bookmarkEnd w:id="206"/>
    </w:p>
    <w:p w14:paraId="4A54F9FC">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1B6EAD2F">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07" w:name="_Toc6134"/>
      <w:bookmarkStart w:id="208" w:name="_Toc15387"/>
      <w:bookmarkStart w:id="209" w:name="_Toc29333"/>
      <w:r>
        <w:rPr>
          <w:rFonts w:hint="eastAsia" w:ascii="仿宋_GB2312" w:hAnsi="楷体" w:eastAsia="仿宋_GB2312"/>
          <w:b/>
          <w:color w:val="000000" w:themeColor="text1"/>
          <w:sz w:val="24"/>
          <w:highlight w:val="none"/>
          <w14:textFill>
            <w14:solidFill>
              <w14:schemeClr w14:val="tx1"/>
            </w14:solidFill>
          </w14:textFill>
        </w:rPr>
        <w:t>2.16合同中止、终止</w:t>
      </w:r>
      <w:bookmarkEnd w:id="207"/>
      <w:bookmarkEnd w:id="208"/>
      <w:bookmarkEnd w:id="209"/>
    </w:p>
    <w:p w14:paraId="258F3507">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2.16.1双方当事人不得擅自中止或者终止合同；</w:t>
      </w:r>
    </w:p>
    <w:p w14:paraId="4BE7D2D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2.16.2合同继续履行将损害国家利益和社会公共利益的，双方当事人应当中止或者终止合同。有过错的一方应当承担赔偿责任，双方当事人都有过错的，各自承担相应的责任。</w:t>
      </w:r>
    </w:p>
    <w:p w14:paraId="60CF5F7A">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10" w:name="_Toc14563"/>
      <w:bookmarkStart w:id="211" w:name="_Toc6596"/>
      <w:bookmarkStart w:id="212" w:name="_Toc1125"/>
      <w:r>
        <w:rPr>
          <w:rFonts w:hint="eastAsia" w:ascii="仿宋_GB2312" w:hAnsi="楷体" w:eastAsia="仿宋_GB2312"/>
          <w:b/>
          <w:color w:val="000000" w:themeColor="text1"/>
          <w:sz w:val="24"/>
          <w:highlight w:val="none"/>
          <w14:textFill>
            <w14:solidFill>
              <w14:schemeClr w14:val="tx1"/>
            </w14:solidFill>
          </w14:textFill>
        </w:rPr>
        <w:t>2.17检验和验收</w:t>
      </w:r>
      <w:bookmarkEnd w:id="210"/>
      <w:bookmarkEnd w:id="211"/>
      <w:bookmarkEnd w:id="212"/>
    </w:p>
    <w:p w14:paraId="5B7A98A1">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约定时间内组织验收，并可依法邀请相关方参加，验收应出具验收书。</w:t>
      </w:r>
    </w:p>
    <w:p w14:paraId="60B1A318">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14:paraId="2D4362E7">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2.17.3检验和验收标准、程序等具体内容以及前述验收书的效力详见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i/>
          <w:color w:val="000000" w:themeColor="text1"/>
          <w:sz w:val="24"/>
          <w:highlight w:val="none"/>
          <w14:textFill>
            <w14:solidFill>
              <w14:schemeClr w14:val="tx1"/>
            </w14:solidFill>
          </w14:textFill>
        </w:rPr>
        <w:t>。</w:t>
      </w:r>
    </w:p>
    <w:bookmarkEnd w:id="182"/>
    <w:bookmarkEnd w:id="183"/>
    <w:bookmarkEnd w:id="184"/>
    <w:bookmarkEnd w:id="185"/>
    <w:p w14:paraId="4425EDAA">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13" w:name="_Toc487900371"/>
      <w:bookmarkStart w:id="214" w:name="_Toc279701261"/>
      <w:bookmarkStart w:id="215" w:name="_Toc259093690"/>
      <w:bookmarkStart w:id="216" w:name="_Toc25182"/>
      <w:bookmarkStart w:id="217" w:name="_Toc11284"/>
      <w:bookmarkStart w:id="218" w:name="_Toc19604"/>
      <w:r>
        <w:rPr>
          <w:rFonts w:hint="eastAsia" w:ascii="仿宋_GB2312" w:hAnsi="楷体" w:eastAsia="仿宋_GB2312"/>
          <w:b/>
          <w:color w:val="000000" w:themeColor="text1"/>
          <w:sz w:val="24"/>
          <w:highlight w:val="none"/>
          <w14:textFill>
            <w14:solidFill>
              <w14:schemeClr w14:val="tx1"/>
            </w14:solidFill>
          </w14:textFill>
        </w:rPr>
        <w:t>2.18通知</w:t>
      </w:r>
      <w:bookmarkEnd w:id="213"/>
      <w:bookmarkEnd w:id="214"/>
      <w:bookmarkEnd w:id="215"/>
      <w:r>
        <w:rPr>
          <w:rFonts w:hint="eastAsia" w:ascii="仿宋_GB2312" w:hAnsi="楷体" w:eastAsia="仿宋_GB2312"/>
          <w:b/>
          <w:color w:val="000000" w:themeColor="text1"/>
          <w:sz w:val="24"/>
          <w:highlight w:val="none"/>
          <w14:textFill>
            <w14:solidFill>
              <w14:schemeClr w14:val="tx1"/>
            </w14:solidFill>
          </w14:textFill>
        </w:rPr>
        <w:t>和送达</w:t>
      </w:r>
      <w:bookmarkEnd w:id="216"/>
      <w:bookmarkEnd w:id="217"/>
      <w:bookmarkEnd w:id="218"/>
    </w:p>
    <w:p w14:paraId="4F99487F">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bookmarkStart w:id="219" w:name="_Toc6698"/>
      <w:bookmarkStart w:id="220" w:name="_Toc3135"/>
      <w:bookmarkStart w:id="221" w:name="_Toc259093691"/>
      <w:bookmarkStart w:id="222" w:name="_Toc279701262"/>
      <w:bookmarkStart w:id="223" w:name="_Toc487900372"/>
      <w:r>
        <w:rPr>
          <w:rFonts w:hint="eastAsia" w:ascii="仿宋_GB2312" w:hAnsi="楷体" w:eastAsia="仿宋_GB2312"/>
          <w:color w:val="000000" w:themeColor="text1"/>
          <w:sz w:val="24"/>
          <w:highlight w:val="none"/>
          <w14:textFill>
            <w14:solidFill>
              <w14:schemeClr w14:val="tx1"/>
            </w14:solidFill>
          </w14:textFill>
        </w:rPr>
        <w:t>2.18.1任何一方因履行合同而以合同第一部分尾部所列明的</w:t>
      </w:r>
      <w:r>
        <w:rPr>
          <w:rFonts w:hint="eastAsia" w:ascii="仿宋_GB2312" w:hAnsi="楷体" w:eastAsia="仿宋_GB2312"/>
          <w:color w:val="000000" w:themeColor="text1"/>
          <w:sz w:val="24"/>
          <w:highlight w:val="none"/>
          <w:u w:val="single"/>
          <w14:textFill>
            <w14:solidFill>
              <w14:schemeClr w14:val="tx1"/>
            </w14:solidFill>
          </w14:textFill>
        </w:rPr>
        <w:t>“约定送达地址”</w:t>
      </w:r>
      <w:r>
        <w:rPr>
          <w:rFonts w:hint="eastAsia" w:ascii="仿宋_GB2312" w:hAnsi="楷体" w:eastAsia="仿宋_GB2312"/>
          <w:color w:val="000000" w:themeColor="text1"/>
          <w:sz w:val="24"/>
          <w:highlight w:val="none"/>
          <w14:textFill>
            <w14:solidFill>
              <w14:schemeClr w14:val="tx1"/>
            </w14:solidFill>
          </w14:textFill>
        </w:rPr>
        <w:t>为收件地址的所有通知、文件、材料，均视为已向对方当事人送达；任何一方变更上述送达方式或者地址的，应于5个工作日内书面通知对方当事人，在对方当事人收到有关变更通知之前，变更前的约定送达方式或者地址仍视为有效。</w:t>
      </w:r>
      <w:bookmarkEnd w:id="219"/>
      <w:bookmarkEnd w:id="220"/>
    </w:p>
    <w:p w14:paraId="7405A05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bookmarkStart w:id="224" w:name="_Toc23294"/>
      <w:bookmarkStart w:id="225" w:name="_Toc23128"/>
      <w:r>
        <w:rPr>
          <w:rFonts w:hint="eastAsia" w:ascii="仿宋_GB2312" w:hAnsi="楷体" w:eastAsia="仿宋_GB2312"/>
          <w:color w:val="000000" w:themeColor="text1"/>
          <w:sz w:val="24"/>
          <w:highlight w:val="none"/>
          <w14:textFill>
            <w14:solidFill>
              <w14:schemeClr w14:val="tx1"/>
            </w14:solidFill>
          </w14:textFill>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24"/>
      <w:bookmarkEnd w:id="225"/>
    </w:p>
    <w:p w14:paraId="16544166">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26" w:name="_Toc18540"/>
      <w:bookmarkStart w:id="227" w:name="_Toc4355"/>
      <w:bookmarkStart w:id="228" w:name="_Toc30599"/>
      <w:r>
        <w:rPr>
          <w:rFonts w:hint="eastAsia" w:ascii="仿宋_GB2312" w:hAnsi="楷体" w:eastAsia="仿宋_GB2312"/>
          <w:b/>
          <w:color w:val="000000" w:themeColor="text1"/>
          <w:sz w:val="24"/>
          <w:highlight w:val="none"/>
          <w14:textFill>
            <w14:solidFill>
              <w14:schemeClr w14:val="tx1"/>
            </w14:solidFill>
          </w14:textFill>
        </w:rPr>
        <w:t>2.19计量单位</w:t>
      </w:r>
      <w:bookmarkEnd w:id="221"/>
      <w:bookmarkEnd w:id="222"/>
      <w:bookmarkEnd w:id="223"/>
      <w:bookmarkEnd w:id="226"/>
      <w:bookmarkEnd w:id="227"/>
      <w:bookmarkEnd w:id="228"/>
    </w:p>
    <w:p w14:paraId="40E88905">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除技术规范中另有规定外,合同的计量单位均使用国家法定计量单位。</w:t>
      </w:r>
    </w:p>
    <w:p w14:paraId="5DB9F2CC">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29" w:name="_Toc279701263"/>
      <w:bookmarkStart w:id="230" w:name="_Toc18567"/>
      <w:bookmarkStart w:id="231" w:name="_Toc12773"/>
      <w:bookmarkStart w:id="232" w:name="_Toc259093692"/>
      <w:bookmarkStart w:id="233" w:name="_Toc10330"/>
      <w:bookmarkStart w:id="234" w:name="_Toc487900373"/>
      <w:r>
        <w:rPr>
          <w:rFonts w:hint="eastAsia" w:ascii="仿宋_GB2312" w:hAnsi="楷体" w:eastAsia="仿宋_GB2312"/>
          <w:b/>
          <w:color w:val="000000" w:themeColor="text1"/>
          <w:sz w:val="24"/>
          <w:highlight w:val="none"/>
          <w14:textFill>
            <w14:solidFill>
              <w14:schemeClr w14:val="tx1"/>
            </w14:solidFill>
          </w14:textFill>
        </w:rPr>
        <w:t>2.20合同使用的文字和适用的法律</w:t>
      </w:r>
      <w:bookmarkEnd w:id="229"/>
      <w:bookmarkEnd w:id="230"/>
      <w:bookmarkEnd w:id="231"/>
      <w:bookmarkEnd w:id="232"/>
      <w:bookmarkEnd w:id="233"/>
      <w:bookmarkEnd w:id="234"/>
    </w:p>
    <w:p w14:paraId="737EE5C6">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2.20.1合同使用汉语书就、变更和解释；</w:t>
      </w:r>
    </w:p>
    <w:p w14:paraId="7B7A78DD">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2.20.2合同适用中华人民共和国法律。</w:t>
      </w:r>
    </w:p>
    <w:p w14:paraId="6DBF740A">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35" w:name="_Toc16673"/>
      <w:bookmarkStart w:id="236" w:name="_Toc259093693"/>
      <w:bookmarkStart w:id="237" w:name="_Toc3148"/>
      <w:bookmarkStart w:id="238" w:name="_Toc12004"/>
      <w:bookmarkStart w:id="239" w:name="_Toc279701264"/>
      <w:bookmarkStart w:id="240" w:name="_Toc487900374"/>
      <w:r>
        <w:rPr>
          <w:rFonts w:hint="eastAsia" w:ascii="仿宋_GB2312" w:hAnsi="楷体" w:eastAsia="仿宋_GB2312"/>
          <w:b/>
          <w:color w:val="000000" w:themeColor="text1"/>
          <w:sz w:val="24"/>
          <w:highlight w:val="none"/>
          <w14:textFill>
            <w14:solidFill>
              <w14:schemeClr w14:val="tx1"/>
            </w14:solidFill>
          </w14:textFill>
        </w:rPr>
        <w:t>2.21履约保证金</w:t>
      </w:r>
      <w:bookmarkEnd w:id="235"/>
      <w:bookmarkEnd w:id="236"/>
      <w:bookmarkEnd w:id="237"/>
      <w:bookmarkEnd w:id="238"/>
      <w:bookmarkEnd w:id="239"/>
    </w:p>
    <w:p w14:paraId="44AB5E5D">
      <w:pPr>
        <w:spacing w:line="360" w:lineRule="auto"/>
        <w:ind w:firstLine="480" w:firstLineChars="200"/>
        <w:rPr>
          <w:rFonts w:hint="eastAsia" w:ascii="仿宋_GB2312" w:hAnsi="仿宋" w:eastAsia="仿宋_GB2312" w:cs="Arial"/>
          <w:snapToGrid w:val="0"/>
          <w:color w:val="000000" w:themeColor="text1"/>
          <w:kern w:val="0"/>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本项目不收取履约保证金</w:t>
      </w:r>
    </w:p>
    <w:p w14:paraId="4A956DE7">
      <w:pPr>
        <w:spacing w:line="360" w:lineRule="auto"/>
        <w:ind w:firstLine="482" w:firstLineChars="200"/>
        <w:rPr>
          <w:rFonts w:hint="eastAsia" w:ascii="仿宋_GB2312" w:hAnsi="仿宋" w:eastAsia="仿宋_GB2312"/>
          <w:color w:val="000000" w:themeColor="text1"/>
          <w:kern w:val="0"/>
          <w:sz w:val="24"/>
          <w:highlight w:val="none"/>
          <w:lang w:val="zh-CN"/>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2.22中小企业政策</w:t>
      </w:r>
    </w:p>
    <w:p w14:paraId="1005D9FF">
      <w:pPr>
        <w:spacing w:line="360" w:lineRule="auto"/>
        <w:ind w:firstLine="480" w:firstLineChars="200"/>
        <w:rPr>
          <w:rFonts w:hint="eastAsia" w:ascii="仿宋_GB2312" w:hAnsi="仿宋" w:eastAsia="仿宋_GB2312"/>
          <w:color w:val="000000" w:themeColor="text1"/>
          <w:kern w:val="0"/>
          <w:sz w:val="24"/>
          <w:highlight w:val="none"/>
          <w:lang w:val="zh-CN"/>
          <w14:textFill>
            <w14:solidFill>
              <w14:schemeClr w14:val="tx1"/>
            </w14:solidFill>
          </w14:textFill>
        </w:rPr>
      </w:pPr>
      <w:r>
        <w:rPr>
          <w:rFonts w:hint="eastAsia" w:ascii="仿宋_GB2312" w:hAnsi="仿宋" w:eastAsia="仿宋_GB2312"/>
          <w:color w:val="000000" w:themeColor="text1"/>
          <w:kern w:val="0"/>
          <w:sz w:val="24"/>
          <w:highlight w:val="none"/>
          <w:lang w:val="zh-CN"/>
          <w14:textFill>
            <w14:solidFill>
              <w14:schemeClr w14:val="tx1"/>
            </w14:solidFill>
          </w14:textFill>
        </w:rPr>
        <w:t>2.22.1本合同（☑是□否）为中小企业“政采贷”可融资合同，关于中小企业信用融资事项见采购文件“供应商须知正文”。</w:t>
      </w:r>
    </w:p>
    <w:p w14:paraId="5BD76BEA">
      <w:pPr>
        <w:spacing w:line="360" w:lineRule="auto"/>
        <w:ind w:firstLine="480" w:firstLineChars="200"/>
        <w:rPr>
          <w:rFonts w:hint="eastAsia" w:ascii="仿宋_GB2312" w:hAnsi="仿宋" w:eastAsia="仿宋_GB2312"/>
          <w:color w:val="000000" w:themeColor="text1"/>
          <w:kern w:val="0"/>
          <w:sz w:val="24"/>
          <w:highlight w:val="none"/>
          <w:lang w:val="zh-CN"/>
          <w14:textFill>
            <w14:solidFill>
              <w14:schemeClr w14:val="tx1"/>
            </w14:solidFill>
          </w14:textFill>
        </w:rPr>
      </w:pPr>
      <w:r>
        <w:rPr>
          <w:rFonts w:hint="eastAsia" w:ascii="仿宋_GB2312" w:hAnsi="仿宋" w:eastAsia="仿宋_GB2312"/>
          <w:color w:val="000000" w:themeColor="text1"/>
          <w:kern w:val="0"/>
          <w:sz w:val="24"/>
          <w:highlight w:val="none"/>
          <w:lang w:val="zh-CN"/>
          <w14:textFill>
            <w14:solidFill>
              <w14:schemeClr w14:val="tx1"/>
            </w14:solidFill>
          </w14:textFill>
        </w:rPr>
        <w:t>2.22.2本合同（☑是□否）为中小企业预留合同。</w:t>
      </w:r>
    </w:p>
    <w:bookmarkEnd w:id="240"/>
    <w:p w14:paraId="2DE0E1DE">
      <w:pPr>
        <w:spacing w:line="360" w:lineRule="auto"/>
        <w:ind w:firstLine="482" w:firstLineChars="200"/>
        <w:rPr>
          <w:rFonts w:hint="eastAsia" w:ascii="仿宋_GB2312" w:hAnsi="楷体" w:eastAsia="仿宋_GB2312"/>
          <w:b/>
          <w:color w:val="000000" w:themeColor="text1"/>
          <w:sz w:val="24"/>
          <w:highlight w:val="none"/>
          <w14:textFill>
            <w14:solidFill>
              <w14:schemeClr w14:val="tx1"/>
            </w14:solidFill>
          </w14:textFill>
        </w:rPr>
      </w:pPr>
      <w:bookmarkStart w:id="241" w:name="_Toc14001"/>
      <w:bookmarkStart w:id="242" w:name="_Toc19890"/>
      <w:bookmarkStart w:id="243" w:name="_Toc6885"/>
      <w:r>
        <w:rPr>
          <w:rFonts w:hint="eastAsia" w:ascii="仿宋_GB2312" w:hAnsi="楷体" w:eastAsia="仿宋_GB2312"/>
          <w:b/>
          <w:color w:val="000000" w:themeColor="text1"/>
          <w:sz w:val="24"/>
          <w:highlight w:val="none"/>
          <w14:textFill>
            <w14:solidFill>
              <w14:schemeClr w14:val="tx1"/>
            </w14:solidFill>
          </w14:textFill>
        </w:rPr>
        <w:t>2.23合同份数</w:t>
      </w:r>
      <w:bookmarkEnd w:id="241"/>
      <w:bookmarkEnd w:id="242"/>
      <w:bookmarkEnd w:id="243"/>
    </w:p>
    <w:p w14:paraId="643D459F">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本合同壹式</w:t>
      </w:r>
      <w:r>
        <w:rPr>
          <w:rFonts w:hint="eastAsia" w:ascii="仿宋_GB2312" w:hAnsi="宋体" w:eastAsia="仿宋_GB2312"/>
          <w:color w:val="000000" w:themeColor="text1"/>
          <w:sz w:val="24"/>
          <w:highlight w:val="none"/>
          <w:u w:val="single"/>
          <w:lang w:val="en-US" w:eastAsia="zh-CN"/>
          <w14:textFill>
            <w14:solidFill>
              <w14:schemeClr w14:val="tx1"/>
            </w14:solidFill>
          </w14:textFill>
        </w:rPr>
        <w:t>肆</w:t>
      </w:r>
      <w:r>
        <w:rPr>
          <w:rFonts w:hint="eastAsia" w:ascii="仿宋_GB2312" w:hAnsi="宋体" w:eastAsia="仿宋_GB2312"/>
          <w:color w:val="000000" w:themeColor="text1"/>
          <w:sz w:val="24"/>
          <w:highlight w:val="none"/>
          <w14:textFill>
            <w14:solidFill>
              <w14:schemeClr w14:val="tx1"/>
            </w14:solidFill>
          </w14:textFill>
        </w:rPr>
        <w:t>份，甲方执</w:t>
      </w:r>
      <w:r>
        <w:rPr>
          <w:rFonts w:hint="eastAsia" w:ascii="仿宋_GB2312" w:hAnsi="宋体" w:eastAsia="仿宋_GB2312"/>
          <w:color w:val="000000" w:themeColor="text1"/>
          <w:sz w:val="24"/>
          <w:highlight w:val="none"/>
          <w:u w:val="single"/>
          <w:lang w:val="en-US" w:eastAsia="zh-CN"/>
          <w14:textFill>
            <w14:solidFill>
              <w14:schemeClr w14:val="tx1"/>
            </w14:solidFill>
          </w14:textFill>
        </w:rPr>
        <w:t>贰</w:t>
      </w:r>
      <w:r>
        <w:rPr>
          <w:rFonts w:hint="eastAsia" w:ascii="仿宋_GB2312" w:hAnsi="宋体" w:eastAsia="仿宋_GB2312"/>
          <w:color w:val="000000" w:themeColor="text1"/>
          <w:sz w:val="24"/>
          <w:highlight w:val="none"/>
          <w14:textFill>
            <w14:solidFill>
              <w14:schemeClr w14:val="tx1"/>
            </w14:solidFill>
          </w14:textFill>
        </w:rPr>
        <w:t>份，乙方执</w:t>
      </w:r>
      <w:r>
        <w:rPr>
          <w:rFonts w:hint="eastAsia" w:ascii="仿宋_GB2312" w:hAnsi="宋体" w:eastAsia="仿宋_GB2312"/>
          <w:color w:val="000000" w:themeColor="text1"/>
          <w:sz w:val="24"/>
          <w:highlight w:val="none"/>
          <w:u w:val="single"/>
          <w:lang w:val="en-US" w:eastAsia="zh-CN"/>
          <w14:textFill>
            <w14:solidFill>
              <w14:schemeClr w14:val="tx1"/>
            </w14:solidFill>
          </w14:textFill>
        </w:rPr>
        <w:t>贰</w:t>
      </w:r>
      <w:r>
        <w:rPr>
          <w:rFonts w:hint="eastAsia" w:ascii="仿宋_GB2312" w:hAnsi="宋体" w:eastAsia="仿宋_GB2312"/>
          <w:color w:val="000000" w:themeColor="text1"/>
          <w:sz w:val="24"/>
          <w:highlight w:val="none"/>
          <w14:textFill>
            <w14:solidFill>
              <w14:schemeClr w14:val="tx1"/>
            </w14:solidFill>
          </w14:textFill>
        </w:rPr>
        <w:t>份。</w:t>
      </w:r>
      <w:r>
        <w:rPr>
          <w:rFonts w:hint="eastAsia" w:ascii="仿宋_GB2312" w:hAnsi="楷体" w:eastAsia="仿宋_GB2312"/>
          <w:color w:val="000000" w:themeColor="text1"/>
          <w:sz w:val="24"/>
          <w:highlight w:val="none"/>
          <w14:textFill>
            <w14:solidFill>
              <w14:schemeClr w14:val="tx1"/>
            </w14:solidFill>
          </w14:textFill>
        </w:rPr>
        <w:t>每份均具有同等法律效力。</w:t>
      </w:r>
    </w:p>
    <w:p w14:paraId="1C3A3D49">
      <w:pPr>
        <w:pStyle w:val="85"/>
        <w:ind w:left="0" w:leftChars="0" w:firstLine="0" w:firstLineChars="0"/>
        <w:jc w:val="center"/>
        <w:outlineLvl w:val="1"/>
        <w:rPr>
          <w:rFonts w:hint="eastAsia" w:ascii="仿宋_GB2312" w:hAnsi="楷体" w:eastAsia="仿宋_GB2312"/>
          <w:b/>
          <w:color w:val="000000" w:themeColor="text1"/>
          <w:sz w:val="28"/>
          <w:szCs w:val="28"/>
          <w:highlight w:val="none"/>
          <w14:textFill>
            <w14:solidFill>
              <w14:schemeClr w14:val="tx1"/>
            </w14:solidFill>
          </w14:textFill>
        </w:rPr>
      </w:pPr>
      <w:r>
        <w:rPr>
          <w:rFonts w:hint="eastAsia" w:ascii="仿宋_GB2312" w:hAnsi="楷体" w:eastAsia="仿宋_GB2312"/>
          <w:color w:val="000000" w:themeColor="text1"/>
          <w:highlight w:val="none"/>
          <w14:textFill>
            <w14:solidFill>
              <w14:schemeClr w14:val="tx1"/>
            </w14:solidFill>
          </w14:textFill>
        </w:rPr>
        <w:br w:type="page"/>
      </w:r>
      <w:bookmarkStart w:id="244" w:name="_Toc28961"/>
      <w:bookmarkStart w:id="245" w:name="_Toc331685784"/>
      <w:r>
        <w:rPr>
          <w:rFonts w:hint="eastAsia" w:ascii="仿宋_GB2312" w:hAnsi="楷体" w:eastAsia="仿宋_GB2312"/>
          <w:b/>
          <w:color w:val="000000" w:themeColor="text1"/>
          <w:sz w:val="28"/>
          <w:szCs w:val="28"/>
          <w:highlight w:val="none"/>
          <w14:textFill>
            <w14:solidFill>
              <w14:schemeClr w14:val="tx1"/>
            </w14:solidFill>
          </w14:textFill>
        </w:rPr>
        <w:t>第三部分合同专用条款</w:t>
      </w:r>
      <w:bookmarkEnd w:id="244"/>
      <w:bookmarkEnd w:id="245"/>
    </w:p>
    <w:p w14:paraId="60C4285E">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p w14:paraId="0D913BFC">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3.1具有知识产权的标的物知识产权归属：</w:t>
      </w:r>
    </w:p>
    <w:p w14:paraId="27DDB474">
      <w:pPr>
        <w:spacing w:line="360" w:lineRule="auto"/>
        <w:ind w:firstLine="480" w:firstLineChars="200"/>
        <w:rPr>
          <w:rFonts w:hint="default" w:ascii="仿宋_GB2312" w:hAnsi="楷体" w:eastAsia="仿宋_GB2312"/>
          <w:color w:val="000000" w:themeColor="text1"/>
          <w:sz w:val="24"/>
          <w:highlight w:val="none"/>
          <w:u w:val="single"/>
          <w:lang w:val="en-US" w:eastAsia="zh-CN"/>
          <w14:textFill>
            <w14:solidFill>
              <w14:schemeClr w14:val="tx1"/>
            </w14:solidFill>
          </w14:textFill>
        </w:rPr>
      </w:pPr>
      <w:r>
        <w:rPr>
          <w:rFonts w:hint="eastAsia" w:ascii="仿宋_GB2312" w:hAnsi="楷体" w:eastAsia="仿宋_GB2312"/>
          <w:color w:val="000000" w:themeColor="text1"/>
          <w:sz w:val="24"/>
          <w:highlight w:val="none"/>
          <w:u w:val="single"/>
          <w:lang w:val="en-US" w:eastAsia="zh-CN"/>
          <w14:textFill>
            <w14:solidFill>
              <w14:schemeClr w14:val="tx1"/>
            </w14:solidFill>
          </w14:textFill>
        </w:rPr>
        <w:t xml:space="preserve">                                  </w:t>
      </w:r>
    </w:p>
    <w:p w14:paraId="4625EF67">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3.2包装和装运专用条款（如果有）：</w:t>
      </w:r>
    </w:p>
    <w:p w14:paraId="06982CB9">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u w:val="single"/>
          <w14:textFill>
            <w14:solidFill>
              <w14:schemeClr w14:val="tx1"/>
            </w14:solidFill>
          </w14:textFill>
        </w:rPr>
        <w:t>标的物或者在途标的物或者交付给第一承运人后的标的物毁损、灭失的风险”由乙方承担</w:t>
      </w:r>
      <w:r>
        <w:rPr>
          <w:rFonts w:hint="eastAsia" w:ascii="仿宋_GB2312" w:hAnsi="楷体" w:eastAsia="仿宋_GB2312"/>
          <w:color w:val="000000" w:themeColor="text1"/>
          <w:sz w:val="24"/>
          <w:highlight w:val="none"/>
          <w:lang w:eastAsia="zh-CN"/>
          <w14:textFill>
            <w14:solidFill>
              <w14:schemeClr w14:val="tx1"/>
            </w14:solidFill>
          </w14:textFill>
        </w:rPr>
        <w:t>。</w:t>
      </w:r>
    </w:p>
    <w:p w14:paraId="677CA507">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3.3装运标的物的要求和通知：</w:t>
      </w:r>
    </w:p>
    <w:p w14:paraId="393E6C9B">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u w:val="single"/>
          <w:lang w:val="en-US" w:eastAsia="zh-CN"/>
          <w14:textFill>
            <w14:solidFill>
              <w14:schemeClr w14:val="tx1"/>
            </w14:solidFill>
          </w14:textFill>
        </w:rPr>
        <w:t xml:space="preserve">                                  </w:t>
      </w:r>
    </w:p>
    <w:p w14:paraId="716D4944">
      <w:pPr>
        <w:spacing w:line="360" w:lineRule="auto"/>
        <w:ind w:firstLine="480"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3.4</w:t>
      </w:r>
      <w:r>
        <w:rPr>
          <w:rFonts w:hint="eastAsia" w:ascii="仿宋_GB2312" w:hAnsi="楷体" w:eastAsia="仿宋_GB2312"/>
          <w:b/>
          <w:color w:val="000000" w:themeColor="text1"/>
          <w:sz w:val="24"/>
          <w:highlight w:val="none"/>
          <w14:textFill>
            <w14:solidFill>
              <w14:schemeClr w14:val="tx1"/>
            </w14:solidFill>
          </w14:textFill>
        </w:rPr>
        <w:t>结算方式和付款条件</w:t>
      </w:r>
    </w:p>
    <w:p w14:paraId="158DF674">
      <w:pPr>
        <w:spacing w:line="360" w:lineRule="auto"/>
        <w:ind w:firstLine="480" w:firstLineChars="200"/>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t>本次项目合同总价为大写人民币</w:t>
      </w:r>
      <w:r>
        <w:rPr>
          <w:rFonts w:hint="eastAsia" w:ascii="仿宋_GB2312" w:hAnsi="仿宋_GB2312" w:eastAsia="仿宋_GB2312" w:cs="仿宋_GB2312"/>
          <w:color w:val="000000" w:themeColor="text1"/>
          <w:kern w:val="0"/>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highlight w:val="none"/>
          <w:u w:val="single"/>
          <w:lang w:val="zh-CN"/>
          <w14:textFill>
            <w14:solidFill>
              <w14:schemeClr w14:val="tx1"/>
            </w14:solidFill>
          </w14:textFill>
        </w:rPr>
        <w:t>（</w:t>
      </w:r>
      <w:r>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t>￥</w:t>
      </w:r>
      <w:r>
        <w:rPr>
          <w:rFonts w:hint="eastAsia" w:ascii="仿宋_GB2312" w:hAnsi="仿宋_GB2312" w:eastAsia="仿宋_GB2312" w:cs="仿宋_GB2312"/>
          <w:color w:val="000000" w:themeColor="text1"/>
          <w:kern w:val="0"/>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t>元）。本项目采用以下勾选结算方式进行支付：</w:t>
      </w:r>
    </w:p>
    <w:p w14:paraId="163DB004">
      <w:pPr>
        <w:spacing w:line="360" w:lineRule="auto"/>
        <w:ind w:firstLine="480" w:firstLineChars="200"/>
        <w:rPr>
          <w:rFonts w:hint="eastAsia" w:ascii="仿宋_GB2312" w:hAnsi="仿宋_GB2312" w:eastAsia="仿宋_GB2312" w:cs="仿宋_GB2312"/>
          <w:color w:val="000000" w:themeColor="text1"/>
          <w:kern w:val="0"/>
          <w:sz w:val="24"/>
          <w:highlight w:val="none"/>
          <w:u w:val="single"/>
          <w:lang w:val="zh-CN" w:eastAsia="zh-CN"/>
          <w14:textFill>
            <w14:solidFill>
              <w14:schemeClr w14:val="tx1"/>
            </w14:solidFill>
          </w14:textFill>
        </w:rPr>
      </w:pPr>
      <w:r>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t>☑采用一次性支付方式，付款条件为：</w:t>
      </w:r>
      <w:r>
        <w:rPr>
          <w:rFonts w:hint="eastAsia" w:ascii="仿宋_GB2312" w:hAnsi="仿宋_GB2312" w:eastAsia="仿宋_GB2312" w:cs="仿宋_GB2312"/>
          <w:color w:val="000000" w:themeColor="text1"/>
          <w:kern w:val="0"/>
          <w:sz w:val="24"/>
          <w:highlight w:val="none"/>
          <w:u w:val="single"/>
          <w:lang w:val="zh-CN"/>
          <w14:textFill>
            <w14:solidFill>
              <w14:schemeClr w14:val="tx1"/>
            </w14:solidFill>
          </w14:textFill>
        </w:rPr>
        <w:t>本项目无预付款，甲方收到乙方设备，安装调试完毕并验收合格，甲方凭乙方提交的请款函、开具的全额发票在验收合格之日起30个工作日内向双方合同约定的银行账户支付款项。乙方应于验收开始前提交请款函和发票，如因乙方未及时提交请款函和发票导致付款延期的，由乙方承担相应责任</w:t>
      </w:r>
      <w:r>
        <w:rPr>
          <w:rFonts w:hint="eastAsia" w:ascii="仿宋_GB2312" w:hAnsi="仿宋_GB2312" w:eastAsia="仿宋_GB2312" w:cs="仿宋_GB2312"/>
          <w:color w:val="000000" w:themeColor="text1"/>
          <w:kern w:val="0"/>
          <w:sz w:val="24"/>
          <w:highlight w:val="none"/>
          <w:u w:val="none"/>
          <w:lang w:val="zh-CN"/>
          <w14:textFill>
            <w14:solidFill>
              <w14:schemeClr w14:val="tx1"/>
            </w14:solidFill>
          </w14:textFill>
        </w:rPr>
        <w:t>。</w:t>
      </w:r>
    </w:p>
    <w:p w14:paraId="2BCBD795">
      <w:pPr>
        <w:spacing w:line="360" w:lineRule="auto"/>
        <w:ind w:firstLine="480" w:firstLineChars="200"/>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t>□采用分期付款方式，付款条件为</w:t>
      </w:r>
      <w:r>
        <w:rPr>
          <w:rFonts w:hint="eastAsia" w:ascii="仿宋_GB2312" w:hAnsi="仿宋_GB2312" w:eastAsia="仿宋_GB2312" w:cs="仿宋_GB2312"/>
          <w:color w:val="000000" w:themeColor="text1"/>
          <w:kern w:val="0"/>
          <w:sz w:val="24"/>
          <w:highlight w:val="none"/>
          <w14:textFill>
            <w14:solidFill>
              <w14:schemeClr w14:val="tx1"/>
            </w14:solidFill>
          </w14:textFill>
        </w:rPr>
        <w:t>：</w:t>
      </w:r>
    </w:p>
    <w:p w14:paraId="3FBB1AB3">
      <w:pPr>
        <w:spacing w:line="360" w:lineRule="auto"/>
        <w:ind w:firstLine="480" w:firstLineChars="200"/>
        <w:rPr>
          <w:rFonts w:hint="eastAsia" w:ascii="仿宋_GB2312" w:hAnsi="仿宋_GB2312" w:eastAsia="仿宋_GB2312" w:cs="仿宋_GB2312"/>
          <w:color w:val="000000" w:themeColor="text1"/>
          <w:kern w:val="0"/>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t>第一期付款</w:t>
      </w:r>
      <w:r>
        <w:rPr>
          <w:rFonts w:hint="eastAsia" w:ascii="仿宋_GB2312" w:hAnsi="仿宋_GB2312" w:eastAsia="仿宋_GB2312" w:cs="仿宋_GB2312"/>
          <w:color w:val="000000" w:themeColor="text1"/>
          <w:kern w:val="0"/>
          <w:sz w:val="24"/>
          <w:highlight w:val="none"/>
          <w14:textFill>
            <w14:solidFill>
              <w14:schemeClr w14:val="tx1"/>
            </w14:solidFill>
          </w14:textFill>
        </w:rPr>
        <w:t>：</w:t>
      </w:r>
    </w:p>
    <w:p w14:paraId="5002B443">
      <w:pPr>
        <w:spacing w:line="360" w:lineRule="auto"/>
        <w:ind w:firstLine="480" w:firstLineChars="200"/>
        <w:rPr>
          <w:rFonts w:hint="eastAsia" w:ascii="仿宋_GB2312" w:hAnsi="仿宋_GB2312" w:eastAsia="仿宋_GB2312" w:cs="仿宋_GB2312"/>
          <w:color w:val="000000" w:themeColor="text1"/>
          <w:kern w:val="0"/>
          <w:sz w:val="24"/>
          <w:highlight w:val="none"/>
          <w:u w:val="single"/>
          <w:lang w:eastAsia="zh-CN"/>
          <w14:textFill>
            <w14:solidFill>
              <w14:schemeClr w14:val="tx1"/>
            </w14:solidFill>
          </w14:textFill>
        </w:rPr>
      </w:pPr>
      <w:r>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t>第</w:t>
      </w:r>
      <w:r>
        <w:rPr>
          <w:rFonts w:hint="eastAsia" w:ascii="仿宋_GB2312" w:hAnsi="仿宋_GB2312" w:eastAsia="仿宋_GB2312" w:cs="仿宋_GB2312"/>
          <w:color w:val="000000" w:themeColor="text1"/>
          <w:kern w:val="0"/>
          <w:sz w:val="24"/>
          <w:highlight w:val="none"/>
          <w14:textFill>
            <w14:solidFill>
              <w14:schemeClr w14:val="tx1"/>
            </w14:solidFill>
          </w14:textFill>
        </w:rPr>
        <w:t>二</w:t>
      </w:r>
      <w:r>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t>期付款</w:t>
      </w:r>
      <w:r>
        <w:rPr>
          <w:rFonts w:hint="eastAsia" w:ascii="仿宋_GB2312" w:hAnsi="仿宋_GB2312" w:eastAsia="仿宋_GB2312" w:cs="仿宋_GB2312"/>
          <w:color w:val="000000" w:themeColor="text1"/>
          <w:kern w:val="0"/>
          <w:sz w:val="24"/>
          <w:highlight w:val="none"/>
          <w14:textFill>
            <w14:solidFill>
              <w14:schemeClr w14:val="tx1"/>
            </w14:solidFill>
          </w14:textFill>
        </w:rPr>
        <w:t>：</w:t>
      </w:r>
    </w:p>
    <w:p w14:paraId="70139A21">
      <w:pPr>
        <w:spacing w:line="360" w:lineRule="auto"/>
        <w:ind w:firstLine="480" w:firstLineChars="200"/>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w:t>
      </w:r>
    </w:p>
    <w:p w14:paraId="61A60DB9">
      <w:pPr>
        <w:spacing w:line="360" w:lineRule="auto"/>
        <w:ind w:firstLine="480" w:firstLineChars="200"/>
        <w:rPr>
          <w:rFonts w:hint="eastAsia" w:ascii="仿宋_GB2312" w:hAnsi="仿宋" w:eastAsia="仿宋_GB2312"/>
          <w:color w:val="000000" w:themeColor="text1"/>
          <w:sz w:val="24"/>
          <w:highlight w:val="none"/>
          <w14:textFill>
            <w14:solidFill>
              <w14:schemeClr w14:val="tx1"/>
            </w14:solidFill>
          </w14:textFill>
        </w:rPr>
      </w:pPr>
      <w:r>
        <w:rPr>
          <w:rFonts w:hint="eastAsia" w:ascii="仿宋_GB2312" w:hAnsi="仿宋" w:eastAsia="仿宋_GB2312"/>
          <w:color w:val="000000" w:themeColor="text1"/>
          <w:sz w:val="24"/>
          <w:highlight w:val="none"/>
          <w14:textFill>
            <w14:solidFill>
              <w14:schemeClr w14:val="tx1"/>
            </w14:solidFill>
          </w14:textFill>
        </w:rPr>
        <w:t>甲方无故逾期支付货物费用的，按照每逾期一日支付欠付货物费额度的</w:t>
      </w:r>
      <w:r>
        <w:rPr>
          <w:rFonts w:hint="eastAsia" w:ascii="仿宋_GB2312" w:hAnsi="仿宋" w:eastAsia="仿宋_GB2312"/>
          <w:color w:val="000000" w:themeColor="text1"/>
          <w:sz w:val="24"/>
          <w:highlight w:val="none"/>
          <w:u w:val="single"/>
          <w14:textFill>
            <w14:solidFill>
              <w14:schemeClr w14:val="tx1"/>
            </w14:solidFill>
          </w14:textFill>
        </w:rPr>
        <w:t>万分之五</w:t>
      </w:r>
      <w:r>
        <w:rPr>
          <w:rFonts w:hint="eastAsia" w:ascii="仿宋_GB2312" w:hAnsi="仿宋" w:eastAsia="仿宋_GB2312"/>
          <w:color w:val="000000" w:themeColor="text1"/>
          <w:sz w:val="24"/>
          <w:highlight w:val="none"/>
          <w14:textFill>
            <w14:solidFill>
              <w14:schemeClr w14:val="tx1"/>
            </w14:solidFill>
          </w14:textFill>
        </w:rPr>
        <w:t>（</w:t>
      </w:r>
      <w:r>
        <w:rPr>
          <w:rFonts w:hint="eastAsia" w:ascii="仿宋_GB2312" w:hAnsi="楷体" w:eastAsia="仿宋_GB2312"/>
          <w:color w:val="000000" w:themeColor="text1"/>
          <w:sz w:val="24"/>
          <w:highlight w:val="none"/>
          <w14:textFill>
            <w14:solidFill>
              <w14:schemeClr w14:val="tx1"/>
            </w14:solidFill>
          </w14:textFill>
        </w:rPr>
        <w:t>根据项目实际填写，一般为万分之五</w:t>
      </w:r>
      <w:r>
        <w:rPr>
          <w:rFonts w:hint="eastAsia" w:ascii="仿宋_GB2312" w:hAnsi="仿宋" w:eastAsia="仿宋_GB2312"/>
          <w:color w:val="000000" w:themeColor="text1"/>
          <w:sz w:val="24"/>
          <w:highlight w:val="none"/>
          <w14:textFill>
            <w14:solidFill>
              <w14:schemeClr w14:val="tx1"/>
            </w14:solidFill>
          </w14:textFill>
        </w:rPr>
        <w:t>）承担违约责任，违约金上限按照《合同书》约定执行。</w:t>
      </w:r>
    </w:p>
    <w:p w14:paraId="21FBA63F">
      <w:pPr>
        <w:spacing w:line="360" w:lineRule="auto"/>
        <w:ind w:firstLine="480" w:firstLineChars="200"/>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olor w:val="000000" w:themeColor="text1"/>
          <w:sz w:val="24"/>
          <w:highlight w:val="none"/>
          <w:lang w:val="zh-CN"/>
          <w14:textFill>
            <w14:solidFill>
              <w14:schemeClr w14:val="tx1"/>
            </w14:solidFill>
          </w14:textFill>
        </w:rPr>
        <w:t>（温馨提示：根据《广西壮族自治区财政厅关于进一步发挥政府采购政策功能促进企业发展的通知》（桂财采〔2022〕30号）及《2023年广西优化营商环境行动方案》等规定，政府采购货物和服务的采购人在政府采购合同中约定预付款比例的，采购合同履行期超过30天，对中小企业合同预付款比例应不低于合同金额的30％，不高于合同金额的50%；项目分年度安排预算的，每年预付款比例不低于项目年度计划支付金额的30％；采购项目以人工投入为主的，可降低预付款比例，但不得低于10%。采购文件和采购合同没有约定预付款的，经供应商申请采购人可支付预付款。对于未实行预付款的政府采购项目，鼓励采购人在合同中明确首付款支付比例。）</w:t>
      </w:r>
    </w:p>
    <w:p w14:paraId="6407693C">
      <w:pPr>
        <w:spacing w:line="360" w:lineRule="auto"/>
        <w:ind w:firstLine="480" w:firstLineChars="200"/>
        <w:rPr>
          <w:rFonts w:hint="eastAsia"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3.5</w:t>
      </w:r>
      <w:r>
        <w:rPr>
          <w:rFonts w:hint="eastAsia" w:ascii="仿宋_GB2312" w:hAnsi="楷体" w:eastAsia="仿宋_GB2312"/>
          <w:b/>
          <w:color w:val="000000" w:themeColor="text1"/>
          <w:sz w:val="24"/>
          <w:highlight w:val="none"/>
          <w14:textFill>
            <w14:solidFill>
              <w14:schemeClr w14:val="tx1"/>
            </w14:solidFill>
          </w14:textFill>
        </w:rPr>
        <w:t>标的物的风险负担</w:t>
      </w:r>
    </w:p>
    <w:p w14:paraId="369212FE">
      <w:pPr>
        <w:spacing w:line="360" w:lineRule="auto"/>
        <w:ind w:firstLine="480" w:firstLineChars="200"/>
        <w:rPr>
          <w:rFonts w:hint="eastAsia" w:ascii="仿宋_GB2312" w:hAnsi="楷体" w:eastAsia="仿宋_GB2312"/>
          <w:color w:val="000000" w:themeColor="text1"/>
          <w:sz w:val="24"/>
          <w:highlight w:val="none"/>
          <w:u w:val="single"/>
          <w:lang w:eastAsia="zh-CN"/>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标的物或者在途标的物或者交付给第一承运人后的标的物毁损、灭失的风险负担：</w:t>
      </w:r>
      <w:r>
        <w:rPr>
          <w:rFonts w:hint="eastAsia" w:ascii="仿宋_GB2312" w:hAnsi="楷体" w:eastAsia="仿宋_GB2312"/>
          <w:color w:val="000000" w:themeColor="text1"/>
          <w:sz w:val="24"/>
          <w:highlight w:val="none"/>
          <w:u w:val="single"/>
          <w14:textFill>
            <w14:solidFill>
              <w14:schemeClr w14:val="tx1"/>
            </w14:solidFill>
          </w14:textFill>
        </w:rPr>
        <w:t>乙方</w:t>
      </w:r>
    </w:p>
    <w:p w14:paraId="1DF25AD7">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3.5.1受不可抗力影响的一方在不可抗力发生后，应在</w:t>
      </w:r>
      <w:r>
        <w:rPr>
          <w:rFonts w:hint="eastAsia" w:ascii="仿宋_GB2312" w:hAnsi="楷体" w:eastAsia="仿宋_GB2312"/>
          <w:color w:val="000000" w:themeColor="text1"/>
          <w:sz w:val="24"/>
          <w:highlight w:val="none"/>
          <w:lang w:val="en-US" w:eastAsia="zh-CN"/>
          <w14:textFill>
            <w14:solidFill>
              <w14:schemeClr w14:val="tx1"/>
            </w14:solidFill>
          </w14:textFill>
        </w:rPr>
        <w:t>5</w:t>
      </w:r>
      <w:r>
        <w:rPr>
          <w:rFonts w:hint="eastAsia" w:ascii="仿宋_GB2312" w:hAnsi="楷体" w:eastAsia="仿宋_GB2312"/>
          <w:color w:val="000000" w:themeColor="text1"/>
          <w:sz w:val="24"/>
          <w:highlight w:val="none"/>
          <w14:textFill>
            <w14:solidFill>
              <w14:schemeClr w14:val="tx1"/>
            </w14:solidFill>
          </w14:textFill>
        </w:rPr>
        <w:t>日内以书面形式通知对方当事人，并在</w:t>
      </w:r>
      <w:r>
        <w:rPr>
          <w:rFonts w:hint="eastAsia" w:ascii="仿宋_GB2312" w:hAnsi="楷体" w:eastAsia="仿宋_GB2312"/>
          <w:color w:val="000000" w:themeColor="text1"/>
          <w:sz w:val="24"/>
          <w:highlight w:val="none"/>
          <w:lang w:val="en-US" w:eastAsia="zh-CN"/>
          <w14:textFill>
            <w14:solidFill>
              <w14:schemeClr w14:val="tx1"/>
            </w14:solidFill>
          </w14:textFill>
        </w:rPr>
        <w:t>7</w:t>
      </w:r>
      <w:r>
        <w:rPr>
          <w:rFonts w:hint="eastAsia" w:ascii="仿宋_GB2312" w:hAnsi="楷体" w:eastAsia="仿宋_GB2312"/>
          <w:color w:val="000000" w:themeColor="text1"/>
          <w:sz w:val="24"/>
          <w:highlight w:val="none"/>
          <w14:textFill>
            <w14:solidFill>
              <w14:schemeClr w14:val="tx1"/>
            </w14:solidFill>
          </w14:textFill>
        </w:rPr>
        <w:t>日内，将有关部门出具的证明文件送达对方当事人。</w:t>
      </w:r>
    </w:p>
    <w:p w14:paraId="55A5FBE9">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3.5.2因不可抗力致使合同有变更必要的，双方当事人应在</w:t>
      </w:r>
      <w:r>
        <w:rPr>
          <w:rFonts w:hint="eastAsia" w:ascii="仿宋_GB2312" w:hAnsi="楷体" w:eastAsia="仿宋_GB2312"/>
          <w:color w:val="000000" w:themeColor="text1"/>
          <w:sz w:val="24"/>
          <w:highlight w:val="none"/>
          <w:lang w:val="en-US" w:eastAsia="zh-CN"/>
          <w14:textFill>
            <w14:solidFill>
              <w14:schemeClr w14:val="tx1"/>
            </w14:solidFill>
          </w14:textFill>
        </w:rPr>
        <w:t>5</w:t>
      </w:r>
      <w:r>
        <w:rPr>
          <w:rFonts w:hint="eastAsia" w:ascii="仿宋_GB2312" w:hAnsi="楷体" w:eastAsia="仿宋_GB2312"/>
          <w:color w:val="000000" w:themeColor="text1"/>
          <w:sz w:val="24"/>
          <w:highlight w:val="none"/>
          <w14:textFill>
            <w14:solidFill>
              <w14:schemeClr w14:val="tx1"/>
            </w14:solidFill>
          </w14:textFill>
        </w:rPr>
        <w:t>日内以书面形式变更合同；</w:t>
      </w:r>
    </w:p>
    <w:p w14:paraId="20E3D53A">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3.5.3标的物交付前，乙方应对标的物的质量、数量等方面进行详细、全面的检验，并向甲方出具证明标的物符合合同约定的文件；标的物交付时，乙方在</w:t>
      </w:r>
      <w:r>
        <w:rPr>
          <w:rFonts w:hint="eastAsia" w:ascii="仿宋_GB2312" w:hAnsi="楷体" w:eastAsia="仿宋_GB2312"/>
          <w:color w:val="000000" w:themeColor="text1"/>
          <w:sz w:val="24"/>
          <w:highlight w:val="none"/>
          <w:lang w:val="en-US" w:eastAsia="zh-CN"/>
          <w14:textFill>
            <w14:solidFill>
              <w14:schemeClr w14:val="tx1"/>
            </w14:solidFill>
          </w14:textFill>
        </w:rPr>
        <w:t>5</w:t>
      </w:r>
      <w:r>
        <w:rPr>
          <w:rFonts w:hint="eastAsia" w:ascii="仿宋_GB2312" w:hAnsi="楷体" w:eastAsia="仿宋_GB2312"/>
          <w:color w:val="000000" w:themeColor="text1"/>
          <w:sz w:val="24"/>
          <w:highlight w:val="none"/>
          <w14:textFill>
            <w14:solidFill>
              <w14:schemeClr w14:val="tx1"/>
            </w14:solidFill>
          </w14:textFill>
        </w:rPr>
        <w:t>日内发起验收，并可依法邀请相关方参加，验收应出具验收书。</w:t>
      </w:r>
    </w:p>
    <w:p w14:paraId="4BC833EB">
      <w:pPr>
        <w:spacing w:line="360" w:lineRule="auto"/>
        <w:ind w:firstLine="480" w:firstLineChars="200"/>
        <w:rPr>
          <w:rFonts w:hint="default" w:ascii="仿宋_GB2312" w:hAnsi="楷体" w:eastAsia="仿宋_GB2312"/>
          <w:color w:val="000000" w:themeColor="text1"/>
          <w:sz w:val="24"/>
          <w:highlight w:val="none"/>
          <w:u w:val="single"/>
          <w:lang w:val="en-US" w:eastAsia="zh-CN"/>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3.5.4检验和验收标准、程序等具体内容以及前述验收书的效力：</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 xml:space="preserve">      </w:t>
      </w:r>
    </w:p>
    <w:p w14:paraId="5A8E4D6C">
      <w:pPr>
        <w:spacing w:line="360" w:lineRule="auto"/>
        <w:ind w:firstLine="480" w:firstLineChars="200"/>
        <w:rPr>
          <w:rFonts w:hint="default" w:ascii="仿宋_GB2312" w:hAnsi="楷体" w:eastAsia="仿宋_GB2312"/>
          <w:color w:val="000000" w:themeColor="text1"/>
          <w:sz w:val="24"/>
          <w:highlight w:val="none"/>
          <w:u w:val="single"/>
          <w:lang w:val="en-US" w:eastAsia="zh-CN"/>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3.5.5其他：</w:t>
      </w:r>
      <w:r>
        <w:rPr>
          <w:rFonts w:hint="eastAsia" w:ascii="仿宋_GB2312" w:hAnsi="楷体" w:eastAsia="仿宋_GB2312"/>
          <w:color w:val="000000" w:themeColor="text1"/>
          <w:sz w:val="24"/>
          <w:highlight w:val="none"/>
          <w:u w:val="single"/>
          <w:lang w:val="en-US" w:eastAsia="zh-CN"/>
          <w14:textFill>
            <w14:solidFill>
              <w14:schemeClr w14:val="tx1"/>
            </w14:solidFill>
          </w14:textFill>
        </w:rPr>
        <w:t xml:space="preserve">                  </w:t>
      </w:r>
    </w:p>
    <w:p w14:paraId="39708A78">
      <w:pPr>
        <w:spacing w:line="360" w:lineRule="auto"/>
        <w:ind w:firstLine="482"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3.6项目验收：</w:t>
      </w:r>
    </w:p>
    <w:p w14:paraId="4F202382">
      <w:pPr>
        <w:spacing w:line="360" w:lineRule="auto"/>
        <w:ind w:firstLine="480" w:firstLineChars="20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3.6.1甲方参照《南宁市政府采购供应商履约验收评价管理办法》（南财采</w:t>
      </w:r>
      <w:r>
        <w:rPr>
          <w:rFonts w:hint="eastAsia" w:ascii="仿宋" w:hAnsi="仿宋" w:eastAsia="仿宋" w:cs="仿宋"/>
          <w:color w:val="000000" w:themeColor="text1"/>
          <w:kern w:val="0"/>
          <w:sz w:val="24"/>
          <w:highlight w:val="none"/>
          <w:lang w:eastAsia="zh-CN"/>
          <w14:textFill>
            <w14:solidFill>
              <w14:schemeClr w14:val="tx1"/>
            </w14:solidFill>
          </w14:textFill>
        </w:rPr>
        <w:t>〔2019〕217号</w:t>
      </w:r>
      <w:r>
        <w:rPr>
          <w:rFonts w:hint="eastAsia" w:ascii="仿宋" w:hAnsi="仿宋" w:eastAsia="仿宋" w:cs="仿宋"/>
          <w:color w:val="000000" w:themeColor="text1"/>
          <w:kern w:val="0"/>
          <w:sz w:val="24"/>
          <w:highlight w:val="none"/>
          <w14:textFill>
            <w14:solidFill>
              <w14:schemeClr w14:val="tx1"/>
            </w14:solidFill>
          </w14:textFill>
        </w:rPr>
        <w:t>）规定组织对乙方履约的验收。验收方成员应当在验收书上签字，并承担相应的法律责任。如果发现与合同中要求不符，乙方须承担由此发生的一切损失和费用，并接受相应的处理。</w:t>
      </w:r>
    </w:p>
    <w:p w14:paraId="67956C6C">
      <w:pPr>
        <w:spacing w:line="360" w:lineRule="auto"/>
        <w:ind w:firstLine="480" w:firstLineChars="20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3.6.2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7159B291">
      <w:pPr>
        <w:spacing w:line="360" w:lineRule="auto"/>
        <w:ind w:firstLine="480" w:firstLineChars="20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7FBC55B6">
      <w:pPr>
        <w:spacing w:line="360" w:lineRule="auto"/>
        <w:ind w:firstLine="480" w:firstLineChars="20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3.6.4验收产生的费用</w:t>
      </w:r>
      <w:r>
        <w:rPr>
          <w:rFonts w:hint="eastAsia" w:ascii="仿宋_GB2312" w:hAnsi="楷体" w:eastAsia="仿宋_GB2312"/>
          <w:color w:val="000000" w:themeColor="text1"/>
          <w:sz w:val="24"/>
          <w:highlight w:val="none"/>
          <w14:textFill>
            <w14:solidFill>
              <w14:schemeClr w14:val="tx1"/>
            </w14:solidFill>
          </w14:textFill>
        </w:rPr>
        <w:t>：首次验收费用由承担，如首次验收不合格，后续验收费用由支付。</w:t>
      </w:r>
    </w:p>
    <w:p w14:paraId="300BDF30">
      <w:pPr>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3.6.5验收内容及资料要求：</w:t>
      </w:r>
    </w:p>
    <w:p w14:paraId="23EF5E66">
      <w:pPr>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根据采购文件确定的技术指标或者货物要求确定验收指标和标准。未进行相应约定的，应当符合国家强制性规定、政策要求、安全标准、行业或企业有关标准等。</w:t>
      </w:r>
    </w:p>
    <w:p w14:paraId="0C18EE26">
      <w:pPr>
        <w:tabs>
          <w:tab w:val="left" w:pos="904"/>
        </w:tabs>
        <w:snapToGrid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3.6.6验收内容</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3"/>
        <w:gridCol w:w="2285"/>
        <w:gridCol w:w="5050"/>
      </w:tblGrid>
      <w:tr w14:paraId="3742A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983" w:type="dxa"/>
            <w:tcBorders>
              <w:top w:val="single" w:color="auto" w:sz="4" w:space="0"/>
              <w:left w:val="single" w:color="auto" w:sz="4" w:space="0"/>
              <w:bottom w:val="single" w:color="auto" w:sz="4" w:space="0"/>
              <w:right w:val="single" w:color="auto" w:sz="4" w:space="0"/>
            </w:tcBorders>
            <w:noWrap w:val="0"/>
            <w:vAlign w:val="center"/>
          </w:tcPr>
          <w:p w14:paraId="768505E4">
            <w:pPr>
              <w:widowControl/>
              <w:spacing w:line="360" w:lineRule="auto"/>
              <w:ind w:firstLine="200"/>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序号</w:t>
            </w:r>
          </w:p>
        </w:tc>
        <w:tc>
          <w:tcPr>
            <w:tcW w:w="2285" w:type="dxa"/>
            <w:tcBorders>
              <w:top w:val="single" w:color="auto" w:sz="4" w:space="0"/>
              <w:left w:val="single" w:color="auto" w:sz="4" w:space="0"/>
              <w:bottom w:val="single" w:color="auto" w:sz="4" w:space="0"/>
              <w:right w:val="single" w:color="auto" w:sz="4" w:space="0"/>
            </w:tcBorders>
            <w:noWrap w:val="0"/>
            <w:vAlign w:val="center"/>
          </w:tcPr>
          <w:p w14:paraId="76A93352">
            <w:pPr>
              <w:widowControl/>
              <w:spacing w:line="360" w:lineRule="auto"/>
              <w:ind w:firstLine="200"/>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验收内容</w:t>
            </w:r>
          </w:p>
        </w:tc>
        <w:tc>
          <w:tcPr>
            <w:tcW w:w="5050" w:type="dxa"/>
            <w:tcBorders>
              <w:top w:val="single" w:color="auto" w:sz="4" w:space="0"/>
              <w:left w:val="single" w:color="auto" w:sz="4" w:space="0"/>
              <w:bottom w:val="single" w:color="auto" w:sz="4" w:space="0"/>
              <w:right w:val="single" w:color="auto" w:sz="4" w:space="0"/>
            </w:tcBorders>
            <w:noWrap w:val="0"/>
            <w:vAlign w:val="center"/>
          </w:tcPr>
          <w:p w14:paraId="187A0C9A">
            <w:pPr>
              <w:widowControl/>
              <w:spacing w:line="360" w:lineRule="auto"/>
              <w:ind w:firstLine="200"/>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验收标准</w:t>
            </w:r>
          </w:p>
        </w:tc>
      </w:tr>
      <w:tr w14:paraId="4BB01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3" w:type="dxa"/>
            <w:tcBorders>
              <w:top w:val="single" w:color="auto" w:sz="4" w:space="0"/>
              <w:left w:val="single" w:color="auto" w:sz="4" w:space="0"/>
              <w:bottom w:val="single" w:color="auto" w:sz="4" w:space="0"/>
              <w:right w:val="single" w:color="auto" w:sz="4" w:space="0"/>
            </w:tcBorders>
            <w:noWrap w:val="0"/>
            <w:vAlign w:val="center"/>
          </w:tcPr>
          <w:p w14:paraId="6993C7A4">
            <w:pPr>
              <w:widowControl/>
              <w:spacing w:line="360" w:lineRule="auto"/>
              <w:ind w:firstLine="200"/>
              <w:jc w:val="both"/>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1</w:t>
            </w:r>
          </w:p>
        </w:tc>
        <w:tc>
          <w:tcPr>
            <w:tcW w:w="2285" w:type="dxa"/>
            <w:tcBorders>
              <w:top w:val="single" w:color="auto" w:sz="4" w:space="0"/>
              <w:left w:val="single" w:color="auto" w:sz="4" w:space="0"/>
              <w:bottom w:val="single" w:color="auto" w:sz="4" w:space="0"/>
              <w:right w:val="single" w:color="auto" w:sz="4" w:space="0"/>
            </w:tcBorders>
            <w:noWrap w:val="0"/>
            <w:vAlign w:val="center"/>
          </w:tcPr>
          <w:p w14:paraId="7C209CF4">
            <w:pPr>
              <w:widowControl/>
              <w:spacing w:line="360" w:lineRule="auto"/>
              <w:ind w:firstLine="200"/>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交货产品数量</w:t>
            </w:r>
          </w:p>
        </w:tc>
        <w:tc>
          <w:tcPr>
            <w:tcW w:w="5050" w:type="dxa"/>
            <w:tcBorders>
              <w:top w:val="single" w:color="auto" w:sz="4" w:space="0"/>
              <w:left w:val="single" w:color="auto" w:sz="4" w:space="0"/>
              <w:bottom w:val="single" w:color="auto" w:sz="4" w:space="0"/>
              <w:right w:val="single" w:color="auto" w:sz="4" w:space="0"/>
            </w:tcBorders>
            <w:noWrap w:val="0"/>
            <w:vAlign w:val="center"/>
          </w:tcPr>
          <w:p w14:paraId="535186DE">
            <w:pPr>
              <w:widowControl/>
              <w:spacing w:line="360" w:lineRule="auto"/>
              <w:ind w:firstLine="200"/>
              <w:jc w:val="center"/>
              <w:rPr>
                <w:rFonts w:hint="eastAsia" w:ascii="仿宋" w:hAnsi="仿宋" w:eastAsia="仿宋" w:cs="仿宋"/>
                <w:color w:val="000000" w:themeColor="text1"/>
                <w:kern w:val="0"/>
                <w:sz w:val="24"/>
                <w:highlight w:val="none"/>
                <w14:textFill>
                  <w14:solidFill>
                    <w14:schemeClr w14:val="tx1"/>
                  </w14:solidFill>
                </w14:textFill>
              </w:rPr>
            </w:pPr>
          </w:p>
        </w:tc>
      </w:tr>
      <w:tr w14:paraId="3D78D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983" w:type="dxa"/>
            <w:tcBorders>
              <w:top w:val="single" w:color="auto" w:sz="4" w:space="0"/>
              <w:left w:val="single" w:color="auto" w:sz="4" w:space="0"/>
              <w:bottom w:val="single" w:color="auto" w:sz="4" w:space="0"/>
              <w:right w:val="single" w:color="auto" w:sz="4" w:space="0"/>
            </w:tcBorders>
            <w:noWrap w:val="0"/>
            <w:vAlign w:val="center"/>
          </w:tcPr>
          <w:p w14:paraId="38D8D0A8">
            <w:pPr>
              <w:widowControl/>
              <w:spacing w:line="360" w:lineRule="auto"/>
              <w:ind w:firstLine="200"/>
              <w:jc w:val="both"/>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2</w:t>
            </w:r>
          </w:p>
        </w:tc>
        <w:tc>
          <w:tcPr>
            <w:tcW w:w="2285" w:type="dxa"/>
            <w:tcBorders>
              <w:top w:val="single" w:color="auto" w:sz="4" w:space="0"/>
              <w:left w:val="single" w:color="auto" w:sz="4" w:space="0"/>
              <w:bottom w:val="single" w:color="auto" w:sz="4" w:space="0"/>
              <w:right w:val="single" w:color="auto" w:sz="4" w:space="0"/>
            </w:tcBorders>
            <w:noWrap w:val="0"/>
            <w:vAlign w:val="center"/>
          </w:tcPr>
          <w:p w14:paraId="68D43E88">
            <w:pPr>
              <w:widowControl/>
              <w:spacing w:line="360" w:lineRule="auto"/>
              <w:ind w:firstLine="200"/>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交货产品的质量文件</w:t>
            </w:r>
          </w:p>
        </w:tc>
        <w:tc>
          <w:tcPr>
            <w:tcW w:w="5050" w:type="dxa"/>
            <w:tcBorders>
              <w:top w:val="single" w:color="auto" w:sz="4" w:space="0"/>
              <w:left w:val="single" w:color="auto" w:sz="4" w:space="0"/>
              <w:bottom w:val="single" w:color="auto" w:sz="4" w:space="0"/>
              <w:right w:val="single" w:color="auto" w:sz="4" w:space="0"/>
            </w:tcBorders>
            <w:noWrap w:val="0"/>
            <w:vAlign w:val="center"/>
          </w:tcPr>
          <w:p w14:paraId="1F580284">
            <w:pPr>
              <w:widowControl/>
              <w:spacing w:line="360" w:lineRule="auto"/>
              <w:ind w:firstLine="200"/>
              <w:jc w:val="center"/>
              <w:rPr>
                <w:rFonts w:hint="eastAsia" w:ascii="仿宋" w:hAnsi="仿宋" w:eastAsia="仿宋" w:cs="仿宋"/>
                <w:color w:val="000000" w:themeColor="text1"/>
                <w:kern w:val="0"/>
                <w:sz w:val="24"/>
                <w:highlight w:val="none"/>
                <w14:textFill>
                  <w14:solidFill>
                    <w14:schemeClr w14:val="tx1"/>
                  </w14:solidFill>
                </w14:textFill>
              </w:rPr>
            </w:pPr>
          </w:p>
        </w:tc>
      </w:tr>
      <w:tr w14:paraId="19B3D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983" w:type="dxa"/>
            <w:tcBorders>
              <w:top w:val="single" w:color="auto" w:sz="4" w:space="0"/>
              <w:left w:val="single" w:color="auto" w:sz="4" w:space="0"/>
              <w:bottom w:val="single" w:color="auto" w:sz="4" w:space="0"/>
              <w:right w:val="single" w:color="auto" w:sz="4" w:space="0"/>
            </w:tcBorders>
            <w:noWrap w:val="0"/>
            <w:vAlign w:val="center"/>
          </w:tcPr>
          <w:p w14:paraId="2CB2310D">
            <w:pPr>
              <w:widowControl/>
              <w:spacing w:line="360" w:lineRule="auto"/>
              <w:ind w:firstLine="200"/>
              <w:jc w:val="both"/>
              <w:rPr>
                <w:rFonts w:hint="eastAsia" w:ascii="仿宋" w:hAnsi="仿宋" w:eastAsia="仿宋" w:cs="仿宋"/>
                <w:bCs/>
                <w:color w:val="000000" w:themeColor="text1"/>
                <w:kern w:val="0"/>
                <w:sz w:val="24"/>
                <w:highlight w:val="none"/>
                <w:lang w:eastAsia="zh-CN"/>
                <w14:textFill>
                  <w14:solidFill>
                    <w14:schemeClr w14:val="tx1"/>
                  </w14:solidFill>
                </w14:textFill>
              </w:rPr>
            </w:pPr>
            <w:r>
              <w:rPr>
                <w:rFonts w:hint="eastAsia" w:ascii="仿宋" w:hAnsi="仿宋" w:eastAsia="仿宋" w:cs="仿宋"/>
                <w:bCs/>
                <w:color w:val="000000" w:themeColor="text1"/>
                <w:kern w:val="0"/>
                <w:sz w:val="24"/>
                <w:highlight w:val="none"/>
                <w:lang w:val="en-US" w:eastAsia="zh-CN"/>
                <w14:textFill>
                  <w14:solidFill>
                    <w14:schemeClr w14:val="tx1"/>
                  </w14:solidFill>
                </w14:textFill>
              </w:rPr>
              <w:t>3</w:t>
            </w:r>
          </w:p>
        </w:tc>
        <w:tc>
          <w:tcPr>
            <w:tcW w:w="2285" w:type="dxa"/>
            <w:tcBorders>
              <w:top w:val="single" w:color="auto" w:sz="4" w:space="0"/>
              <w:left w:val="single" w:color="auto" w:sz="4" w:space="0"/>
              <w:bottom w:val="single" w:color="auto" w:sz="4" w:space="0"/>
              <w:right w:val="single" w:color="auto" w:sz="4" w:space="0"/>
            </w:tcBorders>
            <w:noWrap w:val="0"/>
            <w:vAlign w:val="center"/>
          </w:tcPr>
          <w:p w14:paraId="14A920B7">
            <w:pPr>
              <w:spacing w:line="360" w:lineRule="auto"/>
              <w:ind w:firstLine="200"/>
              <w:jc w:val="center"/>
              <w:rPr>
                <w:rFonts w:hint="eastAsia" w:ascii="仿宋" w:hAnsi="仿宋" w:eastAsia="仿宋" w:cs="仿宋"/>
                <w:bCs/>
                <w:color w:val="000000" w:themeColor="text1"/>
                <w:kern w:val="0"/>
                <w:sz w:val="24"/>
                <w:highlight w:val="none"/>
                <w:lang w:eastAsia="zh-CN"/>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交货产品技术、性能指标</w:t>
            </w:r>
          </w:p>
        </w:tc>
        <w:tc>
          <w:tcPr>
            <w:tcW w:w="5050" w:type="dxa"/>
            <w:tcBorders>
              <w:top w:val="single" w:color="auto" w:sz="4" w:space="0"/>
              <w:left w:val="single" w:color="auto" w:sz="4" w:space="0"/>
              <w:bottom w:val="single" w:color="auto" w:sz="4" w:space="0"/>
              <w:right w:val="single" w:color="auto" w:sz="4" w:space="0"/>
            </w:tcBorders>
            <w:noWrap w:val="0"/>
            <w:vAlign w:val="center"/>
          </w:tcPr>
          <w:p w14:paraId="53B5BF88">
            <w:pPr>
              <w:pStyle w:val="13"/>
              <w:spacing w:after="0" w:line="360" w:lineRule="auto"/>
              <w:ind w:firstLine="200"/>
              <w:jc w:val="left"/>
              <w:rPr>
                <w:rFonts w:hint="eastAsia" w:ascii="仿宋" w:hAnsi="仿宋" w:eastAsia="仿宋" w:cs="仿宋"/>
                <w:color w:val="000000" w:themeColor="text1"/>
                <w:highlight w:val="none"/>
                <w14:textFill>
                  <w14:solidFill>
                    <w14:schemeClr w14:val="tx1"/>
                  </w14:solidFill>
                </w14:textFill>
              </w:rPr>
            </w:pPr>
          </w:p>
        </w:tc>
      </w:tr>
      <w:tr w14:paraId="4479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983" w:type="dxa"/>
            <w:tcBorders>
              <w:top w:val="single" w:color="auto" w:sz="4" w:space="0"/>
              <w:left w:val="single" w:color="auto" w:sz="4" w:space="0"/>
              <w:bottom w:val="single" w:color="auto" w:sz="4" w:space="0"/>
              <w:right w:val="single" w:color="auto" w:sz="4" w:space="0"/>
            </w:tcBorders>
            <w:noWrap w:val="0"/>
            <w:vAlign w:val="center"/>
          </w:tcPr>
          <w:p w14:paraId="1F470D1B">
            <w:pPr>
              <w:widowControl/>
              <w:spacing w:line="360" w:lineRule="auto"/>
              <w:ind w:firstLine="200"/>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4</w:t>
            </w:r>
          </w:p>
        </w:tc>
        <w:tc>
          <w:tcPr>
            <w:tcW w:w="2285" w:type="dxa"/>
            <w:tcBorders>
              <w:top w:val="single" w:color="auto" w:sz="4" w:space="0"/>
              <w:left w:val="single" w:color="auto" w:sz="4" w:space="0"/>
              <w:bottom w:val="single" w:color="auto" w:sz="4" w:space="0"/>
              <w:right w:val="single" w:color="auto" w:sz="4" w:space="0"/>
            </w:tcBorders>
            <w:noWrap w:val="0"/>
            <w:vAlign w:val="center"/>
          </w:tcPr>
          <w:p w14:paraId="4D5B08AE">
            <w:pPr>
              <w:spacing w:line="360" w:lineRule="auto"/>
              <w:ind w:firstLine="200"/>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售后服务承诺</w:t>
            </w:r>
          </w:p>
        </w:tc>
        <w:tc>
          <w:tcPr>
            <w:tcW w:w="5050" w:type="dxa"/>
            <w:tcBorders>
              <w:top w:val="single" w:color="auto" w:sz="4" w:space="0"/>
              <w:left w:val="single" w:color="auto" w:sz="4" w:space="0"/>
              <w:bottom w:val="single" w:color="auto" w:sz="4" w:space="0"/>
              <w:right w:val="single" w:color="auto" w:sz="4" w:space="0"/>
            </w:tcBorders>
            <w:noWrap w:val="0"/>
            <w:vAlign w:val="center"/>
          </w:tcPr>
          <w:p w14:paraId="57802AED">
            <w:pPr>
              <w:widowControl/>
              <w:spacing w:line="360" w:lineRule="auto"/>
              <w:ind w:firstLine="200"/>
              <w:jc w:val="center"/>
              <w:rPr>
                <w:rFonts w:hint="eastAsia" w:ascii="仿宋" w:hAnsi="仿宋" w:eastAsia="仿宋" w:cs="仿宋"/>
                <w:color w:val="000000" w:themeColor="text1"/>
                <w:kern w:val="0"/>
                <w:sz w:val="24"/>
                <w:highlight w:val="none"/>
                <w14:textFill>
                  <w14:solidFill>
                    <w14:schemeClr w14:val="tx1"/>
                  </w14:solidFill>
                </w14:textFill>
              </w:rPr>
            </w:pPr>
          </w:p>
        </w:tc>
      </w:tr>
      <w:tr w14:paraId="48311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983" w:type="dxa"/>
            <w:tcBorders>
              <w:top w:val="single" w:color="auto" w:sz="4" w:space="0"/>
              <w:left w:val="single" w:color="auto" w:sz="4" w:space="0"/>
              <w:bottom w:val="single" w:color="auto" w:sz="4" w:space="0"/>
              <w:right w:val="single" w:color="auto" w:sz="4" w:space="0"/>
            </w:tcBorders>
            <w:noWrap w:val="0"/>
            <w:vAlign w:val="center"/>
          </w:tcPr>
          <w:p w14:paraId="6C5950BD">
            <w:pPr>
              <w:widowControl/>
              <w:spacing w:line="360" w:lineRule="auto"/>
              <w:ind w:firstLine="200"/>
              <w:jc w:val="both"/>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lang w:val="en-US" w:eastAsia="zh-CN"/>
                <w14:textFill>
                  <w14:solidFill>
                    <w14:schemeClr w14:val="tx1"/>
                  </w14:solidFill>
                </w14:textFill>
              </w:rPr>
              <w:t>5</w:t>
            </w:r>
          </w:p>
        </w:tc>
        <w:tc>
          <w:tcPr>
            <w:tcW w:w="2285" w:type="dxa"/>
            <w:tcBorders>
              <w:top w:val="single" w:color="auto" w:sz="4" w:space="0"/>
              <w:left w:val="single" w:color="auto" w:sz="4" w:space="0"/>
              <w:bottom w:val="single" w:color="auto" w:sz="4" w:space="0"/>
              <w:right w:val="single" w:color="auto" w:sz="4" w:space="0"/>
            </w:tcBorders>
            <w:noWrap w:val="0"/>
            <w:vAlign w:val="center"/>
          </w:tcPr>
          <w:p w14:paraId="483D1E1E">
            <w:pPr>
              <w:widowControl/>
              <w:spacing w:line="360" w:lineRule="auto"/>
              <w:ind w:firstLine="200"/>
              <w:jc w:val="center"/>
              <w:rPr>
                <w:rFonts w:hint="eastAsia"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其他工作</w:t>
            </w:r>
          </w:p>
        </w:tc>
        <w:tc>
          <w:tcPr>
            <w:tcW w:w="5050" w:type="dxa"/>
            <w:tcBorders>
              <w:top w:val="single" w:color="auto" w:sz="4" w:space="0"/>
              <w:left w:val="single" w:color="auto" w:sz="4" w:space="0"/>
              <w:bottom w:val="single" w:color="auto" w:sz="4" w:space="0"/>
              <w:right w:val="single" w:color="auto" w:sz="4" w:space="0"/>
            </w:tcBorders>
            <w:noWrap w:val="0"/>
            <w:vAlign w:val="center"/>
          </w:tcPr>
          <w:p w14:paraId="3CC91A20">
            <w:pPr>
              <w:widowControl/>
              <w:spacing w:line="360" w:lineRule="auto"/>
              <w:ind w:firstLine="200"/>
              <w:jc w:val="left"/>
              <w:rPr>
                <w:rFonts w:hint="eastAsia" w:ascii="仿宋" w:hAnsi="仿宋" w:eastAsia="仿宋" w:cs="仿宋"/>
                <w:color w:val="000000" w:themeColor="text1"/>
                <w:kern w:val="0"/>
                <w:sz w:val="24"/>
                <w:highlight w:val="none"/>
                <w14:textFill>
                  <w14:solidFill>
                    <w14:schemeClr w14:val="tx1"/>
                  </w14:solidFill>
                </w14:textFill>
              </w:rPr>
            </w:pPr>
          </w:p>
        </w:tc>
      </w:tr>
    </w:tbl>
    <w:p w14:paraId="71155B82">
      <w:pPr>
        <w:tabs>
          <w:tab w:val="left" w:pos="904"/>
        </w:tabs>
        <w:snapToGrid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温馨提示：根据《广西壮族自治区财政厅关于进一步发挥政府采购政策功能促进企业发展的通知》（桂财采〔2022〕30号）规定，采购人应当在项目完成且收到供应商验收申请后5个工作日内组织开展履约验收；对于满足合同约定支付条件的项目，应在收到发票后30日内将资金支付到合同约定的供应商账户，不得以进行审计作为支付供应商款项的条件。加快采购资金支付进度，对于200万元以下的货物和服务项目，鼓励采购人一次性全额支付给供应商。采购人不得以机构变动、人员更替、政策调整、履行内部付款流程等为由延迟付款。）</w:t>
      </w:r>
    </w:p>
    <w:p w14:paraId="53A54EED">
      <w:pPr>
        <w:tabs>
          <w:tab w:val="left" w:pos="904"/>
        </w:tabs>
        <w:snapToGrid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3.6.7验收资料要求</w:t>
      </w:r>
    </w:p>
    <w:p w14:paraId="7B91B86B">
      <w:pPr>
        <w:tabs>
          <w:tab w:val="left" w:pos="904"/>
        </w:tabs>
        <w:snapToGrid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验收资料要求包括（不限于）以下内容：</w:t>
      </w:r>
    </w:p>
    <w:p w14:paraId="7A0C011C">
      <w:pPr>
        <w:tabs>
          <w:tab w:val="left" w:pos="904"/>
        </w:tabs>
        <w:adjustRightInd w:val="0"/>
        <w:snapToGrid w:val="0"/>
        <w:spacing w:line="360" w:lineRule="auto"/>
        <w:ind w:firstLine="240" w:firstLineChars="1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（1）采购文件；</w:t>
      </w:r>
    </w:p>
    <w:p w14:paraId="522C828C">
      <w:pPr>
        <w:tabs>
          <w:tab w:val="left" w:pos="904"/>
        </w:tabs>
        <w:adjustRightInd w:val="0"/>
        <w:snapToGrid w:val="0"/>
        <w:spacing w:line="360" w:lineRule="auto"/>
        <w:ind w:firstLine="240" w:firstLineChars="1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（2）响应文件；</w:t>
      </w:r>
    </w:p>
    <w:p w14:paraId="5DF26F40">
      <w:pPr>
        <w:tabs>
          <w:tab w:val="left" w:pos="904"/>
        </w:tabs>
        <w:adjustRightInd w:val="0"/>
        <w:snapToGrid w:val="0"/>
        <w:spacing w:line="360" w:lineRule="auto"/>
        <w:ind w:firstLine="240" w:firstLineChars="1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（3）采购合同；</w:t>
      </w:r>
    </w:p>
    <w:p w14:paraId="4253ABB7">
      <w:pPr>
        <w:tabs>
          <w:tab w:val="left" w:pos="904"/>
        </w:tabs>
        <w:adjustRightInd w:val="0"/>
        <w:snapToGrid w:val="0"/>
        <w:spacing w:line="360" w:lineRule="auto"/>
        <w:ind w:firstLine="240" w:firstLineChars="1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（4）其他需提供的相关材料：</w:t>
      </w:r>
      <w:r>
        <w:rPr>
          <w:rFonts w:hint="eastAsia" w:ascii="仿宋" w:hAnsi="仿宋" w:eastAsia="仿宋" w:cs="仿宋"/>
          <w:color w:val="000000" w:themeColor="text1"/>
          <w:sz w:val="24"/>
          <w:highlight w:val="none"/>
          <w:u w:val="single"/>
          <w14:textFill>
            <w14:solidFill>
              <w14:schemeClr w14:val="tx1"/>
            </w14:solidFill>
          </w14:textFill>
        </w:rPr>
        <w:t>（由业主根据实际情况填写）</w:t>
      </w:r>
      <w:r>
        <w:rPr>
          <w:rFonts w:hint="eastAsia" w:ascii="仿宋" w:hAnsi="仿宋" w:eastAsia="仿宋" w:cs="仿宋"/>
          <w:color w:val="000000" w:themeColor="text1"/>
          <w:sz w:val="24"/>
          <w:highlight w:val="none"/>
          <w14:textFill>
            <w14:solidFill>
              <w14:schemeClr w14:val="tx1"/>
            </w14:solidFill>
          </w14:textFill>
        </w:rPr>
        <w:t>。</w:t>
      </w:r>
    </w:p>
    <w:p w14:paraId="5322DAB1">
      <w:pPr>
        <w:tabs>
          <w:tab w:val="left" w:pos="3261"/>
        </w:tabs>
        <w:spacing w:line="360" w:lineRule="auto"/>
        <w:jc w:val="center"/>
        <w:rPr>
          <w:rFonts w:hint="eastAsia" w:ascii="宋体" w:hAnsi="宋体" w:cs="仿宋_GB2312"/>
          <w:b/>
          <w:color w:val="000000" w:themeColor="text1"/>
          <w:sz w:val="44"/>
          <w:szCs w:val="44"/>
          <w:highlight w:val="none"/>
          <w14:textFill>
            <w14:solidFill>
              <w14:schemeClr w14:val="tx1"/>
            </w14:solidFill>
          </w14:textFill>
        </w:rPr>
      </w:pPr>
      <w:r>
        <w:rPr>
          <w:rFonts w:hint="eastAsia" w:ascii="宋体" w:hAnsi="宋体" w:cs="仿宋_GB2312"/>
          <w:b/>
          <w:color w:val="000000" w:themeColor="text1"/>
          <w:sz w:val="44"/>
          <w:szCs w:val="44"/>
          <w:highlight w:val="none"/>
          <w14:textFill>
            <w14:solidFill>
              <w14:schemeClr w14:val="tx1"/>
            </w14:solidFill>
          </w14:textFill>
        </w:rPr>
        <w:br w:type="page"/>
      </w:r>
    </w:p>
    <w:p w14:paraId="4F13D947">
      <w:pPr>
        <w:tabs>
          <w:tab w:val="left" w:pos="3261"/>
        </w:tabs>
        <w:spacing w:line="360" w:lineRule="auto"/>
        <w:jc w:val="center"/>
        <w:rPr>
          <w:rFonts w:hint="eastAsia" w:ascii="宋体" w:hAnsi="宋体" w:cs="仿宋_GB2312"/>
          <w:b/>
          <w:color w:val="000000" w:themeColor="text1"/>
          <w:sz w:val="44"/>
          <w:szCs w:val="44"/>
          <w:highlight w:val="none"/>
          <w14:textFill>
            <w14:solidFill>
              <w14:schemeClr w14:val="tx1"/>
            </w14:solidFill>
          </w14:textFill>
        </w:rPr>
      </w:pPr>
    </w:p>
    <w:p w14:paraId="58E455B8">
      <w:pPr>
        <w:jc w:val="center"/>
        <w:rPr>
          <w:rFonts w:hint="eastAsia" w:ascii="宋体" w:hAnsi="宋体" w:cs="仿宋_GB2312"/>
          <w:b/>
          <w:color w:val="000000" w:themeColor="text1"/>
          <w:highlight w:val="none"/>
          <w14:textFill>
            <w14:solidFill>
              <w14:schemeClr w14:val="tx1"/>
            </w14:solidFill>
          </w14:textFill>
        </w:rPr>
      </w:pPr>
    </w:p>
    <w:p w14:paraId="639DAE17">
      <w:pPr>
        <w:jc w:val="center"/>
        <w:rPr>
          <w:rFonts w:hint="eastAsia" w:ascii="宋体" w:hAnsi="宋体" w:cs="仿宋_GB2312"/>
          <w:b/>
          <w:color w:val="000000" w:themeColor="text1"/>
          <w:highlight w:val="none"/>
          <w14:textFill>
            <w14:solidFill>
              <w14:schemeClr w14:val="tx1"/>
            </w14:solidFill>
          </w14:textFill>
        </w:rPr>
      </w:pPr>
    </w:p>
    <w:p w14:paraId="1DA8EADA">
      <w:pPr>
        <w:pStyle w:val="2"/>
        <w:jc w:val="center"/>
        <w:rPr>
          <w:rFonts w:hint="eastAsia" w:ascii="宋体" w:hAnsi="宋体" w:cs="仿宋_GB2312"/>
          <w:color w:val="000000" w:themeColor="text1"/>
          <w:highlight w:val="none"/>
          <w14:textFill>
            <w14:solidFill>
              <w14:schemeClr w14:val="tx1"/>
            </w14:solidFill>
          </w14:textFill>
        </w:rPr>
      </w:pPr>
      <w:bookmarkStart w:id="246" w:name="_Toc30623"/>
      <w:r>
        <w:rPr>
          <w:rFonts w:hint="eastAsia" w:ascii="宋体" w:hAnsi="宋体" w:cs="仿宋_GB2312"/>
          <w:b w:val="0"/>
          <w:color w:val="000000" w:themeColor="text1"/>
          <w:highlight w:val="none"/>
          <w14:textFill>
            <w14:solidFill>
              <w14:schemeClr w14:val="tx1"/>
            </w14:solidFill>
          </w14:textFill>
        </w:rPr>
        <w:t>第七章质疑、投诉材料格式</w:t>
      </w:r>
      <w:bookmarkEnd w:id="246"/>
    </w:p>
    <w:p w14:paraId="56B633E0">
      <w:pPr>
        <w:widowControl/>
        <w:spacing w:line="576" w:lineRule="auto"/>
        <w:jc w:val="left"/>
        <w:rPr>
          <w:rFonts w:ascii="宋体" w:hAnsi="宋体" w:cs="仿宋_GB2312"/>
          <w:b/>
          <w:bCs/>
          <w:color w:val="000000" w:themeColor="text1"/>
          <w:kern w:val="44"/>
          <w:sz w:val="44"/>
          <w:szCs w:val="44"/>
          <w:highlight w:val="none"/>
          <w14:textFill>
            <w14:solidFill>
              <w14:schemeClr w14:val="tx1"/>
            </w14:solidFill>
          </w14:textFill>
        </w:rPr>
        <w:sectPr>
          <w:pgSz w:w="11910" w:h="16840"/>
          <w:pgMar w:top="1340" w:right="1500" w:bottom="280" w:left="1680" w:header="720" w:footer="720" w:gutter="0"/>
          <w:pgNumType w:fmt="decimal"/>
          <w:cols w:space="720" w:num="1"/>
        </w:sectPr>
      </w:pPr>
    </w:p>
    <w:p w14:paraId="503421D4">
      <w:pPr>
        <w:spacing w:line="360" w:lineRule="auto"/>
        <w:jc w:val="center"/>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质疑函（格式）</w:t>
      </w:r>
    </w:p>
    <w:p w14:paraId="4686C046">
      <w:pPr>
        <w:pStyle w:val="17"/>
        <w:spacing w:line="360" w:lineRule="auto"/>
        <w:ind w:firstLine="482" w:firstLineChars="200"/>
        <w:rPr>
          <w:rFonts w:hint="eastAsia"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一、质疑供应商基本信息：</w:t>
      </w:r>
    </w:p>
    <w:p w14:paraId="41AE17A2">
      <w:pPr>
        <w:pStyle w:val="17"/>
        <w:spacing w:line="360" w:lineRule="auto"/>
        <w:ind w:firstLine="480" w:firstLineChars="200"/>
        <w:rPr>
          <w:rFonts w:hint="eastAsia" w:hAnsi="宋体" w:eastAsia="宋体"/>
          <w:bCs/>
          <w:color w:val="000000" w:themeColor="text1"/>
          <w:sz w:val="24"/>
          <w:szCs w:val="24"/>
          <w:highlight w:val="none"/>
          <w:u w:val="single"/>
          <w:lang w:eastAsia="zh-CN"/>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质疑供应商：</w:t>
      </w:r>
    </w:p>
    <w:p w14:paraId="0047F0A7">
      <w:pPr>
        <w:pStyle w:val="17"/>
        <w:spacing w:line="360" w:lineRule="auto"/>
        <w:ind w:firstLine="480" w:firstLineChars="200"/>
        <w:rPr>
          <w:rFonts w:hint="eastAsia" w:hAnsi="宋体" w:eastAsia="宋体"/>
          <w:bCs/>
          <w:color w:val="000000" w:themeColor="text1"/>
          <w:sz w:val="24"/>
          <w:szCs w:val="24"/>
          <w:highlight w:val="none"/>
          <w:lang w:eastAsia="zh-CN"/>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地址：邮编：</w:t>
      </w:r>
    </w:p>
    <w:p w14:paraId="0300EBB1">
      <w:pPr>
        <w:pStyle w:val="17"/>
        <w:spacing w:line="360" w:lineRule="auto"/>
        <w:ind w:firstLine="480" w:firstLineChars="200"/>
        <w:rPr>
          <w:rFonts w:hint="eastAsia" w:hAnsi="宋体" w:eastAsia="宋体"/>
          <w:bCs/>
          <w:color w:val="000000" w:themeColor="text1"/>
          <w:sz w:val="24"/>
          <w:szCs w:val="24"/>
          <w:highlight w:val="none"/>
          <w:lang w:eastAsia="zh-CN"/>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联系人：联系电话：</w:t>
      </w:r>
    </w:p>
    <w:p w14:paraId="5179856F">
      <w:pPr>
        <w:pStyle w:val="17"/>
        <w:spacing w:line="360" w:lineRule="auto"/>
        <w:ind w:firstLine="480" w:firstLineChars="200"/>
        <w:rPr>
          <w:rFonts w:hint="eastAsia" w:hAnsi="宋体" w:eastAsia="宋体"/>
          <w:bCs/>
          <w:color w:val="000000" w:themeColor="text1"/>
          <w:sz w:val="24"/>
          <w:szCs w:val="24"/>
          <w:highlight w:val="none"/>
          <w:lang w:eastAsia="zh-CN"/>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授权代表：</w:t>
      </w:r>
    </w:p>
    <w:p w14:paraId="242C4676">
      <w:pPr>
        <w:pStyle w:val="17"/>
        <w:spacing w:line="360" w:lineRule="auto"/>
        <w:ind w:firstLine="480" w:firstLineChars="200"/>
        <w:rPr>
          <w:rFonts w:hint="eastAsia" w:hAnsi="宋体" w:eastAsia="宋体"/>
          <w:bCs/>
          <w:color w:val="000000" w:themeColor="text1"/>
          <w:sz w:val="24"/>
          <w:szCs w:val="24"/>
          <w:highlight w:val="none"/>
          <w:u w:val="single"/>
          <w:lang w:eastAsia="zh-CN"/>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联系电话：</w:t>
      </w:r>
    </w:p>
    <w:p w14:paraId="44EEC9D5">
      <w:pPr>
        <w:pStyle w:val="17"/>
        <w:spacing w:line="360" w:lineRule="auto"/>
        <w:ind w:firstLine="480" w:firstLineChars="200"/>
        <w:rPr>
          <w:rFonts w:hint="eastAsia" w:hAnsi="宋体" w:eastAsia="宋体"/>
          <w:bCs/>
          <w:color w:val="000000" w:themeColor="text1"/>
          <w:sz w:val="24"/>
          <w:szCs w:val="24"/>
          <w:highlight w:val="none"/>
          <w:lang w:eastAsia="zh-CN"/>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地址：邮编：</w:t>
      </w:r>
    </w:p>
    <w:p w14:paraId="25D1B6DC">
      <w:pPr>
        <w:pStyle w:val="17"/>
        <w:spacing w:line="360" w:lineRule="auto"/>
        <w:ind w:firstLine="482" w:firstLineChars="200"/>
        <w:rPr>
          <w:rFonts w:hint="eastAsia"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二、质疑项目基本情况：</w:t>
      </w:r>
    </w:p>
    <w:p w14:paraId="64B861C1">
      <w:pPr>
        <w:pStyle w:val="17"/>
        <w:spacing w:line="360" w:lineRule="auto"/>
        <w:ind w:left="25" w:leftChars="12" w:firstLine="472" w:firstLineChars="197"/>
        <w:contextualSpacing/>
        <w:rPr>
          <w:rFonts w:hint="eastAsia" w:hAnsi="宋体" w:eastAsia="宋体"/>
          <w:color w:val="000000" w:themeColor="text1"/>
          <w:sz w:val="24"/>
          <w:szCs w:val="24"/>
          <w:highlight w:val="none"/>
          <w:lang w:eastAsia="zh-CN"/>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w:t>
      </w:r>
      <w:r>
        <w:rPr>
          <w:rFonts w:hint="eastAsia" w:hAnsi="宋体"/>
          <w:color w:val="000000" w:themeColor="text1"/>
          <w:sz w:val="24"/>
          <w:szCs w:val="24"/>
          <w:highlight w:val="none"/>
          <w14:textFill>
            <w14:solidFill>
              <w14:schemeClr w14:val="tx1"/>
            </w14:solidFill>
          </w14:textFill>
        </w:rPr>
        <w:t>项目的名称：</w:t>
      </w:r>
      <w:r>
        <w:rPr>
          <w:rFonts w:hint="eastAsia" w:hAnsi="宋体" w:cs="仿宋_GB2312"/>
          <w:color w:val="000000" w:themeColor="text1"/>
          <w:sz w:val="24"/>
          <w:highlight w:val="none"/>
          <w:u w:val="single"/>
          <w:lang w:eastAsia="zh-CN"/>
          <w14:textFill>
            <w14:solidFill>
              <w14:schemeClr w14:val="tx1"/>
            </w14:solidFill>
          </w14:textFill>
        </w:rPr>
        <w:t>档案室库房设备采购项目</w:t>
      </w:r>
    </w:p>
    <w:p w14:paraId="35AAB5CB">
      <w:pPr>
        <w:pStyle w:val="17"/>
        <w:spacing w:line="360" w:lineRule="auto"/>
        <w:ind w:left="25" w:leftChars="12" w:firstLine="472" w:firstLineChars="197"/>
        <w:contextualSpacing/>
        <w:rPr>
          <w:rFonts w:hint="default" w:hAnsi="宋体" w:eastAsia="宋体"/>
          <w:color w:val="000000" w:themeColor="text1"/>
          <w:sz w:val="24"/>
          <w:szCs w:val="24"/>
          <w:highlight w:val="none"/>
          <w:u w:val="single"/>
          <w:lang w:val="en-US" w:eastAsia="zh-CN"/>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w:t>
      </w:r>
      <w:r>
        <w:rPr>
          <w:rFonts w:hint="eastAsia" w:hAnsi="宋体"/>
          <w:color w:val="000000" w:themeColor="text1"/>
          <w:sz w:val="24"/>
          <w:szCs w:val="24"/>
          <w:highlight w:val="none"/>
          <w14:textFill>
            <w14:solidFill>
              <w14:schemeClr w14:val="tx1"/>
            </w14:solidFill>
          </w14:textFill>
        </w:rPr>
        <w:t>项目的编号：</w:t>
      </w:r>
      <w:r>
        <w:rPr>
          <w:rFonts w:hint="eastAsia" w:hAnsi="宋体"/>
          <w:color w:val="000000" w:themeColor="text1"/>
          <w:sz w:val="24"/>
          <w:szCs w:val="24"/>
          <w:highlight w:val="none"/>
          <w:u w:val="single"/>
          <w:lang w:val="en-US" w:eastAsia="zh-CN"/>
          <w14:textFill>
            <w14:solidFill>
              <w14:schemeClr w14:val="tx1"/>
            </w14:solidFill>
          </w14:textFill>
        </w:rPr>
        <w:t xml:space="preserve">                     </w:t>
      </w:r>
    </w:p>
    <w:p w14:paraId="2CEEE1F5">
      <w:pPr>
        <w:pStyle w:val="17"/>
        <w:spacing w:line="360" w:lineRule="auto"/>
        <w:ind w:left="25" w:leftChars="12" w:firstLine="472" w:firstLineChars="197"/>
        <w:contextualSpacing/>
        <w:rPr>
          <w:rFonts w:hint="eastAsia" w:hAnsi="宋体" w:eastAsia="宋体"/>
          <w:color w:val="000000" w:themeColor="text1"/>
          <w:sz w:val="24"/>
          <w:szCs w:val="24"/>
          <w:highlight w:val="none"/>
          <w:lang w:eastAsia="zh-CN"/>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采购人名称：</w:t>
      </w:r>
      <w:r>
        <w:rPr>
          <w:rFonts w:hint="eastAsia" w:hAnsi="宋体"/>
          <w:bCs/>
          <w:color w:val="000000" w:themeColor="text1"/>
          <w:sz w:val="24"/>
          <w:szCs w:val="24"/>
          <w:highlight w:val="none"/>
          <w:u w:val="single"/>
          <w:lang w:eastAsia="zh-CN"/>
          <w14:textFill>
            <w14:solidFill>
              <w14:schemeClr w14:val="tx1"/>
            </w14:solidFill>
          </w14:textFill>
        </w:rPr>
        <w:t>南宁市青秀区人民检察院</w:t>
      </w:r>
    </w:p>
    <w:p w14:paraId="3E895E98">
      <w:pPr>
        <w:pStyle w:val="17"/>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w:t>
      </w:r>
    </w:p>
    <w:p w14:paraId="1F5DC40B">
      <w:pPr>
        <w:pStyle w:val="17"/>
        <w:spacing w:line="360" w:lineRule="auto"/>
        <w:ind w:left="25" w:leftChars="12" w:firstLine="352" w:firstLineChars="147"/>
        <w:contextualSpacing/>
        <w:rPr>
          <w:rFonts w:hint="eastAsia" w:hAnsi="宋体" w:eastAsia="宋体"/>
          <w:color w:val="000000" w:themeColor="text1"/>
          <w:sz w:val="24"/>
          <w:szCs w:val="24"/>
          <w:highlight w:val="none"/>
          <w:lang w:eastAsia="zh-CN"/>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□采购文件采购文件获取日期：</w:t>
      </w:r>
    </w:p>
    <w:p w14:paraId="667DB28E">
      <w:pPr>
        <w:pStyle w:val="17"/>
        <w:spacing w:line="360" w:lineRule="auto"/>
        <w:ind w:left="25" w:leftChars="12" w:firstLine="352" w:firstLineChars="147"/>
        <w:contextualSpacing/>
        <w:rPr>
          <w:rFonts w:hint="eastAsia" w:hAnsi="宋体" w:eastAsia="宋体"/>
          <w:color w:val="000000" w:themeColor="text1"/>
          <w:sz w:val="24"/>
          <w:szCs w:val="24"/>
          <w:highlight w:val="none"/>
          <w:lang w:eastAsia="zh-CN"/>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□采购过程</w:t>
      </w:r>
    </w:p>
    <w:p w14:paraId="11974EB8">
      <w:pPr>
        <w:pStyle w:val="17"/>
        <w:spacing w:line="360" w:lineRule="auto"/>
        <w:ind w:left="25" w:leftChars="12" w:firstLine="352" w:firstLineChars="147"/>
        <w:contextualSpacing/>
        <w:rPr>
          <w:rFonts w:hint="eastAsia" w:hAnsi="宋体" w:eastAsia="宋体"/>
          <w:bCs/>
          <w:color w:val="000000" w:themeColor="text1"/>
          <w:sz w:val="24"/>
          <w:szCs w:val="24"/>
          <w:highlight w:val="none"/>
          <w:u w:val="single"/>
          <w:lang w:eastAsia="zh-CN"/>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□成交结果</w:t>
      </w:r>
    </w:p>
    <w:p w14:paraId="3550B069">
      <w:pPr>
        <w:pStyle w:val="17"/>
        <w:spacing w:line="360" w:lineRule="auto"/>
        <w:ind w:left="25" w:leftChars="12" w:firstLine="472" w:firstLineChars="196"/>
        <w:contextualSpacing/>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三、质疑事项具体内容</w:t>
      </w:r>
    </w:p>
    <w:p w14:paraId="15C8F24B">
      <w:pPr>
        <w:pStyle w:val="17"/>
        <w:spacing w:line="360" w:lineRule="auto"/>
        <w:ind w:left="25" w:leftChars="12" w:firstLine="472" w:firstLineChars="197"/>
        <w:contextualSpacing/>
        <w:rPr>
          <w:rFonts w:hint="eastAsia" w:hAnsi="宋体" w:eastAsia="宋体"/>
          <w:color w:val="000000" w:themeColor="text1"/>
          <w:sz w:val="24"/>
          <w:szCs w:val="24"/>
          <w:highlight w:val="none"/>
          <w:lang w:eastAsia="zh-CN"/>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质疑事项1：</w:t>
      </w:r>
    </w:p>
    <w:p w14:paraId="7D4937F9">
      <w:pPr>
        <w:pStyle w:val="17"/>
        <w:spacing w:line="360" w:lineRule="auto"/>
        <w:ind w:left="25" w:leftChars="12" w:firstLine="472" w:firstLineChars="197"/>
        <w:contextualSpacing/>
        <w:rPr>
          <w:rFonts w:hint="eastAsia" w:hAnsi="宋体" w:eastAsia="宋体"/>
          <w:color w:val="000000" w:themeColor="text1"/>
          <w:sz w:val="24"/>
          <w:szCs w:val="24"/>
          <w:highlight w:val="none"/>
          <w:lang w:eastAsia="zh-CN"/>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事实依据：</w:t>
      </w:r>
    </w:p>
    <w:p w14:paraId="14506871">
      <w:pPr>
        <w:pStyle w:val="17"/>
        <w:spacing w:line="360" w:lineRule="auto"/>
        <w:ind w:left="25" w:leftChars="12" w:firstLine="472" w:firstLineChars="197"/>
        <w:contextualSpacing/>
        <w:rPr>
          <w:rFonts w:hint="eastAsia" w:hAnsi="宋体" w:eastAsia="宋体"/>
          <w:color w:val="000000" w:themeColor="text1"/>
          <w:sz w:val="24"/>
          <w:szCs w:val="24"/>
          <w:highlight w:val="none"/>
          <w:lang w:eastAsia="zh-CN"/>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法律依据：</w:t>
      </w:r>
    </w:p>
    <w:p w14:paraId="090CC0FD">
      <w:pPr>
        <w:pStyle w:val="17"/>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质疑事项2</w:t>
      </w:r>
    </w:p>
    <w:p w14:paraId="36235E59">
      <w:pPr>
        <w:pStyle w:val="17"/>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w:t>
      </w:r>
    </w:p>
    <w:p w14:paraId="17B64B05">
      <w:pPr>
        <w:pStyle w:val="17"/>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四、与质疑事项相关的质疑请求：</w:t>
      </w:r>
    </w:p>
    <w:p w14:paraId="14E7DB71">
      <w:pPr>
        <w:pStyle w:val="17"/>
        <w:spacing w:line="360" w:lineRule="auto"/>
        <w:ind w:left="25" w:leftChars="12" w:firstLine="472" w:firstLineChars="197"/>
        <w:contextualSpacing/>
        <w:rPr>
          <w:rFonts w:hint="eastAsia" w:hAnsi="宋体" w:eastAsia="宋体"/>
          <w:color w:val="000000" w:themeColor="text1"/>
          <w:sz w:val="24"/>
          <w:szCs w:val="24"/>
          <w:highlight w:val="none"/>
          <w:lang w:eastAsia="zh-CN"/>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请求：</w:t>
      </w:r>
    </w:p>
    <w:p w14:paraId="7C12F179">
      <w:pPr>
        <w:pStyle w:val="17"/>
        <w:spacing w:line="360" w:lineRule="auto"/>
        <w:ind w:left="25" w:leftChars="12" w:firstLine="352" w:firstLineChars="147"/>
        <w:contextualSpacing/>
        <w:rPr>
          <w:rFonts w:hint="eastAsia" w:hAnsi="宋体"/>
          <w:color w:val="000000" w:themeColor="text1"/>
          <w:sz w:val="24"/>
          <w:szCs w:val="24"/>
          <w:highlight w:val="none"/>
          <w14:textFill>
            <w14:solidFill>
              <w14:schemeClr w14:val="tx1"/>
            </w14:solidFill>
          </w14:textFill>
        </w:rPr>
      </w:pPr>
    </w:p>
    <w:p w14:paraId="6A84CF3C">
      <w:pPr>
        <w:pStyle w:val="17"/>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签字（签章）：公章：</w:t>
      </w:r>
    </w:p>
    <w:p w14:paraId="19262A51">
      <w:pPr>
        <w:pStyle w:val="17"/>
        <w:spacing w:line="360" w:lineRule="auto"/>
        <w:ind w:left="25" w:leftChars="12" w:firstLine="352" w:firstLineChars="147"/>
        <w:contextualSpacing/>
        <w:rPr>
          <w:rFonts w:hint="eastAsia" w:hAnsi="宋体"/>
          <w:color w:val="000000" w:themeColor="text1"/>
          <w:sz w:val="24"/>
          <w:szCs w:val="24"/>
          <w:highlight w:val="none"/>
          <w14:textFill>
            <w14:solidFill>
              <w14:schemeClr w14:val="tx1"/>
            </w14:solidFill>
          </w14:textFill>
        </w:rPr>
      </w:pPr>
    </w:p>
    <w:p w14:paraId="4F5B1B21">
      <w:pPr>
        <w:pStyle w:val="17"/>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日期：</w:t>
      </w:r>
    </w:p>
    <w:p w14:paraId="40B141CE">
      <w:pPr>
        <w:pStyle w:val="17"/>
        <w:spacing w:line="360" w:lineRule="auto"/>
        <w:ind w:firstLine="482"/>
        <w:rPr>
          <w:rFonts w:hint="eastAsia" w:hAnsi="宋体"/>
          <w:b/>
          <w:color w:val="000000" w:themeColor="text1"/>
          <w:sz w:val="24"/>
          <w:szCs w:val="24"/>
          <w:highlight w:val="none"/>
          <w14:textFill>
            <w14:solidFill>
              <w14:schemeClr w14:val="tx1"/>
            </w14:solidFill>
          </w14:textFill>
        </w:rPr>
      </w:pPr>
    </w:p>
    <w:p w14:paraId="3D4CBC28">
      <w:pPr>
        <w:pStyle w:val="17"/>
        <w:spacing w:line="360" w:lineRule="auto"/>
        <w:ind w:firstLine="482"/>
        <w:rPr>
          <w:rFonts w:hint="eastAsia" w:hAnsi="宋体"/>
          <w:b/>
          <w:color w:val="000000" w:themeColor="text1"/>
          <w:sz w:val="24"/>
          <w:szCs w:val="24"/>
          <w:highlight w:val="none"/>
          <w14:textFill>
            <w14:solidFill>
              <w14:schemeClr w14:val="tx1"/>
            </w14:solidFill>
          </w14:textFill>
        </w:rPr>
      </w:pPr>
    </w:p>
    <w:p w14:paraId="68A5DA4E">
      <w:pPr>
        <w:pStyle w:val="17"/>
        <w:spacing w:line="360" w:lineRule="auto"/>
        <w:ind w:firstLine="482"/>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说明：</w:t>
      </w:r>
    </w:p>
    <w:p w14:paraId="181B72B2">
      <w:pPr>
        <w:pStyle w:val="17"/>
        <w:spacing w:line="360" w:lineRule="auto"/>
        <w:ind w:left="25" w:leftChars="12" w:firstLine="354" w:firstLineChars="147"/>
        <w:contextualSpacing/>
        <w:rPr>
          <w:rFonts w:hint="eastAsia" w:hAnsi="宋体"/>
          <w:b/>
          <w:bCs/>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1.供应商提出质疑时，应提交质疑函和必要的证明材料</w:t>
      </w:r>
      <w:r>
        <w:rPr>
          <w:rFonts w:hint="eastAsia" w:hAnsi="宋体"/>
          <w:b/>
          <w:bCs/>
          <w:color w:val="000000" w:themeColor="text1"/>
          <w:sz w:val="24"/>
          <w:szCs w:val="24"/>
          <w:highlight w:val="none"/>
          <w14:textFill>
            <w14:solidFill>
              <w14:schemeClr w14:val="tx1"/>
            </w14:solidFill>
          </w14:textFill>
        </w:rPr>
        <w:t>。</w:t>
      </w:r>
    </w:p>
    <w:p w14:paraId="2722C3D5">
      <w:pPr>
        <w:pStyle w:val="17"/>
        <w:spacing w:line="360" w:lineRule="auto"/>
        <w:ind w:left="25" w:leftChars="12" w:firstLine="354" w:firstLineChars="147"/>
        <w:contextualSpacing/>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FDB6C03">
      <w:pPr>
        <w:pStyle w:val="17"/>
        <w:spacing w:line="360" w:lineRule="auto"/>
        <w:ind w:left="25" w:leftChars="12" w:firstLine="354" w:firstLineChars="147"/>
        <w:contextualSpacing/>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3.质疑函的质疑事项应具体、明确，并有必要的事实依据和法律依据。</w:t>
      </w:r>
    </w:p>
    <w:p w14:paraId="306A883B">
      <w:pPr>
        <w:pStyle w:val="17"/>
        <w:spacing w:line="360" w:lineRule="auto"/>
        <w:ind w:left="25" w:leftChars="12" w:firstLine="354" w:firstLineChars="147"/>
        <w:contextualSpacing/>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4.质疑函的质疑请求应与质疑事项相关。</w:t>
      </w:r>
    </w:p>
    <w:p w14:paraId="6CFF15F3">
      <w:pPr>
        <w:pStyle w:val="17"/>
        <w:spacing w:line="360" w:lineRule="auto"/>
        <w:ind w:left="25" w:leftChars="12" w:firstLine="354" w:firstLineChars="147"/>
        <w:contextualSpacing/>
        <w:rPr>
          <w:rFonts w:hint="eastAsia" w:hAnsi="宋体"/>
          <w:b/>
          <w:color w:val="000000" w:themeColor="text1"/>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5.质疑供应商为法人或者其他组织的，质疑函应由法定代表人、主要负责人，或者其授权代表签字或者盖章，并加盖公章。</w:t>
      </w:r>
    </w:p>
    <w:p w14:paraId="39708750">
      <w:pPr>
        <w:pStyle w:val="17"/>
        <w:snapToGrid w:val="0"/>
        <w:ind w:firstLine="482"/>
        <w:rPr>
          <w:rFonts w:hint="eastAsia"/>
          <w:b/>
          <w:color w:val="000000" w:themeColor="text1"/>
          <w:sz w:val="24"/>
          <w:szCs w:val="24"/>
          <w:highlight w:val="none"/>
          <w14:textFill>
            <w14:solidFill>
              <w14:schemeClr w14:val="tx1"/>
            </w14:solidFill>
          </w14:textFill>
        </w:rPr>
      </w:pPr>
    </w:p>
    <w:p w14:paraId="50269165">
      <w:pPr>
        <w:spacing w:line="460" w:lineRule="exact"/>
        <w:jc w:val="center"/>
        <w:rPr>
          <w:rFonts w:hint="eastAsia" w:eastAsia="隶书"/>
          <w:color w:val="000000" w:themeColor="text1"/>
          <w:sz w:val="44"/>
          <w:highlight w:val="none"/>
          <w14:textFill>
            <w14:solidFill>
              <w14:schemeClr w14:val="tx1"/>
            </w14:solidFill>
          </w14:textFill>
        </w:rPr>
      </w:pPr>
      <w:r>
        <w:rPr>
          <w:rFonts w:eastAsia="隶书"/>
          <w:color w:val="000000" w:themeColor="text1"/>
          <w:sz w:val="44"/>
          <w:highlight w:val="none"/>
          <w14:textFill>
            <w14:solidFill>
              <w14:schemeClr w14:val="tx1"/>
            </w14:solidFill>
          </w14:textFill>
        </w:rPr>
        <w:br w:type="page"/>
      </w:r>
    </w:p>
    <w:p w14:paraId="16F64ED5">
      <w:pPr>
        <w:spacing w:line="360" w:lineRule="auto"/>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投诉书（格式）</w:t>
      </w:r>
    </w:p>
    <w:p w14:paraId="2E896A2D">
      <w:pPr>
        <w:pStyle w:val="17"/>
        <w:snapToGrid w:val="0"/>
        <w:spacing w:line="360" w:lineRule="auto"/>
        <w:ind w:firstLine="482" w:firstLineChars="200"/>
        <w:rPr>
          <w:rFonts w:hint="eastAsia"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一、投诉相关主体基本情况：</w:t>
      </w:r>
    </w:p>
    <w:p w14:paraId="50DC8A5E">
      <w:pPr>
        <w:pStyle w:val="17"/>
        <w:snapToGrid w:val="0"/>
        <w:spacing w:line="360" w:lineRule="auto"/>
        <w:ind w:firstLine="480" w:firstLineChars="200"/>
        <w:rPr>
          <w:rFonts w:hint="eastAsia" w:hAnsi="宋体" w:eastAsia="宋体"/>
          <w:bCs/>
          <w:color w:val="000000" w:themeColor="text1"/>
          <w:sz w:val="24"/>
          <w:szCs w:val="24"/>
          <w:highlight w:val="none"/>
          <w:u w:val="single"/>
          <w:lang w:eastAsia="zh-CN"/>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供应商：</w:t>
      </w:r>
    </w:p>
    <w:p w14:paraId="2D74D56E">
      <w:pPr>
        <w:pStyle w:val="17"/>
        <w:snapToGrid w:val="0"/>
        <w:spacing w:line="360" w:lineRule="auto"/>
        <w:ind w:firstLine="480" w:firstLineChars="200"/>
        <w:rPr>
          <w:rFonts w:hint="eastAsia" w:hAnsi="宋体" w:eastAsia="宋体"/>
          <w:bCs/>
          <w:color w:val="000000" w:themeColor="text1"/>
          <w:sz w:val="24"/>
          <w:szCs w:val="24"/>
          <w:highlight w:val="none"/>
          <w:lang w:eastAsia="zh-CN"/>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地址：邮编：</w:t>
      </w:r>
    </w:p>
    <w:p w14:paraId="7A9B8F0B">
      <w:pPr>
        <w:pStyle w:val="17"/>
        <w:snapToGrid w:val="0"/>
        <w:spacing w:line="360" w:lineRule="auto"/>
        <w:ind w:firstLine="480" w:firstLineChars="200"/>
        <w:rPr>
          <w:rFonts w:hint="eastAsia" w:hAnsi="宋体" w:eastAsia="宋体"/>
          <w:bCs/>
          <w:color w:val="000000" w:themeColor="text1"/>
          <w:sz w:val="24"/>
          <w:szCs w:val="24"/>
          <w:highlight w:val="none"/>
          <w:u w:val="single"/>
          <w:lang w:eastAsia="zh-CN"/>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法定代表人/主要负责人：</w:t>
      </w:r>
    </w:p>
    <w:p w14:paraId="3A9C6686">
      <w:pPr>
        <w:pStyle w:val="17"/>
        <w:snapToGrid w:val="0"/>
        <w:spacing w:line="360" w:lineRule="auto"/>
        <w:ind w:firstLine="480" w:firstLineChars="200"/>
        <w:rPr>
          <w:rFonts w:hint="eastAsia" w:hAnsi="宋体" w:eastAsia="宋体"/>
          <w:bCs/>
          <w:color w:val="000000" w:themeColor="text1"/>
          <w:sz w:val="24"/>
          <w:szCs w:val="24"/>
          <w:highlight w:val="none"/>
          <w:lang w:eastAsia="zh-CN"/>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联系电话：</w:t>
      </w:r>
    </w:p>
    <w:p w14:paraId="550534D0">
      <w:pPr>
        <w:pStyle w:val="17"/>
        <w:snapToGrid w:val="0"/>
        <w:spacing w:line="360" w:lineRule="auto"/>
        <w:ind w:firstLine="480" w:firstLineChars="200"/>
        <w:rPr>
          <w:rFonts w:hint="eastAsia" w:hAnsi="宋体" w:eastAsia="宋体"/>
          <w:bCs/>
          <w:color w:val="000000" w:themeColor="text1"/>
          <w:sz w:val="24"/>
          <w:szCs w:val="24"/>
          <w:highlight w:val="none"/>
          <w:u w:val="single"/>
          <w:lang w:eastAsia="zh-CN"/>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授权代表：联系电话：</w:t>
      </w:r>
    </w:p>
    <w:p w14:paraId="35FE8B49">
      <w:pPr>
        <w:pStyle w:val="17"/>
        <w:snapToGrid w:val="0"/>
        <w:spacing w:line="360" w:lineRule="auto"/>
        <w:ind w:firstLine="480" w:firstLineChars="200"/>
        <w:rPr>
          <w:rFonts w:hint="eastAsia" w:hAnsi="宋体" w:eastAsia="宋体"/>
          <w:bCs/>
          <w:color w:val="000000" w:themeColor="text1"/>
          <w:sz w:val="24"/>
          <w:szCs w:val="24"/>
          <w:highlight w:val="none"/>
          <w:u w:val="single"/>
          <w:lang w:eastAsia="zh-CN"/>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地址：</w:t>
      </w:r>
    </w:p>
    <w:p w14:paraId="340451A0">
      <w:pPr>
        <w:pStyle w:val="17"/>
        <w:snapToGrid w:val="0"/>
        <w:spacing w:line="360" w:lineRule="auto"/>
        <w:ind w:firstLine="480" w:firstLineChars="200"/>
        <w:rPr>
          <w:rFonts w:hint="eastAsia" w:hAnsi="宋体" w:eastAsia="宋体"/>
          <w:bCs/>
          <w:color w:val="000000" w:themeColor="text1"/>
          <w:sz w:val="24"/>
          <w:szCs w:val="24"/>
          <w:highlight w:val="none"/>
          <w:lang w:eastAsia="zh-CN"/>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邮编：</w:t>
      </w:r>
    </w:p>
    <w:p w14:paraId="5B6871F7">
      <w:pPr>
        <w:pStyle w:val="17"/>
        <w:snapToGrid w:val="0"/>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被投诉人1：</w:t>
      </w:r>
    </w:p>
    <w:p w14:paraId="39DEA002">
      <w:pPr>
        <w:pStyle w:val="17"/>
        <w:snapToGrid w:val="0"/>
        <w:spacing w:line="360" w:lineRule="auto"/>
        <w:ind w:firstLine="480" w:firstLineChars="200"/>
        <w:rPr>
          <w:rFonts w:hint="eastAsia" w:hAnsi="宋体" w:eastAsia="宋体"/>
          <w:bCs/>
          <w:color w:val="000000" w:themeColor="text1"/>
          <w:sz w:val="24"/>
          <w:szCs w:val="24"/>
          <w:highlight w:val="none"/>
          <w:u w:val="single"/>
          <w:lang w:eastAsia="zh-CN"/>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地址：</w:t>
      </w:r>
    </w:p>
    <w:p w14:paraId="3BAB1822">
      <w:pPr>
        <w:pStyle w:val="17"/>
        <w:snapToGrid w:val="0"/>
        <w:spacing w:line="360" w:lineRule="auto"/>
        <w:ind w:firstLine="480" w:firstLineChars="200"/>
        <w:rPr>
          <w:rFonts w:hint="eastAsia" w:hAnsi="宋体" w:eastAsia="宋体"/>
          <w:bCs/>
          <w:color w:val="000000" w:themeColor="text1"/>
          <w:sz w:val="24"/>
          <w:szCs w:val="24"/>
          <w:highlight w:val="none"/>
          <w:lang w:eastAsia="zh-CN"/>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邮编：</w:t>
      </w:r>
    </w:p>
    <w:p w14:paraId="6E341346">
      <w:pPr>
        <w:pStyle w:val="17"/>
        <w:snapToGrid w:val="0"/>
        <w:spacing w:line="360" w:lineRule="auto"/>
        <w:ind w:firstLine="480" w:firstLineChars="200"/>
        <w:rPr>
          <w:rFonts w:hint="eastAsia" w:hAnsi="宋体" w:eastAsia="宋体"/>
          <w:bCs/>
          <w:color w:val="000000" w:themeColor="text1"/>
          <w:sz w:val="24"/>
          <w:szCs w:val="24"/>
          <w:highlight w:val="none"/>
          <w:u w:val="single"/>
          <w:lang w:eastAsia="zh-CN"/>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联系人：联系电话：</w:t>
      </w:r>
    </w:p>
    <w:p w14:paraId="6E576713">
      <w:pPr>
        <w:pStyle w:val="17"/>
        <w:snapToGrid w:val="0"/>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被投诉人2：</w:t>
      </w:r>
    </w:p>
    <w:p w14:paraId="6B677119">
      <w:pPr>
        <w:pStyle w:val="17"/>
        <w:snapToGrid w:val="0"/>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w:t>
      </w:r>
    </w:p>
    <w:p w14:paraId="43172A4D">
      <w:pPr>
        <w:pStyle w:val="17"/>
        <w:snapToGrid w:val="0"/>
        <w:spacing w:line="360" w:lineRule="auto"/>
        <w:ind w:firstLine="480" w:firstLineChars="200"/>
        <w:rPr>
          <w:rFonts w:hint="eastAsia" w:hAnsi="宋体" w:eastAsia="宋体"/>
          <w:bCs/>
          <w:color w:val="000000" w:themeColor="text1"/>
          <w:sz w:val="24"/>
          <w:szCs w:val="24"/>
          <w:highlight w:val="none"/>
          <w:u w:val="single"/>
          <w:lang w:eastAsia="zh-CN"/>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相关供应商：</w:t>
      </w:r>
    </w:p>
    <w:p w14:paraId="13121875">
      <w:pPr>
        <w:pStyle w:val="17"/>
        <w:snapToGrid w:val="0"/>
        <w:spacing w:line="360" w:lineRule="auto"/>
        <w:ind w:firstLine="480" w:firstLineChars="200"/>
        <w:rPr>
          <w:rFonts w:hint="eastAsia" w:hAnsi="宋体" w:eastAsia="宋体"/>
          <w:bCs/>
          <w:color w:val="000000" w:themeColor="text1"/>
          <w:sz w:val="24"/>
          <w:szCs w:val="24"/>
          <w:highlight w:val="none"/>
          <w:u w:val="single"/>
          <w:lang w:eastAsia="zh-CN"/>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地址：邮编：</w:t>
      </w:r>
    </w:p>
    <w:p w14:paraId="08EF7A24">
      <w:pPr>
        <w:pStyle w:val="17"/>
        <w:snapToGrid w:val="0"/>
        <w:spacing w:line="360" w:lineRule="auto"/>
        <w:ind w:firstLine="480" w:firstLineChars="200"/>
        <w:rPr>
          <w:rFonts w:hint="eastAsia" w:hAnsi="宋体" w:eastAsia="宋体"/>
          <w:bCs/>
          <w:color w:val="000000" w:themeColor="text1"/>
          <w:sz w:val="24"/>
          <w:szCs w:val="24"/>
          <w:highlight w:val="none"/>
          <w:lang w:eastAsia="zh-CN"/>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联系人：联系电话：</w:t>
      </w:r>
    </w:p>
    <w:p w14:paraId="2535A5E6">
      <w:pPr>
        <w:pStyle w:val="17"/>
        <w:snapToGrid w:val="0"/>
        <w:spacing w:line="360" w:lineRule="auto"/>
        <w:ind w:firstLine="482" w:firstLineChars="200"/>
        <w:rPr>
          <w:rFonts w:hint="eastAsia"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二、投诉项目基本情况：</w:t>
      </w:r>
    </w:p>
    <w:p w14:paraId="49F93E52">
      <w:pPr>
        <w:pStyle w:val="17"/>
        <w:spacing w:line="360" w:lineRule="auto"/>
        <w:ind w:left="25" w:leftChars="12" w:firstLine="472" w:firstLineChars="197"/>
        <w:rPr>
          <w:rFonts w:hint="eastAsia" w:hAnsi="宋体" w:eastAsia="宋体"/>
          <w:color w:val="000000" w:themeColor="text1"/>
          <w:sz w:val="24"/>
          <w:szCs w:val="24"/>
          <w:highlight w:val="none"/>
          <w:lang w:eastAsia="zh-CN"/>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w:t>
      </w:r>
      <w:r>
        <w:rPr>
          <w:rFonts w:hint="eastAsia" w:hAnsi="宋体"/>
          <w:color w:val="000000" w:themeColor="text1"/>
          <w:sz w:val="24"/>
          <w:szCs w:val="24"/>
          <w:highlight w:val="none"/>
          <w14:textFill>
            <w14:solidFill>
              <w14:schemeClr w14:val="tx1"/>
            </w14:solidFill>
          </w14:textFill>
        </w:rPr>
        <w:t>项目的名称：</w:t>
      </w:r>
      <w:r>
        <w:rPr>
          <w:rFonts w:hint="eastAsia" w:hAnsi="宋体" w:cs="仿宋_GB2312"/>
          <w:color w:val="000000" w:themeColor="text1"/>
          <w:sz w:val="24"/>
          <w:highlight w:val="none"/>
          <w:u w:val="single"/>
          <w:lang w:eastAsia="zh-CN"/>
          <w14:textFill>
            <w14:solidFill>
              <w14:schemeClr w14:val="tx1"/>
            </w14:solidFill>
          </w14:textFill>
        </w:rPr>
        <w:t>档案室库房设备采购项目</w:t>
      </w:r>
    </w:p>
    <w:p w14:paraId="206F8EB6">
      <w:pPr>
        <w:pStyle w:val="17"/>
        <w:spacing w:line="360" w:lineRule="auto"/>
        <w:ind w:left="25" w:leftChars="12" w:firstLine="472" w:firstLineChars="197"/>
        <w:rPr>
          <w:rFonts w:hint="default" w:hAnsi="宋体" w:eastAsia="宋体"/>
          <w:color w:val="000000" w:themeColor="text1"/>
          <w:sz w:val="24"/>
          <w:szCs w:val="24"/>
          <w:highlight w:val="none"/>
          <w:u w:val="single"/>
          <w:lang w:val="en-US" w:eastAsia="zh-CN"/>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w:t>
      </w:r>
      <w:r>
        <w:rPr>
          <w:rFonts w:hint="eastAsia" w:hAnsi="宋体"/>
          <w:color w:val="000000" w:themeColor="text1"/>
          <w:sz w:val="24"/>
          <w:szCs w:val="24"/>
          <w:highlight w:val="none"/>
          <w14:textFill>
            <w14:solidFill>
              <w14:schemeClr w14:val="tx1"/>
            </w14:solidFill>
          </w14:textFill>
        </w:rPr>
        <w:t>项目的编号：</w:t>
      </w:r>
      <w:r>
        <w:rPr>
          <w:rFonts w:hint="eastAsia" w:hAnsi="宋体"/>
          <w:color w:val="000000" w:themeColor="text1"/>
          <w:sz w:val="24"/>
          <w:szCs w:val="24"/>
          <w:highlight w:val="none"/>
          <w:u w:val="single"/>
          <w:lang w:val="en-US" w:eastAsia="zh-CN"/>
          <w14:textFill>
            <w14:solidFill>
              <w14:schemeClr w14:val="tx1"/>
            </w14:solidFill>
          </w14:textFill>
        </w:rPr>
        <w:t xml:space="preserve">                      </w:t>
      </w:r>
    </w:p>
    <w:p w14:paraId="7478D276">
      <w:pPr>
        <w:pStyle w:val="17"/>
        <w:spacing w:line="360" w:lineRule="auto"/>
        <w:ind w:left="25" w:leftChars="12" w:firstLine="472" w:firstLineChars="197"/>
        <w:rPr>
          <w:rFonts w:hint="eastAsia" w:hAnsi="宋体" w:eastAsia="宋体"/>
          <w:bCs/>
          <w:color w:val="000000" w:themeColor="text1"/>
          <w:sz w:val="24"/>
          <w:szCs w:val="24"/>
          <w:highlight w:val="none"/>
          <w:u w:val="single"/>
          <w:lang w:eastAsia="zh-CN"/>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采购人名称：</w:t>
      </w:r>
      <w:r>
        <w:rPr>
          <w:rFonts w:hint="eastAsia" w:hAnsi="宋体"/>
          <w:bCs/>
          <w:color w:val="000000" w:themeColor="text1"/>
          <w:sz w:val="24"/>
          <w:szCs w:val="24"/>
          <w:highlight w:val="none"/>
          <w:u w:val="single"/>
          <w:lang w:eastAsia="zh-CN"/>
          <w14:textFill>
            <w14:solidFill>
              <w14:schemeClr w14:val="tx1"/>
            </w14:solidFill>
          </w14:textFill>
        </w:rPr>
        <w:t>南宁市青秀区人民检察院</w:t>
      </w:r>
    </w:p>
    <w:p w14:paraId="3312D240">
      <w:pPr>
        <w:pStyle w:val="17"/>
        <w:spacing w:line="360" w:lineRule="auto"/>
        <w:ind w:left="25" w:leftChars="12" w:firstLine="472" w:firstLineChars="197"/>
        <w:rPr>
          <w:rFonts w:hint="eastAsia" w:hAnsi="宋体" w:eastAsia="宋体"/>
          <w:bCs/>
          <w:color w:val="000000" w:themeColor="text1"/>
          <w:sz w:val="24"/>
          <w:szCs w:val="24"/>
          <w:highlight w:val="none"/>
          <w:u w:val="single"/>
          <w:lang w:eastAsia="zh-CN"/>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代理机构名称：</w:t>
      </w:r>
      <w:bookmarkStart w:id="247" w:name="PO_3000001871_PM031_5"/>
      <w:r>
        <w:rPr>
          <w:rFonts w:hint="eastAsia" w:hAnsi="宋体"/>
          <w:bCs/>
          <w:color w:val="000000" w:themeColor="text1"/>
          <w:sz w:val="24"/>
          <w:szCs w:val="24"/>
          <w:highlight w:val="none"/>
          <w:u w:val="single"/>
          <w:lang w:eastAsia="zh-CN"/>
          <w14:textFill>
            <w14:solidFill>
              <w14:schemeClr w14:val="tx1"/>
            </w14:solidFill>
          </w14:textFill>
        </w:rPr>
        <w:t>广西建通工程咨询有限责任公司</w:t>
      </w:r>
      <w:bookmarkEnd w:id="247"/>
    </w:p>
    <w:p w14:paraId="31EEFD58">
      <w:pPr>
        <w:pStyle w:val="17"/>
        <w:spacing w:line="360" w:lineRule="auto"/>
        <w:ind w:left="25" w:leftChars="12" w:firstLine="472" w:firstLineChars="197"/>
        <w:rPr>
          <w:rFonts w:hint="eastAsia" w:hAnsi="宋体" w:eastAsia="宋体"/>
          <w:bCs/>
          <w:color w:val="000000" w:themeColor="text1"/>
          <w:sz w:val="24"/>
          <w:szCs w:val="24"/>
          <w:highlight w:val="none"/>
          <w:u w:val="single"/>
          <w:lang w:eastAsia="zh-CN"/>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w:t>
      </w:r>
      <w:r>
        <w:rPr>
          <w:rFonts w:hint="eastAsia" w:hAnsi="宋体"/>
          <w:bCs/>
          <w:color w:val="000000" w:themeColor="text1"/>
          <w:sz w:val="24"/>
          <w:szCs w:val="24"/>
          <w:highlight w:val="none"/>
          <w14:textFill>
            <w14:solidFill>
              <w14:schemeClr w14:val="tx1"/>
            </w14:solidFill>
          </w14:textFill>
        </w:rPr>
        <w:t>文件公告：</w:t>
      </w:r>
      <w:r>
        <w:rPr>
          <w:rFonts w:hint="eastAsia" w:hAnsi="宋体"/>
          <w:bCs/>
          <w:color w:val="000000" w:themeColor="text1"/>
          <w:sz w:val="24"/>
          <w:szCs w:val="24"/>
          <w:highlight w:val="none"/>
          <w:u w:val="single"/>
          <w14:textFill>
            <w14:solidFill>
              <w14:schemeClr w14:val="tx1"/>
            </w14:solidFill>
          </w14:textFill>
        </w:rPr>
        <w:t>是/否</w:t>
      </w:r>
      <w:r>
        <w:rPr>
          <w:rFonts w:hint="eastAsia" w:hAnsi="宋体"/>
          <w:bCs/>
          <w:color w:val="000000" w:themeColor="text1"/>
          <w:sz w:val="24"/>
          <w:szCs w:val="24"/>
          <w:highlight w:val="none"/>
          <w14:textFill>
            <w14:solidFill>
              <w14:schemeClr w14:val="tx1"/>
            </w14:solidFill>
          </w14:textFill>
        </w:rPr>
        <w:t>公告期限：</w:t>
      </w:r>
    </w:p>
    <w:p w14:paraId="2D50504A">
      <w:pPr>
        <w:pStyle w:val="17"/>
        <w:spacing w:line="360" w:lineRule="auto"/>
        <w:ind w:left="25" w:leftChars="12" w:firstLine="472" w:firstLineChars="197"/>
        <w:rPr>
          <w:rFonts w:hint="eastAsia" w:hAnsi="宋体" w:eastAsia="宋体"/>
          <w:b/>
          <w:color w:val="000000" w:themeColor="text1"/>
          <w:sz w:val="24"/>
          <w:szCs w:val="24"/>
          <w:highlight w:val="none"/>
          <w:lang w:eastAsia="zh-CN"/>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采购结果公告：</w:t>
      </w:r>
      <w:r>
        <w:rPr>
          <w:rFonts w:hint="eastAsia" w:hAnsi="宋体"/>
          <w:bCs/>
          <w:color w:val="000000" w:themeColor="text1"/>
          <w:sz w:val="24"/>
          <w:szCs w:val="24"/>
          <w:highlight w:val="none"/>
          <w:u w:val="single"/>
          <w14:textFill>
            <w14:solidFill>
              <w14:schemeClr w14:val="tx1"/>
            </w14:solidFill>
          </w14:textFill>
        </w:rPr>
        <w:t>是/否</w:t>
      </w:r>
      <w:r>
        <w:rPr>
          <w:rFonts w:hint="eastAsia" w:hAnsi="宋体"/>
          <w:bCs/>
          <w:color w:val="000000" w:themeColor="text1"/>
          <w:sz w:val="24"/>
          <w:szCs w:val="24"/>
          <w:highlight w:val="none"/>
          <w14:textFill>
            <w14:solidFill>
              <w14:schemeClr w14:val="tx1"/>
            </w14:solidFill>
          </w14:textFill>
        </w:rPr>
        <w:t>公告期限：</w:t>
      </w:r>
    </w:p>
    <w:p w14:paraId="67E44F64">
      <w:pPr>
        <w:pStyle w:val="17"/>
        <w:spacing w:line="360" w:lineRule="auto"/>
        <w:ind w:left="25" w:leftChars="12" w:firstLine="472" w:firstLineChars="196"/>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三、质疑基本情况</w:t>
      </w:r>
    </w:p>
    <w:p w14:paraId="3DD1EF8D">
      <w:pPr>
        <w:pStyle w:val="17"/>
        <w:spacing w:line="360" w:lineRule="auto"/>
        <w:ind w:firstLine="480" w:firstLineChars="200"/>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投诉人于年月日，向提出质疑，质疑事项为：</w:t>
      </w:r>
    </w:p>
    <w:p w14:paraId="79467CB8">
      <w:pPr>
        <w:pStyle w:val="17"/>
        <w:spacing w:line="360" w:lineRule="auto"/>
        <w:ind w:firstLine="480"/>
        <w:rPr>
          <w:rFonts w:hint="eastAsia" w:hAnsi="宋体" w:eastAsia="宋体"/>
          <w:bCs/>
          <w:color w:val="000000" w:themeColor="text1"/>
          <w:sz w:val="24"/>
          <w:szCs w:val="24"/>
          <w:highlight w:val="none"/>
          <w:u w:val="single"/>
          <w:lang w:eastAsia="zh-CN"/>
          <w14:textFill>
            <w14:solidFill>
              <w14:schemeClr w14:val="tx1"/>
            </w14:solidFill>
          </w14:textFill>
        </w:rPr>
      </w:pPr>
    </w:p>
    <w:p w14:paraId="1FEE62AE">
      <w:pPr>
        <w:pStyle w:val="17"/>
        <w:spacing w:line="360" w:lineRule="auto"/>
        <w:ind w:firstLine="480"/>
        <w:rPr>
          <w:rFonts w:hint="eastAsia" w:hAnsi="宋体" w:eastAsia="宋体"/>
          <w:bCs/>
          <w:color w:val="000000" w:themeColor="text1"/>
          <w:sz w:val="24"/>
          <w:szCs w:val="24"/>
          <w:highlight w:val="none"/>
          <w:u w:val="single"/>
          <w:lang w:eastAsia="zh-CN"/>
          <w14:textFill>
            <w14:solidFill>
              <w14:schemeClr w14:val="tx1"/>
            </w14:solidFill>
          </w14:textFill>
        </w:rPr>
      </w:pPr>
    </w:p>
    <w:p w14:paraId="0A55D346">
      <w:pPr>
        <w:pStyle w:val="17"/>
        <w:spacing w:line="360" w:lineRule="auto"/>
        <w:ind w:firstLine="480" w:firstLineChars="200"/>
        <w:rPr>
          <w:rFonts w:hint="eastAsia" w:hAnsi="宋体" w:eastAsia="宋体"/>
          <w:color w:val="000000" w:themeColor="text1"/>
          <w:sz w:val="24"/>
          <w:szCs w:val="24"/>
          <w:highlight w:val="none"/>
          <w:lang w:eastAsia="zh-CN"/>
          <w14:textFill>
            <w14:solidFill>
              <w14:schemeClr w14:val="tx1"/>
            </w14:solidFill>
          </w14:textFill>
        </w:rPr>
      </w:pPr>
      <w:r>
        <w:rPr>
          <w:rFonts w:hint="eastAsia" w:hAnsi="宋体"/>
          <w:bCs/>
          <w:color w:val="000000" w:themeColor="text1"/>
          <w:sz w:val="24"/>
          <w:szCs w:val="24"/>
          <w:highlight w:val="none"/>
          <w:u w:val="single"/>
          <w14:textFill>
            <w14:solidFill>
              <w14:schemeClr w14:val="tx1"/>
            </w14:solidFill>
          </w14:textFill>
        </w:rPr>
        <w:t>采购人/代理机构</w:t>
      </w:r>
      <w:r>
        <w:rPr>
          <w:rFonts w:hint="eastAsia" w:hAnsi="宋体"/>
          <w:bCs/>
          <w:color w:val="000000" w:themeColor="text1"/>
          <w:sz w:val="24"/>
          <w:szCs w:val="24"/>
          <w:highlight w:val="none"/>
          <w14:textFill>
            <w14:solidFill>
              <w14:schemeClr w14:val="tx1"/>
            </w14:solidFill>
          </w14:textFill>
        </w:rPr>
        <w:t>于</w:t>
      </w:r>
      <w:r>
        <w:rPr>
          <w:rFonts w:hint="eastAsia" w:hAnsi="宋体"/>
          <w:color w:val="000000" w:themeColor="text1"/>
          <w:sz w:val="24"/>
          <w:szCs w:val="24"/>
          <w:highlight w:val="none"/>
          <w14:textFill>
            <w14:solidFill>
              <w14:schemeClr w14:val="tx1"/>
            </w14:solidFill>
          </w14:textFill>
        </w:rPr>
        <w:t>年月日，</w:t>
      </w:r>
      <w:r>
        <w:rPr>
          <w:rFonts w:hint="eastAsia" w:hAnsi="宋体"/>
          <w:bCs/>
          <w:color w:val="000000" w:themeColor="text1"/>
          <w:sz w:val="24"/>
          <w:szCs w:val="24"/>
          <w:highlight w:val="none"/>
          <w14:textFill>
            <w14:solidFill>
              <w14:schemeClr w14:val="tx1"/>
            </w14:solidFill>
          </w14:textFill>
        </w:rPr>
        <w:t>就质疑事项作出了答复/没有在法定期限内作出答复。</w:t>
      </w:r>
    </w:p>
    <w:p w14:paraId="09F73E61">
      <w:pPr>
        <w:pStyle w:val="17"/>
        <w:spacing w:line="360" w:lineRule="auto"/>
        <w:ind w:left="25" w:leftChars="12" w:firstLine="472" w:firstLineChars="196"/>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四、投诉事项具体内容</w:t>
      </w:r>
    </w:p>
    <w:p w14:paraId="5F78DE13">
      <w:pPr>
        <w:pStyle w:val="17"/>
        <w:spacing w:line="360" w:lineRule="auto"/>
        <w:ind w:left="25" w:leftChars="12" w:firstLine="472" w:firstLineChars="197"/>
        <w:rPr>
          <w:rFonts w:hint="eastAsia" w:hAnsi="宋体" w:eastAsia="宋体"/>
          <w:bCs/>
          <w:color w:val="000000" w:themeColor="text1"/>
          <w:sz w:val="24"/>
          <w:szCs w:val="24"/>
          <w:highlight w:val="none"/>
          <w:u w:val="single"/>
          <w:lang w:eastAsia="zh-CN"/>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投诉事项1：</w:t>
      </w:r>
    </w:p>
    <w:p w14:paraId="53A0B805">
      <w:pPr>
        <w:pStyle w:val="17"/>
        <w:spacing w:line="360" w:lineRule="auto"/>
        <w:ind w:firstLine="480" w:firstLineChars="200"/>
        <w:rPr>
          <w:rFonts w:hint="eastAsia" w:hAnsi="宋体" w:eastAsia="宋体"/>
          <w:bCs/>
          <w:color w:val="000000" w:themeColor="text1"/>
          <w:sz w:val="24"/>
          <w:szCs w:val="24"/>
          <w:highlight w:val="none"/>
          <w:u w:val="single"/>
          <w:lang w:eastAsia="zh-CN"/>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事实依据：</w:t>
      </w:r>
    </w:p>
    <w:p w14:paraId="5797BB61">
      <w:pPr>
        <w:pStyle w:val="17"/>
        <w:spacing w:line="360" w:lineRule="auto"/>
        <w:ind w:left="25" w:leftChars="12" w:firstLine="472" w:firstLineChars="197"/>
        <w:rPr>
          <w:rFonts w:hint="eastAsia" w:hAnsi="宋体" w:eastAsia="宋体"/>
          <w:color w:val="000000" w:themeColor="text1"/>
          <w:sz w:val="24"/>
          <w:szCs w:val="24"/>
          <w:highlight w:val="none"/>
          <w:lang w:eastAsia="zh-CN"/>
          <w14:textFill>
            <w14:solidFill>
              <w14:schemeClr w14:val="tx1"/>
            </w14:solidFill>
          </w14:textFill>
        </w:rPr>
      </w:pPr>
    </w:p>
    <w:p w14:paraId="071296C7">
      <w:pPr>
        <w:pStyle w:val="17"/>
        <w:spacing w:line="360" w:lineRule="auto"/>
        <w:ind w:firstLine="480" w:firstLineChars="200"/>
        <w:rPr>
          <w:rFonts w:hint="eastAsia" w:hAnsi="宋体" w:eastAsia="宋体"/>
          <w:bCs/>
          <w:color w:val="000000" w:themeColor="text1"/>
          <w:sz w:val="24"/>
          <w:szCs w:val="24"/>
          <w:highlight w:val="none"/>
          <w:u w:val="single"/>
          <w:lang w:eastAsia="zh-CN"/>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法律依据：</w:t>
      </w:r>
    </w:p>
    <w:p w14:paraId="0206AC04">
      <w:pPr>
        <w:pStyle w:val="17"/>
        <w:spacing w:line="360" w:lineRule="auto"/>
        <w:ind w:left="25" w:leftChars="12" w:firstLine="352" w:firstLineChars="147"/>
        <w:rPr>
          <w:rFonts w:hint="eastAsia" w:hAnsi="宋体" w:eastAsia="宋体"/>
          <w:bCs/>
          <w:color w:val="000000" w:themeColor="text1"/>
          <w:sz w:val="24"/>
          <w:szCs w:val="24"/>
          <w:highlight w:val="none"/>
          <w:u w:val="single"/>
          <w:lang w:eastAsia="zh-CN"/>
          <w14:textFill>
            <w14:solidFill>
              <w14:schemeClr w14:val="tx1"/>
            </w14:solidFill>
          </w14:textFill>
        </w:rPr>
      </w:pPr>
    </w:p>
    <w:p w14:paraId="308FE3FE">
      <w:pPr>
        <w:pStyle w:val="17"/>
        <w:spacing w:line="360" w:lineRule="auto"/>
        <w:ind w:left="25" w:leftChars="12" w:firstLine="472" w:firstLineChars="197"/>
        <w:rPr>
          <w:rFonts w:hint="eastAsia" w:hAnsi="宋体" w:eastAsia="宋体"/>
          <w:bCs/>
          <w:color w:val="000000" w:themeColor="text1"/>
          <w:sz w:val="24"/>
          <w:szCs w:val="24"/>
          <w:highlight w:val="none"/>
          <w:lang w:eastAsia="zh-CN"/>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投诉事项2</w:t>
      </w:r>
    </w:p>
    <w:p w14:paraId="45B1462D">
      <w:pPr>
        <w:pStyle w:val="17"/>
        <w:spacing w:line="360" w:lineRule="auto"/>
        <w:ind w:left="25" w:leftChars="12" w:firstLine="472" w:firstLineChars="197"/>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w:t>
      </w:r>
    </w:p>
    <w:p w14:paraId="4089918F">
      <w:pPr>
        <w:pStyle w:val="17"/>
        <w:spacing w:line="360" w:lineRule="auto"/>
        <w:ind w:left="25" w:leftChars="12" w:firstLine="472" w:firstLineChars="196"/>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五、与投诉事项相关的投诉请求：</w:t>
      </w:r>
    </w:p>
    <w:p w14:paraId="795B121E">
      <w:pPr>
        <w:pStyle w:val="17"/>
        <w:spacing w:line="360" w:lineRule="auto"/>
        <w:ind w:left="25" w:leftChars="12" w:firstLine="472" w:firstLineChars="197"/>
        <w:rPr>
          <w:rFonts w:hint="eastAsia" w:hAnsi="宋体" w:eastAsia="宋体"/>
          <w:color w:val="000000" w:themeColor="text1"/>
          <w:sz w:val="24"/>
          <w:szCs w:val="24"/>
          <w:highlight w:val="none"/>
          <w:lang w:eastAsia="zh-CN"/>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请求：</w:t>
      </w:r>
    </w:p>
    <w:p w14:paraId="015D74A6">
      <w:pPr>
        <w:pStyle w:val="17"/>
        <w:spacing w:line="360" w:lineRule="auto"/>
        <w:ind w:left="25" w:leftChars="12" w:firstLine="352" w:firstLineChars="147"/>
        <w:rPr>
          <w:rFonts w:hint="eastAsia" w:hAnsi="宋体"/>
          <w:color w:val="000000" w:themeColor="text1"/>
          <w:sz w:val="24"/>
          <w:szCs w:val="24"/>
          <w:highlight w:val="none"/>
          <w14:textFill>
            <w14:solidFill>
              <w14:schemeClr w14:val="tx1"/>
            </w14:solidFill>
          </w14:textFill>
        </w:rPr>
      </w:pPr>
    </w:p>
    <w:p w14:paraId="736402F6">
      <w:pPr>
        <w:pStyle w:val="17"/>
        <w:spacing w:line="360" w:lineRule="auto"/>
        <w:ind w:left="25" w:leftChars="12" w:firstLine="472" w:firstLineChars="197"/>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签字（签章）：公章：</w:t>
      </w:r>
    </w:p>
    <w:p w14:paraId="0CB35E4E">
      <w:pPr>
        <w:pStyle w:val="17"/>
        <w:spacing w:line="360" w:lineRule="auto"/>
        <w:ind w:left="25" w:leftChars="12" w:firstLine="352" w:firstLineChars="147"/>
        <w:rPr>
          <w:rFonts w:hint="eastAsia" w:hAnsi="宋体"/>
          <w:color w:val="000000" w:themeColor="text1"/>
          <w:sz w:val="24"/>
          <w:szCs w:val="24"/>
          <w:highlight w:val="none"/>
          <w14:textFill>
            <w14:solidFill>
              <w14:schemeClr w14:val="tx1"/>
            </w14:solidFill>
          </w14:textFill>
        </w:rPr>
      </w:pPr>
    </w:p>
    <w:p w14:paraId="05681903">
      <w:pPr>
        <w:pStyle w:val="17"/>
        <w:spacing w:line="360" w:lineRule="auto"/>
        <w:ind w:left="25" w:leftChars="12" w:firstLine="472" w:firstLineChars="197"/>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日期：</w:t>
      </w:r>
    </w:p>
    <w:p w14:paraId="1D85BE85">
      <w:pPr>
        <w:pStyle w:val="17"/>
        <w:spacing w:line="360" w:lineRule="auto"/>
        <w:ind w:left="25" w:leftChars="12" w:firstLine="472" w:firstLineChars="197"/>
        <w:rPr>
          <w:rFonts w:hint="eastAsia" w:hAnsi="宋体" w:eastAsia="宋体"/>
          <w:color w:val="000000" w:themeColor="text1"/>
          <w:sz w:val="24"/>
          <w:szCs w:val="24"/>
          <w:highlight w:val="none"/>
          <w:lang w:eastAsia="zh-CN"/>
          <w14:textFill>
            <w14:solidFill>
              <w14:schemeClr w14:val="tx1"/>
            </w14:solidFill>
          </w14:textFill>
        </w:rPr>
      </w:pPr>
    </w:p>
    <w:p w14:paraId="0710F7EA">
      <w:pPr>
        <w:pStyle w:val="17"/>
        <w:snapToGrid w:val="0"/>
        <w:spacing w:line="360" w:lineRule="auto"/>
        <w:ind w:firstLine="482"/>
        <w:rPr>
          <w:rFonts w:hint="eastAsia" w:hAnsi="宋体"/>
          <w:b/>
          <w:color w:val="000000" w:themeColor="text1"/>
          <w:sz w:val="24"/>
          <w:szCs w:val="24"/>
          <w:highlight w:val="none"/>
          <w14:textFill>
            <w14:solidFill>
              <w14:schemeClr w14:val="tx1"/>
            </w14:solidFill>
          </w14:textFill>
        </w:rPr>
      </w:pPr>
    </w:p>
    <w:p w14:paraId="5DD699FC">
      <w:pPr>
        <w:pStyle w:val="17"/>
        <w:snapToGrid w:val="0"/>
        <w:spacing w:line="360" w:lineRule="auto"/>
        <w:ind w:firstLine="482"/>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说明：</w:t>
      </w:r>
    </w:p>
    <w:p w14:paraId="687D82AE">
      <w:pPr>
        <w:pStyle w:val="17"/>
        <w:spacing w:line="360" w:lineRule="auto"/>
        <w:ind w:left="25" w:leftChars="12" w:firstLine="354" w:firstLineChars="147"/>
        <w:rPr>
          <w:rFonts w:hint="eastAsia" w:hAnsi="宋体"/>
          <w:b/>
          <w:bCs/>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1.投诉人提起投诉时，应当提交投诉书和必要的证明材料，并按照被投诉人和与投诉事项有关的供应商数量提供投诉书副本</w:t>
      </w:r>
      <w:r>
        <w:rPr>
          <w:rFonts w:hint="eastAsia" w:hAnsi="宋体"/>
          <w:b/>
          <w:bCs/>
          <w:color w:val="000000" w:themeColor="text1"/>
          <w:sz w:val="24"/>
          <w:szCs w:val="24"/>
          <w:highlight w:val="none"/>
          <w14:textFill>
            <w14:solidFill>
              <w14:schemeClr w14:val="tx1"/>
            </w14:solidFill>
          </w14:textFill>
        </w:rPr>
        <w:t>。</w:t>
      </w:r>
    </w:p>
    <w:p w14:paraId="368EC1CD">
      <w:pPr>
        <w:pStyle w:val="17"/>
        <w:spacing w:line="360" w:lineRule="auto"/>
        <w:ind w:left="25" w:leftChars="12" w:firstLine="354" w:firstLineChars="147"/>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7D465DF">
      <w:pPr>
        <w:pStyle w:val="17"/>
        <w:spacing w:line="360" w:lineRule="auto"/>
        <w:ind w:left="25" w:leftChars="12" w:firstLine="354" w:firstLineChars="147"/>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3.投诉书应简要列明质疑事项，质疑函、质疑答复等作为附件材料提供。</w:t>
      </w:r>
    </w:p>
    <w:p w14:paraId="6553D045">
      <w:pPr>
        <w:pStyle w:val="17"/>
        <w:spacing w:line="360" w:lineRule="auto"/>
        <w:ind w:left="25" w:leftChars="12" w:firstLine="354" w:firstLineChars="147"/>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4.投诉书的投诉事项应具体、明确，并有必要的事实依据和法律依据。</w:t>
      </w:r>
    </w:p>
    <w:p w14:paraId="4BFD5786">
      <w:pPr>
        <w:pStyle w:val="17"/>
        <w:spacing w:line="360" w:lineRule="auto"/>
        <w:ind w:left="25" w:leftChars="12" w:firstLine="354" w:firstLineChars="147"/>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5.投诉书的投诉请求应与投诉事项相关。</w:t>
      </w:r>
    </w:p>
    <w:p w14:paraId="38B579DC">
      <w:pPr>
        <w:pStyle w:val="17"/>
        <w:spacing w:line="360" w:lineRule="auto"/>
        <w:ind w:left="25" w:leftChars="12" w:firstLine="354" w:firstLineChars="147"/>
        <w:rPr>
          <w:rFonts w:hint="eastAsia"/>
          <w:color w:val="000000" w:themeColor="text1"/>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6.投诉人为法人或者其他组织的，投诉书应由法定代表人、主要负责人，或者其授权代表签字或者盖章，并加盖公章。</w:t>
      </w:r>
    </w:p>
    <w:p w14:paraId="6D6F0E3B">
      <w:pPr>
        <w:rPr>
          <w:rFonts w:hint="eastAsia"/>
          <w:color w:val="000000" w:themeColor="text1"/>
          <w:highlight w:val="none"/>
          <w14:textFill>
            <w14:solidFill>
              <w14:schemeClr w14:val="tx1"/>
            </w14:solidFill>
          </w14:textFill>
        </w:rPr>
      </w:pPr>
    </w:p>
    <w:sectPr>
      <w:footerReference r:id="rId7" w:type="first"/>
      <w:headerReference r:id="rId5" w:type="default"/>
      <w:footerReference r:id="rId6"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4242566-552E-4352-9DC2-5C44429CAEF3}"/>
  </w:font>
  <w:font w:name="Arial">
    <w:panose1 w:val="020B0604020202020204"/>
    <w:charset w:val="01"/>
    <w:family w:val="swiss"/>
    <w:pitch w:val="default"/>
    <w:sig w:usb0="E0002EFF" w:usb1="C000785B" w:usb2="00000009" w:usb3="00000000" w:csb0="400001FF" w:csb1="FFFF0000"/>
    <w:embedRegular r:id="rId2" w:fontKey="{D1D6A881-3205-4313-9D36-46B253D577D4}"/>
  </w:font>
  <w:font w:name="黑体">
    <w:panose1 w:val="02010609060101010101"/>
    <w:charset w:val="86"/>
    <w:family w:val="auto"/>
    <w:pitch w:val="default"/>
    <w:sig w:usb0="800002BF" w:usb1="38CF7CFA" w:usb2="00000016" w:usb3="00000000" w:csb0="00040001" w:csb1="00000000"/>
    <w:embedRegular r:id="rId3" w:fontKey="{242C8158-FD8A-4E8A-A3F8-138980AAA5DE}"/>
  </w:font>
  <w:font w:name="Courier New">
    <w:panose1 w:val="02070309020205020404"/>
    <w:charset w:val="01"/>
    <w:family w:val="modern"/>
    <w:pitch w:val="default"/>
    <w:sig w:usb0="E0002EFF" w:usb1="C0007843" w:usb2="00000009" w:usb3="00000000" w:csb0="400001FF" w:csb1="FFFF0000"/>
    <w:embedRegular r:id="rId4" w:fontKey="{A3B1B29C-222B-4FA2-BC36-08C911809342}"/>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5" w:fontKey="{991B4695-F765-40B5-9BA1-9E4A0B347BE0}"/>
  </w:font>
  <w:font w:name="Cambria">
    <w:panose1 w:val="02040503050406030204"/>
    <w:charset w:val="00"/>
    <w:family w:val="roman"/>
    <w:pitch w:val="default"/>
    <w:sig w:usb0="E00006FF" w:usb1="420024FF" w:usb2="02000000" w:usb3="00000000" w:csb0="2000019F" w:csb1="00000000"/>
    <w:embedRegular r:id="rId6" w:fontKey="{2102D680-3B62-463F-B932-985A68A76DD1}"/>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embedRegular r:id="rId7" w:fontKey="{7815140B-D465-489A-A149-D25FFFF554CE}"/>
  </w:font>
  <w:font w:name="仿宋">
    <w:panose1 w:val="02010609060101010101"/>
    <w:charset w:val="86"/>
    <w:family w:val="modern"/>
    <w:pitch w:val="default"/>
    <w:sig w:usb0="800002BF" w:usb1="38CF7CFA" w:usb2="00000016" w:usb3="00000000" w:csb0="00040001" w:csb1="00000000"/>
    <w:embedRegular r:id="rId8" w:fontKey="{DF0D221C-A0E0-46AA-9E03-E5C95F0B0FC9}"/>
  </w:font>
  <w:font w:name="Tahoma">
    <w:panose1 w:val="020B0604030504040204"/>
    <w:charset w:val="00"/>
    <w:family w:val="swiss"/>
    <w:pitch w:val="default"/>
    <w:sig w:usb0="E1002EFF" w:usb1="C000605B" w:usb2="00000029" w:usb3="00000000" w:csb0="200101FF" w:csb1="20280000"/>
  </w:font>
  <w:font w:name="宋体-简">
    <w:altName w:val="宋体"/>
    <w:panose1 w:val="02010600040101010101"/>
    <w:charset w:val="86"/>
    <w:family w:val="auto"/>
    <w:pitch w:val="default"/>
    <w:sig w:usb0="00000000" w:usb1="00000000" w:usb2="00000000" w:usb3="00000000" w:csb0="00160000" w:csb1="00000000"/>
  </w:font>
  <w:font w:name="方正小标宋简体">
    <w:panose1 w:val="02000000000000000000"/>
    <w:charset w:val="86"/>
    <w:family w:val="script"/>
    <w:pitch w:val="default"/>
    <w:sig w:usb0="00000001" w:usb1="08000000" w:usb2="00000000" w:usb3="00000000" w:csb0="00040000" w:csb1="00000000"/>
    <w:embedRegular r:id="rId9" w:fontKey="{E5DC462F-F205-4F42-9D45-8C7A30C7798D}"/>
  </w:font>
  <w:font w:name="华文新魏">
    <w:panose1 w:val="02010800040101010101"/>
    <w:charset w:val="86"/>
    <w:family w:val="auto"/>
    <w:pitch w:val="default"/>
    <w:sig w:usb0="00000001" w:usb1="080F0000" w:usb2="00000000" w:usb3="00000000" w:csb0="00040000" w:csb1="00000000"/>
    <w:embedRegular r:id="rId10" w:fontKey="{012A0D4C-8FE5-464A-82FA-F991CD8BA68D}"/>
  </w:font>
  <w:font w:name="微软雅黑">
    <w:panose1 w:val="020B0503020204020204"/>
    <w:charset w:val="86"/>
    <w:family w:val="swiss"/>
    <w:pitch w:val="default"/>
    <w:sig w:usb0="80000287" w:usb1="2ACF3C50" w:usb2="00000016" w:usb3="00000000" w:csb0="0004001F" w:csb1="00000000"/>
    <w:embedRegular r:id="rId11" w:fontKey="{DDB27C0E-4DCE-4BD4-9AD9-267A51693F5A}"/>
  </w:font>
  <w:font w:name="Arial Unicode MS">
    <w:panose1 w:val="020B0604020202020204"/>
    <w:charset w:val="86"/>
    <w:family w:val="swiss"/>
    <w:pitch w:val="default"/>
    <w:sig w:usb0="FFFFFFFF" w:usb1="E9FFFFFF" w:usb2="0000003F" w:usb3="00000000" w:csb0="603F01FF" w:csb1="FFFF0000"/>
    <w:embedRegular r:id="rId12" w:fontKey="{1FE46837-49BD-4C0E-AEA7-FAB0DD8DB5A4}"/>
  </w:font>
  <w:font w:name="Helvetica">
    <w:altName w:val="Arial"/>
    <w:panose1 w:val="020B0604020202020204"/>
    <w:charset w:val="00"/>
    <w:family w:val="swiss"/>
    <w:pitch w:val="default"/>
    <w:sig w:usb0="00000000" w:usb1="00000000" w:usb2="00000009" w:usb3="00000000" w:csb0="000001FF" w:csb1="00000000"/>
    <w:embedRegular r:id="rId13" w:fontKey="{24DAFD34-2F8A-40BE-9839-5178DE2276CD}"/>
  </w:font>
  <w:font w:name="TimesNewRomanPSMT">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embedRegular r:id="rId14" w:fontKey="{2350FCB4-046F-4D16-ADD2-40754024CB03}"/>
  </w:font>
  <w:font w:name="隶书">
    <w:panose1 w:val="02010509060101010101"/>
    <w:charset w:val="86"/>
    <w:family w:val="modern"/>
    <w:pitch w:val="default"/>
    <w:sig w:usb0="00000001" w:usb1="080E0000" w:usb2="00000000" w:usb3="00000000" w:csb0="00040000" w:csb1="00000000"/>
    <w:embedRegular r:id="rId15" w:fontKey="{CC4C36A4-E550-434B-9B38-5CEA9AAAE8CD}"/>
  </w:font>
  <w:font w:name="KSOFE4500885">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FCACD">
    <w:pPr>
      <w:pStyle w:val="2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25B4D43">
                          <w:pPr>
                            <w:pStyle w:val="20"/>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文本框 512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y11OHLAQAAnAMAAA4AAAAAAAAAAQAgAAAAHgEAAGRycy9lMm9E&#10;b2MueG1sUEsFBgAAAAAGAAYAWQEAAFsFAAAAAA==&#10;">
              <v:fill on="f" focussize="0,0"/>
              <v:stroke on="f"/>
              <v:imagedata o:title=""/>
              <o:lock v:ext="edit" aspectratio="f"/>
              <v:textbox inset="0mm,0mm,0mm,0mm" style="mso-fit-shape-to-text:t;">
                <w:txbxContent>
                  <w:p w14:paraId="025B4D43">
                    <w:pPr>
                      <w:pStyle w:val="20"/>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02D37">
    <w:pPr>
      <w:pStyle w:val="2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6DFC39">
                          <w:pPr>
                            <w:pStyle w:val="20"/>
                            <w:jc w:val="center"/>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文本框 512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oEhjc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22W5TAr1HipMfPKYGoc7N+DezH5AZyI+tMGkL1IiGEd9Txd95RCJSI9W5WpVYEhgbL4gPnt+7gPE&#10;99IZkoyaBhxg1pUfHyGOqXNKqmbdvdI6D1HbvxyImTws9T72mKw47IaJ0M41J+TT4+xranHVKdEP&#10;FqVNazIbYTZ2s3HwQe27vEepHvjbQ8Qmcm+pwgg7FcahZXbTgqWt+POes55/qs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aBIY3LAQAAnAMAAA4AAAAAAAAAAQAgAAAAHgEAAGRycy9lMm9E&#10;b2MueG1sUEsFBgAAAAAGAAYAWQEAAFsFAAAAAA==&#10;">
              <v:fill on="f" focussize="0,0"/>
              <v:stroke on="f"/>
              <v:imagedata o:title=""/>
              <o:lock v:ext="edit" aspectratio="f"/>
              <v:textbox inset="0mm,0mm,0mm,0mm" style="mso-fit-shape-to-text:t;">
                <w:txbxContent>
                  <w:p w14:paraId="6C6DFC39">
                    <w:pPr>
                      <w:pStyle w:val="20"/>
                      <w:jc w:val="center"/>
                    </w:pPr>
                    <w:r>
                      <w:fldChar w:fldCharType="begin"/>
                    </w:r>
                    <w:r>
                      <w:instrText xml:space="preserve"> PAGE  \* MERGEFORMAT </w:instrText>
                    </w:r>
                    <w:r>
                      <w:fldChar w:fldCharType="separate"/>
                    </w:r>
                    <w:r>
                      <w:t>85</w:t>
                    </w:r>
                    <w:r>
                      <w:fldChar w:fldCharType="end"/>
                    </w:r>
                  </w:p>
                </w:txbxContent>
              </v:textbox>
            </v:shape>
          </w:pict>
        </mc:Fallback>
      </mc:AlternateContent>
    </w:r>
  </w:p>
  <w:p w14:paraId="03C4FD9D">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40A63">
    <w:pPr>
      <w:pStyle w:val="2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179D56">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eBhwNzAEAAJwDAAAOAAAAAAAAAAEAIAAAAB4BAABkcnMvZTJv&#10;RG9jLnhtbFBLBQYAAAAABgAGAFkBAABcBQAAAAA=&#10;">
              <v:fill on="f" focussize="0,0"/>
              <v:stroke on="f"/>
              <v:imagedata o:title=""/>
              <o:lock v:ext="edit" aspectratio="f"/>
              <v:textbox inset="0mm,0mm,0mm,0mm" style="mso-fit-shape-to-text:t;">
                <w:txbxContent>
                  <w:p w14:paraId="10179D56">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6AEB3">
    <w:pPr>
      <w:pStyle w:val="21"/>
      <w:tabs>
        <w:tab w:val="center" w:pos="0"/>
        <w:tab w:val="clear" w:pos="4153"/>
      </w:tabs>
    </w:pPr>
    <w:r>
      <w:rPr>
        <w:rFonts w:hint="eastAsia"/>
      </w:rPr>
      <w:t>南宁市政府采购竞争性谈判采购文件（项目编号：</w:t>
    </w:r>
    <w:r>
      <w:rPr>
        <w:rFonts w:hint="eastAsia" w:ascii="宋体" w:hAnsi="宋体" w:eastAsia="宋体" w:cs="宋体"/>
      </w:rPr>
      <w:t>NNZC2026-J1-990724-GXJT</w:t>
    </w: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16ABB">
    <w:pPr>
      <w:pStyle w:val="21"/>
      <w:tabs>
        <w:tab w:val="center" w:pos="0"/>
        <w:tab w:val="clear" w:pos="4153"/>
      </w:tabs>
    </w:pPr>
    <w:r>
      <w:rPr>
        <w:rFonts w:hint="eastAsia"/>
      </w:rPr>
      <w:t>南宁市政府采购竞争性谈判采购文件（项目编号</w:t>
    </w:r>
    <w:r>
      <w:rPr>
        <w:rFonts w:hint="eastAsia" w:ascii="宋体" w:hAnsi="宋体" w:eastAsia="宋体" w:cs="宋体"/>
      </w:rPr>
      <w:t>：NNZC2026-J1-990724-GXJT</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B731CA"/>
    <w:multiLevelType w:val="singleLevel"/>
    <w:tmpl w:val="A1B731CA"/>
    <w:lvl w:ilvl="0" w:tentative="0">
      <w:start w:val="1"/>
      <w:numFmt w:val="decimal"/>
      <w:suff w:val="nothing"/>
      <w:lvlText w:val="%1、"/>
      <w:lvlJc w:val="left"/>
    </w:lvl>
  </w:abstractNum>
  <w:abstractNum w:abstractNumId="1">
    <w:nsid w:val="B2D6C5BC"/>
    <w:multiLevelType w:val="singleLevel"/>
    <w:tmpl w:val="B2D6C5BC"/>
    <w:lvl w:ilvl="0" w:tentative="0">
      <w:start w:val="1"/>
      <w:numFmt w:val="decimal"/>
      <w:lvlText w:val="%1."/>
      <w:lvlJc w:val="left"/>
      <w:pPr>
        <w:tabs>
          <w:tab w:val="left" w:pos="312"/>
        </w:tabs>
      </w:pPr>
    </w:lvl>
  </w:abstractNum>
  <w:abstractNum w:abstractNumId="2">
    <w:nsid w:val="BB5F0CE6"/>
    <w:multiLevelType w:val="singleLevel"/>
    <w:tmpl w:val="BB5F0CE6"/>
    <w:lvl w:ilvl="0" w:tentative="0">
      <w:start w:val="1"/>
      <w:numFmt w:val="decimal"/>
      <w:suff w:val="nothing"/>
      <w:lvlText w:val="%1、"/>
      <w:lvlJc w:val="left"/>
    </w:lvl>
  </w:abstractNum>
  <w:abstractNum w:abstractNumId="3">
    <w:nsid w:val="BBDF530C"/>
    <w:multiLevelType w:val="singleLevel"/>
    <w:tmpl w:val="BBDF530C"/>
    <w:lvl w:ilvl="0" w:tentative="0">
      <w:start w:val="1"/>
      <w:numFmt w:val="decimal"/>
      <w:suff w:val="nothing"/>
      <w:lvlText w:val="（%1）"/>
      <w:lvlJc w:val="left"/>
    </w:lvl>
  </w:abstractNum>
  <w:abstractNum w:abstractNumId="4">
    <w:nsid w:val="BDFFC188"/>
    <w:multiLevelType w:val="singleLevel"/>
    <w:tmpl w:val="BDFFC188"/>
    <w:lvl w:ilvl="0" w:tentative="0">
      <w:start w:val="1"/>
      <w:numFmt w:val="decimal"/>
      <w:suff w:val="nothing"/>
      <w:lvlText w:val="%1、"/>
      <w:lvlJc w:val="left"/>
    </w:lvl>
  </w:abstractNum>
  <w:abstractNum w:abstractNumId="5">
    <w:nsid w:val="CFF781C1"/>
    <w:multiLevelType w:val="singleLevel"/>
    <w:tmpl w:val="CFF781C1"/>
    <w:lvl w:ilvl="0" w:tentative="0">
      <w:start w:val="1"/>
      <w:numFmt w:val="decimal"/>
      <w:suff w:val="nothing"/>
      <w:lvlText w:val="%1、"/>
      <w:lvlJc w:val="left"/>
    </w:lvl>
  </w:abstractNum>
  <w:abstractNum w:abstractNumId="6">
    <w:nsid w:val="D7F605F5"/>
    <w:multiLevelType w:val="singleLevel"/>
    <w:tmpl w:val="D7F605F5"/>
    <w:lvl w:ilvl="0" w:tentative="0">
      <w:start w:val="9"/>
      <w:numFmt w:val="decimal"/>
      <w:suff w:val="nothing"/>
      <w:lvlText w:val="%1、"/>
      <w:lvlJc w:val="left"/>
    </w:lvl>
  </w:abstractNum>
  <w:abstractNum w:abstractNumId="7">
    <w:nsid w:val="DD1FA188"/>
    <w:multiLevelType w:val="singleLevel"/>
    <w:tmpl w:val="DD1FA188"/>
    <w:lvl w:ilvl="0" w:tentative="0">
      <w:start w:val="1"/>
      <w:numFmt w:val="chineseCounting"/>
      <w:suff w:val="nothing"/>
      <w:lvlText w:val="%1、"/>
      <w:lvlJc w:val="left"/>
      <w:rPr>
        <w:rFonts w:hint="eastAsia"/>
      </w:rPr>
    </w:lvl>
  </w:abstractNum>
  <w:abstractNum w:abstractNumId="8">
    <w:nsid w:val="E353E8B4"/>
    <w:multiLevelType w:val="singleLevel"/>
    <w:tmpl w:val="E353E8B4"/>
    <w:lvl w:ilvl="0" w:tentative="0">
      <w:start w:val="1"/>
      <w:numFmt w:val="decimal"/>
      <w:suff w:val="nothing"/>
      <w:lvlText w:val="%1、"/>
      <w:lvlJc w:val="left"/>
    </w:lvl>
  </w:abstractNum>
  <w:abstractNum w:abstractNumId="9">
    <w:nsid w:val="E7FC4FF0"/>
    <w:multiLevelType w:val="singleLevel"/>
    <w:tmpl w:val="E7FC4FF0"/>
    <w:lvl w:ilvl="0" w:tentative="0">
      <w:start w:val="1"/>
      <w:numFmt w:val="decimal"/>
      <w:suff w:val="nothing"/>
      <w:lvlText w:val="%1、"/>
      <w:lvlJc w:val="left"/>
    </w:lvl>
  </w:abstractNum>
  <w:abstractNum w:abstractNumId="10">
    <w:nsid w:val="EE5B3C3F"/>
    <w:multiLevelType w:val="singleLevel"/>
    <w:tmpl w:val="EE5B3C3F"/>
    <w:lvl w:ilvl="0" w:tentative="0">
      <w:start w:val="1"/>
      <w:numFmt w:val="decimal"/>
      <w:lvlText w:val="%1."/>
      <w:lvlJc w:val="left"/>
      <w:pPr>
        <w:tabs>
          <w:tab w:val="left" w:pos="312"/>
        </w:tabs>
      </w:pPr>
    </w:lvl>
  </w:abstractNum>
  <w:abstractNum w:abstractNumId="11">
    <w:nsid w:val="EF5A6E16"/>
    <w:multiLevelType w:val="singleLevel"/>
    <w:tmpl w:val="EF5A6E16"/>
    <w:lvl w:ilvl="0" w:tentative="0">
      <w:start w:val="1"/>
      <w:numFmt w:val="decimal"/>
      <w:lvlText w:val="%1."/>
      <w:lvlJc w:val="left"/>
      <w:pPr>
        <w:tabs>
          <w:tab w:val="left" w:pos="312"/>
        </w:tabs>
      </w:pPr>
    </w:lvl>
  </w:abstractNum>
  <w:abstractNum w:abstractNumId="12">
    <w:nsid w:val="F2EF6F30"/>
    <w:multiLevelType w:val="singleLevel"/>
    <w:tmpl w:val="F2EF6F30"/>
    <w:lvl w:ilvl="0" w:tentative="0">
      <w:start w:val="1"/>
      <w:numFmt w:val="decimal"/>
      <w:suff w:val="nothing"/>
      <w:lvlText w:val="%1、"/>
      <w:lvlJc w:val="left"/>
    </w:lvl>
  </w:abstractNum>
  <w:abstractNum w:abstractNumId="13">
    <w:nsid w:val="F74AB805"/>
    <w:multiLevelType w:val="singleLevel"/>
    <w:tmpl w:val="F74AB805"/>
    <w:lvl w:ilvl="0" w:tentative="0">
      <w:start w:val="1"/>
      <w:numFmt w:val="decimal"/>
      <w:lvlText w:val="%1."/>
      <w:lvlJc w:val="left"/>
      <w:pPr>
        <w:tabs>
          <w:tab w:val="left" w:pos="312"/>
        </w:tabs>
      </w:pPr>
    </w:lvl>
  </w:abstractNum>
  <w:abstractNum w:abstractNumId="14">
    <w:nsid w:val="F9BF3BF9"/>
    <w:multiLevelType w:val="singleLevel"/>
    <w:tmpl w:val="F9BF3BF9"/>
    <w:lvl w:ilvl="0" w:tentative="0">
      <w:start w:val="7"/>
      <w:numFmt w:val="decimal"/>
      <w:suff w:val="nothing"/>
      <w:lvlText w:val="%1、"/>
      <w:lvlJc w:val="left"/>
    </w:lvl>
  </w:abstractNum>
  <w:abstractNum w:abstractNumId="15">
    <w:nsid w:val="FDDAFDB0"/>
    <w:multiLevelType w:val="singleLevel"/>
    <w:tmpl w:val="FDDAFDB0"/>
    <w:lvl w:ilvl="0" w:tentative="0">
      <w:start w:val="1"/>
      <w:numFmt w:val="decimal"/>
      <w:suff w:val="nothing"/>
      <w:lvlText w:val="%1、"/>
      <w:lvlJc w:val="left"/>
    </w:lvl>
  </w:abstractNum>
  <w:abstractNum w:abstractNumId="16">
    <w:nsid w:val="FF7DB29A"/>
    <w:multiLevelType w:val="singleLevel"/>
    <w:tmpl w:val="FF7DB29A"/>
    <w:lvl w:ilvl="0" w:tentative="0">
      <w:start w:val="1"/>
      <w:numFmt w:val="decimal"/>
      <w:suff w:val="nothing"/>
      <w:lvlText w:val="%1、"/>
      <w:lvlJc w:val="left"/>
    </w:lvl>
  </w:abstractNum>
  <w:abstractNum w:abstractNumId="17">
    <w:nsid w:val="FFBF745C"/>
    <w:multiLevelType w:val="singleLevel"/>
    <w:tmpl w:val="FFBF745C"/>
    <w:lvl w:ilvl="0" w:tentative="0">
      <w:start w:val="1"/>
      <w:numFmt w:val="decimal"/>
      <w:suff w:val="nothing"/>
      <w:lvlText w:val="%1、"/>
      <w:lvlJc w:val="left"/>
    </w:lvl>
  </w:abstractNum>
  <w:abstractNum w:abstractNumId="18">
    <w:nsid w:val="3EEF071A"/>
    <w:multiLevelType w:val="singleLevel"/>
    <w:tmpl w:val="3EEF071A"/>
    <w:lvl w:ilvl="0" w:tentative="0">
      <w:start w:val="1"/>
      <w:numFmt w:val="decimal"/>
      <w:suff w:val="nothing"/>
      <w:lvlText w:val="%1、"/>
      <w:lvlJc w:val="left"/>
    </w:lvl>
  </w:abstractNum>
  <w:abstractNum w:abstractNumId="19">
    <w:nsid w:val="49E69045"/>
    <w:multiLevelType w:val="singleLevel"/>
    <w:tmpl w:val="49E69045"/>
    <w:lvl w:ilvl="0" w:tentative="0">
      <w:start w:val="1"/>
      <w:numFmt w:val="decimal"/>
      <w:suff w:val="nothing"/>
      <w:lvlText w:val="%1、"/>
      <w:lvlJc w:val="left"/>
    </w:lvl>
  </w:abstractNum>
  <w:abstractNum w:abstractNumId="20">
    <w:nsid w:val="6D6755EB"/>
    <w:multiLevelType w:val="singleLevel"/>
    <w:tmpl w:val="6D6755EB"/>
    <w:lvl w:ilvl="0" w:tentative="0">
      <w:start w:val="1"/>
      <w:numFmt w:val="decimal"/>
      <w:suff w:val="nothing"/>
      <w:lvlText w:val="%1、"/>
      <w:lvlJc w:val="left"/>
    </w:lvl>
  </w:abstractNum>
  <w:abstractNum w:abstractNumId="21">
    <w:nsid w:val="7BC78538"/>
    <w:multiLevelType w:val="singleLevel"/>
    <w:tmpl w:val="7BC78538"/>
    <w:lvl w:ilvl="0" w:tentative="0">
      <w:start w:val="1"/>
      <w:numFmt w:val="decimal"/>
      <w:suff w:val="nothing"/>
      <w:lvlText w:val="%1、"/>
      <w:lvlJc w:val="left"/>
    </w:lvl>
  </w:abstractNum>
  <w:abstractNum w:abstractNumId="22">
    <w:nsid w:val="7FFEC764"/>
    <w:multiLevelType w:val="singleLevel"/>
    <w:tmpl w:val="7FFEC764"/>
    <w:lvl w:ilvl="0" w:tentative="0">
      <w:start w:val="1"/>
      <w:numFmt w:val="decimal"/>
      <w:lvlText w:val="%1."/>
      <w:lvlJc w:val="left"/>
      <w:pPr>
        <w:tabs>
          <w:tab w:val="left" w:pos="312"/>
        </w:tabs>
      </w:pPr>
    </w:lvl>
  </w:abstractNum>
  <w:num w:numId="1">
    <w:abstractNumId w:val="7"/>
  </w:num>
  <w:num w:numId="2">
    <w:abstractNumId w:val="17"/>
  </w:num>
  <w:num w:numId="3">
    <w:abstractNumId w:val="6"/>
  </w:num>
  <w:num w:numId="4">
    <w:abstractNumId w:val="0"/>
  </w:num>
  <w:num w:numId="5">
    <w:abstractNumId w:val="18"/>
  </w:num>
  <w:num w:numId="6">
    <w:abstractNumId w:val="16"/>
  </w:num>
  <w:num w:numId="7">
    <w:abstractNumId w:val="2"/>
  </w:num>
  <w:num w:numId="8">
    <w:abstractNumId w:val="19"/>
  </w:num>
  <w:num w:numId="9">
    <w:abstractNumId w:val="8"/>
  </w:num>
  <w:num w:numId="10">
    <w:abstractNumId w:val="15"/>
  </w:num>
  <w:num w:numId="11">
    <w:abstractNumId w:val="21"/>
  </w:num>
  <w:num w:numId="12">
    <w:abstractNumId w:val="4"/>
  </w:num>
  <w:num w:numId="13">
    <w:abstractNumId w:val="12"/>
  </w:num>
  <w:num w:numId="14">
    <w:abstractNumId w:val="3"/>
  </w:num>
  <w:num w:numId="15">
    <w:abstractNumId w:val="9"/>
  </w:num>
  <w:num w:numId="16">
    <w:abstractNumId w:val="14"/>
  </w:num>
  <w:num w:numId="17">
    <w:abstractNumId w:val="11"/>
  </w:num>
  <w:num w:numId="18">
    <w:abstractNumId w:val="10"/>
  </w:num>
  <w:num w:numId="19">
    <w:abstractNumId w:val="22"/>
  </w:num>
  <w:num w:numId="20">
    <w:abstractNumId w:val="1"/>
  </w:num>
  <w:num w:numId="21">
    <w:abstractNumId w:val="13"/>
  </w:num>
  <w:num w:numId="22">
    <w:abstractNumId w:val="20"/>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3,4,5,6,7"/>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2MzJhZDllMzY3MzFiYjIzZTcxZjlhYjM0M2NmMzMifQ=="/>
  </w:docVars>
  <w:rsids>
    <w:rsidRoot w:val="00000000"/>
    <w:rsid w:val="00000672"/>
    <w:rsid w:val="00001013"/>
    <w:rsid w:val="00001799"/>
    <w:rsid w:val="00001AF2"/>
    <w:rsid w:val="00001ECA"/>
    <w:rsid w:val="00002D29"/>
    <w:rsid w:val="00003B93"/>
    <w:rsid w:val="0000474D"/>
    <w:rsid w:val="00005FDF"/>
    <w:rsid w:val="000070B3"/>
    <w:rsid w:val="000076B8"/>
    <w:rsid w:val="0001047A"/>
    <w:rsid w:val="000109DC"/>
    <w:rsid w:val="00010D39"/>
    <w:rsid w:val="0001172C"/>
    <w:rsid w:val="00011BC9"/>
    <w:rsid w:val="00012854"/>
    <w:rsid w:val="00012B5F"/>
    <w:rsid w:val="00012EA6"/>
    <w:rsid w:val="00013359"/>
    <w:rsid w:val="000139CF"/>
    <w:rsid w:val="00013AA4"/>
    <w:rsid w:val="00013DFE"/>
    <w:rsid w:val="000141EA"/>
    <w:rsid w:val="00015094"/>
    <w:rsid w:val="00016ABC"/>
    <w:rsid w:val="000177DB"/>
    <w:rsid w:val="000179C9"/>
    <w:rsid w:val="00017CCC"/>
    <w:rsid w:val="00020227"/>
    <w:rsid w:val="00020263"/>
    <w:rsid w:val="00020455"/>
    <w:rsid w:val="00020527"/>
    <w:rsid w:val="00020813"/>
    <w:rsid w:val="000220B2"/>
    <w:rsid w:val="0002264C"/>
    <w:rsid w:val="00022731"/>
    <w:rsid w:val="00022792"/>
    <w:rsid w:val="00022CD2"/>
    <w:rsid w:val="00024463"/>
    <w:rsid w:val="00025461"/>
    <w:rsid w:val="00025636"/>
    <w:rsid w:val="00025E36"/>
    <w:rsid w:val="00026855"/>
    <w:rsid w:val="00026886"/>
    <w:rsid w:val="00026CF4"/>
    <w:rsid w:val="0002785D"/>
    <w:rsid w:val="000329E0"/>
    <w:rsid w:val="00032DB3"/>
    <w:rsid w:val="00034B50"/>
    <w:rsid w:val="000352E9"/>
    <w:rsid w:val="00035494"/>
    <w:rsid w:val="00036125"/>
    <w:rsid w:val="00036A07"/>
    <w:rsid w:val="0003780B"/>
    <w:rsid w:val="00040571"/>
    <w:rsid w:val="00040973"/>
    <w:rsid w:val="0004156E"/>
    <w:rsid w:val="00041713"/>
    <w:rsid w:val="0004440C"/>
    <w:rsid w:val="000454F7"/>
    <w:rsid w:val="00046B5E"/>
    <w:rsid w:val="000470CB"/>
    <w:rsid w:val="000509D9"/>
    <w:rsid w:val="00051ACB"/>
    <w:rsid w:val="000533E7"/>
    <w:rsid w:val="00053E23"/>
    <w:rsid w:val="00055D41"/>
    <w:rsid w:val="00057CD6"/>
    <w:rsid w:val="00060DCE"/>
    <w:rsid w:val="000610E3"/>
    <w:rsid w:val="000614F3"/>
    <w:rsid w:val="000623B4"/>
    <w:rsid w:val="00062405"/>
    <w:rsid w:val="00062437"/>
    <w:rsid w:val="000634A7"/>
    <w:rsid w:val="00063B0B"/>
    <w:rsid w:val="00063F81"/>
    <w:rsid w:val="00064847"/>
    <w:rsid w:val="00065E08"/>
    <w:rsid w:val="000673E2"/>
    <w:rsid w:val="0007063F"/>
    <w:rsid w:val="000707FD"/>
    <w:rsid w:val="00070949"/>
    <w:rsid w:val="000711E4"/>
    <w:rsid w:val="000724D9"/>
    <w:rsid w:val="00072AED"/>
    <w:rsid w:val="00073F47"/>
    <w:rsid w:val="0007492F"/>
    <w:rsid w:val="00074ED8"/>
    <w:rsid w:val="00075B7E"/>
    <w:rsid w:val="00075F83"/>
    <w:rsid w:val="00077ACA"/>
    <w:rsid w:val="00077C70"/>
    <w:rsid w:val="000813B5"/>
    <w:rsid w:val="00081BA3"/>
    <w:rsid w:val="00081D2E"/>
    <w:rsid w:val="00081F89"/>
    <w:rsid w:val="00082619"/>
    <w:rsid w:val="00082D02"/>
    <w:rsid w:val="00082D4B"/>
    <w:rsid w:val="00083871"/>
    <w:rsid w:val="00083B91"/>
    <w:rsid w:val="0008473C"/>
    <w:rsid w:val="0008520B"/>
    <w:rsid w:val="000860BD"/>
    <w:rsid w:val="000871B8"/>
    <w:rsid w:val="000916DA"/>
    <w:rsid w:val="00092442"/>
    <w:rsid w:val="000929EF"/>
    <w:rsid w:val="000933BE"/>
    <w:rsid w:val="00093CD4"/>
    <w:rsid w:val="0009560F"/>
    <w:rsid w:val="0009588E"/>
    <w:rsid w:val="000959EE"/>
    <w:rsid w:val="00097183"/>
    <w:rsid w:val="000972CB"/>
    <w:rsid w:val="00097608"/>
    <w:rsid w:val="000977BD"/>
    <w:rsid w:val="000A13F3"/>
    <w:rsid w:val="000A23B1"/>
    <w:rsid w:val="000A2B0E"/>
    <w:rsid w:val="000A398F"/>
    <w:rsid w:val="000A3BB7"/>
    <w:rsid w:val="000A448C"/>
    <w:rsid w:val="000A509C"/>
    <w:rsid w:val="000A54A7"/>
    <w:rsid w:val="000A6007"/>
    <w:rsid w:val="000A65A6"/>
    <w:rsid w:val="000A70E3"/>
    <w:rsid w:val="000A7275"/>
    <w:rsid w:val="000A7A12"/>
    <w:rsid w:val="000A7A72"/>
    <w:rsid w:val="000B1202"/>
    <w:rsid w:val="000B1801"/>
    <w:rsid w:val="000B1D0C"/>
    <w:rsid w:val="000B2273"/>
    <w:rsid w:val="000B2387"/>
    <w:rsid w:val="000B2585"/>
    <w:rsid w:val="000B2BC6"/>
    <w:rsid w:val="000B2D03"/>
    <w:rsid w:val="000B3815"/>
    <w:rsid w:val="000B3C7B"/>
    <w:rsid w:val="000B4321"/>
    <w:rsid w:val="000B6A6B"/>
    <w:rsid w:val="000B6C95"/>
    <w:rsid w:val="000B79FC"/>
    <w:rsid w:val="000C02B1"/>
    <w:rsid w:val="000C1679"/>
    <w:rsid w:val="000C1EE3"/>
    <w:rsid w:val="000C3AE7"/>
    <w:rsid w:val="000C3CC9"/>
    <w:rsid w:val="000C6DE4"/>
    <w:rsid w:val="000C7202"/>
    <w:rsid w:val="000D0A89"/>
    <w:rsid w:val="000D1181"/>
    <w:rsid w:val="000D1389"/>
    <w:rsid w:val="000D1798"/>
    <w:rsid w:val="000D2626"/>
    <w:rsid w:val="000D291C"/>
    <w:rsid w:val="000D3FB6"/>
    <w:rsid w:val="000D411D"/>
    <w:rsid w:val="000D4589"/>
    <w:rsid w:val="000D4809"/>
    <w:rsid w:val="000D73DD"/>
    <w:rsid w:val="000E1C51"/>
    <w:rsid w:val="000E28AB"/>
    <w:rsid w:val="000E2E3E"/>
    <w:rsid w:val="000E3583"/>
    <w:rsid w:val="000E3AF0"/>
    <w:rsid w:val="000E4E04"/>
    <w:rsid w:val="000E693B"/>
    <w:rsid w:val="000E6EC9"/>
    <w:rsid w:val="000E70B4"/>
    <w:rsid w:val="000E7B62"/>
    <w:rsid w:val="000F0E1E"/>
    <w:rsid w:val="000F1A1B"/>
    <w:rsid w:val="000F2A95"/>
    <w:rsid w:val="000F3281"/>
    <w:rsid w:val="000F32FD"/>
    <w:rsid w:val="000F3733"/>
    <w:rsid w:val="000F5F8B"/>
    <w:rsid w:val="000F6153"/>
    <w:rsid w:val="000F64AA"/>
    <w:rsid w:val="000F7AF4"/>
    <w:rsid w:val="000F7C33"/>
    <w:rsid w:val="000F7F0C"/>
    <w:rsid w:val="001004D6"/>
    <w:rsid w:val="00102676"/>
    <w:rsid w:val="00103646"/>
    <w:rsid w:val="00103918"/>
    <w:rsid w:val="00104897"/>
    <w:rsid w:val="00104EDE"/>
    <w:rsid w:val="00105CDA"/>
    <w:rsid w:val="00106BEE"/>
    <w:rsid w:val="00107C74"/>
    <w:rsid w:val="0011091C"/>
    <w:rsid w:val="00111266"/>
    <w:rsid w:val="001112EB"/>
    <w:rsid w:val="00112768"/>
    <w:rsid w:val="00112F16"/>
    <w:rsid w:val="00113678"/>
    <w:rsid w:val="00113C3E"/>
    <w:rsid w:val="00115E11"/>
    <w:rsid w:val="00115EEE"/>
    <w:rsid w:val="00115F56"/>
    <w:rsid w:val="00116CA9"/>
    <w:rsid w:val="00116F38"/>
    <w:rsid w:val="001170A4"/>
    <w:rsid w:val="00117AE7"/>
    <w:rsid w:val="00117CBD"/>
    <w:rsid w:val="0012006A"/>
    <w:rsid w:val="00121979"/>
    <w:rsid w:val="00122064"/>
    <w:rsid w:val="00122C12"/>
    <w:rsid w:val="00123A31"/>
    <w:rsid w:val="00124341"/>
    <w:rsid w:val="00124492"/>
    <w:rsid w:val="00124B12"/>
    <w:rsid w:val="001250A0"/>
    <w:rsid w:val="001263B8"/>
    <w:rsid w:val="0012763E"/>
    <w:rsid w:val="00130217"/>
    <w:rsid w:val="00130783"/>
    <w:rsid w:val="00130A47"/>
    <w:rsid w:val="00130D7C"/>
    <w:rsid w:val="001313DA"/>
    <w:rsid w:val="001317C2"/>
    <w:rsid w:val="00131A6A"/>
    <w:rsid w:val="00132B47"/>
    <w:rsid w:val="001337F8"/>
    <w:rsid w:val="001348B4"/>
    <w:rsid w:val="001351CB"/>
    <w:rsid w:val="00135530"/>
    <w:rsid w:val="00135947"/>
    <w:rsid w:val="001359A2"/>
    <w:rsid w:val="00135F92"/>
    <w:rsid w:val="00136020"/>
    <w:rsid w:val="00136445"/>
    <w:rsid w:val="00140132"/>
    <w:rsid w:val="00141C9C"/>
    <w:rsid w:val="0014277F"/>
    <w:rsid w:val="001434BE"/>
    <w:rsid w:val="00144050"/>
    <w:rsid w:val="0014479F"/>
    <w:rsid w:val="001452B4"/>
    <w:rsid w:val="00145320"/>
    <w:rsid w:val="001476D3"/>
    <w:rsid w:val="001509CF"/>
    <w:rsid w:val="00150D1D"/>
    <w:rsid w:val="001525AA"/>
    <w:rsid w:val="00152A87"/>
    <w:rsid w:val="00153BB5"/>
    <w:rsid w:val="00154518"/>
    <w:rsid w:val="00156359"/>
    <w:rsid w:val="001568F3"/>
    <w:rsid w:val="00156DD6"/>
    <w:rsid w:val="0016086E"/>
    <w:rsid w:val="00160D0C"/>
    <w:rsid w:val="00161172"/>
    <w:rsid w:val="00161998"/>
    <w:rsid w:val="00161E65"/>
    <w:rsid w:val="00162597"/>
    <w:rsid w:val="001629AF"/>
    <w:rsid w:val="001629FD"/>
    <w:rsid w:val="0016428A"/>
    <w:rsid w:val="001647C9"/>
    <w:rsid w:val="00165627"/>
    <w:rsid w:val="00165929"/>
    <w:rsid w:val="001661A3"/>
    <w:rsid w:val="00167226"/>
    <w:rsid w:val="0016782B"/>
    <w:rsid w:val="0016784D"/>
    <w:rsid w:val="00172CA8"/>
    <w:rsid w:val="00173256"/>
    <w:rsid w:val="00173B0E"/>
    <w:rsid w:val="00173E03"/>
    <w:rsid w:val="00174182"/>
    <w:rsid w:val="0017512C"/>
    <w:rsid w:val="0017586A"/>
    <w:rsid w:val="00175BA6"/>
    <w:rsid w:val="00176CA7"/>
    <w:rsid w:val="00176F8E"/>
    <w:rsid w:val="001778C5"/>
    <w:rsid w:val="00177E56"/>
    <w:rsid w:val="00177F0A"/>
    <w:rsid w:val="00180DA0"/>
    <w:rsid w:val="00181EAD"/>
    <w:rsid w:val="00182862"/>
    <w:rsid w:val="00184F57"/>
    <w:rsid w:val="00185544"/>
    <w:rsid w:val="00185617"/>
    <w:rsid w:val="00186FE1"/>
    <w:rsid w:val="00187A14"/>
    <w:rsid w:val="0019171E"/>
    <w:rsid w:val="00192368"/>
    <w:rsid w:val="001923A0"/>
    <w:rsid w:val="001928B1"/>
    <w:rsid w:val="00193537"/>
    <w:rsid w:val="00193846"/>
    <w:rsid w:val="00195424"/>
    <w:rsid w:val="001955FF"/>
    <w:rsid w:val="001975B5"/>
    <w:rsid w:val="00197EDD"/>
    <w:rsid w:val="001A02B3"/>
    <w:rsid w:val="001A04BB"/>
    <w:rsid w:val="001A08D0"/>
    <w:rsid w:val="001A1B39"/>
    <w:rsid w:val="001A2120"/>
    <w:rsid w:val="001A28C6"/>
    <w:rsid w:val="001A2E69"/>
    <w:rsid w:val="001A3440"/>
    <w:rsid w:val="001A3C34"/>
    <w:rsid w:val="001A3EDE"/>
    <w:rsid w:val="001A4222"/>
    <w:rsid w:val="001A50EA"/>
    <w:rsid w:val="001A5E24"/>
    <w:rsid w:val="001A6265"/>
    <w:rsid w:val="001A6B27"/>
    <w:rsid w:val="001A6D8B"/>
    <w:rsid w:val="001A6DAA"/>
    <w:rsid w:val="001A7717"/>
    <w:rsid w:val="001A793A"/>
    <w:rsid w:val="001B125A"/>
    <w:rsid w:val="001B1EBA"/>
    <w:rsid w:val="001B2142"/>
    <w:rsid w:val="001B2F2B"/>
    <w:rsid w:val="001B327A"/>
    <w:rsid w:val="001B35DE"/>
    <w:rsid w:val="001B3A13"/>
    <w:rsid w:val="001B3F5C"/>
    <w:rsid w:val="001B59FF"/>
    <w:rsid w:val="001B5E60"/>
    <w:rsid w:val="001B6512"/>
    <w:rsid w:val="001B65D7"/>
    <w:rsid w:val="001B6752"/>
    <w:rsid w:val="001B6768"/>
    <w:rsid w:val="001B6F1F"/>
    <w:rsid w:val="001B7ECC"/>
    <w:rsid w:val="001C025B"/>
    <w:rsid w:val="001C115F"/>
    <w:rsid w:val="001C1EAB"/>
    <w:rsid w:val="001C25A7"/>
    <w:rsid w:val="001C2E56"/>
    <w:rsid w:val="001C318C"/>
    <w:rsid w:val="001C35C4"/>
    <w:rsid w:val="001C35E1"/>
    <w:rsid w:val="001C4287"/>
    <w:rsid w:val="001C433C"/>
    <w:rsid w:val="001C4479"/>
    <w:rsid w:val="001C5190"/>
    <w:rsid w:val="001C6081"/>
    <w:rsid w:val="001C7B48"/>
    <w:rsid w:val="001D0CFB"/>
    <w:rsid w:val="001D1A0D"/>
    <w:rsid w:val="001D343C"/>
    <w:rsid w:val="001D34F5"/>
    <w:rsid w:val="001D56FC"/>
    <w:rsid w:val="001D58A1"/>
    <w:rsid w:val="001D58C2"/>
    <w:rsid w:val="001D5A8A"/>
    <w:rsid w:val="001D61CA"/>
    <w:rsid w:val="001D6E87"/>
    <w:rsid w:val="001D735E"/>
    <w:rsid w:val="001D73C8"/>
    <w:rsid w:val="001D7BC6"/>
    <w:rsid w:val="001E129E"/>
    <w:rsid w:val="001E175C"/>
    <w:rsid w:val="001E1B0E"/>
    <w:rsid w:val="001E39BE"/>
    <w:rsid w:val="001E3B63"/>
    <w:rsid w:val="001E5A94"/>
    <w:rsid w:val="001E5F6F"/>
    <w:rsid w:val="001E68B8"/>
    <w:rsid w:val="001E7FEF"/>
    <w:rsid w:val="001F2001"/>
    <w:rsid w:val="001F2A2E"/>
    <w:rsid w:val="001F3356"/>
    <w:rsid w:val="001F3C63"/>
    <w:rsid w:val="001F4460"/>
    <w:rsid w:val="001F5262"/>
    <w:rsid w:val="001F711A"/>
    <w:rsid w:val="001F75B0"/>
    <w:rsid w:val="00200CE5"/>
    <w:rsid w:val="00200F7C"/>
    <w:rsid w:val="002014DB"/>
    <w:rsid w:val="0020150B"/>
    <w:rsid w:val="00201E12"/>
    <w:rsid w:val="00202B13"/>
    <w:rsid w:val="002032DA"/>
    <w:rsid w:val="002033B5"/>
    <w:rsid w:val="0020382C"/>
    <w:rsid w:val="0020437A"/>
    <w:rsid w:val="0020454C"/>
    <w:rsid w:val="00204740"/>
    <w:rsid w:val="00205129"/>
    <w:rsid w:val="0020521F"/>
    <w:rsid w:val="0020532C"/>
    <w:rsid w:val="002114C7"/>
    <w:rsid w:val="0021302C"/>
    <w:rsid w:val="00213B1C"/>
    <w:rsid w:val="00214202"/>
    <w:rsid w:val="002148E3"/>
    <w:rsid w:val="0021552D"/>
    <w:rsid w:val="002156AE"/>
    <w:rsid w:val="00215E99"/>
    <w:rsid w:val="0022054D"/>
    <w:rsid w:val="00223DDB"/>
    <w:rsid w:val="00223FA4"/>
    <w:rsid w:val="00223FB0"/>
    <w:rsid w:val="00224067"/>
    <w:rsid w:val="0022421C"/>
    <w:rsid w:val="00224E83"/>
    <w:rsid w:val="00225664"/>
    <w:rsid w:val="0022663D"/>
    <w:rsid w:val="00227F2D"/>
    <w:rsid w:val="00230179"/>
    <w:rsid w:val="00231851"/>
    <w:rsid w:val="002319FB"/>
    <w:rsid w:val="00231B89"/>
    <w:rsid w:val="00231F11"/>
    <w:rsid w:val="00231F5E"/>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4DC9"/>
    <w:rsid w:val="00245587"/>
    <w:rsid w:val="00245F2B"/>
    <w:rsid w:val="00247F3A"/>
    <w:rsid w:val="00250122"/>
    <w:rsid w:val="00250755"/>
    <w:rsid w:val="00251043"/>
    <w:rsid w:val="00251C4A"/>
    <w:rsid w:val="0025271C"/>
    <w:rsid w:val="002529E4"/>
    <w:rsid w:val="002533CD"/>
    <w:rsid w:val="002535EA"/>
    <w:rsid w:val="00253805"/>
    <w:rsid w:val="00254EAB"/>
    <w:rsid w:val="002557AF"/>
    <w:rsid w:val="0025589C"/>
    <w:rsid w:val="00255B62"/>
    <w:rsid w:val="002566B1"/>
    <w:rsid w:val="002575E3"/>
    <w:rsid w:val="00257A74"/>
    <w:rsid w:val="002603C1"/>
    <w:rsid w:val="002609A1"/>
    <w:rsid w:val="002612B1"/>
    <w:rsid w:val="00266165"/>
    <w:rsid w:val="002662FE"/>
    <w:rsid w:val="00266F2C"/>
    <w:rsid w:val="00270D48"/>
    <w:rsid w:val="0027125E"/>
    <w:rsid w:val="00271767"/>
    <w:rsid w:val="00272293"/>
    <w:rsid w:val="002723C8"/>
    <w:rsid w:val="002725C1"/>
    <w:rsid w:val="00273C2A"/>
    <w:rsid w:val="00273CBE"/>
    <w:rsid w:val="002746B1"/>
    <w:rsid w:val="00274BAD"/>
    <w:rsid w:val="00282D56"/>
    <w:rsid w:val="002835B0"/>
    <w:rsid w:val="002836F1"/>
    <w:rsid w:val="00283C74"/>
    <w:rsid w:val="0028407E"/>
    <w:rsid w:val="0028410F"/>
    <w:rsid w:val="00284572"/>
    <w:rsid w:val="00285221"/>
    <w:rsid w:val="00286FB5"/>
    <w:rsid w:val="00287763"/>
    <w:rsid w:val="00290606"/>
    <w:rsid w:val="002909B2"/>
    <w:rsid w:val="00291D6D"/>
    <w:rsid w:val="00291FF1"/>
    <w:rsid w:val="002925C2"/>
    <w:rsid w:val="00292AA2"/>
    <w:rsid w:val="00292BF7"/>
    <w:rsid w:val="00293361"/>
    <w:rsid w:val="002952B1"/>
    <w:rsid w:val="00295D11"/>
    <w:rsid w:val="00296FB6"/>
    <w:rsid w:val="002A0001"/>
    <w:rsid w:val="002A0BD9"/>
    <w:rsid w:val="002A0C3A"/>
    <w:rsid w:val="002A1130"/>
    <w:rsid w:val="002A1880"/>
    <w:rsid w:val="002A23B7"/>
    <w:rsid w:val="002A3A57"/>
    <w:rsid w:val="002A4B4F"/>
    <w:rsid w:val="002A57A8"/>
    <w:rsid w:val="002A6DEF"/>
    <w:rsid w:val="002A6E42"/>
    <w:rsid w:val="002A770B"/>
    <w:rsid w:val="002B013E"/>
    <w:rsid w:val="002B017B"/>
    <w:rsid w:val="002B058D"/>
    <w:rsid w:val="002B0C16"/>
    <w:rsid w:val="002B2AC5"/>
    <w:rsid w:val="002B3528"/>
    <w:rsid w:val="002B3539"/>
    <w:rsid w:val="002B4532"/>
    <w:rsid w:val="002B5042"/>
    <w:rsid w:val="002B69CC"/>
    <w:rsid w:val="002B6D71"/>
    <w:rsid w:val="002C0C1C"/>
    <w:rsid w:val="002C54C2"/>
    <w:rsid w:val="002C5D34"/>
    <w:rsid w:val="002C60BB"/>
    <w:rsid w:val="002C661A"/>
    <w:rsid w:val="002D0D6F"/>
    <w:rsid w:val="002D25FC"/>
    <w:rsid w:val="002D4AC6"/>
    <w:rsid w:val="002D5BF5"/>
    <w:rsid w:val="002D5E95"/>
    <w:rsid w:val="002D5EE8"/>
    <w:rsid w:val="002D7150"/>
    <w:rsid w:val="002D7360"/>
    <w:rsid w:val="002D7648"/>
    <w:rsid w:val="002E109C"/>
    <w:rsid w:val="002E193E"/>
    <w:rsid w:val="002E1A94"/>
    <w:rsid w:val="002E1D55"/>
    <w:rsid w:val="002E1F3E"/>
    <w:rsid w:val="002E26C4"/>
    <w:rsid w:val="002E30A5"/>
    <w:rsid w:val="002E47E4"/>
    <w:rsid w:val="002E4BF9"/>
    <w:rsid w:val="002E4D61"/>
    <w:rsid w:val="002E5FED"/>
    <w:rsid w:val="002E68A7"/>
    <w:rsid w:val="002E6E6C"/>
    <w:rsid w:val="002F0522"/>
    <w:rsid w:val="002F0B85"/>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1ADC"/>
    <w:rsid w:val="00301EC6"/>
    <w:rsid w:val="00302EFC"/>
    <w:rsid w:val="00303243"/>
    <w:rsid w:val="00303BCC"/>
    <w:rsid w:val="00303D4A"/>
    <w:rsid w:val="00303F2B"/>
    <w:rsid w:val="00303F8D"/>
    <w:rsid w:val="0030572D"/>
    <w:rsid w:val="0030586A"/>
    <w:rsid w:val="0030622D"/>
    <w:rsid w:val="00306811"/>
    <w:rsid w:val="00306F32"/>
    <w:rsid w:val="003074C5"/>
    <w:rsid w:val="00307A3C"/>
    <w:rsid w:val="00307FA4"/>
    <w:rsid w:val="00310290"/>
    <w:rsid w:val="0031083D"/>
    <w:rsid w:val="00310CC1"/>
    <w:rsid w:val="00312504"/>
    <w:rsid w:val="00313026"/>
    <w:rsid w:val="00313913"/>
    <w:rsid w:val="0031421F"/>
    <w:rsid w:val="00314B31"/>
    <w:rsid w:val="0031581A"/>
    <w:rsid w:val="00315A65"/>
    <w:rsid w:val="003165D7"/>
    <w:rsid w:val="00317BA7"/>
    <w:rsid w:val="00320BE2"/>
    <w:rsid w:val="00321886"/>
    <w:rsid w:val="00323694"/>
    <w:rsid w:val="00323BE7"/>
    <w:rsid w:val="00324C3A"/>
    <w:rsid w:val="00324D63"/>
    <w:rsid w:val="00324EC2"/>
    <w:rsid w:val="003255AF"/>
    <w:rsid w:val="003256EB"/>
    <w:rsid w:val="003259DB"/>
    <w:rsid w:val="003314D9"/>
    <w:rsid w:val="00331653"/>
    <w:rsid w:val="0033194F"/>
    <w:rsid w:val="00331A48"/>
    <w:rsid w:val="00331BCC"/>
    <w:rsid w:val="003330C9"/>
    <w:rsid w:val="0033364C"/>
    <w:rsid w:val="00334415"/>
    <w:rsid w:val="00335EA1"/>
    <w:rsid w:val="0033691E"/>
    <w:rsid w:val="00336A6A"/>
    <w:rsid w:val="00336CCB"/>
    <w:rsid w:val="003411D1"/>
    <w:rsid w:val="003416BA"/>
    <w:rsid w:val="00342148"/>
    <w:rsid w:val="00342F99"/>
    <w:rsid w:val="0034575A"/>
    <w:rsid w:val="00345F57"/>
    <w:rsid w:val="00346E7F"/>
    <w:rsid w:val="00350458"/>
    <w:rsid w:val="00350E6C"/>
    <w:rsid w:val="003518A6"/>
    <w:rsid w:val="00351E7F"/>
    <w:rsid w:val="00351FCB"/>
    <w:rsid w:val="003525A7"/>
    <w:rsid w:val="00352953"/>
    <w:rsid w:val="00354062"/>
    <w:rsid w:val="0035459E"/>
    <w:rsid w:val="00354A03"/>
    <w:rsid w:val="00355C0D"/>
    <w:rsid w:val="003566A9"/>
    <w:rsid w:val="00356988"/>
    <w:rsid w:val="003569D3"/>
    <w:rsid w:val="00356CE9"/>
    <w:rsid w:val="003570BB"/>
    <w:rsid w:val="00357128"/>
    <w:rsid w:val="0035755E"/>
    <w:rsid w:val="00357A80"/>
    <w:rsid w:val="00361441"/>
    <w:rsid w:val="00361B8B"/>
    <w:rsid w:val="00361BE8"/>
    <w:rsid w:val="00362919"/>
    <w:rsid w:val="00363F39"/>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E79"/>
    <w:rsid w:val="0037529A"/>
    <w:rsid w:val="00375388"/>
    <w:rsid w:val="00375FB9"/>
    <w:rsid w:val="00376170"/>
    <w:rsid w:val="00376851"/>
    <w:rsid w:val="00376FA2"/>
    <w:rsid w:val="00377A3B"/>
    <w:rsid w:val="00377E3C"/>
    <w:rsid w:val="00380BBE"/>
    <w:rsid w:val="00381D70"/>
    <w:rsid w:val="0038235E"/>
    <w:rsid w:val="003829D0"/>
    <w:rsid w:val="0038326A"/>
    <w:rsid w:val="0038444F"/>
    <w:rsid w:val="003861F0"/>
    <w:rsid w:val="00387051"/>
    <w:rsid w:val="00387ECF"/>
    <w:rsid w:val="0039021B"/>
    <w:rsid w:val="00390429"/>
    <w:rsid w:val="003906A0"/>
    <w:rsid w:val="0039366C"/>
    <w:rsid w:val="00393EC8"/>
    <w:rsid w:val="003950F5"/>
    <w:rsid w:val="0039538F"/>
    <w:rsid w:val="00395E42"/>
    <w:rsid w:val="00396409"/>
    <w:rsid w:val="00396A2D"/>
    <w:rsid w:val="00396FC3"/>
    <w:rsid w:val="003A1A94"/>
    <w:rsid w:val="003A204E"/>
    <w:rsid w:val="003A2D25"/>
    <w:rsid w:val="003A52DA"/>
    <w:rsid w:val="003A5728"/>
    <w:rsid w:val="003A60E7"/>
    <w:rsid w:val="003A7092"/>
    <w:rsid w:val="003A72A1"/>
    <w:rsid w:val="003A7611"/>
    <w:rsid w:val="003A7D1F"/>
    <w:rsid w:val="003B0B6A"/>
    <w:rsid w:val="003B22F7"/>
    <w:rsid w:val="003B29CF"/>
    <w:rsid w:val="003B3A90"/>
    <w:rsid w:val="003B3E4E"/>
    <w:rsid w:val="003B534F"/>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904"/>
    <w:rsid w:val="003E285E"/>
    <w:rsid w:val="003E2BE6"/>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FE6"/>
    <w:rsid w:val="003F5638"/>
    <w:rsid w:val="003F6617"/>
    <w:rsid w:val="00402332"/>
    <w:rsid w:val="004025C2"/>
    <w:rsid w:val="00403195"/>
    <w:rsid w:val="004033A9"/>
    <w:rsid w:val="00403E55"/>
    <w:rsid w:val="0040407C"/>
    <w:rsid w:val="0040416C"/>
    <w:rsid w:val="00404681"/>
    <w:rsid w:val="00405AC1"/>
    <w:rsid w:val="00406923"/>
    <w:rsid w:val="00407001"/>
    <w:rsid w:val="0040763D"/>
    <w:rsid w:val="00410D17"/>
    <w:rsid w:val="00413442"/>
    <w:rsid w:val="00413821"/>
    <w:rsid w:val="00413BA5"/>
    <w:rsid w:val="004141A3"/>
    <w:rsid w:val="00414909"/>
    <w:rsid w:val="0041582F"/>
    <w:rsid w:val="00416112"/>
    <w:rsid w:val="00417AE0"/>
    <w:rsid w:val="00417BAA"/>
    <w:rsid w:val="0042042B"/>
    <w:rsid w:val="00420B45"/>
    <w:rsid w:val="00420D7A"/>
    <w:rsid w:val="00421257"/>
    <w:rsid w:val="00422193"/>
    <w:rsid w:val="004223DE"/>
    <w:rsid w:val="00422A10"/>
    <w:rsid w:val="004249C0"/>
    <w:rsid w:val="00424D17"/>
    <w:rsid w:val="00425DFD"/>
    <w:rsid w:val="004263A3"/>
    <w:rsid w:val="00427713"/>
    <w:rsid w:val="00427CCC"/>
    <w:rsid w:val="0043013A"/>
    <w:rsid w:val="00430421"/>
    <w:rsid w:val="0043049B"/>
    <w:rsid w:val="00430A36"/>
    <w:rsid w:val="00430B4F"/>
    <w:rsid w:val="00431084"/>
    <w:rsid w:val="004310D7"/>
    <w:rsid w:val="004313D9"/>
    <w:rsid w:val="004322D6"/>
    <w:rsid w:val="00432589"/>
    <w:rsid w:val="00432A94"/>
    <w:rsid w:val="00432C95"/>
    <w:rsid w:val="00433827"/>
    <w:rsid w:val="00433A40"/>
    <w:rsid w:val="00434B70"/>
    <w:rsid w:val="004360C8"/>
    <w:rsid w:val="00436FA4"/>
    <w:rsid w:val="004371D5"/>
    <w:rsid w:val="0044006B"/>
    <w:rsid w:val="0044033F"/>
    <w:rsid w:val="00440630"/>
    <w:rsid w:val="00441F0F"/>
    <w:rsid w:val="00442965"/>
    <w:rsid w:val="00444157"/>
    <w:rsid w:val="0044417C"/>
    <w:rsid w:val="00444DB3"/>
    <w:rsid w:val="00445617"/>
    <w:rsid w:val="00445A2F"/>
    <w:rsid w:val="0044684E"/>
    <w:rsid w:val="00446F22"/>
    <w:rsid w:val="0045019F"/>
    <w:rsid w:val="004503A4"/>
    <w:rsid w:val="00450555"/>
    <w:rsid w:val="004506FA"/>
    <w:rsid w:val="00450A9F"/>
    <w:rsid w:val="00450DC6"/>
    <w:rsid w:val="004516A5"/>
    <w:rsid w:val="00451E9C"/>
    <w:rsid w:val="0045280F"/>
    <w:rsid w:val="00452C81"/>
    <w:rsid w:val="004535AE"/>
    <w:rsid w:val="0045444D"/>
    <w:rsid w:val="0045463A"/>
    <w:rsid w:val="00454AC9"/>
    <w:rsid w:val="00455050"/>
    <w:rsid w:val="004554A3"/>
    <w:rsid w:val="00455A6E"/>
    <w:rsid w:val="00455EAD"/>
    <w:rsid w:val="004578EB"/>
    <w:rsid w:val="004604D5"/>
    <w:rsid w:val="00460697"/>
    <w:rsid w:val="0046117B"/>
    <w:rsid w:val="00464AB7"/>
    <w:rsid w:val="00465DE5"/>
    <w:rsid w:val="00467EF8"/>
    <w:rsid w:val="00471FC4"/>
    <w:rsid w:val="00472429"/>
    <w:rsid w:val="004725E5"/>
    <w:rsid w:val="00472751"/>
    <w:rsid w:val="00473128"/>
    <w:rsid w:val="00475078"/>
    <w:rsid w:val="00475767"/>
    <w:rsid w:val="004765FB"/>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6D60"/>
    <w:rsid w:val="00491FA1"/>
    <w:rsid w:val="00492A25"/>
    <w:rsid w:val="004938A3"/>
    <w:rsid w:val="0049558B"/>
    <w:rsid w:val="00496350"/>
    <w:rsid w:val="0049797C"/>
    <w:rsid w:val="00497B25"/>
    <w:rsid w:val="004A0404"/>
    <w:rsid w:val="004A0943"/>
    <w:rsid w:val="004A1405"/>
    <w:rsid w:val="004A1FC6"/>
    <w:rsid w:val="004A2E5F"/>
    <w:rsid w:val="004A38C2"/>
    <w:rsid w:val="004A3C03"/>
    <w:rsid w:val="004A3DB7"/>
    <w:rsid w:val="004A5088"/>
    <w:rsid w:val="004A5255"/>
    <w:rsid w:val="004A6CB0"/>
    <w:rsid w:val="004A70FF"/>
    <w:rsid w:val="004A76D5"/>
    <w:rsid w:val="004A7EDE"/>
    <w:rsid w:val="004B0D93"/>
    <w:rsid w:val="004B1FA4"/>
    <w:rsid w:val="004B29AC"/>
    <w:rsid w:val="004B35DF"/>
    <w:rsid w:val="004B3627"/>
    <w:rsid w:val="004B4922"/>
    <w:rsid w:val="004B57DF"/>
    <w:rsid w:val="004B5976"/>
    <w:rsid w:val="004B722E"/>
    <w:rsid w:val="004B72E8"/>
    <w:rsid w:val="004C01A5"/>
    <w:rsid w:val="004C0412"/>
    <w:rsid w:val="004C1142"/>
    <w:rsid w:val="004C2138"/>
    <w:rsid w:val="004C3940"/>
    <w:rsid w:val="004C51FD"/>
    <w:rsid w:val="004C65A8"/>
    <w:rsid w:val="004C6689"/>
    <w:rsid w:val="004D139A"/>
    <w:rsid w:val="004D14DC"/>
    <w:rsid w:val="004D17C6"/>
    <w:rsid w:val="004D2858"/>
    <w:rsid w:val="004D2E49"/>
    <w:rsid w:val="004D35BA"/>
    <w:rsid w:val="004D38E5"/>
    <w:rsid w:val="004D3C5A"/>
    <w:rsid w:val="004D449A"/>
    <w:rsid w:val="004D4701"/>
    <w:rsid w:val="004D47C7"/>
    <w:rsid w:val="004D4F35"/>
    <w:rsid w:val="004D5D45"/>
    <w:rsid w:val="004D618D"/>
    <w:rsid w:val="004D62A9"/>
    <w:rsid w:val="004D6EA4"/>
    <w:rsid w:val="004D6FC3"/>
    <w:rsid w:val="004D7476"/>
    <w:rsid w:val="004D7716"/>
    <w:rsid w:val="004E0306"/>
    <w:rsid w:val="004E0572"/>
    <w:rsid w:val="004E06D5"/>
    <w:rsid w:val="004E1641"/>
    <w:rsid w:val="004E1818"/>
    <w:rsid w:val="004E1990"/>
    <w:rsid w:val="004E25A8"/>
    <w:rsid w:val="004E3930"/>
    <w:rsid w:val="004E3ED9"/>
    <w:rsid w:val="004E5866"/>
    <w:rsid w:val="004E6097"/>
    <w:rsid w:val="004E61EF"/>
    <w:rsid w:val="004E63C6"/>
    <w:rsid w:val="004E76A7"/>
    <w:rsid w:val="004E7B03"/>
    <w:rsid w:val="004F0064"/>
    <w:rsid w:val="004F06AC"/>
    <w:rsid w:val="004F1D2A"/>
    <w:rsid w:val="004F243F"/>
    <w:rsid w:val="004F252C"/>
    <w:rsid w:val="004F36A3"/>
    <w:rsid w:val="004F3E0C"/>
    <w:rsid w:val="004F4308"/>
    <w:rsid w:val="004F63EF"/>
    <w:rsid w:val="004F7160"/>
    <w:rsid w:val="00500258"/>
    <w:rsid w:val="00500B2D"/>
    <w:rsid w:val="00501A99"/>
    <w:rsid w:val="00503180"/>
    <w:rsid w:val="005038A4"/>
    <w:rsid w:val="00505450"/>
    <w:rsid w:val="005055C4"/>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171C6"/>
    <w:rsid w:val="00520EF8"/>
    <w:rsid w:val="005210F7"/>
    <w:rsid w:val="00521753"/>
    <w:rsid w:val="0052239D"/>
    <w:rsid w:val="005224EE"/>
    <w:rsid w:val="00522879"/>
    <w:rsid w:val="00523BB1"/>
    <w:rsid w:val="00524839"/>
    <w:rsid w:val="0052570E"/>
    <w:rsid w:val="005260CD"/>
    <w:rsid w:val="00526265"/>
    <w:rsid w:val="0052655D"/>
    <w:rsid w:val="005265E0"/>
    <w:rsid w:val="00526BC3"/>
    <w:rsid w:val="00531761"/>
    <w:rsid w:val="00531820"/>
    <w:rsid w:val="0053248F"/>
    <w:rsid w:val="0053332A"/>
    <w:rsid w:val="0053358A"/>
    <w:rsid w:val="00534668"/>
    <w:rsid w:val="00534DDD"/>
    <w:rsid w:val="00535291"/>
    <w:rsid w:val="00535A94"/>
    <w:rsid w:val="00537874"/>
    <w:rsid w:val="0053795F"/>
    <w:rsid w:val="00537D3D"/>
    <w:rsid w:val="00540511"/>
    <w:rsid w:val="00540578"/>
    <w:rsid w:val="00540808"/>
    <w:rsid w:val="0054080E"/>
    <w:rsid w:val="00540EA1"/>
    <w:rsid w:val="0054358E"/>
    <w:rsid w:val="00543AF4"/>
    <w:rsid w:val="00544191"/>
    <w:rsid w:val="0054440C"/>
    <w:rsid w:val="005448EC"/>
    <w:rsid w:val="00544C0A"/>
    <w:rsid w:val="00544F39"/>
    <w:rsid w:val="00546F90"/>
    <w:rsid w:val="00547EFB"/>
    <w:rsid w:val="005522F2"/>
    <w:rsid w:val="005531DF"/>
    <w:rsid w:val="00553874"/>
    <w:rsid w:val="00554577"/>
    <w:rsid w:val="00554AD8"/>
    <w:rsid w:val="00554F78"/>
    <w:rsid w:val="00555DA1"/>
    <w:rsid w:val="00556BF7"/>
    <w:rsid w:val="00557F60"/>
    <w:rsid w:val="00561730"/>
    <w:rsid w:val="00561B97"/>
    <w:rsid w:val="00562149"/>
    <w:rsid w:val="005678D5"/>
    <w:rsid w:val="00567B5D"/>
    <w:rsid w:val="00570757"/>
    <w:rsid w:val="00573733"/>
    <w:rsid w:val="00573D73"/>
    <w:rsid w:val="00573E3F"/>
    <w:rsid w:val="00573F8B"/>
    <w:rsid w:val="00574554"/>
    <w:rsid w:val="00574E06"/>
    <w:rsid w:val="005751BB"/>
    <w:rsid w:val="00576089"/>
    <w:rsid w:val="00576358"/>
    <w:rsid w:val="005764B1"/>
    <w:rsid w:val="00576852"/>
    <w:rsid w:val="00576D06"/>
    <w:rsid w:val="005779E4"/>
    <w:rsid w:val="00580EC7"/>
    <w:rsid w:val="00581132"/>
    <w:rsid w:val="0058289C"/>
    <w:rsid w:val="005836C7"/>
    <w:rsid w:val="0058408E"/>
    <w:rsid w:val="00585374"/>
    <w:rsid w:val="005854CA"/>
    <w:rsid w:val="00585FAB"/>
    <w:rsid w:val="00590B77"/>
    <w:rsid w:val="00590D9A"/>
    <w:rsid w:val="005913A3"/>
    <w:rsid w:val="005940D4"/>
    <w:rsid w:val="00594A7B"/>
    <w:rsid w:val="0059580E"/>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32A4"/>
    <w:rsid w:val="005B3371"/>
    <w:rsid w:val="005B338D"/>
    <w:rsid w:val="005B36D7"/>
    <w:rsid w:val="005B3BAF"/>
    <w:rsid w:val="005B4DA3"/>
    <w:rsid w:val="005B5BEE"/>
    <w:rsid w:val="005B77D2"/>
    <w:rsid w:val="005C019B"/>
    <w:rsid w:val="005C08D0"/>
    <w:rsid w:val="005C1AED"/>
    <w:rsid w:val="005C203C"/>
    <w:rsid w:val="005C30C7"/>
    <w:rsid w:val="005C30F5"/>
    <w:rsid w:val="005C51A5"/>
    <w:rsid w:val="005C557A"/>
    <w:rsid w:val="005C566F"/>
    <w:rsid w:val="005C5C47"/>
    <w:rsid w:val="005C61DD"/>
    <w:rsid w:val="005C6438"/>
    <w:rsid w:val="005C6B8B"/>
    <w:rsid w:val="005C727F"/>
    <w:rsid w:val="005D02E3"/>
    <w:rsid w:val="005D1F34"/>
    <w:rsid w:val="005D2C1F"/>
    <w:rsid w:val="005D2DE8"/>
    <w:rsid w:val="005D34B2"/>
    <w:rsid w:val="005D3B54"/>
    <w:rsid w:val="005D40CD"/>
    <w:rsid w:val="005D6B59"/>
    <w:rsid w:val="005D784B"/>
    <w:rsid w:val="005E03E4"/>
    <w:rsid w:val="005E0454"/>
    <w:rsid w:val="005E05F6"/>
    <w:rsid w:val="005E2442"/>
    <w:rsid w:val="005E3111"/>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6D58"/>
    <w:rsid w:val="005F7383"/>
    <w:rsid w:val="0060058E"/>
    <w:rsid w:val="00601C8F"/>
    <w:rsid w:val="00601F77"/>
    <w:rsid w:val="00602A3C"/>
    <w:rsid w:val="00603977"/>
    <w:rsid w:val="00603EFD"/>
    <w:rsid w:val="0060475B"/>
    <w:rsid w:val="00604BED"/>
    <w:rsid w:val="00604FB6"/>
    <w:rsid w:val="00605387"/>
    <w:rsid w:val="00606302"/>
    <w:rsid w:val="006076FD"/>
    <w:rsid w:val="0061143F"/>
    <w:rsid w:val="006114D8"/>
    <w:rsid w:val="00613553"/>
    <w:rsid w:val="00613601"/>
    <w:rsid w:val="00613791"/>
    <w:rsid w:val="006150D6"/>
    <w:rsid w:val="00615245"/>
    <w:rsid w:val="0061590D"/>
    <w:rsid w:val="0061641E"/>
    <w:rsid w:val="00617EEE"/>
    <w:rsid w:val="00620A1F"/>
    <w:rsid w:val="00621561"/>
    <w:rsid w:val="0062169D"/>
    <w:rsid w:val="0062181E"/>
    <w:rsid w:val="0062211B"/>
    <w:rsid w:val="00622BB7"/>
    <w:rsid w:val="00622C1E"/>
    <w:rsid w:val="00623389"/>
    <w:rsid w:val="00623DAA"/>
    <w:rsid w:val="00623FAF"/>
    <w:rsid w:val="006265C4"/>
    <w:rsid w:val="0062678A"/>
    <w:rsid w:val="006270AF"/>
    <w:rsid w:val="00627F64"/>
    <w:rsid w:val="00632D04"/>
    <w:rsid w:val="00634367"/>
    <w:rsid w:val="00640082"/>
    <w:rsid w:val="00640291"/>
    <w:rsid w:val="006408B6"/>
    <w:rsid w:val="00640EFE"/>
    <w:rsid w:val="00641D6D"/>
    <w:rsid w:val="00641FAC"/>
    <w:rsid w:val="00643664"/>
    <w:rsid w:val="00643CAA"/>
    <w:rsid w:val="00644F16"/>
    <w:rsid w:val="006455EB"/>
    <w:rsid w:val="006456C2"/>
    <w:rsid w:val="00645A65"/>
    <w:rsid w:val="006477F0"/>
    <w:rsid w:val="006478E4"/>
    <w:rsid w:val="0065171A"/>
    <w:rsid w:val="00652680"/>
    <w:rsid w:val="00653CDE"/>
    <w:rsid w:val="00654585"/>
    <w:rsid w:val="00655AB6"/>
    <w:rsid w:val="00656281"/>
    <w:rsid w:val="0065636A"/>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11C4"/>
    <w:rsid w:val="006713AB"/>
    <w:rsid w:val="00672CA5"/>
    <w:rsid w:val="006735EA"/>
    <w:rsid w:val="00673711"/>
    <w:rsid w:val="00673F82"/>
    <w:rsid w:val="00674F74"/>
    <w:rsid w:val="0067508F"/>
    <w:rsid w:val="00677576"/>
    <w:rsid w:val="0068051E"/>
    <w:rsid w:val="00680B9D"/>
    <w:rsid w:val="00681F13"/>
    <w:rsid w:val="0068231C"/>
    <w:rsid w:val="00682344"/>
    <w:rsid w:val="00682B23"/>
    <w:rsid w:val="00682F28"/>
    <w:rsid w:val="00683515"/>
    <w:rsid w:val="006836E9"/>
    <w:rsid w:val="00684842"/>
    <w:rsid w:val="0068559F"/>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5AD"/>
    <w:rsid w:val="006A16D5"/>
    <w:rsid w:val="006A1772"/>
    <w:rsid w:val="006A1780"/>
    <w:rsid w:val="006A21DD"/>
    <w:rsid w:val="006A26C6"/>
    <w:rsid w:val="006A2AF6"/>
    <w:rsid w:val="006A3302"/>
    <w:rsid w:val="006A3B28"/>
    <w:rsid w:val="006A4FEE"/>
    <w:rsid w:val="006A703E"/>
    <w:rsid w:val="006A7BE3"/>
    <w:rsid w:val="006A7D32"/>
    <w:rsid w:val="006B01D1"/>
    <w:rsid w:val="006B0DF4"/>
    <w:rsid w:val="006B0E2B"/>
    <w:rsid w:val="006B16EA"/>
    <w:rsid w:val="006B1780"/>
    <w:rsid w:val="006B224E"/>
    <w:rsid w:val="006B376E"/>
    <w:rsid w:val="006B4589"/>
    <w:rsid w:val="006B610E"/>
    <w:rsid w:val="006B6805"/>
    <w:rsid w:val="006B6DE0"/>
    <w:rsid w:val="006C16C3"/>
    <w:rsid w:val="006C2187"/>
    <w:rsid w:val="006C32F4"/>
    <w:rsid w:val="006C3C54"/>
    <w:rsid w:val="006C4B6B"/>
    <w:rsid w:val="006C4F9F"/>
    <w:rsid w:val="006C71A2"/>
    <w:rsid w:val="006C73EC"/>
    <w:rsid w:val="006D0C1D"/>
    <w:rsid w:val="006D2E9D"/>
    <w:rsid w:val="006D4A4E"/>
    <w:rsid w:val="006D4C42"/>
    <w:rsid w:val="006D5389"/>
    <w:rsid w:val="006D5809"/>
    <w:rsid w:val="006D607E"/>
    <w:rsid w:val="006D6E12"/>
    <w:rsid w:val="006D70CB"/>
    <w:rsid w:val="006D715C"/>
    <w:rsid w:val="006D7363"/>
    <w:rsid w:val="006D774E"/>
    <w:rsid w:val="006E0754"/>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21"/>
    <w:rsid w:val="006F3231"/>
    <w:rsid w:val="006F3DE3"/>
    <w:rsid w:val="006F4787"/>
    <w:rsid w:val="006F61D8"/>
    <w:rsid w:val="006F62B7"/>
    <w:rsid w:val="006F70BC"/>
    <w:rsid w:val="006F7E7C"/>
    <w:rsid w:val="0070174E"/>
    <w:rsid w:val="007018DB"/>
    <w:rsid w:val="00701DE6"/>
    <w:rsid w:val="00702740"/>
    <w:rsid w:val="0070381B"/>
    <w:rsid w:val="0070796C"/>
    <w:rsid w:val="007109BB"/>
    <w:rsid w:val="00710EBF"/>
    <w:rsid w:val="007110B8"/>
    <w:rsid w:val="0071209F"/>
    <w:rsid w:val="007125A2"/>
    <w:rsid w:val="00712BAE"/>
    <w:rsid w:val="00713DD9"/>
    <w:rsid w:val="00713F79"/>
    <w:rsid w:val="007148A8"/>
    <w:rsid w:val="0071569F"/>
    <w:rsid w:val="00716AC8"/>
    <w:rsid w:val="00716E54"/>
    <w:rsid w:val="00717421"/>
    <w:rsid w:val="0072033C"/>
    <w:rsid w:val="00720B1B"/>
    <w:rsid w:val="00720B9C"/>
    <w:rsid w:val="00721062"/>
    <w:rsid w:val="00721E5D"/>
    <w:rsid w:val="007229D4"/>
    <w:rsid w:val="007230F8"/>
    <w:rsid w:val="007233F4"/>
    <w:rsid w:val="00724044"/>
    <w:rsid w:val="007248D3"/>
    <w:rsid w:val="00724DF8"/>
    <w:rsid w:val="00725137"/>
    <w:rsid w:val="00725378"/>
    <w:rsid w:val="00727A43"/>
    <w:rsid w:val="00727F2A"/>
    <w:rsid w:val="00727FF2"/>
    <w:rsid w:val="00730550"/>
    <w:rsid w:val="00730C2A"/>
    <w:rsid w:val="00731434"/>
    <w:rsid w:val="00731E59"/>
    <w:rsid w:val="007323E0"/>
    <w:rsid w:val="00732911"/>
    <w:rsid w:val="00733721"/>
    <w:rsid w:val="00733DE2"/>
    <w:rsid w:val="007352EA"/>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3C48"/>
    <w:rsid w:val="00754250"/>
    <w:rsid w:val="00754FE4"/>
    <w:rsid w:val="00755216"/>
    <w:rsid w:val="00756236"/>
    <w:rsid w:val="00756271"/>
    <w:rsid w:val="00756348"/>
    <w:rsid w:val="00756521"/>
    <w:rsid w:val="00756AB7"/>
    <w:rsid w:val="00757E5C"/>
    <w:rsid w:val="0076106D"/>
    <w:rsid w:val="007623FB"/>
    <w:rsid w:val="00762517"/>
    <w:rsid w:val="00763240"/>
    <w:rsid w:val="0076376A"/>
    <w:rsid w:val="007648AD"/>
    <w:rsid w:val="0076504E"/>
    <w:rsid w:val="00767BFD"/>
    <w:rsid w:val="00767EA0"/>
    <w:rsid w:val="0077068F"/>
    <w:rsid w:val="00771EDF"/>
    <w:rsid w:val="00772A90"/>
    <w:rsid w:val="00772F8D"/>
    <w:rsid w:val="0077408D"/>
    <w:rsid w:val="00774270"/>
    <w:rsid w:val="007743F6"/>
    <w:rsid w:val="00775679"/>
    <w:rsid w:val="0077574F"/>
    <w:rsid w:val="00775823"/>
    <w:rsid w:val="007777CC"/>
    <w:rsid w:val="00777B32"/>
    <w:rsid w:val="0078051E"/>
    <w:rsid w:val="00781089"/>
    <w:rsid w:val="007838F3"/>
    <w:rsid w:val="007856FE"/>
    <w:rsid w:val="00785F46"/>
    <w:rsid w:val="007865F4"/>
    <w:rsid w:val="00786D5C"/>
    <w:rsid w:val="00786E96"/>
    <w:rsid w:val="0078798A"/>
    <w:rsid w:val="00787DFF"/>
    <w:rsid w:val="00787F93"/>
    <w:rsid w:val="00791E6D"/>
    <w:rsid w:val="00791EB5"/>
    <w:rsid w:val="00791FF2"/>
    <w:rsid w:val="00793696"/>
    <w:rsid w:val="007955DA"/>
    <w:rsid w:val="0079668F"/>
    <w:rsid w:val="00796F65"/>
    <w:rsid w:val="007970C7"/>
    <w:rsid w:val="007A11C2"/>
    <w:rsid w:val="007A18BB"/>
    <w:rsid w:val="007A27DD"/>
    <w:rsid w:val="007A41BF"/>
    <w:rsid w:val="007A490A"/>
    <w:rsid w:val="007A7B95"/>
    <w:rsid w:val="007B0297"/>
    <w:rsid w:val="007B02FA"/>
    <w:rsid w:val="007B0F53"/>
    <w:rsid w:val="007B21AE"/>
    <w:rsid w:val="007B2570"/>
    <w:rsid w:val="007B3113"/>
    <w:rsid w:val="007B3304"/>
    <w:rsid w:val="007B4CD7"/>
    <w:rsid w:val="007B7490"/>
    <w:rsid w:val="007C0525"/>
    <w:rsid w:val="007C13F7"/>
    <w:rsid w:val="007C218D"/>
    <w:rsid w:val="007C2D28"/>
    <w:rsid w:val="007C3E22"/>
    <w:rsid w:val="007C49EE"/>
    <w:rsid w:val="007C5B90"/>
    <w:rsid w:val="007C6218"/>
    <w:rsid w:val="007C6484"/>
    <w:rsid w:val="007C67C6"/>
    <w:rsid w:val="007C78BE"/>
    <w:rsid w:val="007C7E59"/>
    <w:rsid w:val="007D0476"/>
    <w:rsid w:val="007D0B91"/>
    <w:rsid w:val="007D1452"/>
    <w:rsid w:val="007D3DCB"/>
    <w:rsid w:val="007D460C"/>
    <w:rsid w:val="007D4996"/>
    <w:rsid w:val="007D4AD3"/>
    <w:rsid w:val="007D5D19"/>
    <w:rsid w:val="007D5FDC"/>
    <w:rsid w:val="007D6176"/>
    <w:rsid w:val="007D6D68"/>
    <w:rsid w:val="007E32DA"/>
    <w:rsid w:val="007E4998"/>
    <w:rsid w:val="007E4A9C"/>
    <w:rsid w:val="007E6914"/>
    <w:rsid w:val="007E7F78"/>
    <w:rsid w:val="007F0179"/>
    <w:rsid w:val="007F19A7"/>
    <w:rsid w:val="007F2C13"/>
    <w:rsid w:val="007F2CEC"/>
    <w:rsid w:val="007F3435"/>
    <w:rsid w:val="007F55DE"/>
    <w:rsid w:val="007F564B"/>
    <w:rsid w:val="007F762D"/>
    <w:rsid w:val="007F78F0"/>
    <w:rsid w:val="007F78FF"/>
    <w:rsid w:val="008001C5"/>
    <w:rsid w:val="00800F6C"/>
    <w:rsid w:val="00801065"/>
    <w:rsid w:val="00802C0B"/>
    <w:rsid w:val="008051FC"/>
    <w:rsid w:val="008055A9"/>
    <w:rsid w:val="008056C4"/>
    <w:rsid w:val="008057FD"/>
    <w:rsid w:val="00805D8B"/>
    <w:rsid w:val="0080773A"/>
    <w:rsid w:val="00810BB6"/>
    <w:rsid w:val="00810E8E"/>
    <w:rsid w:val="00812C44"/>
    <w:rsid w:val="008135E1"/>
    <w:rsid w:val="00813779"/>
    <w:rsid w:val="00813E26"/>
    <w:rsid w:val="0081481D"/>
    <w:rsid w:val="00814BE8"/>
    <w:rsid w:val="00814F6E"/>
    <w:rsid w:val="00815363"/>
    <w:rsid w:val="00815B84"/>
    <w:rsid w:val="00816BE9"/>
    <w:rsid w:val="0082027C"/>
    <w:rsid w:val="00822518"/>
    <w:rsid w:val="008226F5"/>
    <w:rsid w:val="00823FC6"/>
    <w:rsid w:val="00824306"/>
    <w:rsid w:val="00825C74"/>
    <w:rsid w:val="00825CFA"/>
    <w:rsid w:val="00826AB9"/>
    <w:rsid w:val="00826E0E"/>
    <w:rsid w:val="00827D11"/>
    <w:rsid w:val="00827E0F"/>
    <w:rsid w:val="00827F6E"/>
    <w:rsid w:val="00831758"/>
    <w:rsid w:val="008317D9"/>
    <w:rsid w:val="0083279F"/>
    <w:rsid w:val="008334DB"/>
    <w:rsid w:val="00833A1A"/>
    <w:rsid w:val="00833B7F"/>
    <w:rsid w:val="00833E8E"/>
    <w:rsid w:val="00834906"/>
    <w:rsid w:val="00836075"/>
    <w:rsid w:val="00836417"/>
    <w:rsid w:val="00836A3E"/>
    <w:rsid w:val="00837526"/>
    <w:rsid w:val="00837CE8"/>
    <w:rsid w:val="008407A7"/>
    <w:rsid w:val="00841177"/>
    <w:rsid w:val="0084322B"/>
    <w:rsid w:val="00843F81"/>
    <w:rsid w:val="00844087"/>
    <w:rsid w:val="00844526"/>
    <w:rsid w:val="008448F1"/>
    <w:rsid w:val="0084519E"/>
    <w:rsid w:val="00845CAE"/>
    <w:rsid w:val="00846370"/>
    <w:rsid w:val="008477E7"/>
    <w:rsid w:val="00847C2B"/>
    <w:rsid w:val="00850272"/>
    <w:rsid w:val="008506B9"/>
    <w:rsid w:val="00851822"/>
    <w:rsid w:val="008532BF"/>
    <w:rsid w:val="008539B2"/>
    <w:rsid w:val="00853BF4"/>
    <w:rsid w:val="00854294"/>
    <w:rsid w:val="0085572E"/>
    <w:rsid w:val="00857104"/>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49EE"/>
    <w:rsid w:val="008754E4"/>
    <w:rsid w:val="00876EAE"/>
    <w:rsid w:val="00880106"/>
    <w:rsid w:val="00880F95"/>
    <w:rsid w:val="00882B44"/>
    <w:rsid w:val="008838AD"/>
    <w:rsid w:val="008864B3"/>
    <w:rsid w:val="008865E5"/>
    <w:rsid w:val="008871B0"/>
    <w:rsid w:val="00890B57"/>
    <w:rsid w:val="008916BA"/>
    <w:rsid w:val="0089217C"/>
    <w:rsid w:val="00892790"/>
    <w:rsid w:val="00893671"/>
    <w:rsid w:val="00895838"/>
    <w:rsid w:val="00895A1E"/>
    <w:rsid w:val="00895A72"/>
    <w:rsid w:val="00895CDF"/>
    <w:rsid w:val="00896679"/>
    <w:rsid w:val="00896D8C"/>
    <w:rsid w:val="008A0836"/>
    <w:rsid w:val="008A0FC9"/>
    <w:rsid w:val="008A17D6"/>
    <w:rsid w:val="008A1956"/>
    <w:rsid w:val="008A1A7C"/>
    <w:rsid w:val="008A2CE2"/>
    <w:rsid w:val="008A40D3"/>
    <w:rsid w:val="008A469C"/>
    <w:rsid w:val="008A51D1"/>
    <w:rsid w:val="008A5DCE"/>
    <w:rsid w:val="008A6AB1"/>
    <w:rsid w:val="008A75D3"/>
    <w:rsid w:val="008B05DD"/>
    <w:rsid w:val="008B07B8"/>
    <w:rsid w:val="008B17E8"/>
    <w:rsid w:val="008B2E7C"/>
    <w:rsid w:val="008B399A"/>
    <w:rsid w:val="008B45F0"/>
    <w:rsid w:val="008B4A70"/>
    <w:rsid w:val="008B502F"/>
    <w:rsid w:val="008B6DFC"/>
    <w:rsid w:val="008B7227"/>
    <w:rsid w:val="008C02FB"/>
    <w:rsid w:val="008C04E0"/>
    <w:rsid w:val="008C191C"/>
    <w:rsid w:val="008C1DA4"/>
    <w:rsid w:val="008C29B0"/>
    <w:rsid w:val="008C2CD5"/>
    <w:rsid w:val="008C3618"/>
    <w:rsid w:val="008C39E7"/>
    <w:rsid w:val="008C43AD"/>
    <w:rsid w:val="008C6118"/>
    <w:rsid w:val="008C6341"/>
    <w:rsid w:val="008C731F"/>
    <w:rsid w:val="008C74D9"/>
    <w:rsid w:val="008D3B2D"/>
    <w:rsid w:val="008D58D9"/>
    <w:rsid w:val="008D5AD4"/>
    <w:rsid w:val="008D695E"/>
    <w:rsid w:val="008D6DD5"/>
    <w:rsid w:val="008D6E59"/>
    <w:rsid w:val="008D7155"/>
    <w:rsid w:val="008D76E0"/>
    <w:rsid w:val="008E0B29"/>
    <w:rsid w:val="008E141A"/>
    <w:rsid w:val="008E1A44"/>
    <w:rsid w:val="008E28E6"/>
    <w:rsid w:val="008E3232"/>
    <w:rsid w:val="008E3674"/>
    <w:rsid w:val="008E3B6C"/>
    <w:rsid w:val="008E3DE7"/>
    <w:rsid w:val="008E562C"/>
    <w:rsid w:val="008E6540"/>
    <w:rsid w:val="008E77D4"/>
    <w:rsid w:val="008E7ADD"/>
    <w:rsid w:val="008F091F"/>
    <w:rsid w:val="008F17B2"/>
    <w:rsid w:val="008F22B3"/>
    <w:rsid w:val="008F357B"/>
    <w:rsid w:val="008F392D"/>
    <w:rsid w:val="008F44CA"/>
    <w:rsid w:val="008F49D3"/>
    <w:rsid w:val="008F5DFC"/>
    <w:rsid w:val="008F6519"/>
    <w:rsid w:val="008F7012"/>
    <w:rsid w:val="008F7ADA"/>
    <w:rsid w:val="008F7B17"/>
    <w:rsid w:val="00900042"/>
    <w:rsid w:val="0090034B"/>
    <w:rsid w:val="00901121"/>
    <w:rsid w:val="00902623"/>
    <w:rsid w:val="00902A67"/>
    <w:rsid w:val="00902C5E"/>
    <w:rsid w:val="00904BE4"/>
    <w:rsid w:val="0090504A"/>
    <w:rsid w:val="009051F5"/>
    <w:rsid w:val="00905221"/>
    <w:rsid w:val="00905A7C"/>
    <w:rsid w:val="00905D7E"/>
    <w:rsid w:val="00907037"/>
    <w:rsid w:val="0091112C"/>
    <w:rsid w:val="0091160A"/>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6112"/>
    <w:rsid w:val="0092625F"/>
    <w:rsid w:val="00926B28"/>
    <w:rsid w:val="00926D9C"/>
    <w:rsid w:val="00927028"/>
    <w:rsid w:val="00927763"/>
    <w:rsid w:val="00927A2D"/>
    <w:rsid w:val="00927B37"/>
    <w:rsid w:val="00930EC8"/>
    <w:rsid w:val="009321B1"/>
    <w:rsid w:val="00932ED7"/>
    <w:rsid w:val="0093422D"/>
    <w:rsid w:val="0093483B"/>
    <w:rsid w:val="00934CF9"/>
    <w:rsid w:val="00934DD7"/>
    <w:rsid w:val="009369A9"/>
    <w:rsid w:val="00936CF7"/>
    <w:rsid w:val="00937783"/>
    <w:rsid w:val="00937EAD"/>
    <w:rsid w:val="00937F28"/>
    <w:rsid w:val="00940FE1"/>
    <w:rsid w:val="00942306"/>
    <w:rsid w:val="00942384"/>
    <w:rsid w:val="009424B8"/>
    <w:rsid w:val="00944668"/>
    <w:rsid w:val="00944DC6"/>
    <w:rsid w:val="009458B0"/>
    <w:rsid w:val="00945B52"/>
    <w:rsid w:val="00945B7A"/>
    <w:rsid w:val="00945F05"/>
    <w:rsid w:val="00946348"/>
    <w:rsid w:val="009463E5"/>
    <w:rsid w:val="00947797"/>
    <w:rsid w:val="009478A2"/>
    <w:rsid w:val="00953808"/>
    <w:rsid w:val="009539A6"/>
    <w:rsid w:val="00954032"/>
    <w:rsid w:val="00954537"/>
    <w:rsid w:val="0095472D"/>
    <w:rsid w:val="00955098"/>
    <w:rsid w:val="00955FBB"/>
    <w:rsid w:val="0095694B"/>
    <w:rsid w:val="00956BD5"/>
    <w:rsid w:val="00956D84"/>
    <w:rsid w:val="009577B5"/>
    <w:rsid w:val="009608E6"/>
    <w:rsid w:val="00960F57"/>
    <w:rsid w:val="00961C90"/>
    <w:rsid w:val="00962AD6"/>
    <w:rsid w:val="00962E03"/>
    <w:rsid w:val="00965443"/>
    <w:rsid w:val="00965954"/>
    <w:rsid w:val="00965A21"/>
    <w:rsid w:val="00965E55"/>
    <w:rsid w:val="0096608E"/>
    <w:rsid w:val="00966522"/>
    <w:rsid w:val="00966C33"/>
    <w:rsid w:val="00970F18"/>
    <w:rsid w:val="00971CF1"/>
    <w:rsid w:val="00971F5D"/>
    <w:rsid w:val="009721E9"/>
    <w:rsid w:val="00973772"/>
    <w:rsid w:val="0097560A"/>
    <w:rsid w:val="00975E1E"/>
    <w:rsid w:val="00975E70"/>
    <w:rsid w:val="009761DE"/>
    <w:rsid w:val="009766FA"/>
    <w:rsid w:val="00976E1C"/>
    <w:rsid w:val="0097789E"/>
    <w:rsid w:val="00977CD6"/>
    <w:rsid w:val="0098048B"/>
    <w:rsid w:val="00980DF9"/>
    <w:rsid w:val="0098243D"/>
    <w:rsid w:val="00982D26"/>
    <w:rsid w:val="00983B6E"/>
    <w:rsid w:val="00983FE5"/>
    <w:rsid w:val="009849E9"/>
    <w:rsid w:val="009859E4"/>
    <w:rsid w:val="00987812"/>
    <w:rsid w:val="00990225"/>
    <w:rsid w:val="00992A13"/>
    <w:rsid w:val="00992B2E"/>
    <w:rsid w:val="00992C78"/>
    <w:rsid w:val="00994AAD"/>
    <w:rsid w:val="00994DE1"/>
    <w:rsid w:val="00995150"/>
    <w:rsid w:val="00995D67"/>
    <w:rsid w:val="009A013B"/>
    <w:rsid w:val="009A02F4"/>
    <w:rsid w:val="009A06BF"/>
    <w:rsid w:val="009A0D17"/>
    <w:rsid w:val="009A2494"/>
    <w:rsid w:val="009A32B1"/>
    <w:rsid w:val="009A33A3"/>
    <w:rsid w:val="009A36F2"/>
    <w:rsid w:val="009A40C3"/>
    <w:rsid w:val="009A40D5"/>
    <w:rsid w:val="009A57D0"/>
    <w:rsid w:val="009A6559"/>
    <w:rsid w:val="009A68FC"/>
    <w:rsid w:val="009A6CE4"/>
    <w:rsid w:val="009A7514"/>
    <w:rsid w:val="009A7E7A"/>
    <w:rsid w:val="009B1584"/>
    <w:rsid w:val="009B18F0"/>
    <w:rsid w:val="009B1F4C"/>
    <w:rsid w:val="009B2471"/>
    <w:rsid w:val="009B314F"/>
    <w:rsid w:val="009B439C"/>
    <w:rsid w:val="009B46BC"/>
    <w:rsid w:val="009B49A1"/>
    <w:rsid w:val="009B4A6C"/>
    <w:rsid w:val="009B4DA8"/>
    <w:rsid w:val="009B519A"/>
    <w:rsid w:val="009B620C"/>
    <w:rsid w:val="009B6753"/>
    <w:rsid w:val="009B676C"/>
    <w:rsid w:val="009B6A26"/>
    <w:rsid w:val="009C079D"/>
    <w:rsid w:val="009C0D70"/>
    <w:rsid w:val="009C13D1"/>
    <w:rsid w:val="009C2913"/>
    <w:rsid w:val="009C2BD4"/>
    <w:rsid w:val="009C5AFE"/>
    <w:rsid w:val="009C6606"/>
    <w:rsid w:val="009C6CE5"/>
    <w:rsid w:val="009C6D50"/>
    <w:rsid w:val="009C7547"/>
    <w:rsid w:val="009D05EC"/>
    <w:rsid w:val="009D18D4"/>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5B14"/>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9F7CBA"/>
    <w:rsid w:val="00A0010C"/>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2579"/>
    <w:rsid w:val="00A133D8"/>
    <w:rsid w:val="00A15655"/>
    <w:rsid w:val="00A160B0"/>
    <w:rsid w:val="00A1740C"/>
    <w:rsid w:val="00A20069"/>
    <w:rsid w:val="00A22330"/>
    <w:rsid w:val="00A2244D"/>
    <w:rsid w:val="00A2253D"/>
    <w:rsid w:val="00A2267F"/>
    <w:rsid w:val="00A22CDB"/>
    <w:rsid w:val="00A247B8"/>
    <w:rsid w:val="00A2495A"/>
    <w:rsid w:val="00A24C7A"/>
    <w:rsid w:val="00A24D8F"/>
    <w:rsid w:val="00A25B8B"/>
    <w:rsid w:val="00A25C5D"/>
    <w:rsid w:val="00A2689F"/>
    <w:rsid w:val="00A26C1A"/>
    <w:rsid w:val="00A26ECA"/>
    <w:rsid w:val="00A27461"/>
    <w:rsid w:val="00A27D67"/>
    <w:rsid w:val="00A30ABC"/>
    <w:rsid w:val="00A32415"/>
    <w:rsid w:val="00A33B74"/>
    <w:rsid w:val="00A3467F"/>
    <w:rsid w:val="00A34B4C"/>
    <w:rsid w:val="00A35030"/>
    <w:rsid w:val="00A3551A"/>
    <w:rsid w:val="00A366A0"/>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6B74"/>
    <w:rsid w:val="00A47ECC"/>
    <w:rsid w:val="00A50171"/>
    <w:rsid w:val="00A504FA"/>
    <w:rsid w:val="00A5102E"/>
    <w:rsid w:val="00A5132E"/>
    <w:rsid w:val="00A51375"/>
    <w:rsid w:val="00A51533"/>
    <w:rsid w:val="00A531D4"/>
    <w:rsid w:val="00A54572"/>
    <w:rsid w:val="00A575B8"/>
    <w:rsid w:val="00A61C60"/>
    <w:rsid w:val="00A61ECB"/>
    <w:rsid w:val="00A62B3C"/>
    <w:rsid w:val="00A637EC"/>
    <w:rsid w:val="00A6410C"/>
    <w:rsid w:val="00A647B1"/>
    <w:rsid w:val="00A64DEF"/>
    <w:rsid w:val="00A654D2"/>
    <w:rsid w:val="00A665DF"/>
    <w:rsid w:val="00A671E0"/>
    <w:rsid w:val="00A67FCC"/>
    <w:rsid w:val="00A7064F"/>
    <w:rsid w:val="00A70AA5"/>
    <w:rsid w:val="00A70C03"/>
    <w:rsid w:val="00A71256"/>
    <w:rsid w:val="00A7217B"/>
    <w:rsid w:val="00A73861"/>
    <w:rsid w:val="00A739A6"/>
    <w:rsid w:val="00A740ED"/>
    <w:rsid w:val="00A74C29"/>
    <w:rsid w:val="00A74C62"/>
    <w:rsid w:val="00A75DF5"/>
    <w:rsid w:val="00A75EF9"/>
    <w:rsid w:val="00A8311C"/>
    <w:rsid w:val="00A835D0"/>
    <w:rsid w:val="00A84C5F"/>
    <w:rsid w:val="00A857A7"/>
    <w:rsid w:val="00A85930"/>
    <w:rsid w:val="00A863F7"/>
    <w:rsid w:val="00A86604"/>
    <w:rsid w:val="00A87519"/>
    <w:rsid w:val="00A92040"/>
    <w:rsid w:val="00A9246D"/>
    <w:rsid w:val="00A92CCA"/>
    <w:rsid w:val="00A93BD0"/>
    <w:rsid w:val="00A93CC2"/>
    <w:rsid w:val="00A974CC"/>
    <w:rsid w:val="00AA2001"/>
    <w:rsid w:val="00AA2B5C"/>
    <w:rsid w:val="00AA32D2"/>
    <w:rsid w:val="00AA4016"/>
    <w:rsid w:val="00AA4C1F"/>
    <w:rsid w:val="00AA5328"/>
    <w:rsid w:val="00AA5393"/>
    <w:rsid w:val="00AA63D4"/>
    <w:rsid w:val="00AA796E"/>
    <w:rsid w:val="00AB03FD"/>
    <w:rsid w:val="00AB2000"/>
    <w:rsid w:val="00AB38CB"/>
    <w:rsid w:val="00AB3BEC"/>
    <w:rsid w:val="00AB44E4"/>
    <w:rsid w:val="00AB4AEB"/>
    <w:rsid w:val="00AB4E5F"/>
    <w:rsid w:val="00AB5352"/>
    <w:rsid w:val="00AB56AE"/>
    <w:rsid w:val="00AB5B8F"/>
    <w:rsid w:val="00AB62D5"/>
    <w:rsid w:val="00AB65B5"/>
    <w:rsid w:val="00AB6DCD"/>
    <w:rsid w:val="00AB6EE0"/>
    <w:rsid w:val="00AB775A"/>
    <w:rsid w:val="00AB7871"/>
    <w:rsid w:val="00AC17A2"/>
    <w:rsid w:val="00AC40B7"/>
    <w:rsid w:val="00AC531F"/>
    <w:rsid w:val="00AC5B36"/>
    <w:rsid w:val="00AC6377"/>
    <w:rsid w:val="00AC66A4"/>
    <w:rsid w:val="00AC6A4E"/>
    <w:rsid w:val="00AC6CB1"/>
    <w:rsid w:val="00AC7D6D"/>
    <w:rsid w:val="00AD0091"/>
    <w:rsid w:val="00AD23EF"/>
    <w:rsid w:val="00AD2662"/>
    <w:rsid w:val="00AD307B"/>
    <w:rsid w:val="00AD4014"/>
    <w:rsid w:val="00AD41B3"/>
    <w:rsid w:val="00AD5721"/>
    <w:rsid w:val="00AD69F0"/>
    <w:rsid w:val="00AD7127"/>
    <w:rsid w:val="00AD730C"/>
    <w:rsid w:val="00AE123A"/>
    <w:rsid w:val="00AE1539"/>
    <w:rsid w:val="00AE28A7"/>
    <w:rsid w:val="00AE2A98"/>
    <w:rsid w:val="00AE2CF2"/>
    <w:rsid w:val="00AE3012"/>
    <w:rsid w:val="00AE33A6"/>
    <w:rsid w:val="00AE3729"/>
    <w:rsid w:val="00AE4138"/>
    <w:rsid w:val="00AE4CCE"/>
    <w:rsid w:val="00AE5C6A"/>
    <w:rsid w:val="00AE6317"/>
    <w:rsid w:val="00AE7280"/>
    <w:rsid w:val="00AF033A"/>
    <w:rsid w:val="00AF0696"/>
    <w:rsid w:val="00AF1699"/>
    <w:rsid w:val="00AF1FD3"/>
    <w:rsid w:val="00AF2910"/>
    <w:rsid w:val="00AF34B8"/>
    <w:rsid w:val="00AF3896"/>
    <w:rsid w:val="00AF3FC2"/>
    <w:rsid w:val="00B0098A"/>
    <w:rsid w:val="00B00A5F"/>
    <w:rsid w:val="00B00F89"/>
    <w:rsid w:val="00B029B8"/>
    <w:rsid w:val="00B02F60"/>
    <w:rsid w:val="00B032B8"/>
    <w:rsid w:val="00B04721"/>
    <w:rsid w:val="00B04B15"/>
    <w:rsid w:val="00B04B46"/>
    <w:rsid w:val="00B0534D"/>
    <w:rsid w:val="00B05685"/>
    <w:rsid w:val="00B05F9F"/>
    <w:rsid w:val="00B06368"/>
    <w:rsid w:val="00B068DA"/>
    <w:rsid w:val="00B06A00"/>
    <w:rsid w:val="00B06FC6"/>
    <w:rsid w:val="00B074C9"/>
    <w:rsid w:val="00B07D9D"/>
    <w:rsid w:val="00B11AE5"/>
    <w:rsid w:val="00B12FE6"/>
    <w:rsid w:val="00B1303F"/>
    <w:rsid w:val="00B1364A"/>
    <w:rsid w:val="00B13761"/>
    <w:rsid w:val="00B13859"/>
    <w:rsid w:val="00B13EC9"/>
    <w:rsid w:val="00B14319"/>
    <w:rsid w:val="00B14A06"/>
    <w:rsid w:val="00B1581D"/>
    <w:rsid w:val="00B158E1"/>
    <w:rsid w:val="00B16715"/>
    <w:rsid w:val="00B1768E"/>
    <w:rsid w:val="00B17910"/>
    <w:rsid w:val="00B20F18"/>
    <w:rsid w:val="00B21516"/>
    <w:rsid w:val="00B21669"/>
    <w:rsid w:val="00B21A37"/>
    <w:rsid w:val="00B21D23"/>
    <w:rsid w:val="00B21F62"/>
    <w:rsid w:val="00B22CE0"/>
    <w:rsid w:val="00B23738"/>
    <w:rsid w:val="00B23BEF"/>
    <w:rsid w:val="00B247BB"/>
    <w:rsid w:val="00B2504A"/>
    <w:rsid w:val="00B25EE6"/>
    <w:rsid w:val="00B266DF"/>
    <w:rsid w:val="00B3115A"/>
    <w:rsid w:val="00B31825"/>
    <w:rsid w:val="00B31A5C"/>
    <w:rsid w:val="00B33B06"/>
    <w:rsid w:val="00B33C19"/>
    <w:rsid w:val="00B35A15"/>
    <w:rsid w:val="00B35B45"/>
    <w:rsid w:val="00B36A99"/>
    <w:rsid w:val="00B42264"/>
    <w:rsid w:val="00B434B2"/>
    <w:rsid w:val="00B43D45"/>
    <w:rsid w:val="00B45B3F"/>
    <w:rsid w:val="00B468F2"/>
    <w:rsid w:val="00B469DE"/>
    <w:rsid w:val="00B47286"/>
    <w:rsid w:val="00B50234"/>
    <w:rsid w:val="00B51BF4"/>
    <w:rsid w:val="00B52C68"/>
    <w:rsid w:val="00B5372B"/>
    <w:rsid w:val="00B542FE"/>
    <w:rsid w:val="00B55A1B"/>
    <w:rsid w:val="00B561DB"/>
    <w:rsid w:val="00B56DF9"/>
    <w:rsid w:val="00B600BD"/>
    <w:rsid w:val="00B61274"/>
    <w:rsid w:val="00B61DCE"/>
    <w:rsid w:val="00B62188"/>
    <w:rsid w:val="00B62F79"/>
    <w:rsid w:val="00B62F82"/>
    <w:rsid w:val="00B6306A"/>
    <w:rsid w:val="00B635E3"/>
    <w:rsid w:val="00B65381"/>
    <w:rsid w:val="00B662FF"/>
    <w:rsid w:val="00B66679"/>
    <w:rsid w:val="00B67136"/>
    <w:rsid w:val="00B70145"/>
    <w:rsid w:val="00B71A92"/>
    <w:rsid w:val="00B721D8"/>
    <w:rsid w:val="00B730CA"/>
    <w:rsid w:val="00B747C5"/>
    <w:rsid w:val="00B74F2F"/>
    <w:rsid w:val="00B753ED"/>
    <w:rsid w:val="00B769BC"/>
    <w:rsid w:val="00B77349"/>
    <w:rsid w:val="00B7761E"/>
    <w:rsid w:val="00B80A3D"/>
    <w:rsid w:val="00B80B04"/>
    <w:rsid w:val="00B8127B"/>
    <w:rsid w:val="00B819E5"/>
    <w:rsid w:val="00B821E4"/>
    <w:rsid w:val="00B823E0"/>
    <w:rsid w:val="00B8260D"/>
    <w:rsid w:val="00B82B78"/>
    <w:rsid w:val="00B845B4"/>
    <w:rsid w:val="00B84662"/>
    <w:rsid w:val="00B84C74"/>
    <w:rsid w:val="00B85191"/>
    <w:rsid w:val="00B858A1"/>
    <w:rsid w:val="00B85FEC"/>
    <w:rsid w:val="00B864A3"/>
    <w:rsid w:val="00B8667D"/>
    <w:rsid w:val="00B86C2A"/>
    <w:rsid w:val="00B878BE"/>
    <w:rsid w:val="00B902A5"/>
    <w:rsid w:val="00B90420"/>
    <w:rsid w:val="00B90848"/>
    <w:rsid w:val="00B91146"/>
    <w:rsid w:val="00B913E4"/>
    <w:rsid w:val="00B91DB9"/>
    <w:rsid w:val="00B91FF3"/>
    <w:rsid w:val="00B93B29"/>
    <w:rsid w:val="00B93EFE"/>
    <w:rsid w:val="00B944B9"/>
    <w:rsid w:val="00B94956"/>
    <w:rsid w:val="00B94C7F"/>
    <w:rsid w:val="00B94E93"/>
    <w:rsid w:val="00B956B5"/>
    <w:rsid w:val="00B96DF2"/>
    <w:rsid w:val="00B96E18"/>
    <w:rsid w:val="00B96F5A"/>
    <w:rsid w:val="00B97FA9"/>
    <w:rsid w:val="00BA0B39"/>
    <w:rsid w:val="00BA0CB2"/>
    <w:rsid w:val="00BA0E26"/>
    <w:rsid w:val="00BA138B"/>
    <w:rsid w:val="00BA13F3"/>
    <w:rsid w:val="00BA305B"/>
    <w:rsid w:val="00BA31BF"/>
    <w:rsid w:val="00BA3FC7"/>
    <w:rsid w:val="00BA478B"/>
    <w:rsid w:val="00BA5224"/>
    <w:rsid w:val="00BA575E"/>
    <w:rsid w:val="00BA76B7"/>
    <w:rsid w:val="00BA7BAB"/>
    <w:rsid w:val="00BA7E3B"/>
    <w:rsid w:val="00BB078D"/>
    <w:rsid w:val="00BB079C"/>
    <w:rsid w:val="00BB0D7A"/>
    <w:rsid w:val="00BB10E1"/>
    <w:rsid w:val="00BB2471"/>
    <w:rsid w:val="00BB3035"/>
    <w:rsid w:val="00BB39C1"/>
    <w:rsid w:val="00BB3DF5"/>
    <w:rsid w:val="00BB5D16"/>
    <w:rsid w:val="00BB6180"/>
    <w:rsid w:val="00BB69E6"/>
    <w:rsid w:val="00BB7BE5"/>
    <w:rsid w:val="00BC08BD"/>
    <w:rsid w:val="00BC11E8"/>
    <w:rsid w:val="00BC1B7A"/>
    <w:rsid w:val="00BC2C17"/>
    <w:rsid w:val="00BC3ACD"/>
    <w:rsid w:val="00BC3B20"/>
    <w:rsid w:val="00BC3EE4"/>
    <w:rsid w:val="00BC588C"/>
    <w:rsid w:val="00BC6E73"/>
    <w:rsid w:val="00BC74D3"/>
    <w:rsid w:val="00BC7A0F"/>
    <w:rsid w:val="00BD0014"/>
    <w:rsid w:val="00BD01D8"/>
    <w:rsid w:val="00BD191B"/>
    <w:rsid w:val="00BD255F"/>
    <w:rsid w:val="00BD2895"/>
    <w:rsid w:val="00BD4236"/>
    <w:rsid w:val="00BD483B"/>
    <w:rsid w:val="00BD5CD4"/>
    <w:rsid w:val="00BD65D9"/>
    <w:rsid w:val="00BD6DF3"/>
    <w:rsid w:val="00BD6E09"/>
    <w:rsid w:val="00BD6EF9"/>
    <w:rsid w:val="00BD7616"/>
    <w:rsid w:val="00BE0ACB"/>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245A"/>
    <w:rsid w:val="00BF4342"/>
    <w:rsid w:val="00BF4704"/>
    <w:rsid w:val="00BF4FFC"/>
    <w:rsid w:val="00BF5050"/>
    <w:rsid w:val="00BF50D1"/>
    <w:rsid w:val="00BF5422"/>
    <w:rsid w:val="00BF59B1"/>
    <w:rsid w:val="00BF6A78"/>
    <w:rsid w:val="00BF7695"/>
    <w:rsid w:val="00BF79B4"/>
    <w:rsid w:val="00BF7C61"/>
    <w:rsid w:val="00C01427"/>
    <w:rsid w:val="00C014C7"/>
    <w:rsid w:val="00C047AB"/>
    <w:rsid w:val="00C058AF"/>
    <w:rsid w:val="00C075B6"/>
    <w:rsid w:val="00C124C1"/>
    <w:rsid w:val="00C128AE"/>
    <w:rsid w:val="00C12BA8"/>
    <w:rsid w:val="00C136D6"/>
    <w:rsid w:val="00C13902"/>
    <w:rsid w:val="00C13D5B"/>
    <w:rsid w:val="00C141D7"/>
    <w:rsid w:val="00C1711B"/>
    <w:rsid w:val="00C17AE2"/>
    <w:rsid w:val="00C17E00"/>
    <w:rsid w:val="00C20140"/>
    <w:rsid w:val="00C20F27"/>
    <w:rsid w:val="00C215CF"/>
    <w:rsid w:val="00C2244B"/>
    <w:rsid w:val="00C22711"/>
    <w:rsid w:val="00C2280A"/>
    <w:rsid w:val="00C22B0D"/>
    <w:rsid w:val="00C22BFF"/>
    <w:rsid w:val="00C23522"/>
    <w:rsid w:val="00C240C1"/>
    <w:rsid w:val="00C2421F"/>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3B57"/>
    <w:rsid w:val="00C34619"/>
    <w:rsid w:val="00C35D01"/>
    <w:rsid w:val="00C360B3"/>
    <w:rsid w:val="00C37027"/>
    <w:rsid w:val="00C37653"/>
    <w:rsid w:val="00C37B19"/>
    <w:rsid w:val="00C413CB"/>
    <w:rsid w:val="00C42752"/>
    <w:rsid w:val="00C42973"/>
    <w:rsid w:val="00C445E8"/>
    <w:rsid w:val="00C44C69"/>
    <w:rsid w:val="00C4712A"/>
    <w:rsid w:val="00C5034F"/>
    <w:rsid w:val="00C503EA"/>
    <w:rsid w:val="00C50830"/>
    <w:rsid w:val="00C52479"/>
    <w:rsid w:val="00C5266E"/>
    <w:rsid w:val="00C52C59"/>
    <w:rsid w:val="00C5349E"/>
    <w:rsid w:val="00C539FF"/>
    <w:rsid w:val="00C544BD"/>
    <w:rsid w:val="00C54D3D"/>
    <w:rsid w:val="00C55A30"/>
    <w:rsid w:val="00C56384"/>
    <w:rsid w:val="00C570FE"/>
    <w:rsid w:val="00C60F8C"/>
    <w:rsid w:val="00C61794"/>
    <w:rsid w:val="00C62A48"/>
    <w:rsid w:val="00C62AC4"/>
    <w:rsid w:val="00C62B59"/>
    <w:rsid w:val="00C62F96"/>
    <w:rsid w:val="00C631E1"/>
    <w:rsid w:val="00C638D8"/>
    <w:rsid w:val="00C63AE7"/>
    <w:rsid w:val="00C63D26"/>
    <w:rsid w:val="00C6540A"/>
    <w:rsid w:val="00C668A1"/>
    <w:rsid w:val="00C66DEC"/>
    <w:rsid w:val="00C67223"/>
    <w:rsid w:val="00C707B8"/>
    <w:rsid w:val="00C712AC"/>
    <w:rsid w:val="00C71C15"/>
    <w:rsid w:val="00C71F3D"/>
    <w:rsid w:val="00C72F53"/>
    <w:rsid w:val="00C7313D"/>
    <w:rsid w:val="00C74035"/>
    <w:rsid w:val="00C748EA"/>
    <w:rsid w:val="00C77818"/>
    <w:rsid w:val="00C8063F"/>
    <w:rsid w:val="00C81282"/>
    <w:rsid w:val="00C827B4"/>
    <w:rsid w:val="00C83214"/>
    <w:rsid w:val="00C8329F"/>
    <w:rsid w:val="00C84F8A"/>
    <w:rsid w:val="00C85603"/>
    <w:rsid w:val="00C85BA4"/>
    <w:rsid w:val="00C8618F"/>
    <w:rsid w:val="00C8625D"/>
    <w:rsid w:val="00C8753A"/>
    <w:rsid w:val="00C90372"/>
    <w:rsid w:val="00C9041F"/>
    <w:rsid w:val="00C9166B"/>
    <w:rsid w:val="00C91A45"/>
    <w:rsid w:val="00C91FB4"/>
    <w:rsid w:val="00C92150"/>
    <w:rsid w:val="00C92328"/>
    <w:rsid w:val="00C92D42"/>
    <w:rsid w:val="00C938C2"/>
    <w:rsid w:val="00C93F8A"/>
    <w:rsid w:val="00C94EA1"/>
    <w:rsid w:val="00C9511B"/>
    <w:rsid w:val="00C95745"/>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A5C58"/>
    <w:rsid w:val="00CB0901"/>
    <w:rsid w:val="00CB19D7"/>
    <w:rsid w:val="00CB19FE"/>
    <w:rsid w:val="00CB1C3F"/>
    <w:rsid w:val="00CB21F6"/>
    <w:rsid w:val="00CB2364"/>
    <w:rsid w:val="00CB304C"/>
    <w:rsid w:val="00CB3933"/>
    <w:rsid w:val="00CB53E8"/>
    <w:rsid w:val="00CB594A"/>
    <w:rsid w:val="00CB5CB2"/>
    <w:rsid w:val="00CB6979"/>
    <w:rsid w:val="00CB6E7D"/>
    <w:rsid w:val="00CB7DDE"/>
    <w:rsid w:val="00CC0A3D"/>
    <w:rsid w:val="00CC0E22"/>
    <w:rsid w:val="00CC1585"/>
    <w:rsid w:val="00CC3C53"/>
    <w:rsid w:val="00CC3D24"/>
    <w:rsid w:val="00CC3F9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437E"/>
    <w:rsid w:val="00CD44A0"/>
    <w:rsid w:val="00CD5DAD"/>
    <w:rsid w:val="00CD72C5"/>
    <w:rsid w:val="00CD79A7"/>
    <w:rsid w:val="00CE0789"/>
    <w:rsid w:val="00CE0E8D"/>
    <w:rsid w:val="00CE1A03"/>
    <w:rsid w:val="00CE2346"/>
    <w:rsid w:val="00CE25B2"/>
    <w:rsid w:val="00CE3529"/>
    <w:rsid w:val="00CE35C8"/>
    <w:rsid w:val="00CE3962"/>
    <w:rsid w:val="00CE4D1A"/>
    <w:rsid w:val="00CE4E8A"/>
    <w:rsid w:val="00CE5105"/>
    <w:rsid w:val="00CE56BD"/>
    <w:rsid w:val="00CE5EC0"/>
    <w:rsid w:val="00CE6F9F"/>
    <w:rsid w:val="00CE781A"/>
    <w:rsid w:val="00CE7B08"/>
    <w:rsid w:val="00CE7D52"/>
    <w:rsid w:val="00CF1D74"/>
    <w:rsid w:val="00CF2646"/>
    <w:rsid w:val="00CF2BE2"/>
    <w:rsid w:val="00CF3DEB"/>
    <w:rsid w:val="00CF55F9"/>
    <w:rsid w:val="00CF7074"/>
    <w:rsid w:val="00CF7495"/>
    <w:rsid w:val="00D0033D"/>
    <w:rsid w:val="00D00A82"/>
    <w:rsid w:val="00D01CF9"/>
    <w:rsid w:val="00D0334D"/>
    <w:rsid w:val="00D0374D"/>
    <w:rsid w:val="00D03A2D"/>
    <w:rsid w:val="00D06D7B"/>
    <w:rsid w:val="00D06DA5"/>
    <w:rsid w:val="00D07191"/>
    <w:rsid w:val="00D07F1D"/>
    <w:rsid w:val="00D10558"/>
    <w:rsid w:val="00D106EB"/>
    <w:rsid w:val="00D114EB"/>
    <w:rsid w:val="00D11D4D"/>
    <w:rsid w:val="00D126DC"/>
    <w:rsid w:val="00D129E1"/>
    <w:rsid w:val="00D12B03"/>
    <w:rsid w:val="00D13CEB"/>
    <w:rsid w:val="00D13E70"/>
    <w:rsid w:val="00D15FCD"/>
    <w:rsid w:val="00D16C58"/>
    <w:rsid w:val="00D17019"/>
    <w:rsid w:val="00D17FC8"/>
    <w:rsid w:val="00D20B44"/>
    <w:rsid w:val="00D21168"/>
    <w:rsid w:val="00D2438C"/>
    <w:rsid w:val="00D2585A"/>
    <w:rsid w:val="00D259B0"/>
    <w:rsid w:val="00D26C3F"/>
    <w:rsid w:val="00D27185"/>
    <w:rsid w:val="00D30EF8"/>
    <w:rsid w:val="00D32518"/>
    <w:rsid w:val="00D33488"/>
    <w:rsid w:val="00D33AB3"/>
    <w:rsid w:val="00D33F24"/>
    <w:rsid w:val="00D34160"/>
    <w:rsid w:val="00D34521"/>
    <w:rsid w:val="00D346B8"/>
    <w:rsid w:val="00D34DCA"/>
    <w:rsid w:val="00D35AC8"/>
    <w:rsid w:val="00D36F87"/>
    <w:rsid w:val="00D37D49"/>
    <w:rsid w:val="00D37E4E"/>
    <w:rsid w:val="00D40DEF"/>
    <w:rsid w:val="00D417D8"/>
    <w:rsid w:val="00D41F78"/>
    <w:rsid w:val="00D42E6C"/>
    <w:rsid w:val="00D4351C"/>
    <w:rsid w:val="00D43B80"/>
    <w:rsid w:val="00D44988"/>
    <w:rsid w:val="00D45B4C"/>
    <w:rsid w:val="00D45BA4"/>
    <w:rsid w:val="00D465D0"/>
    <w:rsid w:val="00D471AF"/>
    <w:rsid w:val="00D4724F"/>
    <w:rsid w:val="00D50519"/>
    <w:rsid w:val="00D51601"/>
    <w:rsid w:val="00D51ECB"/>
    <w:rsid w:val="00D522B9"/>
    <w:rsid w:val="00D5264C"/>
    <w:rsid w:val="00D52BBC"/>
    <w:rsid w:val="00D537FE"/>
    <w:rsid w:val="00D53CC9"/>
    <w:rsid w:val="00D54A6A"/>
    <w:rsid w:val="00D54B8F"/>
    <w:rsid w:val="00D55951"/>
    <w:rsid w:val="00D559F0"/>
    <w:rsid w:val="00D56E0D"/>
    <w:rsid w:val="00D57EB6"/>
    <w:rsid w:val="00D608C0"/>
    <w:rsid w:val="00D60D6D"/>
    <w:rsid w:val="00D6128C"/>
    <w:rsid w:val="00D66CE1"/>
    <w:rsid w:val="00D66D8B"/>
    <w:rsid w:val="00D70849"/>
    <w:rsid w:val="00D72297"/>
    <w:rsid w:val="00D72A1C"/>
    <w:rsid w:val="00D7308F"/>
    <w:rsid w:val="00D7313E"/>
    <w:rsid w:val="00D73580"/>
    <w:rsid w:val="00D73802"/>
    <w:rsid w:val="00D73C2C"/>
    <w:rsid w:val="00D73D52"/>
    <w:rsid w:val="00D745E7"/>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782"/>
    <w:rsid w:val="00D86D47"/>
    <w:rsid w:val="00D8710C"/>
    <w:rsid w:val="00D873C6"/>
    <w:rsid w:val="00D9074A"/>
    <w:rsid w:val="00D9099E"/>
    <w:rsid w:val="00D9193A"/>
    <w:rsid w:val="00D923B2"/>
    <w:rsid w:val="00D92463"/>
    <w:rsid w:val="00D937A8"/>
    <w:rsid w:val="00D93E64"/>
    <w:rsid w:val="00D93F64"/>
    <w:rsid w:val="00D94CA4"/>
    <w:rsid w:val="00D95E99"/>
    <w:rsid w:val="00D965D5"/>
    <w:rsid w:val="00D97DA2"/>
    <w:rsid w:val="00DA1A3A"/>
    <w:rsid w:val="00DA2351"/>
    <w:rsid w:val="00DA249E"/>
    <w:rsid w:val="00DA2D3D"/>
    <w:rsid w:val="00DA4C30"/>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1056"/>
    <w:rsid w:val="00DC1442"/>
    <w:rsid w:val="00DC21D8"/>
    <w:rsid w:val="00DC282A"/>
    <w:rsid w:val="00DC34DC"/>
    <w:rsid w:val="00DC3780"/>
    <w:rsid w:val="00DC3ADA"/>
    <w:rsid w:val="00DC3CC6"/>
    <w:rsid w:val="00DC3F55"/>
    <w:rsid w:val="00DC4782"/>
    <w:rsid w:val="00DC514A"/>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85A"/>
    <w:rsid w:val="00DE0A1D"/>
    <w:rsid w:val="00DE15B2"/>
    <w:rsid w:val="00DE1A9A"/>
    <w:rsid w:val="00DE3D2C"/>
    <w:rsid w:val="00DE5E82"/>
    <w:rsid w:val="00DE5F9B"/>
    <w:rsid w:val="00DE5FA6"/>
    <w:rsid w:val="00DE660A"/>
    <w:rsid w:val="00DE6792"/>
    <w:rsid w:val="00DE6AA1"/>
    <w:rsid w:val="00DE7AAB"/>
    <w:rsid w:val="00DE7EF7"/>
    <w:rsid w:val="00DF015B"/>
    <w:rsid w:val="00DF02EC"/>
    <w:rsid w:val="00DF10FC"/>
    <w:rsid w:val="00DF1185"/>
    <w:rsid w:val="00DF1299"/>
    <w:rsid w:val="00DF1A70"/>
    <w:rsid w:val="00DF1E5F"/>
    <w:rsid w:val="00DF23A8"/>
    <w:rsid w:val="00DF2F27"/>
    <w:rsid w:val="00DF36B6"/>
    <w:rsid w:val="00DF4296"/>
    <w:rsid w:val="00DF53F0"/>
    <w:rsid w:val="00DF5F38"/>
    <w:rsid w:val="00DF637F"/>
    <w:rsid w:val="00DF6608"/>
    <w:rsid w:val="00DF6CCC"/>
    <w:rsid w:val="00DF6D0C"/>
    <w:rsid w:val="00DF6F64"/>
    <w:rsid w:val="00DF721E"/>
    <w:rsid w:val="00DF7B8A"/>
    <w:rsid w:val="00DF7C87"/>
    <w:rsid w:val="00E009B0"/>
    <w:rsid w:val="00E00A12"/>
    <w:rsid w:val="00E00C49"/>
    <w:rsid w:val="00E00E9A"/>
    <w:rsid w:val="00E01C9C"/>
    <w:rsid w:val="00E0219D"/>
    <w:rsid w:val="00E04C0F"/>
    <w:rsid w:val="00E0570B"/>
    <w:rsid w:val="00E10913"/>
    <w:rsid w:val="00E10B87"/>
    <w:rsid w:val="00E121CE"/>
    <w:rsid w:val="00E1478B"/>
    <w:rsid w:val="00E14FAC"/>
    <w:rsid w:val="00E15007"/>
    <w:rsid w:val="00E16277"/>
    <w:rsid w:val="00E16BDE"/>
    <w:rsid w:val="00E16EC7"/>
    <w:rsid w:val="00E219CE"/>
    <w:rsid w:val="00E24071"/>
    <w:rsid w:val="00E24EBC"/>
    <w:rsid w:val="00E2522C"/>
    <w:rsid w:val="00E2552F"/>
    <w:rsid w:val="00E2599B"/>
    <w:rsid w:val="00E2710C"/>
    <w:rsid w:val="00E27428"/>
    <w:rsid w:val="00E305B4"/>
    <w:rsid w:val="00E31AFA"/>
    <w:rsid w:val="00E31CB7"/>
    <w:rsid w:val="00E324EE"/>
    <w:rsid w:val="00E34DB1"/>
    <w:rsid w:val="00E35931"/>
    <w:rsid w:val="00E359FF"/>
    <w:rsid w:val="00E402C5"/>
    <w:rsid w:val="00E402F4"/>
    <w:rsid w:val="00E405F1"/>
    <w:rsid w:val="00E417DB"/>
    <w:rsid w:val="00E43054"/>
    <w:rsid w:val="00E43655"/>
    <w:rsid w:val="00E44440"/>
    <w:rsid w:val="00E46013"/>
    <w:rsid w:val="00E47099"/>
    <w:rsid w:val="00E47284"/>
    <w:rsid w:val="00E4730A"/>
    <w:rsid w:val="00E477C3"/>
    <w:rsid w:val="00E51E16"/>
    <w:rsid w:val="00E530D0"/>
    <w:rsid w:val="00E53730"/>
    <w:rsid w:val="00E5438D"/>
    <w:rsid w:val="00E54511"/>
    <w:rsid w:val="00E54ADC"/>
    <w:rsid w:val="00E54E50"/>
    <w:rsid w:val="00E55288"/>
    <w:rsid w:val="00E55332"/>
    <w:rsid w:val="00E57577"/>
    <w:rsid w:val="00E62043"/>
    <w:rsid w:val="00E626B9"/>
    <w:rsid w:val="00E627C9"/>
    <w:rsid w:val="00E630F3"/>
    <w:rsid w:val="00E6332F"/>
    <w:rsid w:val="00E637C9"/>
    <w:rsid w:val="00E6402D"/>
    <w:rsid w:val="00E658BE"/>
    <w:rsid w:val="00E6680A"/>
    <w:rsid w:val="00E66F0D"/>
    <w:rsid w:val="00E70615"/>
    <w:rsid w:val="00E7161E"/>
    <w:rsid w:val="00E7207B"/>
    <w:rsid w:val="00E7347A"/>
    <w:rsid w:val="00E75A47"/>
    <w:rsid w:val="00E75BB6"/>
    <w:rsid w:val="00E75D8C"/>
    <w:rsid w:val="00E777F2"/>
    <w:rsid w:val="00E802C9"/>
    <w:rsid w:val="00E80BFB"/>
    <w:rsid w:val="00E80F0A"/>
    <w:rsid w:val="00E815D4"/>
    <w:rsid w:val="00E8291B"/>
    <w:rsid w:val="00E82E70"/>
    <w:rsid w:val="00E82F92"/>
    <w:rsid w:val="00E8395F"/>
    <w:rsid w:val="00E8410F"/>
    <w:rsid w:val="00E849D7"/>
    <w:rsid w:val="00E85E41"/>
    <w:rsid w:val="00E85EA1"/>
    <w:rsid w:val="00E86703"/>
    <w:rsid w:val="00E91044"/>
    <w:rsid w:val="00E910D3"/>
    <w:rsid w:val="00E92154"/>
    <w:rsid w:val="00E923CF"/>
    <w:rsid w:val="00E93685"/>
    <w:rsid w:val="00E93B65"/>
    <w:rsid w:val="00E93C8C"/>
    <w:rsid w:val="00E95111"/>
    <w:rsid w:val="00E95E1F"/>
    <w:rsid w:val="00E95FDF"/>
    <w:rsid w:val="00EA14C8"/>
    <w:rsid w:val="00EA2110"/>
    <w:rsid w:val="00EA283A"/>
    <w:rsid w:val="00EA2C90"/>
    <w:rsid w:val="00EA2E07"/>
    <w:rsid w:val="00EA383B"/>
    <w:rsid w:val="00EA48F3"/>
    <w:rsid w:val="00EA511B"/>
    <w:rsid w:val="00EA60BF"/>
    <w:rsid w:val="00EA6F6A"/>
    <w:rsid w:val="00EA7365"/>
    <w:rsid w:val="00EA763F"/>
    <w:rsid w:val="00EA77E9"/>
    <w:rsid w:val="00EB05D0"/>
    <w:rsid w:val="00EB1151"/>
    <w:rsid w:val="00EB1D49"/>
    <w:rsid w:val="00EB234C"/>
    <w:rsid w:val="00EB23D9"/>
    <w:rsid w:val="00EB39A0"/>
    <w:rsid w:val="00EB4507"/>
    <w:rsid w:val="00EB559F"/>
    <w:rsid w:val="00EB566C"/>
    <w:rsid w:val="00EB5F3D"/>
    <w:rsid w:val="00EB6D01"/>
    <w:rsid w:val="00EC0F4E"/>
    <w:rsid w:val="00EC1CEB"/>
    <w:rsid w:val="00EC1DC0"/>
    <w:rsid w:val="00EC1DC2"/>
    <w:rsid w:val="00EC21EC"/>
    <w:rsid w:val="00EC24B8"/>
    <w:rsid w:val="00EC268C"/>
    <w:rsid w:val="00EC3753"/>
    <w:rsid w:val="00EC4E71"/>
    <w:rsid w:val="00EC5F1C"/>
    <w:rsid w:val="00ED0365"/>
    <w:rsid w:val="00ED0865"/>
    <w:rsid w:val="00ED1C60"/>
    <w:rsid w:val="00ED2084"/>
    <w:rsid w:val="00ED2EB9"/>
    <w:rsid w:val="00ED3722"/>
    <w:rsid w:val="00ED3A31"/>
    <w:rsid w:val="00ED4469"/>
    <w:rsid w:val="00ED5424"/>
    <w:rsid w:val="00ED5F23"/>
    <w:rsid w:val="00ED6DC0"/>
    <w:rsid w:val="00ED7A7A"/>
    <w:rsid w:val="00EE0327"/>
    <w:rsid w:val="00EE038C"/>
    <w:rsid w:val="00EE2243"/>
    <w:rsid w:val="00EE28C5"/>
    <w:rsid w:val="00EE2F09"/>
    <w:rsid w:val="00EE2F13"/>
    <w:rsid w:val="00EE3654"/>
    <w:rsid w:val="00EE46C0"/>
    <w:rsid w:val="00EE47C5"/>
    <w:rsid w:val="00EE490C"/>
    <w:rsid w:val="00EE4E57"/>
    <w:rsid w:val="00EE5738"/>
    <w:rsid w:val="00EE58BD"/>
    <w:rsid w:val="00EE5E59"/>
    <w:rsid w:val="00EE6549"/>
    <w:rsid w:val="00EE73D0"/>
    <w:rsid w:val="00EE7CB0"/>
    <w:rsid w:val="00EF08A8"/>
    <w:rsid w:val="00EF167B"/>
    <w:rsid w:val="00EF41A8"/>
    <w:rsid w:val="00EF44FB"/>
    <w:rsid w:val="00EF4895"/>
    <w:rsid w:val="00EF5122"/>
    <w:rsid w:val="00EF5554"/>
    <w:rsid w:val="00EF5AD8"/>
    <w:rsid w:val="00EF6B90"/>
    <w:rsid w:val="00EF7807"/>
    <w:rsid w:val="00EF79F7"/>
    <w:rsid w:val="00F006C0"/>
    <w:rsid w:val="00F0125F"/>
    <w:rsid w:val="00F019AA"/>
    <w:rsid w:val="00F0267E"/>
    <w:rsid w:val="00F02686"/>
    <w:rsid w:val="00F028B7"/>
    <w:rsid w:val="00F030C0"/>
    <w:rsid w:val="00F03291"/>
    <w:rsid w:val="00F0459B"/>
    <w:rsid w:val="00F04E15"/>
    <w:rsid w:val="00F05DF3"/>
    <w:rsid w:val="00F069EA"/>
    <w:rsid w:val="00F070E5"/>
    <w:rsid w:val="00F07DDE"/>
    <w:rsid w:val="00F11675"/>
    <w:rsid w:val="00F12557"/>
    <w:rsid w:val="00F13599"/>
    <w:rsid w:val="00F13B28"/>
    <w:rsid w:val="00F13DB6"/>
    <w:rsid w:val="00F14E01"/>
    <w:rsid w:val="00F156A0"/>
    <w:rsid w:val="00F15730"/>
    <w:rsid w:val="00F164B0"/>
    <w:rsid w:val="00F176A6"/>
    <w:rsid w:val="00F202C2"/>
    <w:rsid w:val="00F212F6"/>
    <w:rsid w:val="00F22756"/>
    <w:rsid w:val="00F23248"/>
    <w:rsid w:val="00F23890"/>
    <w:rsid w:val="00F2504D"/>
    <w:rsid w:val="00F2637F"/>
    <w:rsid w:val="00F268F7"/>
    <w:rsid w:val="00F30B83"/>
    <w:rsid w:val="00F30BDB"/>
    <w:rsid w:val="00F30CF8"/>
    <w:rsid w:val="00F31EDF"/>
    <w:rsid w:val="00F32CDE"/>
    <w:rsid w:val="00F32D4C"/>
    <w:rsid w:val="00F3327E"/>
    <w:rsid w:val="00F338C3"/>
    <w:rsid w:val="00F34B14"/>
    <w:rsid w:val="00F34F58"/>
    <w:rsid w:val="00F35634"/>
    <w:rsid w:val="00F35D17"/>
    <w:rsid w:val="00F35DA7"/>
    <w:rsid w:val="00F36A6A"/>
    <w:rsid w:val="00F40101"/>
    <w:rsid w:val="00F404F7"/>
    <w:rsid w:val="00F40CCA"/>
    <w:rsid w:val="00F41069"/>
    <w:rsid w:val="00F42D97"/>
    <w:rsid w:val="00F436B2"/>
    <w:rsid w:val="00F43813"/>
    <w:rsid w:val="00F43FEE"/>
    <w:rsid w:val="00F45A72"/>
    <w:rsid w:val="00F46723"/>
    <w:rsid w:val="00F4706D"/>
    <w:rsid w:val="00F476E1"/>
    <w:rsid w:val="00F47D1D"/>
    <w:rsid w:val="00F47F29"/>
    <w:rsid w:val="00F50016"/>
    <w:rsid w:val="00F5118A"/>
    <w:rsid w:val="00F51A21"/>
    <w:rsid w:val="00F52614"/>
    <w:rsid w:val="00F5276E"/>
    <w:rsid w:val="00F52E9F"/>
    <w:rsid w:val="00F53304"/>
    <w:rsid w:val="00F539EA"/>
    <w:rsid w:val="00F53B81"/>
    <w:rsid w:val="00F540FE"/>
    <w:rsid w:val="00F556FF"/>
    <w:rsid w:val="00F55D12"/>
    <w:rsid w:val="00F5687F"/>
    <w:rsid w:val="00F56D3F"/>
    <w:rsid w:val="00F575C7"/>
    <w:rsid w:val="00F57FD0"/>
    <w:rsid w:val="00F60305"/>
    <w:rsid w:val="00F61B12"/>
    <w:rsid w:val="00F63264"/>
    <w:rsid w:val="00F634E4"/>
    <w:rsid w:val="00F636A8"/>
    <w:rsid w:val="00F6379E"/>
    <w:rsid w:val="00F64047"/>
    <w:rsid w:val="00F65171"/>
    <w:rsid w:val="00F6560D"/>
    <w:rsid w:val="00F67844"/>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158"/>
    <w:rsid w:val="00F81587"/>
    <w:rsid w:val="00F8288F"/>
    <w:rsid w:val="00F84033"/>
    <w:rsid w:val="00F84802"/>
    <w:rsid w:val="00F85B72"/>
    <w:rsid w:val="00F86540"/>
    <w:rsid w:val="00F865CE"/>
    <w:rsid w:val="00F8766F"/>
    <w:rsid w:val="00F90BB3"/>
    <w:rsid w:val="00F91082"/>
    <w:rsid w:val="00F9116D"/>
    <w:rsid w:val="00F91A9A"/>
    <w:rsid w:val="00F91C67"/>
    <w:rsid w:val="00F9203B"/>
    <w:rsid w:val="00F93251"/>
    <w:rsid w:val="00F93ABB"/>
    <w:rsid w:val="00F94D79"/>
    <w:rsid w:val="00F9658C"/>
    <w:rsid w:val="00F97A7F"/>
    <w:rsid w:val="00FA0889"/>
    <w:rsid w:val="00FA16E7"/>
    <w:rsid w:val="00FA31C7"/>
    <w:rsid w:val="00FA472D"/>
    <w:rsid w:val="00FB0CBF"/>
    <w:rsid w:val="00FB18F6"/>
    <w:rsid w:val="00FB23E5"/>
    <w:rsid w:val="00FB2A52"/>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6524"/>
    <w:rsid w:val="00FC75AC"/>
    <w:rsid w:val="00FD01BF"/>
    <w:rsid w:val="00FD022A"/>
    <w:rsid w:val="00FD0525"/>
    <w:rsid w:val="00FD0AB7"/>
    <w:rsid w:val="00FD297D"/>
    <w:rsid w:val="00FD2D13"/>
    <w:rsid w:val="00FD374D"/>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0AE8"/>
    <w:rsid w:val="00FF1C9B"/>
    <w:rsid w:val="00FF1D49"/>
    <w:rsid w:val="00FF203B"/>
    <w:rsid w:val="00FF2562"/>
    <w:rsid w:val="00FF3A41"/>
    <w:rsid w:val="00FF3E5B"/>
    <w:rsid w:val="00FF57E4"/>
    <w:rsid w:val="00FF72B5"/>
    <w:rsid w:val="00FF78E5"/>
    <w:rsid w:val="0138084D"/>
    <w:rsid w:val="01AF3D99"/>
    <w:rsid w:val="01E21A57"/>
    <w:rsid w:val="02181129"/>
    <w:rsid w:val="02511F9D"/>
    <w:rsid w:val="03A314B8"/>
    <w:rsid w:val="03D82B98"/>
    <w:rsid w:val="03F83E8B"/>
    <w:rsid w:val="05C56868"/>
    <w:rsid w:val="07B72767"/>
    <w:rsid w:val="08077E72"/>
    <w:rsid w:val="087E2252"/>
    <w:rsid w:val="08882DD0"/>
    <w:rsid w:val="09CC2AAC"/>
    <w:rsid w:val="09D26E76"/>
    <w:rsid w:val="0A652D3E"/>
    <w:rsid w:val="0B1A366C"/>
    <w:rsid w:val="0B326F2A"/>
    <w:rsid w:val="0C1E2888"/>
    <w:rsid w:val="0C92213C"/>
    <w:rsid w:val="0D84032B"/>
    <w:rsid w:val="0F2A74C4"/>
    <w:rsid w:val="10A27F31"/>
    <w:rsid w:val="11825269"/>
    <w:rsid w:val="118530A1"/>
    <w:rsid w:val="11927058"/>
    <w:rsid w:val="13AF4F03"/>
    <w:rsid w:val="141B4093"/>
    <w:rsid w:val="14736E66"/>
    <w:rsid w:val="147F458F"/>
    <w:rsid w:val="14D958EC"/>
    <w:rsid w:val="1534169A"/>
    <w:rsid w:val="15C03E03"/>
    <w:rsid w:val="162A25EB"/>
    <w:rsid w:val="16FD2A55"/>
    <w:rsid w:val="17067C1A"/>
    <w:rsid w:val="17366761"/>
    <w:rsid w:val="177C01F0"/>
    <w:rsid w:val="17CE6630"/>
    <w:rsid w:val="185672FA"/>
    <w:rsid w:val="18C035AA"/>
    <w:rsid w:val="1A335064"/>
    <w:rsid w:val="1AFF0AFE"/>
    <w:rsid w:val="1B035D36"/>
    <w:rsid w:val="1B4F19F8"/>
    <w:rsid w:val="1C226F03"/>
    <w:rsid w:val="1ECC44FA"/>
    <w:rsid w:val="1F063325"/>
    <w:rsid w:val="1FBC5DF5"/>
    <w:rsid w:val="1FF90588"/>
    <w:rsid w:val="20C3623F"/>
    <w:rsid w:val="20E42D7F"/>
    <w:rsid w:val="211E1CF2"/>
    <w:rsid w:val="21781212"/>
    <w:rsid w:val="218D69CE"/>
    <w:rsid w:val="21B83F86"/>
    <w:rsid w:val="221178A8"/>
    <w:rsid w:val="221213CF"/>
    <w:rsid w:val="22327A92"/>
    <w:rsid w:val="22FB1FE8"/>
    <w:rsid w:val="231D53A2"/>
    <w:rsid w:val="236D5383"/>
    <w:rsid w:val="23AB0F1B"/>
    <w:rsid w:val="23B7504C"/>
    <w:rsid w:val="23EB3467"/>
    <w:rsid w:val="24571307"/>
    <w:rsid w:val="25110A2A"/>
    <w:rsid w:val="256C0944"/>
    <w:rsid w:val="25EC17F4"/>
    <w:rsid w:val="260E7FC9"/>
    <w:rsid w:val="26446DE3"/>
    <w:rsid w:val="269669E7"/>
    <w:rsid w:val="26D7699F"/>
    <w:rsid w:val="282B1959"/>
    <w:rsid w:val="2B774624"/>
    <w:rsid w:val="2B970870"/>
    <w:rsid w:val="2C23181A"/>
    <w:rsid w:val="2C7A72BE"/>
    <w:rsid w:val="2C9A7D75"/>
    <w:rsid w:val="2CC17412"/>
    <w:rsid w:val="2D980FAF"/>
    <w:rsid w:val="2DC647A7"/>
    <w:rsid w:val="2E842D1E"/>
    <w:rsid w:val="2E9976CE"/>
    <w:rsid w:val="2F401D3C"/>
    <w:rsid w:val="2F4B2E4B"/>
    <w:rsid w:val="2F5B24E1"/>
    <w:rsid w:val="2FA95C88"/>
    <w:rsid w:val="3041370F"/>
    <w:rsid w:val="312B50A3"/>
    <w:rsid w:val="32453A27"/>
    <w:rsid w:val="324E0A8F"/>
    <w:rsid w:val="3263064A"/>
    <w:rsid w:val="32A43132"/>
    <w:rsid w:val="32AC0C06"/>
    <w:rsid w:val="33193E47"/>
    <w:rsid w:val="33344EF5"/>
    <w:rsid w:val="3388376F"/>
    <w:rsid w:val="3537750C"/>
    <w:rsid w:val="3537798C"/>
    <w:rsid w:val="35C13FC9"/>
    <w:rsid w:val="364257B6"/>
    <w:rsid w:val="37EA5922"/>
    <w:rsid w:val="38276B93"/>
    <w:rsid w:val="38AC3431"/>
    <w:rsid w:val="392F2E16"/>
    <w:rsid w:val="39CB4D8C"/>
    <w:rsid w:val="39E00529"/>
    <w:rsid w:val="3A0B64A7"/>
    <w:rsid w:val="3A574DDA"/>
    <w:rsid w:val="3AD3075A"/>
    <w:rsid w:val="3AF74C02"/>
    <w:rsid w:val="3AFC0239"/>
    <w:rsid w:val="3BC25E05"/>
    <w:rsid w:val="3BD11D17"/>
    <w:rsid w:val="3C0059A5"/>
    <w:rsid w:val="3C134E78"/>
    <w:rsid w:val="3DEC7285"/>
    <w:rsid w:val="3DF064DB"/>
    <w:rsid w:val="3DF6345D"/>
    <w:rsid w:val="3E2B5515"/>
    <w:rsid w:val="3E4D4F28"/>
    <w:rsid w:val="3E584271"/>
    <w:rsid w:val="3EE13701"/>
    <w:rsid w:val="3F1A4BB3"/>
    <w:rsid w:val="3F9335C1"/>
    <w:rsid w:val="40192BA6"/>
    <w:rsid w:val="41766EA9"/>
    <w:rsid w:val="42550A18"/>
    <w:rsid w:val="429D496A"/>
    <w:rsid w:val="42F473A1"/>
    <w:rsid w:val="441E62C0"/>
    <w:rsid w:val="45325D14"/>
    <w:rsid w:val="45811C7C"/>
    <w:rsid w:val="45906116"/>
    <w:rsid w:val="46277145"/>
    <w:rsid w:val="468B3EFB"/>
    <w:rsid w:val="470A6193"/>
    <w:rsid w:val="47385210"/>
    <w:rsid w:val="47DC4F5C"/>
    <w:rsid w:val="4808522C"/>
    <w:rsid w:val="488A68CF"/>
    <w:rsid w:val="48B40671"/>
    <w:rsid w:val="499B5738"/>
    <w:rsid w:val="499F244D"/>
    <w:rsid w:val="4A973F3F"/>
    <w:rsid w:val="4AF96BC7"/>
    <w:rsid w:val="4B5A416B"/>
    <w:rsid w:val="4B862A85"/>
    <w:rsid w:val="4CEF36E2"/>
    <w:rsid w:val="4CEF4DC5"/>
    <w:rsid w:val="4D8C044B"/>
    <w:rsid w:val="4D915F9F"/>
    <w:rsid w:val="4E257655"/>
    <w:rsid w:val="4E8406DF"/>
    <w:rsid w:val="4E8E7871"/>
    <w:rsid w:val="4F372380"/>
    <w:rsid w:val="4F372FFB"/>
    <w:rsid w:val="5025116D"/>
    <w:rsid w:val="507B2BDD"/>
    <w:rsid w:val="52395ECD"/>
    <w:rsid w:val="52C10D75"/>
    <w:rsid w:val="53C27FF8"/>
    <w:rsid w:val="549E1A80"/>
    <w:rsid w:val="54C658F4"/>
    <w:rsid w:val="550C4BD7"/>
    <w:rsid w:val="554C1D56"/>
    <w:rsid w:val="55572986"/>
    <w:rsid w:val="55C062DD"/>
    <w:rsid w:val="55D31987"/>
    <w:rsid w:val="562E5835"/>
    <w:rsid w:val="565340FA"/>
    <w:rsid w:val="5723343E"/>
    <w:rsid w:val="573D7EAB"/>
    <w:rsid w:val="580B26F8"/>
    <w:rsid w:val="58323FB4"/>
    <w:rsid w:val="5A2F2CC8"/>
    <w:rsid w:val="5BA26962"/>
    <w:rsid w:val="5C10702D"/>
    <w:rsid w:val="5C152601"/>
    <w:rsid w:val="5C591F03"/>
    <w:rsid w:val="5C8A1B2F"/>
    <w:rsid w:val="5D914004"/>
    <w:rsid w:val="5DC47EF3"/>
    <w:rsid w:val="5EBA1FF9"/>
    <w:rsid w:val="5F561B72"/>
    <w:rsid w:val="606007BB"/>
    <w:rsid w:val="60834A7C"/>
    <w:rsid w:val="60AC7F66"/>
    <w:rsid w:val="61BF10D9"/>
    <w:rsid w:val="61DA3D4C"/>
    <w:rsid w:val="61F07A35"/>
    <w:rsid w:val="62AC22DC"/>
    <w:rsid w:val="637833E8"/>
    <w:rsid w:val="648D4CFB"/>
    <w:rsid w:val="64E45EF7"/>
    <w:rsid w:val="6691014E"/>
    <w:rsid w:val="66C87CCE"/>
    <w:rsid w:val="66EB0735"/>
    <w:rsid w:val="677435B2"/>
    <w:rsid w:val="67D22629"/>
    <w:rsid w:val="67EF75F1"/>
    <w:rsid w:val="68B406B1"/>
    <w:rsid w:val="69124F16"/>
    <w:rsid w:val="694A5205"/>
    <w:rsid w:val="69CD5C14"/>
    <w:rsid w:val="69CF0D33"/>
    <w:rsid w:val="6A3128FB"/>
    <w:rsid w:val="6B9946B3"/>
    <w:rsid w:val="6C2C29A8"/>
    <w:rsid w:val="6C662189"/>
    <w:rsid w:val="6C7007C7"/>
    <w:rsid w:val="6CBF6C1A"/>
    <w:rsid w:val="6DE76850"/>
    <w:rsid w:val="6DF17DF8"/>
    <w:rsid w:val="6FB20BD4"/>
    <w:rsid w:val="6FB650F7"/>
    <w:rsid w:val="6FBA59BE"/>
    <w:rsid w:val="70296B3E"/>
    <w:rsid w:val="70324462"/>
    <w:rsid w:val="70611204"/>
    <w:rsid w:val="72B62647"/>
    <w:rsid w:val="73445350"/>
    <w:rsid w:val="74FA2C30"/>
    <w:rsid w:val="754D5C4B"/>
    <w:rsid w:val="755D07C2"/>
    <w:rsid w:val="76A96C4B"/>
    <w:rsid w:val="76C240A7"/>
    <w:rsid w:val="775246B7"/>
    <w:rsid w:val="781E69D1"/>
    <w:rsid w:val="7A263B6B"/>
    <w:rsid w:val="7A4226B2"/>
    <w:rsid w:val="7A4974AC"/>
    <w:rsid w:val="7AF46346"/>
    <w:rsid w:val="7B0F5EBF"/>
    <w:rsid w:val="7B130FB9"/>
    <w:rsid w:val="7BF64EDE"/>
    <w:rsid w:val="7C400C1E"/>
    <w:rsid w:val="7DD11708"/>
    <w:rsid w:val="7E762F0A"/>
    <w:rsid w:val="7EBD579E"/>
    <w:rsid w:val="7EC167BD"/>
    <w:rsid w:val="7EC2129C"/>
    <w:rsid w:val="7EF2130A"/>
    <w:rsid w:val="7F272D9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2"/>
    <w:unhideWhenUsed/>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43"/>
    <w:unhideWhenUsed/>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6">
    <w:name w:val="heading 5"/>
    <w:basedOn w:val="1"/>
    <w:next w:val="7"/>
    <w:link w:val="44"/>
    <w:unhideWhenUsed/>
    <w:qFormat/>
    <w:uiPriority w:val="0"/>
    <w:pPr>
      <w:keepNext/>
      <w:keepLines/>
      <w:spacing w:before="280" w:after="290" w:line="376" w:lineRule="auto"/>
      <w:outlineLvl w:val="4"/>
    </w:pPr>
    <w:rPr>
      <w:b/>
      <w:bCs/>
      <w:sz w:val="28"/>
      <w:szCs w:val="28"/>
    </w:rPr>
  </w:style>
  <w:style w:type="paragraph" w:styleId="8">
    <w:name w:val="heading 8"/>
    <w:basedOn w:val="1"/>
    <w:next w:val="1"/>
    <w:link w:val="45"/>
    <w:unhideWhenUsed/>
    <w:qFormat/>
    <w:uiPriority w:val="0"/>
    <w:pPr>
      <w:keepNext/>
      <w:keepLines/>
      <w:spacing w:before="240" w:after="64" w:line="320" w:lineRule="auto"/>
      <w:outlineLvl w:val="7"/>
    </w:pPr>
    <w:rPr>
      <w:rFonts w:ascii="等线 Light" w:hAnsi="等线 Light" w:eastAsia="等线 Light"/>
      <w:sz w:val="24"/>
    </w:rPr>
  </w:style>
  <w:style w:type="paragraph" w:styleId="9">
    <w:name w:val="heading 9"/>
    <w:basedOn w:val="1"/>
    <w:next w:val="1"/>
    <w:link w:val="46"/>
    <w:unhideWhenUsed/>
    <w:qFormat/>
    <w:uiPriority w:val="0"/>
    <w:pPr>
      <w:keepNext/>
      <w:keepLines/>
      <w:spacing w:before="240" w:after="64" w:line="320" w:lineRule="auto"/>
      <w:outlineLvl w:val="8"/>
    </w:pPr>
    <w:rPr>
      <w:rFonts w:ascii="Cambria" w:hAnsi="Cambria"/>
      <w:szCs w:val="21"/>
    </w:rPr>
  </w:style>
  <w:style w:type="character" w:default="1" w:styleId="31">
    <w:name w:val="Default Paragraph Font"/>
    <w:semiHidden/>
    <w:qFormat/>
    <w:uiPriority w:val="0"/>
  </w:style>
  <w:style w:type="table" w:default="1" w:styleId="29">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0">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1">
    <w:name w:val="annotation text"/>
    <w:basedOn w:val="1"/>
    <w:link w:val="47"/>
    <w:unhideWhenUsed/>
    <w:qFormat/>
    <w:uiPriority w:val="99"/>
    <w:pPr>
      <w:jc w:val="left"/>
    </w:pPr>
  </w:style>
  <w:style w:type="paragraph" w:styleId="12">
    <w:name w:val="Body Text 3"/>
    <w:basedOn w:val="1"/>
    <w:link w:val="48"/>
    <w:qFormat/>
    <w:uiPriority w:val="0"/>
    <w:pPr>
      <w:spacing w:after="120"/>
    </w:pPr>
    <w:rPr>
      <w:sz w:val="16"/>
      <w:szCs w:val="16"/>
    </w:rPr>
  </w:style>
  <w:style w:type="paragraph" w:styleId="13">
    <w:name w:val="Body Text"/>
    <w:basedOn w:val="1"/>
    <w:next w:val="1"/>
    <w:link w:val="40"/>
    <w:qFormat/>
    <w:uiPriority w:val="0"/>
    <w:pPr>
      <w:spacing w:after="120"/>
    </w:pPr>
  </w:style>
  <w:style w:type="paragraph" w:styleId="14">
    <w:name w:val="Body Text Indent"/>
    <w:basedOn w:val="1"/>
    <w:link w:val="39"/>
    <w:qFormat/>
    <w:uiPriority w:val="0"/>
    <w:pPr>
      <w:ind w:firstLine="830" w:firstLineChars="352"/>
    </w:pPr>
    <w:rPr>
      <w:rFonts w:ascii="仿宋_GB2312" w:eastAsia="仿宋_GB2312"/>
      <w:kern w:val="0"/>
      <w:sz w:val="32"/>
      <w:szCs w:val="20"/>
    </w:rPr>
  </w:style>
  <w:style w:type="paragraph" w:styleId="15">
    <w:name w:val="List 2"/>
    <w:basedOn w:val="1"/>
    <w:qFormat/>
    <w:uiPriority w:val="0"/>
    <w:pPr>
      <w:ind w:left="100" w:leftChars="200" w:hanging="200" w:hangingChars="200"/>
      <w:contextualSpacing/>
    </w:pPr>
  </w:style>
  <w:style w:type="paragraph" w:styleId="16">
    <w:name w:val="toc 3"/>
    <w:basedOn w:val="1"/>
    <w:next w:val="1"/>
    <w:qFormat/>
    <w:uiPriority w:val="0"/>
    <w:pPr>
      <w:ind w:left="840" w:leftChars="400"/>
    </w:pPr>
  </w:style>
  <w:style w:type="paragraph" w:styleId="17">
    <w:name w:val="Plain Text"/>
    <w:basedOn w:val="1"/>
    <w:next w:val="5"/>
    <w:link w:val="49"/>
    <w:qFormat/>
    <w:uiPriority w:val="0"/>
    <w:rPr>
      <w:rFonts w:ascii="宋体" w:hAnsi="Courier New"/>
      <w:kern w:val="0"/>
      <w:sz w:val="20"/>
      <w:szCs w:val="21"/>
    </w:rPr>
  </w:style>
  <w:style w:type="paragraph" w:styleId="18">
    <w:name w:val="Date"/>
    <w:basedOn w:val="1"/>
    <w:next w:val="1"/>
    <w:link w:val="50"/>
    <w:qFormat/>
    <w:uiPriority w:val="0"/>
    <w:pPr>
      <w:ind w:left="100" w:leftChars="2500"/>
    </w:pPr>
  </w:style>
  <w:style w:type="paragraph" w:styleId="19">
    <w:name w:val="Balloon Text"/>
    <w:basedOn w:val="1"/>
    <w:link w:val="51"/>
    <w:qFormat/>
    <w:uiPriority w:val="0"/>
    <w:rPr>
      <w:sz w:val="18"/>
      <w:szCs w:val="18"/>
    </w:rPr>
  </w:style>
  <w:style w:type="paragraph" w:styleId="20">
    <w:name w:val="footer"/>
    <w:basedOn w:val="1"/>
    <w:link w:val="52"/>
    <w:qFormat/>
    <w:uiPriority w:val="0"/>
    <w:pPr>
      <w:tabs>
        <w:tab w:val="center" w:pos="4153"/>
        <w:tab w:val="right" w:pos="8306"/>
      </w:tabs>
      <w:snapToGrid w:val="0"/>
      <w:jc w:val="left"/>
    </w:pPr>
    <w:rPr>
      <w:kern w:val="0"/>
      <w:sz w:val="18"/>
      <w:szCs w:val="18"/>
    </w:rPr>
  </w:style>
  <w:style w:type="paragraph" w:styleId="21">
    <w:name w:val="header"/>
    <w:basedOn w:val="1"/>
    <w:link w:val="53"/>
    <w:qFormat/>
    <w:uiPriority w:val="0"/>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qFormat/>
    <w:uiPriority w:val="0"/>
  </w:style>
  <w:style w:type="paragraph" w:styleId="23">
    <w:name w:val="List"/>
    <w:basedOn w:val="1"/>
    <w:qFormat/>
    <w:uiPriority w:val="0"/>
    <w:pPr>
      <w:ind w:left="200" w:hanging="200" w:hangingChars="200"/>
      <w:contextualSpacing/>
    </w:pPr>
  </w:style>
  <w:style w:type="paragraph" w:styleId="24">
    <w:name w:val="toc 2"/>
    <w:basedOn w:val="1"/>
    <w:next w:val="1"/>
    <w:qFormat/>
    <w:uiPriority w:val="0"/>
    <w:pPr>
      <w:tabs>
        <w:tab w:val="right" w:leader="dot" w:pos="8296"/>
      </w:tabs>
      <w:ind w:left="420" w:leftChars="200"/>
    </w:pPr>
  </w:style>
  <w:style w:type="paragraph" w:styleId="25">
    <w:name w:val="Normal (Web)"/>
    <w:basedOn w:val="1"/>
    <w:qFormat/>
    <w:uiPriority w:val="0"/>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26">
    <w:name w:val="Title"/>
    <w:basedOn w:val="1"/>
    <w:link w:val="54"/>
    <w:qFormat/>
    <w:uiPriority w:val="0"/>
    <w:pPr>
      <w:widowControl/>
      <w:overflowPunct w:val="0"/>
      <w:autoSpaceDE w:val="0"/>
      <w:autoSpaceDN w:val="0"/>
      <w:adjustRightInd w:val="0"/>
      <w:jc w:val="center"/>
      <w:textAlignment w:val="baseline"/>
    </w:pPr>
    <w:rPr>
      <w:rFonts w:ascii="Cambria" w:hAnsi="Cambria"/>
      <w:b/>
      <w:bCs/>
      <w:sz w:val="32"/>
      <w:szCs w:val="32"/>
    </w:rPr>
  </w:style>
  <w:style w:type="paragraph" w:styleId="27">
    <w:name w:val="annotation subject"/>
    <w:basedOn w:val="11"/>
    <w:next w:val="11"/>
    <w:link w:val="55"/>
    <w:qFormat/>
    <w:uiPriority w:val="0"/>
    <w:rPr>
      <w:b/>
      <w:bCs/>
    </w:rPr>
  </w:style>
  <w:style w:type="paragraph" w:styleId="28">
    <w:name w:val="Body Text First Indent 2"/>
    <w:basedOn w:val="14"/>
    <w:link w:val="56"/>
    <w:qFormat/>
    <w:uiPriority w:val="0"/>
    <w:pPr>
      <w:spacing w:after="120"/>
      <w:ind w:left="420" w:leftChars="200" w:firstLine="420" w:firstLineChars="200"/>
    </w:pPr>
    <w:rPr>
      <w:rFonts w:ascii="Times New Roman" w:eastAsia="宋体"/>
      <w:kern w:val="2"/>
      <w:sz w:val="21"/>
      <w:szCs w:val="24"/>
    </w:rPr>
  </w:style>
  <w:style w:type="table" w:styleId="30">
    <w:name w:val="Table Grid"/>
    <w:basedOn w:val="2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2">
    <w:name w:val="Strong"/>
    <w:basedOn w:val="31"/>
    <w:qFormat/>
    <w:uiPriority w:val="0"/>
    <w:rPr>
      <w:b/>
    </w:rPr>
  </w:style>
  <w:style w:type="character" w:styleId="33">
    <w:name w:val="endnote reference"/>
    <w:qFormat/>
    <w:uiPriority w:val="0"/>
    <w:rPr>
      <w:vertAlign w:val="superscript"/>
    </w:rPr>
  </w:style>
  <w:style w:type="character" w:styleId="34">
    <w:name w:val="page number"/>
    <w:qFormat/>
    <w:uiPriority w:val="0"/>
    <w:rPr>
      <w:rFonts w:ascii="Arial" w:hAnsi="Arial" w:eastAsia="黑体" w:cs="Arial"/>
      <w:snapToGrid w:val="0"/>
      <w:kern w:val="0"/>
      <w:szCs w:val="21"/>
    </w:rPr>
  </w:style>
  <w:style w:type="character" w:styleId="35">
    <w:name w:val="FollowedHyperlink"/>
    <w:qFormat/>
    <w:uiPriority w:val="0"/>
    <w:rPr>
      <w:color w:val="800080"/>
      <w:u w:val="single"/>
    </w:rPr>
  </w:style>
  <w:style w:type="character" w:styleId="36">
    <w:name w:val="Hyperlink"/>
    <w:qFormat/>
    <w:uiPriority w:val="0"/>
    <w:rPr>
      <w:color w:val="0000FF"/>
      <w:u w:val="single"/>
    </w:rPr>
  </w:style>
  <w:style w:type="character" w:styleId="37">
    <w:name w:val="annotation reference"/>
    <w:qFormat/>
    <w:uiPriority w:val="0"/>
    <w:rPr>
      <w:sz w:val="21"/>
      <w:szCs w:val="21"/>
    </w:rPr>
  </w:style>
  <w:style w:type="paragraph" w:customStyle="1" w:styleId="38">
    <w:name w:val="表格文字"/>
    <w:basedOn w:val="14"/>
    <w:next w:val="13"/>
    <w:qFormat/>
    <w:uiPriority w:val="99"/>
    <w:pPr>
      <w:adjustRightInd w:val="0"/>
      <w:spacing w:line="420" w:lineRule="atLeast"/>
      <w:jc w:val="left"/>
      <w:textAlignment w:val="baseline"/>
    </w:pPr>
    <w:rPr>
      <w:kern w:val="0"/>
    </w:rPr>
  </w:style>
  <w:style w:type="character" w:customStyle="1" w:styleId="39">
    <w:name w:val="正文文本缩进 Char1"/>
    <w:link w:val="14"/>
    <w:qFormat/>
    <w:uiPriority w:val="99"/>
    <w:rPr>
      <w:rFonts w:ascii="仿宋_GB2312" w:hAnsi="Times New Roman" w:eastAsia="仿宋_GB2312" w:cs="Times New Roman"/>
      <w:sz w:val="32"/>
      <w:szCs w:val="20"/>
    </w:rPr>
  </w:style>
  <w:style w:type="character" w:customStyle="1" w:styleId="40">
    <w:name w:val="正文文本 Char2"/>
    <w:link w:val="13"/>
    <w:qFormat/>
    <w:uiPriority w:val="99"/>
    <w:rPr>
      <w:rFonts w:ascii="Times New Roman" w:hAnsi="Times New Roman"/>
      <w:kern w:val="2"/>
      <w:sz w:val="21"/>
      <w:szCs w:val="24"/>
    </w:rPr>
  </w:style>
  <w:style w:type="character" w:customStyle="1" w:styleId="41">
    <w:name w:val="标题 1 Char1"/>
    <w:link w:val="2"/>
    <w:qFormat/>
    <w:uiPriority w:val="9"/>
    <w:rPr>
      <w:b/>
      <w:bCs/>
      <w:kern w:val="44"/>
      <w:sz w:val="44"/>
      <w:szCs w:val="44"/>
    </w:rPr>
  </w:style>
  <w:style w:type="character" w:customStyle="1" w:styleId="42">
    <w:name w:val="标题 2 Char2"/>
    <w:link w:val="3"/>
    <w:qFormat/>
    <w:uiPriority w:val="9"/>
    <w:rPr>
      <w:rFonts w:ascii="Cambria" w:hAnsi="Cambria" w:eastAsia="宋体" w:cs="Times New Roman"/>
      <w:b/>
      <w:bCs/>
      <w:kern w:val="2"/>
      <w:sz w:val="32"/>
      <w:szCs w:val="32"/>
    </w:rPr>
  </w:style>
  <w:style w:type="character" w:customStyle="1" w:styleId="43">
    <w:name w:val="标题 3 Char1"/>
    <w:link w:val="4"/>
    <w:qFormat/>
    <w:uiPriority w:val="9"/>
    <w:rPr>
      <w:b/>
      <w:bCs/>
      <w:kern w:val="2"/>
      <w:sz w:val="32"/>
      <w:szCs w:val="32"/>
    </w:rPr>
  </w:style>
  <w:style w:type="character" w:customStyle="1" w:styleId="44">
    <w:name w:val="标题 5 Char1"/>
    <w:link w:val="6"/>
    <w:qFormat/>
    <w:uiPriority w:val="9"/>
    <w:rPr>
      <w:rFonts w:ascii="Times New Roman" w:hAnsi="Times New Roman"/>
      <w:b/>
      <w:bCs/>
      <w:kern w:val="2"/>
      <w:sz w:val="28"/>
      <w:szCs w:val="28"/>
    </w:rPr>
  </w:style>
  <w:style w:type="character" w:customStyle="1" w:styleId="45">
    <w:name w:val="标题 8 Char2"/>
    <w:link w:val="8"/>
    <w:qFormat/>
    <w:uiPriority w:val="9"/>
    <w:rPr>
      <w:rFonts w:ascii="等线 Light" w:hAnsi="等线 Light" w:eastAsia="等线 Light" w:cs="Times New Roman"/>
      <w:kern w:val="2"/>
      <w:sz w:val="24"/>
      <w:szCs w:val="24"/>
    </w:rPr>
  </w:style>
  <w:style w:type="character" w:customStyle="1" w:styleId="46">
    <w:name w:val="标题 9 Char"/>
    <w:link w:val="9"/>
    <w:qFormat/>
    <w:uiPriority w:val="9"/>
    <w:rPr>
      <w:rFonts w:ascii="Cambria" w:hAnsi="Cambria" w:eastAsia="宋体" w:cs="Times New Roman"/>
      <w:kern w:val="2"/>
      <w:sz w:val="21"/>
      <w:szCs w:val="21"/>
    </w:rPr>
  </w:style>
  <w:style w:type="character" w:customStyle="1" w:styleId="47">
    <w:name w:val="批注文字 Char2"/>
    <w:link w:val="11"/>
    <w:qFormat/>
    <w:uiPriority w:val="99"/>
    <w:rPr>
      <w:rFonts w:ascii="Times New Roman" w:hAnsi="Times New Roman"/>
      <w:kern w:val="2"/>
      <w:sz w:val="21"/>
      <w:szCs w:val="24"/>
    </w:rPr>
  </w:style>
  <w:style w:type="character" w:customStyle="1" w:styleId="48">
    <w:name w:val="正文文本 3 Char1"/>
    <w:link w:val="12"/>
    <w:qFormat/>
    <w:uiPriority w:val="99"/>
    <w:rPr>
      <w:kern w:val="2"/>
      <w:sz w:val="16"/>
      <w:szCs w:val="16"/>
    </w:rPr>
  </w:style>
  <w:style w:type="character" w:customStyle="1" w:styleId="49">
    <w:name w:val="纯文本 Char3"/>
    <w:link w:val="17"/>
    <w:qFormat/>
    <w:uiPriority w:val="99"/>
    <w:rPr>
      <w:rFonts w:ascii="宋体" w:hAnsi="Courier New" w:eastAsia="宋体" w:cs="Courier New"/>
      <w:szCs w:val="21"/>
    </w:rPr>
  </w:style>
  <w:style w:type="character" w:customStyle="1" w:styleId="50">
    <w:name w:val="日期 Char1"/>
    <w:link w:val="18"/>
    <w:qFormat/>
    <w:uiPriority w:val="99"/>
    <w:rPr>
      <w:rFonts w:ascii="Times New Roman" w:hAnsi="Times New Roman"/>
      <w:kern w:val="2"/>
      <w:sz w:val="21"/>
      <w:szCs w:val="24"/>
    </w:rPr>
  </w:style>
  <w:style w:type="character" w:customStyle="1" w:styleId="51">
    <w:name w:val="批注框文本 Char"/>
    <w:link w:val="19"/>
    <w:semiHidden/>
    <w:qFormat/>
    <w:uiPriority w:val="99"/>
    <w:rPr>
      <w:kern w:val="2"/>
      <w:sz w:val="18"/>
      <w:szCs w:val="18"/>
    </w:rPr>
  </w:style>
  <w:style w:type="character" w:customStyle="1" w:styleId="52">
    <w:name w:val="页脚 Char1"/>
    <w:link w:val="20"/>
    <w:qFormat/>
    <w:uiPriority w:val="99"/>
    <w:rPr>
      <w:sz w:val="18"/>
      <w:szCs w:val="18"/>
    </w:rPr>
  </w:style>
  <w:style w:type="character" w:customStyle="1" w:styleId="53">
    <w:name w:val="页眉 Char1"/>
    <w:link w:val="21"/>
    <w:qFormat/>
    <w:uiPriority w:val="99"/>
    <w:rPr>
      <w:sz w:val="18"/>
      <w:szCs w:val="18"/>
    </w:rPr>
  </w:style>
  <w:style w:type="character" w:customStyle="1" w:styleId="54">
    <w:name w:val="标题 Char"/>
    <w:link w:val="26"/>
    <w:qFormat/>
    <w:uiPriority w:val="10"/>
    <w:rPr>
      <w:rFonts w:ascii="Cambria" w:hAnsi="Cambria" w:cs="Times New Roman"/>
      <w:b/>
      <w:bCs/>
      <w:kern w:val="2"/>
      <w:sz w:val="32"/>
      <w:szCs w:val="32"/>
    </w:rPr>
  </w:style>
  <w:style w:type="character" w:customStyle="1" w:styleId="55">
    <w:name w:val="批注主题 Char1"/>
    <w:link w:val="27"/>
    <w:qFormat/>
    <w:uiPriority w:val="99"/>
    <w:rPr>
      <w:rFonts w:ascii="Times New Roman" w:hAnsi="Times New Roman"/>
      <w:b/>
      <w:bCs/>
      <w:kern w:val="2"/>
      <w:sz w:val="21"/>
      <w:szCs w:val="24"/>
    </w:rPr>
  </w:style>
  <w:style w:type="character" w:customStyle="1" w:styleId="56">
    <w:name w:val="正文首行缩进 2 Char"/>
    <w:link w:val="28"/>
    <w:qFormat/>
    <w:uiPriority w:val="99"/>
    <w:rPr>
      <w:kern w:val="2"/>
      <w:sz w:val="21"/>
      <w:szCs w:val="24"/>
    </w:rPr>
  </w:style>
  <w:style w:type="character" w:customStyle="1" w:styleId="57">
    <w:name w:val="标题 Char1"/>
    <w:qFormat/>
    <w:uiPriority w:val="0"/>
    <w:rPr>
      <w:rFonts w:ascii="Calibri" w:hAnsi="Calibri"/>
      <w:b/>
      <w:sz w:val="24"/>
      <w:lang w:val="en-GB"/>
    </w:rPr>
  </w:style>
  <w:style w:type="character" w:customStyle="1" w:styleId="58">
    <w:name w:val="标题 8 Char"/>
    <w:qFormat/>
    <w:uiPriority w:val="0"/>
    <w:rPr>
      <w:rFonts w:ascii="Arial" w:hAnsi="Arial" w:eastAsia="黑体"/>
      <w:kern w:val="2"/>
      <w:sz w:val="24"/>
      <w:szCs w:val="24"/>
    </w:rPr>
  </w:style>
  <w:style w:type="character" w:customStyle="1" w:styleId="59">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0">
    <w:name w:val="正文文本 字符"/>
    <w:qFormat/>
    <w:uiPriority w:val="99"/>
    <w:rPr>
      <w:rFonts w:ascii="Times New Roman" w:hAnsi="Times New Roman"/>
      <w:kern w:val="2"/>
      <w:sz w:val="21"/>
      <w:szCs w:val="24"/>
    </w:rPr>
  </w:style>
  <w:style w:type="character" w:customStyle="1" w:styleId="61">
    <w:name w:val="纯文本 Char"/>
    <w:qFormat/>
    <w:uiPriority w:val="0"/>
    <w:rPr>
      <w:rFonts w:ascii="宋体" w:hAnsi="Courier New" w:eastAsia="宋体" w:cs="Courier New"/>
      <w:szCs w:val="21"/>
    </w:rPr>
  </w:style>
  <w:style w:type="character" w:customStyle="1" w:styleId="62">
    <w:name w:val="正文文本 Char"/>
    <w:qFormat/>
    <w:uiPriority w:val="0"/>
    <w:rPr>
      <w:rFonts w:ascii="Times New Roman" w:hAnsi="Times New Roman"/>
      <w:kern w:val="2"/>
      <w:sz w:val="21"/>
      <w:szCs w:val="24"/>
    </w:rPr>
  </w:style>
  <w:style w:type="character" w:customStyle="1" w:styleId="63">
    <w:name w:val="批注文字 字符1"/>
    <w:qFormat/>
    <w:uiPriority w:val="0"/>
    <w:rPr>
      <w:rFonts w:ascii="Times New Roman" w:hAnsi="Times New Roman"/>
      <w:kern w:val="2"/>
      <w:sz w:val="21"/>
      <w:szCs w:val="24"/>
    </w:rPr>
  </w:style>
  <w:style w:type="character" w:customStyle="1" w:styleId="64">
    <w:name w:val="标题 2 Char"/>
    <w:qFormat/>
    <w:uiPriority w:val="9"/>
    <w:rPr>
      <w:rFonts w:ascii="Cambria" w:hAnsi="Cambria" w:eastAsia="宋体" w:cs="Times New Roman"/>
      <w:b/>
      <w:bCs/>
      <w:kern w:val="2"/>
      <w:sz w:val="32"/>
      <w:szCs w:val="32"/>
    </w:rPr>
  </w:style>
  <w:style w:type="character" w:customStyle="1" w:styleId="65">
    <w:name w:val="批注文字 字符"/>
    <w:qFormat/>
    <w:uiPriority w:val="99"/>
    <w:rPr>
      <w:rFonts w:ascii="Times New Roman" w:hAnsi="Times New Roman"/>
      <w:kern w:val="2"/>
      <w:sz w:val="21"/>
      <w:szCs w:val="24"/>
    </w:rPr>
  </w:style>
  <w:style w:type="character" w:customStyle="1" w:styleId="66">
    <w:name w:val="未处理的提及"/>
    <w:unhideWhenUsed/>
    <w:qFormat/>
    <w:uiPriority w:val="99"/>
    <w:rPr>
      <w:color w:val="605E5C"/>
      <w:shd w:val="clear" w:color="auto" w:fill="E1DFDD"/>
    </w:rPr>
  </w:style>
  <w:style w:type="character" w:customStyle="1" w:styleId="67">
    <w:name w:val="apple-style-span"/>
    <w:qFormat/>
    <w:uiPriority w:val="0"/>
  </w:style>
  <w:style w:type="character" w:customStyle="1" w:styleId="68">
    <w:name w:val="纯文本 字符2"/>
    <w:qFormat/>
    <w:uiPriority w:val="0"/>
    <w:rPr>
      <w:rFonts w:ascii="宋体" w:hAnsi="Courier New" w:eastAsia="宋体" w:cs="Courier New"/>
      <w:szCs w:val="21"/>
    </w:rPr>
  </w:style>
  <w:style w:type="character" w:customStyle="1" w:styleId="69">
    <w:name w:val="textcontents"/>
    <w:qFormat/>
    <w:uiPriority w:val="0"/>
  </w:style>
  <w:style w:type="character" w:customStyle="1" w:styleId="70">
    <w:name w:val="纯文本 字符1"/>
    <w:qFormat/>
    <w:uiPriority w:val="0"/>
    <w:rPr>
      <w:rFonts w:ascii="宋体" w:hAnsi="Courier New"/>
    </w:rPr>
  </w:style>
  <w:style w:type="character" w:customStyle="1" w:styleId="71">
    <w:name w:val="批注文字 Char"/>
    <w:qFormat/>
    <w:uiPriority w:val="0"/>
    <w:rPr>
      <w:rFonts w:ascii="Times New Roman" w:hAnsi="Times New Roman"/>
      <w:kern w:val="2"/>
      <w:sz w:val="21"/>
      <w:szCs w:val="24"/>
    </w:rPr>
  </w:style>
  <w:style w:type="character" w:customStyle="1" w:styleId="72">
    <w:name w:val="标题 1 字符1"/>
    <w:qFormat/>
    <w:uiPriority w:val="0"/>
    <w:rPr>
      <w:b/>
      <w:bCs/>
      <w:kern w:val="44"/>
      <w:sz w:val="44"/>
      <w:szCs w:val="44"/>
    </w:rPr>
  </w:style>
  <w:style w:type="character" w:customStyle="1" w:styleId="73">
    <w:name w:val="纯文本 字符"/>
    <w:qFormat/>
    <w:uiPriority w:val="99"/>
    <w:rPr>
      <w:rFonts w:ascii="宋体" w:hAnsi="Courier New" w:eastAsia="宋体" w:cs="Courier New"/>
      <w:szCs w:val="21"/>
    </w:rPr>
  </w:style>
  <w:style w:type="paragraph" w:customStyle="1" w:styleId="74">
    <w:name w:val="Char Char Char Char"/>
    <w:basedOn w:val="1"/>
    <w:qFormat/>
    <w:uiPriority w:val="99"/>
    <w:pPr>
      <w:widowControl/>
      <w:spacing w:after="160" w:line="240" w:lineRule="exact"/>
      <w:jc w:val="left"/>
    </w:pPr>
  </w:style>
  <w:style w:type="paragraph" w:customStyle="1" w:styleId="75">
    <w:name w:val="默认段落字体 Para Char Char Char Char Char Char Char Char Char1 Char Char Char Char"/>
    <w:basedOn w:val="1"/>
    <w:qFormat/>
    <w:uiPriority w:val="99"/>
    <w:rPr>
      <w:rFonts w:ascii="Tahoma" w:hAnsi="Tahoma"/>
      <w:sz w:val="24"/>
      <w:szCs w:val="20"/>
    </w:rPr>
  </w:style>
  <w:style w:type="paragraph" w:styleId="76">
    <w:name w:val="List Paragraph"/>
    <w:basedOn w:val="1"/>
    <w:unhideWhenUsed/>
    <w:qFormat/>
    <w:uiPriority w:val="99"/>
    <w:pPr>
      <w:ind w:firstLine="420" w:firstLineChars="200"/>
    </w:pPr>
  </w:style>
  <w:style w:type="paragraph" w:customStyle="1" w:styleId="77">
    <w:name w:val="_Style 75"/>
    <w:basedOn w:val="2"/>
    <w:next w:val="1"/>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rPr>
  </w:style>
  <w:style w:type="paragraph" w:customStyle="1" w:styleId="78">
    <w:name w:val="表内文字"/>
    <w:basedOn w:val="1"/>
    <w:qFormat/>
    <w:uiPriority w:val="99"/>
    <w:pPr>
      <w:snapToGrid w:val="0"/>
      <w:spacing w:before="50" w:after="50"/>
      <w:jc w:val="center"/>
    </w:pPr>
    <w:rPr>
      <w:rFonts w:ascii="仿宋_GB2312" w:hAnsi="宋体" w:eastAsia="仿宋_GB2312"/>
      <w:b/>
      <w:color w:val="000000"/>
      <w:sz w:val="32"/>
      <w:szCs w:val="32"/>
    </w:rPr>
  </w:style>
  <w:style w:type="paragraph" w:customStyle="1" w:styleId="79">
    <w:name w:val="Table Paragraph"/>
    <w:basedOn w:val="1"/>
    <w:qFormat/>
    <w:uiPriority w:val="1"/>
    <w:pPr>
      <w:jc w:val="left"/>
    </w:pPr>
    <w:rPr>
      <w:rFonts w:ascii="Calibri" w:hAnsi="Calibri"/>
      <w:kern w:val="0"/>
      <w:sz w:val="22"/>
      <w:szCs w:val="22"/>
      <w:lang w:eastAsia="en-US"/>
    </w:rPr>
  </w:style>
  <w:style w:type="character" w:customStyle="1" w:styleId="80">
    <w:name w:val="正文文本缩进 字符"/>
    <w:qFormat/>
    <w:uiPriority w:val="99"/>
    <w:rPr>
      <w:rFonts w:ascii="仿宋_GB2312" w:hAnsi="Times New Roman" w:eastAsia="仿宋_GB2312" w:cs="Times New Roman"/>
      <w:sz w:val="32"/>
      <w:szCs w:val="20"/>
    </w:rPr>
  </w:style>
  <w:style w:type="character" w:customStyle="1" w:styleId="81">
    <w:name w:val="正文2 Char Char"/>
    <w:link w:val="82"/>
    <w:qFormat/>
    <w:uiPriority w:val="0"/>
    <w:rPr>
      <w:sz w:val="24"/>
    </w:rPr>
  </w:style>
  <w:style w:type="paragraph" w:customStyle="1" w:styleId="82">
    <w:name w:val="正文2"/>
    <w:basedOn w:val="1"/>
    <w:link w:val="81"/>
    <w:qFormat/>
    <w:uiPriority w:val="0"/>
    <w:pPr>
      <w:adjustRightInd w:val="0"/>
      <w:spacing w:before="156" w:line="360" w:lineRule="auto"/>
      <w:ind w:firstLine="510" w:firstLineChars="200"/>
    </w:pPr>
    <w:rPr>
      <w:kern w:val="0"/>
      <w:sz w:val="24"/>
      <w:szCs w:val="20"/>
    </w:rPr>
  </w:style>
  <w:style w:type="character" w:customStyle="1" w:styleId="83">
    <w:name w:val="纯文本 Char2"/>
    <w:qFormat/>
    <w:uiPriority w:val="0"/>
    <w:rPr>
      <w:rFonts w:ascii="宋体" w:hAnsi="Courier New" w:cs="Arial"/>
      <w:snapToGrid w:val="0"/>
      <w:szCs w:val="21"/>
    </w:rPr>
  </w:style>
  <w:style w:type="paragraph" w:customStyle="1" w:styleId="84">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85">
    <w:name w:val="正文缩进1"/>
    <w:basedOn w:val="1"/>
    <w:next w:val="14"/>
    <w:qFormat/>
    <w:uiPriority w:val="99"/>
    <w:pPr>
      <w:autoSpaceDE w:val="0"/>
      <w:autoSpaceDN w:val="0"/>
      <w:adjustRightInd w:val="0"/>
      <w:snapToGrid w:val="0"/>
      <w:spacing w:after="120" w:line="360" w:lineRule="auto"/>
      <w:ind w:left="420" w:leftChars="200" w:firstLine="480" w:firstLineChars="200"/>
    </w:pPr>
    <w:rPr>
      <w:sz w:val="24"/>
      <w:szCs w:val="21"/>
    </w:rPr>
  </w:style>
  <w:style w:type="character" w:customStyle="1" w:styleId="86">
    <w:name w:val="NormalCharacter"/>
    <w:qFormat/>
    <w:uiPriority w:val="0"/>
  </w:style>
  <w:style w:type="character" w:customStyle="1" w:styleId="87">
    <w:name w:val="页眉 Char"/>
    <w:qFormat/>
    <w:uiPriority w:val="99"/>
    <w:rPr>
      <w:lang w:eastAsia="zh-CN"/>
    </w:rPr>
  </w:style>
  <w:style w:type="character" w:customStyle="1" w:styleId="88">
    <w:name w:val="正文首行缩进 2 字符"/>
    <w:qFormat/>
    <w:uiPriority w:val="99"/>
    <w:rPr>
      <w:rFonts w:ascii="仿宋_GB2312" w:hAnsi="Times New Roman" w:eastAsia="仿宋_GB2312" w:cs="Times New Roman"/>
      <w:kern w:val="2"/>
      <w:sz w:val="21"/>
      <w:szCs w:val="24"/>
    </w:rPr>
  </w:style>
  <w:style w:type="character" w:customStyle="1" w:styleId="89">
    <w:name w:val="纯文本 Char1"/>
    <w:qFormat/>
    <w:uiPriority w:val="0"/>
    <w:rPr>
      <w:rFonts w:ascii="宋体" w:hAnsi="Courier New" w:eastAsia="宋体" w:cs="Times New Roman"/>
      <w:kern w:val="0"/>
      <w:sz w:val="20"/>
      <w:szCs w:val="21"/>
    </w:rPr>
  </w:style>
  <w:style w:type="paragraph" w:customStyle="1" w:styleId="90">
    <w:name w:val="_Style 93"/>
    <w:basedOn w:val="1"/>
    <w:next w:val="76"/>
    <w:qFormat/>
    <w:uiPriority w:val="99"/>
    <w:pPr>
      <w:ind w:firstLine="420" w:firstLineChars="200"/>
    </w:pPr>
  </w:style>
  <w:style w:type="character" w:customStyle="1" w:styleId="91">
    <w:name w:val="标题 1 Char"/>
    <w:qFormat/>
    <w:uiPriority w:val="9"/>
    <w:rPr>
      <w:b/>
      <w:bCs/>
      <w:kern w:val="44"/>
      <w:sz w:val="44"/>
      <w:szCs w:val="44"/>
    </w:rPr>
  </w:style>
  <w:style w:type="character" w:customStyle="1" w:styleId="92">
    <w:name w:val="标题 2 Char1"/>
    <w:qFormat/>
    <w:uiPriority w:val="9"/>
    <w:rPr>
      <w:rFonts w:ascii="Cambria" w:hAnsi="Cambria"/>
      <w:b/>
      <w:bCs/>
      <w:kern w:val="2"/>
      <w:sz w:val="32"/>
      <w:szCs w:val="32"/>
    </w:rPr>
  </w:style>
  <w:style w:type="character" w:customStyle="1" w:styleId="93">
    <w:name w:val="标题 3 Char"/>
    <w:qFormat/>
    <w:uiPriority w:val="9"/>
    <w:rPr>
      <w:b/>
      <w:bCs/>
      <w:kern w:val="2"/>
      <w:sz w:val="32"/>
      <w:szCs w:val="32"/>
    </w:rPr>
  </w:style>
  <w:style w:type="character" w:customStyle="1" w:styleId="94">
    <w:name w:val="标题 5 Char"/>
    <w:qFormat/>
    <w:uiPriority w:val="9"/>
    <w:rPr>
      <w:b/>
      <w:bCs/>
      <w:kern w:val="2"/>
      <w:sz w:val="28"/>
      <w:szCs w:val="28"/>
    </w:rPr>
  </w:style>
  <w:style w:type="character" w:customStyle="1" w:styleId="95">
    <w:name w:val="标题 8 Char1"/>
    <w:qFormat/>
    <w:uiPriority w:val="9"/>
    <w:rPr>
      <w:rFonts w:ascii="等线 Light" w:hAnsi="等线 Light" w:eastAsia="等线 Light"/>
      <w:kern w:val="2"/>
      <w:sz w:val="24"/>
      <w:szCs w:val="24"/>
    </w:rPr>
  </w:style>
  <w:style w:type="character" w:customStyle="1" w:styleId="96">
    <w:name w:val="批注文字 Char1"/>
    <w:qFormat/>
    <w:uiPriority w:val="0"/>
    <w:rPr>
      <w:kern w:val="2"/>
      <w:sz w:val="21"/>
      <w:szCs w:val="24"/>
    </w:rPr>
  </w:style>
  <w:style w:type="character" w:customStyle="1" w:styleId="97">
    <w:name w:val="正文文本 3 Char"/>
    <w:qFormat/>
    <w:uiPriority w:val="99"/>
    <w:rPr>
      <w:kern w:val="2"/>
      <w:sz w:val="16"/>
      <w:szCs w:val="16"/>
    </w:rPr>
  </w:style>
  <w:style w:type="character" w:customStyle="1" w:styleId="98">
    <w:name w:val="正文文本 Char1"/>
    <w:qFormat/>
    <w:uiPriority w:val="0"/>
    <w:rPr>
      <w:kern w:val="2"/>
      <w:sz w:val="21"/>
      <w:szCs w:val="24"/>
    </w:rPr>
  </w:style>
  <w:style w:type="character" w:customStyle="1" w:styleId="99">
    <w:name w:val="正文文本缩进 Char"/>
    <w:qFormat/>
    <w:uiPriority w:val="0"/>
    <w:rPr>
      <w:rFonts w:ascii="仿宋_GB2312" w:eastAsia="仿宋_GB2312"/>
      <w:sz w:val="32"/>
    </w:rPr>
  </w:style>
  <w:style w:type="character" w:customStyle="1" w:styleId="100">
    <w:name w:val="日期 Char"/>
    <w:qFormat/>
    <w:uiPriority w:val="99"/>
    <w:rPr>
      <w:kern w:val="2"/>
      <w:sz w:val="21"/>
      <w:szCs w:val="24"/>
    </w:rPr>
  </w:style>
  <w:style w:type="character" w:customStyle="1" w:styleId="101">
    <w:name w:val="页脚 Char"/>
    <w:qFormat/>
    <w:uiPriority w:val="99"/>
    <w:rPr>
      <w:sz w:val="18"/>
      <w:szCs w:val="18"/>
    </w:rPr>
  </w:style>
  <w:style w:type="character" w:customStyle="1" w:styleId="102">
    <w:name w:val="批注主题 Char"/>
    <w:qFormat/>
    <w:uiPriority w:val="99"/>
    <w:rPr>
      <w:b/>
      <w:bCs/>
      <w:kern w:val="2"/>
      <w:sz w:val="21"/>
      <w:szCs w:val="24"/>
    </w:rPr>
  </w:style>
  <w:style w:type="paragraph" w:customStyle="1" w:styleId="103">
    <w:name w:val="_Style 106"/>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04">
    <w:name w:val="_Style 107"/>
    <w:basedOn w:val="1"/>
    <w:next w:val="1"/>
    <w:unhideWhenUsed/>
    <w:qFormat/>
    <w:uiPriority w:val="99"/>
    <w:pPr>
      <w:tabs>
        <w:tab w:val="right" w:leader="dot" w:pos="8296"/>
      </w:tabs>
      <w:ind w:left="420" w:leftChars="200"/>
    </w:pPr>
  </w:style>
  <w:style w:type="character" w:customStyle="1" w:styleId="105">
    <w:name w:val="正文首行缩进 2 字符1"/>
    <w:semiHidden/>
    <w:qFormat/>
    <w:uiPriority w:val="99"/>
    <w:rPr>
      <w:rFonts w:ascii="仿宋_GB2312" w:hAnsi="Times New Roman" w:eastAsia="仿宋_GB2312" w:cs="Times New Roman"/>
      <w:kern w:val="2"/>
      <w:sz w:val="21"/>
      <w:szCs w:val="24"/>
    </w:rPr>
  </w:style>
  <w:style w:type="character" w:customStyle="1" w:styleId="106">
    <w:name w:val="正文首行缩进 2 字符2"/>
    <w:semiHidden/>
    <w:qFormat/>
    <w:uiPriority w:val="99"/>
    <w:rPr>
      <w:rFonts w:ascii="仿宋_GB2312" w:hAnsi="Times New Roman" w:eastAsia="仿宋_GB2312" w:cs="Times New Roman"/>
      <w:kern w:val="2"/>
      <w:sz w:val="21"/>
      <w:szCs w:val="24"/>
    </w:rPr>
  </w:style>
  <w:style w:type="paragraph" w:customStyle="1" w:styleId="107">
    <w:name w:val="msonormal"/>
    <w:basedOn w:val="1"/>
    <w:qFormat/>
    <w:uiPriority w:val="99"/>
    <w:rPr>
      <w:rFonts w:ascii="Calibri" w:hAnsi="Calibri"/>
      <w:kern w:val="0"/>
      <w:sz w:val="24"/>
    </w:rPr>
  </w:style>
  <w:style w:type="character" w:customStyle="1" w:styleId="108">
    <w:name w:val="正文首行缩进 2 字符3"/>
    <w:semiHidden/>
    <w:qFormat/>
    <w:locked/>
    <w:uiPriority w:val="99"/>
    <w:rPr>
      <w:rFonts w:ascii="仿宋_GB2312" w:hAnsi="Times New Roman" w:eastAsia="仿宋_GB2312" w:cs="Times New Roman"/>
      <w:kern w:val="2"/>
      <w:sz w:val="21"/>
      <w:szCs w:val="24"/>
    </w:rPr>
  </w:style>
  <w:style w:type="table" w:customStyle="1" w:styleId="109">
    <w:name w:val="Table Normal"/>
    <w:unhideWhenUsed/>
    <w:qFormat/>
    <w:uiPriority w:val="0"/>
    <w:tblPr>
      <w:tblCellMar>
        <w:top w:w="0" w:type="dxa"/>
        <w:left w:w="0" w:type="dxa"/>
        <w:bottom w:w="0" w:type="dxa"/>
        <w:right w:w="0" w:type="dxa"/>
      </w:tblCellMar>
    </w:tblPr>
  </w:style>
  <w:style w:type="character" w:customStyle="1" w:styleId="110">
    <w:name w:val="font21"/>
    <w:basedOn w:val="31"/>
    <w:qFormat/>
    <w:uiPriority w:val="0"/>
    <w:rPr>
      <w:rFonts w:hint="default" w:ascii="Times New Roman" w:hAnsi="Times New Roman" w:eastAsia="宋体" w:cs="Times New Roman"/>
      <w:color w:val="000000"/>
      <w:sz w:val="22"/>
      <w:szCs w:val="22"/>
      <w:u w:val="none"/>
    </w:rPr>
  </w:style>
  <w:style w:type="character" w:customStyle="1" w:styleId="111">
    <w:name w:val="font01"/>
    <w:basedOn w:val="31"/>
    <w:qFormat/>
    <w:uiPriority w:val="0"/>
    <w:rPr>
      <w:rFonts w:hint="eastAsia" w:ascii="宋体" w:hAnsi="宋体" w:eastAsia="宋体" w:cs="宋体"/>
      <w:color w:val="000000"/>
      <w:sz w:val="22"/>
      <w:szCs w:val="22"/>
      <w:u w:val="none"/>
    </w:rPr>
  </w:style>
  <w:style w:type="character" w:customStyle="1" w:styleId="112">
    <w:name w:val="font11"/>
    <w:basedOn w:val="31"/>
    <w:qFormat/>
    <w:uiPriority w:val="0"/>
    <w:rPr>
      <w:rFonts w:ascii="宋体-简" w:hAnsi="宋体-简" w:eastAsia="宋体-简" w:cs="宋体-简"/>
      <w:color w:val="000000"/>
      <w:sz w:val="22"/>
      <w:szCs w:val="22"/>
      <w:u w:val="none"/>
    </w:rPr>
  </w:style>
  <w:style w:type="character" w:customStyle="1" w:styleId="113">
    <w:name w:val="font51"/>
    <w:basedOn w:val="31"/>
    <w:qFormat/>
    <w:uiPriority w:val="0"/>
    <w:rPr>
      <w:rFonts w:ascii="Calibri" w:hAnsi="Calibri" w:cs="Calibri"/>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147</Pages>
  <Words>22465</Words>
  <Characters>26187</Characters>
  <Lines>469</Lines>
  <Paragraphs>132</Paragraphs>
  <TotalTime>0</TotalTime>
  <ScaleCrop>false</ScaleCrop>
  <LinksUpToDate>false</LinksUpToDate>
  <CharactersWithSpaces>26437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2021-08-24T07:49:00Z</dcterms:created>
  <dc:creator>LSK</dc:creator>
  <dc:description>Shankar's Birthday falls on 25th July.  Don't Forget to wish him</dc:description>
  <cp:keywords>Birthday</cp:keywords>
  <cp:lastModifiedBy>               。</cp:lastModifiedBy>
  <cp:lastPrinted>2026-08-24T02:01:00Z</cp:lastPrinted>
  <dcterms:modified xsi:type="dcterms:W3CDTF">2026-08-24T06:41:04Z</dcterms:modified>
  <dc:subject>Birthday </dc:subject>
  <dc:title>Are You suprised ?</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3CA5C60408AF4A5E981C62A7433C0236_13</vt:lpwstr>
  </property>
  <property fmtid="{D5CDD505-2E9C-101B-9397-08002B2CF9AE}" pid="4" name="KSOTemplateDocerSaveRecord">
    <vt:lpwstr>eyJoZGlkIjoiMDYyMzFiNmE2NWIwYjBiYWE1ODI5NTRmNjJjOWZiMjMiLCJ1c2VySWQiOiI4MDkxMTIxMDEifQ==</vt:lpwstr>
  </property>
</Properties>
</file>